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0F79" w14:textId="240E7A37" w:rsidR="00B7294F" w:rsidRDefault="00D538C8" w:rsidP="00441B6F">
      <w:pPr>
        <w:pStyle w:val="Title"/>
        <w:spacing w:after="0"/>
        <w:jc w:val="both"/>
        <w:rPr>
          <w:rFonts w:ascii="Arial" w:hAnsi="Arial" w:cs="Arial"/>
        </w:rPr>
      </w:pPr>
      <w:r w:rsidRPr="00D538C8">
        <w:rPr>
          <w:rFonts w:ascii="Arial" w:hAnsi="Arial" w:cs="Arial"/>
        </w:rPr>
        <w:t>Original Research Article</w:t>
      </w:r>
    </w:p>
    <w:p w14:paraId="300CA29B" w14:textId="77777777" w:rsidR="00D538C8" w:rsidRDefault="00D538C8" w:rsidP="00441B6F">
      <w:pPr>
        <w:pStyle w:val="Title"/>
        <w:spacing w:after="0"/>
        <w:jc w:val="both"/>
        <w:rPr>
          <w:rFonts w:ascii="Arial" w:hAnsi="Arial" w:cs="Arial"/>
        </w:rPr>
      </w:pPr>
    </w:p>
    <w:p w14:paraId="3D8F17A3" w14:textId="203F22BA" w:rsidR="00B7294F" w:rsidRDefault="00B7294F" w:rsidP="000B4521">
      <w:pPr>
        <w:pStyle w:val="Author"/>
        <w:spacing w:before="120" w:after="120" w:line="240" w:lineRule="auto"/>
        <w:rPr>
          <w:rFonts w:ascii="Arial" w:hAnsi="Arial" w:cs="Arial"/>
          <w:bCs/>
          <w:iCs/>
          <w:kern w:val="28"/>
          <w:sz w:val="36"/>
        </w:rPr>
      </w:pPr>
      <w:r w:rsidRPr="00B7294F">
        <w:rPr>
          <w:rFonts w:ascii="Arial" w:hAnsi="Arial" w:cs="Arial"/>
          <w:bCs/>
          <w:iCs/>
          <w:kern w:val="28"/>
          <w:sz w:val="36"/>
        </w:rPr>
        <w:t>Clinical Utility of Serum Free Light Chain Assays in Multiple Myeloma Diagnosis: A 10-Year Multicenter Analysis from South-South Nigeria</w:t>
      </w:r>
    </w:p>
    <w:p w14:paraId="30C2EE98" w14:textId="77777777" w:rsidR="00D538C8" w:rsidRPr="00B7294F" w:rsidRDefault="00D538C8" w:rsidP="000B4521">
      <w:pPr>
        <w:pStyle w:val="Author"/>
        <w:spacing w:before="120" w:after="120" w:line="240" w:lineRule="auto"/>
        <w:rPr>
          <w:rFonts w:ascii="Arial" w:hAnsi="Arial" w:cs="Arial"/>
          <w:bCs/>
          <w:iCs/>
          <w:kern w:val="28"/>
          <w:sz w:val="36"/>
        </w:rPr>
      </w:pPr>
    </w:p>
    <w:p w14:paraId="1F6B5D3C" w14:textId="77777777" w:rsidR="002C57D2" w:rsidRPr="00FB3A86" w:rsidRDefault="002C57D2" w:rsidP="00441B6F">
      <w:pPr>
        <w:pStyle w:val="Affiliation"/>
        <w:spacing w:after="0" w:line="240" w:lineRule="auto"/>
        <w:jc w:val="both"/>
        <w:rPr>
          <w:rFonts w:ascii="Arial" w:hAnsi="Arial" w:cs="Arial"/>
        </w:rPr>
      </w:pPr>
    </w:p>
    <w:p w14:paraId="74E47DCB" w14:textId="3DC9B9D8" w:rsidR="00B01FCD" w:rsidRPr="00FB3A86" w:rsidRDefault="007612CE" w:rsidP="00441B6F">
      <w:pPr>
        <w:pStyle w:val="Copyright"/>
        <w:spacing w:after="0" w:line="240" w:lineRule="auto"/>
        <w:jc w:val="both"/>
        <w:rPr>
          <w:rFonts w:ascii="Arial" w:hAnsi="Arial" w:cs="Arial"/>
        </w:rPr>
        <w:sectPr w:rsidR="00B01FCD" w:rsidRPr="00FB3A86" w:rsidSect="007B02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26C4BD" wp14:editId="09AFF153">
                <wp:extent cx="5303520" cy="635"/>
                <wp:effectExtent l="13335" t="13335" r="17145" b="15240"/>
                <wp:docPr id="888853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85E6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BABB05" w14:textId="21796A82" w:rsidR="00B01FCD" w:rsidRDefault="00B01FCD" w:rsidP="00441B6F">
      <w:pPr>
        <w:pStyle w:val="AbstHead"/>
        <w:spacing w:after="0"/>
        <w:jc w:val="both"/>
        <w:rPr>
          <w:rFonts w:ascii="Arial" w:hAnsi="Arial" w:cs="Arial"/>
        </w:rPr>
      </w:pPr>
      <w:r w:rsidRPr="00FB3A86">
        <w:rPr>
          <w:rFonts w:ascii="Arial" w:hAnsi="Arial" w:cs="Arial"/>
        </w:rPr>
        <w:t>ABSTRACT</w:t>
      </w:r>
    </w:p>
    <w:p w14:paraId="22A5A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E4A1794" w14:textId="77777777" w:rsidTr="001E44FE">
        <w:tc>
          <w:tcPr>
            <w:tcW w:w="9576" w:type="dxa"/>
            <w:shd w:val="clear" w:color="auto" w:fill="F2F2F2"/>
          </w:tcPr>
          <w:p w14:paraId="3740119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Background:</w:t>
            </w:r>
            <w:r w:rsidRPr="00615D00">
              <w:rPr>
                <w:rFonts w:ascii="Arial" w:eastAsia="Calibri" w:hAnsi="Arial" w:cs="Arial"/>
                <w:szCs w:val="22"/>
              </w:rPr>
              <w:br/>
              <w:t>In resource-limited settings, the diagnosis of multiple myeloma (MM) often relies on serum protein electrophoresis (SPE), which lacks sensitivity for light chain-only and oligo-secretory disease. This study evaluates the diagnostic utility of serum free light chain (sFLC) assays in a Nigerian cohort.</w:t>
            </w:r>
          </w:p>
          <w:p w14:paraId="2FF066EA"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Methods:</w:t>
            </w:r>
            <w:r w:rsidRPr="00615D00">
              <w:rPr>
                <w:rFonts w:ascii="Arial" w:eastAsia="Calibri" w:hAnsi="Arial" w:cs="Arial"/>
                <w:szCs w:val="22"/>
              </w:rPr>
              <w:br/>
              <w:t>This was a 10-year retrospective multicenter study of 67 patients diagnosed with MM in Port Harcourt, Nigeria. Clinical and laboratory parameters at diagnosis were analyzed. Renal function was assessed using estimated glomerular filtration rate (eGFR, CKD-EPI). Correlation between involved free light chains (iFLC) and renal function was evaluated.</w:t>
            </w:r>
          </w:p>
          <w:p w14:paraId="34A8DF4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Results:</w:t>
            </w:r>
            <w:r w:rsidRPr="00615D00">
              <w:rPr>
                <w:rFonts w:ascii="Arial" w:eastAsia="Calibri" w:hAnsi="Arial" w:cs="Arial"/>
                <w:szCs w:val="22"/>
              </w:rPr>
              <w:br/>
              <w:t>The mean age was 55.9 ± 11.7 years, with a male-to-female ratio of 1.2:1. Bone pain (44.8%) and anemia (34.3%) were the most common presentations. SPE detected an M-protein in 68.7% of cases, while 31.3% were SPE-negative but sFLC-positive, representing a significant diagnostic gap. Over 50% of patients had renal impairment (eGFR &lt;90 mL/min/1.73m²), with 17.9% having severe impairment (eGFR &lt;40). Lambda-predominant disease was associated with significantly worse renal outcomes compared to kappa (p=0.019). A strong inverse correlation was observed between iFLC levels and eGFR (r = −0.68, p &lt; 0.001).</w:t>
            </w:r>
          </w:p>
          <w:p w14:paraId="609C20E1" w14:textId="23B3F624" w:rsidR="00BA1B01"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Conclusion:</w:t>
            </w:r>
            <w:r w:rsidRPr="00615D00">
              <w:rPr>
                <w:rFonts w:ascii="Arial" w:eastAsia="Calibri" w:hAnsi="Arial" w:cs="Arial"/>
                <w:szCs w:val="22"/>
              </w:rPr>
              <w:br/>
              <w:t>sFLC assays are indispensable for accurate diagnosis of MM in resource-limited settings, closing a critical diagnostic gap. Lambda light chain predominance was associated with more severe renal impairment and may serve as a prognostic marker.</w:t>
            </w:r>
          </w:p>
          <w:p w14:paraId="675AB7CD" w14:textId="69A6B87C" w:rsidR="00505F06" w:rsidRPr="00BA1B01" w:rsidRDefault="00505F06" w:rsidP="00441B6F">
            <w:pPr>
              <w:pStyle w:val="Body"/>
              <w:spacing w:after="0"/>
              <w:rPr>
                <w:rFonts w:ascii="Arial" w:eastAsia="Calibri" w:hAnsi="Arial" w:cs="Arial"/>
                <w:szCs w:val="22"/>
              </w:rPr>
            </w:pPr>
          </w:p>
        </w:tc>
      </w:tr>
    </w:tbl>
    <w:p w14:paraId="1B775605" w14:textId="77777777" w:rsidR="00636EB2" w:rsidRDefault="00636EB2" w:rsidP="00441B6F">
      <w:pPr>
        <w:pStyle w:val="Body"/>
        <w:spacing w:after="0"/>
        <w:rPr>
          <w:rFonts w:ascii="Arial" w:hAnsi="Arial" w:cs="Arial"/>
          <w:i/>
        </w:rPr>
      </w:pPr>
    </w:p>
    <w:p w14:paraId="4C2BBBB5" w14:textId="12EE5AF4" w:rsidR="00A24E7E" w:rsidRDefault="00A24E7E" w:rsidP="00441B6F">
      <w:pPr>
        <w:pStyle w:val="Body"/>
        <w:spacing w:after="0"/>
        <w:rPr>
          <w:rFonts w:ascii="Arial" w:hAnsi="Arial" w:cs="Arial"/>
          <w:i/>
        </w:rPr>
      </w:pPr>
      <w:r>
        <w:rPr>
          <w:rFonts w:ascii="Arial" w:hAnsi="Arial" w:cs="Arial"/>
          <w:i/>
        </w:rPr>
        <w:t>Keywords: [</w:t>
      </w:r>
      <w:r w:rsidR="00B35813">
        <w:rPr>
          <w:rFonts w:ascii="Arial" w:hAnsi="Arial" w:cs="Arial"/>
          <w:i/>
        </w:rPr>
        <w:t xml:space="preserve">Multiple myeloma, serum free light chains, serum protein electrophoresis, </w:t>
      </w:r>
      <w:r w:rsidR="00F10AC7">
        <w:rPr>
          <w:rFonts w:ascii="Arial" w:hAnsi="Arial" w:cs="Arial"/>
          <w:i/>
        </w:rPr>
        <w:t>resource-limited</w:t>
      </w:r>
      <w:r>
        <w:rPr>
          <w:rFonts w:ascii="Arial" w:hAnsi="Arial" w:cs="Arial"/>
          <w:i/>
        </w:rPr>
        <w:t>}</w:t>
      </w:r>
    </w:p>
    <w:p w14:paraId="53827F6F" w14:textId="77777777" w:rsidR="0024282C" w:rsidRDefault="0024282C" w:rsidP="00441B6F">
      <w:pPr>
        <w:pStyle w:val="Body"/>
        <w:spacing w:after="0"/>
        <w:rPr>
          <w:rFonts w:ascii="Arial" w:hAnsi="Arial" w:cs="Arial"/>
          <w:i/>
          <w:sz w:val="18"/>
        </w:rPr>
      </w:pPr>
    </w:p>
    <w:p w14:paraId="505F9E0A" w14:textId="77777777" w:rsidR="00505F06" w:rsidRPr="00A24E7E" w:rsidRDefault="00505F06" w:rsidP="00441B6F">
      <w:pPr>
        <w:pStyle w:val="Body"/>
        <w:spacing w:after="0"/>
        <w:rPr>
          <w:rFonts w:ascii="Arial" w:hAnsi="Arial" w:cs="Arial"/>
          <w:i/>
        </w:rPr>
      </w:pPr>
    </w:p>
    <w:p w14:paraId="7F3EC1DE" w14:textId="68F50B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A0527E" w14:textId="77777777" w:rsidR="00790ADA" w:rsidRPr="00FB3A86" w:rsidRDefault="00790ADA" w:rsidP="00441B6F">
      <w:pPr>
        <w:pStyle w:val="AbstHead"/>
        <w:spacing w:after="0"/>
        <w:jc w:val="both"/>
        <w:rPr>
          <w:rFonts w:ascii="Arial" w:hAnsi="Arial" w:cs="Arial"/>
        </w:rPr>
      </w:pPr>
    </w:p>
    <w:p w14:paraId="142B75A5" w14:textId="2365352A" w:rsidR="00691749" w:rsidRPr="00391D6F" w:rsidRDefault="00691749" w:rsidP="00691749">
      <w:pPr>
        <w:pStyle w:val="Body"/>
        <w:spacing w:after="0"/>
        <w:rPr>
          <w:rFonts w:ascii="Arial" w:hAnsi="Arial" w:cs="Arial"/>
        </w:rPr>
      </w:pPr>
      <w:r w:rsidRPr="004406E0">
        <w:rPr>
          <w:rFonts w:ascii="Arial" w:hAnsi="Arial" w:cs="Arial"/>
        </w:rPr>
        <w:t>Multiple myeloma (MM) is a plasma cell malignancy</w:t>
      </w:r>
      <w:r w:rsidR="001C5F09">
        <w:rPr>
          <w:rFonts w:ascii="Arial" w:hAnsi="Arial" w:cs="Arial"/>
        </w:rPr>
        <w:t>. It is</w:t>
      </w:r>
      <w:r w:rsidRPr="004406E0">
        <w:rPr>
          <w:rFonts w:ascii="Arial" w:hAnsi="Arial" w:cs="Arial"/>
        </w:rPr>
        <w:t xml:space="preserve"> characterized by </w:t>
      </w:r>
      <w:r w:rsidR="001C5F09">
        <w:rPr>
          <w:rFonts w:ascii="Arial" w:hAnsi="Arial" w:cs="Arial"/>
        </w:rPr>
        <w:t xml:space="preserve">the </w:t>
      </w:r>
      <w:r w:rsidRPr="004406E0">
        <w:rPr>
          <w:rFonts w:ascii="Arial" w:hAnsi="Arial" w:cs="Arial"/>
        </w:rPr>
        <w:t xml:space="preserve">clonal proliferation of plasma cells </w:t>
      </w:r>
      <w:r w:rsidR="001C5F09">
        <w:rPr>
          <w:rFonts w:ascii="Arial" w:hAnsi="Arial" w:cs="Arial"/>
        </w:rPr>
        <w:t xml:space="preserve">that </w:t>
      </w:r>
      <w:r w:rsidRPr="004406E0">
        <w:rPr>
          <w:rFonts w:ascii="Arial" w:hAnsi="Arial" w:cs="Arial"/>
        </w:rPr>
        <w:t>produc</w:t>
      </w:r>
      <w:r w:rsidR="001C5F09">
        <w:rPr>
          <w:rFonts w:ascii="Arial" w:hAnsi="Arial" w:cs="Arial"/>
        </w:rPr>
        <w:t>e</w:t>
      </w:r>
      <w:r w:rsidRPr="004406E0">
        <w:rPr>
          <w:rFonts w:ascii="Arial" w:hAnsi="Arial" w:cs="Arial"/>
        </w:rPr>
        <w:t xml:space="preserve"> monoclonal immunoglobulins or free light chains.</w:t>
      </w:r>
      <w:r w:rsidRPr="004406E0">
        <w:rPr>
          <w:rFonts w:ascii="Arial" w:hAnsi="Arial" w:cs="Arial"/>
          <w:vertAlign w:val="superscript"/>
        </w:rPr>
        <w:t>1</w:t>
      </w:r>
      <w:r w:rsidRPr="004406E0">
        <w:rPr>
          <w:rFonts w:ascii="Arial" w:hAnsi="Arial" w:cs="Arial"/>
        </w:rPr>
        <w:t xml:space="preserve"> </w:t>
      </w:r>
      <w:r w:rsidR="00EC2BBB">
        <w:rPr>
          <w:rFonts w:ascii="Arial" w:hAnsi="Arial" w:cs="Arial"/>
        </w:rPr>
        <w:t xml:space="preserve">Plasma cells usually home to the bone marrow </w:t>
      </w:r>
      <w:r w:rsidR="00035208">
        <w:rPr>
          <w:rFonts w:ascii="Arial" w:hAnsi="Arial" w:cs="Arial"/>
        </w:rPr>
        <w:t xml:space="preserve">and </w:t>
      </w:r>
      <w:r w:rsidR="001F5BED">
        <w:rPr>
          <w:rFonts w:ascii="Arial" w:hAnsi="Arial" w:cs="Arial"/>
        </w:rPr>
        <w:t>as such</w:t>
      </w:r>
      <w:r w:rsidR="00035208">
        <w:rPr>
          <w:rFonts w:ascii="Arial" w:hAnsi="Arial" w:cs="Arial"/>
        </w:rPr>
        <w:t xml:space="preserve"> diagnosing plasma cell diseas</w:t>
      </w:r>
      <w:r w:rsidR="009A630B">
        <w:rPr>
          <w:rFonts w:ascii="Arial" w:hAnsi="Arial" w:cs="Arial"/>
        </w:rPr>
        <w:t>e</w:t>
      </w:r>
      <w:r w:rsidR="00035208">
        <w:rPr>
          <w:rFonts w:ascii="Arial" w:hAnsi="Arial" w:cs="Arial"/>
        </w:rPr>
        <w:t xml:space="preserve"> </w:t>
      </w:r>
      <w:r w:rsidR="001F5BED">
        <w:rPr>
          <w:rFonts w:ascii="Arial" w:hAnsi="Arial" w:cs="Arial"/>
        </w:rPr>
        <w:t xml:space="preserve">usually </w:t>
      </w:r>
      <w:r w:rsidR="00035208">
        <w:rPr>
          <w:rFonts w:ascii="Arial" w:hAnsi="Arial" w:cs="Arial"/>
        </w:rPr>
        <w:t>require</w:t>
      </w:r>
      <w:r w:rsidR="001F5BED">
        <w:rPr>
          <w:rFonts w:ascii="Arial" w:hAnsi="Arial" w:cs="Arial"/>
        </w:rPr>
        <w:t>s the</w:t>
      </w:r>
      <w:r w:rsidR="00035208">
        <w:rPr>
          <w:rFonts w:ascii="Arial" w:hAnsi="Arial" w:cs="Arial"/>
        </w:rPr>
        <w:t xml:space="preserve"> morpholog</w:t>
      </w:r>
      <w:r w:rsidR="00B011DB">
        <w:rPr>
          <w:rFonts w:ascii="Arial" w:hAnsi="Arial" w:cs="Arial"/>
        </w:rPr>
        <w:t>ic, immunophenotypic, and molecular assessment of the bone marrow.</w:t>
      </w:r>
      <w:r w:rsidR="00887B6A">
        <w:rPr>
          <w:rFonts w:ascii="Arial" w:hAnsi="Arial" w:cs="Arial"/>
        </w:rPr>
        <w:t xml:space="preserve"> However, </w:t>
      </w:r>
      <w:r w:rsidR="001F5BED">
        <w:rPr>
          <w:rFonts w:ascii="Arial" w:hAnsi="Arial" w:cs="Arial"/>
        </w:rPr>
        <w:t xml:space="preserve">where </w:t>
      </w:r>
      <w:r w:rsidR="00887B6A">
        <w:rPr>
          <w:rFonts w:ascii="Arial" w:hAnsi="Arial" w:cs="Arial"/>
        </w:rPr>
        <w:t xml:space="preserve">there </w:t>
      </w:r>
      <w:r w:rsidR="001F5BED">
        <w:rPr>
          <w:rFonts w:ascii="Arial" w:hAnsi="Arial" w:cs="Arial"/>
        </w:rPr>
        <w:t xml:space="preserve">is the </w:t>
      </w:r>
      <w:r w:rsidR="004B3723">
        <w:rPr>
          <w:rFonts w:ascii="Arial" w:hAnsi="Arial" w:cs="Arial"/>
        </w:rPr>
        <w:t>localized collection of these clonal plasma cells in the e</w:t>
      </w:r>
      <w:r w:rsidR="00110466">
        <w:rPr>
          <w:rFonts w:ascii="Arial" w:hAnsi="Arial" w:cs="Arial"/>
        </w:rPr>
        <w:t>xtramedullary parts of bones</w:t>
      </w:r>
      <w:r w:rsidR="00DD2DAE">
        <w:rPr>
          <w:rFonts w:ascii="Arial" w:hAnsi="Arial" w:cs="Arial"/>
        </w:rPr>
        <w:t xml:space="preserve"> o</w:t>
      </w:r>
      <w:r w:rsidR="00110466">
        <w:rPr>
          <w:rFonts w:ascii="Arial" w:hAnsi="Arial" w:cs="Arial"/>
        </w:rPr>
        <w:t>r of soft</w:t>
      </w:r>
      <w:r w:rsidR="00DD2DAE">
        <w:rPr>
          <w:rFonts w:ascii="Arial" w:hAnsi="Arial" w:cs="Arial"/>
        </w:rPr>
        <w:t xml:space="preserve"> tissues</w:t>
      </w:r>
      <w:r w:rsidR="00A60D15">
        <w:rPr>
          <w:rFonts w:ascii="Arial" w:hAnsi="Arial" w:cs="Arial"/>
        </w:rPr>
        <w:t>, d</w:t>
      </w:r>
      <w:r w:rsidR="00DD2DAE">
        <w:rPr>
          <w:rFonts w:ascii="Arial" w:hAnsi="Arial" w:cs="Arial"/>
        </w:rPr>
        <w:t>iagnosi</w:t>
      </w:r>
      <w:r w:rsidR="00110466">
        <w:rPr>
          <w:rFonts w:ascii="Arial" w:hAnsi="Arial" w:cs="Arial"/>
        </w:rPr>
        <w:t>ng</w:t>
      </w:r>
      <w:r w:rsidR="00DD2DAE">
        <w:rPr>
          <w:rFonts w:ascii="Arial" w:hAnsi="Arial" w:cs="Arial"/>
        </w:rPr>
        <w:t xml:space="preserve"> MM in these situations require</w:t>
      </w:r>
      <w:r w:rsidR="004B3723">
        <w:rPr>
          <w:rFonts w:ascii="Arial" w:hAnsi="Arial" w:cs="Arial"/>
        </w:rPr>
        <w:t xml:space="preserve"> </w:t>
      </w:r>
      <w:r w:rsidR="00A60D15">
        <w:rPr>
          <w:rFonts w:ascii="Arial" w:hAnsi="Arial" w:cs="Arial"/>
        </w:rPr>
        <w:t xml:space="preserve">a </w:t>
      </w:r>
      <w:r w:rsidR="004B3723">
        <w:rPr>
          <w:rFonts w:ascii="Arial" w:hAnsi="Arial" w:cs="Arial"/>
        </w:rPr>
        <w:t>biopsy</w:t>
      </w:r>
      <w:r w:rsidR="000D0DC5">
        <w:rPr>
          <w:rFonts w:ascii="Arial" w:hAnsi="Arial" w:cs="Arial"/>
        </w:rPr>
        <w:t xml:space="preserve"> and immunohistochemical </w:t>
      </w:r>
      <w:r w:rsidR="004B3723">
        <w:rPr>
          <w:rFonts w:ascii="Arial" w:hAnsi="Arial" w:cs="Arial"/>
        </w:rPr>
        <w:t>examination of these swellings.</w:t>
      </w:r>
      <w:r w:rsidR="00B011DB">
        <w:rPr>
          <w:rFonts w:ascii="Arial" w:hAnsi="Arial" w:cs="Arial"/>
        </w:rPr>
        <w:t xml:space="preserve"> Additionally, because the</w:t>
      </w:r>
      <w:r w:rsidR="003A09A3">
        <w:rPr>
          <w:rFonts w:ascii="Arial" w:hAnsi="Arial" w:cs="Arial"/>
        </w:rPr>
        <w:t xml:space="preserve">se </w:t>
      </w:r>
      <w:r w:rsidR="00B011DB">
        <w:rPr>
          <w:rFonts w:ascii="Arial" w:hAnsi="Arial" w:cs="Arial"/>
        </w:rPr>
        <w:t>cells</w:t>
      </w:r>
      <w:r w:rsidR="00EC2BBB">
        <w:rPr>
          <w:rFonts w:ascii="Arial" w:hAnsi="Arial" w:cs="Arial"/>
        </w:rPr>
        <w:t xml:space="preserve"> secrete </w:t>
      </w:r>
      <w:r w:rsidR="003A09A3">
        <w:rPr>
          <w:rFonts w:ascii="Arial" w:hAnsi="Arial" w:cs="Arial"/>
        </w:rPr>
        <w:t>their proteins into</w:t>
      </w:r>
      <w:r w:rsidR="00EC2BBB">
        <w:rPr>
          <w:rFonts w:ascii="Arial" w:hAnsi="Arial" w:cs="Arial"/>
        </w:rPr>
        <w:t xml:space="preserve"> the circulation</w:t>
      </w:r>
      <w:r w:rsidR="003A09A3">
        <w:rPr>
          <w:rFonts w:ascii="Arial" w:hAnsi="Arial" w:cs="Arial"/>
        </w:rPr>
        <w:t>, it is also possible to investigate the</w:t>
      </w:r>
      <w:r w:rsidR="005A4BA4">
        <w:rPr>
          <w:rFonts w:ascii="Arial" w:hAnsi="Arial" w:cs="Arial"/>
        </w:rPr>
        <w:t xml:space="preserve"> disease</w:t>
      </w:r>
      <w:r w:rsidR="00E27BC6">
        <w:rPr>
          <w:rFonts w:ascii="Arial" w:hAnsi="Arial" w:cs="Arial"/>
        </w:rPr>
        <w:t xml:space="preserve"> by measuring these</w:t>
      </w:r>
      <w:r w:rsidR="003A09A3">
        <w:rPr>
          <w:rFonts w:ascii="Arial" w:hAnsi="Arial" w:cs="Arial"/>
        </w:rPr>
        <w:t xml:space="preserve"> </w:t>
      </w:r>
      <w:r w:rsidR="003A680E">
        <w:rPr>
          <w:rFonts w:ascii="Arial" w:hAnsi="Arial" w:cs="Arial"/>
        </w:rPr>
        <w:t>peripheral blood parameters</w:t>
      </w:r>
      <w:r w:rsidR="00037091">
        <w:rPr>
          <w:rFonts w:ascii="Arial" w:hAnsi="Arial" w:cs="Arial"/>
        </w:rPr>
        <w:t xml:space="preserve">; this is especially correct in those few MM which are oligosecretory </w:t>
      </w:r>
      <w:r w:rsidR="00037091">
        <w:rPr>
          <w:rFonts w:ascii="Arial" w:hAnsi="Arial" w:cs="Arial"/>
        </w:rPr>
        <w:lastRenderedPageBreak/>
        <w:t>in nature</w:t>
      </w:r>
      <w:r w:rsidR="003A680E">
        <w:rPr>
          <w:rFonts w:ascii="Arial" w:hAnsi="Arial" w:cs="Arial"/>
        </w:rPr>
        <w:t>.</w:t>
      </w:r>
      <w:r w:rsidR="00EC2BBB">
        <w:rPr>
          <w:rFonts w:ascii="Arial" w:hAnsi="Arial" w:cs="Arial"/>
        </w:rPr>
        <w:t xml:space="preserve"> </w:t>
      </w:r>
      <w:r w:rsidR="00594257">
        <w:rPr>
          <w:rFonts w:ascii="Arial" w:hAnsi="Arial" w:cs="Arial"/>
        </w:rPr>
        <w:t>Quantitative and/or qualitative assessment</w:t>
      </w:r>
      <w:r w:rsidR="003A680E">
        <w:rPr>
          <w:rFonts w:ascii="Arial" w:hAnsi="Arial" w:cs="Arial"/>
        </w:rPr>
        <w:t xml:space="preserve"> of these </w:t>
      </w:r>
      <w:r w:rsidR="00594257">
        <w:rPr>
          <w:rFonts w:ascii="Arial" w:hAnsi="Arial" w:cs="Arial"/>
        </w:rPr>
        <w:t>plasma cells-</w:t>
      </w:r>
      <w:r w:rsidR="003A680E">
        <w:rPr>
          <w:rFonts w:ascii="Arial" w:hAnsi="Arial" w:cs="Arial"/>
        </w:rPr>
        <w:t xml:space="preserve">produced proteins </w:t>
      </w:r>
      <w:r w:rsidR="00EC2BBB">
        <w:rPr>
          <w:rFonts w:ascii="Arial" w:hAnsi="Arial" w:cs="Arial"/>
        </w:rPr>
        <w:t xml:space="preserve">form the basis for the diagnosis, monitoring of response to therapy, and </w:t>
      </w:r>
      <w:r w:rsidR="000B37B9">
        <w:rPr>
          <w:rFonts w:ascii="Arial" w:hAnsi="Arial" w:cs="Arial"/>
        </w:rPr>
        <w:t xml:space="preserve">also </w:t>
      </w:r>
      <w:r w:rsidR="00EC2BBB">
        <w:rPr>
          <w:rFonts w:ascii="Arial" w:hAnsi="Arial" w:cs="Arial"/>
        </w:rPr>
        <w:t>assessment of relapse</w:t>
      </w:r>
      <w:r w:rsidR="000B37B9">
        <w:rPr>
          <w:rFonts w:ascii="Arial" w:hAnsi="Arial" w:cs="Arial"/>
        </w:rPr>
        <w:t xml:space="preserve"> in the management of multiple myeloma specifically, and plasma cell dyscrasia by extension. </w:t>
      </w:r>
      <w:r w:rsidRPr="004406E0">
        <w:rPr>
          <w:rFonts w:ascii="Arial" w:hAnsi="Arial" w:cs="Arial"/>
        </w:rPr>
        <w:t xml:space="preserve">In </w:t>
      </w:r>
      <w:r w:rsidR="004D73DE">
        <w:rPr>
          <w:rFonts w:ascii="Arial" w:hAnsi="Arial" w:cs="Arial"/>
        </w:rPr>
        <w:t xml:space="preserve">developed climes where there </w:t>
      </w:r>
      <w:r w:rsidR="00883329">
        <w:rPr>
          <w:rFonts w:ascii="Arial" w:hAnsi="Arial" w:cs="Arial"/>
        </w:rPr>
        <w:t>their populations have</w:t>
      </w:r>
      <w:r w:rsidR="004D73DE">
        <w:rPr>
          <w:rFonts w:ascii="Arial" w:hAnsi="Arial" w:cs="Arial"/>
        </w:rPr>
        <w:t xml:space="preserve"> good </w:t>
      </w:r>
      <w:r w:rsidR="00185850">
        <w:rPr>
          <w:rFonts w:ascii="Arial" w:hAnsi="Arial" w:cs="Arial"/>
        </w:rPr>
        <w:t>health-</w:t>
      </w:r>
      <w:r w:rsidR="004D73DE">
        <w:rPr>
          <w:rFonts w:ascii="Arial" w:hAnsi="Arial" w:cs="Arial"/>
        </w:rPr>
        <w:t>seeking behaviour</w:t>
      </w:r>
      <w:r w:rsidR="00873882">
        <w:rPr>
          <w:rFonts w:ascii="Arial" w:hAnsi="Arial" w:cs="Arial"/>
        </w:rPr>
        <w:t xml:space="preserve">, where </w:t>
      </w:r>
      <w:r w:rsidR="00A34E8D">
        <w:rPr>
          <w:rFonts w:ascii="Arial" w:hAnsi="Arial" w:cs="Arial"/>
        </w:rPr>
        <w:t>access to regular medical care is made easy by good health insurance</w:t>
      </w:r>
      <w:r w:rsidR="004D73DE">
        <w:rPr>
          <w:rFonts w:ascii="Arial" w:hAnsi="Arial" w:cs="Arial"/>
        </w:rPr>
        <w:t xml:space="preserve">, </w:t>
      </w:r>
      <w:r w:rsidR="00873882">
        <w:rPr>
          <w:rFonts w:ascii="Arial" w:hAnsi="Arial" w:cs="Arial"/>
        </w:rPr>
        <w:t xml:space="preserve">and where there is ready availability of laboratory capacity </w:t>
      </w:r>
      <w:r w:rsidR="00CB2001">
        <w:rPr>
          <w:rFonts w:ascii="Arial" w:hAnsi="Arial" w:cs="Arial"/>
        </w:rPr>
        <w:t xml:space="preserve">for immunophenotyping, molecular and genetic investigations, </w:t>
      </w:r>
      <w:r w:rsidR="004D73DE">
        <w:rPr>
          <w:rFonts w:ascii="Arial" w:hAnsi="Arial" w:cs="Arial"/>
        </w:rPr>
        <w:t xml:space="preserve">it is easy to </w:t>
      </w:r>
      <w:r w:rsidR="00A34E8D">
        <w:rPr>
          <w:rFonts w:ascii="Arial" w:hAnsi="Arial" w:cs="Arial"/>
        </w:rPr>
        <w:t>diagnose MM in the earl</w:t>
      </w:r>
      <w:r w:rsidR="007A772B">
        <w:rPr>
          <w:rFonts w:ascii="Arial" w:hAnsi="Arial" w:cs="Arial"/>
        </w:rPr>
        <w:t>y</w:t>
      </w:r>
      <w:r w:rsidR="00A34E8D">
        <w:rPr>
          <w:rFonts w:ascii="Arial" w:hAnsi="Arial" w:cs="Arial"/>
        </w:rPr>
        <w:t xml:space="preserve"> stages</w:t>
      </w:r>
      <w:r w:rsidR="00185850">
        <w:rPr>
          <w:rFonts w:ascii="Arial" w:hAnsi="Arial" w:cs="Arial"/>
        </w:rPr>
        <w:t>. This is not the situation</w:t>
      </w:r>
      <w:r w:rsidR="00A34E8D">
        <w:rPr>
          <w:rFonts w:ascii="Arial" w:hAnsi="Arial" w:cs="Arial"/>
        </w:rPr>
        <w:t xml:space="preserve"> in </w:t>
      </w:r>
      <w:r w:rsidRPr="004406E0">
        <w:rPr>
          <w:rFonts w:ascii="Arial" w:hAnsi="Arial" w:cs="Arial"/>
        </w:rPr>
        <w:t xml:space="preserve">Sub-Saharan Africa, including Nigeria, </w:t>
      </w:r>
      <w:r w:rsidR="00185850">
        <w:rPr>
          <w:rFonts w:ascii="Arial" w:hAnsi="Arial" w:cs="Arial"/>
        </w:rPr>
        <w:t>where</w:t>
      </w:r>
      <w:r w:rsidR="001949CD">
        <w:rPr>
          <w:rFonts w:ascii="Arial" w:hAnsi="Arial" w:cs="Arial"/>
        </w:rPr>
        <w:t xml:space="preserve"> due to economic difficulties and paucity of relevant equipment</w:t>
      </w:r>
      <w:r w:rsidR="00202E80">
        <w:rPr>
          <w:rFonts w:ascii="Arial" w:hAnsi="Arial" w:cs="Arial"/>
        </w:rPr>
        <w:t>,</w:t>
      </w:r>
      <w:r w:rsidR="00185850">
        <w:rPr>
          <w:rFonts w:ascii="Arial" w:hAnsi="Arial" w:cs="Arial"/>
        </w:rPr>
        <w:t xml:space="preserve"> </w:t>
      </w:r>
      <w:r w:rsidR="005A4BA4">
        <w:rPr>
          <w:rFonts w:ascii="Arial" w:hAnsi="Arial" w:cs="Arial"/>
        </w:rPr>
        <w:t xml:space="preserve">many </w:t>
      </w:r>
      <w:r w:rsidRPr="004406E0">
        <w:rPr>
          <w:rFonts w:ascii="Arial" w:hAnsi="Arial" w:cs="Arial"/>
        </w:rPr>
        <w:t>patients frequently present late</w:t>
      </w:r>
      <w:r w:rsidR="00D5254D">
        <w:rPr>
          <w:rFonts w:ascii="Arial" w:hAnsi="Arial" w:cs="Arial"/>
        </w:rPr>
        <w:t xml:space="preserve"> and</w:t>
      </w:r>
      <w:r w:rsidRPr="004406E0">
        <w:rPr>
          <w:rFonts w:ascii="Arial" w:hAnsi="Arial" w:cs="Arial"/>
        </w:rPr>
        <w:t xml:space="preserve"> </w:t>
      </w:r>
      <w:r w:rsidR="00202E80">
        <w:rPr>
          <w:rFonts w:ascii="Arial" w:hAnsi="Arial" w:cs="Arial"/>
        </w:rPr>
        <w:t>at different stages of</w:t>
      </w:r>
      <w:r w:rsidRPr="004406E0">
        <w:rPr>
          <w:rFonts w:ascii="Arial" w:hAnsi="Arial" w:cs="Arial"/>
        </w:rPr>
        <w:t xml:space="preserve"> advanced disease and </w:t>
      </w:r>
      <w:r w:rsidR="00202E80">
        <w:rPr>
          <w:rFonts w:ascii="Arial" w:hAnsi="Arial" w:cs="Arial"/>
        </w:rPr>
        <w:t xml:space="preserve">also with </w:t>
      </w:r>
      <w:r w:rsidRPr="004406E0">
        <w:rPr>
          <w:rFonts w:ascii="Arial" w:hAnsi="Arial" w:cs="Arial"/>
        </w:rPr>
        <w:t>significant end-organ damage, including renal impairment, anemia, and skeletal complications</w:t>
      </w:r>
      <w:r w:rsidR="003601F5">
        <w:rPr>
          <w:rFonts w:ascii="Arial" w:hAnsi="Arial" w:cs="Arial"/>
        </w:rPr>
        <w:t>.</w:t>
      </w:r>
      <w:r w:rsidRPr="004406E0">
        <w:rPr>
          <w:rFonts w:ascii="Arial" w:hAnsi="Arial" w:cs="Arial"/>
          <w:vertAlign w:val="superscript"/>
        </w:rPr>
        <w:t>2,3</w:t>
      </w:r>
      <w:r w:rsidR="00391D6F">
        <w:rPr>
          <w:rFonts w:ascii="Arial" w:hAnsi="Arial" w:cs="Arial"/>
          <w:vertAlign w:val="superscript"/>
        </w:rPr>
        <w:t xml:space="preserve"> </w:t>
      </w:r>
    </w:p>
    <w:p w14:paraId="2FAF1170" w14:textId="48A5F2C3" w:rsidR="00790ADA" w:rsidRDefault="00691749" w:rsidP="00441B6F">
      <w:pPr>
        <w:pStyle w:val="Body"/>
        <w:spacing w:after="0"/>
        <w:rPr>
          <w:rFonts w:ascii="Arial" w:hAnsi="Arial" w:cs="Arial"/>
        </w:rPr>
      </w:pPr>
      <w:r w:rsidRPr="00691749">
        <w:rPr>
          <w:rFonts w:ascii="Arial" w:hAnsi="Arial" w:cs="Arial"/>
        </w:rPr>
        <w:t xml:space="preserve">Serum protein electrophoresis (SPE) </w:t>
      </w:r>
      <w:r w:rsidR="00BA7D6C">
        <w:rPr>
          <w:rFonts w:ascii="Arial" w:hAnsi="Arial" w:cs="Arial"/>
        </w:rPr>
        <w:t>i</w:t>
      </w:r>
      <w:r w:rsidRPr="00691749">
        <w:rPr>
          <w:rFonts w:ascii="Arial" w:hAnsi="Arial" w:cs="Arial"/>
        </w:rPr>
        <w:t xml:space="preserve">s </w:t>
      </w:r>
      <w:r w:rsidR="00BA7D6C">
        <w:rPr>
          <w:rFonts w:ascii="Arial" w:hAnsi="Arial" w:cs="Arial"/>
        </w:rPr>
        <w:t>one of the</w:t>
      </w:r>
      <w:r w:rsidRPr="00691749">
        <w:rPr>
          <w:rFonts w:ascii="Arial" w:hAnsi="Arial" w:cs="Arial"/>
        </w:rPr>
        <w:t xml:space="preserve"> most widely available diagnostic tool</w:t>
      </w:r>
      <w:r w:rsidR="008A3624">
        <w:rPr>
          <w:rFonts w:ascii="Arial" w:hAnsi="Arial" w:cs="Arial"/>
        </w:rPr>
        <w:t>s</w:t>
      </w:r>
      <w:r w:rsidRPr="00691749">
        <w:rPr>
          <w:rFonts w:ascii="Arial" w:hAnsi="Arial" w:cs="Arial"/>
        </w:rPr>
        <w:t xml:space="preserve"> in many low-resource settings.</w:t>
      </w:r>
      <w:r w:rsidRPr="00691749">
        <w:rPr>
          <w:rFonts w:ascii="Arial" w:hAnsi="Arial" w:cs="Arial"/>
          <w:vertAlign w:val="superscript"/>
        </w:rPr>
        <w:t>4,5</w:t>
      </w:r>
      <w:r w:rsidRPr="00691749">
        <w:rPr>
          <w:rFonts w:ascii="Arial" w:hAnsi="Arial" w:cs="Arial"/>
        </w:rPr>
        <w:t xml:space="preserve"> </w:t>
      </w:r>
      <w:r w:rsidR="00A135AD">
        <w:rPr>
          <w:rFonts w:ascii="Arial" w:hAnsi="Arial" w:cs="Arial"/>
        </w:rPr>
        <w:t xml:space="preserve">it works </w:t>
      </w:r>
      <w:r w:rsidR="00964CF6">
        <w:rPr>
          <w:rFonts w:ascii="Arial" w:hAnsi="Arial" w:cs="Arial"/>
        </w:rPr>
        <w:t>via the</w:t>
      </w:r>
      <w:r w:rsidR="00A135AD">
        <w:rPr>
          <w:rFonts w:ascii="Arial" w:hAnsi="Arial" w:cs="Arial"/>
        </w:rPr>
        <w:t xml:space="preserve"> sepa</w:t>
      </w:r>
      <w:r w:rsidR="00964CF6">
        <w:rPr>
          <w:rFonts w:ascii="Arial" w:hAnsi="Arial" w:cs="Arial"/>
        </w:rPr>
        <w:t>r</w:t>
      </w:r>
      <w:r w:rsidR="00A135AD">
        <w:rPr>
          <w:rFonts w:ascii="Arial" w:hAnsi="Arial" w:cs="Arial"/>
        </w:rPr>
        <w:t>ation of proteins bas</w:t>
      </w:r>
      <w:r w:rsidR="00964CF6">
        <w:rPr>
          <w:rFonts w:ascii="Arial" w:hAnsi="Arial" w:cs="Arial"/>
        </w:rPr>
        <w:t xml:space="preserve">ed off </w:t>
      </w:r>
      <w:r w:rsidR="00A135AD">
        <w:rPr>
          <w:rFonts w:ascii="Arial" w:hAnsi="Arial" w:cs="Arial"/>
        </w:rPr>
        <w:t xml:space="preserve">of </w:t>
      </w:r>
      <w:r w:rsidR="00964CF6">
        <w:rPr>
          <w:rFonts w:ascii="Arial" w:hAnsi="Arial" w:cs="Arial"/>
        </w:rPr>
        <w:t xml:space="preserve">their </w:t>
      </w:r>
      <w:r w:rsidR="00A135AD">
        <w:rPr>
          <w:rFonts w:ascii="Arial" w:hAnsi="Arial" w:cs="Arial"/>
        </w:rPr>
        <w:t>electrical charge</w:t>
      </w:r>
      <w:r w:rsidR="007B00C3">
        <w:rPr>
          <w:rFonts w:ascii="Arial" w:hAnsi="Arial" w:cs="Arial"/>
        </w:rPr>
        <w:t xml:space="preserve"> and </w:t>
      </w:r>
      <w:r w:rsidR="00A135AD">
        <w:rPr>
          <w:rFonts w:ascii="Arial" w:hAnsi="Arial" w:cs="Arial"/>
        </w:rPr>
        <w:t>the</w:t>
      </w:r>
      <w:r w:rsidR="007B00C3">
        <w:rPr>
          <w:rFonts w:ascii="Arial" w:hAnsi="Arial" w:cs="Arial"/>
        </w:rPr>
        <w:t>ir</w:t>
      </w:r>
      <w:r w:rsidR="00A135AD">
        <w:rPr>
          <w:rFonts w:ascii="Arial" w:hAnsi="Arial" w:cs="Arial"/>
        </w:rPr>
        <w:t xml:space="preserve"> size</w:t>
      </w:r>
      <w:r w:rsidR="004372E1">
        <w:rPr>
          <w:rFonts w:ascii="Arial" w:hAnsi="Arial" w:cs="Arial"/>
        </w:rPr>
        <w:t>s</w:t>
      </w:r>
      <w:r w:rsidR="007B00C3">
        <w:rPr>
          <w:rFonts w:ascii="Arial" w:hAnsi="Arial" w:cs="Arial"/>
        </w:rPr>
        <w:t xml:space="preserve"> when an electrical current is passed t</w:t>
      </w:r>
      <w:r w:rsidR="00BA7D6C">
        <w:rPr>
          <w:rFonts w:ascii="Arial" w:hAnsi="Arial" w:cs="Arial"/>
        </w:rPr>
        <w:t>hrough</w:t>
      </w:r>
      <w:r w:rsidR="007B00C3">
        <w:rPr>
          <w:rFonts w:ascii="Arial" w:hAnsi="Arial" w:cs="Arial"/>
        </w:rPr>
        <w:t xml:space="preserve"> a medium containing these proteins</w:t>
      </w:r>
      <w:r w:rsidR="00A135AD">
        <w:rPr>
          <w:rFonts w:ascii="Arial" w:hAnsi="Arial" w:cs="Arial"/>
        </w:rPr>
        <w:t xml:space="preserve">. </w:t>
      </w:r>
      <w:r w:rsidRPr="00691749">
        <w:rPr>
          <w:rFonts w:ascii="Arial" w:hAnsi="Arial" w:cs="Arial"/>
        </w:rPr>
        <w:t>However, SPE lacks sensitivity in detecting light chain multiple myeloma (LCMM) and oligo-secretory disease</w:t>
      </w:r>
      <w:r w:rsidR="00C3230F">
        <w:rPr>
          <w:rFonts w:ascii="Arial" w:hAnsi="Arial" w:cs="Arial"/>
        </w:rPr>
        <w:t xml:space="preserve">, which may only be diagnosed by assessment of bone marrow aspirate or </w:t>
      </w:r>
      <w:r w:rsidR="008E6B89">
        <w:rPr>
          <w:rFonts w:ascii="Arial" w:hAnsi="Arial" w:cs="Arial"/>
        </w:rPr>
        <w:t>trephine biopsy sample</w:t>
      </w:r>
      <w:r w:rsidR="00676AE5">
        <w:rPr>
          <w:rFonts w:ascii="Arial" w:hAnsi="Arial" w:cs="Arial"/>
        </w:rPr>
        <w:t xml:space="preserve"> of the marrow or of</w:t>
      </w:r>
      <w:r w:rsidR="004372E1">
        <w:rPr>
          <w:rFonts w:ascii="Arial" w:hAnsi="Arial" w:cs="Arial"/>
        </w:rPr>
        <w:t xml:space="preserve"> a biopsied</w:t>
      </w:r>
      <w:r w:rsidR="00676AE5">
        <w:rPr>
          <w:rFonts w:ascii="Arial" w:hAnsi="Arial" w:cs="Arial"/>
        </w:rPr>
        <w:t xml:space="preserve"> extramedullary plasmacytoma</w:t>
      </w:r>
      <w:r w:rsidR="004372E1">
        <w:rPr>
          <w:rFonts w:ascii="Arial" w:hAnsi="Arial" w:cs="Arial"/>
        </w:rPr>
        <w:t xml:space="preserve"> or of other soft tissues</w:t>
      </w:r>
      <w:r w:rsidRPr="00691749">
        <w:rPr>
          <w:rFonts w:ascii="Arial" w:hAnsi="Arial" w:cs="Arial"/>
        </w:rPr>
        <w:t>.</w:t>
      </w:r>
      <w:r w:rsidRPr="00691749">
        <w:rPr>
          <w:rFonts w:ascii="Arial" w:hAnsi="Arial" w:cs="Arial"/>
          <w:vertAlign w:val="superscript"/>
        </w:rPr>
        <w:t>6,7</w:t>
      </w:r>
      <w:r w:rsidRPr="00691749">
        <w:rPr>
          <w:rFonts w:ascii="Arial" w:hAnsi="Arial" w:cs="Arial"/>
        </w:rPr>
        <w:t xml:space="preserve"> </w:t>
      </w:r>
      <w:r w:rsidR="00474415">
        <w:rPr>
          <w:rFonts w:ascii="Arial" w:hAnsi="Arial" w:cs="Arial"/>
        </w:rPr>
        <w:t xml:space="preserve">In appreciation of the limitations of this </w:t>
      </w:r>
      <w:r w:rsidR="00DE52D2">
        <w:rPr>
          <w:rFonts w:ascii="Arial" w:hAnsi="Arial" w:cs="Arial"/>
        </w:rPr>
        <w:t>ancillary</w:t>
      </w:r>
      <w:r w:rsidR="00474415">
        <w:rPr>
          <w:rFonts w:ascii="Arial" w:hAnsi="Arial" w:cs="Arial"/>
        </w:rPr>
        <w:t xml:space="preserve"> diagnostic modality, t</w:t>
      </w:r>
      <w:r w:rsidRPr="00691749">
        <w:rPr>
          <w:rFonts w:ascii="Arial" w:hAnsi="Arial" w:cs="Arial"/>
        </w:rPr>
        <w:t>he serum free light chain (sFLC) assay</w:t>
      </w:r>
      <w:r w:rsidR="001B5344">
        <w:rPr>
          <w:rFonts w:ascii="Arial" w:hAnsi="Arial" w:cs="Arial"/>
        </w:rPr>
        <w:t xml:space="preserve"> was introduced.</w:t>
      </w:r>
      <w:r w:rsidRPr="00691749">
        <w:rPr>
          <w:rFonts w:ascii="Arial" w:hAnsi="Arial" w:cs="Arial"/>
        </w:rPr>
        <w:t xml:space="preserve"> </w:t>
      </w:r>
      <w:r w:rsidR="000450EC">
        <w:rPr>
          <w:rFonts w:ascii="Arial" w:hAnsi="Arial" w:cs="Arial"/>
        </w:rPr>
        <w:t xml:space="preserve">sFLC </w:t>
      </w:r>
      <w:r w:rsidR="001B5344" w:rsidRPr="00691749">
        <w:rPr>
          <w:rFonts w:ascii="Arial" w:hAnsi="Arial" w:cs="Arial"/>
        </w:rPr>
        <w:t>offers superior sensitivity and allows earlier detection of clonal plasma cell disorders</w:t>
      </w:r>
      <w:r w:rsidR="000450EC">
        <w:rPr>
          <w:rFonts w:ascii="Arial" w:hAnsi="Arial" w:cs="Arial"/>
        </w:rPr>
        <w:t>,</w:t>
      </w:r>
      <w:r w:rsidR="001B5344" w:rsidRPr="00691749">
        <w:rPr>
          <w:rFonts w:ascii="Arial" w:hAnsi="Arial" w:cs="Arial"/>
          <w:vertAlign w:val="superscript"/>
        </w:rPr>
        <w:t>1</w:t>
      </w:r>
      <w:r w:rsidR="001B5344" w:rsidRPr="00691749">
        <w:rPr>
          <w:rFonts w:ascii="Arial" w:hAnsi="Arial" w:cs="Arial"/>
        </w:rPr>
        <w:t xml:space="preserve"> </w:t>
      </w:r>
      <w:r w:rsidR="000450EC">
        <w:rPr>
          <w:rFonts w:ascii="Arial" w:hAnsi="Arial" w:cs="Arial"/>
        </w:rPr>
        <w:t xml:space="preserve">and it </w:t>
      </w:r>
      <w:r w:rsidR="00D575E8">
        <w:rPr>
          <w:rFonts w:ascii="Arial" w:hAnsi="Arial" w:cs="Arial"/>
        </w:rPr>
        <w:t>has been</w:t>
      </w:r>
      <w:r w:rsidRPr="00691749">
        <w:rPr>
          <w:rFonts w:ascii="Arial" w:hAnsi="Arial" w:cs="Arial"/>
        </w:rPr>
        <w:t xml:space="preserve"> incorporated into International Myeloma Working Group (IMWG) diagnostic criteria</w:t>
      </w:r>
      <w:r w:rsidR="000450EC">
        <w:rPr>
          <w:rFonts w:ascii="Arial" w:hAnsi="Arial" w:cs="Arial"/>
        </w:rPr>
        <w:t xml:space="preserve"> for multiple myeloma.</w:t>
      </w:r>
      <w:r w:rsidRPr="00691749">
        <w:rPr>
          <w:rFonts w:ascii="Arial" w:hAnsi="Arial" w:cs="Arial"/>
        </w:rPr>
        <w:t xml:space="preserve"> </w:t>
      </w:r>
      <w:r w:rsidR="00FC698D">
        <w:rPr>
          <w:rFonts w:ascii="Arial" w:hAnsi="Arial" w:cs="Arial"/>
        </w:rPr>
        <w:t>The test measures the quantity of unbound</w:t>
      </w:r>
      <w:r w:rsidR="00FA6851">
        <w:rPr>
          <w:rFonts w:ascii="Arial" w:hAnsi="Arial" w:cs="Arial"/>
        </w:rPr>
        <w:t xml:space="preserve"> monoclonal </w:t>
      </w:r>
      <w:r w:rsidR="00FC698D">
        <w:rPr>
          <w:rFonts w:ascii="Arial" w:hAnsi="Arial" w:cs="Arial"/>
        </w:rPr>
        <w:t>light chains which are found in the serum</w:t>
      </w:r>
      <w:r w:rsidR="008368BC">
        <w:rPr>
          <w:rFonts w:ascii="Arial" w:hAnsi="Arial" w:cs="Arial"/>
        </w:rPr>
        <w:t xml:space="preserve"> of patient</w:t>
      </w:r>
      <w:r w:rsidR="006716CA">
        <w:rPr>
          <w:rFonts w:ascii="Arial" w:hAnsi="Arial" w:cs="Arial"/>
        </w:rPr>
        <w:t>s</w:t>
      </w:r>
      <w:r w:rsidR="00DE4100">
        <w:rPr>
          <w:rFonts w:ascii="Arial" w:hAnsi="Arial" w:cs="Arial"/>
        </w:rPr>
        <w:t xml:space="preserve"> by using antibodies specific to these light chains</w:t>
      </w:r>
      <w:r w:rsidR="00D575E8">
        <w:rPr>
          <w:rFonts w:ascii="Arial" w:hAnsi="Arial" w:cs="Arial"/>
        </w:rPr>
        <w:t>. T</w:t>
      </w:r>
      <w:r w:rsidR="00367F64">
        <w:rPr>
          <w:rFonts w:ascii="Arial" w:hAnsi="Arial" w:cs="Arial"/>
        </w:rPr>
        <w:t xml:space="preserve">he degree of light chain-antibody complex </w:t>
      </w:r>
      <w:r w:rsidR="00D575E8">
        <w:rPr>
          <w:rFonts w:ascii="Arial" w:hAnsi="Arial" w:cs="Arial"/>
        </w:rPr>
        <w:t xml:space="preserve">is </w:t>
      </w:r>
      <w:r w:rsidR="00367F64">
        <w:rPr>
          <w:rFonts w:ascii="Arial" w:hAnsi="Arial" w:cs="Arial"/>
        </w:rPr>
        <w:t xml:space="preserve">determined by nephelometric </w:t>
      </w:r>
      <w:r w:rsidR="00D575E8">
        <w:rPr>
          <w:rFonts w:ascii="Arial" w:hAnsi="Arial" w:cs="Arial"/>
        </w:rPr>
        <w:t xml:space="preserve">assessment </w:t>
      </w:r>
      <w:r w:rsidR="00367F64">
        <w:rPr>
          <w:rFonts w:ascii="Arial" w:hAnsi="Arial" w:cs="Arial"/>
        </w:rPr>
        <w:t xml:space="preserve">or </w:t>
      </w:r>
      <w:r w:rsidR="003121F5">
        <w:rPr>
          <w:rFonts w:ascii="Arial" w:hAnsi="Arial" w:cs="Arial"/>
        </w:rPr>
        <w:t xml:space="preserve">by the </w:t>
      </w:r>
      <w:r w:rsidR="00367F64">
        <w:rPr>
          <w:rFonts w:ascii="Arial" w:hAnsi="Arial" w:cs="Arial"/>
        </w:rPr>
        <w:t xml:space="preserve">turbidity of the </w:t>
      </w:r>
      <w:r w:rsidR="00C52B84">
        <w:rPr>
          <w:rFonts w:ascii="Arial" w:hAnsi="Arial" w:cs="Arial"/>
        </w:rPr>
        <w:t>sample</w:t>
      </w:r>
      <w:r w:rsidR="008368BC">
        <w:rPr>
          <w:rFonts w:ascii="Arial" w:hAnsi="Arial" w:cs="Arial"/>
        </w:rPr>
        <w:t xml:space="preserve">. </w:t>
      </w:r>
      <w:r w:rsidRPr="00691749">
        <w:rPr>
          <w:rFonts w:ascii="Arial" w:hAnsi="Arial" w:cs="Arial"/>
        </w:rPr>
        <w:t>Th</w:t>
      </w:r>
      <w:r w:rsidR="00DE4100">
        <w:rPr>
          <w:rFonts w:ascii="Arial" w:hAnsi="Arial" w:cs="Arial"/>
        </w:rPr>
        <w:t>e aim of this</w:t>
      </w:r>
      <w:r w:rsidRPr="00691749">
        <w:rPr>
          <w:rFonts w:ascii="Arial" w:hAnsi="Arial" w:cs="Arial"/>
        </w:rPr>
        <w:t xml:space="preserve"> study</w:t>
      </w:r>
      <w:r w:rsidR="00DE4100">
        <w:rPr>
          <w:rFonts w:ascii="Arial" w:hAnsi="Arial" w:cs="Arial"/>
        </w:rPr>
        <w:t xml:space="preserve"> was to</w:t>
      </w:r>
      <w:r w:rsidRPr="00691749">
        <w:rPr>
          <w:rFonts w:ascii="Arial" w:hAnsi="Arial" w:cs="Arial"/>
        </w:rPr>
        <w:t xml:space="preserve"> </w:t>
      </w:r>
      <w:r w:rsidR="002C6114">
        <w:rPr>
          <w:rFonts w:ascii="Arial" w:hAnsi="Arial" w:cs="Arial"/>
        </w:rPr>
        <w:t>highlight</w:t>
      </w:r>
      <w:r w:rsidRPr="00691749">
        <w:rPr>
          <w:rFonts w:ascii="Arial" w:hAnsi="Arial" w:cs="Arial"/>
        </w:rPr>
        <w:t xml:space="preserve"> the diagnostic gap</w:t>
      </w:r>
      <w:r w:rsidR="002C6114">
        <w:rPr>
          <w:rFonts w:ascii="Arial" w:hAnsi="Arial" w:cs="Arial"/>
        </w:rPr>
        <w:t>s</w:t>
      </w:r>
      <w:r w:rsidRPr="00691749">
        <w:rPr>
          <w:rFonts w:ascii="Arial" w:hAnsi="Arial" w:cs="Arial"/>
        </w:rPr>
        <w:t xml:space="preserve"> </w:t>
      </w:r>
      <w:r w:rsidR="002C6114">
        <w:rPr>
          <w:rFonts w:ascii="Arial" w:hAnsi="Arial" w:cs="Arial"/>
        </w:rPr>
        <w:t xml:space="preserve">that exist </w:t>
      </w:r>
      <w:r w:rsidRPr="00691749">
        <w:rPr>
          <w:rFonts w:ascii="Arial" w:hAnsi="Arial" w:cs="Arial"/>
        </w:rPr>
        <w:t>between SPE and sFLC assays</w:t>
      </w:r>
      <w:r w:rsidR="0008602B">
        <w:rPr>
          <w:rFonts w:ascii="Arial" w:hAnsi="Arial" w:cs="Arial"/>
        </w:rPr>
        <w:t xml:space="preserve"> as it applie</w:t>
      </w:r>
      <w:r w:rsidR="005B618F">
        <w:rPr>
          <w:rFonts w:ascii="Arial" w:hAnsi="Arial" w:cs="Arial"/>
        </w:rPr>
        <w:t>s</w:t>
      </w:r>
      <w:r w:rsidR="0008602B">
        <w:rPr>
          <w:rFonts w:ascii="Arial" w:hAnsi="Arial" w:cs="Arial"/>
        </w:rPr>
        <w:t xml:space="preserve"> to patients </w:t>
      </w:r>
      <w:r w:rsidR="00A705E3">
        <w:rPr>
          <w:rFonts w:ascii="Arial" w:hAnsi="Arial" w:cs="Arial"/>
        </w:rPr>
        <w:t>diagnosed</w:t>
      </w:r>
      <w:r w:rsidR="00715303">
        <w:rPr>
          <w:rFonts w:ascii="Arial" w:hAnsi="Arial" w:cs="Arial"/>
        </w:rPr>
        <w:t xml:space="preserve"> with</w:t>
      </w:r>
      <w:r w:rsidR="00A705E3">
        <w:rPr>
          <w:rFonts w:ascii="Arial" w:hAnsi="Arial" w:cs="Arial"/>
        </w:rPr>
        <w:t xml:space="preserve"> and managed for MM at</w:t>
      </w:r>
      <w:r w:rsidR="0008602B">
        <w:rPr>
          <w:rFonts w:ascii="Arial" w:hAnsi="Arial" w:cs="Arial"/>
        </w:rPr>
        <w:t xml:space="preserve"> </w:t>
      </w:r>
      <w:r w:rsidR="00A705E3">
        <w:rPr>
          <w:rFonts w:ascii="Arial" w:hAnsi="Arial" w:cs="Arial"/>
        </w:rPr>
        <w:t>tertiary health</w:t>
      </w:r>
      <w:r w:rsidR="0008602B">
        <w:rPr>
          <w:rFonts w:ascii="Arial" w:hAnsi="Arial" w:cs="Arial"/>
        </w:rPr>
        <w:t xml:space="preserve">care facilities in </w:t>
      </w:r>
      <w:r w:rsidR="0088306C">
        <w:rPr>
          <w:rFonts w:ascii="Arial" w:hAnsi="Arial" w:cs="Arial"/>
        </w:rPr>
        <w:t>Port Harcou</w:t>
      </w:r>
      <w:r w:rsidR="001C1DFF">
        <w:rPr>
          <w:rFonts w:ascii="Arial" w:hAnsi="Arial" w:cs="Arial"/>
        </w:rPr>
        <w:t>rt</w:t>
      </w:r>
      <w:r>
        <w:rPr>
          <w:rFonts w:ascii="Arial" w:hAnsi="Arial" w:cs="Arial"/>
        </w:rPr>
        <w:t>.</w:t>
      </w:r>
    </w:p>
    <w:p w14:paraId="5EDFF297" w14:textId="77777777" w:rsidR="00691749" w:rsidRPr="00691749" w:rsidRDefault="00691749" w:rsidP="00441B6F">
      <w:pPr>
        <w:pStyle w:val="Body"/>
        <w:spacing w:after="0"/>
        <w:rPr>
          <w:rFonts w:ascii="Arial" w:hAnsi="Arial" w:cs="Arial"/>
          <w:vertAlign w:val="superscript"/>
        </w:rPr>
      </w:pPr>
    </w:p>
    <w:p w14:paraId="6A3CBEBE" w14:textId="5D2A55FC"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376E5CAF" w14:textId="77777777" w:rsidR="00790ADA" w:rsidRPr="00FB3A86" w:rsidRDefault="00790ADA" w:rsidP="00441B6F">
      <w:pPr>
        <w:pStyle w:val="AbstHead"/>
        <w:spacing w:after="0"/>
        <w:jc w:val="both"/>
        <w:rPr>
          <w:rFonts w:ascii="Arial" w:hAnsi="Arial" w:cs="Arial"/>
        </w:rPr>
      </w:pPr>
    </w:p>
    <w:p w14:paraId="63B4B0FE" w14:textId="645D7FD9" w:rsidR="000D63AB" w:rsidRPr="004406E0" w:rsidRDefault="000D63AB" w:rsidP="000D63AB">
      <w:pPr>
        <w:pStyle w:val="Body"/>
        <w:spacing w:after="0"/>
        <w:rPr>
          <w:rFonts w:ascii="Arial" w:eastAsia="Calibri" w:hAnsi="Arial" w:cs="Arial"/>
          <w:szCs w:val="22"/>
        </w:rPr>
      </w:pPr>
      <w:r w:rsidRPr="004406E0">
        <w:rPr>
          <w:rFonts w:ascii="Arial" w:eastAsia="Calibri" w:hAnsi="Arial" w:cs="Arial"/>
          <w:szCs w:val="22"/>
        </w:rPr>
        <w:t>This was a retrospective multicenter study conducted across tertiary healthcare institutions in Port Harcourt, Nigeria, over a 10-year period (from June 2013 to July 2023). The study population was patients with a confirmed diagnosis of MM based on IMWG criteria. Clinical and laboratory data at diagnosis were extracted from patient records, including; demographics (age, sex), clinical features (bone pain, anemia, fractures), hemoglobin concentration, bone marrow plasmacytosis, biochemical parameters (urea, creatinine, uric acid, SPE and sFLC). Renal function was assessed using eGFR calculated with the CKD-EPI equation and categorized according to CKD staging. Data was analyzed using SPSS version 24. Descriptive statistics (Mean, Median, SD) were used for demographic data. Correlation between involved light chains (iFLC) and eGFR was assessed using Spearman’s rank correlation. P-values &lt;0.05 were considered statistically significant.</w:t>
      </w:r>
    </w:p>
    <w:p w14:paraId="68801F6A" w14:textId="00BC8006" w:rsidR="00AA74E0" w:rsidRDefault="00AA74E0" w:rsidP="00441B6F">
      <w:pPr>
        <w:pStyle w:val="Body"/>
        <w:spacing w:after="0"/>
        <w:rPr>
          <w:rFonts w:ascii="Arial" w:hAnsi="Arial" w:cs="Arial"/>
        </w:rPr>
      </w:pPr>
    </w:p>
    <w:p w14:paraId="1642159A" w14:textId="77777777" w:rsidR="00790ADA" w:rsidRPr="00FB3A86" w:rsidRDefault="00790ADA" w:rsidP="00441B6F">
      <w:pPr>
        <w:pStyle w:val="Body"/>
        <w:spacing w:after="0"/>
        <w:rPr>
          <w:rFonts w:ascii="Arial" w:hAnsi="Arial" w:cs="Arial"/>
        </w:rPr>
      </w:pPr>
    </w:p>
    <w:p w14:paraId="004384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429848" w14:textId="77777777" w:rsidR="00790ADA" w:rsidRPr="00FB3A86" w:rsidRDefault="00790ADA" w:rsidP="00441B6F">
      <w:pPr>
        <w:pStyle w:val="Head1"/>
        <w:spacing w:after="0"/>
        <w:jc w:val="both"/>
        <w:rPr>
          <w:rFonts w:ascii="Arial" w:hAnsi="Arial" w:cs="Arial"/>
        </w:rPr>
      </w:pPr>
    </w:p>
    <w:p w14:paraId="2CB0EA2D" w14:textId="64EC36F0" w:rsidR="00470E46" w:rsidRPr="004406E0" w:rsidRDefault="00470E46" w:rsidP="00470E46">
      <w:pPr>
        <w:pStyle w:val="Body"/>
        <w:spacing w:after="0"/>
        <w:rPr>
          <w:rFonts w:ascii="Arial" w:hAnsi="Arial" w:cs="Arial"/>
        </w:rPr>
      </w:pPr>
      <w:r w:rsidRPr="004406E0">
        <w:rPr>
          <w:rFonts w:ascii="Arial" w:hAnsi="Arial" w:cs="Arial"/>
        </w:rPr>
        <w:t xml:space="preserve">A total of 67 patients were included. The mean age was 55.9 ± 11.7 years (range 28–83), with 32.8% aged ≤50 years. The </w:t>
      </w:r>
      <w:r w:rsidR="00A67020">
        <w:rPr>
          <w:rFonts w:ascii="Arial" w:hAnsi="Arial" w:cs="Arial"/>
        </w:rPr>
        <w:t>M</w:t>
      </w:r>
      <w:r w:rsidRPr="004406E0">
        <w:rPr>
          <w:rFonts w:ascii="Arial" w:hAnsi="Arial" w:cs="Arial"/>
        </w:rPr>
        <w:t>ale:</w:t>
      </w:r>
      <w:r w:rsidR="00A67020">
        <w:rPr>
          <w:rFonts w:ascii="Arial" w:hAnsi="Arial" w:cs="Arial"/>
        </w:rPr>
        <w:t>F</w:t>
      </w:r>
      <w:r w:rsidRPr="004406E0">
        <w:rPr>
          <w:rFonts w:ascii="Arial" w:hAnsi="Arial" w:cs="Arial"/>
        </w:rPr>
        <w:t>emale ratio: was 1.2:1. The clinical burden at presentation was severe; bone pain was the primary complaint in 44.8% of patients, with 23.9% presenting with pathological fractures. The median duration of back pain prior to diagnosis was 5 months. The mean haemoglobin concentration was 8.8 ± 2.1 g/dL; with 23 patients (34.3%) having severe anemia (Hb &lt;8 g/dL). Average bone marrow plasmacytosis was 48.7% ± 28.9%. However, about 7 (10.4%) patients presented with &lt;10% plasma cells in the marrow despite diagnostic sFLC ratios. Table 1 shows the presenting features of the cohort.</w:t>
      </w:r>
    </w:p>
    <w:p w14:paraId="1A147FAA" w14:textId="77777777" w:rsidR="00470E46" w:rsidRPr="00470E46" w:rsidRDefault="00470E46" w:rsidP="00470E46">
      <w:pPr>
        <w:pStyle w:val="Body"/>
        <w:spacing w:after="0"/>
        <w:rPr>
          <w:rFonts w:ascii="Arial" w:hAnsi="Arial" w:cs="Arial"/>
        </w:rPr>
      </w:pPr>
      <w:r w:rsidRPr="00470E46">
        <w:rPr>
          <w:rFonts w:ascii="Arial" w:hAnsi="Arial" w:cs="Arial"/>
        </w:rPr>
        <w:t xml:space="preserve"> Table </w:t>
      </w:r>
      <w:r w:rsidRPr="00470E46">
        <w:rPr>
          <w:rFonts w:ascii="Arial" w:hAnsi="Arial" w:cs="Arial"/>
        </w:rPr>
        <w:fldChar w:fldCharType="begin"/>
      </w:r>
      <w:r w:rsidRPr="00470E46">
        <w:rPr>
          <w:rFonts w:ascii="Arial" w:hAnsi="Arial" w:cs="Arial"/>
        </w:rPr>
        <w:instrText xml:space="preserve"> SEQ Table \* ARABIC </w:instrText>
      </w:r>
      <w:r w:rsidRPr="00470E46">
        <w:rPr>
          <w:rFonts w:ascii="Arial" w:hAnsi="Arial" w:cs="Arial"/>
        </w:rPr>
        <w:fldChar w:fldCharType="separate"/>
      </w:r>
      <w:r w:rsidRPr="00470E46">
        <w:rPr>
          <w:rFonts w:ascii="Arial" w:hAnsi="Arial" w:cs="Arial"/>
        </w:rPr>
        <w:t>1</w:t>
      </w:r>
      <w:r w:rsidRPr="00470E46">
        <w:rPr>
          <w:rFonts w:ascii="Arial" w:hAnsi="Arial" w:cs="Arial"/>
        </w:rPr>
        <w:fldChar w:fldCharType="end"/>
      </w:r>
      <w:r w:rsidRPr="00470E46">
        <w:rPr>
          <w:rFonts w:ascii="Arial" w:hAnsi="Arial" w:cs="Arial"/>
        </w:rPr>
        <w:t>: Clinical Parameters of MM patients</w:t>
      </w:r>
    </w:p>
    <w:tbl>
      <w:tblPr>
        <w:tblW w:w="0" w:type="auto"/>
        <w:tblLook w:val="04A0" w:firstRow="1" w:lastRow="0" w:firstColumn="1" w:lastColumn="0" w:noHBand="0" w:noVBand="1"/>
      </w:tblPr>
      <w:tblGrid>
        <w:gridCol w:w="4901"/>
        <w:gridCol w:w="1539"/>
        <w:gridCol w:w="1661"/>
      </w:tblGrid>
      <w:tr w:rsidR="00470E46" w:rsidRPr="00470E46" w14:paraId="68C5AF43" w14:textId="77777777" w:rsidTr="00136432">
        <w:tc>
          <w:tcPr>
            <w:tcW w:w="0" w:type="auto"/>
            <w:tcBorders>
              <w:top w:val="nil"/>
              <w:left w:val="nil"/>
            </w:tcBorders>
            <w:hideMark/>
          </w:tcPr>
          <w:p w14:paraId="1F7262E5" w14:textId="77777777" w:rsidR="00470E46" w:rsidRPr="00470E46" w:rsidRDefault="00470E46" w:rsidP="00470E46">
            <w:pPr>
              <w:pStyle w:val="Body"/>
              <w:rPr>
                <w:rFonts w:ascii="Arial" w:hAnsi="Arial" w:cs="Arial"/>
                <w:b/>
                <w:bCs/>
                <w:i/>
                <w:iCs/>
              </w:rPr>
            </w:pPr>
            <w:r w:rsidRPr="00470E46">
              <w:rPr>
                <w:rFonts w:ascii="Arial" w:hAnsi="Arial" w:cs="Arial"/>
                <w:b/>
                <w:bCs/>
                <w:i/>
                <w:iCs/>
              </w:rPr>
              <w:t>Clinical Feature</w:t>
            </w:r>
          </w:p>
        </w:tc>
        <w:tc>
          <w:tcPr>
            <w:tcW w:w="0" w:type="auto"/>
            <w:tcBorders>
              <w:top w:val="nil"/>
              <w:left w:val="nil"/>
              <w:right w:val="nil"/>
            </w:tcBorders>
            <w:hideMark/>
          </w:tcPr>
          <w:p w14:paraId="02489F45" w14:textId="77777777" w:rsidR="00470E46" w:rsidRPr="00470E46" w:rsidRDefault="00470E46" w:rsidP="00470E46">
            <w:pPr>
              <w:pStyle w:val="Body"/>
              <w:rPr>
                <w:rFonts w:ascii="Arial" w:hAnsi="Arial" w:cs="Arial"/>
                <w:b/>
                <w:bCs/>
                <w:i/>
                <w:iCs/>
              </w:rPr>
            </w:pPr>
            <w:r w:rsidRPr="00470E46">
              <w:rPr>
                <w:rFonts w:ascii="Arial" w:hAnsi="Arial" w:cs="Arial"/>
                <w:b/>
                <w:bCs/>
                <w:i/>
                <w:iCs/>
              </w:rPr>
              <w:t>Frequency (n)</w:t>
            </w:r>
          </w:p>
        </w:tc>
        <w:tc>
          <w:tcPr>
            <w:tcW w:w="0" w:type="auto"/>
            <w:tcBorders>
              <w:top w:val="nil"/>
              <w:left w:val="nil"/>
              <w:right w:val="nil"/>
            </w:tcBorders>
            <w:hideMark/>
          </w:tcPr>
          <w:p w14:paraId="3712D6C2" w14:textId="77777777" w:rsidR="00470E46" w:rsidRPr="00470E46" w:rsidRDefault="00470E46" w:rsidP="00470E46">
            <w:pPr>
              <w:pStyle w:val="Body"/>
              <w:rPr>
                <w:rFonts w:ascii="Arial" w:hAnsi="Arial" w:cs="Arial"/>
                <w:b/>
                <w:bCs/>
                <w:i/>
                <w:iCs/>
              </w:rPr>
            </w:pPr>
            <w:r w:rsidRPr="00470E46">
              <w:rPr>
                <w:rFonts w:ascii="Arial" w:hAnsi="Arial" w:cs="Arial"/>
                <w:b/>
                <w:bCs/>
                <w:i/>
                <w:iCs/>
              </w:rPr>
              <w:t>Percentage (%)</w:t>
            </w:r>
          </w:p>
        </w:tc>
      </w:tr>
      <w:tr w:rsidR="00470E46" w:rsidRPr="00470E46" w14:paraId="65D6BD6E" w14:textId="77777777" w:rsidTr="00136432">
        <w:tc>
          <w:tcPr>
            <w:tcW w:w="0" w:type="auto"/>
            <w:tcBorders>
              <w:top w:val="nil"/>
              <w:left w:val="nil"/>
              <w:bottom w:val="nil"/>
            </w:tcBorders>
            <w:hideMark/>
          </w:tcPr>
          <w:p w14:paraId="02E18592" w14:textId="77777777" w:rsidR="00470E46" w:rsidRPr="00470E46" w:rsidRDefault="00470E46" w:rsidP="00470E46">
            <w:pPr>
              <w:pStyle w:val="Body"/>
              <w:rPr>
                <w:rFonts w:ascii="Arial" w:hAnsi="Arial" w:cs="Arial"/>
                <w:i/>
                <w:iCs/>
              </w:rPr>
            </w:pPr>
            <w:r w:rsidRPr="00470E46">
              <w:rPr>
                <w:rFonts w:ascii="Arial" w:hAnsi="Arial" w:cs="Arial"/>
                <w:i/>
                <w:iCs/>
              </w:rPr>
              <w:t>Bone pain</w:t>
            </w:r>
          </w:p>
        </w:tc>
        <w:tc>
          <w:tcPr>
            <w:tcW w:w="0" w:type="auto"/>
            <w:hideMark/>
          </w:tcPr>
          <w:p w14:paraId="20CDD88E" w14:textId="77777777" w:rsidR="00470E46" w:rsidRPr="00470E46" w:rsidRDefault="00470E46" w:rsidP="00470E46">
            <w:pPr>
              <w:pStyle w:val="Body"/>
              <w:rPr>
                <w:rFonts w:ascii="Arial" w:hAnsi="Arial" w:cs="Arial"/>
              </w:rPr>
            </w:pPr>
            <w:r w:rsidRPr="00470E46">
              <w:rPr>
                <w:rFonts w:ascii="Arial" w:hAnsi="Arial" w:cs="Arial"/>
              </w:rPr>
              <w:t>30</w:t>
            </w:r>
          </w:p>
        </w:tc>
        <w:tc>
          <w:tcPr>
            <w:tcW w:w="0" w:type="auto"/>
            <w:hideMark/>
          </w:tcPr>
          <w:p w14:paraId="13F98101" w14:textId="77777777" w:rsidR="00470E46" w:rsidRPr="00470E46" w:rsidRDefault="00470E46" w:rsidP="00470E46">
            <w:pPr>
              <w:pStyle w:val="Body"/>
              <w:rPr>
                <w:rFonts w:ascii="Arial" w:hAnsi="Arial" w:cs="Arial"/>
              </w:rPr>
            </w:pPr>
            <w:r w:rsidRPr="00470E46">
              <w:rPr>
                <w:rFonts w:ascii="Arial" w:hAnsi="Arial" w:cs="Arial"/>
              </w:rPr>
              <w:t>44.8</w:t>
            </w:r>
          </w:p>
        </w:tc>
      </w:tr>
      <w:tr w:rsidR="00470E46" w:rsidRPr="00470E46" w14:paraId="5DDCFD91" w14:textId="77777777" w:rsidTr="00136432">
        <w:tc>
          <w:tcPr>
            <w:tcW w:w="0" w:type="auto"/>
            <w:tcBorders>
              <w:top w:val="nil"/>
              <w:left w:val="nil"/>
              <w:bottom w:val="nil"/>
            </w:tcBorders>
            <w:hideMark/>
          </w:tcPr>
          <w:p w14:paraId="7A2E1C65" w14:textId="77777777" w:rsidR="00470E46" w:rsidRPr="00470E46" w:rsidRDefault="00470E46" w:rsidP="00470E46">
            <w:pPr>
              <w:pStyle w:val="Body"/>
              <w:rPr>
                <w:rFonts w:ascii="Arial" w:hAnsi="Arial" w:cs="Arial"/>
                <w:i/>
                <w:iCs/>
              </w:rPr>
            </w:pPr>
            <w:r w:rsidRPr="00470E46">
              <w:rPr>
                <w:rFonts w:ascii="Arial" w:hAnsi="Arial" w:cs="Arial"/>
                <w:i/>
                <w:iCs/>
              </w:rPr>
              <w:t>Severe Anemia &lt;8g/dL</w:t>
            </w:r>
          </w:p>
        </w:tc>
        <w:tc>
          <w:tcPr>
            <w:tcW w:w="0" w:type="auto"/>
            <w:hideMark/>
          </w:tcPr>
          <w:p w14:paraId="56043D0F" w14:textId="77777777" w:rsidR="00470E46" w:rsidRPr="00470E46" w:rsidRDefault="00470E46" w:rsidP="00470E46">
            <w:pPr>
              <w:pStyle w:val="Body"/>
              <w:rPr>
                <w:rFonts w:ascii="Arial" w:hAnsi="Arial" w:cs="Arial"/>
              </w:rPr>
            </w:pPr>
            <w:r w:rsidRPr="00470E46">
              <w:rPr>
                <w:rFonts w:ascii="Arial" w:hAnsi="Arial" w:cs="Arial"/>
              </w:rPr>
              <w:t>23</w:t>
            </w:r>
          </w:p>
        </w:tc>
        <w:tc>
          <w:tcPr>
            <w:tcW w:w="0" w:type="auto"/>
            <w:hideMark/>
          </w:tcPr>
          <w:p w14:paraId="7BA757B7" w14:textId="77777777" w:rsidR="00470E46" w:rsidRPr="00470E46" w:rsidRDefault="00470E46" w:rsidP="00470E46">
            <w:pPr>
              <w:pStyle w:val="Body"/>
              <w:rPr>
                <w:rFonts w:ascii="Arial" w:hAnsi="Arial" w:cs="Arial"/>
              </w:rPr>
            </w:pPr>
            <w:r w:rsidRPr="00470E46">
              <w:rPr>
                <w:rFonts w:ascii="Arial" w:hAnsi="Arial" w:cs="Arial"/>
              </w:rPr>
              <w:t>34.3</w:t>
            </w:r>
          </w:p>
        </w:tc>
      </w:tr>
      <w:tr w:rsidR="00470E46" w:rsidRPr="00470E46" w14:paraId="666D81C1" w14:textId="77777777" w:rsidTr="00136432">
        <w:tc>
          <w:tcPr>
            <w:tcW w:w="0" w:type="auto"/>
            <w:tcBorders>
              <w:top w:val="nil"/>
              <w:left w:val="nil"/>
              <w:bottom w:val="nil"/>
            </w:tcBorders>
            <w:hideMark/>
          </w:tcPr>
          <w:p w14:paraId="01F887B6" w14:textId="77777777" w:rsidR="00470E46" w:rsidRPr="00470E46" w:rsidRDefault="00470E46" w:rsidP="00470E46">
            <w:pPr>
              <w:pStyle w:val="Body"/>
              <w:rPr>
                <w:rFonts w:ascii="Arial" w:hAnsi="Arial" w:cs="Arial"/>
                <w:i/>
                <w:iCs/>
              </w:rPr>
            </w:pPr>
            <w:r w:rsidRPr="00470E46">
              <w:rPr>
                <w:rFonts w:ascii="Arial" w:hAnsi="Arial" w:cs="Arial"/>
                <w:i/>
                <w:iCs/>
              </w:rPr>
              <w:t>Pathological fractures</w:t>
            </w:r>
          </w:p>
        </w:tc>
        <w:tc>
          <w:tcPr>
            <w:tcW w:w="0" w:type="auto"/>
            <w:hideMark/>
          </w:tcPr>
          <w:p w14:paraId="367AF10A" w14:textId="77777777" w:rsidR="00470E46" w:rsidRPr="00470E46" w:rsidRDefault="00470E46" w:rsidP="00470E46">
            <w:pPr>
              <w:pStyle w:val="Body"/>
              <w:rPr>
                <w:rFonts w:ascii="Arial" w:hAnsi="Arial" w:cs="Arial"/>
              </w:rPr>
            </w:pPr>
            <w:r w:rsidRPr="00470E46">
              <w:rPr>
                <w:rFonts w:ascii="Arial" w:hAnsi="Arial" w:cs="Arial"/>
              </w:rPr>
              <w:t>16</w:t>
            </w:r>
          </w:p>
        </w:tc>
        <w:tc>
          <w:tcPr>
            <w:tcW w:w="0" w:type="auto"/>
            <w:hideMark/>
          </w:tcPr>
          <w:p w14:paraId="257DCEA6" w14:textId="77777777" w:rsidR="00470E46" w:rsidRPr="00470E46" w:rsidRDefault="00470E46" w:rsidP="00470E46">
            <w:pPr>
              <w:pStyle w:val="Body"/>
              <w:rPr>
                <w:rFonts w:ascii="Arial" w:hAnsi="Arial" w:cs="Arial"/>
              </w:rPr>
            </w:pPr>
            <w:r w:rsidRPr="00470E46">
              <w:rPr>
                <w:rFonts w:ascii="Arial" w:hAnsi="Arial" w:cs="Arial"/>
              </w:rPr>
              <w:t>23.9</w:t>
            </w:r>
          </w:p>
        </w:tc>
      </w:tr>
      <w:tr w:rsidR="00470E46" w:rsidRPr="00470E46" w14:paraId="6B44590E" w14:textId="77777777" w:rsidTr="00136432">
        <w:tc>
          <w:tcPr>
            <w:tcW w:w="0" w:type="auto"/>
            <w:tcBorders>
              <w:top w:val="nil"/>
              <w:left w:val="nil"/>
              <w:bottom w:val="nil"/>
            </w:tcBorders>
            <w:hideMark/>
          </w:tcPr>
          <w:p w14:paraId="1217C5F2" w14:textId="77777777" w:rsidR="00470E46" w:rsidRPr="00470E46" w:rsidRDefault="00470E46" w:rsidP="00470E46">
            <w:pPr>
              <w:pStyle w:val="Body"/>
              <w:rPr>
                <w:rFonts w:ascii="Arial" w:hAnsi="Arial" w:cs="Arial"/>
                <w:i/>
                <w:iCs/>
              </w:rPr>
            </w:pPr>
            <w:r w:rsidRPr="00470E46">
              <w:rPr>
                <w:rFonts w:ascii="Arial" w:hAnsi="Arial" w:cs="Arial"/>
                <w:i/>
                <w:iCs/>
              </w:rPr>
              <w:t>Renal impairment (eGFR &lt;90 mL/min/1.73m²)</w:t>
            </w:r>
          </w:p>
        </w:tc>
        <w:tc>
          <w:tcPr>
            <w:tcW w:w="0" w:type="auto"/>
            <w:hideMark/>
          </w:tcPr>
          <w:p w14:paraId="35119FEB" w14:textId="77777777" w:rsidR="00470E46" w:rsidRPr="00470E46" w:rsidRDefault="00470E46" w:rsidP="00470E46">
            <w:pPr>
              <w:pStyle w:val="Body"/>
              <w:rPr>
                <w:rFonts w:ascii="Arial" w:hAnsi="Arial" w:cs="Arial"/>
              </w:rPr>
            </w:pPr>
            <w:r w:rsidRPr="00470E46">
              <w:rPr>
                <w:rFonts w:ascii="Arial" w:hAnsi="Arial" w:cs="Arial"/>
              </w:rPr>
              <w:t>34</w:t>
            </w:r>
          </w:p>
        </w:tc>
        <w:tc>
          <w:tcPr>
            <w:tcW w:w="0" w:type="auto"/>
            <w:hideMark/>
          </w:tcPr>
          <w:p w14:paraId="0030CD65" w14:textId="77777777" w:rsidR="00470E46" w:rsidRPr="00470E46" w:rsidRDefault="00470E46" w:rsidP="00470E46">
            <w:pPr>
              <w:pStyle w:val="Body"/>
              <w:rPr>
                <w:rFonts w:ascii="Arial" w:hAnsi="Arial" w:cs="Arial"/>
              </w:rPr>
            </w:pPr>
            <w:r w:rsidRPr="00470E46">
              <w:rPr>
                <w:rFonts w:ascii="Arial" w:hAnsi="Arial" w:cs="Arial"/>
              </w:rPr>
              <w:t>50.7</w:t>
            </w:r>
          </w:p>
        </w:tc>
      </w:tr>
      <w:tr w:rsidR="00470E46" w:rsidRPr="00470E46" w14:paraId="5191B584" w14:textId="77777777" w:rsidTr="00136432">
        <w:tc>
          <w:tcPr>
            <w:tcW w:w="0" w:type="auto"/>
            <w:tcBorders>
              <w:top w:val="nil"/>
              <w:left w:val="nil"/>
              <w:bottom w:val="nil"/>
            </w:tcBorders>
            <w:hideMark/>
          </w:tcPr>
          <w:p w14:paraId="38196539" w14:textId="77777777" w:rsidR="00470E46" w:rsidRPr="00470E46" w:rsidRDefault="00470E46" w:rsidP="00470E46">
            <w:pPr>
              <w:pStyle w:val="Body"/>
              <w:rPr>
                <w:rFonts w:ascii="Arial" w:hAnsi="Arial" w:cs="Arial"/>
                <w:i/>
                <w:iCs/>
              </w:rPr>
            </w:pPr>
            <w:r w:rsidRPr="00470E46">
              <w:rPr>
                <w:rFonts w:ascii="Arial" w:hAnsi="Arial" w:cs="Arial"/>
                <w:i/>
                <w:iCs/>
              </w:rPr>
              <w:t>Severe renal impairment (eGFR &lt;40 mL/min/1.73m²)</w:t>
            </w:r>
          </w:p>
        </w:tc>
        <w:tc>
          <w:tcPr>
            <w:tcW w:w="0" w:type="auto"/>
            <w:hideMark/>
          </w:tcPr>
          <w:p w14:paraId="414D1C97" w14:textId="77777777" w:rsidR="00470E46" w:rsidRPr="00470E46" w:rsidRDefault="00470E46" w:rsidP="00470E46">
            <w:pPr>
              <w:pStyle w:val="Body"/>
              <w:rPr>
                <w:rFonts w:ascii="Arial" w:hAnsi="Arial" w:cs="Arial"/>
              </w:rPr>
            </w:pPr>
            <w:r w:rsidRPr="00470E46">
              <w:rPr>
                <w:rFonts w:ascii="Arial" w:hAnsi="Arial" w:cs="Arial"/>
              </w:rPr>
              <w:t>12</w:t>
            </w:r>
          </w:p>
        </w:tc>
        <w:tc>
          <w:tcPr>
            <w:tcW w:w="0" w:type="auto"/>
            <w:hideMark/>
          </w:tcPr>
          <w:p w14:paraId="464EA160" w14:textId="77777777" w:rsidR="00470E46" w:rsidRPr="00470E46" w:rsidRDefault="00470E46" w:rsidP="00470E46">
            <w:pPr>
              <w:pStyle w:val="Body"/>
              <w:rPr>
                <w:rFonts w:ascii="Arial" w:hAnsi="Arial" w:cs="Arial"/>
              </w:rPr>
            </w:pPr>
            <w:r w:rsidRPr="00470E46">
              <w:rPr>
                <w:rFonts w:ascii="Arial" w:hAnsi="Arial" w:cs="Arial"/>
              </w:rPr>
              <w:t>17.9</w:t>
            </w:r>
          </w:p>
        </w:tc>
      </w:tr>
    </w:tbl>
    <w:p w14:paraId="344048D2" w14:textId="46583079" w:rsidR="00470E46" w:rsidRPr="00470E46" w:rsidRDefault="00470E46" w:rsidP="00470E46">
      <w:pPr>
        <w:pStyle w:val="Body"/>
        <w:rPr>
          <w:rFonts w:ascii="Arial" w:hAnsi="Arial" w:cs="Arial"/>
        </w:rPr>
      </w:pPr>
      <w:r w:rsidRPr="00470E46">
        <w:rPr>
          <w:rFonts w:ascii="Arial" w:hAnsi="Arial" w:cs="Arial"/>
        </w:rPr>
        <w:t>eGFR- estimated glomerular filtration rate</w:t>
      </w:r>
    </w:p>
    <w:p w14:paraId="40AAA4AA" w14:textId="746264B9" w:rsidR="00470E46" w:rsidRPr="00470E46" w:rsidRDefault="00470E46" w:rsidP="00470E46">
      <w:pPr>
        <w:pStyle w:val="Body"/>
        <w:rPr>
          <w:rFonts w:ascii="Arial" w:hAnsi="Arial" w:cs="Arial"/>
        </w:rPr>
      </w:pPr>
      <w:r w:rsidRPr="00470E46">
        <w:rPr>
          <w:rFonts w:ascii="Arial" w:hAnsi="Arial" w:cs="Arial"/>
        </w:rPr>
        <w:t xml:space="preserve">Serum protein electrophoresis (SPE) was performed in 46 patients (68.7%), of whom 37 (80.4%) demonstrated a detectable monoclonal protein (M-protein), while 9 (19.6%) had no identifiable M-protein. The median M-protein concentration was 28 g/L. Patients with higher M-protein levels (&gt;30 g/L) had significantly elevated total protein levels (123.8 g/L vs 75.2 g/L vs </w:t>
      </w:r>
      <w:r w:rsidRPr="00470E46">
        <w:rPr>
          <w:rFonts w:ascii="Arial" w:hAnsi="Arial" w:cs="Arial"/>
        </w:rPr>
        <w:lastRenderedPageBreak/>
        <w:t>68.6 g/L; p &lt; 0.001) and significantly lower serum albumin levels (26.1 g/L vs 33.5 g/L vs 38.9 g/L; p &lt; 0.001). Although haemoglobin levels were lower in patients with higher M-protein burden (7.9 g/dL vs 8.9 g/dL vs 10.8 g/dL), this difference did not reach statistical significance (p = 0.07).</w:t>
      </w:r>
    </w:p>
    <w:p w14:paraId="6D7BD277" w14:textId="77777777" w:rsidR="00470E46" w:rsidRPr="00470E46" w:rsidRDefault="00470E46" w:rsidP="00470E46">
      <w:pPr>
        <w:pStyle w:val="Body"/>
        <w:rPr>
          <w:rFonts w:ascii="Arial" w:hAnsi="Arial" w:cs="Arial"/>
        </w:rPr>
      </w:pPr>
      <w:r w:rsidRPr="00470E46">
        <w:rPr>
          <w:rFonts w:ascii="Arial" w:hAnsi="Arial" w:cs="Arial"/>
        </w:rPr>
        <w:t>Serum free light chain (sFLC) assays were performed in 45 patients (67.2%), of whom 43 (95.6%) demonstrated abnormal light chain levels. Kappa light chain involvement was more common (68.9%), while lambda involvement was observed in 40% of cases. The median kappa and lambda concentrations were 944 mg/L and 514.8 mg/L respectively, with a median kappa-lambda ratio of 14.1, reflecting marked monoclonality. Of the 9 patients without detectable M-protein on SPE, 8 (88.9%) had abnormal sFLC assays.</w:t>
      </w:r>
    </w:p>
    <w:p w14:paraId="42460EB9" w14:textId="77777777" w:rsidR="00470E46" w:rsidRPr="00470E46" w:rsidRDefault="00470E46" w:rsidP="00470E46">
      <w:pPr>
        <w:pStyle w:val="Body"/>
        <w:rPr>
          <w:rFonts w:ascii="Arial" w:hAnsi="Arial" w:cs="Arial"/>
        </w:rPr>
      </w:pPr>
    </w:p>
    <w:p w14:paraId="14AFB3D7" w14:textId="77777777" w:rsidR="00470E46" w:rsidRPr="00470E46" w:rsidRDefault="00470E46" w:rsidP="00470E46">
      <w:pPr>
        <w:pStyle w:val="Body"/>
        <w:rPr>
          <w:rFonts w:ascii="Arial" w:hAnsi="Arial" w:cs="Arial"/>
        </w:rPr>
      </w:pPr>
    </w:p>
    <w:p w14:paraId="3392F069" w14:textId="77777777" w:rsidR="00470E46" w:rsidRPr="00470E46" w:rsidRDefault="00470E46" w:rsidP="00470E46">
      <w:pPr>
        <w:pStyle w:val="Body"/>
        <w:rPr>
          <w:rFonts w:ascii="Arial" w:hAnsi="Arial" w:cs="Arial"/>
        </w:rPr>
      </w:pPr>
      <w:r w:rsidRPr="00470E46">
        <w:rPr>
          <w:rFonts w:ascii="Arial" w:hAnsi="Arial" w:cs="Arial"/>
          <w:noProof/>
        </w:rPr>
        <w:drawing>
          <wp:inline distT="0" distB="0" distL="0" distR="0" wp14:anchorId="2ED98818" wp14:editId="73275AD1">
            <wp:extent cx="4781550" cy="33432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t="6796"/>
                    <a:stretch>
                      <a:fillRect/>
                    </a:stretch>
                  </pic:blipFill>
                  <pic:spPr bwMode="auto">
                    <a:xfrm>
                      <a:off x="0" y="0"/>
                      <a:ext cx="4781550" cy="3343275"/>
                    </a:xfrm>
                    <a:prstGeom prst="rect">
                      <a:avLst/>
                    </a:prstGeom>
                    <a:noFill/>
                    <a:ln>
                      <a:noFill/>
                    </a:ln>
                  </pic:spPr>
                </pic:pic>
              </a:graphicData>
            </a:graphic>
          </wp:inline>
        </w:drawing>
      </w:r>
    </w:p>
    <w:p w14:paraId="397E0609" w14:textId="1753ADCA" w:rsidR="00470E46" w:rsidRPr="00470E46" w:rsidRDefault="00470E46" w:rsidP="00C1259E">
      <w:pPr>
        <w:pStyle w:val="Body"/>
        <w:spacing w:after="0"/>
        <w:rPr>
          <w:rFonts w:ascii="Arial" w:hAnsi="Arial" w:cs="Arial"/>
          <w:i/>
          <w:iCs/>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1</w:t>
      </w:r>
      <w:r w:rsidRPr="00470E46">
        <w:rPr>
          <w:rFonts w:ascii="Arial" w:hAnsi="Arial" w:cs="Arial"/>
        </w:rPr>
        <w:fldChar w:fldCharType="end"/>
      </w:r>
      <w:r w:rsidRPr="00470E46">
        <w:rPr>
          <w:rFonts w:ascii="Arial" w:hAnsi="Arial" w:cs="Arial"/>
          <w:i/>
          <w:iCs/>
        </w:rPr>
        <w:t>: Diagnostic yield of serum protein electrophoresis vs serum free light chains</w:t>
      </w:r>
    </w:p>
    <w:p w14:paraId="2FCDE7A5" w14:textId="4E2A0559" w:rsidR="00470E46" w:rsidRPr="00470E46" w:rsidRDefault="00470E46" w:rsidP="00470E46">
      <w:pPr>
        <w:pStyle w:val="Body"/>
        <w:rPr>
          <w:rFonts w:ascii="Arial" w:hAnsi="Arial" w:cs="Arial"/>
        </w:rPr>
      </w:pPr>
      <w:r w:rsidRPr="00470E46">
        <w:rPr>
          <w:rFonts w:ascii="Arial" w:hAnsi="Arial" w:cs="Arial"/>
        </w:rPr>
        <w:t xml:space="preserve">Patients with lambda chain involvement had significantly lower haemoglobin levels compared to those with kappa involvement (7.4 g/dL vs 8.7 g/dL; p = 0.05). Although not statistically significant, lambda-chain myeloma also demonstrated higher mean serum creatinine (181.9 µmol/L vs 123.5 µmol/L; p = 0.13) and lower eGFR (63.8 vs 71.9 mL/min/1.73 m²; p = 0.49). </w:t>
      </w:r>
    </w:p>
    <w:p w14:paraId="149377DD" w14:textId="5BE66B6A" w:rsidR="00470E46" w:rsidRPr="00470E46" w:rsidRDefault="00470E46" w:rsidP="00470E46">
      <w:pPr>
        <w:pStyle w:val="Body"/>
        <w:rPr>
          <w:rFonts w:ascii="Arial" w:hAnsi="Arial" w:cs="Arial"/>
        </w:rPr>
      </w:pPr>
      <w:r w:rsidRPr="00470E46">
        <w:rPr>
          <w:rFonts w:ascii="Arial" w:hAnsi="Arial" w:cs="Arial"/>
        </w:rPr>
        <w:t>Renal impairment (RI) was also observed even in patients without detectable M-protein, which occurred as eGFR &lt;90 in n=34 (50.7%) and eGFR &lt;40 in n=12 (17.9%) cases. There was a strong negative correlation exist</w:t>
      </w:r>
      <w:r w:rsidR="007B5AE0">
        <w:rPr>
          <w:rFonts w:ascii="Arial" w:hAnsi="Arial" w:cs="Arial"/>
        </w:rPr>
        <w:t>ing</w:t>
      </w:r>
      <w:r w:rsidRPr="00470E46">
        <w:rPr>
          <w:rFonts w:ascii="Arial" w:hAnsi="Arial" w:cs="Arial"/>
        </w:rPr>
        <w:t xml:space="preserve"> between iFLC levels and renal function (r = −0.68, p &lt; 0.001). Table 2 shows the comparison of involved light chains with regards to creatinine, eGFR and renal impairment.</w:t>
      </w:r>
    </w:p>
    <w:p w14:paraId="786A0411" w14:textId="77777777" w:rsidR="00470E46" w:rsidRPr="00470E46" w:rsidRDefault="00470E46" w:rsidP="00470E46">
      <w:pPr>
        <w:pStyle w:val="Body"/>
        <w:spacing w:after="0"/>
        <w:rPr>
          <w:rFonts w:ascii="Arial" w:hAnsi="Arial" w:cs="Arial"/>
          <w:i/>
          <w:iCs/>
        </w:rPr>
      </w:pPr>
      <w:r w:rsidRPr="00470E46">
        <w:rPr>
          <w:rFonts w:ascii="Arial" w:hAnsi="Arial" w:cs="Arial"/>
          <w:i/>
          <w:iCs/>
        </w:rPr>
        <w:t xml:space="preserve">Table </w:t>
      </w:r>
      <w:r w:rsidRPr="00470E46">
        <w:rPr>
          <w:rFonts w:ascii="Arial" w:hAnsi="Arial" w:cs="Arial"/>
          <w:i/>
          <w:iCs/>
        </w:rPr>
        <w:fldChar w:fldCharType="begin"/>
      </w:r>
      <w:r w:rsidRPr="00470E46">
        <w:rPr>
          <w:rFonts w:ascii="Arial" w:hAnsi="Arial" w:cs="Arial"/>
          <w:i/>
          <w:iCs/>
        </w:rPr>
        <w:instrText xml:space="preserve"> SEQ Table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and Light Chain Isotype</w:t>
      </w:r>
    </w:p>
    <w:tbl>
      <w:tblPr>
        <w:tblW w:w="0" w:type="auto"/>
        <w:jc w:val="center"/>
        <w:tblLook w:val="04A0" w:firstRow="1" w:lastRow="0" w:firstColumn="1" w:lastColumn="0" w:noHBand="0" w:noVBand="1"/>
      </w:tblPr>
      <w:tblGrid>
        <w:gridCol w:w="2633"/>
        <w:gridCol w:w="1478"/>
        <w:gridCol w:w="1633"/>
        <w:gridCol w:w="917"/>
      </w:tblGrid>
      <w:tr w:rsidR="00470E46" w:rsidRPr="00470E46" w14:paraId="20B548CB" w14:textId="77777777" w:rsidTr="00136432">
        <w:trPr>
          <w:jc w:val="center"/>
        </w:trPr>
        <w:tc>
          <w:tcPr>
            <w:tcW w:w="0" w:type="auto"/>
            <w:tcBorders>
              <w:top w:val="nil"/>
              <w:left w:val="nil"/>
            </w:tcBorders>
            <w:hideMark/>
          </w:tcPr>
          <w:p w14:paraId="162AF584" w14:textId="77777777" w:rsidR="00470E46" w:rsidRPr="00470E46" w:rsidRDefault="00470E46" w:rsidP="00470E46">
            <w:pPr>
              <w:pStyle w:val="Body"/>
              <w:rPr>
                <w:rFonts w:ascii="Arial" w:hAnsi="Arial" w:cs="Arial"/>
                <w:b/>
                <w:bCs/>
                <w:i/>
                <w:iCs/>
              </w:rPr>
            </w:pPr>
            <w:r w:rsidRPr="00470E46">
              <w:rPr>
                <w:rFonts w:ascii="Arial" w:hAnsi="Arial" w:cs="Arial"/>
                <w:b/>
                <w:bCs/>
                <w:i/>
                <w:iCs/>
              </w:rPr>
              <w:t>Parameter</w:t>
            </w:r>
          </w:p>
        </w:tc>
        <w:tc>
          <w:tcPr>
            <w:tcW w:w="0" w:type="auto"/>
            <w:tcBorders>
              <w:top w:val="nil"/>
              <w:left w:val="nil"/>
              <w:right w:val="nil"/>
            </w:tcBorders>
            <w:hideMark/>
          </w:tcPr>
          <w:p w14:paraId="09198DD1" w14:textId="77777777" w:rsidR="00470E46" w:rsidRPr="00470E46" w:rsidRDefault="00470E46" w:rsidP="00470E46">
            <w:pPr>
              <w:pStyle w:val="Body"/>
              <w:rPr>
                <w:rFonts w:ascii="Arial" w:hAnsi="Arial" w:cs="Arial"/>
                <w:b/>
                <w:bCs/>
                <w:i/>
                <w:iCs/>
              </w:rPr>
            </w:pPr>
            <w:r w:rsidRPr="00470E46">
              <w:rPr>
                <w:rFonts w:ascii="Arial" w:hAnsi="Arial" w:cs="Arial"/>
                <w:b/>
                <w:bCs/>
                <w:i/>
                <w:iCs/>
              </w:rPr>
              <w:t>Kappa (n=42)</w:t>
            </w:r>
          </w:p>
        </w:tc>
        <w:tc>
          <w:tcPr>
            <w:tcW w:w="0" w:type="auto"/>
            <w:tcBorders>
              <w:top w:val="nil"/>
              <w:left w:val="nil"/>
              <w:right w:val="nil"/>
            </w:tcBorders>
            <w:hideMark/>
          </w:tcPr>
          <w:p w14:paraId="34623BA1" w14:textId="77777777" w:rsidR="00470E46" w:rsidRPr="00470E46" w:rsidRDefault="00470E46" w:rsidP="00470E46">
            <w:pPr>
              <w:pStyle w:val="Body"/>
              <w:rPr>
                <w:rFonts w:ascii="Arial" w:hAnsi="Arial" w:cs="Arial"/>
                <w:b/>
                <w:bCs/>
                <w:i/>
                <w:iCs/>
              </w:rPr>
            </w:pPr>
            <w:r w:rsidRPr="00470E46">
              <w:rPr>
                <w:rFonts w:ascii="Arial" w:hAnsi="Arial" w:cs="Arial"/>
                <w:b/>
                <w:bCs/>
                <w:i/>
                <w:iCs/>
              </w:rPr>
              <w:t>Lambda (n=25)</w:t>
            </w:r>
          </w:p>
        </w:tc>
        <w:tc>
          <w:tcPr>
            <w:tcW w:w="0" w:type="auto"/>
            <w:tcBorders>
              <w:top w:val="nil"/>
              <w:left w:val="nil"/>
              <w:right w:val="nil"/>
            </w:tcBorders>
            <w:hideMark/>
          </w:tcPr>
          <w:p w14:paraId="37966BE0" w14:textId="77777777" w:rsidR="00470E46" w:rsidRPr="00470E46" w:rsidRDefault="00470E46" w:rsidP="00470E46">
            <w:pPr>
              <w:pStyle w:val="Body"/>
              <w:rPr>
                <w:rFonts w:ascii="Arial" w:hAnsi="Arial" w:cs="Arial"/>
                <w:b/>
                <w:bCs/>
                <w:i/>
                <w:iCs/>
              </w:rPr>
            </w:pPr>
            <w:r w:rsidRPr="00470E46">
              <w:rPr>
                <w:rFonts w:ascii="Arial" w:hAnsi="Arial" w:cs="Arial"/>
                <w:b/>
                <w:bCs/>
                <w:i/>
                <w:iCs/>
              </w:rPr>
              <w:t>p-value</w:t>
            </w:r>
          </w:p>
        </w:tc>
      </w:tr>
      <w:tr w:rsidR="00470E46" w:rsidRPr="00470E46" w14:paraId="507D16B3" w14:textId="77777777" w:rsidTr="00136432">
        <w:trPr>
          <w:jc w:val="center"/>
        </w:trPr>
        <w:tc>
          <w:tcPr>
            <w:tcW w:w="0" w:type="auto"/>
            <w:tcBorders>
              <w:top w:val="nil"/>
              <w:left w:val="nil"/>
              <w:bottom w:val="nil"/>
            </w:tcBorders>
            <w:hideMark/>
          </w:tcPr>
          <w:p w14:paraId="65B6541C" w14:textId="77777777" w:rsidR="00470E46" w:rsidRPr="00470E46" w:rsidRDefault="00470E46" w:rsidP="00470E46">
            <w:pPr>
              <w:pStyle w:val="Body"/>
              <w:rPr>
                <w:rFonts w:ascii="Arial" w:hAnsi="Arial" w:cs="Arial"/>
                <w:i/>
                <w:iCs/>
              </w:rPr>
            </w:pPr>
            <w:r w:rsidRPr="00470E46">
              <w:rPr>
                <w:rFonts w:ascii="Arial" w:hAnsi="Arial" w:cs="Arial"/>
                <w:i/>
                <w:iCs/>
              </w:rPr>
              <w:t>Median iFLC (mg/L)</w:t>
            </w:r>
          </w:p>
        </w:tc>
        <w:tc>
          <w:tcPr>
            <w:tcW w:w="0" w:type="auto"/>
            <w:hideMark/>
          </w:tcPr>
          <w:p w14:paraId="1EC59123" w14:textId="77777777" w:rsidR="00470E46" w:rsidRPr="00470E46" w:rsidRDefault="00470E46" w:rsidP="00470E46">
            <w:pPr>
              <w:pStyle w:val="Body"/>
              <w:rPr>
                <w:rFonts w:ascii="Arial" w:hAnsi="Arial" w:cs="Arial"/>
              </w:rPr>
            </w:pPr>
            <w:r w:rsidRPr="00470E46">
              <w:rPr>
                <w:rFonts w:ascii="Arial" w:hAnsi="Arial" w:cs="Arial"/>
              </w:rPr>
              <w:t>218</w:t>
            </w:r>
          </w:p>
        </w:tc>
        <w:tc>
          <w:tcPr>
            <w:tcW w:w="0" w:type="auto"/>
            <w:hideMark/>
          </w:tcPr>
          <w:p w14:paraId="1C5DB2D3" w14:textId="77777777" w:rsidR="00470E46" w:rsidRPr="00470E46" w:rsidRDefault="00470E46" w:rsidP="00470E46">
            <w:pPr>
              <w:pStyle w:val="Body"/>
              <w:rPr>
                <w:rFonts w:ascii="Arial" w:hAnsi="Arial" w:cs="Arial"/>
              </w:rPr>
            </w:pPr>
            <w:r w:rsidRPr="00470E46">
              <w:rPr>
                <w:rFonts w:ascii="Arial" w:hAnsi="Arial" w:cs="Arial"/>
              </w:rPr>
              <w:t>288</w:t>
            </w:r>
          </w:p>
        </w:tc>
        <w:tc>
          <w:tcPr>
            <w:tcW w:w="0" w:type="auto"/>
            <w:hideMark/>
          </w:tcPr>
          <w:p w14:paraId="51A20A97" w14:textId="77777777" w:rsidR="00470E46" w:rsidRPr="00470E46" w:rsidRDefault="00470E46" w:rsidP="00470E46">
            <w:pPr>
              <w:pStyle w:val="Body"/>
              <w:rPr>
                <w:rFonts w:ascii="Arial" w:hAnsi="Arial" w:cs="Arial"/>
              </w:rPr>
            </w:pPr>
            <w:r w:rsidRPr="00470E46">
              <w:rPr>
                <w:rFonts w:ascii="Arial" w:hAnsi="Arial" w:cs="Arial"/>
              </w:rPr>
              <w:t>0.041</w:t>
            </w:r>
          </w:p>
        </w:tc>
      </w:tr>
      <w:tr w:rsidR="00470E46" w:rsidRPr="00470E46" w14:paraId="55495547" w14:textId="77777777" w:rsidTr="00136432">
        <w:trPr>
          <w:jc w:val="center"/>
        </w:trPr>
        <w:tc>
          <w:tcPr>
            <w:tcW w:w="0" w:type="auto"/>
            <w:tcBorders>
              <w:top w:val="nil"/>
              <w:left w:val="nil"/>
              <w:bottom w:val="nil"/>
            </w:tcBorders>
            <w:hideMark/>
          </w:tcPr>
          <w:p w14:paraId="69DCB4AE" w14:textId="77777777" w:rsidR="00470E46" w:rsidRPr="00470E46" w:rsidRDefault="00470E46" w:rsidP="00470E46">
            <w:pPr>
              <w:pStyle w:val="Body"/>
              <w:rPr>
                <w:rFonts w:ascii="Arial" w:hAnsi="Arial" w:cs="Arial"/>
                <w:i/>
                <w:iCs/>
              </w:rPr>
            </w:pPr>
            <w:r w:rsidRPr="00470E46">
              <w:rPr>
                <w:rFonts w:ascii="Arial" w:hAnsi="Arial" w:cs="Arial"/>
                <w:i/>
                <w:iCs/>
              </w:rPr>
              <w:t>Median Creatinine (µmol/L)</w:t>
            </w:r>
          </w:p>
        </w:tc>
        <w:tc>
          <w:tcPr>
            <w:tcW w:w="0" w:type="auto"/>
            <w:hideMark/>
          </w:tcPr>
          <w:p w14:paraId="530C6761" w14:textId="77777777" w:rsidR="00470E46" w:rsidRPr="00470E46" w:rsidRDefault="00470E46" w:rsidP="00470E46">
            <w:pPr>
              <w:pStyle w:val="Body"/>
              <w:rPr>
                <w:rFonts w:ascii="Arial" w:hAnsi="Arial" w:cs="Arial"/>
              </w:rPr>
            </w:pPr>
            <w:r w:rsidRPr="00470E46">
              <w:rPr>
                <w:rFonts w:ascii="Arial" w:hAnsi="Arial" w:cs="Arial"/>
              </w:rPr>
              <w:t>81</w:t>
            </w:r>
          </w:p>
        </w:tc>
        <w:tc>
          <w:tcPr>
            <w:tcW w:w="0" w:type="auto"/>
            <w:hideMark/>
          </w:tcPr>
          <w:p w14:paraId="1DE6CADC" w14:textId="77777777" w:rsidR="00470E46" w:rsidRPr="00470E46" w:rsidRDefault="00470E46" w:rsidP="00470E46">
            <w:pPr>
              <w:pStyle w:val="Body"/>
              <w:rPr>
                <w:rFonts w:ascii="Arial" w:hAnsi="Arial" w:cs="Arial"/>
              </w:rPr>
            </w:pPr>
            <w:r w:rsidRPr="00470E46">
              <w:rPr>
                <w:rFonts w:ascii="Arial" w:hAnsi="Arial" w:cs="Arial"/>
              </w:rPr>
              <w:t>102.5</w:t>
            </w:r>
          </w:p>
        </w:tc>
        <w:tc>
          <w:tcPr>
            <w:tcW w:w="0" w:type="auto"/>
            <w:hideMark/>
          </w:tcPr>
          <w:p w14:paraId="3A010C80" w14:textId="77777777" w:rsidR="00470E46" w:rsidRPr="00470E46" w:rsidRDefault="00470E46" w:rsidP="00470E46">
            <w:pPr>
              <w:pStyle w:val="Body"/>
              <w:rPr>
                <w:rFonts w:ascii="Arial" w:hAnsi="Arial" w:cs="Arial"/>
              </w:rPr>
            </w:pPr>
            <w:r w:rsidRPr="00470E46">
              <w:rPr>
                <w:rFonts w:ascii="Arial" w:hAnsi="Arial" w:cs="Arial"/>
              </w:rPr>
              <w:t>0.038</w:t>
            </w:r>
          </w:p>
        </w:tc>
      </w:tr>
      <w:tr w:rsidR="00470E46" w:rsidRPr="00470E46" w14:paraId="29D8153A" w14:textId="77777777" w:rsidTr="00136432">
        <w:trPr>
          <w:jc w:val="center"/>
        </w:trPr>
        <w:tc>
          <w:tcPr>
            <w:tcW w:w="0" w:type="auto"/>
            <w:tcBorders>
              <w:top w:val="nil"/>
              <w:left w:val="nil"/>
              <w:bottom w:val="nil"/>
            </w:tcBorders>
            <w:hideMark/>
          </w:tcPr>
          <w:p w14:paraId="79596945" w14:textId="77777777" w:rsidR="00470E46" w:rsidRPr="00470E46" w:rsidRDefault="00470E46" w:rsidP="00470E46">
            <w:pPr>
              <w:pStyle w:val="Body"/>
              <w:rPr>
                <w:rFonts w:ascii="Arial" w:hAnsi="Arial" w:cs="Arial"/>
                <w:i/>
                <w:iCs/>
              </w:rPr>
            </w:pPr>
            <w:r w:rsidRPr="00470E46">
              <w:rPr>
                <w:rFonts w:ascii="Arial" w:hAnsi="Arial" w:cs="Arial"/>
                <w:i/>
                <w:iCs/>
              </w:rPr>
              <w:t>Mean eGFR (mL/min)</w:t>
            </w:r>
          </w:p>
        </w:tc>
        <w:tc>
          <w:tcPr>
            <w:tcW w:w="0" w:type="auto"/>
            <w:hideMark/>
          </w:tcPr>
          <w:p w14:paraId="76286C28" w14:textId="77777777" w:rsidR="00470E46" w:rsidRPr="00470E46" w:rsidRDefault="00470E46" w:rsidP="00470E46">
            <w:pPr>
              <w:pStyle w:val="Body"/>
              <w:rPr>
                <w:rFonts w:ascii="Arial" w:hAnsi="Arial" w:cs="Arial"/>
              </w:rPr>
            </w:pPr>
            <w:r w:rsidRPr="00470E46">
              <w:rPr>
                <w:rFonts w:ascii="Arial" w:hAnsi="Arial" w:cs="Arial"/>
              </w:rPr>
              <w:t>88.4</w:t>
            </w:r>
          </w:p>
        </w:tc>
        <w:tc>
          <w:tcPr>
            <w:tcW w:w="0" w:type="auto"/>
            <w:hideMark/>
          </w:tcPr>
          <w:p w14:paraId="07CA308C" w14:textId="77777777" w:rsidR="00470E46" w:rsidRPr="00470E46" w:rsidRDefault="00470E46" w:rsidP="00470E46">
            <w:pPr>
              <w:pStyle w:val="Body"/>
              <w:rPr>
                <w:rFonts w:ascii="Arial" w:hAnsi="Arial" w:cs="Arial"/>
              </w:rPr>
            </w:pPr>
            <w:r w:rsidRPr="00470E46">
              <w:rPr>
                <w:rFonts w:ascii="Arial" w:hAnsi="Arial" w:cs="Arial"/>
              </w:rPr>
              <w:t>63.2</w:t>
            </w:r>
          </w:p>
        </w:tc>
        <w:tc>
          <w:tcPr>
            <w:tcW w:w="0" w:type="auto"/>
            <w:hideMark/>
          </w:tcPr>
          <w:p w14:paraId="72B521A1" w14:textId="77777777" w:rsidR="00470E46" w:rsidRPr="00470E46" w:rsidRDefault="00470E46" w:rsidP="00470E46">
            <w:pPr>
              <w:pStyle w:val="Body"/>
              <w:rPr>
                <w:rFonts w:ascii="Arial" w:hAnsi="Arial" w:cs="Arial"/>
              </w:rPr>
            </w:pPr>
            <w:r w:rsidRPr="00470E46">
              <w:rPr>
                <w:rFonts w:ascii="Arial" w:hAnsi="Arial" w:cs="Arial"/>
              </w:rPr>
              <w:t>0.027</w:t>
            </w:r>
          </w:p>
        </w:tc>
      </w:tr>
      <w:tr w:rsidR="00470E46" w:rsidRPr="00470E46" w14:paraId="07A9942F" w14:textId="77777777" w:rsidTr="00136432">
        <w:trPr>
          <w:jc w:val="center"/>
        </w:trPr>
        <w:tc>
          <w:tcPr>
            <w:tcW w:w="0" w:type="auto"/>
            <w:tcBorders>
              <w:top w:val="nil"/>
              <w:left w:val="nil"/>
              <w:bottom w:val="nil"/>
            </w:tcBorders>
            <w:hideMark/>
          </w:tcPr>
          <w:p w14:paraId="61B30FBC" w14:textId="77777777" w:rsidR="00470E46" w:rsidRPr="00470E46" w:rsidRDefault="00470E46" w:rsidP="00470E46">
            <w:pPr>
              <w:pStyle w:val="Body"/>
              <w:rPr>
                <w:rFonts w:ascii="Arial" w:hAnsi="Arial" w:cs="Arial"/>
                <w:i/>
                <w:iCs/>
              </w:rPr>
            </w:pPr>
            <w:r w:rsidRPr="00470E46">
              <w:rPr>
                <w:rFonts w:ascii="Arial" w:hAnsi="Arial" w:cs="Arial"/>
                <w:i/>
                <w:iCs/>
              </w:rPr>
              <w:t>Severe RI (&lt;40)</w:t>
            </w:r>
          </w:p>
        </w:tc>
        <w:tc>
          <w:tcPr>
            <w:tcW w:w="0" w:type="auto"/>
            <w:hideMark/>
          </w:tcPr>
          <w:p w14:paraId="2D6F8BF2" w14:textId="77777777" w:rsidR="00470E46" w:rsidRPr="00470E46" w:rsidRDefault="00470E46" w:rsidP="00470E46">
            <w:pPr>
              <w:pStyle w:val="Body"/>
              <w:rPr>
                <w:rFonts w:ascii="Arial" w:hAnsi="Arial" w:cs="Arial"/>
              </w:rPr>
            </w:pPr>
            <w:r w:rsidRPr="00470E46">
              <w:rPr>
                <w:rFonts w:ascii="Arial" w:hAnsi="Arial" w:cs="Arial"/>
              </w:rPr>
              <w:t>11.9%</w:t>
            </w:r>
          </w:p>
        </w:tc>
        <w:tc>
          <w:tcPr>
            <w:tcW w:w="0" w:type="auto"/>
            <w:hideMark/>
          </w:tcPr>
          <w:p w14:paraId="2B5884ED" w14:textId="77777777" w:rsidR="00470E46" w:rsidRPr="00470E46" w:rsidRDefault="00470E46" w:rsidP="00470E46">
            <w:pPr>
              <w:pStyle w:val="Body"/>
              <w:rPr>
                <w:rFonts w:ascii="Arial" w:hAnsi="Arial" w:cs="Arial"/>
              </w:rPr>
            </w:pPr>
            <w:r w:rsidRPr="00470E46">
              <w:rPr>
                <w:rFonts w:ascii="Arial" w:hAnsi="Arial" w:cs="Arial"/>
              </w:rPr>
              <w:t>28.0%</w:t>
            </w:r>
          </w:p>
        </w:tc>
        <w:tc>
          <w:tcPr>
            <w:tcW w:w="0" w:type="auto"/>
            <w:hideMark/>
          </w:tcPr>
          <w:p w14:paraId="7DF052E8" w14:textId="77777777" w:rsidR="00470E46" w:rsidRPr="00470E46" w:rsidRDefault="00470E46" w:rsidP="00470E46">
            <w:pPr>
              <w:pStyle w:val="Body"/>
              <w:rPr>
                <w:rFonts w:ascii="Arial" w:hAnsi="Arial" w:cs="Arial"/>
              </w:rPr>
            </w:pPr>
            <w:r w:rsidRPr="00470E46">
              <w:rPr>
                <w:rFonts w:ascii="Arial" w:hAnsi="Arial" w:cs="Arial"/>
              </w:rPr>
              <w:t>0.019</w:t>
            </w:r>
          </w:p>
        </w:tc>
      </w:tr>
    </w:tbl>
    <w:p w14:paraId="0FA672F8" w14:textId="77777777" w:rsidR="00470E46" w:rsidRPr="00470E46" w:rsidRDefault="00470E46" w:rsidP="00470E46">
      <w:pPr>
        <w:pStyle w:val="Body"/>
        <w:rPr>
          <w:rFonts w:ascii="Arial" w:hAnsi="Arial" w:cs="Arial"/>
        </w:rPr>
      </w:pPr>
      <w:r w:rsidRPr="00470E46">
        <w:rPr>
          <w:rFonts w:ascii="Arial" w:hAnsi="Arial" w:cs="Arial"/>
        </w:rPr>
        <w:lastRenderedPageBreak/>
        <w:t>iFLC- involved free light chain, eGFR- estimated glomerular filtration rate, RI- renal impairment</w:t>
      </w:r>
    </w:p>
    <w:p w14:paraId="7F9547CA" w14:textId="77777777" w:rsidR="00470E46" w:rsidRPr="00470E46" w:rsidRDefault="00470E46" w:rsidP="00470E46">
      <w:pPr>
        <w:pStyle w:val="Body"/>
        <w:rPr>
          <w:rFonts w:ascii="Arial" w:hAnsi="Arial" w:cs="Arial"/>
        </w:rPr>
      </w:pPr>
    </w:p>
    <w:p w14:paraId="1CF01D53" w14:textId="77777777" w:rsidR="00470E46" w:rsidRPr="00470E46" w:rsidRDefault="00470E46" w:rsidP="00470E46">
      <w:pPr>
        <w:pStyle w:val="Body"/>
        <w:rPr>
          <w:rFonts w:ascii="Arial" w:hAnsi="Arial" w:cs="Arial"/>
        </w:rPr>
      </w:pPr>
    </w:p>
    <w:p w14:paraId="42A1C641" w14:textId="77777777" w:rsidR="00470E46" w:rsidRPr="00470E46" w:rsidRDefault="00470E46" w:rsidP="00470E46">
      <w:pPr>
        <w:pStyle w:val="Body"/>
        <w:spacing w:after="0"/>
        <w:rPr>
          <w:rFonts w:ascii="Arial" w:hAnsi="Arial" w:cs="Arial"/>
        </w:rPr>
      </w:pPr>
      <w:r w:rsidRPr="00470E46">
        <w:rPr>
          <w:rFonts w:ascii="Arial" w:hAnsi="Arial" w:cs="Arial"/>
          <w:b/>
          <w:noProof/>
        </w:rPr>
        <w:drawing>
          <wp:inline distT="0" distB="0" distL="0" distR="0" wp14:anchorId="36DA640F" wp14:editId="5F985CA7">
            <wp:extent cx="5238750" cy="36576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6844"/>
                    <a:stretch>
                      <a:fillRect/>
                    </a:stretch>
                  </pic:blipFill>
                  <pic:spPr bwMode="auto">
                    <a:xfrm>
                      <a:off x="0" y="0"/>
                      <a:ext cx="5238750" cy="3657600"/>
                    </a:xfrm>
                    <a:prstGeom prst="rect">
                      <a:avLst/>
                    </a:prstGeom>
                    <a:noFill/>
                    <a:ln>
                      <a:noFill/>
                    </a:ln>
                  </pic:spPr>
                </pic:pic>
              </a:graphicData>
            </a:graphic>
          </wp:inline>
        </w:drawing>
      </w:r>
    </w:p>
    <w:p w14:paraId="56D370AB" w14:textId="305C2B9E" w:rsidR="00C30A0F" w:rsidRDefault="00470E46" w:rsidP="00441B6F">
      <w:pPr>
        <w:pStyle w:val="Body"/>
        <w:spacing w:after="0"/>
        <w:rPr>
          <w:rFonts w:ascii="Arial" w:hAnsi="Arial" w:cs="Arial"/>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by light chain subtype</w:t>
      </w:r>
      <w:r w:rsidR="00C30A0F" w:rsidRPr="00FB3A86">
        <w:rPr>
          <w:rFonts w:ascii="Arial" w:hAnsi="Arial" w:cs="Arial"/>
        </w:rPr>
        <w:t xml:space="preserve"> </w:t>
      </w:r>
    </w:p>
    <w:p w14:paraId="6BE3F0DE" w14:textId="77777777" w:rsidR="00C1259E" w:rsidRPr="00470E46" w:rsidRDefault="00C1259E" w:rsidP="00441B6F">
      <w:pPr>
        <w:pStyle w:val="Body"/>
        <w:spacing w:after="0"/>
        <w:rPr>
          <w:rFonts w:ascii="Arial" w:hAnsi="Arial" w:cs="Arial"/>
          <w:b/>
          <w:bCs/>
          <w:i/>
          <w:iCs/>
        </w:rPr>
      </w:pPr>
    </w:p>
    <w:p w14:paraId="194FF990" w14:textId="12C72A97" w:rsidR="00CC4400" w:rsidRPr="00CC4400" w:rsidRDefault="00CC4400" w:rsidP="00CC4400">
      <w:pPr>
        <w:pStyle w:val="Body"/>
        <w:spacing w:after="0"/>
        <w:rPr>
          <w:rFonts w:ascii="Arial" w:hAnsi="Arial" w:cs="Arial"/>
          <w:vertAlign w:val="superscript"/>
        </w:rPr>
      </w:pPr>
      <w:r w:rsidRPr="00CC4400">
        <w:rPr>
          <w:rFonts w:ascii="Arial" w:hAnsi="Arial" w:cs="Arial"/>
        </w:rPr>
        <w:t>The median age at diagnosis of 56 years observed in this cohort is notably lower than the 65–70 years typically reported in</w:t>
      </w:r>
      <w:r w:rsidR="00416FA3">
        <w:rPr>
          <w:rFonts w:ascii="Arial" w:hAnsi="Arial" w:cs="Arial"/>
        </w:rPr>
        <w:t xml:space="preserve"> literature from</w:t>
      </w:r>
      <w:r w:rsidRPr="00CC4400">
        <w:rPr>
          <w:rFonts w:ascii="Arial" w:hAnsi="Arial" w:cs="Arial"/>
        </w:rPr>
        <w:t xml:space="preserve"> high-income settings. This </w:t>
      </w:r>
      <w:r w:rsidR="002E49BE">
        <w:rPr>
          <w:rFonts w:ascii="Arial" w:hAnsi="Arial" w:cs="Arial"/>
        </w:rPr>
        <w:t>lower mean age at diagnosis of MM</w:t>
      </w:r>
      <w:r w:rsidRPr="00CC4400">
        <w:rPr>
          <w:rFonts w:ascii="Arial" w:hAnsi="Arial" w:cs="Arial"/>
        </w:rPr>
        <w:t xml:space="preserve"> has been well described in several sub-Saharan Africa</w:t>
      </w:r>
      <w:r w:rsidR="00E6700F">
        <w:rPr>
          <w:rFonts w:ascii="Arial" w:hAnsi="Arial" w:cs="Arial"/>
        </w:rPr>
        <w:t xml:space="preserve"> publications</w:t>
      </w:r>
      <w:r w:rsidR="002F218B">
        <w:rPr>
          <w:rFonts w:ascii="Arial" w:hAnsi="Arial" w:cs="Arial"/>
        </w:rPr>
        <w:t xml:space="preserve"> and also </w:t>
      </w:r>
      <w:r w:rsidR="002E49BE">
        <w:rPr>
          <w:rFonts w:ascii="Arial" w:hAnsi="Arial" w:cs="Arial"/>
        </w:rPr>
        <w:t xml:space="preserve">by </w:t>
      </w:r>
      <w:r w:rsidR="002F218B">
        <w:rPr>
          <w:rFonts w:ascii="Arial" w:hAnsi="Arial" w:cs="Arial"/>
        </w:rPr>
        <w:t xml:space="preserve">experiential </w:t>
      </w:r>
      <w:r w:rsidR="00473739">
        <w:rPr>
          <w:rFonts w:ascii="Arial" w:hAnsi="Arial" w:cs="Arial"/>
        </w:rPr>
        <w:t xml:space="preserve">and anecdotal </w:t>
      </w:r>
      <w:r w:rsidR="002F218B">
        <w:rPr>
          <w:rFonts w:ascii="Arial" w:hAnsi="Arial" w:cs="Arial"/>
        </w:rPr>
        <w:t>evidence,</w:t>
      </w:r>
      <w:r w:rsidRPr="00CC4400">
        <w:rPr>
          <w:rFonts w:ascii="Arial" w:hAnsi="Arial" w:cs="Arial"/>
        </w:rPr>
        <w:t xml:space="preserve"> and may reflect a combination of demographic factors, </w:t>
      </w:r>
      <w:r w:rsidR="002E49BE">
        <w:rPr>
          <w:rFonts w:ascii="Arial" w:hAnsi="Arial" w:cs="Arial"/>
        </w:rPr>
        <w:t xml:space="preserve">financial difficulties, </w:t>
      </w:r>
      <w:r w:rsidRPr="00CC4400">
        <w:rPr>
          <w:rFonts w:ascii="Arial" w:hAnsi="Arial" w:cs="Arial"/>
        </w:rPr>
        <w:t>delayed healthcare access, and potential biological differences in disease behaviour.</w:t>
      </w:r>
      <w:r w:rsidRPr="00CC4400">
        <w:rPr>
          <w:rFonts w:ascii="Arial" w:hAnsi="Arial" w:cs="Arial"/>
          <w:vertAlign w:val="superscript"/>
        </w:rPr>
        <w:t>8,9</w:t>
      </w:r>
      <w:r w:rsidRPr="00CC4400">
        <w:rPr>
          <w:rFonts w:ascii="Arial" w:hAnsi="Arial" w:cs="Arial"/>
        </w:rPr>
        <w:t xml:space="preserve"> The predominance of anaemia, bone pain, and renal impairment in our patients suggests a high tumour burden at presentation.</w:t>
      </w:r>
      <w:r w:rsidRPr="00CC4400">
        <w:rPr>
          <w:rFonts w:ascii="Arial" w:hAnsi="Arial" w:cs="Arial"/>
          <w:vertAlign w:val="superscript"/>
        </w:rPr>
        <w:t>10,11</w:t>
      </w:r>
    </w:p>
    <w:p w14:paraId="2C25BDB0" w14:textId="08BF8F4D" w:rsidR="00CC4400" w:rsidRPr="00920EF2" w:rsidRDefault="00CC4400" w:rsidP="00CC4400">
      <w:pPr>
        <w:pStyle w:val="Body"/>
        <w:spacing w:after="0"/>
        <w:rPr>
          <w:rFonts w:ascii="Arial" w:hAnsi="Arial" w:cs="Arial"/>
        </w:rPr>
      </w:pPr>
      <w:r w:rsidRPr="00CC4400">
        <w:rPr>
          <w:rFonts w:ascii="Arial" w:hAnsi="Arial" w:cs="Arial"/>
        </w:rPr>
        <w:t>Serum protein electrophoresis demonstrated good diagnostic utility (despite not being performed for all patients due to financial constraints), it detected the presence of M-protein in up to 80.4% of the MM patients; however, it failed to identify disease in approximately one-fifth of cases. This finding is clinically significant and is in keeping with global data which shows that about 15–20% of MM cases are light-chain-only or oligosecretory variants.</w:t>
      </w:r>
      <w:r w:rsidRPr="00CC4400">
        <w:rPr>
          <w:rFonts w:ascii="Arial" w:hAnsi="Arial" w:cs="Arial"/>
          <w:vertAlign w:val="superscript"/>
        </w:rPr>
        <w:t>6,12,13</w:t>
      </w:r>
      <w:r w:rsidRPr="00CC4400">
        <w:rPr>
          <w:rFonts w:ascii="Arial" w:hAnsi="Arial" w:cs="Arial"/>
        </w:rPr>
        <w:t xml:space="preserve"> The inability of SPE to detect monoclonal protein in these patients highlights its intrinsic limitations, particularly in low tumour burden states</w:t>
      </w:r>
      <w:r w:rsidR="00EF2539">
        <w:rPr>
          <w:rFonts w:ascii="Arial" w:hAnsi="Arial" w:cs="Arial"/>
        </w:rPr>
        <w:t>,</w:t>
      </w:r>
      <w:r w:rsidRPr="00CC4400">
        <w:rPr>
          <w:rFonts w:ascii="Arial" w:hAnsi="Arial" w:cs="Arial"/>
        </w:rPr>
        <w:t xml:space="preserve"> when only free light chains are produced</w:t>
      </w:r>
      <w:r w:rsidR="00EF2539">
        <w:rPr>
          <w:rFonts w:ascii="Arial" w:hAnsi="Arial" w:cs="Arial"/>
        </w:rPr>
        <w:t>, or whe</w:t>
      </w:r>
      <w:r w:rsidR="00340FC8">
        <w:rPr>
          <w:rFonts w:ascii="Arial" w:hAnsi="Arial" w:cs="Arial"/>
        </w:rPr>
        <w:t>re the clone of malignant plasma cells is small and the M-protein produced overlaps with polyclonal proteins</w:t>
      </w:r>
      <w:r w:rsidRPr="00CC4400">
        <w:rPr>
          <w:rFonts w:ascii="Arial" w:hAnsi="Arial" w:cs="Arial"/>
        </w:rPr>
        <w:t>.</w:t>
      </w:r>
      <w:r w:rsidRPr="00CC4400">
        <w:rPr>
          <w:rFonts w:ascii="Arial" w:hAnsi="Arial" w:cs="Arial"/>
          <w:vertAlign w:val="superscript"/>
        </w:rPr>
        <w:t>7</w:t>
      </w:r>
      <w:r w:rsidR="00920EF2">
        <w:rPr>
          <w:rFonts w:ascii="Arial" w:hAnsi="Arial" w:cs="Arial"/>
          <w:vertAlign w:val="superscript"/>
        </w:rPr>
        <w:t xml:space="preserve"> </w:t>
      </w:r>
      <w:r w:rsidR="00920EF2">
        <w:rPr>
          <w:rFonts w:ascii="Arial" w:hAnsi="Arial" w:cs="Arial"/>
        </w:rPr>
        <w:t xml:space="preserve"> </w:t>
      </w:r>
    </w:p>
    <w:p w14:paraId="3EEAE181" w14:textId="08AC9BC3" w:rsidR="00CC4400" w:rsidRPr="00CC4400" w:rsidRDefault="00CC4400" w:rsidP="00CC4400">
      <w:pPr>
        <w:pStyle w:val="Body"/>
        <w:spacing w:after="0"/>
        <w:rPr>
          <w:rFonts w:ascii="Arial" w:hAnsi="Arial" w:cs="Arial"/>
          <w:vertAlign w:val="superscript"/>
        </w:rPr>
      </w:pPr>
      <w:r w:rsidRPr="00CC4400">
        <w:rPr>
          <w:rFonts w:ascii="Arial" w:hAnsi="Arial" w:cs="Arial"/>
        </w:rPr>
        <w:t>On the other hand, sFLC assays demonstrated markedly superior diagnostic sensitivity, identifying abnormal monoclonal light chains in 95.6% of tested patients. In addition, sFLC detected disease in 88.9% of patients who were M-protein-negative on SPE. This finding underscores the indispensable role of sFLC testing in preventing underdiagnosis of MM especially in patients who may have low concentration of plasma cells in the bone marrow and/ or are SPE negative</w:t>
      </w:r>
      <w:r w:rsidR="00602427">
        <w:rPr>
          <w:rFonts w:ascii="Arial" w:hAnsi="Arial" w:cs="Arial"/>
        </w:rPr>
        <w:t>;</w:t>
      </w:r>
      <w:r w:rsidRPr="00CC4400">
        <w:rPr>
          <w:rFonts w:ascii="Arial" w:hAnsi="Arial" w:cs="Arial"/>
          <w:vertAlign w:val="superscript"/>
        </w:rPr>
        <w:t>14,15</w:t>
      </w:r>
      <w:r w:rsidRPr="00CC4400">
        <w:rPr>
          <w:rFonts w:ascii="Arial" w:hAnsi="Arial" w:cs="Arial"/>
        </w:rPr>
        <w:t xml:space="preserve"> </w:t>
      </w:r>
      <w:r w:rsidR="00602427">
        <w:rPr>
          <w:rFonts w:ascii="Arial" w:hAnsi="Arial" w:cs="Arial"/>
        </w:rPr>
        <w:t xml:space="preserve">it also demonstrates the superiority of sFLC to SPE in the management of MM. </w:t>
      </w:r>
      <w:r w:rsidRPr="00CC4400">
        <w:rPr>
          <w:rFonts w:ascii="Arial" w:hAnsi="Arial" w:cs="Arial"/>
        </w:rPr>
        <w:t>The sFLC assay</w:t>
      </w:r>
      <w:r w:rsidR="00801470">
        <w:rPr>
          <w:rFonts w:ascii="Arial" w:hAnsi="Arial" w:cs="Arial"/>
        </w:rPr>
        <w:t xml:space="preserve"> also</w:t>
      </w:r>
      <w:r w:rsidRPr="00CC4400">
        <w:rPr>
          <w:rFonts w:ascii="Arial" w:hAnsi="Arial" w:cs="Arial"/>
        </w:rPr>
        <w:t xml:space="preserve"> serves as a functional biomarker of tumor burden, supporting diagnosis even when </w:t>
      </w:r>
      <w:r w:rsidR="004D5F26">
        <w:rPr>
          <w:rFonts w:ascii="Arial" w:hAnsi="Arial" w:cs="Arial"/>
        </w:rPr>
        <w:t xml:space="preserve">bone </w:t>
      </w:r>
      <w:r w:rsidRPr="00CC4400">
        <w:rPr>
          <w:rFonts w:ascii="Arial" w:hAnsi="Arial" w:cs="Arial"/>
        </w:rPr>
        <w:t xml:space="preserve">marrow </w:t>
      </w:r>
      <w:r w:rsidR="004D5F26">
        <w:rPr>
          <w:rFonts w:ascii="Arial" w:hAnsi="Arial" w:cs="Arial"/>
        </w:rPr>
        <w:t xml:space="preserve">aspiration or trephine biopsy </w:t>
      </w:r>
      <w:r w:rsidRPr="00CC4400">
        <w:rPr>
          <w:rFonts w:ascii="Arial" w:hAnsi="Arial" w:cs="Arial"/>
        </w:rPr>
        <w:t>findings are inconclusive.</w:t>
      </w:r>
      <w:r w:rsidRPr="00CC4400">
        <w:rPr>
          <w:rFonts w:ascii="Arial" w:hAnsi="Arial" w:cs="Arial"/>
          <w:vertAlign w:val="superscript"/>
        </w:rPr>
        <w:t>16,17</w:t>
      </w:r>
    </w:p>
    <w:p w14:paraId="53D9E02A" w14:textId="17D8838E" w:rsidR="00CC4400" w:rsidRPr="00CC4400" w:rsidRDefault="00CC4400" w:rsidP="00CC4400">
      <w:pPr>
        <w:pStyle w:val="Body"/>
        <w:spacing w:after="0"/>
        <w:rPr>
          <w:rFonts w:ascii="Arial" w:hAnsi="Arial" w:cs="Arial"/>
        </w:rPr>
      </w:pPr>
      <w:r w:rsidRPr="00CC4400">
        <w:rPr>
          <w:rFonts w:ascii="Arial" w:hAnsi="Arial" w:cs="Arial"/>
        </w:rPr>
        <w:t xml:space="preserve">Higher M-protein concentrations were associated with hypoalbuminaemia in our patients, which was expected since increased tumour burden drives both elevated immunoglobulin production and systemic inflammatory responses, leading to reduced albumin synthesis. The strong statistical association </w:t>
      </w:r>
      <w:r w:rsidR="007C18FB">
        <w:rPr>
          <w:rFonts w:ascii="Arial" w:hAnsi="Arial" w:cs="Arial"/>
        </w:rPr>
        <w:t xml:space="preserve">between serum M-protein and hypoalbuminaemia </w:t>
      </w:r>
      <w:r w:rsidRPr="00CC4400">
        <w:rPr>
          <w:rFonts w:ascii="Arial" w:hAnsi="Arial" w:cs="Arial"/>
        </w:rPr>
        <w:t>(p &lt; 0.001) reinforces the prognostic relevance of these markers</w:t>
      </w:r>
      <w:r w:rsidR="00801470">
        <w:rPr>
          <w:rFonts w:ascii="Arial" w:hAnsi="Arial" w:cs="Arial"/>
        </w:rPr>
        <w:t xml:space="preserve"> in MM </w:t>
      </w:r>
      <w:r w:rsidR="007C18FB">
        <w:rPr>
          <w:rFonts w:ascii="Arial" w:hAnsi="Arial" w:cs="Arial"/>
        </w:rPr>
        <w:t xml:space="preserve">patients and so suggests parameters to consider in their </w:t>
      </w:r>
      <w:r w:rsidR="00801470">
        <w:rPr>
          <w:rFonts w:ascii="Arial" w:hAnsi="Arial" w:cs="Arial"/>
        </w:rPr>
        <w:t>management</w:t>
      </w:r>
      <w:r w:rsidRPr="00CC4400">
        <w:rPr>
          <w:rFonts w:ascii="Arial" w:hAnsi="Arial" w:cs="Arial"/>
        </w:rPr>
        <w:t>.</w:t>
      </w:r>
    </w:p>
    <w:p w14:paraId="68797DFA" w14:textId="32C467F5" w:rsidR="00CC4400" w:rsidRPr="00CC4400" w:rsidRDefault="00CC4400" w:rsidP="00CC4400">
      <w:pPr>
        <w:pStyle w:val="Body"/>
        <w:spacing w:after="0"/>
        <w:rPr>
          <w:rFonts w:ascii="Arial" w:hAnsi="Arial" w:cs="Arial"/>
        </w:rPr>
      </w:pPr>
      <w:r w:rsidRPr="00CC4400">
        <w:rPr>
          <w:rFonts w:ascii="Arial" w:hAnsi="Arial" w:cs="Arial"/>
        </w:rPr>
        <w:t xml:space="preserve">An important clinical observation was the association of lambda light chain disease with lower haemoglobin levels and worse renal function. Although only haemoglobin reached statistical significance, the trend of renal parameters supports </w:t>
      </w:r>
      <w:r w:rsidRPr="00CC4400">
        <w:rPr>
          <w:rFonts w:ascii="Arial" w:hAnsi="Arial" w:cs="Arial"/>
        </w:rPr>
        <w:lastRenderedPageBreak/>
        <w:t xml:space="preserve">existing evidence that lambda chains are more nephrotoxic </w:t>
      </w:r>
      <w:r w:rsidR="00683875">
        <w:rPr>
          <w:rFonts w:ascii="Arial" w:hAnsi="Arial" w:cs="Arial"/>
        </w:rPr>
        <w:t>and causes worse renal impairment compared to MM in which the</w:t>
      </w:r>
      <w:r w:rsidRPr="00CC4400">
        <w:rPr>
          <w:rFonts w:ascii="Arial" w:hAnsi="Arial" w:cs="Arial"/>
        </w:rPr>
        <w:t xml:space="preserve"> kappa chains</w:t>
      </w:r>
      <w:r w:rsidR="00683875">
        <w:rPr>
          <w:rFonts w:ascii="Arial" w:hAnsi="Arial" w:cs="Arial"/>
        </w:rPr>
        <w:t xml:space="preserve"> are the involved chains</w:t>
      </w:r>
      <w:r w:rsidRPr="00CC4400">
        <w:rPr>
          <w:rFonts w:ascii="Arial" w:hAnsi="Arial" w:cs="Arial"/>
        </w:rPr>
        <w:t xml:space="preserve">. This </w:t>
      </w:r>
      <w:r w:rsidR="008761FB">
        <w:rPr>
          <w:rFonts w:ascii="Arial" w:hAnsi="Arial" w:cs="Arial"/>
        </w:rPr>
        <w:t>may be</w:t>
      </w:r>
      <w:r w:rsidRPr="00CC4400">
        <w:rPr>
          <w:rFonts w:ascii="Arial" w:hAnsi="Arial" w:cs="Arial"/>
        </w:rPr>
        <w:t xml:space="preserve"> because their physical property allows them have a higher propensity for dimerization and deposition within renal tubules, thereby contributing to cast nephropathy and progressive renal dysfunction.</w:t>
      </w:r>
      <w:r w:rsidRPr="00CC4400">
        <w:rPr>
          <w:rFonts w:ascii="Arial" w:hAnsi="Arial" w:cs="Arial"/>
          <w:vertAlign w:val="superscript"/>
        </w:rPr>
        <w:t>18,19</w:t>
      </w:r>
      <w:r w:rsidRPr="00CC4400">
        <w:rPr>
          <w:rFonts w:ascii="Arial" w:hAnsi="Arial" w:cs="Arial"/>
        </w:rPr>
        <w:t xml:space="preserve"> Lambda chains form dimers and polymers, with increased affinity for Tamm–Horsfall protein and greater propensity for cast nephropathy.</w:t>
      </w:r>
      <w:r w:rsidRPr="00CC4400">
        <w:rPr>
          <w:rFonts w:ascii="Arial" w:hAnsi="Arial" w:cs="Arial"/>
          <w:vertAlign w:val="superscript"/>
        </w:rPr>
        <w:t xml:space="preserve">3,20 </w:t>
      </w:r>
      <w:r w:rsidR="00694873">
        <w:rPr>
          <w:rFonts w:ascii="Arial" w:hAnsi="Arial" w:cs="Arial"/>
        </w:rPr>
        <w:t xml:space="preserve">Lambda chains are also resistant to proteolysis and their continued accumulation </w:t>
      </w:r>
      <w:r w:rsidR="00B34069">
        <w:rPr>
          <w:rFonts w:ascii="Arial" w:hAnsi="Arial" w:cs="Arial"/>
        </w:rPr>
        <w:t>in the tissues of the kidneys predisposes toxicity. I</w:t>
      </w:r>
      <w:r w:rsidRPr="00CC4400">
        <w:rPr>
          <w:rFonts w:ascii="Arial" w:hAnsi="Arial" w:cs="Arial"/>
        </w:rPr>
        <w:t>n our resource-constrained environment, this has profound clinical implications, since there is limited access to dialysis</w:t>
      </w:r>
      <w:r w:rsidR="00AE13CA">
        <w:rPr>
          <w:rFonts w:ascii="Arial" w:hAnsi="Arial" w:cs="Arial"/>
        </w:rPr>
        <w:t xml:space="preserve"> </w:t>
      </w:r>
      <w:r w:rsidR="003D2E2F">
        <w:rPr>
          <w:rFonts w:ascii="Arial" w:hAnsi="Arial" w:cs="Arial"/>
        </w:rPr>
        <w:t>b</w:t>
      </w:r>
      <w:r w:rsidR="00AE13CA">
        <w:rPr>
          <w:rFonts w:ascii="Arial" w:hAnsi="Arial" w:cs="Arial"/>
        </w:rPr>
        <w:t>e</w:t>
      </w:r>
      <w:r w:rsidR="003D2E2F">
        <w:rPr>
          <w:rFonts w:ascii="Arial" w:hAnsi="Arial" w:cs="Arial"/>
        </w:rPr>
        <w:t>cause</w:t>
      </w:r>
      <w:r w:rsidR="00AE13CA">
        <w:rPr>
          <w:rFonts w:ascii="Arial" w:hAnsi="Arial" w:cs="Arial"/>
        </w:rPr>
        <w:t xml:space="preserve"> </w:t>
      </w:r>
      <w:r w:rsidR="003D2E2F">
        <w:rPr>
          <w:rFonts w:ascii="Arial" w:hAnsi="Arial" w:cs="Arial"/>
        </w:rPr>
        <w:t>of</w:t>
      </w:r>
      <w:r w:rsidR="00AE13CA">
        <w:rPr>
          <w:rFonts w:ascii="Arial" w:hAnsi="Arial" w:cs="Arial"/>
        </w:rPr>
        <w:t xml:space="preserve"> financial</w:t>
      </w:r>
      <w:r w:rsidR="00905974">
        <w:rPr>
          <w:rFonts w:ascii="Arial" w:hAnsi="Arial" w:cs="Arial"/>
        </w:rPr>
        <w:t xml:space="preserve"> limitations of the patients, </w:t>
      </w:r>
      <w:r w:rsidR="00AE13CA">
        <w:rPr>
          <w:rFonts w:ascii="Arial" w:hAnsi="Arial" w:cs="Arial"/>
        </w:rPr>
        <w:t xml:space="preserve">and </w:t>
      </w:r>
      <w:r w:rsidR="003D2E2F">
        <w:rPr>
          <w:rFonts w:ascii="Arial" w:hAnsi="Arial" w:cs="Arial"/>
        </w:rPr>
        <w:t>also</w:t>
      </w:r>
      <w:r w:rsidR="00B26E1F">
        <w:rPr>
          <w:rFonts w:ascii="Arial" w:hAnsi="Arial" w:cs="Arial"/>
        </w:rPr>
        <w:t xml:space="preserve"> due to the</w:t>
      </w:r>
      <w:r w:rsidR="003D2E2F">
        <w:rPr>
          <w:rFonts w:ascii="Arial" w:hAnsi="Arial" w:cs="Arial"/>
        </w:rPr>
        <w:t xml:space="preserve"> </w:t>
      </w:r>
      <w:r w:rsidR="00905974">
        <w:rPr>
          <w:rFonts w:ascii="Arial" w:hAnsi="Arial" w:cs="Arial"/>
        </w:rPr>
        <w:t>presence</w:t>
      </w:r>
      <w:r w:rsidR="00C24D5A">
        <w:rPr>
          <w:rFonts w:ascii="Arial" w:hAnsi="Arial" w:cs="Arial"/>
        </w:rPr>
        <w:t xml:space="preserve"> of</w:t>
      </w:r>
      <w:r w:rsidR="008F1CBB">
        <w:rPr>
          <w:rFonts w:ascii="Arial" w:hAnsi="Arial" w:cs="Arial"/>
        </w:rPr>
        <w:t xml:space="preserve"> only a</w:t>
      </w:r>
      <w:r w:rsidR="001D1FD2">
        <w:rPr>
          <w:rFonts w:ascii="Arial" w:hAnsi="Arial" w:cs="Arial"/>
        </w:rPr>
        <w:t xml:space="preserve"> few</w:t>
      </w:r>
      <w:r w:rsidR="00C24D5A">
        <w:rPr>
          <w:rFonts w:ascii="Arial" w:hAnsi="Arial" w:cs="Arial"/>
        </w:rPr>
        <w:t xml:space="preserve"> dialysis facilities</w:t>
      </w:r>
      <w:r w:rsidRPr="00CC4400">
        <w:rPr>
          <w:rFonts w:ascii="Arial" w:hAnsi="Arial" w:cs="Arial"/>
        </w:rPr>
        <w:t>. Over half of our patients had renal impairment, and this was present even in patients without detectable M-protein on SPE, thereby highlighting the role of free light chains in the pathogenesis of renal damage in MM</w:t>
      </w:r>
      <w:r w:rsidR="00905974">
        <w:rPr>
          <w:rFonts w:ascii="Arial" w:hAnsi="Arial" w:cs="Arial"/>
        </w:rPr>
        <w:t>,</w:t>
      </w:r>
      <w:r w:rsidR="00FB042B">
        <w:rPr>
          <w:rFonts w:ascii="Arial" w:hAnsi="Arial" w:cs="Arial"/>
        </w:rPr>
        <w:t xml:space="preserve"> and also other plasma cell dyscrasias</w:t>
      </w:r>
      <w:r w:rsidRPr="00CC4400">
        <w:rPr>
          <w:rFonts w:ascii="Arial" w:hAnsi="Arial" w:cs="Arial"/>
        </w:rPr>
        <w:t>.</w:t>
      </w:r>
    </w:p>
    <w:p w14:paraId="17E2CE0B" w14:textId="23BBA82F" w:rsidR="00CC4400" w:rsidRPr="00CC4400" w:rsidRDefault="00CC4400" w:rsidP="00CC4400">
      <w:pPr>
        <w:pStyle w:val="Body"/>
        <w:spacing w:after="0"/>
        <w:rPr>
          <w:rFonts w:ascii="Arial" w:hAnsi="Arial" w:cs="Arial"/>
        </w:rPr>
      </w:pPr>
      <w:r w:rsidRPr="00CC4400">
        <w:rPr>
          <w:rFonts w:ascii="Arial" w:hAnsi="Arial" w:cs="Arial"/>
        </w:rPr>
        <w:t>In many resource-limited settings, diagnostic pathways rely heavily on SPE due to cost and availability constraints. However, this study demonstrates that such reliance may result in substantial underdiagnosis and</w:t>
      </w:r>
      <w:r w:rsidR="000D47FE">
        <w:rPr>
          <w:rFonts w:ascii="Arial" w:hAnsi="Arial" w:cs="Arial"/>
        </w:rPr>
        <w:t xml:space="preserve"> by extension,</w:t>
      </w:r>
      <w:r w:rsidRPr="00CC4400">
        <w:rPr>
          <w:rFonts w:ascii="Arial" w:hAnsi="Arial" w:cs="Arial"/>
        </w:rPr>
        <w:t xml:space="preserve"> delay</w:t>
      </w:r>
      <w:r w:rsidR="000D47FE">
        <w:rPr>
          <w:rFonts w:ascii="Arial" w:hAnsi="Arial" w:cs="Arial"/>
        </w:rPr>
        <w:t>s in</w:t>
      </w:r>
      <w:r w:rsidRPr="00CC4400">
        <w:rPr>
          <w:rFonts w:ascii="Arial" w:hAnsi="Arial" w:cs="Arial"/>
        </w:rPr>
        <w:t xml:space="preserve"> treatment initiation</w:t>
      </w:r>
      <w:r w:rsidR="006F722E">
        <w:rPr>
          <w:rFonts w:ascii="Arial" w:hAnsi="Arial" w:cs="Arial"/>
        </w:rPr>
        <w:t xml:space="preserve">, and this would mean a worse prognosis </w:t>
      </w:r>
      <w:r w:rsidR="001E5773">
        <w:rPr>
          <w:rFonts w:ascii="Arial" w:hAnsi="Arial" w:cs="Arial"/>
        </w:rPr>
        <w:t>of</w:t>
      </w:r>
      <w:r w:rsidR="006F722E">
        <w:rPr>
          <w:rFonts w:ascii="Arial" w:hAnsi="Arial" w:cs="Arial"/>
        </w:rPr>
        <w:t xml:space="preserve"> the disease</w:t>
      </w:r>
      <w:r w:rsidR="001E5773">
        <w:rPr>
          <w:rFonts w:ascii="Arial" w:hAnsi="Arial" w:cs="Arial"/>
        </w:rPr>
        <w:t xml:space="preserve"> for the patient</w:t>
      </w:r>
      <w:r w:rsidRPr="00CC4400">
        <w:rPr>
          <w:rFonts w:ascii="Arial" w:hAnsi="Arial" w:cs="Arial"/>
        </w:rPr>
        <w:t xml:space="preserve">. The integration of sFLC testing into routine diagnostic workflows represents a high-impact intervention that </w:t>
      </w:r>
      <w:r w:rsidR="00783242">
        <w:rPr>
          <w:rFonts w:ascii="Arial" w:hAnsi="Arial" w:cs="Arial"/>
        </w:rPr>
        <w:t>w</w:t>
      </w:r>
      <w:r w:rsidRPr="00CC4400">
        <w:rPr>
          <w:rFonts w:ascii="Arial" w:hAnsi="Arial" w:cs="Arial"/>
        </w:rPr>
        <w:t xml:space="preserve">ould </w:t>
      </w:r>
      <w:r w:rsidR="00783242">
        <w:rPr>
          <w:rFonts w:ascii="Arial" w:hAnsi="Arial" w:cs="Arial"/>
        </w:rPr>
        <w:t xml:space="preserve">definitely and </w:t>
      </w:r>
      <w:r w:rsidRPr="00CC4400">
        <w:rPr>
          <w:rFonts w:ascii="Arial" w:hAnsi="Arial" w:cs="Arial"/>
        </w:rPr>
        <w:t xml:space="preserve">significantly improve diagnostic accuracy, enable earlier therapeutic intervention, </w:t>
      </w:r>
      <w:r w:rsidR="00783242">
        <w:rPr>
          <w:rFonts w:ascii="Arial" w:hAnsi="Arial" w:cs="Arial"/>
        </w:rPr>
        <w:t xml:space="preserve">and </w:t>
      </w:r>
      <w:r w:rsidRPr="00CC4400">
        <w:rPr>
          <w:rFonts w:ascii="Arial" w:hAnsi="Arial" w:cs="Arial"/>
        </w:rPr>
        <w:t>reduce organ damage</w:t>
      </w:r>
      <w:r w:rsidR="0009321B">
        <w:rPr>
          <w:rFonts w:ascii="Arial" w:hAnsi="Arial" w:cs="Arial"/>
        </w:rPr>
        <w:t xml:space="preserve">, </w:t>
      </w:r>
      <w:r w:rsidR="00212C64">
        <w:rPr>
          <w:rFonts w:ascii="Arial" w:hAnsi="Arial" w:cs="Arial"/>
        </w:rPr>
        <w:t>thereby improving the overall quality of life of those who are living with the disease</w:t>
      </w:r>
      <w:r w:rsidRPr="00CC4400">
        <w:rPr>
          <w:rFonts w:ascii="Arial" w:hAnsi="Arial" w:cs="Arial"/>
        </w:rPr>
        <w:t xml:space="preserve">. Therefore, sFLC assays are not merely complementary but </w:t>
      </w:r>
      <w:r w:rsidR="00FF65A5">
        <w:rPr>
          <w:rFonts w:ascii="Arial" w:hAnsi="Arial" w:cs="Arial"/>
        </w:rPr>
        <w:t xml:space="preserve">they are most </w:t>
      </w:r>
      <w:r w:rsidRPr="00CC4400">
        <w:rPr>
          <w:rFonts w:ascii="Arial" w:hAnsi="Arial" w:cs="Arial"/>
        </w:rPr>
        <w:t xml:space="preserve">essential </w:t>
      </w:r>
      <w:r w:rsidR="00FF65A5">
        <w:rPr>
          <w:rFonts w:ascii="Arial" w:hAnsi="Arial" w:cs="Arial"/>
        </w:rPr>
        <w:t>for</w:t>
      </w:r>
      <w:r w:rsidRPr="00CC4400">
        <w:rPr>
          <w:rFonts w:ascii="Arial" w:hAnsi="Arial" w:cs="Arial"/>
        </w:rPr>
        <w:t xml:space="preserve"> the accurate diagnosis of multiple myeloma, </w:t>
      </w:r>
      <w:r w:rsidR="00FF65A5">
        <w:rPr>
          <w:rFonts w:ascii="Arial" w:hAnsi="Arial" w:cs="Arial"/>
        </w:rPr>
        <w:t xml:space="preserve">and also in the follow-up assessment of these patients, </w:t>
      </w:r>
      <w:r w:rsidRPr="00CC4400">
        <w:rPr>
          <w:rFonts w:ascii="Arial" w:hAnsi="Arial" w:cs="Arial"/>
        </w:rPr>
        <w:t>particularly in resource-constrained environments where diagnostic limitations are most pronounced.</w:t>
      </w:r>
    </w:p>
    <w:p w14:paraId="089634C1" w14:textId="77777777" w:rsidR="00E053D0" w:rsidRDefault="00E053D0" w:rsidP="00441B6F">
      <w:pPr>
        <w:pStyle w:val="Body"/>
        <w:spacing w:after="0"/>
        <w:rPr>
          <w:rFonts w:ascii="Arial" w:hAnsi="Arial" w:cs="Arial"/>
        </w:rPr>
      </w:pPr>
    </w:p>
    <w:p w14:paraId="0572816C" w14:textId="77777777" w:rsidR="00790ADA" w:rsidRPr="00FB3A86" w:rsidRDefault="00790ADA" w:rsidP="00441B6F">
      <w:pPr>
        <w:pStyle w:val="Body"/>
        <w:spacing w:after="0"/>
        <w:rPr>
          <w:rFonts w:ascii="Arial" w:hAnsi="Arial" w:cs="Arial"/>
        </w:rPr>
      </w:pPr>
    </w:p>
    <w:p w14:paraId="14DBAD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935A9A" w14:textId="77777777" w:rsidR="00790ADA" w:rsidRPr="00FB3A86" w:rsidRDefault="00790ADA" w:rsidP="00441B6F">
      <w:pPr>
        <w:pStyle w:val="ConcHead"/>
        <w:spacing w:after="0"/>
        <w:jc w:val="both"/>
        <w:rPr>
          <w:rFonts w:ascii="Arial" w:hAnsi="Arial" w:cs="Arial"/>
        </w:rPr>
      </w:pPr>
    </w:p>
    <w:p w14:paraId="1207AFAC" w14:textId="66CE4072" w:rsidR="00B01FCD" w:rsidRDefault="0094478F" w:rsidP="00441B6F">
      <w:pPr>
        <w:pStyle w:val="Body"/>
        <w:spacing w:after="0"/>
        <w:rPr>
          <w:rFonts w:ascii="Arial" w:hAnsi="Arial" w:cs="Arial"/>
        </w:rPr>
      </w:pPr>
      <w:r w:rsidRPr="004406E0">
        <w:rPr>
          <w:rFonts w:ascii="Arial" w:hAnsi="Arial" w:cs="Arial"/>
        </w:rPr>
        <w:t>This study provides real-world evidence highlighting a critical diagnostic gap associated with reliance on SPE alone in MM diagnosis, and establishes sFLC testing as a high-yield, clinically impactful diagnostic modality.</w:t>
      </w:r>
      <w:r w:rsidR="00C90E04">
        <w:rPr>
          <w:rFonts w:ascii="Arial" w:hAnsi="Arial" w:cs="Arial"/>
        </w:rPr>
        <w:t xml:space="preserve"> Th</w:t>
      </w:r>
      <w:r w:rsidR="00CF1728">
        <w:rPr>
          <w:rFonts w:ascii="Arial" w:hAnsi="Arial" w:cs="Arial"/>
        </w:rPr>
        <w:t>e study</w:t>
      </w:r>
      <w:r w:rsidR="00C90E04">
        <w:rPr>
          <w:rFonts w:ascii="Arial" w:hAnsi="Arial" w:cs="Arial"/>
        </w:rPr>
        <w:t xml:space="preserve"> emphasizes the </w:t>
      </w:r>
      <w:r w:rsidR="00B702AA">
        <w:rPr>
          <w:rFonts w:ascii="Arial" w:hAnsi="Arial" w:cs="Arial"/>
        </w:rPr>
        <w:t>significance of sFLC and points to the importance of its inclusion in the current diagnostic criteria for the disease.</w:t>
      </w:r>
      <w:r w:rsidRPr="004406E0">
        <w:rPr>
          <w:rFonts w:ascii="Arial" w:hAnsi="Arial" w:cs="Arial"/>
        </w:rPr>
        <w:t xml:space="preserve"> </w:t>
      </w:r>
      <w:r w:rsidR="00CF1728">
        <w:rPr>
          <w:rFonts w:ascii="Arial" w:hAnsi="Arial" w:cs="Arial"/>
        </w:rPr>
        <w:t xml:space="preserve">The study also shows that </w:t>
      </w:r>
      <w:r w:rsidRPr="004406E0">
        <w:rPr>
          <w:rFonts w:ascii="Arial" w:hAnsi="Arial" w:cs="Arial"/>
        </w:rPr>
        <w:t xml:space="preserve">Lambda chain involvement </w:t>
      </w:r>
      <w:r w:rsidR="007F4A1C">
        <w:rPr>
          <w:rFonts w:ascii="Arial" w:hAnsi="Arial" w:cs="Arial"/>
        </w:rPr>
        <w:t>i</w:t>
      </w:r>
      <w:r w:rsidRPr="004406E0">
        <w:rPr>
          <w:rFonts w:ascii="Arial" w:hAnsi="Arial" w:cs="Arial"/>
        </w:rPr>
        <w:t>s associated with worse renal function.</w:t>
      </w:r>
    </w:p>
    <w:p w14:paraId="4BEB1846" w14:textId="77777777" w:rsidR="00790ADA" w:rsidRPr="00FB3A86" w:rsidRDefault="00790ADA" w:rsidP="00441B6F">
      <w:pPr>
        <w:pStyle w:val="Body"/>
        <w:spacing w:after="0"/>
        <w:rPr>
          <w:rFonts w:ascii="Arial" w:hAnsi="Arial" w:cs="Arial"/>
        </w:rPr>
      </w:pPr>
    </w:p>
    <w:p w14:paraId="150F1784" w14:textId="282A9DEB" w:rsidR="00B01FCD" w:rsidRDefault="004D5F3D" w:rsidP="00441B6F">
      <w:pPr>
        <w:pStyle w:val="AcknHead"/>
        <w:spacing w:after="0"/>
        <w:jc w:val="both"/>
        <w:rPr>
          <w:rFonts w:ascii="Arial" w:hAnsi="Arial" w:cs="Arial"/>
        </w:rPr>
      </w:pPr>
      <w:bookmarkStart w:id="0" w:name="_Hlk225501131"/>
      <w:r>
        <w:rPr>
          <w:rFonts w:ascii="Arial" w:hAnsi="Arial" w:cs="Arial"/>
        </w:rPr>
        <w:t xml:space="preserve">5. </w:t>
      </w:r>
      <w:r w:rsidR="008F23BE">
        <w:rPr>
          <w:rFonts w:ascii="Arial" w:hAnsi="Arial" w:cs="Arial"/>
        </w:rPr>
        <w:t>LIMITATIONS</w:t>
      </w:r>
    </w:p>
    <w:bookmarkEnd w:id="0"/>
    <w:p w14:paraId="7F05CD82" w14:textId="77777777" w:rsidR="00790ADA" w:rsidRPr="00FB3A86" w:rsidRDefault="00790ADA" w:rsidP="00441B6F">
      <w:pPr>
        <w:pStyle w:val="AcknHead"/>
        <w:spacing w:after="0"/>
        <w:jc w:val="both"/>
        <w:rPr>
          <w:rFonts w:ascii="Arial" w:hAnsi="Arial" w:cs="Arial"/>
        </w:rPr>
      </w:pPr>
    </w:p>
    <w:p w14:paraId="237F9A40" w14:textId="67F13580" w:rsidR="006E0B0F" w:rsidRDefault="006E0B0F" w:rsidP="00441B6F">
      <w:pPr>
        <w:pStyle w:val="Body"/>
        <w:spacing w:after="0"/>
        <w:rPr>
          <w:rFonts w:ascii="Arial" w:hAnsi="Arial" w:cs="Arial"/>
        </w:rPr>
      </w:pPr>
      <w:r w:rsidRPr="004406E0">
        <w:rPr>
          <w:rFonts w:ascii="Arial" w:hAnsi="Arial" w:cs="Arial"/>
        </w:rPr>
        <w:t>This was a retrospective study with a small sample size of the cohort. Other specialized tests such as cytogenetics and fluorescent in-situ hybridization were not done for our patients due to unavailability in our region</w:t>
      </w:r>
      <w:r>
        <w:rPr>
          <w:rFonts w:ascii="Arial" w:hAnsi="Arial" w:cs="Arial"/>
        </w:rPr>
        <w:t>.</w:t>
      </w:r>
    </w:p>
    <w:p w14:paraId="4CAAB0D7" w14:textId="77777777" w:rsidR="006E0B0F" w:rsidRDefault="006E0B0F" w:rsidP="00441B6F">
      <w:pPr>
        <w:pStyle w:val="Body"/>
        <w:spacing w:after="0"/>
        <w:rPr>
          <w:rFonts w:ascii="Arial" w:hAnsi="Arial" w:cs="Arial"/>
        </w:rPr>
      </w:pPr>
    </w:p>
    <w:p w14:paraId="634494CB" w14:textId="77777777" w:rsidR="00DF6CFF" w:rsidRPr="00DF6CFF" w:rsidRDefault="00DF6CFF" w:rsidP="00441B6F">
      <w:pPr>
        <w:pStyle w:val="ReferHead"/>
        <w:spacing w:after="0"/>
        <w:jc w:val="both"/>
        <w:rPr>
          <w:rFonts w:ascii="Arial" w:hAnsi="Arial" w:cs="Arial"/>
          <w:bCs/>
          <w:sz w:val="20"/>
        </w:rPr>
      </w:pPr>
    </w:p>
    <w:p w14:paraId="60D0587F" w14:textId="68F14F89" w:rsidR="002B685A" w:rsidRDefault="004D5F3D" w:rsidP="00441B6F">
      <w:pPr>
        <w:pStyle w:val="ReferHead"/>
        <w:spacing w:after="0"/>
        <w:jc w:val="both"/>
        <w:rPr>
          <w:rFonts w:ascii="Arial" w:hAnsi="Arial" w:cs="Arial"/>
          <w:bCs/>
        </w:rPr>
      </w:pPr>
      <w:r>
        <w:rPr>
          <w:rFonts w:ascii="Arial" w:hAnsi="Arial" w:cs="Arial"/>
          <w:bCs/>
        </w:rPr>
        <w:t xml:space="preserve">9. </w:t>
      </w:r>
      <w:r w:rsidR="002B685A" w:rsidRPr="002B685A">
        <w:rPr>
          <w:rFonts w:ascii="Arial" w:hAnsi="Arial" w:cs="Arial"/>
          <w:bCs/>
        </w:rPr>
        <w:t>Consent</w:t>
      </w:r>
      <w:r w:rsidR="002B685A">
        <w:rPr>
          <w:rFonts w:ascii="Arial" w:hAnsi="Arial" w:cs="Arial"/>
          <w:bCs/>
        </w:rPr>
        <w:t xml:space="preserve"> </w:t>
      </w:r>
    </w:p>
    <w:p w14:paraId="33DFF793" w14:textId="77777777" w:rsidR="002B685A" w:rsidRPr="002B685A" w:rsidRDefault="002B685A" w:rsidP="00441B6F">
      <w:pPr>
        <w:pStyle w:val="ReferHead"/>
        <w:spacing w:after="0"/>
        <w:jc w:val="both"/>
        <w:rPr>
          <w:rFonts w:ascii="Arial" w:hAnsi="Arial" w:cs="Arial"/>
          <w:bCs/>
        </w:rPr>
      </w:pPr>
    </w:p>
    <w:p w14:paraId="03603BD4" w14:textId="6FF2F0DC" w:rsidR="0041027F" w:rsidRPr="00D27053" w:rsidRDefault="002B685A" w:rsidP="00D27053">
      <w:pPr>
        <w:pStyle w:val="ReferHead"/>
        <w:spacing w:after="0"/>
        <w:jc w:val="both"/>
        <w:rPr>
          <w:rFonts w:ascii="Arial" w:hAnsi="Arial" w:cs="Arial"/>
          <w:b w:val="0"/>
          <w:caps w:val="0"/>
          <w:sz w:val="20"/>
        </w:rPr>
      </w:pPr>
      <w:r>
        <w:rPr>
          <w:rFonts w:ascii="Arial" w:hAnsi="Arial" w:cs="Arial"/>
          <w:b w:val="0"/>
          <w:caps w:val="0"/>
          <w:sz w:val="20"/>
        </w:rPr>
        <w:t>No</w:t>
      </w:r>
      <w:r w:rsidR="00D27053">
        <w:rPr>
          <w:rFonts w:ascii="Arial" w:hAnsi="Arial" w:cs="Arial"/>
          <w:b w:val="0"/>
          <w:caps w:val="0"/>
          <w:sz w:val="20"/>
        </w:rPr>
        <w:t>t applicable.</w:t>
      </w:r>
      <w:r>
        <w:rPr>
          <w:rFonts w:ascii="Arial" w:hAnsi="Arial" w:cs="Arial"/>
          <w:b w:val="0"/>
          <w:caps w:val="0"/>
          <w:sz w:val="20"/>
        </w:rPr>
        <w:t xml:space="preserve"> </w:t>
      </w:r>
    </w:p>
    <w:p w14:paraId="1DE3D3A3" w14:textId="77777777" w:rsidR="00860000" w:rsidRDefault="00860000" w:rsidP="00441B6F">
      <w:pPr>
        <w:pStyle w:val="ReferHead"/>
        <w:spacing w:after="0"/>
        <w:jc w:val="both"/>
        <w:rPr>
          <w:rFonts w:ascii="Arial" w:hAnsi="Arial" w:cs="Arial"/>
        </w:rPr>
      </w:pPr>
    </w:p>
    <w:p w14:paraId="483AE0B7" w14:textId="7ECBD3ED" w:rsidR="00B01FCD" w:rsidRDefault="004D5F3D" w:rsidP="00441B6F">
      <w:pPr>
        <w:pStyle w:val="ReferHead"/>
        <w:spacing w:after="0"/>
        <w:jc w:val="both"/>
        <w:rPr>
          <w:rFonts w:ascii="Arial" w:hAnsi="Arial" w:cs="Arial"/>
        </w:rPr>
      </w:pPr>
      <w:r>
        <w:rPr>
          <w:rFonts w:ascii="Arial" w:hAnsi="Arial" w:cs="Arial"/>
        </w:rPr>
        <w:t xml:space="preserve">10. </w:t>
      </w:r>
      <w:commentRangeStart w:id="1"/>
      <w:r w:rsidR="00B01FCD" w:rsidRPr="00FB3A86">
        <w:rPr>
          <w:rFonts w:ascii="Arial" w:hAnsi="Arial" w:cs="Arial"/>
        </w:rPr>
        <w:t>References</w:t>
      </w:r>
      <w:commentRangeEnd w:id="1"/>
      <w:r w:rsidR="00CF2685">
        <w:rPr>
          <w:rStyle w:val="CommentReference"/>
          <w:rFonts w:ascii="Arial" w:hAnsi="Arial" w:cs="Arial"/>
          <w:sz w:val="22"/>
          <w:szCs w:val="20"/>
        </w:rPr>
        <w:commentReference w:id="1"/>
      </w:r>
    </w:p>
    <w:p w14:paraId="15CBB7C8" w14:textId="77777777" w:rsidR="00790ADA" w:rsidRPr="00FB3A86" w:rsidRDefault="00790ADA" w:rsidP="00441B6F">
      <w:pPr>
        <w:pStyle w:val="ReferHead"/>
        <w:spacing w:after="0"/>
        <w:jc w:val="both"/>
        <w:rPr>
          <w:rFonts w:ascii="Arial" w:hAnsi="Arial" w:cs="Arial"/>
        </w:rPr>
      </w:pPr>
    </w:p>
    <w:p w14:paraId="56B9FCF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212121"/>
          <w:kern w:val="2"/>
          <w:shd w:val="clear" w:color="auto" w:fill="FFFFFF"/>
          <w14:ligatures w14:val="standardContextual"/>
        </w:rPr>
        <w:t>Rajkumar SV. Multiple myeloma: 2024 update on diagnosis, risk-stratification, and management. Am J Hematol. 2024 Sep;99(9):1802-1824. doi: 10.1002/ajh.27422. Epub 2024 Jun 28</w:t>
      </w:r>
    </w:p>
    <w:p w14:paraId="382A6885"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353535"/>
          <w:kern w:val="2"/>
          <w:shd w:val="clear" w:color="auto" w:fill="FFFFFF"/>
          <w14:ligatures w14:val="standardContextual"/>
        </w:rPr>
        <w:t>Madu, AJ; Ocheni, S; Nwagha, TA; Ibegbulam, OG; Anike, US</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Multiple myeloma in Nigeria: An insight to the clinical, laboratory features, and outcomes. Nigerian Journal of Clinical Practice 17(2):p 212-217, Mar–Apr 2014.</w:t>
      </w:r>
    </w:p>
    <w:p w14:paraId="4DF8998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Nwabuko OC, Igbigbi EE, Chukwuonye II, Nnoli MA. Multiple myeloma in Niger Delta, Nigeria: complications and the outcome of palliative interventions. Cancer Manag Res. 2017 May 22;9:189-196. </w:t>
      </w:r>
    </w:p>
    <w:p w14:paraId="55267009"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Pires AM, Barreto JP, Caetano J, Soares MJ, Geraldes C, Fernandes B, Coucelo M, et al On Behalf Of The Portuguese Multiple Myeloma Group. Multiple Myeloma Laboratory Diagnostics Made Simple: Practical Insights and Key Recommendations. J Clin Med. 2025 Oct 9;14(19):</w:t>
      </w:r>
    </w:p>
    <w:p w14:paraId="3EA4F89D"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222222"/>
          <w:kern w:val="2"/>
          <w:shd w:val="clear" w:color="auto" w:fill="FFFFFF"/>
          <w14:ligatures w14:val="standardContextual"/>
        </w:rPr>
        <w:t>Thokerunga, E., Ntege, C. &amp; Ahmed, A.O. Are African primary physicians suspicious enough? Challenges of multiple myeloma diagnosis in Africa. </w:t>
      </w:r>
      <w:r w:rsidRPr="000A412F">
        <w:rPr>
          <w:rFonts w:ascii="Arial" w:eastAsia="Aptos" w:hAnsi="Arial" w:cs="Arial"/>
          <w:i/>
          <w:iCs/>
          <w:color w:val="222222"/>
          <w:kern w:val="2"/>
          <w:shd w:val="clear" w:color="auto" w:fill="FFFFFF"/>
          <w14:ligatures w14:val="standardContextual"/>
        </w:rPr>
        <w:t>Egypt J Intern Med</w:t>
      </w:r>
      <w:r w:rsidRPr="000A412F">
        <w:rPr>
          <w:rFonts w:ascii="Arial" w:eastAsia="Aptos" w:hAnsi="Arial" w:cs="Arial"/>
          <w:color w:val="222222"/>
          <w:kern w:val="2"/>
          <w:shd w:val="clear" w:color="auto" w:fill="FFFFFF"/>
          <w14:ligatures w14:val="standardContextual"/>
        </w:rPr>
        <w:t> </w:t>
      </w:r>
      <w:r w:rsidRPr="000A412F">
        <w:rPr>
          <w:rFonts w:ascii="Arial" w:eastAsia="Aptos" w:hAnsi="Arial" w:cs="Arial"/>
          <w:bCs/>
          <w:color w:val="222222"/>
          <w:kern w:val="2"/>
          <w:shd w:val="clear" w:color="auto" w:fill="FFFFFF"/>
          <w14:ligatures w14:val="standardContextual"/>
        </w:rPr>
        <w:t>33</w:t>
      </w:r>
      <w:r w:rsidRPr="000A412F">
        <w:rPr>
          <w:rFonts w:ascii="Arial" w:eastAsia="Aptos" w:hAnsi="Arial" w:cs="Arial"/>
          <w:color w:val="222222"/>
          <w:kern w:val="2"/>
          <w:shd w:val="clear" w:color="auto" w:fill="FFFFFF"/>
          <w14:ligatures w14:val="standardContextual"/>
        </w:rPr>
        <w:t>, 54 (2021). </w:t>
      </w:r>
    </w:p>
    <w:p w14:paraId="59E275B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Silva C, Costa A, Paiva D, Freitas S, Alves G, Cotter J. Light-Chain Multiple Myeloma: A Diagnostic Challenge. Cureus. 2021 Oct 29;13(10)</w:t>
      </w:r>
    </w:p>
    <w:p w14:paraId="5FCB407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lastRenderedPageBreak/>
        <w:t>Lalani A, Aziz K, Khan M, Zubair T, Ahmed SI. A Patient of Multiple Myeloma with Absent M-spike on Serum Protein Electrophoresis and Elevated Serum-Free Light Chains: A Case Report and Literature Review. Cureus. 2019 Aug 16;11(8)</w:t>
      </w:r>
    </w:p>
    <w:p w14:paraId="13757558"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000000"/>
          <w:kern w:val="2"/>
          <w14:ligatures w14:val="standardContextual"/>
        </w:rPr>
        <w:t>Dash S, Mohanty PK, Sahu KK, et al. Delayed diagnosis of multiple myeloma in developing countries. </w:t>
      </w:r>
      <w:r w:rsidRPr="000A412F">
        <w:rPr>
          <w:rFonts w:ascii="Arial" w:eastAsia="Aptos" w:hAnsi="Arial" w:cs="Arial"/>
          <w:i/>
          <w:iCs/>
          <w:color w:val="000000"/>
          <w:kern w:val="2"/>
          <w:bdr w:val="single" w:sz="2" w:space="0" w:color="E5E7EB" w:frame="1"/>
          <w14:ligatures w14:val="standardContextual"/>
        </w:rPr>
        <w:t>J Glob Oncol</w:t>
      </w:r>
      <w:r w:rsidRPr="000A412F">
        <w:rPr>
          <w:rFonts w:ascii="Arial" w:eastAsia="Aptos" w:hAnsi="Arial" w:cs="Arial"/>
          <w:color w:val="000000"/>
          <w:kern w:val="2"/>
          <w14:ligatures w14:val="standardContextual"/>
        </w:rPr>
        <w:t>. 2019;5:1–7</w:t>
      </w:r>
    </w:p>
    <w:p w14:paraId="1C236F76"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Urban VS, Cegledi A, Mikala G. Multiple myeloma, a quintessential malignant disease of aging: a geroscience perspective on pathogenesis and treatment. Geroscience. 2023 Apr;45(2):727-746</w:t>
      </w:r>
    </w:p>
    <w:p w14:paraId="1677C814"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1B1B1B"/>
          <w:kern w:val="2"/>
          <w:shd w:val="clear" w:color="auto" w:fill="FFFFFF"/>
          <w14:ligatures w14:val="standardContextual"/>
        </w:rPr>
        <w:t>Liu L, Yu Z, Cheng H, Mao X, Sui W, Deng S, Wei X, Lv J, Du C, Xu J, Huang W, Xia S, An G, Zhou W, Ma X, Cheng T, Qiu L, Hao M. Multiple myeloma hinders erythropoiesis and causes anaemia owing to high levels of CCL3 in the bone marrow microenvironment. Sci Rep. 2020 Nov 25;10(1):20508.</w:t>
      </w:r>
    </w:p>
    <w:p w14:paraId="0C436250"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222222"/>
          <w:kern w:val="2"/>
          <w:shd w:val="clear" w:color="auto" w:fill="FFFFFF"/>
          <w14:ligatures w14:val="standardContextual"/>
        </w:rPr>
        <w:t xml:space="preserve">Sloan, M.J., Raje, N. (2008). Anemia and Erythropoeitic Growth Factors in Multiple Myeloma. In: Lonial, S. (eds) Myeloma Therapy. Contemporary Hematology. Humana Press. </w:t>
      </w:r>
      <w:hyperlink r:id="rId20" w:history="1">
        <w:r w:rsidRPr="000A412F">
          <w:rPr>
            <w:rFonts w:ascii="Arial" w:eastAsia="Aptos" w:hAnsi="Arial" w:cs="Arial"/>
            <w:color w:val="467886"/>
            <w:kern w:val="2"/>
            <w:u w:val="single"/>
            <w:shd w:val="clear" w:color="auto" w:fill="FFFFFF"/>
            <w14:ligatures w14:val="standardContextual"/>
          </w:rPr>
          <w:t>https://doi.org/10.1007/978-1-59745-564-0_28</w:t>
        </w:r>
      </w:hyperlink>
    </w:p>
    <w:p w14:paraId="101F4FA3"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Rafae A, Malik MN, Abu Zar M, Durer S, Durer C. An Overview of Light Chain Multiple Myeloma: Clinical Characteristics and Rarities, Management Strategies, and Disease Monitoring. Cureus. 2018 Aug 15;10(8):e3148</w:t>
      </w:r>
    </w:p>
    <w:p w14:paraId="1C3ED903"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353535"/>
          <w:kern w:val="2"/>
          <w:shd w:val="clear" w:color="auto" w:fill="FFFFFF"/>
          <w14:ligatures w14:val="standardContextual"/>
        </w:rPr>
        <w:t>Trisal, Monal; Rawat, Anamika</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Mishra, Jyoti</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Sengar, Kangana</w:t>
      </w:r>
      <w:r w:rsidRPr="000A412F">
        <w:rPr>
          <w:rFonts w:ascii="Arial" w:eastAsia="Aptos" w:hAnsi="Arial" w:cs="Arial"/>
          <w:color w:val="353535"/>
          <w:kern w:val="2"/>
          <w:shd w:val="clear" w:color="auto" w:fill="FFFFFF"/>
          <w:vertAlign w:val="superscript"/>
          <w14:ligatures w14:val="standardContextual"/>
        </w:rPr>
        <w:t>2</w:t>
      </w:r>
      <w:r w:rsidRPr="000A412F">
        <w:rPr>
          <w:rFonts w:ascii="Arial" w:eastAsia="Aptos" w:hAnsi="Arial" w:cs="Arial"/>
          <w:color w:val="353535"/>
          <w:kern w:val="2"/>
          <w:shd w:val="clear" w:color="auto" w:fill="FFFFFF"/>
          <w14:ligatures w14:val="standardContextual"/>
        </w:rPr>
        <w:t>; Mishra, Sanjay Kumar</w:t>
      </w:r>
      <w:r w:rsidRPr="000A412F">
        <w:rPr>
          <w:rFonts w:ascii="Arial" w:eastAsia="Aptos" w:hAnsi="Arial" w:cs="Arial"/>
          <w:color w:val="353535"/>
          <w:kern w:val="2"/>
          <w:shd w:val="clear" w:color="auto" w:fill="FFFFFF"/>
          <w:vertAlign w:val="superscript"/>
          <w14:ligatures w14:val="standardContextual"/>
        </w:rPr>
        <w:t>3</w:t>
      </w:r>
      <w:r w:rsidRPr="000A412F">
        <w:rPr>
          <w:rFonts w:ascii="Arial" w:eastAsia="Aptos" w:hAnsi="Arial" w:cs="Arial"/>
          <w:color w:val="353535"/>
          <w:kern w:val="2"/>
          <w:shd w:val="clear" w:color="auto" w:fill="FFFFFF"/>
          <w14:ligatures w14:val="standardContextual"/>
        </w:rPr>
        <w:t>. Non-secretory myeloma: clinical profile and diagnostic utility of immunohistochemistry and free light chain assay in a rare variant of plasma cell myeloma. MGM Journal of Medical Sciences 12(2):p 306-312, April-June 2025. </w:t>
      </w:r>
    </w:p>
    <w:p w14:paraId="321815CB"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686868"/>
          <w:kern w:val="2"/>
          <w:shd w:val="clear" w:color="auto" w:fill="FFFFFF"/>
          <w14:ligatures w14:val="standardContextual"/>
        </w:rPr>
        <w:t>Banderker RB, Fazel FB, Zemlin AE, Khine A-A, Jalavu TP. Serum-free light chain test utilisation at a South African academic laboratory and comparison with serum protein electrophoresis results. Afr J Lab Med. 2023;12(1), a2201</w:t>
      </w:r>
    </w:p>
    <w:p w14:paraId="6108CE1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De Novellis D, Fontana R, Carobene A, Serio B, Ferrara I, Martorelli MC, Mettivier L et al. Serum Free Light-Chain Ratio at Diagnosis Is Associated with Early Renal Damage in Multiple Myeloma: A Case Series Real-World Study. Biomedicines. 2022 Jul 10;10(7)</w:t>
      </w:r>
    </w:p>
    <w:p w14:paraId="29D6E47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hAnsi="Arial" w:cs="Arial"/>
        </w:rPr>
        <w:t>Ellen Jenner,Serum free light chains in clinical laboratory diagnostics,Clinica Chimica Acta,Volume 427,2014, Pages 15-20</w:t>
      </w:r>
    </w:p>
    <w:p w14:paraId="3407146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C1D1E"/>
          <w:kern w:val="2"/>
          <w:shd w:val="clear" w:color="auto" w:fill="FFFFFF"/>
          <w14:ligatures w14:val="standardContextual"/>
        </w:rPr>
        <w:t>Markovic U, Leotta V, Tibullo D, et al. Serum free light chains and multiple myeloma: Is it time to extend their application?. Clin Case Rep. 2020;8:617–624.</w:t>
      </w:r>
    </w:p>
    <w:p w14:paraId="0EA67A3B"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Gallan AJ, Khalighi MA. Lambda Light Chain Crystalline Cast Nephropathy and Proximal Tubulopathy. Kidney Int Rep. 2016 Aug 12;1(4):316-320</w:t>
      </w:r>
    </w:p>
    <w:p w14:paraId="23ABCF80"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Gutiérrez-Peredo GB, Filho JCBO, Montaño-Castellón I, Gutiérrez-Peredo AJ, Crusoé EQ, Gusmao-Flores D. Lambda light chain-induced monoclonal gammopathy of renal significance, manifesting with Fanconi Syndrome and osteomalacia. BMC Nephrol. 2022 Aug 9;23(1):278.</w:t>
      </w:r>
    </w:p>
    <w:p w14:paraId="11441F78"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Wang MY, Yong ZH, Wang S, Wang SX, Zhou XJ, Dong YJet al. Light chain Cast Nephropathy: The Relationship between Tamm-Horsfall Protein Immunoreactivity and Clinical Pathological Features and Prognosis. Kidney Dis (Basel). 2026 Jan 22;12(1):237-247</w:t>
      </w:r>
    </w:p>
    <w:p w14:paraId="7D77FA62" w14:textId="77777777" w:rsidR="000A412F" w:rsidRPr="000A412F" w:rsidRDefault="000A412F" w:rsidP="000A412F">
      <w:pPr>
        <w:spacing w:after="160" w:line="278" w:lineRule="auto"/>
        <w:rPr>
          <w:rFonts w:ascii="Calibri" w:eastAsia="Calibri" w:hAnsi="Calibri"/>
          <w:kern w:val="2"/>
          <w:sz w:val="24"/>
          <w:szCs w:val="24"/>
          <w14:ligatures w14:val="standardContextual"/>
        </w:rPr>
      </w:pPr>
    </w:p>
    <w:p w14:paraId="21A8F0B3" w14:textId="77777777" w:rsidR="00B01FCD" w:rsidRPr="00FB3A86" w:rsidRDefault="00B01FCD" w:rsidP="00441B6F">
      <w:pPr>
        <w:pStyle w:val="Appendix"/>
        <w:spacing w:after="0"/>
        <w:jc w:val="both"/>
        <w:rPr>
          <w:rFonts w:ascii="Arial" w:hAnsi="Arial" w:cs="Arial"/>
          <w:b w:val="0"/>
        </w:rPr>
      </w:pPr>
    </w:p>
    <w:sectPr w:rsidR="00B01FCD" w:rsidRPr="00FB3A86" w:rsidSect="007B0256">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Davinder Kaur" w:date="2026-04-03T18:50:00Z" w:initials="DK">
    <w:p w14:paraId="41E21EF6" w14:textId="77777777" w:rsidR="00CF2685" w:rsidRDefault="00CF2685" w:rsidP="00CF2685">
      <w:pPr>
        <w:pStyle w:val="CommentText"/>
      </w:pPr>
      <w:r>
        <w:rPr>
          <w:rStyle w:val="CommentReference"/>
        </w:rPr>
        <w:annotationRef/>
      </w:r>
      <w:r>
        <w:t>Write references according to journal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E21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93AEB" w16cex:dateUtc="2026-04-03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E21EF6" w16cid:durableId="24193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1662" w14:textId="77777777" w:rsidR="0053426A" w:rsidRDefault="0053426A" w:rsidP="00C37E61">
      <w:r>
        <w:separator/>
      </w:r>
    </w:p>
  </w:endnote>
  <w:endnote w:type="continuationSeparator" w:id="0">
    <w:p w14:paraId="00C922BF" w14:textId="77777777" w:rsidR="0053426A" w:rsidRDefault="005342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E7AC" w14:textId="77777777" w:rsidR="007B0256" w:rsidRDefault="007B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F27D" w14:textId="77777777" w:rsidR="007B0256" w:rsidRDefault="007B0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A1EE" w14:textId="77777777" w:rsidR="009E048A" w:rsidRDefault="009E048A">
    <w:pPr>
      <w:pStyle w:val="Footer"/>
      <w:rPr>
        <w:rFonts w:ascii="Arial" w:hAnsi="Arial" w:cs="Arial"/>
        <w:sz w:val="16"/>
      </w:rPr>
    </w:pPr>
  </w:p>
  <w:p w14:paraId="607B0E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05892" w14:textId="77777777" w:rsidR="009E048A" w:rsidRDefault="009E048A">
    <w:pPr>
      <w:pStyle w:val="Footer"/>
      <w:rPr>
        <w:rFonts w:ascii="Arial" w:hAnsi="Arial" w:cs="Arial"/>
        <w:sz w:val="16"/>
      </w:rPr>
    </w:pPr>
  </w:p>
  <w:p w14:paraId="7E82CDE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6F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D231C" w14:textId="77777777" w:rsidR="0053426A" w:rsidRDefault="0053426A" w:rsidP="00C37E61">
      <w:r>
        <w:separator/>
      </w:r>
    </w:p>
  </w:footnote>
  <w:footnote w:type="continuationSeparator" w:id="0">
    <w:p w14:paraId="198F20D3" w14:textId="77777777" w:rsidR="0053426A" w:rsidRDefault="005342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349" w14:textId="6B318CEB" w:rsidR="007B0256" w:rsidRDefault="00000000">
    <w:pPr>
      <w:pStyle w:val="Header"/>
    </w:pPr>
    <w:r>
      <w:rPr>
        <w:noProof/>
      </w:rPr>
      <w:pict w14:anchorId="7B6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54BC" w14:textId="61418F76" w:rsidR="007B0256" w:rsidRDefault="00000000">
    <w:pPr>
      <w:pStyle w:val="Header"/>
    </w:pPr>
    <w:r>
      <w:rPr>
        <w:noProof/>
      </w:rPr>
      <w:pict w14:anchorId="57909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D1B3" w14:textId="6BB4EDA5" w:rsidR="00296529" w:rsidRPr="00296529" w:rsidRDefault="00000000" w:rsidP="00296529">
    <w:pPr>
      <w:ind w:left="2160"/>
      <w:jc w:val="center"/>
      <w:rPr>
        <w:rFonts w:ascii="Times New Roman" w:eastAsia="Calibri" w:hAnsi="Times New Roman"/>
        <w:i/>
        <w:sz w:val="18"/>
        <w:szCs w:val="22"/>
      </w:rPr>
    </w:pPr>
    <w:r>
      <w:rPr>
        <w:noProof/>
      </w:rPr>
      <w:pict w14:anchorId="5029B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BF9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AD2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D1A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CD1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94A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DB8A0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96B9" w14:textId="5F1C1589" w:rsidR="007B0256" w:rsidRDefault="00000000">
    <w:pPr>
      <w:pStyle w:val="Header"/>
    </w:pPr>
    <w:r>
      <w:rPr>
        <w:noProof/>
      </w:rPr>
      <w:pict w14:anchorId="0E0E8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E52A" w14:textId="3ACC3B95" w:rsidR="007B0256" w:rsidRDefault="00000000">
    <w:pPr>
      <w:pStyle w:val="Header"/>
    </w:pPr>
    <w:r>
      <w:rPr>
        <w:noProof/>
      </w:rPr>
      <w:pict w14:anchorId="0BE3B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5D1E" w14:textId="7BE8C226" w:rsidR="007B0256" w:rsidRDefault="00000000">
    <w:pPr>
      <w:pStyle w:val="Header"/>
    </w:pPr>
    <w:r>
      <w:rPr>
        <w:noProof/>
      </w:rPr>
      <w:pict w14:anchorId="0C4C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6C22B0"/>
    <w:multiLevelType w:val="hybridMultilevel"/>
    <w:tmpl w:val="7A6E5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708057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9614479">
    <w:abstractNumId w:val="16"/>
  </w:num>
  <w:num w:numId="3" w16cid:durableId="1206138478">
    <w:abstractNumId w:val="24"/>
  </w:num>
  <w:num w:numId="4" w16cid:durableId="13509137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93543061">
    <w:abstractNumId w:val="7"/>
  </w:num>
  <w:num w:numId="6" w16cid:durableId="493643361">
    <w:abstractNumId w:val="6"/>
  </w:num>
  <w:num w:numId="7" w16cid:durableId="82075391">
    <w:abstractNumId w:val="1"/>
  </w:num>
  <w:num w:numId="8" w16cid:durableId="847016783">
    <w:abstractNumId w:val="12"/>
  </w:num>
  <w:num w:numId="9" w16cid:durableId="1028917131">
    <w:abstractNumId w:val="26"/>
  </w:num>
  <w:num w:numId="10" w16cid:durableId="425420993">
    <w:abstractNumId w:val="2"/>
  </w:num>
  <w:num w:numId="11" w16cid:durableId="557596729">
    <w:abstractNumId w:val="19"/>
  </w:num>
  <w:num w:numId="12" w16cid:durableId="1381131776">
    <w:abstractNumId w:val="3"/>
  </w:num>
  <w:num w:numId="13" w16cid:durableId="1577587322">
    <w:abstractNumId w:val="18"/>
  </w:num>
  <w:num w:numId="14" w16cid:durableId="2055691789">
    <w:abstractNumId w:val="8"/>
  </w:num>
  <w:num w:numId="15" w16cid:durableId="541133479">
    <w:abstractNumId w:val="22"/>
  </w:num>
  <w:num w:numId="16" w16cid:durableId="1039354110">
    <w:abstractNumId w:val="5"/>
  </w:num>
  <w:num w:numId="17" w16cid:durableId="732578329">
    <w:abstractNumId w:val="23"/>
  </w:num>
  <w:num w:numId="18" w16cid:durableId="693186591">
    <w:abstractNumId w:val="14"/>
  </w:num>
  <w:num w:numId="19" w16cid:durableId="550844215">
    <w:abstractNumId w:val="29"/>
  </w:num>
  <w:num w:numId="20" w16cid:durableId="965046480">
    <w:abstractNumId w:val="11"/>
  </w:num>
  <w:num w:numId="21" w16cid:durableId="1894273374">
    <w:abstractNumId w:val="9"/>
  </w:num>
  <w:num w:numId="22" w16cid:durableId="1292859312">
    <w:abstractNumId w:val="13"/>
  </w:num>
  <w:num w:numId="23" w16cid:durableId="290982308">
    <w:abstractNumId w:val="20"/>
  </w:num>
  <w:num w:numId="24" w16cid:durableId="1194809190">
    <w:abstractNumId w:val="27"/>
  </w:num>
  <w:num w:numId="25" w16cid:durableId="365256972">
    <w:abstractNumId w:val="4"/>
  </w:num>
  <w:num w:numId="26" w16cid:durableId="1378430949">
    <w:abstractNumId w:val="17"/>
  </w:num>
  <w:num w:numId="27" w16cid:durableId="1636914157">
    <w:abstractNumId w:val="21"/>
  </w:num>
  <w:num w:numId="28" w16cid:durableId="1598977493">
    <w:abstractNumId w:val="28"/>
  </w:num>
  <w:num w:numId="29" w16cid:durableId="1244877251">
    <w:abstractNumId w:val="25"/>
  </w:num>
  <w:num w:numId="30" w16cid:durableId="310527479">
    <w:abstractNumId w:val="10"/>
  </w:num>
  <w:num w:numId="31" w16cid:durableId="78029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Davinder Kaur">
    <w15:presenceInfo w15:providerId="Windows Live" w15:userId="5ce7bd3995e07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208"/>
    <w:rsid w:val="00037091"/>
    <w:rsid w:val="000450EC"/>
    <w:rsid w:val="0004579C"/>
    <w:rsid w:val="0008602B"/>
    <w:rsid w:val="0009321B"/>
    <w:rsid w:val="000A412F"/>
    <w:rsid w:val="000A47FA"/>
    <w:rsid w:val="000A65D3"/>
    <w:rsid w:val="000B18B3"/>
    <w:rsid w:val="000B1E33"/>
    <w:rsid w:val="000B37B9"/>
    <w:rsid w:val="000B4521"/>
    <w:rsid w:val="000D0DC5"/>
    <w:rsid w:val="000D47FE"/>
    <w:rsid w:val="000D63AB"/>
    <w:rsid w:val="000D689F"/>
    <w:rsid w:val="000E2C66"/>
    <w:rsid w:val="000E7B7B"/>
    <w:rsid w:val="000E7D62"/>
    <w:rsid w:val="000F0FA9"/>
    <w:rsid w:val="000F12CD"/>
    <w:rsid w:val="00103357"/>
    <w:rsid w:val="0010569D"/>
    <w:rsid w:val="00110466"/>
    <w:rsid w:val="00123C9F"/>
    <w:rsid w:val="00126190"/>
    <w:rsid w:val="00130F17"/>
    <w:rsid w:val="001320BF"/>
    <w:rsid w:val="00163BC4"/>
    <w:rsid w:val="00185850"/>
    <w:rsid w:val="00191062"/>
    <w:rsid w:val="00192B72"/>
    <w:rsid w:val="001949CD"/>
    <w:rsid w:val="001A29D8"/>
    <w:rsid w:val="001A5CAA"/>
    <w:rsid w:val="001A75F1"/>
    <w:rsid w:val="001B0427"/>
    <w:rsid w:val="001B5344"/>
    <w:rsid w:val="001C1DFF"/>
    <w:rsid w:val="001C5F09"/>
    <w:rsid w:val="001D1FD2"/>
    <w:rsid w:val="001D3A51"/>
    <w:rsid w:val="001E10D2"/>
    <w:rsid w:val="001E25B4"/>
    <w:rsid w:val="001E44FE"/>
    <w:rsid w:val="001E5773"/>
    <w:rsid w:val="001F5BED"/>
    <w:rsid w:val="00200595"/>
    <w:rsid w:val="00202E80"/>
    <w:rsid w:val="00204835"/>
    <w:rsid w:val="00212C64"/>
    <w:rsid w:val="00231920"/>
    <w:rsid w:val="0023195C"/>
    <w:rsid w:val="0023536E"/>
    <w:rsid w:val="0024282C"/>
    <w:rsid w:val="002460DC"/>
    <w:rsid w:val="002508D2"/>
    <w:rsid w:val="00250985"/>
    <w:rsid w:val="002556F6"/>
    <w:rsid w:val="00266874"/>
    <w:rsid w:val="00283105"/>
    <w:rsid w:val="00284C4C"/>
    <w:rsid w:val="00287E68"/>
    <w:rsid w:val="00296529"/>
    <w:rsid w:val="002B27FB"/>
    <w:rsid w:val="002B685A"/>
    <w:rsid w:val="002C57D2"/>
    <w:rsid w:val="002C6114"/>
    <w:rsid w:val="002E0D56"/>
    <w:rsid w:val="002E49BE"/>
    <w:rsid w:val="002F218B"/>
    <w:rsid w:val="003121F5"/>
    <w:rsid w:val="00314666"/>
    <w:rsid w:val="00315186"/>
    <w:rsid w:val="003236BC"/>
    <w:rsid w:val="0033343E"/>
    <w:rsid w:val="00340FC8"/>
    <w:rsid w:val="003512C2"/>
    <w:rsid w:val="003601F5"/>
    <w:rsid w:val="00367F64"/>
    <w:rsid w:val="00371FB6"/>
    <w:rsid w:val="003763C1"/>
    <w:rsid w:val="00376BBE"/>
    <w:rsid w:val="00391D6F"/>
    <w:rsid w:val="0039224F"/>
    <w:rsid w:val="003A09A3"/>
    <w:rsid w:val="003A43A4"/>
    <w:rsid w:val="003A680E"/>
    <w:rsid w:val="003A7E18"/>
    <w:rsid w:val="003C2161"/>
    <w:rsid w:val="003C4C86"/>
    <w:rsid w:val="003C6258"/>
    <w:rsid w:val="003D2E2F"/>
    <w:rsid w:val="003E2904"/>
    <w:rsid w:val="00401927"/>
    <w:rsid w:val="0041027F"/>
    <w:rsid w:val="00412475"/>
    <w:rsid w:val="00416FA3"/>
    <w:rsid w:val="00423789"/>
    <w:rsid w:val="00425396"/>
    <w:rsid w:val="004372E1"/>
    <w:rsid w:val="00440F43"/>
    <w:rsid w:val="00441B6F"/>
    <w:rsid w:val="004439D8"/>
    <w:rsid w:val="00446221"/>
    <w:rsid w:val="00450E62"/>
    <w:rsid w:val="0045101D"/>
    <w:rsid w:val="004539DB"/>
    <w:rsid w:val="004604B0"/>
    <w:rsid w:val="00470E46"/>
    <w:rsid w:val="00471A80"/>
    <w:rsid w:val="00473739"/>
    <w:rsid w:val="00474415"/>
    <w:rsid w:val="004B3723"/>
    <w:rsid w:val="004D305E"/>
    <w:rsid w:val="004D4277"/>
    <w:rsid w:val="004D5F26"/>
    <w:rsid w:val="004D5F3D"/>
    <w:rsid w:val="004D66B8"/>
    <w:rsid w:val="004D73DE"/>
    <w:rsid w:val="004F5720"/>
    <w:rsid w:val="00502516"/>
    <w:rsid w:val="00505F06"/>
    <w:rsid w:val="00506828"/>
    <w:rsid w:val="00512102"/>
    <w:rsid w:val="0053056E"/>
    <w:rsid w:val="0053426A"/>
    <w:rsid w:val="00554FDA"/>
    <w:rsid w:val="00594257"/>
    <w:rsid w:val="005A272B"/>
    <w:rsid w:val="005A4BA4"/>
    <w:rsid w:val="005A6425"/>
    <w:rsid w:val="005B618F"/>
    <w:rsid w:val="005C46DD"/>
    <w:rsid w:val="005C784C"/>
    <w:rsid w:val="005D17F6"/>
    <w:rsid w:val="005E5539"/>
    <w:rsid w:val="00602427"/>
    <w:rsid w:val="00602BF5"/>
    <w:rsid w:val="00615D00"/>
    <w:rsid w:val="00617FDD"/>
    <w:rsid w:val="0062454C"/>
    <w:rsid w:val="00633614"/>
    <w:rsid w:val="00633F68"/>
    <w:rsid w:val="00636EB2"/>
    <w:rsid w:val="006375B8"/>
    <w:rsid w:val="00652DAB"/>
    <w:rsid w:val="0066510A"/>
    <w:rsid w:val="006716CA"/>
    <w:rsid w:val="00673F9F"/>
    <w:rsid w:val="00676AE5"/>
    <w:rsid w:val="00683875"/>
    <w:rsid w:val="00686953"/>
    <w:rsid w:val="00687DEA"/>
    <w:rsid w:val="00687E67"/>
    <w:rsid w:val="00691749"/>
    <w:rsid w:val="00694873"/>
    <w:rsid w:val="006967F7"/>
    <w:rsid w:val="006A250C"/>
    <w:rsid w:val="006B21D3"/>
    <w:rsid w:val="006B57D0"/>
    <w:rsid w:val="006D30FF"/>
    <w:rsid w:val="006D6940"/>
    <w:rsid w:val="006E0B0F"/>
    <w:rsid w:val="006F11EC"/>
    <w:rsid w:val="006F722E"/>
    <w:rsid w:val="0070082C"/>
    <w:rsid w:val="00715303"/>
    <w:rsid w:val="007369E6"/>
    <w:rsid w:val="00746E59"/>
    <w:rsid w:val="00754C9A"/>
    <w:rsid w:val="0075599A"/>
    <w:rsid w:val="007612CE"/>
    <w:rsid w:val="00761D52"/>
    <w:rsid w:val="00767D00"/>
    <w:rsid w:val="0077749E"/>
    <w:rsid w:val="00783242"/>
    <w:rsid w:val="00790ADA"/>
    <w:rsid w:val="007A772B"/>
    <w:rsid w:val="007B00C3"/>
    <w:rsid w:val="007B0256"/>
    <w:rsid w:val="007B5AE0"/>
    <w:rsid w:val="007C18FB"/>
    <w:rsid w:val="007D2288"/>
    <w:rsid w:val="007E088F"/>
    <w:rsid w:val="007F4A1C"/>
    <w:rsid w:val="007F7B32"/>
    <w:rsid w:val="00801470"/>
    <w:rsid w:val="00803F93"/>
    <w:rsid w:val="00804BC2"/>
    <w:rsid w:val="0081431A"/>
    <w:rsid w:val="00830E31"/>
    <w:rsid w:val="0083216F"/>
    <w:rsid w:val="008368BC"/>
    <w:rsid w:val="00836D23"/>
    <w:rsid w:val="008530F7"/>
    <w:rsid w:val="00860000"/>
    <w:rsid w:val="00863BD3"/>
    <w:rsid w:val="008641ED"/>
    <w:rsid w:val="00866D66"/>
    <w:rsid w:val="008671C6"/>
    <w:rsid w:val="00873882"/>
    <w:rsid w:val="00875803"/>
    <w:rsid w:val="008761FB"/>
    <w:rsid w:val="0088306C"/>
    <w:rsid w:val="00883329"/>
    <w:rsid w:val="00887B6A"/>
    <w:rsid w:val="008A3624"/>
    <w:rsid w:val="008B1163"/>
    <w:rsid w:val="008B459E"/>
    <w:rsid w:val="008D4D07"/>
    <w:rsid w:val="008E13AE"/>
    <w:rsid w:val="008E1506"/>
    <w:rsid w:val="008E6B89"/>
    <w:rsid w:val="008E710C"/>
    <w:rsid w:val="008F1CBB"/>
    <w:rsid w:val="008F23BE"/>
    <w:rsid w:val="008F69D6"/>
    <w:rsid w:val="00902823"/>
    <w:rsid w:val="00905974"/>
    <w:rsid w:val="00915CA6"/>
    <w:rsid w:val="00920EF2"/>
    <w:rsid w:val="00927834"/>
    <w:rsid w:val="0094478F"/>
    <w:rsid w:val="009500A6"/>
    <w:rsid w:val="00957C18"/>
    <w:rsid w:val="00964CF6"/>
    <w:rsid w:val="009659BA"/>
    <w:rsid w:val="00983040"/>
    <w:rsid w:val="009A630B"/>
    <w:rsid w:val="009B3FB9"/>
    <w:rsid w:val="009C2465"/>
    <w:rsid w:val="009D1220"/>
    <w:rsid w:val="009D35A0"/>
    <w:rsid w:val="009D7EB7"/>
    <w:rsid w:val="009E048A"/>
    <w:rsid w:val="009E08E9"/>
    <w:rsid w:val="009E3DB9"/>
    <w:rsid w:val="009E6E35"/>
    <w:rsid w:val="009F0EDA"/>
    <w:rsid w:val="00A03B96"/>
    <w:rsid w:val="00A05B19"/>
    <w:rsid w:val="00A1134E"/>
    <w:rsid w:val="00A135AD"/>
    <w:rsid w:val="00A24E7E"/>
    <w:rsid w:val="00A258C3"/>
    <w:rsid w:val="00A347C0"/>
    <w:rsid w:val="00A34E8D"/>
    <w:rsid w:val="00A51431"/>
    <w:rsid w:val="00A539AD"/>
    <w:rsid w:val="00A60D15"/>
    <w:rsid w:val="00A6158D"/>
    <w:rsid w:val="00A67020"/>
    <w:rsid w:val="00A705E3"/>
    <w:rsid w:val="00A94063"/>
    <w:rsid w:val="00AA6219"/>
    <w:rsid w:val="00AA74E0"/>
    <w:rsid w:val="00AB703F"/>
    <w:rsid w:val="00AC28F4"/>
    <w:rsid w:val="00AC6BB8"/>
    <w:rsid w:val="00AD027E"/>
    <w:rsid w:val="00AE008F"/>
    <w:rsid w:val="00AE13CA"/>
    <w:rsid w:val="00AE1E22"/>
    <w:rsid w:val="00B011DB"/>
    <w:rsid w:val="00B01FCD"/>
    <w:rsid w:val="00B02C76"/>
    <w:rsid w:val="00B1776C"/>
    <w:rsid w:val="00B26E1F"/>
    <w:rsid w:val="00B34069"/>
    <w:rsid w:val="00B35813"/>
    <w:rsid w:val="00B36267"/>
    <w:rsid w:val="00B52583"/>
    <w:rsid w:val="00B52896"/>
    <w:rsid w:val="00B702AA"/>
    <w:rsid w:val="00B7294F"/>
    <w:rsid w:val="00B8133A"/>
    <w:rsid w:val="00B95236"/>
    <w:rsid w:val="00B95916"/>
    <w:rsid w:val="00B96BD9"/>
    <w:rsid w:val="00BA1B01"/>
    <w:rsid w:val="00BA2641"/>
    <w:rsid w:val="00BA7D6C"/>
    <w:rsid w:val="00BB37AA"/>
    <w:rsid w:val="00BC53A0"/>
    <w:rsid w:val="00BE62AD"/>
    <w:rsid w:val="00BF121F"/>
    <w:rsid w:val="00BF1F80"/>
    <w:rsid w:val="00C02182"/>
    <w:rsid w:val="00C1259E"/>
    <w:rsid w:val="00C166EF"/>
    <w:rsid w:val="00C17EB0"/>
    <w:rsid w:val="00C24D5A"/>
    <w:rsid w:val="00C27F5F"/>
    <w:rsid w:val="00C30A0F"/>
    <w:rsid w:val="00C3230F"/>
    <w:rsid w:val="00C37E61"/>
    <w:rsid w:val="00C52B84"/>
    <w:rsid w:val="00C70F1B"/>
    <w:rsid w:val="00C71A47"/>
    <w:rsid w:val="00C7464C"/>
    <w:rsid w:val="00C85588"/>
    <w:rsid w:val="00C90E04"/>
    <w:rsid w:val="00CB2001"/>
    <w:rsid w:val="00CC4400"/>
    <w:rsid w:val="00CD2970"/>
    <w:rsid w:val="00CD6755"/>
    <w:rsid w:val="00CD6856"/>
    <w:rsid w:val="00CE0089"/>
    <w:rsid w:val="00CE793C"/>
    <w:rsid w:val="00CF079A"/>
    <w:rsid w:val="00CF1728"/>
    <w:rsid w:val="00CF193C"/>
    <w:rsid w:val="00CF2685"/>
    <w:rsid w:val="00CF31FB"/>
    <w:rsid w:val="00D173F1"/>
    <w:rsid w:val="00D27053"/>
    <w:rsid w:val="00D5254D"/>
    <w:rsid w:val="00D538C8"/>
    <w:rsid w:val="00D575E8"/>
    <w:rsid w:val="00D74CB0"/>
    <w:rsid w:val="00D8295D"/>
    <w:rsid w:val="00DC2A65"/>
    <w:rsid w:val="00DC58A1"/>
    <w:rsid w:val="00DD2DAE"/>
    <w:rsid w:val="00DE15F0"/>
    <w:rsid w:val="00DE4100"/>
    <w:rsid w:val="00DE52D2"/>
    <w:rsid w:val="00DE5663"/>
    <w:rsid w:val="00DE78AA"/>
    <w:rsid w:val="00DF6CFF"/>
    <w:rsid w:val="00E053D0"/>
    <w:rsid w:val="00E156AE"/>
    <w:rsid w:val="00E15994"/>
    <w:rsid w:val="00E27BC6"/>
    <w:rsid w:val="00E3114E"/>
    <w:rsid w:val="00E31A70"/>
    <w:rsid w:val="00E35B02"/>
    <w:rsid w:val="00E66496"/>
    <w:rsid w:val="00E66B35"/>
    <w:rsid w:val="00E66E10"/>
    <w:rsid w:val="00E6700F"/>
    <w:rsid w:val="00E718CB"/>
    <w:rsid w:val="00E769F6"/>
    <w:rsid w:val="00E82A0B"/>
    <w:rsid w:val="00E8407C"/>
    <w:rsid w:val="00E84F3C"/>
    <w:rsid w:val="00EA012C"/>
    <w:rsid w:val="00EA4714"/>
    <w:rsid w:val="00EA6014"/>
    <w:rsid w:val="00EA741C"/>
    <w:rsid w:val="00EC2BBB"/>
    <w:rsid w:val="00EC6A55"/>
    <w:rsid w:val="00ED0288"/>
    <w:rsid w:val="00EE52CB"/>
    <w:rsid w:val="00EF2539"/>
    <w:rsid w:val="00EF581D"/>
    <w:rsid w:val="00EF7FD8"/>
    <w:rsid w:val="00F06F59"/>
    <w:rsid w:val="00F10AC7"/>
    <w:rsid w:val="00F17988"/>
    <w:rsid w:val="00F2752D"/>
    <w:rsid w:val="00F469F0"/>
    <w:rsid w:val="00F53273"/>
    <w:rsid w:val="00F755E4"/>
    <w:rsid w:val="00F77D02"/>
    <w:rsid w:val="00FA14E7"/>
    <w:rsid w:val="00FA6851"/>
    <w:rsid w:val="00FB042B"/>
    <w:rsid w:val="00FB3A86"/>
    <w:rsid w:val="00FB7178"/>
    <w:rsid w:val="00FC0714"/>
    <w:rsid w:val="00FC698D"/>
    <w:rsid w:val="00FD36C8"/>
    <w:rsid w:val="00FD488C"/>
    <w:rsid w:val="00FF2F09"/>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6F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A272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F2685"/>
    <w:rPr>
      <w:rFonts w:ascii="Helvetica" w:hAnsi="Helvetica"/>
      <w:b/>
      <w:bCs/>
      <w:lang w:val="en-US" w:eastAsia="en-US"/>
    </w:rPr>
  </w:style>
  <w:style w:type="character" w:customStyle="1" w:styleId="CommentSubjectChar">
    <w:name w:val="Comment Subject Char"/>
    <w:basedOn w:val="CommentTextChar"/>
    <w:link w:val="CommentSubject"/>
    <w:semiHidden/>
    <w:rsid w:val="00CF268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doi.org/10.1007/978-1-59745-564-0_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141F-0F12-4EDD-8816-7EAA442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6</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Davinder Kaur</cp:lastModifiedBy>
  <cp:revision>3</cp:revision>
  <cp:lastPrinted>1999-07-06T11:00:00Z</cp:lastPrinted>
  <dcterms:created xsi:type="dcterms:W3CDTF">2026-04-03T08:19:00Z</dcterms:created>
  <dcterms:modified xsi:type="dcterms:W3CDTF">2026-04-03T13:20:00Z</dcterms:modified>
</cp:coreProperties>
</file>