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35CA" w:rsidRPr="00854B4E" w14:paraId="5F55121D" w14:textId="77777777">
        <w:trPr>
          <w:trHeight w:val="20"/>
          <w:jc w:val="center"/>
        </w:trPr>
        <w:tc>
          <w:tcPr>
            <w:tcW w:w="1186" w:type="pct"/>
          </w:tcPr>
          <w:p w14:paraId="2499CDD6" w14:textId="77777777" w:rsidR="007E35CA" w:rsidRPr="00854B4E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7A567F" w14:textId="77777777" w:rsidR="007E35CA" w:rsidRPr="00854B4E" w:rsidRDefault="004D20E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Gastroenterology and Hepatology</w:t>
            </w:r>
          </w:p>
        </w:tc>
      </w:tr>
      <w:tr w:rsidR="007E35CA" w:rsidRPr="00854B4E" w14:paraId="64BA35F8" w14:textId="77777777">
        <w:trPr>
          <w:trHeight w:val="20"/>
          <w:jc w:val="center"/>
        </w:trPr>
        <w:tc>
          <w:tcPr>
            <w:tcW w:w="1186" w:type="pct"/>
          </w:tcPr>
          <w:p w14:paraId="5DA4C36A" w14:textId="77777777" w:rsidR="007E35CA" w:rsidRPr="00854B4E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E9B465" w14:textId="77777777" w:rsidR="007E35CA" w:rsidRPr="00854B4E" w:rsidRDefault="00F74F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Ms_IRJGH_156449</w:t>
            </w:r>
          </w:p>
        </w:tc>
      </w:tr>
      <w:tr w:rsidR="007E35CA" w:rsidRPr="00854B4E" w14:paraId="08016B17" w14:textId="77777777">
        <w:trPr>
          <w:trHeight w:val="20"/>
          <w:jc w:val="center"/>
        </w:trPr>
        <w:tc>
          <w:tcPr>
            <w:tcW w:w="1186" w:type="pct"/>
          </w:tcPr>
          <w:p w14:paraId="56B55C89" w14:textId="77777777" w:rsidR="007E35CA" w:rsidRPr="00854B4E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ABCDC3" w14:textId="77777777" w:rsidR="007E35CA" w:rsidRPr="00854B4E" w:rsidRDefault="00F74F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>Midodrine Therapy in Cirrhosis with Refractory Ascites: Impact on Survival and Paracentesis Frequency Compared with Large-Volume Paracentesis</w:t>
            </w:r>
          </w:p>
        </w:tc>
      </w:tr>
      <w:tr w:rsidR="007E35CA" w:rsidRPr="00854B4E" w14:paraId="223C6451" w14:textId="77777777">
        <w:trPr>
          <w:trHeight w:val="20"/>
          <w:jc w:val="center"/>
        </w:trPr>
        <w:tc>
          <w:tcPr>
            <w:tcW w:w="1186" w:type="pct"/>
          </w:tcPr>
          <w:p w14:paraId="3975FC24" w14:textId="77777777" w:rsidR="007E35CA" w:rsidRPr="00854B4E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56C00D" w14:textId="77777777" w:rsidR="007E35CA" w:rsidRPr="00854B4E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1129DCB" w14:textId="77777777" w:rsidR="007E35CA" w:rsidRPr="00854B4E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E13CAA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E0F2F1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D4CF56" w14:textId="77777777" w:rsidR="007E35CA" w:rsidRPr="00854B4E" w:rsidRDefault="007E35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9A2A7F8" w14:textId="77777777" w:rsidR="007E35CA" w:rsidRPr="00854B4E" w:rsidRDefault="007E35C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1285BA" w14:textId="77777777" w:rsidR="007E35CA" w:rsidRPr="00854B4E" w:rsidRDefault="004D20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54B4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1A0DFA0" w14:textId="77777777" w:rsidR="007E35CA" w:rsidRPr="00854B4E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3AFD9AA" w14:textId="77777777" w:rsidR="007E35CA" w:rsidRPr="00854B4E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E35CA" w:rsidRPr="00854B4E" w14:paraId="6A46C4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C3E0EC0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3C893DF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54B4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0DDADBA" w14:textId="77777777" w:rsidR="007E35CA" w:rsidRPr="00854B4E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4B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4B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5E78A2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75D026D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E5C764" w14:textId="77777777" w:rsidR="007E35CA" w:rsidRPr="00854B4E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1F261E" w14:textId="77777777" w:rsidR="007E35CA" w:rsidRPr="00854B4E" w:rsidRDefault="007E35C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705F7C3" w14:textId="22432DCA" w:rsidR="007E35CA" w:rsidRPr="00854B4E" w:rsidRDefault="00C8492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addresses an important clinical challenge, namely the management of refractory ascites in patients with cirrhosis, a condition associated with high morbidity and mortality. By systematically evaluating the role of midodrine, alone or in combination with other therapies, the study provides a focused synthesis of evidence on its potential benefits in improving </w:t>
            </w:r>
            <w:proofErr w:type="spellStart"/>
            <w:r w:rsidRPr="00854B4E">
              <w:rPr>
                <w:rFonts w:ascii="Arial" w:hAnsi="Arial" w:cs="Arial"/>
                <w:sz w:val="20"/>
                <w:szCs w:val="20"/>
                <w:lang w:val="en-GB"/>
              </w:rPr>
              <w:t>hemodynamics</w:t>
            </w:r>
            <w:proofErr w:type="spellEnd"/>
            <w:r w:rsidRPr="00854B4E">
              <w:rPr>
                <w:rFonts w:ascii="Arial" w:hAnsi="Arial" w:cs="Arial"/>
                <w:sz w:val="20"/>
                <w:szCs w:val="20"/>
                <w:lang w:val="en-GB"/>
              </w:rPr>
              <w:t>, renal function, and clinical outcomes. The findings contribute to ongoing discussions regarding alternative or adjunctive therapies to standard large-volume paracentesis and albumin infusion. With further methodological refinement, this review could serve as a useful resource for clinicians and researchers aiming to optimize treatment strategies in this high-risk patient population.</w:t>
            </w:r>
          </w:p>
        </w:tc>
        <w:tc>
          <w:tcPr>
            <w:tcW w:w="1367" w:type="pct"/>
          </w:tcPr>
          <w:p w14:paraId="5AFEA36B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6E3628" w14:textId="77777777" w:rsidR="007E35CA" w:rsidRPr="00854B4E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18207DB7" w14:textId="77777777" w:rsidR="007E35CA" w:rsidRPr="00854B4E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31839F83" w14:textId="77777777" w:rsidR="007E35CA" w:rsidRPr="00854B4E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218B29C0" w14:textId="77777777" w:rsidR="007E35CA" w:rsidRPr="00854B4E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54B4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2CD7753" w14:textId="77777777" w:rsidR="007E35CA" w:rsidRPr="00854B4E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E35CA" w:rsidRPr="00854B4E" w14:paraId="387B368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F679D6B" w14:textId="77777777" w:rsidR="007E35CA" w:rsidRPr="00854B4E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0EEBDC" w14:textId="77777777" w:rsidR="007E35CA" w:rsidRPr="00854B4E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35CA" w:rsidRPr="00854B4E" w14:paraId="0DC65A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E7D08D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D38A68F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54B4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15AA707" w14:textId="77777777" w:rsidR="007E35CA" w:rsidRPr="00854B4E" w:rsidRDefault="004D20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4B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35CA" w:rsidRPr="00854B4E" w14:paraId="455641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864D34" w14:textId="77777777" w:rsidR="007E35CA" w:rsidRPr="00854B4E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44C7C92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3E9D5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3E6B1D" w14:textId="06405396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A03677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5DE717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2290DF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54B4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E1C7AA0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92E23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B984E" w14:textId="6CD3539E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5ECCE3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36E396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7E6193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C71FB79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93E34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4244A" w14:textId="023BC219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D0E4BB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53E539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0237D0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2414A1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85E2C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1973A" w14:textId="4991E98F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934C5B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621919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D8891A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D106C02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C6017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CF4A9E" w14:textId="7DBA00CB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6E5754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56A281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FD5AE6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D951154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6B362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DC97B5" w14:textId="63BD6787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B4E42E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771D05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1B97A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7154CBF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E038C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4AC243" w14:textId="74398294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0B6B37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133779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776DF8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3C285DC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5F655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17D134" w14:textId="5D534E1E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C185D1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0F904F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304315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4B4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08A5C04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F8C1B1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2BA501" w14:textId="5FE8B388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65DB06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449C11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53E311" w14:textId="77777777" w:rsidR="007E35CA" w:rsidRPr="00854B4E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54B4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54B4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33AD598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120ED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915D8" w14:textId="7D3C520D" w:rsidR="007E35CA" w:rsidRPr="00854B4E" w:rsidRDefault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C7A89A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5D1751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5A1F9" w14:textId="77777777" w:rsidR="007E35CA" w:rsidRPr="00854B4E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A338E59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8AB59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245F4" w14:textId="0E24C146" w:rsidR="007E35CA" w:rsidRPr="00854B4E" w:rsidRDefault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428C90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4EF545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AC9E84" w14:textId="77777777" w:rsidR="007E35CA" w:rsidRPr="00854B4E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134A2B3C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96B40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44308C" w14:textId="33175A58" w:rsidR="007E35CA" w:rsidRPr="00854B4E" w:rsidRDefault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072A7A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0D1923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9DEB0" w14:textId="77777777" w:rsidR="007E35CA" w:rsidRPr="00854B4E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54B4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E30C420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0F6AF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64898A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FD578A" w14:textId="21F1B97D" w:rsidR="007E35CA" w:rsidRPr="00854B4E" w:rsidRDefault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140BE5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3D0361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85710E" w14:textId="77777777" w:rsidR="007E35CA" w:rsidRPr="00854B4E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24EF403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3ED55" w14:textId="77777777" w:rsidR="007E35CA" w:rsidRPr="00854B4E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E4B257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9A92FE" w14:textId="5165A9E1" w:rsidR="007E35CA" w:rsidRPr="00854B4E" w:rsidRDefault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05D684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B83DD5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8E813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5BF69E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1103CF" w14:textId="77777777" w:rsidR="007E35CA" w:rsidRPr="00854B4E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54B4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CBF212" w14:textId="77777777" w:rsidR="007E35CA" w:rsidRPr="00854B4E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E35CA" w:rsidRPr="00854B4E" w14:paraId="199226D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12562A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B803086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54B4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FD23F0C" w14:textId="77777777" w:rsidR="007E35CA" w:rsidRPr="00854B4E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C99C4D" w14:textId="77777777" w:rsidR="007E35CA" w:rsidRPr="00854B4E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4B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4B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7E3A5F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7D05161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6E958F5" w14:textId="77777777" w:rsidR="007E35CA" w:rsidRPr="00854B4E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0667BA" w14:textId="77777777" w:rsidR="007E35CA" w:rsidRPr="00854B4E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C6114E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92A2CB" w14:textId="4162BD8B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7E7C2E31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4AFF614D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2D8025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54B4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99D4CC" w14:textId="77777777" w:rsidR="007E35CA" w:rsidRPr="00854B4E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856948" w14:textId="77777777" w:rsidR="007E35CA" w:rsidRPr="00854B4E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24BA75" w14:textId="335385C5" w:rsidR="007E35CA" w:rsidRPr="00854B4E" w:rsidRDefault="00C84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2C120966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3B9A503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244993E" w14:textId="77777777" w:rsidR="007E35CA" w:rsidRPr="00854B4E" w:rsidRDefault="004D20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54B4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54B4E">
              <w:rPr>
                <w:rFonts w:ascii="Arial" w:hAnsi="Arial" w:cs="Arial"/>
                <w:lang w:val="en-GB" w:eastAsia="en-US"/>
              </w:rPr>
              <w:br/>
            </w:r>
          </w:p>
          <w:p w14:paraId="5CB7CA4B" w14:textId="77777777" w:rsidR="007E35CA" w:rsidRPr="00854B4E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148AB9" w14:textId="77777777" w:rsidR="00C84920" w:rsidRPr="00854B4E" w:rsidRDefault="00C84920" w:rsidP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</w:t>
            </w:r>
          </w:p>
          <w:p w14:paraId="511A8A7C" w14:textId="77777777" w:rsidR="00C84920" w:rsidRPr="00854B4E" w:rsidRDefault="00C84920" w:rsidP="00C84920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3FA87E" w14:textId="77777777" w:rsidR="00C84920" w:rsidRPr="00854B4E" w:rsidRDefault="00C84920" w:rsidP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should:</w:t>
            </w:r>
          </w:p>
          <w:p w14:paraId="5F2F9D66" w14:textId="77777777" w:rsidR="00C84920" w:rsidRPr="00854B4E" w:rsidRDefault="00C84920" w:rsidP="00C84920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B631AA" w14:textId="77777777" w:rsidR="00C84920" w:rsidRPr="00854B4E" w:rsidRDefault="00C84920" w:rsidP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Remove the geographic restriction (U.S.-only studies) or provide strong justification, as this introduces selection bias.</w:t>
            </w:r>
          </w:p>
          <w:p w14:paraId="289C2EE9" w14:textId="77777777" w:rsidR="00C84920" w:rsidRPr="00854B4E" w:rsidRDefault="00C84920" w:rsidP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Expand the literature search to multiple databases (e.g., PubMed, </w:t>
            </w:r>
            <w:proofErr w:type="spellStart"/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Embase</w:t>
            </w:r>
            <w:proofErr w:type="spellEnd"/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Cochrane) to ensure comprehensive coverage.</w:t>
            </w:r>
          </w:p>
          <w:p w14:paraId="0AC0668E" w14:textId="77777777" w:rsidR="00C84920" w:rsidRPr="00854B4E" w:rsidRDefault="00C84920" w:rsidP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a formal risk-of-bias or quality assessment (e.g., PRISMA, Cochrane tools) for included studies.</w:t>
            </w:r>
          </w:p>
          <w:p w14:paraId="11D8993C" w14:textId="122B1B1F" w:rsidR="007E35CA" w:rsidRPr="00854B4E" w:rsidRDefault="00C84920" w:rsidP="00C849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Avoid overgeneralizing conclusions given the small number of studies and conflicting evidence.</w:t>
            </w:r>
          </w:p>
        </w:tc>
        <w:tc>
          <w:tcPr>
            <w:tcW w:w="1523" w:type="pct"/>
          </w:tcPr>
          <w:p w14:paraId="3D7B3B2F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63AC929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053005" w14:textId="77777777" w:rsidR="007E35CA" w:rsidRPr="00854B4E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40FECF6" w14:textId="77777777" w:rsidR="007E35CA" w:rsidRPr="00854B4E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02553D" w14:textId="77777777" w:rsidR="007E35CA" w:rsidRPr="00854B4E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E8CBDA7" w14:textId="2515E36D" w:rsidR="007E35CA" w:rsidRPr="00854B4E" w:rsidRDefault="00B552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7854AE38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854B4E" w14:paraId="118906B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810C50" w14:textId="77777777" w:rsidR="007E35CA" w:rsidRPr="00854B4E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C24841" w14:textId="77777777" w:rsidR="007E35CA" w:rsidRPr="00854B4E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5AD4BC" w14:textId="77777777" w:rsidR="007E35CA" w:rsidRPr="00854B4E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FF215" w14:textId="77777777" w:rsidR="007E35CA" w:rsidRPr="00854B4E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16FBE7" w14:textId="77777777" w:rsidR="007E35CA" w:rsidRPr="00854B4E" w:rsidRDefault="007E35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CA9287" w14:textId="175F4BF1" w:rsidR="007E35CA" w:rsidRPr="00854B4E" w:rsidRDefault="00B552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3641511" w14:textId="77777777" w:rsidR="007E35CA" w:rsidRPr="00854B4E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D376A4" w14:textId="77777777" w:rsidR="007E35CA" w:rsidRPr="00854B4E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5B7B5B73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703DDE" w14:textId="77777777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FA0A8B" w14:textId="77777777" w:rsidR="00854B4E" w:rsidRPr="00854B4E" w:rsidRDefault="00854B4E" w:rsidP="00854B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4B4E">
        <w:rPr>
          <w:rFonts w:ascii="Arial" w:hAnsi="Arial" w:cs="Arial"/>
          <w:b/>
          <w:u w:val="single"/>
        </w:rPr>
        <w:t>Reviewer details:</w:t>
      </w:r>
    </w:p>
    <w:p w14:paraId="3B02477D" w14:textId="57732A6C" w:rsidR="007E35CA" w:rsidRPr="00854B4E" w:rsidRDefault="007E35C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</w:p>
    <w:p w14:paraId="782F465A" w14:textId="2CF5E0D7" w:rsidR="00854B4E" w:rsidRPr="00854B4E" w:rsidRDefault="00854B4E" w:rsidP="00854B4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854B4E">
        <w:rPr>
          <w:rFonts w:ascii="Arial" w:hAnsi="Arial" w:cs="Arial"/>
          <w:b/>
          <w:bCs/>
          <w:sz w:val="20"/>
          <w:szCs w:val="20"/>
          <w:lang w:val="en-GB"/>
        </w:rPr>
        <w:t xml:space="preserve">Abu Md </w:t>
      </w:r>
      <w:proofErr w:type="spellStart"/>
      <w:r w:rsidRPr="00854B4E">
        <w:rPr>
          <w:rFonts w:ascii="Arial" w:hAnsi="Arial" w:cs="Arial"/>
          <w:b/>
          <w:bCs/>
          <w:sz w:val="20"/>
          <w:szCs w:val="20"/>
          <w:lang w:val="en-GB"/>
        </w:rPr>
        <w:t>Ashif</w:t>
      </w:r>
      <w:proofErr w:type="spellEnd"/>
      <w:r w:rsidRPr="00854B4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54B4E">
        <w:rPr>
          <w:rFonts w:ascii="Arial" w:hAnsi="Arial" w:cs="Arial"/>
          <w:b/>
          <w:bCs/>
          <w:sz w:val="20"/>
          <w:szCs w:val="20"/>
          <w:lang w:val="en-GB"/>
        </w:rPr>
        <w:t>Ikbal</w:t>
      </w:r>
      <w:proofErr w:type="spellEnd"/>
      <w:r w:rsidRPr="00854B4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54B4E">
        <w:rPr>
          <w:rFonts w:ascii="Arial" w:hAnsi="Arial" w:cs="Arial"/>
          <w:b/>
          <w:bCs/>
          <w:sz w:val="20"/>
          <w:szCs w:val="20"/>
          <w:lang w:val="en-GB"/>
        </w:rPr>
        <w:t>Assam University, India</w:t>
      </w:r>
    </w:p>
    <w:bookmarkEnd w:id="0"/>
    <w:p w14:paraId="51A6DBD4" w14:textId="77777777" w:rsidR="00854B4E" w:rsidRPr="00854B4E" w:rsidRDefault="00854B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54B4E" w:rsidRPr="00854B4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DD58" w14:textId="77777777" w:rsidR="00D47506" w:rsidRDefault="00D47506">
      <w:r>
        <w:separator/>
      </w:r>
    </w:p>
  </w:endnote>
  <w:endnote w:type="continuationSeparator" w:id="0">
    <w:p w14:paraId="6E319897" w14:textId="77777777" w:rsidR="00D47506" w:rsidRDefault="00D4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4B02" w14:textId="568B9F71" w:rsidR="007E35CA" w:rsidRDefault="004D20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7CF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7CF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E527814" w14:textId="77777777" w:rsidR="007E35CA" w:rsidRDefault="007E35CA">
    <w:pPr>
      <w:pStyle w:val="Footer"/>
      <w:jc w:val="right"/>
    </w:pPr>
  </w:p>
  <w:p w14:paraId="0CD53D8F" w14:textId="77777777" w:rsidR="007E35CA" w:rsidRDefault="007E35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9F91" w14:textId="77777777" w:rsidR="00D47506" w:rsidRDefault="00D47506">
      <w:r>
        <w:separator/>
      </w:r>
    </w:p>
  </w:footnote>
  <w:footnote w:type="continuationSeparator" w:id="0">
    <w:p w14:paraId="2C66ACDE" w14:textId="77777777" w:rsidR="00D47506" w:rsidRDefault="00D4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D6FC" w14:textId="77777777" w:rsidR="007E35CA" w:rsidRDefault="007E35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2459BD" w14:textId="77777777" w:rsidR="007E35CA" w:rsidRDefault="004D20E3">
    <w:pPr>
      <w:spacing w:before="100" w:beforeAutospacing="1" w:after="100" w:afterAutospacing="1"/>
      <w:jc w:val="center"/>
      <w:rPr>
        <w:color w:val="000000"/>
        <w:sz w:val="20"/>
      </w:rPr>
    </w:pPr>
    <w:r w:rsidRPr="00D4750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5CA"/>
    <w:rsid w:val="00337CF8"/>
    <w:rsid w:val="004D20E3"/>
    <w:rsid w:val="005439CB"/>
    <w:rsid w:val="00596FDD"/>
    <w:rsid w:val="007E35CA"/>
    <w:rsid w:val="008475B4"/>
    <w:rsid w:val="00854B4E"/>
    <w:rsid w:val="008F3D0D"/>
    <w:rsid w:val="009F2FD2"/>
    <w:rsid w:val="00AD6341"/>
    <w:rsid w:val="00B552AC"/>
    <w:rsid w:val="00C84920"/>
    <w:rsid w:val="00CB42B4"/>
    <w:rsid w:val="00D4029B"/>
    <w:rsid w:val="00D47506"/>
    <w:rsid w:val="00F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94B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54B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