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456BA" w14:textId="77777777" w:rsidR="00754C9A" w:rsidRDefault="00754C9A" w:rsidP="00441B6F">
      <w:pPr>
        <w:pStyle w:val="Title"/>
        <w:spacing w:after="0"/>
        <w:jc w:val="both"/>
        <w:rPr>
          <w:rFonts w:ascii="Arial" w:hAnsi="Arial" w:cs="Arial"/>
        </w:rPr>
      </w:pPr>
    </w:p>
    <w:p w14:paraId="0F0FDA7E" w14:textId="77777777" w:rsidR="00CE091E" w:rsidRPr="00CE091E" w:rsidRDefault="00CE091E" w:rsidP="00CE091E">
      <w:pPr>
        <w:pStyle w:val="Author"/>
        <w:spacing w:line="240" w:lineRule="auto"/>
        <w:rPr>
          <w:rFonts w:ascii="Arial" w:hAnsi="Arial" w:cs="Arial"/>
          <w:bCs/>
          <w:i/>
          <w:iCs/>
          <w:kern w:val="28"/>
          <w:sz w:val="44"/>
          <w:u w:val="single"/>
        </w:rPr>
      </w:pPr>
      <w:r w:rsidRPr="00CE091E">
        <w:rPr>
          <w:rFonts w:ascii="Arial" w:hAnsi="Arial" w:cs="Arial"/>
          <w:bCs/>
          <w:i/>
          <w:iCs/>
          <w:kern w:val="28"/>
          <w:sz w:val="44"/>
          <w:u w:val="single"/>
        </w:rPr>
        <w:t>Review Article</w:t>
      </w:r>
    </w:p>
    <w:p w14:paraId="6E3DC63C" w14:textId="77777777" w:rsidR="00A258C3" w:rsidRDefault="003C5725" w:rsidP="003C5725">
      <w:pPr>
        <w:pStyle w:val="Author"/>
        <w:spacing w:line="240" w:lineRule="auto"/>
        <w:jc w:val="center"/>
        <w:rPr>
          <w:rFonts w:ascii="Arial" w:hAnsi="Arial" w:cs="Arial"/>
          <w:bCs/>
          <w:iCs/>
          <w:kern w:val="28"/>
          <w:sz w:val="36"/>
        </w:rPr>
      </w:pPr>
      <w:r w:rsidRPr="003C5725">
        <w:rPr>
          <w:rFonts w:ascii="Arial" w:hAnsi="Arial" w:cs="Arial"/>
          <w:bCs/>
          <w:iCs/>
          <w:kern w:val="28"/>
          <w:sz w:val="36"/>
        </w:rPr>
        <w:t>Polycystic Ovarian Syndrome: A Leading Cause of Female Infertility</w:t>
      </w:r>
    </w:p>
    <w:p w14:paraId="52EAE5AB" w14:textId="77777777" w:rsidR="003C5725" w:rsidRPr="00790ADA" w:rsidRDefault="003C5725" w:rsidP="00441B6F">
      <w:pPr>
        <w:pStyle w:val="Author"/>
        <w:spacing w:line="240" w:lineRule="auto"/>
        <w:jc w:val="both"/>
        <w:rPr>
          <w:rFonts w:ascii="Arial" w:hAnsi="Arial" w:cs="Arial"/>
          <w:sz w:val="36"/>
        </w:rPr>
      </w:pPr>
    </w:p>
    <w:p w14:paraId="1879A8B7" w14:textId="77777777" w:rsidR="002C57D2" w:rsidRPr="00FB3A86" w:rsidRDefault="002C57D2" w:rsidP="00441B6F">
      <w:pPr>
        <w:pStyle w:val="Affiliation"/>
        <w:spacing w:after="0" w:line="240" w:lineRule="auto"/>
        <w:jc w:val="both"/>
        <w:rPr>
          <w:rFonts w:ascii="Arial" w:hAnsi="Arial" w:cs="Arial"/>
        </w:rPr>
      </w:pPr>
    </w:p>
    <w:p w14:paraId="0E4A34EC" w14:textId="075E3EE0" w:rsidR="00B01FCD" w:rsidRPr="00FB3A86" w:rsidRDefault="00262DC6" w:rsidP="00441B6F">
      <w:pPr>
        <w:pStyle w:val="Copyright"/>
        <w:spacing w:after="0" w:line="240" w:lineRule="auto"/>
        <w:jc w:val="both"/>
        <w:rPr>
          <w:rFonts w:ascii="Arial" w:hAnsi="Arial" w:cs="Arial"/>
        </w:rPr>
        <w:sectPr w:rsidR="00B01FCD" w:rsidRPr="00FB3A86" w:rsidSect="00C1631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998128F" wp14:editId="31B1A6F1">
                <wp:extent cx="5303520" cy="635"/>
                <wp:effectExtent l="17145" t="18415" r="13335" b="1016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744744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FDCFD4D" w14:textId="77777777" w:rsidR="00790ADA" w:rsidRPr="00FB3A86" w:rsidRDefault="003C5725" w:rsidP="00441B6F">
      <w:pPr>
        <w:pStyle w:val="AbstHead"/>
        <w:spacing w:after="0"/>
        <w:jc w:val="both"/>
        <w:rPr>
          <w:rFonts w:ascii="Arial" w:hAnsi="Arial" w:cs="Arial"/>
        </w:rPr>
      </w:pPr>
      <w:r w:rsidRPr="003C5725">
        <w:rPr>
          <w:rFonts w:ascii="Arial" w:hAnsi="Arial" w:cs="Arial"/>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C5725" w14:paraId="57FEF581" w14:textId="77777777" w:rsidTr="001E44FE">
        <w:tc>
          <w:tcPr>
            <w:tcW w:w="9576" w:type="dxa"/>
            <w:shd w:val="clear" w:color="auto" w:fill="F2F2F2"/>
          </w:tcPr>
          <w:p w14:paraId="6BEE5C52" w14:textId="77777777" w:rsidR="00E3114E" w:rsidRPr="003C5725" w:rsidRDefault="00E3114E" w:rsidP="00441B6F">
            <w:pPr>
              <w:pStyle w:val="Body"/>
              <w:spacing w:after="0"/>
              <w:rPr>
                <w:rFonts w:ascii="Arial" w:eastAsia="Calibri" w:hAnsi="Arial" w:cs="Arial"/>
                <w:szCs w:val="22"/>
              </w:rPr>
            </w:pPr>
          </w:p>
          <w:p w14:paraId="32589E77" w14:textId="77777777" w:rsidR="003C5725" w:rsidRDefault="003B1D9D" w:rsidP="00441B6F">
            <w:pPr>
              <w:pStyle w:val="Body"/>
              <w:spacing w:after="0"/>
              <w:rPr>
                <w:rFonts w:ascii="Arial" w:eastAsia="Calibri" w:hAnsi="Arial" w:cs="Arial"/>
                <w:szCs w:val="22"/>
              </w:rPr>
            </w:pPr>
            <w:r w:rsidRPr="003B1D9D">
              <w:rPr>
                <w:rFonts w:ascii="Arial" w:eastAsia="Calibri" w:hAnsi="Arial" w:cs="Arial"/>
                <w:szCs w:val="22"/>
              </w:rPr>
              <w:t xml:space="preserve">In India, infertility has traditionally been linked to women; interestingly, though, infertility impacts both genders almost equally. There are several reasons for female infertility, which include ovulatory dysfunction, endometriosis, reproductive tract infections (RTIs), diminished ovarian reserve (DOR), lifestyle factors and exposure to endocrine-disrupting chemicals (EDCs), and environmental pollutants, </w:t>
            </w:r>
            <w:commentRangeStart w:id="0"/>
            <w:r w:rsidRPr="003B1D9D">
              <w:rPr>
                <w:rFonts w:ascii="Arial" w:eastAsia="Calibri" w:hAnsi="Arial" w:cs="Arial"/>
                <w:szCs w:val="22"/>
              </w:rPr>
              <w:t>etc</w:t>
            </w:r>
            <w:commentRangeEnd w:id="0"/>
            <w:r w:rsidR="00517FE6">
              <w:rPr>
                <w:rStyle w:val="CommentReference"/>
                <w:rFonts w:ascii="Times New Roman" w:hAnsi="Times New Roman"/>
                <w:lang w:val="nb-NO" w:eastAsia="nb-NO"/>
              </w:rPr>
              <w:commentReference w:id="0"/>
            </w:r>
            <w:r w:rsidRPr="003B1D9D">
              <w:rPr>
                <w:rFonts w:ascii="Arial" w:eastAsia="Calibri" w:hAnsi="Arial" w:cs="Arial"/>
                <w:szCs w:val="22"/>
              </w:rPr>
              <w:t xml:space="preserve">. Polycystic Ovary Syndrome (PCOS) is the prime cause of infertility due to anovulation in reproductive-age women, affecting more than one in ten </w:t>
            </w:r>
            <w:commentRangeStart w:id="1"/>
            <w:r w:rsidRPr="003B1D9D">
              <w:rPr>
                <w:rFonts w:ascii="Arial" w:eastAsia="Calibri" w:hAnsi="Arial" w:cs="Arial"/>
                <w:szCs w:val="22"/>
              </w:rPr>
              <w:t xml:space="preserve">females </w:t>
            </w:r>
            <w:commentRangeEnd w:id="1"/>
            <w:r w:rsidR="00517FE6">
              <w:rPr>
                <w:rStyle w:val="CommentReference"/>
                <w:rFonts w:ascii="Times New Roman" w:hAnsi="Times New Roman"/>
                <w:lang w:val="nb-NO" w:eastAsia="nb-NO"/>
              </w:rPr>
              <w:commentReference w:id="1"/>
            </w:r>
            <w:r w:rsidRPr="003B1D9D">
              <w:rPr>
                <w:rFonts w:ascii="Arial" w:eastAsia="Calibri" w:hAnsi="Arial" w:cs="Arial"/>
                <w:szCs w:val="22"/>
              </w:rPr>
              <w:t>(~11–13%) worldwide and in India. Among women with a PCOS diagnosis, it is estimated that 70% to 80% individuals face infertility problems. Women</w:t>
            </w:r>
            <w:bookmarkStart w:id="2" w:name="_GoBack"/>
            <w:bookmarkEnd w:id="2"/>
            <w:r w:rsidRPr="003B1D9D">
              <w:rPr>
                <w:rFonts w:ascii="Arial" w:eastAsia="Calibri" w:hAnsi="Arial" w:cs="Arial"/>
                <w:szCs w:val="22"/>
              </w:rPr>
              <w:t xml:space="preserve"> with PCOS show a combination of three clinical features, </w:t>
            </w:r>
            <w:commentRangeStart w:id="3"/>
            <w:r w:rsidRPr="003B1D9D">
              <w:rPr>
                <w:rFonts w:ascii="Arial" w:eastAsia="Calibri" w:hAnsi="Arial" w:cs="Arial"/>
                <w:szCs w:val="22"/>
              </w:rPr>
              <w:t>viz.</w:t>
            </w:r>
            <w:commentRangeEnd w:id="3"/>
            <w:r w:rsidR="00517FE6">
              <w:rPr>
                <w:rStyle w:val="CommentReference"/>
                <w:rFonts w:ascii="Times New Roman" w:hAnsi="Times New Roman"/>
                <w:lang w:val="nb-NO" w:eastAsia="nb-NO"/>
              </w:rPr>
              <w:commentReference w:id="3"/>
            </w:r>
            <w:r w:rsidRPr="003B1D9D">
              <w:rPr>
                <w:rFonts w:ascii="Arial" w:eastAsia="Calibri" w:hAnsi="Arial" w:cs="Arial"/>
                <w:szCs w:val="22"/>
              </w:rPr>
              <w:t xml:space="preserve"> irregular or missing ovulation, high androgen (male hormone) levels, and polycystic ovaries. Although PCOS is mainly recognized for affecting female fertility, it also has additional metabolic and psychological side effects. These include insulin resistance, dyslipidemia, endometrial cancer, eating disorders, and mood disorders, including anxiety and depression. Timely detection and treatment of PCOS are crucial for lowering reproductive health threats and enhancing life quality. Clinical diagnosis usually adheres to the Rotterdam Criteria, requiring at least two of three diagnostic criteria to be present in adult women, viz. hyperandrogenism, ovulatory dysfunction, and polycystic ovarian morphology. There has been no one-size-fits-all treatment for PCOS. However, modern PCOS management has evolved from merely controlling symptoms to a precision medicine approach that addresses multisystem symptoms, incorporating three essential therapeutic strategies: structured metabolic rehabilitation, pharmacotherapy for hyperandrogenism/insulin resistance, and assisted reproductive technologies.</w:t>
            </w:r>
          </w:p>
          <w:p w14:paraId="0CC40BA2" w14:textId="77777777" w:rsidR="003B1D9D" w:rsidRPr="003C5725" w:rsidRDefault="003B1D9D" w:rsidP="00441B6F">
            <w:pPr>
              <w:pStyle w:val="Body"/>
              <w:spacing w:after="0"/>
              <w:rPr>
                <w:rFonts w:ascii="Arial" w:eastAsia="Calibri" w:hAnsi="Arial" w:cs="Arial"/>
                <w:szCs w:val="22"/>
              </w:rPr>
            </w:pPr>
          </w:p>
        </w:tc>
      </w:tr>
    </w:tbl>
    <w:p w14:paraId="6B1D43C8" w14:textId="77777777" w:rsidR="00636EB2" w:rsidRPr="003C5725" w:rsidRDefault="00636EB2" w:rsidP="00441B6F">
      <w:pPr>
        <w:pStyle w:val="Body"/>
        <w:spacing w:after="0"/>
        <w:rPr>
          <w:rFonts w:ascii="Arial" w:hAnsi="Arial" w:cs="Arial"/>
          <w:i/>
        </w:rPr>
      </w:pPr>
    </w:p>
    <w:p w14:paraId="5CBE3B67" w14:textId="77777777" w:rsidR="00A24E7E" w:rsidRDefault="00A24E7E" w:rsidP="00441B6F">
      <w:pPr>
        <w:pStyle w:val="Body"/>
        <w:spacing w:after="0"/>
        <w:rPr>
          <w:rFonts w:ascii="Arial" w:hAnsi="Arial" w:cs="Arial"/>
          <w:i/>
        </w:rPr>
      </w:pPr>
      <w:r>
        <w:rPr>
          <w:rFonts w:ascii="Arial" w:hAnsi="Arial" w:cs="Arial"/>
          <w:i/>
        </w:rPr>
        <w:t xml:space="preserve">Keywords: </w:t>
      </w:r>
      <w:r w:rsidR="003C5725" w:rsidRPr="003C5725">
        <w:rPr>
          <w:rFonts w:ascii="Arial" w:hAnsi="Arial" w:cs="Arial"/>
          <w:i/>
        </w:rPr>
        <w:t>Female Infertility, India, PCOS, Lifestyle, Treatment</w:t>
      </w:r>
    </w:p>
    <w:p w14:paraId="08F9C00E" w14:textId="77777777" w:rsidR="00505F06" w:rsidRPr="00A24E7E" w:rsidRDefault="00505F06" w:rsidP="00441B6F">
      <w:pPr>
        <w:pStyle w:val="Body"/>
        <w:spacing w:after="0"/>
        <w:rPr>
          <w:rFonts w:ascii="Arial" w:hAnsi="Arial" w:cs="Arial"/>
          <w:i/>
        </w:rPr>
      </w:pPr>
    </w:p>
    <w:p w14:paraId="70498032"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EC7F753" w14:textId="77777777" w:rsidR="003C5725" w:rsidRPr="00FB3A86" w:rsidRDefault="003C5725" w:rsidP="00441B6F">
      <w:pPr>
        <w:pStyle w:val="AbstHead"/>
        <w:spacing w:after="0"/>
        <w:jc w:val="both"/>
        <w:rPr>
          <w:rFonts w:ascii="Arial" w:hAnsi="Arial" w:cs="Arial"/>
        </w:rPr>
      </w:pPr>
    </w:p>
    <w:p w14:paraId="6867FA0D" w14:textId="77777777" w:rsidR="003B1D9D" w:rsidRPr="00CC6C6A" w:rsidRDefault="003B1D9D" w:rsidP="003B1D9D">
      <w:pPr>
        <w:jc w:val="both"/>
        <w:rPr>
          <w:rFonts w:ascii="Arial" w:hAnsi="Arial" w:cs="Arial"/>
        </w:rPr>
      </w:pPr>
      <w:r w:rsidRPr="00CC6C6A">
        <w:rPr>
          <w:rFonts w:ascii="Arial" w:hAnsi="Arial" w:cs="Arial"/>
        </w:rPr>
        <w:t xml:space="preserve">Infertility is a prominent reproductive health issue which affects nearly 27.5 million reproductive-age couples in India </w:t>
      </w:r>
      <w:r w:rsidRPr="00CC6C6A">
        <w:rPr>
          <w:rFonts w:ascii="Arial" w:hAnsi="Arial" w:cs="Arial"/>
        </w:rPr>
        <w:fldChar w:fldCharType="begin" w:fldLock="1"/>
      </w:r>
      <w:r w:rsidRPr="00CC6C6A">
        <w:rPr>
          <w:rFonts w:ascii="Arial" w:hAnsi="Arial" w:cs="Arial"/>
        </w:rPr>
        <w:instrText>ADDIN CSL_CITATION {"citationItems":[{"id":"ITEM-1","itemData":{"ISSN":"0009-9120","author":[{"dropping-particle":"","family":"Borght","given":"Mélodie","non-dropping-particle":"Vander","parse-names":false,"suffix":""},{"dropping-particle":"","family":"Wyns","given":"Christine","non-dropping-particle":"","parse-names":false,"suffix":""}],"container-title":"Clinical biochemistry","id":"ITEM-1","issued":{"date-parts":[["2018"]]},"page":"2-10","publisher":"Elsevier","title":"Fertility and infertility: Definition and epidemiology","type":"article-journal","volume":"62"},"uris":["http://www.mendeley.com/documents/?uuid=9f955872-5bfe-4e4c-8683-b17f9ea79f94"]}],"mendeley":{"formattedCitation":"(Vander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and around 17.5% of the adult population worldwide. Infertility is defined as the inability of an individual or a couple to attain a clinical pregnancy following 12 months of consistent, unprotected sexual activity </w:t>
      </w:r>
      <w:commentRangeStart w:id="4"/>
      <w:r w:rsidRPr="00CC6C6A">
        <w:rPr>
          <w:rFonts w:ascii="Arial" w:hAnsi="Arial" w:cs="Arial"/>
        </w:rPr>
        <w:fldChar w:fldCharType="begin" w:fldLock="1"/>
      </w:r>
      <w:r w:rsidRPr="00CC6C6A">
        <w:rPr>
          <w:rFonts w:ascii="Arial" w:hAnsi="Arial" w:cs="Arial"/>
        </w:rPr>
        <w:instrText>ADDIN CSL_CITATION {"citationItems":[{"id":"ITEM-1","itemData":{"DOI":"10.1016/S1472-6483(10)62193-1","ISSN":"1472-6483","author":[{"dropping-particle":"","family":"Brugo-olmedo","given":"Santiago","non-dropping-particle":"","parse-names":false,"suffix":""},{"dropping-particle":"","family":"Chillik","given":"Claudio","non-dropping-particle":"","parse-names":false,"suffix":""},{"dropping-particle":"","family":"Kopelman","given":"Susana","non-dropping-particle":"","parse-names":false,"suffix":""}],"container-title":"Reproductive BioMedicine Online","id":"ITEM-1","issue":"1","issued":{"date-parts":[["2002"]]},"page":"173-185","publisher":"Reproductive Healthcare Ltd, Duck End Farm, Dry Drayton, Cambridge CB23 8DB, UK","title":"Review Definition and causes of infertility","type":"article-journal","volume":"2"},"uris":["http://www.mendeley.com/documents/?uuid=d86d4054-1af7-49b5-9c34-a066b98b4e5b"]}],"mendeley":{"formattedCitation":"(Brugo-olmedo et al., 2002)","plainTextFormattedCitation":"(Brugo-olmedo et al., 2002)","previouslyFormattedCitation":"(Brugo-olmedo et al., 2002)"},"properties":{"noteIndex":0},"schema":"https://github.com/citation-style-language/schema/raw/master/csl-citation.json"}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(Brugo-olmedo et al., 2002)</w:t>
      </w:r>
      <w:r w:rsidRPr="00CC6C6A">
        <w:rPr>
          <w:rFonts w:ascii="Arial" w:hAnsi="Arial" w:cs="Arial"/>
        </w:rPr>
        <w:fldChar w:fldCharType="end"/>
      </w:r>
      <w:commentRangeEnd w:id="4"/>
      <w:r w:rsidR="00B61832">
        <w:rPr>
          <w:rStyle w:val="CommentReference"/>
          <w:rFonts w:ascii="Times New Roman" w:hAnsi="Times New Roman"/>
          <w:lang w:val="nb-NO" w:eastAsia="nb-NO"/>
        </w:rPr>
        <w:commentReference w:id="4"/>
      </w:r>
      <w:r w:rsidRPr="00CC6C6A">
        <w:rPr>
          <w:rFonts w:ascii="Arial" w:hAnsi="Arial" w:cs="Arial"/>
        </w:rPr>
        <w:t xml:space="preserve">. In India, infertility has traditionally been linked to women, and social stigma continues to unfairly blame women as the sole cause of a couple's inability to have a child </w:t>
      </w:r>
      <w:r w:rsidRPr="00CC6C6A">
        <w:rPr>
          <w:rStyle w:val="FootnoteReference"/>
          <w:rFonts w:ascii="Arial" w:hAnsi="Arial" w:cs="Arial"/>
        </w:rPr>
        <w:fldChar w:fldCharType="begin" w:fldLock="1"/>
      </w:r>
      <w:r w:rsidRPr="00CC6C6A">
        <w:rPr>
          <w:rFonts w:ascii="Arial" w:hAnsi="Arial" w:cs="Arial"/>
        </w:rPr>
        <w:instrText>ADDIN CSL_CITATION {"citationItems":[{"id":"ITEM-1","itemData":{"DOI":"10.22192/ijamr","author":[{"dropping-particle":"","family":"Gupta","given":"Prakash Chandra","non-dropping-particle":"","parse-names":false,"suffix":""}],"container-title":"International Journal of Advanced Multidisciplinary Research","id":"ITEM-1","issue":"3","issued":{"date-parts":[["2026"]]},"page":"77-87","title":"Female Reproductive Disorders : A Review on Causes and Reproductive Health Management in India","type":"article-journal","volume":"13"},"uris":["http://www.mendeley.com/documents/?uuid=e8107562-6393-4638-a651-eb385c5a215b"]}],"mendeley":{"formattedCitation":"(Gupta, 2026)","plainTextFormattedCitation":"(Gupta, 2026)","previouslyFormattedCitation":"(Gupta, 2026)"},"properties":{"noteIndex":0},"schema":"https://github.com/citation-style-language/schema/raw/master/csl-citation.json"}</w:instrText>
      </w:r>
      <w:r w:rsidRPr="00CC6C6A">
        <w:rPr>
          <w:rStyle w:val="FootnoteReference"/>
          <w:rFonts w:ascii="Arial" w:hAnsi="Arial" w:cs="Arial"/>
        </w:rPr>
        <w:fldChar w:fldCharType="separate"/>
      </w:r>
      <w:r w:rsidRPr="00CC6C6A">
        <w:rPr>
          <w:rFonts w:ascii="Arial" w:hAnsi="Arial" w:cs="Arial"/>
          <w:noProof/>
        </w:rPr>
        <w:t>(Gupta, 2026)</w:t>
      </w:r>
      <w:r w:rsidRPr="00CC6C6A">
        <w:rPr>
          <w:rStyle w:val="FootnoteReference"/>
          <w:rFonts w:ascii="Arial" w:hAnsi="Arial" w:cs="Arial"/>
        </w:rPr>
        <w:fldChar w:fldCharType="end"/>
      </w:r>
      <w:r w:rsidRPr="00CC6C6A">
        <w:rPr>
          <w:rFonts w:ascii="Arial" w:hAnsi="Arial" w:cs="Arial"/>
        </w:rPr>
        <w:t xml:space="preserve">; scientific data show that infertility impacts both genders almost equally </w:t>
      </w:r>
      <w:r w:rsidRPr="00CC6C6A">
        <w:rPr>
          <w:rFonts w:ascii="Arial" w:hAnsi="Arial" w:cs="Arial"/>
        </w:rPr>
        <w:fldChar w:fldCharType="begin" w:fldLock="1"/>
      </w:r>
      <w:r w:rsidRPr="00CC6C6A">
        <w:rPr>
          <w:rFonts w:ascii="Arial" w:hAnsi="Arial" w:cs="Arial"/>
        </w:rPr>
        <w:instrText>ADDIN CSL_CITATION {"citationItems":[{"id":"ITEM-1","itemData":{"ISSN":"0009-9120","author":[{"dropping-particle":"","family":"Borght","given":"Mélodie","non-dropping-particle":"Vander","parse-names":false,"suffix":""},{"dropping-particle":"","family":"Wyns","given":"Christine","non-dropping-particle":"","parse-names":false,"suffix":""}],"container-title":"Clinical biochemistry","id":"ITEM-1","issued":{"date-parts":[["2018"]]},"page":"2-10","publisher":"Elsevier","title":"Fertility and infertility: Definition and epidemiology","type":"article-journal","volume":"62"},"uris":["http://www.mendeley.com/documents/?uuid=9f955872-5bfe-4e4c-8683-b17f9ea79f94"]}],"mendeley":{"formattedCitation":"(Vander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w:t>
      </w:r>
      <w:commentRangeStart w:id="5"/>
      <w:r w:rsidRPr="00CC6C6A">
        <w:rPr>
          <w:rFonts w:ascii="Arial" w:hAnsi="Arial" w:cs="Arial"/>
        </w:rPr>
        <w:t xml:space="preserve">Approximately one-third of cases are attributed to the male partner, another third to the female partner, and the remaining third results from a combination of variables from both parties and remains ambiguous </w:t>
      </w:r>
      <w:commentRangeEnd w:id="5"/>
      <w:r w:rsidR="00B61832">
        <w:rPr>
          <w:rStyle w:val="CommentReference"/>
          <w:rFonts w:ascii="Times New Roman" w:hAnsi="Times New Roman"/>
          <w:lang w:val="nb-NO" w:eastAsia="nb-NO"/>
        </w:rPr>
        <w:commentReference w:id="5"/>
      </w:r>
      <w:r w:rsidRPr="00CC6C6A">
        <w:rPr>
          <w:rFonts w:ascii="Arial" w:hAnsi="Arial" w:cs="Arial"/>
        </w:rPr>
        <w:fldChar w:fldCharType="begin" w:fldLock="1"/>
      </w:r>
      <w:r w:rsidRPr="00CC6C6A">
        <w:rPr>
          <w:rFonts w:ascii="Arial" w:hAnsi="Arial" w:cs="Arial"/>
        </w:rPr>
        <w:instrText>ADDIN CSL_CITATION {"citationItems":[{"id":"ITEM-1","itemData":{"author":[{"dropping-particle":"","family":"Manimekalai","given":"Prof K","non-dropping-particle":"","parse-names":false,"suffix":""},{"dropping-particle":"","family":"Poulpunitha","given":"S","non-dropping-particle":"","parse-names":false,"suffix":""},{"dropping-particle":"","family":"Veeramani","given":"P","non-dropping-particle":"","parse-names":false,"suffix":""}],"id":"ITEM-1","issue":"02","issued":{"date-parts":[["2020"]]},"page":"2606-2609","title":"Infertility : An Alarming Situation In India","type":"article-journal","volume":"9"},"uris":["http://www.mendeley.com/documents/?uuid=47d31659-b030-4105-82e0-8eefba4b44cf"]}],"mendeley":{"formattedCitation":"(Manimekalai et al., 2020)","plainTextFormattedCitation":"(Manimekalai et al., 2020)","previouslyFormattedCitation":"(Manimekalai et al., 2020)"},"properties":{"noteIndex":0},"schema":"https://github.com/citation-style-language/schema/raw/master/csl-citation.json"}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(Manimekalai et al., 2020)</w:t>
      </w:r>
      <w:r w:rsidRPr="00CC6C6A">
        <w:rPr>
          <w:rFonts w:ascii="Arial" w:hAnsi="Arial" w:cs="Arial"/>
        </w:rPr>
        <w:fldChar w:fldCharType="end"/>
      </w:r>
      <w:r w:rsidRPr="00CC6C6A">
        <w:rPr>
          <w:rFonts w:ascii="Arial" w:hAnsi="Arial" w:cs="Arial"/>
        </w:rPr>
        <w:t xml:space="preserve">. There are multiple causes of female infertility, which include ovulatory dysfunction, </w:t>
      </w:r>
      <w:r w:rsidRPr="00CC6C6A">
        <w:rPr>
          <w:rFonts w:ascii="Arial" w:hAnsi="Arial" w:cs="Arial"/>
        </w:rPr>
        <w:lastRenderedPageBreak/>
        <w:t xml:space="preserve">endometriosis, reproductive tract infections (RTIs), diminished ovarian reserve (DOR), etc.  </w:t>
      </w:r>
      <w:r w:rsidRPr="00CC6C6A">
        <w:rPr>
          <w:rFonts w:ascii="Arial" w:hAnsi="Arial" w:cs="Arial"/>
        </w:rPr>
        <w:fldChar w:fldCharType="begin" w:fldLock="1"/>
      </w:r>
      <w:r w:rsidRPr="00CC6C6A">
        <w:rPr>
          <w:rFonts w:ascii="Arial" w:hAnsi="Arial" w:cs="Arial"/>
        </w:rPr>
        <w:instrText>ADDIN CSL_CITATION {"citationItems":[{"id":"ITEM-1","itemData":{"ISSN":"0009-9120","author":[{"dropping-particle":"","family":"Borght","given":"Mélodie","non-dropping-particle":"Vander","parse-names":false,"suffix":""},{"dropping-particle":"","family":"Wyns","given":"Christine","non-dropping-particle":"","parse-names":false,"suffix":""}],"container-title":"Clinical biochemistry","id":"ITEM-1","issued":{"date-parts":[["2018"]]},"page":"2-10","publisher":"Elsevier","title":"Fertility and infertility: Definition and epidemiology","type":"article-journal","volume":"62"},"uris":["http://www.mendeley.com/documents/?uuid=9f955872-5bfe-4e4c-8683-b17f9ea79f94"]}],"mendeley":{"formattedCitation":"(Vander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Female fertility is also influenced by various lifestyle factors, such as stress, unhealthy eating habits, delays in beginning a family, and unintended exposure to environmental toxicants such as endocrine-disrupting chemicals (EDCs) </w:t>
      </w:r>
      <w:r w:rsidRPr="00CC6C6A">
        <w:rPr>
          <w:rFonts w:ascii="Arial" w:hAnsi="Arial" w:cs="Arial"/>
        </w:rPr>
        <w:fldChar w:fldCharType="begin" w:fldLock="1"/>
      </w:r>
      <w:r w:rsidRPr="00CC6C6A">
        <w:rPr>
          <w:rFonts w:ascii="Arial" w:hAnsi="Arial" w:cs="Arial"/>
        </w:rPr>
        <w:instrText>ADDIN CSL_CITATION {"citationItems":[{"id":"ITEM-1","itemData":{"ISSN":"0970-0218","abstract":"Background: \n\nInfertility is on the rise across the India. We aim to asses fertility awareness scores in Indian population and factors influencing it. Prospective cross sectional study.\n\nMaterials and Methods:\n\nThe sub fertile women who attended OPD and consented for interview were given a questionnaire. The questions contained 14 questions on natural fertility factors (6 questions), risk factors for infertility (3 questions), and regarding treatment and misconceptions related to infertility (5 questions). The total scores were calculated. Scores were correlated with source of information, Socioeconomic status and other demographic factors. Standard deviation or mean were used for Quantitative variables. Categorical data, was analysed using Pearson’s Chi-square test.\n\nResults:\n\nA total of 209 women participated in the study. The overall Fertility Awareness level was good in 82 (39.2%) and poor in 127 (60.8%) study participants. The scores were better in urban and younger than thirty. There was positive linear association with education status of the women (P value &lt; 0.001). It was seen that awareness levels of women of upper and middle class was statistically significantly better than lower class (P value – 0.03). The women who talked to medical person had better knowledge about fertile period and assisted reproductive techniques.\n\nConclusion:\n\nThere is poor awareness about sub fertility causes and available treatment options in Indian population. The people who contact medical personnel timely for it are better aware. There is a need to integrate fertility knowledge in education system and government programmes.","author":[{"dropping-particle":"","family":"Gothwal","given":"Meenakshi","non-dropping-particle":"","parse-names":false,"suffix":""},{"dropping-particle":"","family":"Singh","given":"Pratibha","non-dropping-particle":"","parse-names":false,"suffix":""},{"dropping-particle":"","family":"Agrawal","given":"Neha","non-dropping-particle":"","parse-names":false,"suffix":""},{"dropping-particle":"","family":"Ghuman","given":"Navdeep Kaur","non-dropping-particle":"","parse-names":false,"suffix":""},{"dropping-particle":"","family":"Yadav","given":"Garima","non-dropping-particle":"","parse-names":false,"suffix":""},{"dropping-particle":"","family":"Gupta","given":"Manoj Kumar","non-dropping-particle":"","parse-names":false,"suffix":""},{"dropping-particle":"","family":"Sharma","given":"Charu","non-dropping-particle":"","parse-names":false,"suffix":""},{"dropping-particle":"","family":"Kathuria","given":"Priyanka","non-dropping-particle":"","parse-names":false,"suffix":""}],"container-title":"Indian Journal of Community Medicine","id":"ITEM-1","issue":"1","issued":{"date-parts":[["2026"]]},"title":"The Influence of Proximate Determinants on Fertility Awareness among Women Seeking Care at Infertility Clinic in Western India","type":"article-journal","volume":"51"},"uris":["http://www.mendeley.com/documents/?uuid=2ecccdec-d930-4480-89b7-6bdc69382d0a"]}],"mendeley":{"formattedCitation":"(Gothwal et al., 2026)","plainTextFormattedCitation":"(Gothwal et al., 2026)","previouslyFormattedCitation":"(Gothwal et al., 2026)"},"properties":{"noteIndex":0},"schema":"https://github.com/citation-style-language/schema/raw/master/csl-citation.json"}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(Gothwal et al., 2026)</w:t>
      </w:r>
      <w:r w:rsidRPr="00CC6C6A">
        <w:rPr>
          <w:rFonts w:ascii="Arial" w:hAnsi="Arial" w:cs="Arial"/>
        </w:rPr>
        <w:fldChar w:fldCharType="end"/>
      </w:r>
      <w:r w:rsidRPr="00CC6C6A">
        <w:rPr>
          <w:rFonts w:ascii="Arial" w:hAnsi="Arial" w:cs="Arial"/>
        </w:rPr>
        <w:t xml:space="preserve">. </w:t>
      </w:r>
    </w:p>
    <w:p w14:paraId="77F0A8D3" w14:textId="77777777" w:rsidR="00171F9F" w:rsidRDefault="00171F9F" w:rsidP="00171F9F">
      <w:pPr>
        <w:jc w:val="both"/>
        <w:rPr>
          <w:rFonts w:ascii="Arial" w:hAnsi="Arial" w:cs="Arial"/>
        </w:rPr>
      </w:pPr>
    </w:p>
    <w:p w14:paraId="66899A44" w14:textId="77777777" w:rsidR="003B1D9D" w:rsidRPr="00CC6C6A" w:rsidRDefault="003B1D9D" w:rsidP="00171F9F">
      <w:pPr>
        <w:jc w:val="both"/>
        <w:rPr>
          <w:rFonts w:ascii="Arial" w:hAnsi="Arial" w:cs="Arial"/>
        </w:rPr>
      </w:pPr>
      <w:commentRangeStart w:id="6"/>
      <w:r w:rsidRPr="00CC6C6A">
        <w:rPr>
          <w:rFonts w:ascii="Arial" w:hAnsi="Arial" w:cs="Arial"/>
        </w:rPr>
        <w:t>Polycystic Ovary Syndrome (PCOS) is one of the most common (30%) causes of female fertility</w:t>
      </w:r>
      <w:commentRangeEnd w:id="6"/>
      <w:r w:rsidR="00265643">
        <w:rPr>
          <w:rStyle w:val="CommentReference"/>
          <w:rFonts w:ascii="Times New Roman" w:hAnsi="Times New Roman"/>
          <w:lang w:val="nb-NO" w:eastAsia="nb-NO"/>
        </w:rPr>
        <w:commentReference w:id="6"/>
      </w:r>
      <w:r w:rsidRPr="00CC6C6A">
        <w:rPr>
          <w:rFonts w:ascii="Arial" w:hAnsi="Arial" w:cs="Arial"/>
        </w:rPr>
        <w:t xml:space="preserve"> (Figure 1). Higher prevalence of PCOS is often linked to primary infertility (37%) compared to secondary infertility (17%). It disrupts female reproductive health through several key mechanisms, such as </w:t>
      </w:r>
      <w:commentRangeStart w:id="7"/>
      <w:r w:rsidRPr="00CC6C6A">
        <w:rPr>
          <w:rFonts w:ascii="Arial" w:hAnsi="Arial" w:cs="Arial"/>
        </w:rPr>
        <w:t>ovulatory dysfunction</w:t>
      </w:r>
      <w:commentRangeEnd w:id="7"/>
      <w:r w:rsidR="00265643">
        <w:rPr>
          <w:rStyle w:val="CommentReference"/>
          <w:rFonts w:ascii="Times New Roman" w:hAnsi="Times New Roman"/>
          <w:lang w:val="nb-NO" w:eastAsia="nb-NO"/>
        </w:rPr>
        <w:commentReference w:id="7"/>
      </w:r>
      <w:r w:rsidRPr="00CC6C6A">
        <w:rPr>
          <w:rFonts w:ascii="Arial" w:hAnsi="Arial" w:cs="Arial"/>
        </w:rPr>
        <w:t xml:space="preserve">, which leads to irregular ovulation (oligo-ovulation) or a total lack of ovulation (anovulation), making natural conception difficult </w:t>
      </w:r>
      <w:r w:rsidRPr="00CC6C6A">
        <w:rPr>
          <w:rFonts w:ascii="Arial" w:hAnsi="Arial" w:cs="Arial"/>
        </w:rPr>
        <w:fldChar w:fldCharType="begin" w:fldLock="1"/>
      </w:r>
      <w:r w:rsidRPr="00CC6C6A">
        <w:rPr>
          <w:rFonts w:ascii="Arial" w:hAnsi="Arial" w:cs="Arial"/>
        </w:rPr>
        <w:instrText>ADDIN CSL_CITATION {"citationItems":[{"id":"ITEM-1","itemData":{"ISSN":"0022-0795","author":[{"dropping-particle":"","family":"Yang","given":"Jianmei","non-dropping-particle":"","parse-names":false,"suffix":""},{"dropping-particle":"","family":"Chen","given":"Chen","non-dropping-particle":"","parse-names":false,"suffix":""}],"container-title":"Journal of Endocrinology","id":"ITEM-1","issue":"1","issued":{"date-parts":[["2024"]]},"publisher":"Bioscientifica Ltd","title":"Hormonal changes in PCOS","type":"article-journal","volume":"261"},"uris":["http://www.mendeley.com/documents/?uuid=9fa62361-eae3-4fbc-9e8d-b4fd043e6c2c"]}],"mendeley":{"formattedCitation":"(Yang &amp; Chen, 2024)","plainTextFormattedCitation":"(Yang &amp; Chen, 2024)","previouslyFormattedCitation":"(Yang &amp; Chen, 2024)"},"properties":{"noteIndex":0},"schema":"https://github.com/citation-style-language/schema/raw/master/csl-citation.json"}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(Yang &amp; Chen, 2024)</w:t>
      </w:r>
      <w:r w:rsidRPr="00CC6C6A">
        <w:rPr>
          <w:rFonts w:ascii="Arial" w:hAnsi="Arial" w:cs="Arial"/>
        </w:rPr>
        <w:fldChar w:fldCharType="end"/>
      </w:r>
      <w:r w:rsidRPr="00CC6C6A">
        <w:rPr>
          <w:rFonts w:ascii="Arial" w:hAnsi="Arial" w:cs="Arial"/>
        </w:rPr>
        <w:t>. It also has additional metabolic and psychological side effects, such as skin alterations (Acne). Numerous individuals with PCOS exhibit insulin resistance, which is believed to be one of the causative factors of PCOS development and enhances the risk of the establishment of type 2 diabetes. Other metabolic issues include dyslipidemia, endometrial cancer, and eating and mood disorders, including anxiety and depression. Timely detection and treatment of PCOS are crucial for lowering reproductive health threats and enhancing life quality.</w:t>
      </w:r>
    </w:p>
    <w:p w14:paraId="47F00708" w14:textId="77777777" w:rsidR="00171F9F" w:rsidRDefault="00171F9F" w:rsidP="00171F9F">
      <w:pPr>
        <w:jc w:val="both"/>
        <w:rPr>
          <w:rFonts w:ascii="Arial" w:hAnsi="Arial" w:cs="Arial"/>
        </w:rPr>
      </w:pPr>
    </w:p>
    <w:p w14:paraId="5E4AA010" w14:textId="77777777" w:rsidR="002F296C" w:rsidRDefault="003B1D9D" w:rsidP="00171F9F">
      <w:pPr>
        <w:jc w:val="both"/>
        <w:rPr>
          <w:rFonts w:ascii="Arial" w:hAnsi="Arial" w:cs="Arial"/>
        </w:rPr>
      </w:pPr>
      <w:r w:rsidRPr="00CC6C6A">
        <w:rPr>
          <w:rFonts w:ascii="Arial" w:hAnsi="Arial" w:cs="Arial"/>
        </w:rPr>
        <w:t xml:space="preserve">A comprehensive computer-assisted literature review across all primary databases, including MEDLINE, PubMed, ScienceDirect, ISI Web of Knowledge, </w:t>
      </w:r>
      <w:proofErr w:type="spellStart"/>
      <w:r w:rsidRPr="00CC6C6A">
        <w:rPr>
          <w:rFonts w:ascii="Arial" w:hAnsi="Arial" w:cs="Arial"/>
        </w:rPr>
        <w:t>Embase</w:t>
      </w:r>
      <w:proofErr w:type="spellEnd"/>
      <w:r w:rsidRPr="00CC6C6A">
        <w:rPr>
          <w:rFonts w:ascii="Arial" w:hAnsi="Arial" w:cs="Arial"/>
        </w:rPr>
        <w:t>, Google Scholar, and Wiley, was conducted. The search terms utilized relevant topics to identify research and review articles on PCOS, including a mix of phrases such as “symptoms of PCOS” pathophysiology of PCOS”, “prevalence of PCOS,” “epidemiology of PCOS,” “PCOS in reproductive age,” and “polycystic ovary syndrome,” etc. The references in the selected studies were also examined to find more studies.</w:t>
      </w:r>
    </w:p>
    <w:p w14:paraId="6FEB5DB3" w14:textId="77777777" w:rsidR="00790ADA" w:rsidRPr="00640145" w:rsidRDefault="00640145" w:rsidP="00640145">
      <w:pPr>
        <w:pStyle w:val="NormalWeb"/>
      </w:pPr>
      <w:r>
        <w:rPr>
          <w:noProof/>
          <w:lang w:val="en-US" w:eastAsia="en-US"/>
        </w:rPr>
        <w:drawing>
          <wp:inline distT="0" distB="0" distL="0" distR="0" wp14:anchorId="2BE6E0E1" wp14:editId="534DE8BC">
            <wp:extent cx="4537495" cy="3833993"/>
            <wp:effectExtent l="0" t="0" r="0" b="0"/>
            <wp:docPr id="1" name="Picture 1" descr="C:\Users\P C GUPTA\Downloads\Pictur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5712" cy="3849386"/>
                    </a:xfrm>
                    <a:prstGeom prst="rect">
                      <a:avLst/>
                    </a:prstGeom>
                    <a:noFill/>
                    <a:ln>
                      <a:noFill/>
                    </a:ln>
                  </pic:spPr>
                </pic:pic>
              </a:graphicData>
            </a:graphic>
          </wp:inline>
        </w:drawing>
      </w:r>
    </w:p>
    <w:p w14:paraId="33769EB4" w14:textId="7777777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2F296C" w:rsidRPr="002F296C">
        <w:rPr>
          <w:rFonts w:ascii="Arial" w:hAnsi="Arial" w:cs="Arial"/>
        </w:rPr>
        <w:t>Contribution of PCOS to female infertility</w:t>
      </w:r>
    </w:p>
    <w:p w14:paraId="68B330D6" w14:textId="77777777" w:rsidR="00790ADA" w:rsidRPr="00FB3A86" w:rsidRDefault="00790ADA" w:rsidP="00441B6F">
      <w:pPr>
        <w:pStyle w:val="AbstHead"/>
        <w:spacing w:after="0"/>
        <w:jc w:val="both"/>
        <w:rPr>
          <w:rFonts w:ascii="Arial" w:hAnsi="Arial" w:cs="Arial"/>
        </w:rPr>
      </w:pPr>
    </w:p>
    <w:p w14:paraId="3D656C97" w14:textId="77777777" w:rsidR="00790ADA" w:rsidRDefault="00DD620D" w:rsidP="0075045C">
      <w:pPr>
        <w:jc w:val="both"/>
        <w:rPr>
          <w:rFonts w:ascii="Arial" w:hAnsi="Arial" w:cs="Arial"/>
        </w:rPr>
      </w:pPr>
      <w:commentRangeStart w:id="8"/>
      <w:r w:rsidRPr="00DD620D">
        <w:rPr>
          <w:rFonts w:ascii="Arial" w:hAnsi="Arial" w:cs="Arial"/>
        </w:rPr>
        <w:t xml:space="preserve">PCOS affects more than one in ten reproductive-age females (~11–13%) worldwide and in India </w:t>
      </w:r>
      <w:r w:rsidRPr="00DD620D">
        <w:rPr>
          <w:rFonts w:ascii="Arial" w:hAnsi="Arial" w:cs="Arial"/>
        </w:rPr>
        <w:fldChar w:fldCharType="begin" w:fldLock="1"/>
      </w:r>
      <w:r w:rsidRPr="00DD620D">
        <w:rPr>
          <w:rFonts w:ascii="Arial" w:hAnsi="Arial" w:cs="Arial"/>
        </w:rPr>
        <w:instrText>ADDIN CSL_CITATION {"citationItems":[{"id":"ITEM-1","itemData":{"ISSN":"2451-8476","author":[{"dropping-particle":"","family":"Parua","given":"Suparna","non-dropping-particle":"","parse-names":false,"suffix":""},{"dropping-particle":"","family":"Purkait","given":"Mahuya Patra","non-dropping-particle":"","parse-names":false,"suffix":""},{"dropping-particle":"","family":"Bhattacharjee","given":"Aniruddha","non-dropping-particle":"","parse-names":false,"suffix":""},{"dropping-particle":"","family":"Thangarajan","given":"Rajesh","non-dropping-particle":"","parse-names":false,"suffix":""},{"dropping-particle":"","family":"Rammohan","given":"Subramanian","non-dropping-particle":"","parse-names":false,"suffix":""},{"dropping-particle":"","family":"Islam","given":"Kamirul","non-dropping-particle":"","parse-names":false,"suffix":""},{"dropping-particle":"","family":"Bhattacharya","given":"Koushik","non-dropping-particle":"","parse-names":false,"suffix":""},{"dropping-particle":"","family":"Syamal","given":"Alak Kumar","non-dropping-particle":"","parse-names":false,"suffix":""}],"container-title":"Obesity Medicine","id":"ITEM-1","issued":{"date-parts":[["2025"]]},"page":"100619","publisher":"Elsevier","title":"Exploring female infertility: A comprehensive review of polycystic ovary syndrome (PCOS) and its impact on reproductive health","type":"article-journal","volume":"55"},"uris":["http://www.mendeley.com/documents/?uuid=9206b4f6-eefa-4c98-b0ff-c6af47408365"]}],"mendeley":{"formattedCitation":"(Parua et al., 2025)","plainTextFormattedCitation":"(Parua et al., 2025)","previouslyFormattedCitation":"(Parua et al.,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(Parua et al., 2025)</w:t>
      </w:r>
      <w:r w:rsidRPr="00DD620D">
        <w:rPr>
          <w:rFonts w:ascii="Arial" w:hAnsi="Arial" w:cs="Arial"/>
        </w:rPr>
        <w:fldChar w:fldCharType="end"/>
      </w:r>
      <w:r w:rsidRPr="00DD620D">
        <w:rPr>
          <w:rFonts w:ascii="Arial" w:hAnsi="Arial" w:cs="Arial"/>
        </w:rPr>
        <w:t xml:space="preserve">. Among women with a PCOS diagnosis, it is estimated that 70% to 80% face infertility issues </w:t>
      </w:r>
      <w:r w:rsidRPr="00DD620D">
        <w:rPr>
          <w:rFonts w:ascii="Arial" w:hAnsi="Arial" w:cs="Arial"/>
        </w:rPr>
        <w:fldChar w:fldCharType="begin" w:fldLock="1"/>
      </w:r>
      <w:r w:rsidRPr="00DD620D">
        <w:rPr>
          <w:rFonts w:ascii="Arial" w:hAnsi="Arial" w:cs="Arial"/>
        </w:rPr>
        <w:instrText>ADDIN CSL_CITATION {"citationItems":[{"id":"ITEM-1","itemData":{"DOI":"10.2147/IJWH.S490836","ISSN":"1179-1411 (Print)","PMID":"39882398","abstract":"PURPOSE: Polycystic ovary syndrome (PCOS) is a prevalent endocrine disorder and  the primary cause of anovulatory infertility among women aged 15-49 years. Despite its significance, it has been largely overlooked in global health discussions, with persistently high prevalence and incidence rates. This public health challenge necessitates attention both domestically and internationally. Between 1990 and 2017, the age-standardized prevalence of female infertility and associated DALYs rose by 0.70% and 0.396%, respectively. Economically, addressing women's endocrine and metabolic health can bolster the overall well-being of the female population using existing resources. For judicious utilization of available resources, data regarding the burden of PCOS is pivotal for comprehending women's health status and for devising and refining policies related to women's endocrine health. Consequently, this study scrutinizes and assesses the age-standardized PCOS incidence rate and DALYs for 1990 and 2019, traces the trends of these metrics from 1990 to 2019, examines the composition of various populations and diseases, and offers international comparisons. This aims to furnish critical insights for future health policy development and adjustments in the realm of female endocrine and metabolic health. PATIENTS AND METHODS: This study employed the Global Health Data Exchange to obtain PCOS burden data based on GBD 2019. It collected incidence, DALYs, and age-standardized rates (ASRs) from 1990 to 2019 across global, regional, national, and SDI quintile levels, spanning 21 regions and 204 countries. To analyze trends, ASRs and estimated annual percentage changes (EAPCs) were calculated, with standardization crucial for comparability. EAPC was derived using a generalized linear model with a Gaussian distribution. RESULTS: The global burden of PCOS increased significantly from 1990 to 2019, with estimated annual percentage change (EAPCs) of 0.56 for incidence and 0.83 for DALYs. The highest incidence rates were observed in the High-income Asia Pacific region, particularly in Japan and New Zealand, while the lowest rates were in Central Europe. Equatorial Guinea and Qatar exhibited the most pronounced increases in incidence and DALYs, attributed to urbanization and enhanced healthcare infrastructure. The incidence and DALYs of PCOS showed variation across SDI quintiles, with the greatest burden found in the middle-SDI quintile. Women between the ages of 20-29 years had th…","author":[{"dropping-particle":"","family":"Jiang","given":"Bengui","non-dropping-particle":"","parse-names":false,"suffix":""}],"container-title":"International journal of women's health","id":"ITEM-1","issued":{"date-parts":[["2025"]]},"language":"eng","page":"153-165","publisher-place":"New Zealand","title":"The Global Burden of Polycystic Ovary Syndrome in Women of Reproductive Age:  Findings from the GBD 2019 Study.","type":"article-journal","volume":"17"},"uris":["http://www.mendeley.com/documents/?uuid=8cb7dfab-5c97-4b5e-aaeb-a6e6729db1dc"]}],"mendeley":{"formattedCitation":"(Jiang, 2025)","plainTextFormattedCitation":"(Jiang, 2025)","previouslyFormattedCitation":"(Jiang,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(Jiang, 2025)</w:t>
      </w:r>
      <w:r w:rsidRPr="00DD620D">
        <w:rPr>
          <w:rFonts w:ascii="Arial" w:hAnsi="Arial" w:cs="Arial"/>
        </w:rPr>
        <w:fldChar w:fldCharType="end"/>
      </w:r>
      <w:r w:rsidRPr="00DD620D">
        <w:rPr>
          <w:rFonts w:ascii="Arial" w:hAnsi="Arial" w:cs="Arial"/>
        </w:rPr>
        <w:t>. Worldwide, the prevalence of PCOS is between 4% and 21%</w:t>
      </w:r>
      <w:commentRangeEnd w:id="8"/>
      <w:r w:rsidR="000A51B5">
        <w:rPr>
          <w:rStyle w:val="CommentReference"/>
          <w:rFonts w:ascii="Times New Roman" w:hAnsi="Times New Roman"/>
          <w:lang w:val="nb-NO" w:eastAsia="nb-NO"/>
        </w:rPr>
        <w:commentReference w:id="8"/>
      </w:r>
      <w:r w:rsidRPr="00DD620D">
        <w:rPr>
          <w:rFonts w:ascii="Arial" w:hAnsi="Arial" w:cs="Arial"/>
        </w:rPr>
        <w:t xml:space="preserve">, while in India, it ranges from </w:t>
      </w:r>
      <w:commentRangeStart w:id="9"/>
      <w:r w:rsidRPr="00DD620D">
        <w:rPr>
          <w:rFonts w:ascii="Arial" w:hAnsi="Arial" w:cs="Arial"/>
        </w:rPr>
        <w:t xml:space="preserve">2% to 35% </w:t>
      </w:r>
      <w:commentRangeEnd w:id="9"/>
      <w:r w:rsidR="001170A9">
        <w:rPr>
          <w:rStyle w:val="CommentReference"/>
          <w:rFonts w:ascii="Times New Roman" w:hAnsi="Times New Roman"/>
          <w:lang w:val="nb-NO" w:eastAsia="nb-NO"/>
        </w:rPr>
        <w:commentReference w:id="9"/>
      </w:r>
      <w:r w:rsidRPr="00DD620D">
        <w:rPr>
          <w:rFonts w:ascii="Arial" w:hAnsi="Arial" w:cs="Arial"/>
        </w:rPr>
        <w:fldChar w:fldCharType="begin" w:fldLock="1"/>
      </w:r>
      <w:r w:rsidRPr="00DD620D">
        <w:rPr>
          <w:rFonts w:ascii="Arial" w:hAnsi="Arial" w:cs="Arial"/>
        </w:rPr>
        <w:instrText>ADDIN CSL_CITATION {"citationItems":[{"id":"ITEM-1","itemData":{"DOI":"10.1001/jamanetworkopen.2024.40583","author":[{"dropping-particle":"","family":"Ganie","given":"Mohd Ashraf","non-dropping-particle":"","parse-names":false,"suffix":""},{"dropping-particle":"","family":"Chowdhury","given":"Subhankar","non-dropping-particle":"","parse-names":false,"suffix":""},{"dropping-particle":"","family":"Malhotra","given":"Neena","non-dropping-particle":"","parse-names":false,"suffix":""},{"dropping-particle":"","family":"Sahay","given":"Rakesh","non-dropping-particle":"","parse-names":false,"suffix":""},{"dropping-particle":"","family":"Bhattacharya","given":"Prasanta Kumar","non-dropping-particle":"","parse-names":false,"suffix":""},{"dropping-particle":"","family":"Agrawal","given":"Sarita","non-dropping-particle":"","parse-names":false,"suffix":""},{"dropping-particle":"","family":"Jabbar","given":"P K","non-dropping-particle":"","parse-names":false,"suffix":""}],"id":"ITEM-1","issue":"10","issued":{"date-parts":[["2024"]]},"page":"1-15","title":"Prevalence , Phenotypes , and Comorbidities of Polycystic Ovary Syndrome Among Indian Women","type":"article-journal","volume":"7"},"uris":["http://www.mendeley.com/documents/?uuid=95b70200-eef2-400e-9f89-f571356b4345"]}],"mendeley":{"formattedCitation":"(Ganie et al., 2024)","plainTextFormattedCitation":"(Ganie et al., 2024)","previouslyFormattedCitation":"(Ganie et al., 2024)"},"properties":{"noteIndex":0},"schema":"https://github.com/citation-style-language/schema/raw/master/csl-citation.json"}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(Ganie et al., 2024)</w:t>
      </w:r>
      <w:r w:rsidRPr="00DD620D">
        <w:rPr>
          <w:rFonts w:ascii="Arial" w:hAnsi="Arial" w:cs="Arial"/>
        </w:rPr>
        <w:fldChar w:fldCharType="end"/>
      </w:r>
      <w:r w:rsidRPr="00DD620D">
        <w:rPr>
          <w:rFonts w:ascii="Arial" w:hAnsi="Arial" w:cs="Arial"/>
        </w:rPr>
        <w:t xml:space="preserve">. Women in urban areas encounter a much greater risk, with certain studies indicating an 18% prevalence in cities versus only 6% in rural regions. This is frequently linked to inactive habits and shifts in diet. </w:t>
      </w:r>
      <w:commentRangeStart w:id="10"/>
      <w:r w:rsidRPr="00DD620D">
        <w:rPr>
          <w:rFonts w:ascii="Arial" w:hAnsi="Arial" w:cs="Arial"/>
        </w:rPr>
        <w:t xml:space="preserve">There are regional hot spots </w:t>
      </w:r>
      <w:commentRangeEnd w:id="10"/>
      <w:r w:rsidR="001170A9">
        <w:rPr>
          <w:rStyle w:val="CommentReference"/>
          <w:rFonts w:ascii="Times New Roman" w:hAnsi="Times New Roman"/>
          <w:lang w:val="nb-NO" w:eastAsia="nb-NO"/>
        </w:rPr>
        <w:commentReference w:id="10"/>
      </w:r>
      <w:r w:rsidRPr="00DD620D">
        <w:rPr>
          <w:rFonts w:ascii="Arial" w:hAnsi="Arial" w:cs="Arial"/>
        </w:rPr>
        <w:t xml:space="preserve">for PCOs in India (Figure 2). Elevated incidence rates have been noted in Maharashtra (22.5%) and the Delhi NCR area (17.4%). It is estimated that about one in five teenage girls in India has PCOS </w:t>
      </w:r>
      <w:r w:rsidRPr="00DD620D">
        <w:rPr>
          <w:rFonts w:ascii="Arial" w:hAnsi="Arial" w:cs="Arial"/>
        </w:rPr>
        <w:fldChar w:fldCharType="begin" w:fldLock="1"/>
      </w:r>
      <w:r w:rsidRPr="00DD620D">
        <w:rPr>
          <w:rFonts w:ascii="Arial" w:hAnsi="Arial" w:cs="Arial"/>
        </w:rPr>
        <w:instrText>ADDIN CSL_CITATION {"citationItems":[{"id":"ITEM-1","itemData":{"ISSN":"1742-4755","author":[{"dropping-particle":"","family":"Sharma","given":"Apoorva","non-dropping-particle":"","parse-names":false,"suffix":""},{"dropping-particle":"","family":"Sarwal","given":"Yamini","non-dropping-particle":"","parse-names":false,"suffix":""},{"dropping-particle":"","family":"Devi","given":"Naorem Kiranmala","non-dropping-particle":"","parse-names":false,"suffix":""},{"dropping-particle":"","family":"Saraswathy","given":"Kallur Nava","non-dropping-particle":"","parse-names":false,"suffix":""}],"container-title":"Reproductive health","id":"ITEM-1","issue":"1","issued":{"date-parts":[["2025"]]},"page":"61","publisher":"Springer","title":"Polycystic Ovary Syndrome prevalence and associated sociodemographic risk factors: a study among young adults in Delhi NCR, India","type":"article-journal","volume":"22"},"uris":["http://www.mendeley.com/documents/?uuid=a0a17f2f-34dc-4eba-944c-5983c2499b51"]}],"mendeley":{"formattedCitation":"(Sharma et al., 2025)","plainTextFormattedCitation":"(Sharma et al., 2025)","previouslyFormattedCitation":"(Sharma et al.,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(Sharma et al., 2025)</w:t>
      </w:r>
      <w:r w:rsidRPr="00DD620D">
        <w:rPr>
          <w:rFonts w:ascii="Arial" w:hAnsi="Arial" w:cs="Arial"/>
        </w:rPr>
        <w:fldChar w:fldCharType="end"/>
      </w:r>
      <w:r w:rsidRPr="00DD620D">
        <w:rPr>
          <w:rFonts w:ascii="Arial" w:hAnsi="Arial" w:cs="Arial"/>
        </w:rPr>
        <w:t>.</w:t>
      </w:r>
    </w:p>
    <w:p w14:paraId="7703B771" w14:textId="77777777" w:rsidR="0075045C" w:rsidRPr="0075045C" w:rsidRDefault="0075045C" w:rsidP="0075045C">
      <w:pPr>
        <w:pStyle w:val="NormalWeb"/>
      </w:pPr>
      <w:r>
        <w:rPr>
          <w:noProof/>
          <w:lang w:val="en-US" w:eastAsia="en-US"/>
        </w:rPr>
        <w:drawing>
          <wp:inline distT="0" distB="0" distL="0" distR="0" wp14:anchorId="6EE65BB2" wp14:editId="1658AEFB">
            <wp:extent cx="5184679" cy="3373675"/>
            <wp:effectExtent l="0" t="0" r="0" b="0"/>
            <wp:docPr id="4" name="Picture 4" descr="C:\Users\P C GUPTA\Downloads\Pictures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C GUPTA\Downloads\Pictures (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477" cy="3385907"/>
                    </a:xfrm>
                    <a:prstGeom prst="rect">
                      <a:avLst/>
                    </a:prstGeom>
                    <a:noFill/>
                    <a:ln>
                      <a:noFill/>
                    </a:ln>
                  </pic:spPr>
                </pic:pic>
              </a:graphicData>
            </a:graphic>
          </wp:inline>
        </w:drawing>
      </w:r>
    </w:p>
    <w:p w14:paraId="64A15B0A" w14:textId="77777777" w:rsidR="002874FF" w:rsidRPr="0075045C" w:rsidRDefault="002874FF" w:rsidP="00441B6F">
      <w:pPr>
        <w:pStyle w:val="Body"/>
        <w:spacing w:after="0"/>
        <w:rPr>
          <w:rFonts w:ascii="Arial" w:hAnsi="Arial" w:cs="Arial"/>
          <w:b/>
          <w:caps/>
          <w:sz w:val="22"/>
        </w:rPr>
      </w:pPr>
      <w:r w:rsidRPr="0075045C">
        <w:rPr>
          <w:rFonts w:ascii="Arial" w:hAnsi="Arial" w:cs="Arial"/>
          <w:b/>
          <w:sz w:val="22"/>
          <w:szCs w:val="22"/>
        </w:rPr>
        <w:t xml:space="preserve">3. </w:t>
      </w:r>
      <w:r w:rsidRPr="0075045C">
        <w:rPr>
          <w:rFonts w:ascii="Arial" w:hAnsi="Arial" w:cs="Arial"/>
          <w:b/>
          <w:caps/>
          <w:sz w:val="22"/>
          <w:szCs w:val="22"/>
        </w:rPr>
        <w:t>Typical</w:t>
      </w:r>
      <w:r w:rsidRPr="0075045C">
        <w:rPr>
          <w:rFonts w:ascii="Arial" w:hAnsi="Arial" w:cs="Arial"/>
          <w:b/>
          <w:caps/>
          <w:sz w:val="22"/>
        </w:rPr>
        <w:t xml:space="preserve"> menstrual cycle and atypical PCOS cycle</w:t>
      </w:r>
    </w:p>
    <w:p w14:paraId="1D2E8B8A" w14:textId="77777777" w:rsidR="00171F9F" w:rsidRDefault="00171F9F" w:rsidP="00171F9F">
      <w:pPr>
        <w:jc w:val="both"/>
        <w:rPr>
          <w:rFonts w:ascii="Times New Roman" w:hAnsi="Times New Roman"/>
          <w:sz w:val="24"/>
          <w:szCs w:val="24"/>
        </w:rPr>
      </w:pPr>
    </w:p>
    <w:p w14:paraId="1DABFF1B" w14:textId="77777777" w:rsidR="00171F9F" w:rsidRPr="00171F9F" w:rsidRDefault="00171F9F" w:rsidP="00171F9F">
      <w:pPr>
        <w:jc w:val="both"/>
        <w:rPr>
          <w:rFonts w:ascii="Arial" w:hAnsi="Arial" w:cs="Arial"/>
        </w:rPr>
      </w:pPr>
      <w:commentRangeStart w:id="11"/>
      <w:r w:rsidRPr="00171F9F">
        <w:rPr>
          <w:rFonts w:ascii="Arial" w:hAnsi="Arial" w:cs="Arial"/>
        </w:rPr>
        <w:t xml:space="preserve">PCOS is the prime cause of female infertility </w:t>
      </w:r>
      <w:commentRangeEnd w:id="11"/>
      <w:r w:rsidR="001170A9">
        <w:rPr>
          <w:rStyle w:val="CommentReference"/>
          <w:rFonts w:ascii="Times New Roman" w:hAnsi="Times New Roman"/>
          <w:lang w:val="nb-NO" w:eastAsia="nb-NO"/>
        </w:rPr>
        <w:commentReference w:id="11"/>
      </w:r>
      <w:r w:rsidRPr="00171F9F">
        <w:rPr>
          <w:rFonts w:ascii="Arial" w:hAnsi="Arial" w:cs="Arial"/>
        </w:rPr>
        <w:t xml:space="preserve">due to the absence of regular ovulation (anovulation) or infrequent ovulation (oligo-ovulation). It is a chronic disturbance of reproductive hormone levels that affects ovarian function in women with PCOS, resulting in an inconsistent menstrual cycle and ovulation. </w:t>
      </w:r>
    </w:p>
    <w:p w14:paraId="6A667DB5" w14:textId="77777777" w:rsidR="00171F9F" w:rsidRPr="00171F9F" w:rsidRDefault="00171F9F" w:rsidP="00171F9F">
      <w:pPr>
        <w:jc w:val="both"/>
        <w:rPr>
          <w:rFonts w:ascii="Arial" w:hAnsi="Arial" w:cs="Arial"/>
        </w:rPr>
      </w:pPr>
    </w:p>
    <w:p w14:paraId="78F16CDB" w14:textId="77777777" w:rsidR="00171F9F" w:rsidRPr="00171F9F" w:rsidRDefault="00171F9F" w:rsidP="00171F9F">
      <w:pPr>
        <w:jc w:val="both"/>
        <w:rPr>
          <w:rFonts w:ascii="Arial" w:hAnsi="Arial" w:cs="Arial"/>
        </w:rPr>
      </w:pPr>
      <w:r w:rsidRPr="00171F9F">
        <w:rPr>
          <w:rFonts w:ascii="Arial" w:hAnsi="Arial" w:cs="Arial"/>
        </w:rPr>
        <w:t xml:space="preserve">A typical menstrual cycle is a recurring process that lasts about 28 days (Figure 3 A), regulated by the Hypothalamic-Pituitary-Ovarian (HPO) axis, which utilizes GnRH pulses from the hypothalamus of the brain to regulate fluctuations in four crucial reproductive hormones, viz. LH (Luteinizing Hormone), FSH (Follicle-Stimulating Hormone), estrogen and progesterone </w:t>
      </w:r>
      <w:r w:rsidRPr="00171F9F">
        <w:rPr>
          <w:rFonts w:ascii="Arial" w:hAnsi="Arial" w:cs="Arial"/>
        </w:rPr>
        <w:fldChar w:fldCharType="begin" w:fldLock="1"/>
      </w:r>
      <w:r w:rsidRPr="00171F9F">
        <w:rPr>
          <w:rFonts w:ascii="Arial" w:hAnsi="Arial" w:cs="Arial"/>
        </w:rPr>
        <w:instrText>ADDIN CSL_CITATION {"citationItems":[{"id":"ITEM-1","itemData":{"author":[{"dropping-particle":"","family":"Williams","given":"Gary L","non-dropping-particle":"","parse-names":false,"suffix":""},{"dropping-particle":"","family":"Cardoso","given":"Rodolfo C","non-dropping-particle":"","parse-names":false,"suffix":""}],"container-title":"Bovine Reproduction","id":"ITEM-1","issued":{"date-parts":[["2021"]]},"page":"269-291","publisher":"Wiley Online Library","title":"Neuroendocrine control of estrus and ovulation","type":"article-journal"},"uris":["http://www.mendeley.com/documents/?uuid=b3a94e14-4324-40df-a6c4-479ce23b12dc"]}],"mendeley":{"formattedCitation":"(Williams &amp; Cardoso, 2021)","plainTextFormattedCitation":"(Williams &amp; Cardoso, 2021)","previouslyFormattedCitation":"(Williams &amp; Cardoso, 2021)"},"properties":{"noteIndex":0},"schema":"https://github.com/citation-style-language/schema/raw/master/csl-citation.json"}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(Williams &amp; Cardoso, 2021)</w:t>
      </w:r>
      <w:r w:rsidRPr="00171F9F">
        <w:rPr>
          <w:rFonts w:ascii="Arial" w:hAnsi="Arial" w:cs="Arial"/>
        </w:rPr>
        <w:fldChar w:fldCharType="end"/>
      </w:r>
      <w:r w:rsidRPr="00171F9F">
        <w:rPr>
          <w:rFonts w:ascii="Arial" w:hAnsi="Arial" w:cs="Arial"/>
        </w:rPr>
        <w:t xml:space="preserve">. It starts with the menstrual phase (Days 1–5), which is characterized by a significant decrease in estrogen and progesterone, prompting the shedding of the uterine lining, indicating the hypothalamus to initiate a new cycle. In the follicular phase (Days 1–13), the pituitary gland produces </w:t>
      </w:r>
      <w:commentRangeStart w:id="12"/>
      <w:r w:rsidRPr="00171F9F">
        <w:rPr>
          <w:rFonts w:ascii="Arial" w:hAnsi="Arial" w:cs="Arial"/>
        </w:rPr>
        <w:t>FSH to control the growth of egg-containing follicles</w:t>
      </w:r>
      <w:commentRangeEnd w:id="12"/>
      <w:r w:rsidR="001170A9">
        <w:rPr>
          <w:rStyle w:val="CommentReference"/>
          <w:rFonts w:ascii="Times New Roman" w:hAnsi="Times New Roman"/>
          <w:lang w:val="nb-NO" w:eastAsia="nb-NO"/>
        </w:rPr>
        <w:commentReference w:id="12"/>
      </w:r>
      <w:r w:rsidRPr="00171F9F">
        <w:rPr>
          <w:rFonts w:ascii="Arial" w:hAnsi="Arial" w:cs="Arial"/>
        </w:rPr>
        <w:t xml:space="preserve"> in the ovary. This subsequently releases higher levels of estrogen to enhance the thickness </w:t>
      </w:r>
      <w:r w:rsidRPr="00171F9F">
        <w:rPr>
          <w:rFonts w:ascii="Arial" w:hAnsi="Arial" w:cs="Arial"/>
        </w:rPr>
        <w:lastRenderedPageBreak/>
        <w:t xml:space="preserve">of the uterine lining. The continued increase in estrogen ultimately triggers a significant spike in LH, which specifically signals the follicle to break apart and release the egg (Figure 3 A). Thus, </w:t>
      </w:r>
      <w:commentRangeStart w:id="13"/>
      <w:r w:rsidRPr="00171F9F">
        <w:rPr>
          <w:rFonts w:ascii="Arial" w:hAnsi="Arial" w:cs="Arial"/>
        </w:rPr>
        <w:t>LH surge triggers the ovulatory phase</w:t>
      </w:r>
      <w:commentRangeEnd w:id="13"/>
      <w:r w:rsidR="001170A9">
        <w:rPr>
          <w:rStyle w:val="CommentReference"/>
          <w:rFonts w:ascii="Times New Roman" w:hAnsi="Times New Roman"/>
          <w:lang w:val="nb-NO" w:eastAsia="nb-NO"/>
        </w:rPr>
        <w:commentReference w:id="13"/>
      </w:r>
      <w:r w:rsidRPr="00171F9F">
        <w:rPr>
          <w:rFonts w:ascii="Arial" w:hAnsi="Arial" w:cs="Arial"/>
        </w:rPr>
        <w:t xml:space="preserve"> (Day 14), leading to the rupture of the dominant follicle and the release of a mature egg. Ultimately, the cycle moves into the luteal phase (Days 15–28), where the vacant follicle converts into the corpus luteum and generates elevated progesterone levels to maintain the uterus (Figure 3 A); progesterone stabilizes the uterus and gives negative feedback to the brain to inhibit additional FSH and LH; if pregnancy does not happen, levels of estrogen and progesterone decrease, the uterine lining is discarded, and GnRH pulses restart the cycle for the upcoming </w:t>
      </w:r>
      <w:commentRangeStart w:id="14"/>
      <w:r w:rsidRPr="00171F9F">
        <w:rPr>
          <w:rFonts w:ascii="Arial" w:hAnsi="Arial" w:cs="Arial"/>
        </w:rPr>
        <w:t xml:space="preserve">month </w:t>
      </w:r>
      <w:r w:rsidRPr="00171F9F">
        <w:rPr>
          <w:rFonts w:ascii="Arial" w:hAnsi="Arial" w:cs="Arial"/>
        </w:rPr>
        <w:fldChar w:fldCharType="begin" w:fldLock="1"/>
      </w:r>
      <w:r w:rsidRPr="00171F9F">
        <w:rPr>
          <w:rFonts w:ascii="Arial" w:hAnsi="Arial" w:cs="Arial"/>
        </w:rPr>
        <w:instrText>ADDIN CSL_CITATION {"citationItems":[{"id":"ITEM-1","itemData":{"author":[{"dropping-particle":"","family":"Buffet","given":"N Chabbert","non-dropping-particle":"","parse-names":false,"suffix":""},{"dropping-particle":"","family":"Djakoure","given":"C","non-dropping-particle":"","parse-names":false,"suffix":""},{"dropping-particle":"","family":"Maitre","given":"S Christin","non-dropping-particle":"","parse-names":false,"suffix":""},{"dropping-particle":"","family":"Bouchard","given":"P","non-dropping-particle":"","parse-names":false,"suffix":""}],"id":"ITEM-1","issue":"19","issued":{"date-parts":[["1998"]]},"page":"151-186","title":"Regulation of the Human Menstrual Cycle","type":"article-journal","volume":"186"},"uris":["http://www.mendeley.com/documents/?uuid=e7f0b476-b458-4945-8f2f-6157a5d12100"]}],"mendeley":{"formattedCitation":"(Buffet et al., 1998)","plainTextFormattedCitation":"(Buffet et al., 1998)","previouslyFormattedCitation":"(Buffet et al., 1998)"},"properties":{"noteIndex":0},"schema":"https://github.com/citation-style-language/schema/raw/master/csl-citation.json"}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(Buffet et al., 1998)</w:t>
      </w:r>
      <w:r w:rsidRPr="00171F9F">
        <w:rPr>
          <w:rFonts w:ascii="Arial" w:hAnsi="Arial" w:cs="Arial"/>
        </w:rPr>
        <w:fldChar w:fldCharType="end"/>
      </w:r>
      <w:commentRangeEnd w:id="14"/>
      <w:r w:rsidR="003A0A8B">
        <w:rPr>
          <w:rStyle w:val="CommentReference"/>
          <w:rFonts w:ascii="Times New Roman" w:hAnsi="Times New Roman"/>
          <w:lang w:val="nb-NO" w:eastAsia="nb-NO"/>
        </w:rPr>
        <w:commentReference w:id="14"/>
      </w:r>
      <w:r w:rsidRPr="00171F9F">
        <w:rPr>
          <w:rFonts w:ascii="Arial" w:hAnsi="Arial" w:cs="Arial"/>
        </w:rPr>
        <w:t xml:space="preserve">. </w:t>
      </w:r>
    </w:p>
    <w:p w14:paraId="60EA012C" w14:textId="77777777" w:rsidR="00CF2694" w:rsidRDefault="00CF2694" w:rsidP="00CF2694">
      <w:pPr>
        <w:jc w:val="both"/>
        <w:rPr>
          <w:rFonts w:ascii="Arial" w:hAnsi="Arial" w:cs="Arial"/>
        </w:rPr>
      </w:pPr>
    </w:p>
    <w:p w14:paraId="0C3BD951" w14:textId="77777777" w:rsidR="006B1665" w:rsidRPr="006B1665" w:rsidRDefault="00171F9F" w:rsidP="006B1665">
      <w:pPr>
        <w:jc w:val="both"/>
        <w:rPr>
          <w:rFonts w:ascii="Arial" w:hAnsi="Arial" w:cs="Arial"/>
        </w:rPr>
      </w:pPr>
      <w:r w:rsidRPr="00171F9F">
        <w:rPr>
          <w:rFonts w:ascii="Arial" w:hAnsi="Arial" w:cs="Arial"/>
        </w:rPr>
        <w:t xml:space="preserve">The ovaries in PCOS produce </w:t>
      </w:r>
      <w:commentRangeStart w:id="15"/>
      <w:r w:rsidRPr="00171F9F">
        <w:rPr>
          <w:rFonts w:ascii="Arial" w:hAnsi="Arial" w:cs="Arial"/>
        </w:rPr>
        <w:t xml:space="preserve">surplus </w:t>
      </w:r>
      <w:commentRangeEnd w:id="15"/>
      <w:r w:rsidR="003A0A8B">
        <w:rPr>
          <w:rStyle w:val="CommentReference"/>
          <w:rFonts w:ascii="Times New Roman" w:hAnsi="Times New Roman"/>
          <w:lang w:val="nb-NO" w:eastAsia="nb-NO"/>
        </w:rPr>
        <w:commentReference w:id="15"/>
      </w:r>
      <w:r w:rsidRPr="00171F9F">
        <w:rPr>
          <w:rFonts w:ascii="Arial" w:hAnsi="Arial" w:cs="Arial"/>
        </w:rPr>
        <w:t xml:space="preserve">androgens like testosterone, which </w:t>
      </w:r>
      <w:commentRangeStart w:id="16"/>
      <w:r w:rsidRPr="00171F9F">
        <w:rPr>
          <w:rFonts w:ascii="Arial" w:hAnsi="Arial" w:cs="Arial"/>
        </w:rPr>
        <w:t xml:space="preserve">might </w:t>
      </w:r>
      <w:commentRangeEnd w:id="16"/>
      <w:r w:rsidR="003A0A8B">
        <w:rPr>
          <w:rStyle w:val="CommentReference"/>
          <w:rFonts w:ascii="Times New Roman" w:hAnsi="Times New Roman"/>
          <w:lang w:val="nb-NO" w:eastAsia="nb-NO"/>
        </w:rPr>
        <w:commentReference w:id="16"/>
      </w:r>
      <w:r w:rsidRPr="00171F9F">
        <w:rPr>
          <w:rFonts w:ascii="Arial" w:hAnsi="Arial" w:cs="Arial"/>
        </w:rPr>
        <w:t xml:space="preserve">result in symptoms such as acne, excessive body or facial hair (named as hirsutism), and hair thinning in a male pattern. However, not all individuals with PCOS possess ovarian cysts (Figure 3 B). PCOS women are generally characterized by a combination of three clinical features, i.e. irregular or absent ovulation, high androgen (male hormone) levels, and polycystic ovaries, identifiable on ultrasound. Additionally, an elevated Anti-Mullerian Hormone (AMH) level has generally been included as an alternative blood test pointer for polycystic ovaries </w:t>
      </w:r>
      <w:r w:rsidRPr="00171F9F">
        <w:rPr>
          <w:rFonts w:ascii="Arial" w:hAnsi="Arial" w:cs="Arial"/>
        </w:rPr>
        <w:fldChar w:fldCharType="begin" w:fldLock="1"/>
      </w:r>
      <w:r w:rsidRPr="00171F9F">
        <w:rPr>
          <w:rFonts w:ascii="Arial" w:hAnsi="Arial" w:cs="Arial"/>
        </w:rPr>
        <w:instrText>ADDIN CSL_CITATION {"citationItems":[{"id":"ITEM-1","itemData":{"ISSN":"2075-4418","author":[{"dropping-particle":"","family":"Sivanandy","given":"Mala S","non-dropping-particle":"","parse-names":false,"suffix":""},{"dropping-particle":"","family":"Ha","given":"Sierra K","non-dropping-particle":"","parse-names":false,"suffix":""}],"container-title":"Diagnostics","id":"ITEM-1","issue":"5","issued":{"date-parts":[["2023"]]},"page":"907","publisher":"MDPI","title":"The role of serum anti-mullerian hormone measurement in the diagnosis of polycystic ovary syndrome","type":"article-journal","volume":"13"},"uris":["http://www.mendeley.com/documents/?uuid=67cd8437-8b51-4f2c-b093-1b101050e183"]}],"mendeley":{"formattedCitation":"(Sivanandy &amp; Ha, 2023)","plainTextFormattedCitation":"(Sivanandy &amp; Ha, 2023)","previouslyFormattedCitation":"(Sivanandy &amp; Ha, 2023)"},"properties":{"noteIndex":0},"schema":"https://github.com/citation-style-language/schema/raw/master/csl-citation.json"}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(Sivanandy &amp; Ha, 2023)</w:t>
      </w:r>
      <w:r w:rsidRPr="00171F9F">
        <w:rPr>
          <w:rFonts w:ascii="Arial" w:hAnsi="Arial" w:cs="Arial"/>
        </w:rPr>
        <w:fldChar w:fldCharType="end"/>
      </w:r>
      <w:r w:rsidRPr="00171F9F">
        <w:rPr>
          <w:rFonts w:ascii="Arial" w:hAnsi="Arial" w:cs="Arial"/>
        </w:rPr>
        <w:t>.</w:t>
      </w:r>
    </w:p>
    <w:p w14:paraId="6F0CB437" w14:textId="77777777" w:rsidR="006B1665" w:rsidRDefault="006B1665" w:rsidP="006B1665">
      <w:pPr>
        <w:pStyle w:val="NormalWeb"/>
      </w:pPr>
      <w:r>
        <w:rPr>
          <w:noProof/>
          <w:lang w:val="en-US" w:eastAsia="en-US"/>
        </w:rPr>
        <w:drawing>
          <wp:inline distT="0" distB="0" distL="0" distR="0" wp14:anchorId="633D9BA3" wp14:editId="4D88AEDB">
            <wp:extent cx="5221170" cy="3043878"/>
            <wp:effectExtent l="0" t="0" r="0" b="0"/>
            <wp:docPr id="5" name="Picture 5" descr="C:\Users\P C GUPTA\Downloads\Picture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8).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03" t="15161" r="3391" b="11767"/>
                    <a:stretch/>
                  </pic:blipFill>
                  <pic:spPr bwMode="auto">
                    <a:xfrm>
                      <a:off x="0" y="0"/>
                      <a:ext cx="5238574" cy="3054024"/>
                    </a:xfrm>
                    <a:prstGeom prst="rect">
                      <a:avLst/>
                    </a:prstGeom>
                    <a:noFill/>
                    <a:ln>
                      <a:noFill/>
                    </a:ln>
                    <a:extLst>
                      <a:ext uri="{53640926-AAD7-44D8-BBD7-CCE9431645EC}">
                        <a14:shadowObscured xmlns:a14="http://schemas.microsoft.com/office/drawing/2010/main"/>
                      </a:ext>
                    </a:extLst>
                  </pic:spPr>
                </pic:pic>
              </a:graphicData>
            </a:graphic>
          </wp:inline>
        </w:drawing>
      </w:r>
    </w:p>
    <w:p w14:paraId="556AA03C" w14:textId="77777777" w:rsidR="002874FF" w:rsidRDefault="002A49D9" w:rsidP="00441B6F">
      <w:pPr>
        <w:pStyle w:val="Body"/>
        <w:spacing w:after="0"/>
        <w:rPr>
          <w:rFonts w:ascii="Arial" w:hAnsi="Arial" w:cs="Arial"/>
          <w:b/>
          <w:caps/>
          <w:sz w:val="22"/>
          <w:szCs w:val="22"/>
        </w:rPr>
      </w:pPr>
      <w:r w:rsidRPr="002A49D9">
        <w:rPr>
          <w:rFonts w:ascii="Arial" w:hAnsi="Arial" w:cs="Arial"/>
          <w:b/>
          <w:caps/>
          <w:sz w:val="22"/>
          <w:szCs w:val="22"/>
        </w:rPr>
        <w:t>4. Pathoph</w:t>
      </w:r>
      <w:r>
        <w:rPr>
          <w:rFonts w:ascii="Arial" w:hAnsi="Arial" w:cs="Arial"/>
          <w:b/>
          <w:caps/>
          <w:sz w:val="22"/>
          <w:szCs w:val="22"/>
        </w:rPr>
        <w:t>ysiological mechanism of the origin</w:t>
      </w:r>
      <w:r w:rsidRPr="002A49D9">
        <w:rPr>
          <w:rFonts w:ascii="Arial" w:hAnsi="Arial" w:cs="Arial"/>
          <w:b/>
          <w:caps/>
          <w:sz w:val="22"/>
          <w:szCs w:val="22"/>
        </w:rPr>
        <w:t xml:space="preserve"> of PCOS</w:t>
      </w:r>
    </w:p>
    <w:p w14:paraId="7691FA2E" w14:textId="77777777" w:rsidR="002A49D9" w:rsidRDefault="002A49D9" w:rsidP="00441B6F">
      <w:pPr>
        <w:pStyle w:val="Body"/>
        <w:spacing w:after="0"/>
        <w:rPr>
          <w:rFonts w:ascii="Arial" w:hAnsi="Arial" w:cs="Arial"/>
          <w:b/>
          <w:caps/>
          <w:sz w:val="22"/>
          <w:szCs w:val="22"/>
        </w:rPr>
      </w:pPr>
    </w:p>
    <w:p w14:paraId="5937B57D" w14:textId="77777777" w:rsidR="00D00B8F" w:rsidRPr="00D00B8F" w:rsidRDefault="00D00B8F" w:rsidP="00D00B8F">
      <w:pPr>
        <w:jc w:val="both"/>
        <w:rPr>
          <w:rFonts w:ascii="Arial" w:hAnsi="Arial" w:cs="Arial"/>
        </w:rPr>
      </w:pPr>
      <w:r w:rsidRPr="00D00B8F">
        <w:rPr>
          <w:rFonts w:ascii="Arial" w:hAnsi="Arial" w:cs="Arial"/>
        </w:rPr>
        <w:t xml:space="preserve">The exact mechanism of PCOS development is not well understood. Scientific and clinical data suggest that PCOS originates due to a combined impact of hormonal fluctuations and genetic aspects that affect ovarian function </w:t>
      </w:r>
      <w:r w:rsidRPr="00D00B8F">
        <w:rPr>
          <w:rFonts w:ascii="Arial" w:hAnsi="Arial" w:cs="Arial"/>
        </w:rPr>
        <w:fldChar w:fldCharType="begin" w:fldLock="1"/>
      </w:r>
      <w:r w:rsidRPr="00D00B8F">
        <w:rPr>
          <w:rFonts w:ascii="Arial" w:hAnsi="Arial" w:cs="Arial"/>
        </w:rPr>
        <w:instrText>ADDIN CSL_CITATION {"citationItems":[{"id":"ITEM-1","itemData":{"ISSN":"1178-704X","author":[{"dropping-particle":"","family":"Khan","given":"Muhammad Jaseem","non-dropping-particle":"","parse-names":false,"suffix":""},{"dropping-particle":"","family":"Ullah","given":"Anwar","non-dropping-particle":"","parse-names":false,"suffix":""},{"dropping-particle":"","family":"Basit","given":"Sulman","non-dropping-particle":"","parse-names":false,"suffix":""}],"container-title":"The application of clinical genetics","id":"ITEM-1","issued":{"date-parts":[["2019"]]},"page":"249-260","publisher":"Taylor &amp; Francis","title":"Genetic basis of polycystic ovary syndrome (PCOS): current perspectives","type":"article-journal"},"uris":["http://www.mendeley.com/documents/?uuid=060f09ea-7ad9-4e7e-91a8-34f8765b96d2"]}],"mendeley":{"formattedCitation":"(Khan et al., 2019)","plainTextFormattedCitation":"(Khan et al., 2019)","previouslyFormattedCitation":"(Khan et al., 2019)"},"properties":{"noteIndex":0},"schema":"https://github.com/citation-style-language/schema/raw/master/csl-citation.json"}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(Khan et al., 2019)</w:t>
      </w:r>
      <w:r w:rsidRPr="00D00B8F">
        <w:rPr>
          <w:rFonts w:ascii="Arial" w:hAnsi="Arial" w:cs="Arial"/>
        </w:rPr>
        <w:fldChar w:fldCharType="end"/>
      </w:r>
      <w:r w:rsidRPr="00D00B8F">
        <w:rPr>
          <w:rFonts w:ascii="Arial" w:hAnsi="Arial" w:cs="Arial"/>
        </w:rPr>
        <w:t xml:space="preserve">. </w:t>
      </w:r>
      <w:r w:rsidRPr="00D00B8F">
        <w:rPr>
          <w:rFonts w:ascii="Arial" w:hAnsi="Arial" w:cs="Arial"/>
          <w:lang w:val="en-IN"/>
        </w:rPr>
        <w:t>In PCOS women, a complex imbalance of hormones, including </w:t>
      </w:r>
      <w:r w:rsidRPr="00D00B8F">
        <w:rPr>
          <w:rFonts w:ascii="Arial" w:hAnsi="Arial" w:cs="Arial"/>
          <w:bCs/>
          <w:lang w:val="en-IN"/>
        </w:rPr>
        <w:t>insulin, growth hormone (GH), ghrelin, LEAP-2, GnRH, androgens, and estrogens,</w:t>
      </w:r>
      <w:r w:rsidRPr="00D00B8F">
        <w:rPr>
          <w:rFonts w:ascii="Arial" w:hAnsi="Arial" w:cs="Arial"/>
          <w:lang w:val="en-IN"/>
        </w:rPr>
        <w:t xml:space="preserve"> leads to the clinical appearance of the disorder </w:t>
      </w:r>
      <w:r w:rsidRPr="00D00B8F">
        <w:rPr>
          <w:rFonts w:ascii="Arial" w:hAnsi="Arial" w:cs="Arial"/>
          <w:lang w:val="en-IN"/>
        </w:rPr>
        <w:fldChar w:fldCharType="begin" w:fldLock="1"/>
      </w:r>
      <w:r w:rsidRPr="00D00B8F">
        <w:rPr>
          <w:rFonts w:ascii="Arial" w:hAnsi="Arial" w:cs="Arial"/>
          <w:lang w:val="en-IN"/>
        </w:rPr>
        <w:instrText>ADDIN CSL_CITATION {"citationItems":[{"id":"ITEM-1","itemData":{"ISSN":"0022-0795","author":[{"dropping-particle":"","family":"Yang","given":"Jianmei","non-dropping-particle":"","parse-names":false,"suffix":""},{"dropping-particle":"","family":"Chen","given":"Chen","non-dropping-particle":"","parse-names":false,"suffix":""}],"container-title":"Journal of Endocrinology","id":"ITEM-1","issue":"1","issued":{"date-parts":[["2024"]]},"publisher":"Bioscientifica Ltd","title":"Hormonal changes in PCOS","type":"article-journal","volume":"261"},"uris":["http://www.mendeley.com/documents/?uuid=9fa62361-eae3-4fbc-9e8d-b4fd043e6c2c"]}],"mendeley":{"formattedCitation":"(Yang &amp; Chen, 2024)","plainTextFormattedCitation":"(Yang &amp; Chen, 2024)","previouslyFormattedCitation":"(Yang &amp; Chen, 2024)"},"properties":{"noteIndex":0},"schema":"https://github.com/citation-style-language/schema/raw/master/csl-citation.json"}</w:instrText>
      </w:r>
      <w:r w:rsidRPr="00D00B8F">
        <w:rPr>
          <w:rFonts w:ascii="Arial" w:hAnsi="Arial" w:cs="Arial"/>
          <w:lang w:val="en-IN"/>
        </w:rPr>
        <w:fldChar w:fldCharType="separate"/>
      </w:r>
      <w:r w:rsidRPr="00D00B8F">
        <w:rPr>
          <w:rFonts w:ascii="Arial" w:hAnsi="Arial" w:cs="Arial"/>
          <w:noProof/>
          <w:lang w:val="en-IN"/>
        </w:rPr>
        <w:t>(Yang &amp; Chen, 2024)</w:t>
      </w:r>
      <w:r w:rsidRPr="00D00B8F">
        <w:rPr>
          <w:rFonts w:ascii="Arial" w:hAnsi="Arial" w:cs="Arial"/>
          <w:lang w:val="en-IN"/>
        </w:rPr>
        <w:fldChar w:fldCharType="end"/>
      </w:r>
      <w:r w:rsidRPr="00D00B8F">
        <w:rPr>
          <w:rFonts w:ascii="Arial" w:hAnsi="Arial" w:cs="Arial"/>
          <w:lang w:val="en-IN"/>
        </w:rPr>
        <w:t xml:space="preserve">. </w:t>
      </w:r>
      <w:commentRangeStart w:id="17"/>
      <w:r w:rsidRPr="00D00B8F">
        <w:rPr>
          <w:rFonts w:ascii="Arial" w:hAnsi="Arial" w:cs="Arial"/>
          <w:lang w:val="en-IN"/>
        </w:rPr>
        <w:t>An elevated </w:t>
      </w:r>
      <w:r w:rsidRPr="00D00B8F">
        <w:rPr>
          <w:rFonts w:ascii="Arial" w:hAnsi="Arial" w:cs="Arial"/>
          <w:bCs/>
          <w:lang w:val="en-IN"/>
        </w:rPr>
        <w:t>LH/FSH ratio</w:t>
      </w:r>
      <w:r w:rsidRPr="00D00B8F">
        <w:rPr>
          <w:rFonts w:ascii="Arial" w:hAnsi="Arial" w:cs="Arial"/>
          <w:lang w:val="en-IN"/>
        </w:rPr>
        <w:t> and constant hormonal variations are associated with the development of insulin resistance</w:t>
      </w:r>
      <w:commentRangeEnd w:id="17"/>
      <w:r w:rsidR="003A0A8B">
        <w:rPr>
          <w:rStyle w:val="CommentReference"/>
          <w:rFonts w:ascii="Times New Roman" w:hAnsi="Times New Roman"/>
          <w:lang w:val="nb-NO" w:eastAsia="nb-NO"/>
        </w:rPr>
        <w:commentReference w:id="17"/>
      </w:r>
      <w:r w:rsidRPr="00D00B8F">
        <w:rPr>
          <w:rFonts w:ascii="Arial" w:hAnsi="Arial" w:cs="Arial"/>
          <w:lang w:val="en-IN"/>
        </w:rPr>
        <w:t xml:space="preserve"> and Type 2 diabetes, obesity, and irregular menstrual cycles with subsequent infertility (Figure 3).</w:t>
      </w:r>
      <w:r w:rsidRPr="00D00B8F">
        <w:rPr>
          <w:rFonts w:ascii="Arial" w:hAnsi="Arial" w:cs="Arial"/>
        </w:rPr>
        <w:t xml:space="preserve"> Some of the key factors of this mechanism are discussed as follows:</w:t>
      </w:r>
    </w:p>
    <w:p w14:paraId="493A6323" w14:textId="77777777" w:rsidR="002A7631" w:rsidRPr="002A7631" w:rsidRDefault="002A7631" w:rsidP="00D00B8F">
      <w:pPr>
        <w:jc w:val="both"/>
        <w:rPr>
          <w:rFonts w:ascii="Arial" w:hAnsi="Arial" w:cs="Arial"/>
          <w:b/>
          <w:caps/>
          <w:sz w:val="22"/>
          <w:szCs w:val="22"/>
        </w:rPr>
      </w:pPr>
      <w:r w:rsidRPr="002A7631">
        <w:rPr>
          <w:rFonts w:ascii="Arial" w:hAnsi="Arial" w:cs="Arial"/>
          <w:b/>
          <w:caps/>
          <w:sz w:val="22"/>
          <w:szCs w:val="22"/>
        </w:rPr>
        <w:t xml:space="preserve">4.1 </w:t>
      </w:r>
      <w:r w:rsidR="00D00B8F" w:rsidRPr="002A7631">
        <w:rPr>
          <w:rFonts w:ascii="Arial" w:hAnsi="Arial" w:cs="Arial"/>
          <w:b/>
          <w:caps/>
          <w:sz w:val="22"/>
          <w:szCs w:val="22"/>
        </w:rPr>
        <w:t>Insulin resistance</w:t>
      </w:r>
    </w:p>
    <w:p w14:paraId="5FFA10AD" w14:textId="77777777" w:rsidR="002A7631" w:rsidRDefault="002A7631" w:rsidP="00D00B8F">
      <w:pPr>
        <w:jc w:val="both"/>
        <w:rPr>
          <w:rFonts w:ascii="Arial" w:hAnsi="Arial" w:cs="Arial"/>
        </w:rPr>
      </w:pPr>
    </w:p>
    <w:p w14:paraId="175EAA52" w14:textId="77777777" w:rsidR="00D00B8F" w:rsidRPr="00D00B8F" w:rsidRDefault="00D00B8F" w:rsidP="00D00B8F">
      <w:pPr>
        <w:jc w:val="both"/>
        <w:rPr>
          <w:rFonts w:ascii="Arial" w:hAnsi="Arial" w:cs="Arial"/>
        </w:rPr>
      </w:pPr>
      <w:r w:rsidRPr="00D00B8F">
        <w:rPr>
          <w:rFonts w:ascii="Arial" w:hAnsi="Arial" w:cs="Arial"/>
        </w:rPr>
        <w:t xml:space="preserve">Clinical data show that </w:t>
      </w:r>
      <w:commentRangeStart w:id="18"/>
      <w:r w:rsidRPr="00D00B8F">
        <w:rPr>
          <w:rFonts w:ascii="Arial" w:hAnsi="Arial" w:cs="Arial"/>
        </w:rPr>
        <w:t xml:space="preserve">people </w:t>
      </w:r>
      <w:commentRangeEnd w:id="18"/>
      <w:r w:rsidR="003A0A8B">
        <w:rPr>
          <w:rStyle w:val="CommentReference"/>
          <w:rFonts w:ascii="Times New Roman" w:hAnsi="Times New Roman"/>
          <w:lang w:val="nb-NO" w:eastAsia="nb-NO"/>
        </w:rPr>
        <w:commentReference w:id="18"/>
      </w:r>
      <w:r w:rsidRPr="00D00B8F">
        <w:rPr>
          <w:rFonts w:ascii="Arial" w:hAnsi="Arial" w:cs="Arial"/>
        </w:rPr>
        <w:t xml:space="preserve">with PCOS frequently show insulin resistance, a condition in which body cells do not respond to insulin. This activates the pancreas to produce excess insulin, which in turn </w:t>
      </w:r>
      <w:commentRangeStart w:id="19"/>
      <w:r w:rsidRPr="00D00B8F">
        <w:rPr>
          <w:rFonts w:ascii="Arial" w:hAnsi="Arial" w:cs="Arial"/>
        </w:rPr>
        <w:t>stimulates the ovaries and adrenal glands to synthesize and release more androgens</w:t>
      </w:r>
      <w:commentRangeEnd w:id="19"/>
      <w:r w:rsidR="003A0A8B">
        <w:rPr>
          <w:rStyle w:val="CommentReference"/>
          <w:rFonts w:ascii="Times New Roman" w:hAnsi="Times New Roman"/>
          <w:lang w:val="nb-NO" w:eastAsia="nb-NO"/>
        </w:rPr>
        <w:commentReference w:id="19"/>
      </w:r>
      <w:r w:rsidRPr="00D00B8F">
        <w:rPr>
          <w:rFonts w:ascii="Arial" w:hAnsi="Arial" w:cs="Arial"/>
        </w:rPr>
        <w:t xml:space="preserve"> (testosterone). This results in clinical manifestations of irregular ovulation and symptoms like acne or hirsutism </w:t>
      </w:r>
      <w:r w:rsidRPr="00D00B8F">
        <w:rPr>
          <w:rFonts w:ascii="Arial" w:hAnsi="Arial" w:cs="Arial"/>
        </w:rPr>
        <w:fldChar w:fldCharType="begin" w:fldLock="1"/>
      </w:r>
      <w:r w:rsidRPr="00D00B8F">
        <w:rPr>
          <w:rFonts w:ascii="Arial" w:hAnsi="Arial" w:cs="Arial"/>
        </w:rPr>
        <w:instrText>ADDIN CSL_CITATION {"citationItems":[{"id":"ITEM-1","itemData":{"ISSN":"1381-6128","author":[{"dropping-particle":"","family":"Moghetti","given":"Paolo","non-dropping-particle":"","parse-names":false,"suffix":""}],"container-title":"Current pharmaceutical design","id":"ITEM-1","issue":"36","issued":{"date-parts":[["2016"]]},"page":"5526-5534","publisher":"Bentham Science Publishers","title":"Insulin resistance and polycystic ovary syndrome","type":"article-journal","volume":"22"},"uris":["http://www.mendeley.com/documents/?uuid=597497c6-115a-4999-8fab-b7114e29511b"]}],"mendeley":{"formattedCitation":"(Moghetti, 2016)","plainTextFormattedCitation":"(Moghetti, 2016)","previouslyFormattedCitation":"(Moghetti,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(Moghetti, 2016)</w:t>
      </w:r>
      <w:r w:rsidRPr="00D00B8F">
        <w:rPr>
          <w:rFonts w:ascii="Arial" w:hAnsi="Arial" w:cs="Arial"/>
        </w:rPr>
        <w:fldChar w:fldCharType="end"/>
      </w:r>
      <w:r w:rsidRPr="00D00B8F">
        <w:rPr>
          <w:rFonts w:ascii="Arial" w:hAnsi="Arial" w:cs="Arial"/>
        </w:rPr>
        <w:t xml:space="preserve">. </w:t>
      </w:r>
    </w:p>
    <w:p w14:paraId="25B8CDBA" w14:textId="77777777" w:rsidR="00D00B8F" w:rsidRPr="00D00B8F" w:rsidRDefault="00D00B8F" w:rsidP="00D00B8F">
      <w:pPr>
        <w:jc w:val="both"/>
        <w:rPr>
          <w:rFonts w:ascii="Arial" w:hAnsi="Arial" w:cs="Arial"/>
        </w:rPr>
      </w:pPr>
    </w:p>
    <w:p w14:paraId="3DB92C6A"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4.2 </w:t>
      </w:r>
      <w:r w:rsidR="00D00B8F" w:rsidRPr="002A7631">
        <w:rPr>
          <w:rFonts w:ascii="Arial" w:hAnsi="Arial" w:cs="Arial"/>
          <w:b/>
          <w:caps/>
          <w:sz w:val="22"/>
          <w:szCs w:val="22"/>
        </w:rPr>
        <w:t xml:space="preserve">Hormonal disruption </w:t>
      </w:r>
    </w:p>
    <w:p w14:paraId="03E9C22B" w14:textId="77777777" w:rsidR="002A7631" w:rsidRDefault="002A7631" w:rsidP="00D00B8F">
      <w:pPr>
        <w:jc w:val="both"/>
        <w:rPr>
          <w:rFonts w:ascii="Arial" w:hAnsi="Arial" w:cs="Arial"/>
        </w:rPr>
      </w:pPr>
    </w:p>
    <w:p w14:paraId="39CA8F10" w14:textId="77777777" w:rsidR="00D00B8F" w:rsidRPr="00D00B8F" w:rsidRDefault="00D00B8F" w:rsidP="00D00B8F">
      <w:pPr>
        <w:jc w:val="both"/>
        <w:rPr>
          <w:rFonts w:ascii="Arial" w:hAnsi="Arial" w:cs="Arial"/>
        </w:rPr>
      </w:pPr>
      <w:r w:rsidRPr="00D00B8F">
        <w:rPr>
          <w:rFonts w:ascii="Arial" w:hAnsi="Arial" w:cs="Arial"/>
        </w:rPr>
        <w:t xml:space="preserve">A key abnormality in PCOS is the occurrence of hormonal imbalances, such as hyperandrogenemia, hyperinsulinemia, and excessive secretion of luteinizing hormone (LH). Natural ovulation depends on a sensitive equilibrium of reproductive hormones. In women with PCOS, </w:t>
      </w:r>
      <w:commentRangeStart w:id="20"/>
      <w:r w:rsidRPr="00D00B8F">
        <w:rPr>
          <w:rFonts w:ascii="Arial" w:hAnsi="Arial" w:cs="Arial"/>
        </w:rPr>
        <w:t>this equilibrium is disrupted due to an elevated LH</w:t>
      </w:r>
      <w:commentRangeEnd w:id="20"/>
      <w:r w:rsidR="005261E7">
        <w:rPr>
          <w:rStyle w:val="CommentReference"/>
          <w:rFonts w:ascii="Times New Roman" w:hAnsi="Times New Roman"/>
          <w:lang w:val="nb-NO" w:eastAsia="nb-NO"/>
        </w:rPr>
        <w:commentReference w:id="20"/>
      </w:r>
      <w:r w:rsidRPr="00D00B8F">
        <w:rPr>
          <w:rFonts w:ascii="Arial" w:hAnsi="Arial" w:cs="Arial"/>
        </w:rPr>
        <w:t xml:space="preserve">, which typically initiates ovulation. As described earlier, the FSH hormone is required for egg maturation, which is often found in insufficient amounts in women with PCOS </w:t>
      </w:r>
      <w:r w:rsidRPr="00D00B8F">
        <w:rPr>
          <w:rFonts w:ascii="Arial" w:hAnsi="Arial" w:cs="Arial"/>
        </w:rPr>
        <w:fldChar w:fldCharType="begin" w:fldLock="1"/>
      </w:r>
      <w:r w:rsidRPr="00D00B8F">
        <w:rPr>
          <w:rFonts w:ascii="Arial" w:hAnsi="Arial" w:cs="Arial"/>
        </w:rPr>
        <w:instrText>ADDIN CSL_CITATION {"citationItems":[{"id":"ITEM-1","itemData":{"ISSN":"1355-4786","author":[{"dropping-particle":"","family":"Dewailly","given":"Didier","non-dropping-particle":"","parse-names":false,"suffix":""},{"dropping-particle":"","family":"Robin","given":"Geoffroy","non-dropping-particle":"","parse-names":false,"suffix":""},{"dropping-particle":"","family":"Peigne","given":"Maëliss","non-dropping-particle":"","parse-names":false,"suffix":""},{"dropping-particle":"","family":"Decanter","given":"Christine","non-dropping-particle":"","parse-names":false,"suffix":""},{"dropping-particle":"","family":"Pigny","given":"Pascal","non-dropping-particle":"","parse-names":false,"suffix":""},{"dropping-particle":"","family":"Catteau-Jonard","given":"Sophie","non-dropping-particle":"","parse-names":false,"suffix":""}],"container-title":"Human reproduction update","id":"ITEM-1","issue":"6","issued":{"date-parts":[["2016"]]},"page":"709-724","publisher":"Oxford University Press","title":"Interactions between androgens, FSH, anti-Müllerian hormone and estradiol during folliculogenesis in the human normal and polycystic ovary","type":"article-journal","volume":"22"},"uris":["http://www.mendeley.com/documents/?uuid=3f028831-57e1-4360-8968-4c6820c38b6a"]}],"mendeley":{"formattedCitation":"(Dewailly et al., 2016)","plainTextFormattedCitation":"(Dewailly et al., 2016)","previouslyFormattedCitation":"(Dewailly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(Dewailly et al., 2016)</w:t>
      </w:r>
      <w:r w:rsidRPr="00D00B8F">
        <w:rPr>
          <w:rFonts w:ascii="Arial" w:hAnsi="Arial" w:cs="Arial"/>
        </w:rPr>
        <w:fldChar w:fldCharType="end"/>
      </w:r>
      <w:r w:rsidRPr="00D00B8F">
        <w:rPr>
          <w:rFonts w:ascii="Arial" w:hAnsi="Arial" w:cs="Arial"/>
        </w:rPr>
        <w:t xml:space="preserve">. </w:t>
      </w:r>
      <w:commentRangeStart w:id="21"/>
      <w:r w:rsidRPr="00D00B8F">
        <w:rPr>
          <w:rFonts w:ascii="Arial" w:hAnsi="Arial" w:cs="Arial"/>
        </w:rPr>
        <w:t>The ovaries generate an excess of androgens</w:t>
      </w:r>
      <w:commentRangeEnd w:id="21"/>
      <w:r w:rsidR="005261E7">
        <w:rPr>
          <w:rStyle w:val="CommentReference"/>
          <w:rFonts w:ascii="Times New Roman" w:hAnsi="Times New Roman"/>
          <w:lang w:val="nb-NO" w:eastAsia="nb-NO"/>
        </w:rPr>
        <w:commentReference w:id="21"/>
      </w:r>
      <w:r w:rsidRPr="00D00B8F">
        <w:rPr>
          <w:rFonts w:ascii="Arial" w:hAnsi="Arial" w:cs="Arial"/>
        </w:rPr>
        <w:t xml:space="preserve"> (male hormones), including testosterone. Increased production of androgens in PCOS women </w:t>
      </w:r>
      <w:commentRangeStart w:id="22"/>
      <w:r w:rsidRPr="00D00B8F">
        <w:rPr>
          <w:rFonts w:ascii="Arial" w:hAnsi="Arial" w:cs="Arial"/>
        </w:rPr>
        <w:t>disrupts the normal growth and development of follicles</w:t>
      </w:r>
      <w:commentRangeEnd w:id="22"/>
      <w:r w:rsidR="005261E7">
        <w:rPr>
          <w:rStyle w:val="CommentReference"/>
          <w:rFonts w:ascii="Times New Roman" w:hAnsi="Times New Roman"/>
          <w:lang w:val="nb-NO" w:eastAsia="nb-NO"/>
        </w:rPr>
        <w:commentReference w:id="22"/>
      </w:r>
      <w:r w:rsidRPr="00D00B8F">
        <w:rPr>
          <w:rFonts w:ascii="Arial" w:hAnsi="Arial" w:cs="Arial"/>
        </w:rPr>
        <w:t xml:space="preserve"> and ovulation in the ovary (Figure 3 B). On an ultrasound, the immature follicles frequently manifest as small fluid-filled sacs or "cysts." Consequently, there is no egg available for fertilization by sperm. It has been observed that people with PCOS exhibit mild inflammation in their bodies </w:t>
      </w:r>
      <w:r w:rsidRPr="00D00B8F">
        <w:rPr>
          <w:rFonts w:ascii="Arial" w:hAnsi="Arial" w:cs="Arial"/>
        </w:rPr>
        <w:fldChar w:fldCharType="begin" w:fldLock="1"/>
      </w:r>
      <w:r w:rsidRPr="00D00B8F">
        <w:rPr>
          <w:rFonts w:ascii="Arial" w:hAnsi="Arial" w:cs="Arial"/>
        </w:rPr>
        <w:instrText>ADDIN CSL_CITATION {"citationItems":[{"id":"ITEM-1","itemData":{"ISSN":"1422-0067","author":[{"dropping-particle":"","family":"Rudnicka","given":"Ewa","non-dropping-particle":"","parse-names":false,"suffix":""},{"dropping-particle":"","family":"Suchta","given":"Katarzyna","non-dropping-particle":"","parse-names":false,"suffix":""},{"dropping-particle":"","family":"Grymowicz","given":"Monika","non-dropping-particle":"","parse-names":false,"suffix":""},{"dropping-particle":"","family":"Calik-Ksepka","given":"Anna","non-dropping-particle":"","parse-names":false,"suffix":""},{"dropping-particle":"","family":"Smolarczyk","given":"Katarzyna","non-dropping-particle":"","parse-names":false,"suffix":""},{"dropping-particle":"","family":"Duszewska","given":"Anna M","non-dropping-particle":"","parse-names":false,"suffix":""},{"dropping-particle":"","family":"Smolarczyk","given":"Roman","non-dropping-particle":"","parse-names":false,"suffix":""},{"dropping-particle":"","family":"Meczekalski","given":"Blazej","non-dropping-particle":"","parse-names":false,"suffix":""}],"container-title":"International journal of molecular sciences","id":"ITEM-1","issue":"7","issued":{"date-parts":[["2021"]]},"page":"3789","publisher":"MDPI","title":"Chronic low grade inflammation in pathogenesis of PCOS","type":"article-journal","volume":"22"},"uris":["http://www.mendeley.com/documents/?uuid=5d53f9da-c28d-46f5-ada9-a126d1240963"]}],"mendeley":{"formattedCitation":"(Rudnicka et al., 2021)","plainTextFormattedCitation":"(Rudnicka et al., 2021)","previouslyFormattedCitation":"(Rudnicka et al., 2021)"},"properties":{"noteIndex":0},"schema":"https://github.com/citation-style-language/schema/raw/master/csl-citation.json"}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(Rudnicka et al., 2021)</w:t>
      </w:r>
      <w:r w:rsidRPr="00D00B8F">
        <w:rPr>
          <w:rFonts w:ascii="Arial" w:hAnsi="Arial" w:cs="Arial"/>
        </w:rPr>
        <w:fldChar w:fldCharType="end"/>
      </w:r>
      <w:r w:rsidRPr="00D00B8F">
        <w:rPr>
          <w:rFonts w:ascii="Arial" w:hAnsi="Arial" w:cs="Arial"/>
        </w:rPr>
        <w:t xml:space="preserve">. This inflammation might lead to elevated androgen production and is linked to a greater risk of cardiovascular problems and insulin resistance </w:t>
      </w:r>
      <w:r w:rsidRPr="00D00B8F">
        <w:rPr>
          <w:rFonts w:ascii="Arial" w:hAnsi="Arial" w:cs="Arial"/>
        </w:rPr>
        <w:fldChar w:fldCharType="begin" w:fldLock="1"/>
      </w:r>
      <w:r w:rsidRPr="00D00B8F">
        <w:rPr>
          <w:rFonts w:ascii="Arial" w:hAnsi="Arial" w:cs="Arial"/>
        </w:rPr>
        <w:instrText>ADDIN CSL_CITATION {"citationItems":[{"id":"ITEM-1","itemData":{"ISSN":"0009-8981","author":[{"dropping-particle":"","family":"Zeng","given":"Xin","non-dropping-particle":"","parse-names":false,"suffix":""},{"dropping-particle":"","family":"Xie","given":"Yuan-jie","non-dropping-particle":"","parse-names":false,"suffix":""},{"dropping-particle":"","family":"Liu","given":"Ya-ting","non-dropping-particle":"","parse-names":false,"suffix":""},{"dropping-particle":"","family":"Long","given":"Shuang-lian","non-dropping-particle":"","parse-names":false,"suffix":""},{"dropping-particle":"","family":"Mo","given":"Zhong-cheng","non-dropping-particle":"","parse-names":false,"suffix":""}],"container-title":"Clinica chimica acta","id":"ITEM-1","issued":{"date-parts":[["2020"]]},"page":"214-221","publisher":"Elsevier","title":"Polycystic ovarian syndrome: correlation between hyperandrogenism, insulin resistance and obesity","type":"article-journal","volume":"502"},"uris":["http://www.mendeley.com/documents/?uuid=e2ef85f3-4a07-4d4b-a0ad-8934dc17db43"]}],"mendeley":{"formattedCitation":"(Zeng et al., 2020)","plainTextFormattedCitation":"(Zeng et al., 2020)","previouslyFormattedCitation":"(Zeng et al.,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(Zeng et al., 2020)</w:t>
      </w:r>
      <w:r w:rsidRPr="00D00B8F">
        <w:rPr>
          <w:rFonts w:ascii="Arial" w:hAnsi="Arial" w:cs="Arial"/>
        </w:rPr>
        <w:fldChar w:fldCharType="end"/>
      </w:r>
      <w:r w:rsidRPr="00D00B8F">
        <w:rPr>
          <w:rFonts w:ascii="Arial" w:hAnsi="Arial" w:cs="Arial"/>
        </w:rPr>
        <w:t>.</w:t>
      </w:r>
    </w:p>
    <w:p w14:paraId="2ADF2F6E" w14:textId="77777777" w:rsidR="00D00B8F" w:rsidRPr="00D00B8F" w:rsidRDefault="00D00B8F" w:rsidP="00D00B8F">
      <w:pPr>
        <w:jc w:val="both"/>
        <w:rPr>
          <w:rFonts w:ascii="Arial" w:hAnsi="Arial" w:cs="Arial"/>
        </w:rPr>
      </w:pPr>
    </w:p>
    <w:p w14:paraId="4F2B67E6" w14:textId="77777777" w:rsidR="00D00B8F" w:rsidRPr="00D00B8F" w:rsidRDefault="00D00B8F" w:rsidP="00D00B8F">
      <w:pPr>
        <w:jc w:val="both"/>
        <w:rPr>
          <w:rFonts w:ascii="Arial" w:hAnsi="Arial" w:cs="Arial"/>
        </w:rPr>
      </w:pPr>
      <w:r w:rsidRPr="00D00B8F">
        <w:rPr>
          <w:rFonts w:ascii="Arial" w:hAnsi="Arial" w:cs="Arial"/>
        </w:rPr>
        <w:t xml:space="preserve">Steroidogenesis in the ovaries is </w:t>
      </w:r>
      <w:commentRangeStart w:id="23"/>
      <w:r w:rsidRPr="00D00B8F">
        <w:rPr>
          <w:rFonts w:ascii="Arial" w:hAnsi="Arial" w:cs="Arial"/>
        </w:rPr>
        <w:t xml:space="preserve">dependent on the collaborative functions </w:t>
      </w:r>
      <w:commentRangeEnd w:id="23"/>
      <w:r w:rsidR="005261E7">
        <w:rPr>
          <w:rStyle w:val="CommentReference"/>
          <w:rFonts w:ascii="Times New Roman" w:hAnsi="Times New Roman"/>
          <w:lang w:val="nb-NO" w:eastAsia="nb-NO"/>
        </w:rPr>
        <w:commentReference w:id="23"/>
      </w:r>
      <w:r w:rsidRPr="00D00B8F">
        <w:rPr>
          <w:rFonts w:ascii="Arial" w:hAnsi="Arial" w:cs="Arial"/>
        </w:rPr>
        <w:t xml:space="preserve">of granulosa and theca cells (Figure 4). </w:t>
      </w:r>
      <w:commentRangeStart w:id="24"/>
      <w:r w:rsidRPr="00D00B8F">
        <w:rPr>
          <w:rFonts w:ascii="Arial" w:hAnsi="Arial" w:cs="Arial"/>
        </w:rPr>
        <w:t>Androgens are produced predominantly by the ovarian theca cells</w:t>
      </w:r>
      <w:commentRangeEnd w:id="24"/>
      <w:r w:rsidR="005261E7">
        <w:rPr>
          <w:rStyle w:val="CommentReference"/>
          <w:rFonts w:ascii="Times New Roman" w:hAnsi="Times New Roman"/>
          <w:lang w:val="nb-NO" w:eastAsia="nb-NO"/>
        </w:rPr>
        <w:commentReference w:id="24"/>
      </w:r>
      <w:r w:rsidRPr="00D00B8F">
        <w:rPr>
          <w:rFonts w:ascii="Arial" w:hAnsi="Arial" w:cs="Arial"/>
        </w:rPr>
        <w:t xml:space="preserve">, which contribute to around 50% of overall physiological androstenedione secretion </w:t>
      </w:r>
      <w:r w:rsidRPr="00D00B8F">
        <w:rPr>
          <w:rFonts w:ascii="Arial" w:hAnsi="Arial" w:cs="Arial"/>
        </w:rPr>
        <w:fldChar w:fldCharType="begin" w:fldLock="1"/>
      </w:r>
      <w:r w:rsidRPr="00D00B8F">
        <w:rPr>
          <w:rFonts w:ascii="Arial" w:hAnsi="Arial" w:cs="Arial"/>
        </w:rPr>
        <w:instrText>ADDIN CSL_CITATION {"citationItems":[{"id":"ITEM-1","itemData":{"ISSN":"1357-2725","author":[{"dropping-particle":"","family":"Magoffin","given":"Denis A","non-dropping-particle":"","parse-names":false,"suffix":""}],"container-title":"The international journal of biochemistry &amp; cell biology","id":"ITEM-1","issue":"7","issued":{"date-parts":[["2005"]]},"page":"1344-1349","publisher":"Elsevier","title":"Ovarian theca cell","type":"article-journal","volume":"37"},"uris":["http://www.mendeley.com/documents/?uuid=b5153168-7690-424a-ad4b-437a2fdb961c"]}],"mendeley":{"formattedCitation":"(Magoffin, 2005)","plainTextFormattedCitation":"(Magoffin, 2005)","previouslyFormattedCitation":"(Magoffin, 2005)"},"properties":{"noteIndex":0},"schema":"https://github.com/citation-style-language/schema/raw/master/csl-citation.json"}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(Magoffin, 2005)</w:t>
      </w:r>
      <w:r w:rsidRPr="00D00B8F">
        <w:rPr>
          <w:rFonts w:ascii="Arial" w:hAnsi="Arial" w:cs="Arial"/>
        </w:rPr>
        <w:fldChar w:fldCharType="end"/>
      </w:r>
      <w:r w:rsidRPr="00D00B8F">
        <w:rPr>
          <w:rFonts w:ascii="Arial" w:hAnsi="Arial" w:cs="Arial"/>
        </w:rPr>
        <w:t>. The excess androgen synthesis found within PCOS is thought to relate to excess ovarian biosynthesis</w:t>
      </w:r>
      <w:r w:rsidR="002A7631">
        <w:rPr>
          <w:rFonts w:ascii="Arial" w:hAnsi="Arial" w:cs="Arial"/>
        </w:rPr>
        <w:t>,</w:t>
      </w:r>
      <w:r w:rsidRPr="00D00B8F">
        <w:rPr>
          <w:rFonts w:ascii="Arial" w:hAnsi="Arial" w:cs="Arial"/>
        </w:rPr>
        <w:t xml:space="preserve"> and although the exact underlying etiology of PCOS remains unexplained, significant evidence suggests that an excess of ovarian androgen production is central to the condition </w:t>
      </w:r>
      <w:r w:rsidRPr="00D00B8F">
        <w:rPr>
          <w:rFonts w:ascii="Arial" w:hAnsi="Arial" w:cs="Arial"/>
        </w:rPr>
        <w:fldChar w:fldCharType="begin" w:fldLock="1"/>
      </w:r>
      <w:r w:rsidRPr="00D00B8F">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syndrome","type":"article-journal","volume":"16"},"uris":["http://www.mendeley.com/documents/?uuid=a18f9df4-a037-4ed1-b003-366e6ca7f731"]}],"mendeley":{"formattedCitation":"(Cadagan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 xml:space="preserve">. Three possible mechanisms for androgen hypersecretion have been proposed </w:t>
      </w:r>
      <w:r w:rsidRPr="00D00B8F">
        <w:rPr>
          <w:rFonts w:ascii="Arial" w:hAnsi="Arial" w:cs="Arial"/>
        </w:rPr>
        <w:fldChar w:fldCharType="begin" w:fldLock="1"/>
      </w:r>
      <w:r w:rsidRPr="00D00B8F">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syndrome","type":"article-journal","volume":"16"},"uris":["http://www.mendeley.com/documents/?uuid=a18f9df4-a037-4ed1-b003-366e6ca7f731"]}],"mendeley":{"formattedCitation":"(Cadagan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 xml:space="preserve">. These include: an </w:t>
      </w:r>
      <w:commentRangeStart w:id="25"/>
      <w:r w:rsidRPr="00D00B8F">
        <w:rPr>
          <w:rFonts w:ascii="Arial" w:hAnsi="Arial" w:cs="Arial"/>
        </w:rPr>
        <w:t xml:space="preserve">intrinsic functional thecal defect, </w:t>
      </w:r>
      <w:commentRangeEnd w:id="25"/>
      <w:r w:rsidR="005261E7">
        <w:rPr>
          <w:rStyle w:val="CommentReference"/>
          <w:rFonts w:ascii="Times New Roman" w:hAnsi="Times New Roman"/>
          <w:lang w:val="nb-NO" w:eastAsia="nb-NO"/>
        </w:rPr>
        <w:commentReference w:id="25"/>
      </w:r>
      <w:r w:rsidRPr="00D00B8F">
        <w:rPr>
          <w:rFonts w:ascii="Arial" w:hAnsi="Arial" w:cs="Arial"/>
        </w:rPr>
        <w:t xml:space="preserve">hyperinsulinemia resulting from insulin resistance, or pituitary LH hypersecretion resulting in excessive thecal stimulation </w:t>
      </w:r>
      <w:r w:rsidRPr="00D00B8F">
        <w:rPr>
          <w:rFonts w:ascii="Arial" w:hAnsi="Arial" w:cs="Arial"/>
        </w:rPr>
        <w:fldChar w:fldCharType="begin" w:fldLock="1"/>
      </w:r>
      <w:r w:rsidRPr="00D00B8F">
        <w:rPr>
          <w:rFonts w:ascii="Arial" w:hAnsi="Arial" w:cs="Arial"/>
        </w:rPr>
        <w:instrText>ADDIN CSL_CITATION {"citationItems":[{"id":"ITEM-1","itemData":{"ISSN":"1460-2350","author":[{"dropping-particle":"","family":"Balen","given":"Adam H","non-dropping-particle":"","parse-names":false,"suffix":""}],"container-title":"Human Reproduction","id":"ITEM-1","issue":"suppl_2","issued":{"date-parts":[["1993"]]},"page":"123-128","publisher":"Oxford University Press","title":"Hypersecretion of luteinizing hormone and the polycystic ovary syndrome","type":"article-journal","volume":"8"},"uris":["http://www.mendeley.com/documents/?uuid=d9b6e4c8-0abb-4c5b-83f6-3df4d9b92860"]}],"mendeley":{"formattedCitation":"(Balen, 1993)","plainTextFormattedCitation":"(Balen, 1993)","previouslyFormattedCitation":"(Balen, 1993)"},"properties":{"noteIndex":0},"schema":"https://github.com/citation-style-language/schema/raw/master/csl-citation.json"}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(Balen, 1993)</w:t>
      </w:r>
      <w:r w:rsidRPr="00D00B8F">
        <w:rPr>
          <w:rFonts w:ascii="Arial" w:hAnsi="Arial" w:cs="Arial"/>
        </w:rPr>
        <w:fldChar w:fldCharType="end"/>
      </w:r>
      <w:r w:rsidRPr="00D00B8F">
        <w:rPr>
          <w:rFonts w:ascii="Arial" w:hAnsi="Arial" w:cs="Arial"/>
        </w:rPr>
        <w:t xml:space="preserve">. Several publications exist showing the effects of insulin on thecal function in normal and polycystic ovaries </w:t>
      </w:r>
      <w:r w:rsidRPr="00D00B8F">
        <w:rPr>
          <w:rFonts w:ascii="Arial" w:hAnsi="Arial" w:cs="Arial"/>
        </w:rPr>
        <w:fldChar w:fldCharType="begin" w:fldLock="1"/>
      </w:r>
      <w:r w:rsidRPr="00D00B8F">
        <w:rPr>
          <w:rFonts w:ascii="Arial" w:hAnsi="Arial" w:cs="Arial"/>
        </w:rPr>
        <w:instrText>ADDIN CSL_CITATION {"citationItems":[{"id":"ITEM-1","itemData":{"ISSN":"0889-8529","author":[{"dropping-particle":"","family":"Franks","given":"Stephen","non-dropping-particle":"","parse-names":false,"suffix":""},{"dropping-particle":"","family":"Gilling-Smith","given":"Carole","non-dropping-particle":"","parse-names":false,"suffix":""},{"dropping-particle":"","family":"Watson","given":"Hazel","non-dropping-particle":"","parse-names":false,"suffix":""},{"dropping-particle":"","family":"Willis","given":"Debbie","non-dropping-particle":"","parse-names":false,"suffix":""}],"container-title":"Endocrinology and metabolism clinics of North America","id":"ITEM-1","issue":"2","issued":{"date-parts":[["1999"]]},"page":"361-378","publisher":"Elsevier","title":"Insulin action in the normal and polycystic ovary","type":"article-journal","volume":"28"},"uris":["http://www.mendeley.com/documents/?uuid=cab378d4-a526-4d4c-9bea-f0e29f226ba0"]}],"mendeley":{"formattedCitation":"(Franks et al., 1999)","plainTextFormattedCitation":"(Franks et al., 1999)","previouslyFormattedCitation":"(Franks et al., 1999)"},"properties":{"noteIndex":0},"schema":"https://github.com/citation-style-language/schema/raw/master/csl-citation.json"}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(Franks et al., 1999)</w:t>
      </w:r>
      <w:r w:rsidRPr="00D00B8F">
        <w:rPr>
          <w:rFonts w:ascii="Arial" w:hAnsi="Arial" w:cs="Arial"/>
        </w:rPr>
        <w:fldChar w:fldCharType="end"/>
      </w:r>
      <w:r w:rsidRPr="00D00B8F">
        <w:rPr>
          <w:rFonts w:ascii="Arial" w:hAnsi="Arial" w:cs="Arial"/>
        </w:rPr>
        <w:t>. However</w:t>
      </w:r>
      <w:r w:rsidR="002A7631">
        <w:rPr>
          <w:rFonts w:ascii="Arial" w:hAnsi="Arial" w:cs="Arial"/>
        </w:rPr>
        <w:t>, the</w:t>
      </w:r>
      <w:r w:rsidRPr="00D00B8F">
        <w:rPr>
          <w:rFonts w:ascii="Arial" w:hAnsi="Arial" w:cs="Arial"/>
        </w:rPr>
        <w:t xml:space="preserve"> combined influence of both insulin and LH is yet to be examined in PCOS, and as both hormones are increased in PCOS, understanding their influence and cellular mechanism is of great importance </w:t>
      </w:r>
      <w:r w:rsidRPr="00D00B8F">
        <w:rPr>
          <w:rFonts w:ascii="Arial" w:hAnsi="Arial" w:cs="Arial"/>
        </w:rPr>
        <w:fldChar w:fldCharType="begin" w:fldLock="1"/>
      </w:r>
      <w:r w:rsidRPr="00D00B8F">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syndrome","type":"article-journal","volume":"16"},"uris":["http://www.mendeley.com/documents/?uuid=a18f9df4-a037-4ed1-b003-366e6ca7f731"]}],"mendeley":{"formattedCitation":"(Cadagan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w:t>
      </w:r>
    </w:p>
    <w:p w14:paraId="4F3DD3B2" w14:textId="77777777" w:rsidR="00D00B8F" w:rsidRPr="00D00B8F" w:rsidRDefault="00D00B8F" w:rsidP="00D00B8F">
      <w:pPr>
        <w:jc w:val="both"/>
        <w:rPr>
          <w:rFonts w:ascii="Arial" w:hAnsi="Arial" w:cs="Arial"/>
        </w:rPr>
      </w:pPr>
    </w:p>
    <w:p w14:paraId="11EF3825"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4.3 </w:t>
      </w:r>
      <w:r w:rsidR="00D00B8F" w:rsidRPr="002A7631">
        <w:rPr>
          <w:rFonts w:ascii="Arial" w:hAnsi="Arial" w:cs="Arial"/>
          <w:b/>
          <w:caps/>
          <w:sz w:val="22"/>
          <w:szCs w:val="22"/>
        </w:rPr>
        <w:t xml:space="preserve">Effects on Egg and Endometrial Quality </w:t>
      </w:r>
    </w:p>
    <w:p w14:paraId="2149AD2C" w14:textId="77777777" w:rsidR="002A7631" w:rsidRDefault="002A7631" w:rsidP="00D00B8F">
      <w:pPr>
        <w:jc w:val="both"/>
        <w:rPr>
          <w:rFonts w:ascii="Arial" w:hAnsi="Arial" w:cs="Arial"/>
        </w:rPr>
      </w:pPr>
    </w:p>
    <w:p w14:paraId="228540A3" w14:textId="77777777" w:rsidR="00D00B8F" w:rsidRPr="00D00B8F" w:rsidRDefault="00D00B8F" w:rsidP="00D00B8F">
      <w:pPr>
        <w:jc w:val="both"/>
        <w:rPr>
          <w:rFonts w:ascii="Arial" w:hAnsi="Arial" w:cs="Arial"/>
        </w:rPr>
      </w:pPr>
      <w:r w:rsidRPr="00D00B8F">
        <w:rPr>
          <w:rFonts w:ascii="Arial" w:hAnsi="Arial" w:cs="Arial"/>
        </w:rPr>
        <w:t xml:space="preserve">In addition to anovulation, PCOS can influence other critical factors required for conception. Chronic hormonal imbalances in women with PCOS </w:t>
      </w:r>
      <w:commentRangeStart w:id="26"/>
      <w:r w:rsidRPr="00D00B8F">
        <w:rPr>
          <w:rFonts w:ascii="Arial" w:hAnsi="Arial" w:cs="Arial"/>
        </w:rPr>
        <w:t>may lead to a decrease in the quality of the eggs produced.</w:t>
      </w:r>
      <w:commentRangeEnd w:id="26"/>
      <w:r w:rsidR="00A662DE">
        <w:rPr>
          <w:rStyle w:val="CommentReference"/>
          <w:rFonts w:ascii="Times New Roman" w:hAnsi="Times New Roman"/>
          <w:lang w:val="nb-NO" w:eastAsia="nb-NO"/>
        </w:rPr>
        <w:commentReference w:id="26"/>
      </w:r>
      <w:r w:rsidRPr="00D00B8F">
        <w:rPr>
          <w:rFonts w:ascii="Arial" w:hAnsi="Arial" w:cs="Arial"/>
        </w:rPr>
        <w:t xml:space="preserve"> Research indicates that the hormonal and metabolic disturbances linked to PCOS can modify the uterine lining (endometrium), which may </w:t>
      </w:r>
      <w:commentRangeStart w:id="27"/>
      <w:r w:rsidRPr="00D00B8F">
        <w:rPr>
          <w:rFonts w:ascii="Arial" w:hAnsi="Arial" w:cs="Arial"/>
        </w:rPr>
        <w:t xml:space="preserve">reduce its receptiveness </w:t>
      </w:r>
      <w:commentRangeEnd w:id="27"/>
      <w:r w:rsidR="00A662DE">
        <w:rPr>
          <w:rStyle w:val="CommentReference"/>
          <w:rFonts w:ascii="Times New Roman" w:hAnsi="Times New Roman"/>
          <w:lang w:val="nb-NO" w:eastAsia="nb-NO"/>
        </w:rPr>
        <w:commentReference w:id="27"/>
      </w:r>
      <w:r w:rsidRPr="00D00B8F">
        <w:rPr>
          <w:rFonts w:ascii="Arial" w:hAnsi="Arial" w:cs="Arial"/>
        </w:rPr>
        <w:t xml:space="preserve">to a fertilized egg attempting to implant </w:t>
      </w:r>
      <w:r w:rsidRPr="00D00B8F">
        <w:rPr>
          <w:rFonts w:ascii="Arial" w:hAnsi="Arial" w:cs="Arial"/>
        </w:rPr>
        <w:fldChar w:fldCharType="begin" w:fldLock="1"/>
      </w:r>
      <w:r w:rsidRPr="00D00B8F">
        <w:rPr>
          <w:rFonts w:ascii="Arial" w:hAnsi="Arial" w:cs="Arial"/>
        </w:rPr>
        <w:instrText>ADDIN CSL_CITATION {"citationItems":[{"id":"ITEM-1","itemData":{"ISSN":"2168-8184","author":[{"dropping-particle":"","family":"Fatima","given":"Faza","non-dropping-particle":"","parse-names":false,"suffix":""},{"dropping-particle":"","family":"Gul","given":"Rohina","non-dropping-particle":"","parse-names":false,"suffix":""},{"dropping-particle":"","family":"Imrana","given":"Shehzadi","non-dropping-particle":"","parse-names":false,"suffix":""},{"dropping-particle":"","family":"Awais","given":"Aisha","non-dropping-particle":"","parse-names":false,"suffix":""},{"dropping-particle":"","family":"Mustanser","given":"Marium","non-dropping-particle":"","parse-names":false,"suffix":""},{"dropping-particle":"","family":"Mahmood","given":"Nighat","non-dropping-particle":"","parse-names":false,"suffix":""},{"dropping-particle":"","family":"Sardar","given":"Saba","non-dropping-particle":"","parse-names":false,"suffix":""},{"dropping-particle":"","family":"Nisar","given":"Rameen","non-dropping-particle":"","parse-names":false,"suffix":""}],"container-title":"Cureus","id":"ITEM-1","issue":"12","issued":{"date-parts":[["2025"]]},"publisher":"Cureus","title":"Comparison of Embryo and Egg Quality in Polycystic Ovary Syndrome Patients Having Regular vs Irregular Menstrual Patterns","type":"article-journal","volume":"17"},"uris":["http://www.mendeley.com/documents/?uuid=e4b8c8f8-f381-4a1a-952c-783ab0a85822"]}],"mendeley":{"formattedCitation":"(Fatima et al., 2025)","plainTextFormattedCitation":"(Fatima et al., 2025)","previouslyFormattedCitation":"(Fatima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(Fatima et al., 2025)</w:t>
      </w:r>
      <w:r w:rsidRPr="00D00B8F">
        <w:rPr>
          <w:rFonts w:ascii="Arial" w:hAnsi="Arial" w:cs="Arial"/>
        </w:rPr>
        <w:fldChar w:fldCharType="end"/>
      </w:r>
      <w:r w:rsidRPr="00D00B8F">
        <w:rPr>
          <w:rFonts w:ascii="Arial" w:hAnsi="Arial" w:cs="Arial"/>
        </w:rPr>
        <w:t>.</w:t>
      </w:r>
    </w:p>
    <w:p w14:paraId="6D0D63E9" w14:textId="77777777" w:rsidR="00D00B8F" w:rsidRPr="00D00B8F" w:rsidRDefault="00D00B8F" w:rsidP="00D00B8F">
      <w:pPr>
        <w:jc w:val="both"/>
        <w:rPr>
          <w:rFonts w:ascii="Arial" w:hAnsi="Arial" w:cs="Arial"/>
        </w:rPr>
      </w:pPr>
    </w:p>
    <w:p w14:paraId="35BED26A"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4.4 </w:t>
      </w:r>
      <w:r w:rsidR="00D00B8F" w:rsidRPr="002A7631">
        <w:rPr>
          <w:rFonts w:ascii="Arial" w:hAnsi="Arial" w:cs="Arial"/>
          <w:b/>
          <w:caps/>
          <w:sz w:val="22"/>
          <w:szCs w:val="22"/>
        </w:rPr>
        <w:t>Genetic influence</w:t>
      </w:r>
    </w:p>
    <w:p w14:paraId="749AEE38" w14:textId="77777777" w:rsidR="002A7631" w:rsidRDefault="002A7631" w:rsidP="00D00B8F">
      <w:pPr>
        <w:jc w:val="both"/>
        <w:rPr>
          <w:rFonts w:ascii="Arial" w:hAnsi="Arial" w:cs="Arial"/>
        </w:rPr>
      </w:pPr>
    </w:p>
    <w:p w14:paraId="76B1BFA5" w14:textId="77777777" w:rsidR="00D00B8F" w:rsidRPr="00D00B8F" w:rsidRDefault="00D00B8F" w:rsidP="00D00B8F">
      <w:pPr>
        <w:jc w:val="both"/>
        <w:rPr>
          <w:rFonts w:ascii="Arial" w:hAnsi="Arial" w:cs="Arial"/>
        </w:rPr>
      </w:pPr>
      <w:r w:rsidRPr="00D00B8F">
        <w:rPr>
          <w:rFonts w:ascii="Arial" w:hAnsi="Arial" w:cs="Arial"/>
        </w:rPr>
        <w:t xml:space="preserve">Studies indicate that PCOS has a </w:t>
      </w:r>
      <w:commentRangeStart w:id="28"/>
      <w:r w:rsidRPr="00D00B8F">
        <w:rPr>
          <w:rFonts w:ascii="Arial" w:hAnsi="Arial" w:cs="Arial"/>
        </w:rPr>
        <w:t>significant genetic influence</w:t>
      </w:r>
      <w:commentRangeEnd w:id="28"/>
      <w:r w:rsidR="00A662DE">
        <w:rPr>
          <w:rStyle w:val="CommentReference"/>
          <w:rFonts w:ascii="Times New Roman" w:hAnsi="Times New Roman"/>
          <w:lang w:val="nb-NO" w:eastAsia="nb-NO"/>
        </w:rPr>
        <w:commentReference w:id="28"/>
      </w:r>
      <w:r w:rsidRPr="00D00B8F">
        <w:rPr>
          <w:rFonts w:ascii="Arial" w:hAnsi="Arial" w:cs="Arial"/>
        </w:rPr>
        <w:t xml:space="preserve">, frequently manifesting in family groups </w:t>
      </w:r>
      <w:r w:rsidRPr="00D00B8F">
        <w:rPr>
          <w:rFonts w:ascii="Arial" w:hAnsi="Arial" w:cs="Arial"/>
        </w:rPr>
        <w:fldChar w:fldCharType="begin" w:fldLock="1"/>
      </w:r>
      <w:r w:rsidRPr="00D00B8F">
        <w:rPr>
          <w:rFonts w:ascii="Arial" w:hAnsi="Arial" w:cs="Arial"/>
        </w:rPr>
        <w:instrText>ADDIN CSL_CITATION {"citationItems":[{"id":"ITEM-1","itemData":{"ISSN":"1422-0067","author":[{"dropping-particle":"","family":"Rudnicka","given":"Ewa","non-dropping-particle":"","parse-names":false,"suffix":""},{"dropping-particle":"","family":"Suchta","given":"Katarzyna","non-dropping-particle":"","parse-names":false,"suffix":""},{"dropping-particle":"","family":"Grymowicz","given":"Monika","non-dropping-particle":"","parse-names":false,"suffix":""},{"dropping-particle":"","family":"Calik-Ksepka","given":"Anna","non-dropping-particle":"","parse-names":false,"suffix":""},{"dropping-particle":"","family":"Smolarczyk","given":"Katarzyna","non-dropping-particle":"","parse-names":false,"suffix":""},{"dropping-particle":"","family":"Duszewska","given":"Anna M","non-dropping-particle":"","parse-names":false,"suffix":""},{"dropping-particle":"","family":"Smolarczyk","given":"Roman","non-dropping-particle":"","parse-names":false,"suffix":""},{"dropping-particle":"","family":"Meczekalski","given":"Blazej","non-dropping-particle":"","parse-names":false,"suffix":""}],"container-title":"International journal of molecular sciences","id":"ITEM-1","issue":"7","issued":{"date-parts":[["2021"]]},"page":"3789","publisher":"MDPI","title":"Chronic low grade inflammation in pathogenesis of PCOS","type":"article-journal","volume":"22"},"uris":["http://www.mendeley.com/documents/?uuid=5d53f9da-c28d-46f5-ada9-a126d1240963"]}],"mendeley":{"formattedCitation":"(Rudnicka et al., 2021)","plainTextFormattedCitation":"(Rudnicka et al., 2021)","previouslyFormattedCitation":"(Rudnicka et al., 2021)"},"properties":{"noteIndex":0},"schema":"https://github.com/citation-style-language/schema/raw/master/csl-citation.json"}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(Rudnicka et al., 2021)</w:t>
      </w:r>
      <w:r w:rsidRPr="00D00B8F">
        <w:rPr>
          <w:rFonts w:ascii="Arial" w:hAnsi="Arial" w:cs="Arial"/>
        </w:rPr>
        <w:fldChar w:fldCharType="end"/>
      </w:r>
      <w:r w:rsidRPr="00D00B8F">
        <w:rPr>
          <w:rFonts w:ascii="Arial" w:hAnsi="Arial" w:cs="Arial"/>
        </w:rPr>
        <w:t xml:space="preserve">. Recent Genome-Wide Association Studies (GWAS) have </w:t>
      </w:r>
      <w:commentRangeStart w:id="29"/>
      <w:r w:rsidRPr="00D00B8F">
        <w:rPr>
          <w:rFonts w:ascii="Arial" w:hAnsi="Arial" w:cs="Arial"/>
        </w:rPr>
        <w:t>identified around 30 genetic loci</w:t>
      </w:r>
      <w:commentRangeEnd w:id="29"/>
      <w:r w:rsidR="00A662DE">
        <w:rPr>
          <w:rStyle w:val="CommentReference"/>
          <w:rFonts w:ascii="Times New Roman" w:hAnsi="Times New Roman"/>
          <w:lang w:val="nb-NO" w:eastAsia="nb-NO"/>
        </w:rPr>
        <w:commentReference w:id="29"/>
      </w:r>
      <w:r w:rsidRPr="00D00B8F">
        <w:rPr>
          <w:rFonts w:ascii="Arial" w:hAnsi="Arial" w:cs="Arial"/>
        </w:rPr>
        <w:t xml:space="preserve"> that play a role in its development </w:t>
      </w:r>
      <w:r w:rsidRPr="00D00B8F">
        <w:rPr>
          <w:rFonts w:ascii="Arial" w:hAnsi="Arial" w:cs="Arial"/>
        </w:rPr>
        <w:fldChar w:fldCharType="begin" w:fldLock="1"/>
      </w:r>
      <w:r w:rsidRPr="00D00B8F">
        <w:rPr>
          <w:rFonts w:ascii="Arial" w:hAnsi="Arial" w:cs="Arial"/>
        </w:rPr>
        <w:instrText>ADDIN CSL_CITATION {"citationItems":[{"id":"ITEM-1","itemData":{"ISSN":"1741-7899","author":[{"dropping-particle":"V","family":"Louwers","given":"Yvonne","non-dropping-particle":"","parse-names":false,"suffix":""},{"dropping-particle":"","family":"Visser","given":"Jenny A","non-dropping-particle":"","parse-names":false,"suffix":""},{"dropping-particle":"","family":"Dunaif","given":"Andrea","non-dropping-particle":"","parse-names":false,"suffix":""},{"dropping-particle":"","family":"Laven","given":"Joop S E","non-dropping-particle":"","parse-names":false,"suffix":""}],"container-title":"Reproduction","id":"ITEM-1","issue":"5","issued":{"date-parts":[["2025"]]},"publisher":"Bioscientifica Ltd","title":"Polycystic ovary syndrome: origins and implications: genetics of polycystic ovary syndrome (PCOS)","type":"article-journal","volume":"170"},"uris":["http://www.mendeley.com/documents/?uuid=400094d4-e14c-45e2-8955-c740b595603d"]}],"mendeley":{"formattedCitation":"(Louwers et al., 2025)","plainTextFormattedCitation":"(Louwers et al., 2025)","previouslyFormattedCitation":"(Louwers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(Louwers et al., 2025)</w:t>
      </w:r>
      <w:r w:rsidRPr="00D00B8F">
        <w:rPr>
          <w:rFonts w:ascii="Arial" w:hAnsi="Arial" w:cs="Arial"/>
        </w:rPr>
        <w:fldChar w:fldCharType="end"/>
      </w:r>
      <w:r w:rsidRPr="00D00B8F">
        <w:rPr>
          <w:rFonts w:ascii="Arial" w:hAnsi="Arial" w:cs="Arial"/>
        </w:rPr>
        <w:t>. However, how gene variants contribute to PCOS risk and the relationship between the genetic components associated with PCOS still need to be established.</w:t>
      </w:r>
    </w:p>
    <w:p w14:paraId="1C120CF6" w14:textId="77777777" w:rsidR="00D00B8F" w:rsidRPr="00D00B8F" w:rsidRDefault="00D00B8F" w:rsidP="00D00B8F">
      <w:pPr>
        <w:jc w:val="both"/>
        <w:rPr>
          <w:rFonts w:ascii="Arial" w:hAnsi="Arial" w:cs="Arial"/>
        </w:rPr>
      </w:pPr>
    </w:p>
    <w:p w14:paraId="7B88021F"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4.5 </w:t>
      </w:r>
      <w:r w:rsidR="00D00B8F" w:rsidRPr="002A7631">
        <w:rPr>
          <w:rFonts w:ascii="Arial" w:hAnsi="Arial" w:cs="Arial"/>
          <w:b/>
          <w:caps/>
          <w:sz w:val="22"/>
          <w:szCs w:val="22"/>
        </w:rPr>
        <w:t xml:space="preserve">Prenatal exposure to hormones </w:t>
      </w:r>
    </w:p>
    <w:p w14:paraId="2BC6476A" w14:textId="77777777" w:rsidR="002A7631" w:rsidRDefault="002A7631" w:rsidP="00D00B8F">
      <w:pPr>
        <w:jc w:val="both"/>
        <w:rPr>
          <w:rFonts w:ascii="Arial" w:hAnsi="Arial" w:cs="Arial"/>
        </w:rPr>
      </w:pPr>
    </w:p>
    <w:p w14:paraId="70AE7390" w14:textId="77777777" w:rsidR="00D00B8F" w:rsidRPr="00D00B8F" w:rsidRDefault="00D00B8F" w:rsidP="00D00B8F">
      <w:pPr>
        <w:jc w:val="both"/>
        <w:rPr>
          <w:rFonts w:ascii="Arial" w:hAnsi="Arial" w:cs="Arial"/>
        </w:rPr>
      </w:pPr>
      <w:r w:rsidRPr="00D00B8F">
        <w:rPr>
          <w:rFonts w:ascii="Arial" w:hAnsi="Arial" w:cs="Arial"/>
        </w:rPr>
        <w:t xml:space="preserve">Maternal glucocorticoids significantly elevate during pregnancy, reaching concentrations up to 20 times higher by mid-pregnancy. Simultaneously, another steroid hormone, progesterone, rises </w:t>
      </w:r>
      <w:r w:rsidRPr="00D00B8F">
        <w:rPr>
          <w:rFonts w:ascii="Arial" w:hAnsi="Arial" w:cs="Arial"/>
        </w:rPr>
        <w:fldChar w:fldCharType="begin" w:fldLock="1"/>
      </w:r>
      <w:r w:rsidRPr="00D00B8F">
        <w:rPr>
          <w:rFonts w:ascii="Arial" w:hAnsi="Arial" w:cs="Arial"/>
        </w:rPr>
        <w:instrText>ADDIN CSL_CITATION {"citationItems":[{"id":"ITEM-1","itemData":{"ISSN":"1664-3224","author":[{"dropping-particle":"","family":"Solano","given":"Maria Emilia","non-dropping-particle":"","parse-names":false,"suffix":""},{"dropping-particle":"","family":"Arck","given":"Petra Clara","non-dropping-particle":"","parse-names":false,"suffix":""}],"container-title":"Frontiers in immunology","id":"ITEM-1","issued":{"date-parts":[["2020"]]},"page":"3017","publisher":"Frontiers Media SA","title":"Steroids, pregnancy and fetal development","type":"article-journal","volume":"10"},"uris":["http://www.mendeley.com/documents/?uuid=90109afe-4b73-4534-abc4-1c2cda87de96"]}],"mendeley":{"formattedCitation":"(Solano &amp; Arck, 2020)","plainTextFormattedCitation":"(Solano &amp; Arck, 2020)","previouslyFormattedCitation":"(Solano &amp; Arck,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(Solano &amp; Arck, 2020)</w:t>
      </w:r>
      <w:r w:rsidRPr="00D00B8F">
        <w:rPr>
          <w:rFonts w:ascii="Arial" w:hAnsi="Arial" w:cs="Arial"/>
        </w:rPr>
        <w:fldChar w:fldCharType="end"/>
      </w:r>
      <w:r w:rsidRPr="00D00B8F">
        <w:rPr>
          <w:rFonts w:ascii="Arial" w:hAnsi="Arial" w:cs="Arial"/>
        </w:rPr>
        <w:t xml:space="preserve">. Progesterone plays a crucial role in the initiation and maintenance of pregnancy, and it is widely recognized for fostering maternal immune tolerance towards fetal </w:t>
      </w:r>
      <w:proofErr w:type="spellStart"/>
      <w:r w:rsidRPr="00D00B8F">
        <w:rPr>
          <w:rFonts w:ascii="Arial" w:hAnsi="Arial" w:cs="Arial"/>
        </w:rPr>
        <w:t>alloantigens</w:t>
      </w:r>
      <w:proofErr w:type="spellEnd"/>
      <w:r w:rsidRPr="00D00B8F">
        <w:rPr>
          <w:rFonts w:ascii="Arial" w:hAnsi="Arial" w:cs="Arial"/>
        </w:rPr>
        <w:t xml:space="preserve"> via numerous immunomodulatory processes. Although glucocorticoids have strong immunomodulatory abilities, their function during pregnancy remains largely unclear </w:t>
      </w:r>
      <w:r w:rsidRPr="00D00B8F">
        <w:rPr>
          <w:rFonts w:ascii="Arial" w:hAnsi="Arial" w:cs="Arial"/>
        </w:rPr>
        <w:fldChar w:fldCharType="begin" w:fldLock="1"/>
      </w:r>
      <w:r w:rsidRPr="00D00B8F">
        <w:rPr>
          <w:rFonts w:ascii="Arial" w:hAnsi="Arial" w:cs="Arial"/>
        </w:rPr>
        <w:instrText>ADDIN CSL_CITATION {"citationItems":[{"id":"ITEM-1","itemData":{"ISSN":"1664-3224","author":[{"dropping-particle":"","family":"Solano","given":"Maria Emilia","non-dropping-particle":"","parse-names":false,"suffix":""},{"dropping-particle":"","family":"Arck","given":"Petra Clara","non-dropping-particle":"","parse-names":false,"suffix":""}],"container-title":"Frontiers in immunology","id":"ITEM-1","issued":{"date-parts":[["2020"]]},"page":"3017","publisher":"Frontiers Media SA","title":"Steroids, pregnancy and fetal development","type":"article-journal","volume":"10"},"uris":["http://www.mendeley.com/documents/?uuid=90109afe-4b73-4534-abc4-1c2cda87de96"]}],"mendeley":{"formattedCitation":"(Solano &amp; Arck, 2020)","plainTextFormattedCitation":"(Solano &amp; Arck, 2020)","previouslyFormattedCitation":"(Solano &amp; Arck,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(Solano &amp; Arck, 2020)</w:t>
      </w:r>
      <w:r w:rsidRPr="00D00B8F">
        <w:rPr>
          <w:rFonts w:ascii="Arial" w:hAnsi="Arial" w:cs="Arial"/>
        </w:rPr>
        <w:fldChar w:fldCharType="end"/>
      </w:r>
      <w:r w:rsidRPr="00D00B8F">
        <w:rPr>
          <w:rFonts w:ascii="Arial" w:hAnsi="Arial" w:cs="Arial"/>
        </w:rPr>
        <w:t xml:space="preserve">. Disruptions in maternal-fetal insulin, androgens, glucocorticoids, and thyroid hormone are recognized factors that contribute to either adaptive or maladaptive developmental programming </w:t>
      </w:r>
      <w:r w:rsidRPr="00D00B8F">
        <w:rPr>
          <w:rFonts w:ascii="Arial" w:hAnsi="Arial" w:cs="Arial"/>
        </w:rPr>
        <w:fldChar w:fldCharType="begin" w:fldLock="1"/>
      </w:r>
      <w:r w:rsidRPr="00D00B8F">
        <w:rPr>
          <w:rFonts w:ascii="Arial" w:hAnsi="Arial" w:cs="Arial"/>
        </w:rPr>
        <w:instrText>ADDIN CSL_CITATION {"citationItems":[{"id":"ITEM-1","itemData":{"ISSN":"0013-7227","author":[{"dropping-particle":"","family":"Hakim","given":"Christopher","non-dropping-particle":"","parse-names":false,"suffix":""},{"dropping-particle":"","family":"Padmanabhan","given":"Vasantha","non-dropping-particle":"","parse-names":false,"suffix":""},{"dropping-particle":"","family":"Vyas","given":"Arpita K","non-dropping-particle":"","parse-names":false,"suffix":""}],"container-title":"Endocrinology","id":"ITEM-1","issue":"2","issued":{"date-parts":[["2017"]]},"page":"199-212","publisher":"Endocrine Society Washington, DC","title":"Gestational hyperandrogenism in developmental programming","type":"article-journal","volume":"158"},"uris":["http://www.mendeley.com/documents/?uuid=868c08b1-c8f8-4684-9c2d-9e182da51ed2"]}],"mendeley":{"formattedCitation":"(Hakim et al., 2017)","plainTextFormattedCitation":"(Hakim et al., 2017)","previouslyFormattedCitation":"(Hakim et al., 2017)"},"properties":{"noteIndex":0},"schema":"https://github.com/citation-style-language/schema/raw/master/csl-citation.json"}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(Hakim et al., 2017)</w:t>
      </w:r>
      <w:r w:rsidRPr="00D00B8F">
        <w:rPr>
          <w:rFonts w:ascii="Arial" w:hAnsi="Arial" w:cs="Arial"/>
        </w:rPr>
        <w:fldChar w:fldCharType="end"/>
      </w:r>
      <w:r w:rsidRPr="00D00B8F">
        <w:rPr>
          <w:rFonts w:ascii="Arial" w:hAnsi="Arial" w:cs="Arial"/>
        </w:rPr>
        <w:t xml:space="preserve">. Several studies indicate that continued exposure to high androgen levels during the gestational period could affect fetal development in ways that increase the chance of the development of PCOS in adulthood </w:t>
      </w:r>
      <w:r w:rsidRPr="00D00B8F">
        <w:rPr>
          <w:rFonts w:ascii="Arial" w:hAnsi="Arial" w:cs="Arial"/>
        </w:rPr>
        <w:fldChar w:fldCharType="begin" w:fldLock="1"/>
      </w:r>
      <w:r w:rsidRPr="00D00B8F">
        <w:rPr>
          <w:rFonts w:ascii="Arial" w:hAnsi="Arial" w:cs="Arial"/>
        </w:rPr>
        <w:instrText>ADDIN CSL_CITATION {"citationItems":[{"id":"ITEM-1","itemData":{"author":[{"dropping-particle":"","family":"Abbott","given":"David H","non-dropping-particle":"","parse-names":false,"suffix":""},{"dropping-particle":"","family":"Levine","given":"Jon E","non-dropping-particle":"","parse-names":false,"suffix":""},{"dropping-particle":"","family":"Dumesic","given":"Phillip A","non-dropping-particle":"","parse-names":false,"suffix":""},{"dropping-particle":"","family":"Padmanabhan","given":"Vasantha","non-dropping-particle":"","parse-names":false,"suffix":""},{"dropping-particle":"","family":"Dumesic","given":"Daniel A","non-dropping-particle":"","parse-names":false,"suffix":""}],"container-title":"Reproduction","id":"ITEM-1","issued":{"date-parts":[["2025"]]},"page":"e250120","title":"Gestational anti-Müllerian hormone and testosterone excess combined with maternal adiposity program for polycystic ovary syndrome","type":"article-journal","volume":"170"},"uris":["http://www.mendeley.com/documents/?uuid=198d0b87-da21-4058-9e82-e19717e49461"]}],"mendeley":{"formattedCitation":"(Abbott et al., 2025)","plainTextFormattedCitation":"(Abbott et al., 2025)","previouslyFormattedCitation":"(Abbott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(Abbott et al., 2025)</w:t>
      </w:r>
      <w:r w:rsidRPr="00D00B8F">
        <w:rPr>
          <w:rFonts w:ascii="Arial" w:hAnsi="Arial" w:cs="Arial"/>
        </w:rPr>
        <w:fldChar w:fldCharType="end"/>
      </w:r>
      <w:r w:rsidRPr="00D00B8F">
        <w:rPr>
          <w:rFonts w:ascii="Arial" w:hAnsi="Arial" w:cs="Arial"/>
        </w:rPr>
        <w:t>.</w:t>
      </w:r>
    </w:p>
    <w:p w14:paraId="6F945525" w14:textId="77777777" w:rsidR="00D00B8F" w:rsidRPr="00D00B8F" w:rsidRDefault="00D00B8F" w:rsidP="00D00B8F">
      <w:pPr>
        <w:jc w:val="both"/>
        <w:rPr>
          <w:rFonts w:ascii="Arial" w:hAnsi="Arial" w:cs="Arial"/>
        </w:rPr>
      </w:pPr>
    </w:p>
    <w:p w14:paraId="289353C5"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4.6 </w:t>
      </w:r>
      <w:r w:rsidR="00D00B8F" w:rsidRPr="002A7631">
        <w:rPr>
          <w:rFonts w:ascii="Arial" w:hAnsi="Arial" w:cs="Arial"/>
          <w:b/>
          <w:caps/>
          <w:sz w:val="22"/>
          <w:szCs w:val="22"/>
        </w:rPr>
        <w:t xml:space="preserve">Lifestyle factors </w:t>
      </w:r>
    </w:p>
    <w:p w14:paraId="370172A0" w14:textId="77777777" w:rsidR="002A7631" w:rsidRDefault="002A7631" w:rsidP="00D00B8F">
      <w:pPr>
        <w:jc w:val="both"/>
        <w:rPr>
          <w:rFonts w:ascii="Arial" w:hAnsi="Arial" w:cs="Arial"/>
        </w:rPr>
      </w:pPr>
    </w:p>
    <w:p w14:paraId="4D973798" w14:textId="77777777" w:rsidR="00D00B8F" w:rsidRPr="00D00B8F" w:rsidRDefault="00D00B8F" w:rsidP="00D00B8F">
      <w:pPr>
        <w:jc w:val="both"/>
        <w:rPr>
          <w:rFonts w:ascii="Arial" w:hAnsi="Arial" w:cs="Arial"/>
        </w:rPr>
      </w:pPr>
      <w:r w:rsidRPr="00D00B8F">
        <w:rPr>
          <w:rFonts w:ascii="Arial" w:hAnsi="Arial" w:cs="Arial"/>
        </w:rPr>
        <w:t xml:space="preserve">These include stress, irregular sleep, increased weight (obesity) or insufficient exercise, which do not independently lead to PCOS but can worsen insulin resistance and hormonal irregularities, amplifying symptoms and long-term reproductive health risks </w:t>
      </w:r>
      <w:r w:rsidRPr="00D00B8F">
        <w:rPr>
          <w:rFonts w:ascii="Arial" w:hAnsi="Arial" w:cs="Arial"/>
        </w:rPr>
        <w:fldChar w:fldCharType="begin" w:fldLock="1"/>
      </w:r>
      <w:r w:rsidRPr="00D00B8F">
        <w:rPr>
          <w:rFonts w:ascii="Arial" w:hAnsi="Arial" w:cs="Arial"/>
        </w:rPr>
        <w:instrText>ADDIN CSL_CITATION {"citationItems":[{"id":"ITEM-1","itemData":{"ISSN":"0009-8981","author":[{"dropping-particle":"","family":"Zeng","given":"Xin","non-dropping-particle":"","parse-names":false,"suffix":""},{"dropping-particle":"","family":"Xie","given":"Yuan-jie","non-dropping-particle":"","parse-names":false,"suffix":""},{"dropping-particle":"","family":"Liu","given":"Ya-ting","non-dropping-particle":"","parse-names":false,"suffix":""},{"dropping-particle":"","family":"Long","given":"Shuang-lian","non-dropping-particle":"","parse-names":false,"suffix":""},{"dropping-particle":"","family":"Mo","given":"Zhong-cheng","non-dropping-particle":"","parse-names":false,"suffix":""}],"container-title":"Clinica chimica acta","id":"ITEM-1","issued":{"date-parts":[["2020"]]},"page":"214-221","publisher":"Elsevier","title":"Polycystic ovarian syndrome: correlation between hyperandrogenism, insulin resistance and obesity","type":"article-journal","volume":"502"},"uris":["http://www.mendeley.com/documents/?uuid=e2ef85f3-4a07-4d4b-a0ad-8934dc17db43"]}],"mendeley":{"formattedCitation":"(Zeng et al., 2020)","plainTextFormattedCitation":"(Zeng et al., 2020)","previouslyFormattedCitation":"(Zeng et al.,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(Zeng et al., 2020)</w:t>
      </w:r>
      <w:r w:rsidRPr="00D00B8F">
        <w:rPr>
          <w:rFonts w:ascii="Arial" w:hAnsi="Arial" w:cs="Arial"/>
        </w:rPr>
        <w:fldChar w:fldCharType="end"/>
      </w:r>
      <w:r w:rsidRPr="00D00B8F">
        <w:rPr>
          <w:rFonts w:ascii="Arial" w:hAnsi="Arial" w:cs="Arial"/>
        </w:rPr>
        <w:t xml:space="preserve">. Prenatal stress is recognized to change the activity of the hypothalamic-pituitary-adrenal axis, and recent findings indicate that it could also influence androgen activity in females </w:t>
      </w:r>
      <w:r w:rsidRPr="00D00B8F">
        <w:rPr>
          <w:rFonts w:ascii="Arial" w:hAnsi="Arial" w:cs="Arial"/>
        </w:rPr>
        <w:fldChar w:fldCharType="begin" w:fldLock="1"/>
      </w:r>
      <w:r w:rsidRPr="00D00B8F">
        <w:rPr>
          <w:rFonts w:ascii="Arial" w:hAnsi="Arial" w:cs="Arial"/>
        </w:rPr>
        <w:instrText>ADDIN CSL_CITATION {"citationItems":[{"id":"ITEM-1","itemData":{"ISSN":"0013-7227","author":[{"dropping-particle":"","family":"Barrett","given":"Emily S","non-dropping-particle":"","parse-names":false,"suffix":""},{"dropping-particle":"","family":"Swan","given":"Shanna H","non-dropping-particle":"","parse-names":false,"suffix":""}],"container-title":"Endocrinology","id":"ITEM-1","issue":"10","issued":{"date-parts":[["2015"]]},"page":"3435-3441","publisher":"Oxford University Press","title":"Stress and androgen activity during fetal development","type":"article-journal","volume":"156"},"uris":["http://www.mendeley.com/documents/?uuid=99c74e81-9726-4edc-b63b-f359c611b62f"]}],"mendeley":{"formattedCitation":"(Barrett &amp; Swan, 2015)","plainTextFormattedCitation":"(Barrett &amp; Swan, 2015)","previouslyFormattedCitation":"(Barrett &amp; Swan, 2015)"},"properties":{"noteIndex":0},"schema":"https://github.com/citation-style-language/schema/raw/master/csl-citation.json"}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(Barrett &amp; Swan, 2015)</w:t>
      </w:r>
      <w:r w:rsidRPr="00D00B8F">
        <w:rPr>
          <w:rFonts w:ascii="Arial" w:hAnsi="Arial" w:cs="Arial"/>
        </w:rPr>
        <w:fldChar w:fldCharType="end"/>
      </w:r>
      <w:r w:rsidRPr="00D00B8F">
        <w:rPr>
          <w:rFonts w:ascii="Arial" w:hAnsi="Arial" w:cs="Arial"/>
        </w:rPr>
        <w:t>.</w:t>
      </w:r>
    </w:p>
    <w:p w14:paraId="3D3CA965" w14:textId="77777777" w:rsidR="00D00B8F" w:rsidRPr="00D00B8F" w:rsidRDefault="00D00B8F" w:rsidP="00D00B8F">
      <w:pPr>
        <w:jc w:val="both"/>
        <w:rPr>
          <w:rFonts w:ascii="Arial" w:hAnsi="Arial" w:cs="Arial"/>
        </w:rPr>
      </w:pPr>
    </w:p>
    <w:p w14:paraId="5B3B661A" w14:textId="77777777" w:rsidR="007704B2" w:rsidRPr="007704B2" w:rsidRDefault="007704B2" w:rsidP="00D00B8F">
      <w:pPr>
        <w:jc w:val="both"/>
        <w:rPr>
          <w:rFonts w:ascii="Arial" w:hAnsi="Arial" w:cs="Arial"/>
          <w:b/>
          <w:caps/>
          <w:sz w:val="22"/>
          <w:szCs w:val="22"/>
        </w:rPr>
      </w:pPr>
      <w:r>
        <w:rPr>
          <w:rFonts w:ascii="Arial" w:hAnsi="Arial" w:cs="Arial"/>
          <w:b/>
          <w:caps/>
          <w:sz w:val="22"/>
          <w:szCs w:val="22"/>
        </w:rPr>
        <w:t xml:space="preserve">4.7 </w:t>
      </w:r>
      <w:r w:rsidR="00D00B8F" w:rsidRPr="007704B2">
        <w:rPr>
          <w:rFonts w:ascii="Arial" w:hAnsi="Arial" w:cs="Arial"/>
          <w:b/>
          <w:caps/>
          <w:sz w:val="22"/>
          <w:szCs w:val="22"/>
        </w:rPr>
        <w:t xml:space="preserve">Exposure to environmental toxicants </w:t>
      </w:r>
    </w:p>
    <w:p w14:paraId="10C8C831" w14:textId="77777777" w:rsidR="007704B2" w:rsidRDefault="007704B2" w:rsidP="00D00B8F">
      <w:pPr>
        <w:jc w:val="both"/>
        <w:rPr>
          <w:rFonts w:ascii="Arial" w:hAnsi="Arial" w:cs="Arial"/>
        </w:rPr>
      </w:pPr>
    </w:p>
    <w:p w14:paraId="01B4C3FD" w14:textId="77777777" w:rsidR="00D00B8F" w:rsidRPr="00D00B8F" w:rsidRDefault="00D00B8F" w:rsidP="00D00B8F">
      <w:pPr>
        <w:jc w:val="both"/>
        <w:rPr>
          <w:rFonts w:ascii="Arial" w:hAnsi="Arial" w:cs="Arial"/>
        </w:rPr>
      </w:pPr>
      <w:r w:rsidRPr="00D00B8F">
        <w:rPr>
          <w:rFonts w:ascii="Arial" w:hAnsi="Arial" w:cs="Arial"/>
        </w:rPr>
        <w:t xml:space="preserve">Many environmental toxicants such as bisphenol A (BPA) and phthalates, are classified as endocrine-disrupting chemicals (EDCs). These toxicants impact human reproductive health in daily industrialized life </w:t>
      </w:r>
      <w:r w:rsidRPr="00D00B8F">
        <w:rPr>
          <w:rFonts w:ascii="Arial" w:hAnsi="Arial" w:cs="Arial"/>
        </w:rPr>
        <w:fldChar w:fldCharType="begin" w:fldLock="1"/>
      </w:r>
      <w:r w:rsidRPr="00D00B8F">
        <w:rPr>
          <w:rFonts w:ascii="Arial" w:hAnsi="Arial" w:cs="Arial"/>
        </w:rPr>
        <w:instrText>ADDIN CSL_CITATION {"citationItems":[{"id":"ITEM-1","itemData":{"ISSN":"0015-0282","author":[{"dropping-particle":"","family":"Rutkowska","given":"Aleksandra Zofia","non-dropping-particle":"","parse-names":false,"suffix":""},{"dropping-particle":"","family":"Diamanti-Kandarakis","given":"Evanthia","non-dropping-particle":"","parse-names":false,"suffix":""}],"container-title":"Fertility and sterility","id":"ITEM-1","issue":"4","issued":{"date-parts":[["2016"]]},"page":"948-958","publisher":"Elsevier","title":"Polycystic ovary syndrome and environmental toxins","type":"article-journal","volume":"106"},"uris":["http://www.mendeley.com/documents/?uuid=304de646-9eeb-4e8e-9e80-0cb63c593232"]}],"mendeley":{"formattedCitation":"(Rutkowska &amp; Diamanti-Kandarakis, 2016)","plainTextFormattedCitation":"(Rutkowska &amp; Diamanti-Kandarakis, 2016)","previouslyFormattedCitation":"(Rutkowska &amp; Diamanti-Kandarakis,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(Rutkowska &amp; Diamanti-Kandarakis, 2016)</w:t>
      </w:r>
      <w:r w:rsidRPr="00D00B8F">
        <w:rPr>
          <w:rFonts w:ascii="Arial" w:hAnsi="Arial" w:cs="Arial"/>
        </w:rPr>
        <w:fldChar w:fldCharType="end"/>
      </w:r>
      <w:r w:rsidRPr="00D00B8F">
        <w:rPr>
          <w:rFonts w:ascii="Arial" w:hAnsi="Arial" w:cs="Arial"/>
        </w:rPr>
        <w:t xml:space="preserve">. It has been established that fetuses, infants, and young children are the most vulnerable populations, particularly during the initial stages of development. Exposure to EDCs that imitate natural hormones during prenatal development may influence fetal programming and subsequently result in PCOS </w:t>
      </w:r>
      <w:r w:rsidRPr="00D00B8F">
        <w:rPr>
          <w:rFonts w:ascii="Arial" w:hAnsi="Arial" w:cs="Arial"/>
        </w:rPr>
        <w:fldChar w:fldCharType="begin" w:fldLock="1"/>
      </w:r>
      <w:r w:rsidRPr="00D00B8F">
        <w:rPr>
          <w:rFonts w:ascii="Arial" w:hAnsi="Arial" w:cs="Arial"/>
        </w:rPr>
        <w:instrText>ADDIN CSL_CITATION {"citationItems":[{"id":"ITEM-1","itemData":{"author":[{"dropping-particle":"","family":"Rozati","given":"Roya","non-dropping-particle":"","parse-names":false,"suffix":""},{"dropping-particle":"","family":"Fatima","given":"Sumaya","non-dropping-particle":"","parse-names":false,"suffix":""}],"container-title":"Hormones","id":"ITEM-1","issued":{"date-parts":[["2019"]]},"page":"533-544","title":"Etiological role of environmental toxicants in polycystic ovarian syndrome","type":"article-journal","volume":"6"},"uris":["http://www.mendeley.com/documents/?uuid=a02d4b5f-fd8d-49cc-baf2-243f316be891"]}],"mendeley":{"formattedCitation":"(Rozati &amp; Fatima, 2019)","plainTextFormattedCitation":"(Rozati &amp; Fatima, 2019)","previouslyFormattedCitation":"(Rozati &amp; Fatima, 2019)"},"properties":{"noteIndex":0},"schema":"https://github.com/citation-style-language/schema/raw/master/csl-citation.json"}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(Rozati &amp; Fatima, 2019)</w:t>
      </w:r>
      <w:r w:rsidRPr="00D00B8F">
        <w:rPr>
          <w:rFonts w:ascii="Arial" w:hAnsi="Arial" w:cs="Arial"/>
        </w:rPr>
        <w:fldChar w:fldCharType="end"/>
      </w:r>
      <w:r w:rsidRPr="00D00B8F">
        <w:rPr>
          <w:rFonts w:ascii="Arial" w:hAnsi="Arial" w:cs="Arial"/>
        </w:rPr>
        <w:t xml:space="preserve">. EDCs can affect the ovarian reserve during early development, its maintenance during adulthood and the establishment of the hypothalamic-pituitary control of puberty and ovulation </w:t>
      </w:r>
      <w:r w:rsidRPr="00D00B8F">
        <w:rPr>
          <w:rFonts w:ascii="Arial" w:hAnsi="Arial" w:cs="Arial"/>
        </w:rPr>
        <w:fldChar w:fldCharType="begin" w:fldLock="1"/>
      </w:r>
      <w:r w:rsidRPr="00D00B8F">
        <w:rPr>
          <w:rFonts w:ascii="Arial" w:hAnsi="Arial" w:cs="Arial"/>
        </w:rPr>
        <w:instrText>ADDIN CSL_CITATION {"citationItems":[{"id":"ITEM-1","itemData":{"ISSN":"1759-5029","author":[{"dropping-particle":"","family":"Parent","given":"Anne-Simone","non-dropping-particle":"","parse-names":false,"suffix":""},{"dropping-particle":"","family":"Damdimopoulou","given":"Pauliina","non-dropping-particle":"","parse-names":false,"suffix":""},{"dropping-particle":"","family":"Johansson","given":"Hanna K L","non-dropping-particle":"","parse-names":false,"suffix":""},{"dropping-particle":"","family":"Bouftas","given":"Nora","non-dropping-particle":"","parse-names":false,"suffix":""},{"dropping-particle":"","family":"Draskau","given":"Monica K","non-dropping-particle":"","parse-names":false,"suffix":""},{"dropping-particle":"","family":"Franssen","given":"Delphine","non-dropping-particle":"","parse-names":false,"suffix":""},{"dropping-particle":"","family":"Fudvoye","given":"Julie","non-dropping-particle":"","parse-names":false,"suffix":""},{"dropping-particle":"","family":"Duursen","given":"Majorie","non-dropping-particle":"van","parse-names":false,"suffix":""},{"dropping-particle":"","family":"Svingen","given":"Terje","non-dropping-particle":"","parse-names":false,"suffix":""}],"container-title":"Nature Reviews Endocrinology","id":"ITEM-1","issue":"10","issued":{"date-parts":[["2025"]]},"page":"593-607","publisher":"Nature Publishing Group UK London","title":"Endocrine-disrupting chemicals and female reproductive health: a growing concern","type":"article-journal","volume":"21"},"uris":["http://www.mendeley.com/documents/?uuid=48dbb454-5ba7-412b-8ded-7af253431b72"]}],"mendeley":{"formattedCitation":"(Parent et al., 2025)","plainTextFormattedCitation":"(Parent et al., 2025)","previouslyFormattedCitation":"(Parent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(Parent et al., 2025)</w:t>
      </w:r>
      <w:r w:rsidRPr="00D00B8F">
        <w:rPr>
          <w:rFonts w:ascii="Arial" w:hAnsi="Arial" w:cs="Arial"/>
        </w:rPr>
        <w:fldChar w:fldCharType="end"/>
      </w:r>
      <w:r w:rsidRPr="00D00B8F">
        <w:rPr>
          <w:rFonts w:ascii="Arial" w:hAnsi="Arial" w:cs="Arial"/>
        </w:rPr>
        <w:t>.</w:t>
      </w:r>
    </w:p>
    <w:p w14:paraId="0ECF7FA1" w14:textId="77777777" w:rsidR="00D00B8F" w:rsidRPr="00D00B8F" w:rsidRDefault="00D00B8F" w:rsidP="00D00B8F">
      <w:pPr>
        <w:jc w:val="both"/>
        <w:rPr>
          <w:rFonts w:ascii="Arial" w:hAnsi="Arial" w:cs="Arial"/>
        </w:rPr>
      </w:pPr>
    </w:p>
    <w:p w14:paraId="495FF83D" w14:textId="77777777" w:rsidR="00D00B8F" w:rsidRPr="00D00B8F" w:rsidRDefault="00D00B8F" w:rsidP="00D00B8F">
      <w:pPr>
        <w:jc w:val="both"/>
        <w:rPr>
          <w:rFonts w:ascii="Arial" w:hAnsi="Arial" w:cs="Arial"/>
        </w:rPr>
      </w:pPr>
      <w:r w:rsidRPr="00D00B8F">
        <w:rPr>
          <w:rFonts w:ascii="Arial" w:hAnsi="Arial" w:cs="Arial"/>
        </w:rPr>
        <w:t xml:space="preserve">It is obvious now that there is a strong relationship between PCOS and insulin resistance, obesity, and elements of metabolic syndrome; the connection among these conditions is complicated and frequently bidirectional; insulin resistance worsens hyperandrogenism and ovulatory issues, while PCOS raises the likelihood of developing glucose intolerance and type 2 diabetes mellitus </w:t>
      </w:r>
      <w:r w:rsidRPr="00D00B8F">
        <w:rPr>
          <w:rFonts w:ascii="Arial" w:hAnsi="Arial" w:cs="Arial"/>
        </w:rPr>
        <w:fldChar w:fldCharType="begin" w:fldLock="1"/>
      </w:r>
      <w:r w:rsidRPr="00D00B8F">
        <w:rPr>
          <w:rFonts w:ascii="Arial" w:hAnsi="Arial" w:cs="Arial"/>
        </w:rPr>
        <w:instrText>ADDIN CSL_CITATION {"citationItems":[{"id":"ITEM-1","itemData":{"ISSN":"1664-2392","author":[{"dropping-particle":"","family":"Prosperi","given":"Sara","non-dropping-particle":"","parse-names":false,"suffix":""},{"dropping-particle":"","family":"Chiarelli","given":"Francesco","non-dropping-particle":"","parse-names":false,"suffix":""}],"container-title":"Frontiers in Endocrinology","id":"ITEM-1","issued":{"date-parts":[["2025"]]},"page":"1669716","publisher":"Frontiers","title":"Insulin resistance, metabolic syndrome and polycystic ovaries: an intriguing conundrum","type":"article-journal","volume":"16"},"uris":["http://www.mendeley.com/documents/?uuid=4de0fd93-e0e3-42f0-8cd1-3bc6957b4c43"]}],"mendeley":{"formattedCitation":"(Prosperi &amp; Chiarelli, 2025)","plainTextFormattedCitation":"(Prosperi &amp; Chiarelli, 2025)","previouslyFormattedCitation":"(Prosperi &amp; Chiarelli,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(Prosperi &amp; Chiarelli, 2025)</w:t>
      </w:r>
      <w:r w:rsidRPr="00D00B8F">
        <w:rPr>
          <w:rFonts w:ascii="Arial" w:hAnsi="Arial" w:cs="Arial"/>
        </w:rPr>
        <w:fldChar w:fldCharType="end"/>
      </w:r>
      <w:r w:rsidRPr="00D00B8F">
        <w:rPr>
          <w:rFonts w:ascii="Arial" w:hAnsi="Arial" w:cs="Arial"/>
        </w:rPr>
        <w:t>.</w:t>
      </w:r>
    </w:p>
    <w:p w14:paraId="01C32836" w14:textId="77777777" w:rsidR="002A49D9" w:rsidRPr="002A49D9" w:rsidRDefault="002A49D9" w:rsidP="00441B6F">
      <w:pPr>
        <w:pStyle w:val="Body"/>
        <w:spacing w:after="0"/>
        <w:rPr>
          <w:rFonts w:ascii="Arial" w:hAnsi="Arial" w:cs="Arial"/>
          <w:b/>
          <w:caps/>
          <w:sz w:val="22"/>
          <w:szCs w:val="22"/>
        </w:rPr>
      </w:pPr>
    </w:p>
    <w:p w14:paraId="36EA503F" w14:textId="77777777" w:rsidR="002A49D9" w:rsidRPr="00797CBB" w:rsidRDefault="00797CBB" w:rsidP="00441B6F">
      <w:pPr>
        <w:pStyle w:val="Body"/>
        <w:spacing w:after="0"/>
        <w:rPr>
          <w:rFonts w:ascii="Arial" w:hAnsi="Arial" w:cs="Arial"/>
          <w:b/>
          <w:caps/>
          <w:sz w:val="22"/>
          <w:szCs w:val="22"/>
        </w:rPr>
      </w:pPr>
      <w:r>
        <w:rPr>
          <w:rFonts w:ascii="Arial" w:hAnsi="Arial" w:cs="Arial"/>
          <w:b/>
          <w:caps/>
          <w:sz w:val="22"/>
          <w:szCs w:val="22"/>
        </w:rPr>
        <w:t xml:space="preserve">5. </w:t>
      </w:r>
      <w:r w:rsidRPr="00797CBB">
        <w:rPr>
          <w:rFonts w:ascii="Arial" w:hAnsi="Arial" w:cs="Arial"/>
          <w:b/>
          <w:caps/>
          <w:sz w:val="22"/>
          <w:szCs w:val="22"/>
        </w:rPr>
        <w:t>Clin</w:t>
      </w:r>
      <w:r w:rsidR="00DB1817">
        <w:rPr>
          <w:rFonts w:ascii="Arial" w:hAnsi="Arial" w:cs="Arial"/>
          <w:b/>
          <w:caps/>
          <w:sz w:val="22"/>
          <w:szCs w:val="22"/>
        </w:rPr>
        <w:t>ical manifestation and complications</w:t>
      </w:r>
      <w:r w:rsidRPr="00797CBB">
        <w:rPr>
          <w:rFonts w:ascii="Arial" w:hAnsi="Arial" w:cs="Arial"/>
          <w:b/>
          <w:caps/>
          <w:sz w:val="22"/>
          <w:szCs w:val="22"/>
        </w:rPr>
        <w:t xml:space="preserve"> of PCOS</w:t>
      </w:r>
    </w:p>
    <w:p w14:paraId="5615564E" w14:textId="77777777" w:rsidR="00797CBB" w:rsidRDefault="00797CBB" w:rsidP="00441B6F">
      <w:pPr>
        <w:pStyle w:val="Body"/>
        <w:spacing w:after="0"/>
        <w:rPr>
          <w:rFonts w:ascii="Arial" w:hAnsi="Arial" w:cs="Arial"/>
          <w:b/>
          <w:caps/>
          <w:sz w:val="22"/>
        </w:rPr>
      </w:pPr>
    </w:p>
    <w:p w14:paraId="0B9CE1E1" w14:textId="77777777" w:rsidR="00987914" w:rsidRPr="00987914" w:rsidRDefault="00987914" w:rsidP="00987914">
      <w:pPr>
        <w:jc w:val="both"/>
        <w:rPr>
          <w:rFonts w:ascii="Arial" w:hAnsi="Arial" w:cs="Arial"/>
          <w:b/>
        </w:rPr>
      </w:pPr>
      <w:r w:rsidRPr="00987914">
        <w:rPr>
          <w:rFonts w:ascii="Arial" w:hAnsi="Arial" w:cs="Arial"/>
        </w:rPr>
        <w:t xml:space="preserve">The symptoms of PCOS vary among individuals, yet the majority of symptoms arise from hormonal imbalances, especially increased androgens and irregular ovulation. </w:t>
      </w:r>
      <w:commentRangeStart w:id="30"/>
      <w:r w:rsidRPr="00987914">
        <w:rPr>
          <w:rFonts w:ascii="Arial" w:hAnsi="Arial" w:cs="Arial"/>
        </w:rPr>
        <w:t xml:space="preserve">Symptoms can start during puberty </w:t>
      </w:r>
      <w:commentRangeEnd w:id="30"/>
      <w:r w:rsidR="00A662DE">
        <w:rPr>
          <w:rStyle w:val="CommentReference"/>
          <w:rFonts w:ascii="Times New Roman" w:hAnsi="Times New Roman"/>
          <w:lang w:val="nb-NO" w:eastAsia="nb-NO"/>
        </w:rPr>
        <w:commentReference w:id="30"/>
      </w:r>
      <w:r w:rsidRPr="00987914">
        <w:rPr>
          <w:rFonts w:ascii="Arial" w:hAnsi="Arial" w:cs="Arial"/>
        </w:rPr>
        <w:t>or emerge later, particularly following considerable weight gain. Typical symptoms of PCOS (Figure 4) include:</w:t>
      </w:r>
    </w:p>
    <w:p w14:paraId="1C922BAA" w14:textId="77777777" w:rsidR="00987914" w:rsidRPr="00987914" w:rsidRDefault="00987914" w:rsidP="00987914">
      <w:pPr>
        <w:jc w:val="both"/>
        <w:rPr>
          <w:rFonts w:ascii="Arial" w:hAnsi="Arial" w:cs="Arial"/>
        </w:rPr>
      </w:pPr>
    </w:p>
    <w:p w14:paraId="2EA1D1B4"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Irregular or skipped periods</w:t>
      </w:r>
      <w:r w:rsidRPr="00987914">
        <w:rPr>
          <w:sz w:val="20"/>
          <w:szCs w:val="20"/>
        </w:rPr>
        <w:t xml:space="preserve">: Women with PCOS due to disturbed ovulation frequently experience infrequent, unpredictable, or extended menstrual cycles. Some individuals </w:t>
      </w:r>
      <w:r w:rsidRPr="00987914">
        <w:rPr>
          <w:sz w:val="20"/>
          <w:szCs w:val="20"/>
        </w:rPr>
        <w:lastRenderedPageBreak/>
        <w:t>may have fewer than 9 menstrual periods annually or experience cycles that exceed 35 days.</w:t>
      </w:r>
    </w:p>
    <w:p w14:paraId="10F6C208"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Excessive hair growth (hirsutism)</w:t>
      </w:r>
      <w:r w:rsidRPr="00987914">
        <w:rPr>
          <w:sz w:val="20"/>
          <w:szCs w:val="20"/>
        </w:rPr>
        <w:t>: Elevated androgen levels may lead to thick, dark hair developing on the face, chest, abdomen, or back, impacting around 70–80% of females with PCOS.</w:t>
      </w:r>
    </w:p>
    <w:p w14:paraId="657E6600"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Acne and oily skin</w:t>
      </w:r>
      <w:r w:rsidRPr="00987914">
        <w:rPr>
          <w:sz w:val="20"/>
          <w:szCs w:val="20"/>
        </w:rPr>
        <w:t>: Androgens can excessively activate oil glands, resulting in chronic or intense acne, especially on the face, chest, and upper back.</w:t>
      </w:r>
    </w:p>
    <w:p w14:paraId="3D1BF793"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Hair loss or male-pattern baldness</w:t>
      </w:r>
      <w:r w:rsidRPr="00987914">
        <w:rPr>
          <w:sz w:val="20"/>
          <w:szCs w:val="20"/>
        </w:rPr>
        <w:t>: Certain people might observe hair thinning at the crown or around the hairline, resembling androgenic alopecia.</w:t>
      </w:r>
    </w:p>
    <w:p w14:paraId="74F5999E" w14:textId="77777777" w:rsidR="00B15A3E" w:rsidRPr="00B15A3E" w:rsidRDefault="00987914" w:rsidP="00B15A3E">
      <w:pPr>
        <w:pStyle w:val="ListParagraph"/>
        <w:numPr>
          <w:ilvl w:val="0"/>
          <w:numId w:val="31"/>
        </w:numPr>
        <w:spacing w:line="240" w:lineRule="auto"/>
        <w:ind w:left="567" w:hanging="567"/>
        <w:jc w:val="both"/>
        <w:rPr>
          <w:sz w:val="20"/>
          <w:szCs w:val="20"/>
        </w:rPr>
      </w:pPr>
      <w:r w:rsidRPr="00987914">
        <w:rPr>
          <w:i/>
          <w:sz w:val="20"/>
          <w:szCs w:val="20"/>
        </w:rPr>
        <w:t>Weight increase or challenges in shedding pounds</w:t>
      </w:r>
      <w:r w:rsidRPr="00987914">
        <w:rPr>
          <w:sz w:val="20"/>
          <w:szCs w:val="20"/>
        </w:rPr>
        <w:t>: Numerous individuals with PCOS encounter weight gain (obesity) issues.</w:t>
      </w:r>
    </w:p>
    <w:p w14:paraId="0D132CBA" w14:textId="77777777" w:rsidR="00B15A3E" w:rsidRDefault="00B15A3E" w:rsidP="00B15A3E">
      <w:pPr>
        <w:pStyle w:val="NormalWeb"/>
      </w:pPr>
      <w:r>
        <w:rPr>
          <w:noProof/>
          <w:lang w:val="en-US" w:eastAsia="en-US"/>
        </w:rPr>
        <w:drawing>
          <wp:inline distT="0" distB="0" distL="0" distR="0" wp14:anchorId="0FA8DDF4" wp14:editId="5C579DAD">
            <wp:extent cx="5543749" cy="3467651"/>
            <wp:effectExtent l="0" t="0" r="0" b="0"/>
            <wp:docPr id="6" name="Picture 6" descr="C:\Users\P C GUPTA\Downloads\Pictures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6599"/>
                    <a:stretch/>
                  </pic:blipFill>
                  <pic:spPr bwMode="auto">
                    <a:xfrm>
                      <a:off x="0" y="0"/>
                      <a:ext cx="5554456" cy="3474348"/>
                    </a:xfrm>
                    <a:prstGeom prst="rect">
                      <a:avLst/>
                    </a:prstGeom>
                    <a:noFill/>
                    <a:ln>
                      <a:noFill/>
                    </a:ln>
                    <a:extLst>
                      <a:ext uri="{53640926-AAD7-44D8-BBD7-CCE9431645EC}">
                        <a14:shadowObscured xmlns:a14="http://schemas.microsoft.com/office/drawing/2010/main"/>
                      </a:ext>
                    </a:extLst>
                  </pic:spPr>
                </pic:pic>
              </a:graphicData>
            </a:graphic>
          </wp:inline>
        </w:drawing>
      </w:r>
    </w:p>
    <w:p w14:paraId="33A78575" w14:textId="77777777" w:rsidR="00B15A3E" w:rsidRPr="00B15A3E" w:rsidRDefault="00B15A3E" w:rsidP="00B15A3E">
      <w:pPr>
        <w:jc w:val="both"/>
        <w:rPr>
          <w:rFonts w:ascii="Arial" w:hAnsi="Arial" w:cs="Arial"/>
        </w:rPr>
      </w:pPr>
      <w:r w:rsidRPr="00B15A3E">
        <w:rPr>
          <w:rFonts w:ascii="Arial" w:hAnsi="Arial" w:cs="Arial"/>
        </w:rPr>
        <w:t>PCOS goes beyond just a hormonal imbalance; if not addressed, it could result in serious long-term health issues. The impacts might not be apparent right away, but over time, the condition can disrupt a woman’s reproductive, metabolic, and emotional health. Among the main effects are:</w:t>
      </w:r>
    </w:p>
    <w:p w14:paraId="3CB7A196"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Infertility problems</w:t>
      </w:r>
      <w:r w:rsidRPr="00B15A3E">
        <w:rPr>
          <w:sz w:val="20"/>
          <w:szCs w:val="20"/>
        </w:rPr>
        <w:t>: Irregular or lack of ovulation (anovulation) can hinder conception, positioning PCOS as a major contributor to primary infertility.</w:t>
      </w:r>
    </w:p>
    <w:p w14:paraId="6BBEC74A"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Risk of type 2 diabetes</w:t>
      </w:r>
      <w:r w:rsidRPr="00B15A3E">
        <w:rPr>
          <w:sz w:val="20"/>
          <w:szCs w:val="20"/>
        </w:rPr>
        <w:t>: The development of insulin resistance in PCOS greatly increases the chances of developing type 2 diabetes earlier in life.</w:t>
      </w:r>
    </w:p>
    <w:p w14:paraId="10F04CE2"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Endometrial cancer</w:t>
      </w:r>
      <w:r w:rsidRPr="00B15A3E">
        <w:rPr>
          <w:sz w:val="20"/>
          <w:szCs w:val="20"/>
        </w:rPr>
        <w:t>: An extended lack of menstruation may cause the uterine lining to thicken (endometrial hyperplasia), which elevates the cancer risk over time.</w:t>
      </w:r>
    </w:p>
    <w:p w14:paraId="6DC23C43"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Pregnancy complications</w:t>
      </w:r>
      <w:r w:rsidRPr="00B15A3E">
        <w:rPr>
          <w:sz w:val="20"/>
          <w:szCs w:val="20"/>
        </w:rPr>
        <w:t>: Women with PCOS have a higher likelihood of developing gestational diabetes, preeclampsia, experiencing preterm birth, and miscarriage.</w:t>
      </w:r>
    </w:p>
    <w:p w14:paraId="4F8EBF17"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Cardiovascular disease</w:t>
      </w:r>
      <w:r w:rsidRPr="00B15A3E">
        <w:rPr>
          <w:sz w:val="20"/>
          <w:szCs w:val="20"/>
        </w:rPr>
        <w:t>: PCOS is associated with high cholesterol, blood pressure, and cardiovascular problems, even in women who seem otherwise healthy, as PCOS is a significant risk factor for metabolic syndrome.</w:t>
      </w:r>
    </w:p>
    <w:p w14:paraId="3245ACCC"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lastRenderedPageBreak/>
        <w:t>Obesity</w:t>
      </w:r>
      <w:r w:rsidRPr="00B15A3E">
        <w:rPr>
          <w:sz w:val="20"/>
          <w:szCs w:val="20"/>
        </w:rPr>
        <w:t>: PCOS women struggle with shedding pounds, and a propensity to gain weight quickly can continue, heightening the likelihood of obesity-related problems.</w:t>
      </w:r>
    </w:p>
    <w:p w14:paraId="3602E6FA" w14:textId="77777777" w:rsidR="00B15A3E" w:rsidRDefault="00B15A3E" w:rsidP="00441B6F">
      <w:pPr>
        <w:pStyle w:val="Body"/>
        <w:spacing w:after="0"/>
        <w:rPr>
          <w:rFonts w:ascii="Arial" w:hAnsi="Arial" w:cs="Arial"/>
          <w:b/>
          <w:caps/>
          <w:sz w:val="22"/>
        </w:rPr>
      </w:pPr>
    </w:p>
    <w:p w14:paraId="2863C8A2" w14:textId="77777777" w:rsidR="00C13EA3" w:rsidRPr="00C13EA3" w:rsidRDefault="00C13EA3" w:rsidP="00C13EA3">
      <w:pPr>
        <w:jc w:val="both"/>
        <w:rPr>
          <w:rFonts w:ascii="Arial" w:hAnsi="Arial" w:cs="Arial"/>
          <w:b/>
          <w:caps/>
          <w:sz w:val="22"/>
          <w:szCs w:val="22"/>
        </w:rPr>
      </w:pPr>
      <w:r>
        <w:rPr>
          <w:rFonts w:ascii="Arial" w:hAnsi="Arial" w:cs="Arial"/>
          <w:b/>
          <w:caps/>
          <w:sz w:val="22"/>
          <w:szCs w:val="22"/>
        </w:rPr>
        <w:t xml:space="preserve">6. </w:t>
      </w:r>
      <w:r w:rsidRPr="00C13EA3">
        <w:rPr>
          <w:rFonts w:ascii="Arial" w:hAnsi="Arial" w:cs="Arial"/>
          <w:b/>
          <w:caps/>
          <w:sz w:val="22"/>
          <w:szCs w:val="22"/>
        </w:rPr>
        <w:t>Diagnosis criteria for PCOS</w:t>
      </w:r>
    </w:p>
    <w:p w14:paraId="1714B117" w14:textId="77777777" w:rsidR="00C13EA3" w:rsidRDefault="00C13EA3" w:rsidP="00C13EA3">
      <w:pPr>
        <w:jc w:val="both"/>
        <w:rPr>
          <w:rFonts w:ascii="Times New Roman" w:hAnsi="Times New Roman"/>
          <w:sz w:val="24"/>
          <w:szCs w:val="24"/>
        </w:rPr>
      </w:pPr>
    </w:p>
    <w:p w14:paraId="0FDA88B7" w14:textId="77777777" w:rsidR="00C13EA3" w:rsidRPr="00C13EA3" w:rsidRDefault="00C13EA3" w:rsidP="00C13EA3">
      <w:pPr>
        <w:jc w:val="both"/>
        <w:rPr>
          <w:rFonts w:ascii="Arial" w:hAnsi="Arial" w:cs="Arial"/>
        </w:rPr>
      </w:pPr>
      <w:r w:rsidRPr="00C13EA3">
        <w:rPr>
          <w:rFonts w:ascii="Arial" w:hAnsi="Arial" w:cs="Arial"/>
        </w:rPr>
        <w:t xml:space="preserve">PCOS is a complicated endocrine malfunctioning condition. Its definition has transitioned from solely structural assessments (polycystic ovaries) to a clinical diagnosis usually adhering to the Rotterdam Criteria, requiring at least two of three diagnostic criteria to be present in adult women, viz. hyperandrogenism, ovulatory dysfunction, and polycystic ovarian morphology </w:t>
      </w:r>
      <w:r w:rsidRPr="00C13EA3">
        <w:rPr>
          <w:rFonts w:ascii="Arial" w:hAnsi="Arial" w:cs="Arial"/>
        </w:rPr>
        <w:fldChar w:fldCharType="begin" w:fldLock="1"/>
      </w:r>
      <w:r w:rsidRPr="00C13EA3">
        <w:rPr>
          <w:rFonts w:ascii="Arial" w:hAnsi="Arial" w:cs="Arial"/>
        </w:rPr>
        <w:instrText>ADDIN CSL_CITATION {"citationItems":[{"id":"ITEM-1","itemData":{"ISSN":"0015-0282","author":[{"dropping-particle":"","family":"Peña","given":"Alexia Sophie","non-dropping-particle":"","parse-names":false,"suffix":""},{"dropping-particle":"","family":"Witchel","given":"Selma Feldman","non-dropping-particle":"","parse-names":false,"suffix":""}],"container-title":"Fertility and Sterility","id":"ITEM-1","issued":{"date-parts":[["2025"]]},"publisher":"Elsevier","title":"Update on diagnosis of polycystic ovary syndrome during adolescence","type":"article-journal"},"uris":["http://www.mendeley.com/documents/?uuid=1839061d-c9f9-4636-8219-a4f9a1e3aa6a"]}],"mendeley":{"formattedCitation":"(Peña &amp; Witchel, 2025)","plainTextFormattedCitation":"(Peña &amp; Witchel, 2025)","previouslyFormattedCitation":"(Peña &amp; Witchel, 2025)"},"properties":{"noteIndex":0},"schema":"https://github.com/citation-style-language/schema/raw/master/csl-citation.json"}</w:instrText>
      </w:r>
      <w:r w:rsidRPr="00C13EA3">
        <w:rPr>
          <w:rFonts w:ascii="Arial" w:hAnsi="Arial" w:cs="Arial"/>
        </w:rPr>
        <w:fldChar w:fldCharType="separate"/>
      </w:r>
      <w:r w:rsidRPr="00C13EA3">
        <w:rPr>
          <w:rFonts w:ascii="Arial" w:hAnsi="Arial" w:cs="Arial"/>
          <w:noProof/>
        </w:rPr>
        <w:t>(Peña &amp; Witchel, 2025)</w:t>
      </w:r>
      <w:r w:rsidRPr="00C13EA3">
        <w:rPr>
          <w:rFonts w:ascii="Arial" w:hAnsi="Arial" w:cs="Arial"/>
        </w:rPr>
        <w:fldChar w:fldCharType="end"/>
      </w:r>
      <w:r w:rsidRPr="00C13EA3">
        <w:rPr>
          <w:rFonts w:ascii="Arial" w:hAnsi="Arial" w:cs="Arial"/>
        </w:rPr>
        <w:t xml:space="preserve">. It is advised to rule out thyroid disorders (thyroid-stimulating hormone, TSH), elevated prolactin levels, and </w:t>
      </w:r>
      <w:proofErr w:type="spellStart"/>
      <w:r w:rsidRPr="00C13EA3">
        <w:rPr>
          <w:rFonts w:ascii="Arial" w:hAnsi="Arial" w:cs="Arial"/>
        </w:rPr>
        <w:t>nonclassic</w:t>
      </w:r>
      <w:proofErr w:type="spellEnd"/>
      <w:r w:rsidRPr="00C13EA3">
        <w:rPr>
          <w:rFonts w:ascii="Arial" w:hAnsi="Arial" w:cs="Arial"/>
        </w:rPr>
        <w:t xml:space="preserve"> congenital adrenal hyperplasia (17-hydroxy progesterone screening). Further, evaluation is recommended for individuals facing amenorrhea or other atypical features, with a focus on assessing for hypogonadotropic hypogonadism or Cushing's disease, and in cases where there is a significant androgenic pattern, screening for tumors that produce androgens should be considered </w:t>
      </w:r>
      <w:commentRangeStart w:id="31"/>
      <w:r w:rsidRPr="00C13EA3">
        <w:rPr>
          <w:rFonts w:ascii="Arial" w:hAnsi="Arial" w:cs="Arial"/>
        </w:rPr>
        <w:fldChar w:fldCharType="begin" w:fldLock="1"/>
      </w:r>
      <w:r w:rsidRPr="00C13EA3">
        <w:rPr>
          <w:rFonts w:ascii="Arial" w:hAnsi="Arial" w:cs="Arial"/>
        </w:rPr>
        <w:instrText>ADDIN CSL_CITATION {"citationItems":[{"id":"ITEM-1","itemData":{"ISSN":"0009-9201","author":[{"dropping-particle":"","family":"Trivax","given":"Bradley","non-dropping-particle":"","parse-names":false,"suffix":""},{"dropping-particle":"","family":"Azziz","given":"Ricardo","non-dropping-particle":"","parse-names":false,"suffix":""}],"container-title":"Clinical obstetrics and gynecology","id":"ITEM-1","issue":"1","issued":{"date-parts":[["2007"]]},"page":"168-177","publisher":"LWW","title":"Diagnosis of polycystic ovary syndrome","type":"article-journal","volume":"50"},"uris":["http://www.mendeley.com/documents/?uuid=990414f4-60a7-47ee-b4ae-b104f22d7cb1"]}],"mendeley":{"formattedCitation":"(Trivax &amp; Azziz, 2007)","plainTextFormattedCitation":"(Trivax &amp; Azziz, 2007)","previouslyFormattedCitation":"(Trivax &amp; Azziz, 2007)"},"properties":{"noteIndex":0},"schema":"https://github.com/citation-style-language/schema/raw/master/csl-citation.json"}</w:instrText>
      </w:r>
      <w:r w:rsidRPr="00C13EA3">
        <w:rPr>
          <w:rFonts w:ascii="Arial" w:hAnsi="Arial" w:cs="Arial"/>
        </w:rPr>
        <w:fldChar w:fldCharType="separate"/>
      </w:r>
      <w:r w:rsidRPr="00C13EA3">
        <w:rPr>
          <w:rFonts w:ascii="Arial" w:hAnsi="Arial" w:cs="Arial"/>
          <w:noProof/>
        </w:rPr>
        <w:t>(Trivax &amp; Azziz, 2007)</w:t>
      </w:r>
      <w:r w:rsidRPr="00C13EA3">
        <w:rPr>
          <w:rFonts w:ascii="Arial" w:hAnsi="Arial" w:cs="Arial"/>
        </w:rPr>
        <w:fldChar w:fldCharType="end"/>
      </w:r>
      <w:r w:rsidRPr="00C13EA3">
        <w:rPr>
          <w:rFonts w:ascii="Arial" w:hAnsi="Arial" w:cs="Arial"/>
        </w:rPr>
        <w:t>.</w:t>
      </w:r>
      <w:commentRangeEnd w:id="31"/>
      <w:r w:rsidR="00EF0864">
        <w:rPr>
          <w:rStyle w:val="CommentReference"/>
          <w:rFonts w:ascii="Times New Roman" w:hAnsi="Times New Roman"/>
          <w:lang w:val="nb-NO" w:eastAsia="nb-NO"/>
        </w:rPr>
        <w:commentReference w:id="31"/>
      </w:r>
    </w:p>
    <w:p w14:paraId="4DBB8149" w14:textId="77777777" w:rsidR="00797CBB" w:rsidRDefault="00797CBB" w:rsidP="00441B6F">
      <w:pPr>
        <w:pStyle w:val="Body"/>
        <w:spacing w:after="0"/>
        <w:rPr>
          <w:rFonts w:ascii="Arial" w:hAnsi="Arial" w:cs="Arial"/>
          <w:b/>
          <w:caps/>
          <w:sz w:val="22"/>
        </w:rPr>
      </w:pPr>
    </w:p>
    <w:p w14:paraId="2D5BBF30" w14:textId="77777777" w:rsidR="000C103A" w:rsidRPr="000C103A" w:rsidRDefault="000C103A" w:rsidP="000C103A">
      <w:pPr>
        <w:jc w:val="both"/>
        <w:rPr>
          <w:rFonts w:ascii="Arial" w:hAnsi="Arial" w:cs="Arial"/>
          <w:b/>
          <w:caps/>
          <w:sz w:val="22"/>
          <w:szCs w:val="22"/>
        </w:rPr>
      </w:pPr>
      <w:r>
        <w:rPr>
          <w:rFonts w:ascii="Arial" w:hAnsi="Arial" w:cs="Arial"/>
          <w:b/>
          <w:caps/>
          <w:sz w:val="22"/>
          <w:szCs w:val="22"/>
        </w:rPr>
        <w:t xml:space="preserve">7. </w:t>
      </w:r>
      <w:r w:rsidRPr="000C103A">
        <w:rPr>
          <w:rFonts w:ascii="Arial" w:hAnsi="Arial" w:cs="Arial"/>
          <w:b/>
          <w:caps/>
          <w:sz w:val="22"/>
          <w:szCs w:val="22"/>
        </w:rPr>
        <w:t xml:space="preserve">Management </w:t>
      </w:r>
      <w:r>
        <w:rPr>
          <w:rFonts w:ascii="Arial" w:hAnsi="Arial" w:cs="Arial"/>
          <w:b/>
          <w:caps/>
          <w:sz w:val="22"/>
          <w:szCs w:val="22"/>
        </w:rPr>
        <w:t xml:space="preserve">and treatment </w:t>
      </w:r>
      <w:r w:rsidRPr="000C103A">
        <w:rPr>
          <w:rFonts w:ascii="Arial" w:hAnsi="Arial" w:cs="Arial"/>
          <w:b/>
          <w:caps/>
          <w:sz w:val="22"/>
          <w:szCs w:val="22"/>
        </w:rPr>
        <w:t>of PCOS</w:t>
      </w:r>
    </w:p>
    <w:p w14:paraId="33C25CF8" w14:textId="77777777" w:rsidR="000C103A" w:rsidRDefault="000C103A" w:rsidP="000C103A">
      <w:pPr>
        <w:jc w:val="both"/>
        <w:rPr>
          <w:rFonts w:ascii="Times New Roman" w:hAnsi="Times New Roman"/>
          <w:sz w:val="24"/>
          <w:szCs w:val="24"/>
        </w:rPr>
      </w:pPr>
    </w:p>
    <w:p w14:paraId="42756957" w14:textId="77777777" w:rsidR="000C103A" w:rsidRPr="000C103A" w:rsidRDefault="000C103A" w:rsidP="000C103A">
      <w:pPr>
        <w:jc w:val="both"/>
        <w:rPr>
          <w:rFonts w:ascii="Arial" w:hAnsi="Arial" w:cs="Arial"/>
        </w:rPr>
      </w:pPr>
      <w:r w:rsidRPr="000C103A">
        <w:rPr>
          <w:rFonts w:ascii="Arial" w:hAnsi="Arial" w:cs="Arial"/>
        </w:rPr>
        <w:t>There has been no one-size-fits-all treatment for PCOS. However, modern PCOS management has evolved from merely controlling symptoms to a precision medicine approach that addresses multisystem</w:t>
      </w:r>
      <w:r w:rsidR="006827CD">
        <w:rPr>
          <w:rFonts w:ascii="Arial" w:hAnsi="Arial" w:cs="Arial"/>
        </w:rPr>
        <w:t xml:space="preserve"> symptoms, incorporating three fundamental therapeutic strategies, viz.,</w:t>
      </w:r>
      <w:r w:rsidRPr="000C103A">
        <w:rPr>
          <w:rFonts w:ascii="Arial" w:hAnsi="Arial" w:cs="Arial"/>
        </w:rPr>
        <w:t xml:space="preserve"> </w:t>
      </w:r>
      <w:r w:rsidR="006827CD" w:rsidRPr="000C103A">
        <w:rPr>
          <w:rFonts w:ascii="Arial" w:hAnsi="Arial" w:cs="Arial"/>
        </w:rPr>
        <w:t>planned</w:t>
      </w:r>
      <w:r w:rsidRPr="000C103A">
        <w:rPr>
          <w:rFonts w:ascii="Arial" w:hAnsi="Arial" w:cs="Arial"/>
        </w:rPr>
        <w:t xml:space="preserve"> metabolic rehabilitation, </w:t>
      </w:r>
      <w:r w:rsidR="006827CD">
        <w:rPr>
          <w:rFonts w:ascii="Arial" w:hAnsi="Arial" w:cs="Arial"/>
        </w:rPr>
        <w:t xml:space="preserve">targeted </w:t>
      </w:r>
      <w:r w:rsidRPr="000C103A">
        <w:rPr>
          <w:rFonts w:ascii="Arial" w:hAnsi="Arial" w:cs="Arial"/>
        </w:rPr>
        <w:t xml:space="preserve">pharmacotherapy for hyperandrogenism/insulin resistance, and assisted reproductive technologies </w:t>
      </w:r>
      <w:r w:rsidRPr="000C103A">
        <w:rPr>
          <w:rFonts w:ascii="Arial" w:hAnsi="Arial" w:cs="Arial"/>
        </w:rPr>
        <w:fldChar w:fldCharType="begin" w:fldLock="1"/>
      </w:r>
      <w:r w:rsidRPr="000C103A">
        <w:rPr>
          <w:rFonts w:ascii="Arial" w:hAnsi="Arial" w:cs="Arial"/>
        </w:rPr>
        <w:instrText>ADDIN CSL_CITATION {"citationItems":[{"id":"ITEM-1","itemData":{"ISSN":"1178-7007","author":[{"dropping-particle":"","family":"Wang","given":"Tong","non-dropping-particle":"","parse-names":false,"suffix":""},{"dropping-particle":"","family":"Zhang","given":"Tianhong","non-dropping-particle":"","parse-names":false,"suffix":""},{"dropping-particle":"","family":"Wang","given":"Jingyuan","non-dropping-particle":"","parse-names":false,"suffix":""},{"dropping-particle":"","family":"Lu","given":"Tao","non-dropping-particle":"","parse-names":false,"suffix":""}],"container-title":"Diabetes, Metabolic Syndrome and Obesity","id":"ITEM-1","issued":{"date-parts":[["2026"]]},"page":"1-11","publisher":"Taylor &amp; Francis","title":"Evolving PCOS Management: From Symptom Control to Phenotype-Targeted Therapy","type":"article-journal"},"uris":["http://www.mendeley.com/documents/?uuid=4f138b13-185f-4f00-9130-b769cf8aee55"]}],"mendeley":{"formattedCitation":"(Wang et al., 2026)","plainTextFormattedCitation":"(Wang et al., 2026)"},"properties":{"noteIndex":0},"schema":"https://github.com/citation-style-language/schema/raw/master/csl-citation.json"}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(Wang et al., 2026)</w:t>
      </w:r>
      <w:r w:rsidRPr="000C103A">
        <w:rPr>
          <w:rFonts w:ascii="Arial" w:hAnsi="Arial" w:cs="Arial"/>
        </w:rPr>
        <w:fldChar w:fldCharType="end"/>
      </w:r>
      <w:r w:rsidRPr="000C103A">
        <w:rPr>
          <w:rFonts w:ascii="Arial" w:hAnsi="Arial" w:cs="Arial"/>
        </w:rPr>
        <w:t xml:space="preserve">. PCOS necessitates ongoing focus not only to address the symptoms but also to prevent associated complications. By implementing an appropriate care plan, numerous risks can be minimized or prevented. Management of PCOS hinges on particular issues, such as irregular menstrual cycles, acne, fertility problems, weight concerns, or prolonged metabolic health </w:t>
      </w:r>
      <w:r w:rsidRPr="000C103A">
        <w:rPr>
          <w:rFonts w:ascii="Arial" w:hAnsi="Arial" w:cs="Arial"/>
        </w:rPr>
        <w:fldChar w:fldCharType="begin" w:fldLock="1"/>
      </w:r>
      <w:r w:rsidRPr="000C103A">
        <w:rPr>
          <w:rFonts w:ascii="Arial" w:hAnsi="Arial" w:cs="Arial"/>
        </w:rPr>
        <w:instrText>ADDIN CSL_CITATION {"citationItems":[{"id":"ITEM-1","itemData":{"author":[{"dropping-particle":"","family":"Savita","given":"Savita","non-dropping-particle":"","parse-names":false,"suffix":""}],"container-title":"Scholar's Digest: Journal of Gynecology and Obstetrics","id":"ITEM-1","issue":"1","issued":{"date-parts":[["2025"]]},"page":"56-62","title":"The Effectiveness of Personalized Medicine in Managing Polycystic Ovary Syndrome (PCOS)","type":"article-journal","volume":"1"},"uris":["http://www.mendeley.com/documents/?uuid=49d4a151-ef67-4a6c-8374-a1f5b2e6bf1c"]}],"mendeley":{"formattedCitation":"(Savita, 2025)","plainTextFormattedCitation":"(Savita, 2025)","previouslyFormattedCitation":"(Savita, 2025)"},"properties":{"noteIndex":0},"schema":"https://github.com/citation-style-language/schema/raw/master/csl-citation.json"}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(Savita, 2025)</w:t>
      </w:r>
      <w:r w:rsidRPr="000C103A">
        <w:rPr>
          <w:rFonts w:ascii="Arial" w:hAnsi="Arial" w:cs="Arial"/>
        </w:rPr>
        <w:fldChar w:fldCharType="end"/>
      </w:r>
      <w:r w:rsidRPr="000C103A">
        <w:rPr>
          <w:rFonts w:ascii="Arial" w:hAnsi="Arial" w:cs="Arial"/>
        </w:rPr>
        <w:t xml:space="preserve">. </w:t>
      </w:r>
    </w:p>
    <w:p w14:paraId="2D5700E1" w14:textId="77777777" w:rsidR="000C103A" w:rsidRPr="000C103A" w:rsidRDefault="000C103A" w:rsidP="000C103A">
      <w:pPr>
        <w:jc w:val="both"/>
        <w:rPr>
          <w:rFonts w:ascii="Arial" w:hAnsi="Arial" w:cs="Arial"/>
        </w:rPr>
      </w:pPr>
    </w:p>
    <w:p w14:paraId="7DC97C25" w14:textId="77777777" w:rsidR="000C103A" w:rsidRPr="000C103A" w:rsidRDefault="000C103A" w:rsidP="000C103A">
      <w:pPr>
        <w:jc w:val="both"/>
        <w:rPr>
          <w:rFonts w:ascii="Arial" w:hAnsi="Arial" w:cs="Arial"/>
        </w:rPr>
      </w:pPr>
      <w:r w:rsidRPr="000C103A">
        <w:rPr>
          <w:rFonts w:ascii="Arial" w:hAnsi="Arial" w:cs="Arial"/>
        </w:rPr>
        <w:t xml:space="preserve">While various pharmacological treatments exist to reduce the symptoms of PCOS and aspects of the related metabolic syndrome, lifestyle changes such as diet and exercise are the most effective and should be prioritized as the initial intervention </w:t>
      </w:r>
      <w:r w:rsidRPr="000C103A">
        <w:rPr>
          <w:rFonts w:ascii="Arial" w:hAnsi="Arial" w:cs="Arial"/>
        </w:rPr>
        <w:fldChar w:fldCharType="begin" w:fldLock="1"/>
      </w:r>
      <w:r w:rsidRPr="000C103A">
        <w:rPr>
          <w:rFonts w:ascii="Arial" w:hAnsi="Arial" w:cs="Arial"/>
        </w:rPr>
        <w:instrText>ADDIN CSL_CITATION {"citationItems":[{"id":"ITEM-1","itemData":{"ISSN":"1472-6823","author":[{"dropping-particle":"","family":"Cowan","given":"Stephanie","non-dropping-particle":"","parse-names":false,"suffix":""},{"dropping-particle":"","family":"Lim","given":"Siew","non-dropping-particle":"","parse-names":false,"suffix":""},{"dropping-particle":"","family":"Alycia","given":"Chelsea","non-dropping-particle":"","parse-names":false,"suffix":""},{"dropping-particle":"","family":"Pirotta","given":"Stephanie","non-dropping-particle":"","parse-names":false,"suffix":""},{"dropping-particle":"","family":"Thomson","given":"Rebecca","non-dropping-particle":"","parse-names":false,"suffix":""},{"dropping-particle":"","family":"Gibson-Helm","given":"Melanie","non-dropping-particle":"","parse-names":false,"suffix":""},{"dropping-particle":"","family":"Blackmore","given":"Rebecca","non-dropping-particle":"","parse-names":false,"suffix":""},{"dropping-particle":"","family":"Naderpoor","given":"Negar","non-dropping-particle":"","parse-names":false,"suffix":""},{"dropping-particle":"","family":"Bennett","given":"Christie","non-dropping-particle":"","parse-names":false,"suffix":""},{"dropping-particle":"","family":"Ee","given":"Carolyn","non-dropping-particle":"","parse-names":false,"suffix":""}],"container-title":"BMC endocrine disorders","id":"ITEM-1","issue":"1","issued":{"date-parts":[["2023"]]},"page":"14","publisher":"Springer","title":"Lifestyle management in polycystic ovary syndrome–beyond diet and physical activity","type":"article-journal","volume":"23"},"uris":["http://www.mendeley.com/documents/?uuid=0ccedd0b-6330-4abf-a692-61b79914d444"]}],"mendeley":{"formattedCitation":"(Cowan et al., 2023)","plainTextFormattedCitation":"(Cowan et al., 2023)","previouslyFormattedCitation":"(Cowan et al., 2023)"},"properties":{"noteIndex":0},"schema":"https://github.com/citation-style-language/schema/raw/master/csl-citation.json"}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(Cowan et al., 2023)</w:t>
      </w:r>
      <w:r w:rsidRPr="000C103A">
        <w:rPr>
          <w:rFonts w:ascii="Arial" w:hAnsi="Arial" w:cs="Arial"/>
        </w:rPr>
        <w:fldChar w:fldCharType="end"/>
      </w:r>
      <w:r w:rsidRPr="000C103A">
        <w:rPr>
          <w:rFonts w:ascii="Arial" w:hAnsi="Arial" w:cs="Arial"/>
        </w:rPr>
        <w:t xml:space="preserve">. Obesity plays a key role in the development of the PCOS condition. Therefore, proactive measures for diagnosing and treating obesity should be taken before its emergence in adolescence and establishment in adulthood. The primary therapeutic alternatives for the majority of people with PCOS consist of lifestyle changes. Modifications in lifestyle can greatly enhance hormonal equilibrium, insulin responsiveness, menstrual consistency, and reproductive health. </w:t>
      </w:r>
      <w:commentRangeStart w:id="32"/>
      <w:r w:rsidRPr="000C103A">
        <w:rPr>
          <w:rFonts w:ascii="Arial" w:hAnsi="Arial" w:cs="Arial"/>
        </w:rPr>
        <w:t>Weight reduction</w:t>
      </w:r>
      <w:commentRangeEnd w:id="32"/>
      <w:r w:rsidR="00EF0864">
        <w:rPr>
          <w:rStyle w:val="CommentReference"/>
          <w:rFonts w:ascii="Times New Roman" w:hAnsi="Times New Roman"/>
          <w:lang w:val="nb-NO" w:eastAsia="nb-NO"/>
        </w:rPr>
        <w:commentReference w:id="32"/>
      </w:r>
      <w:r w:rsidRPr="000C103A">
        <w:rPr>
          <w:rFonts w:ascii="Arial" w:hAnsi="Arial" w:cs="Arial"/>
        </w:rPr>
        <w:t xml:space="preserve"> up to 5–10% of body weight in PCOS women may aid in reinstating ovulation, lowering androgen levels, and normalizing menstrual cycles </w:t>
      </w:r>
      <w:r w:rsidRPr="000C103A">
        <w:rPr>
          <w:rFonts w:ascii="Arial" w:hAnsi="Arial" w:cs="Arial"/>
        </w:rPr>
        <w:fldChar w:fldCharType="begin" w:fldLock="1"/>
      </w:r>
      <w:r w:rsidRPr="000C103A">
        <w:rPr>
          <w:rFonts w:ascii="Arial" w:hAnsi="Arial" w:cs="Arial"/>
        </w:rPr>
        <w:instrText>ADDIN CSL_CITATION {"citationItems":[{"id":"ITEM-1","itemData":{"author":[{"dropping-particle":"","family":"Smyka","given":"Magdalena","non-dropping-particle":"","parse-names":false,"suffix":""},{"dropping-particle":"","family":"Grzechocińska","given":"Barbara","non-dropping-particle":"","parse-names":false,"suffix":""},{"dropping-particle":"","family":"Wielgoś","given":"Mirosław","non-dropping-particle":"","parse-names":false,"suffix":""}],"id":"ITEM-1","issue":"8","issued":{"date-parts":[["2018"]]},"page":"521-527","title":"The role of lifestyle changes in the treatment of polycystic ovary syndrome","type":"article-journal","volume":"38"},"uris":["http://www.mendeley.com/documents/?uuid=d2861484-28fa-4d0d-84ce-37320e1081af"]}],"mendeley":{"formattedCitation":"(Smyka et al., 2018)","plainTextFormattedCitation":"(Smyka et al., 2018)","previouslyFormattedCitation":"(Smyka et al., 2018)"},"properties":{"noteIndex":0},"schema":"https://github.com/citation-style-language/schema/raw/master/csl-citation.json"}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(Smyka et al., 2018)</w:t>
      </w:r>
      <w:r w:rsidRPr="000C103A">
        <w:rPr>
          <w:rFonts w:ascii="Arial" w:hAnsi="Arial" w:cs="Arial"/>
        </w:rPr>
        <w:fldChar w:fldCharType="end"/>
      </w:r>
      <w:r w:rsidRPr="000C103A">
        <w:rPr>
          <w:rFonts w:ascii="Arial" w:hAnsi="Arial" w:cs="Arial"/>
        </w:rPr>
        <w:t xml:space="preserve">. A balanced diet, which features a low-glycemic index, improves blood sugar regulation. Consistent physical activity of moderate-intensity workouts (such as walking, cycling, or swimming) aids in lowering insulin resistance and keeping a healthy weight </w:t>
      </w:r>
      <w:r w:rsidRPr="000C103A">
        <w:rPr>
          <w:rFonts w:ascii="Arial" w:hAnsi="Arial" w:cs="Arial"/>
        </w:rPr>
        <w:fldChar w:fldCharType="begin" w:fldLock="1"/>
      </w:r>
      <w:r w:rsidRPr="000C103A">
        <w:rPr>
          <w:rFonts w:ascii="Arial" w:hAnsi="Arial" w:cs="Arial"/>
        </w:rPr>
        <w:instrText>ADDIN CSL_CITATION {"citationItems":[{"id":"ITEM-1","itemData":{"ISSN":"2055-7647","author":[{"dropping-particle":"","family":"Bird","given":"Stephen R","non-dropping-particle":"","parse-names":false,"suffix":""},{"dropping-particle":"","family":"Hawley","given":"John A","non-dropping-particle":"","parse-names":false,"suffix":""}],"container-title":"BMJ open sport &amp; exercise medicine","id":"ITEM-1","issue":"1","issued":{"date-parts":[["2017"]]},"publisher":"BMJ Publishing Group Ltd","title":"Update on the effects of physical activity on insulin sensitivity in humans","type":"article-journal","volume":"2"},"uris":["http://www.mendeley.com/documents/?uuid=957ebe82-c001-46bb-ac29-692468af7538"]}],"mendeley":{"formattedCitation":"(Bird &amp; Hawley, 2017)","plainTextFormattedCitation":"(Bird &amp; Hawley, 2017)","previouslyFormattedCitation":"(Bird &amp; Hawley, 2017)"},"properties":{"noteIndex":0},"schema":"https://github.com/citation-style-language/schema/raw/master/csl-citation.json"}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(Bird &amp; Hawley, 2017)</w:t>
      </w:r>
      <w:r w:rsidRPr="000C103A">
        <w:rPr>
          <w:rFonts w:ascii="Arial" w:hAnsi="Arial" w:cs="Arial"/>
        </w:rPr>
        <w:fldChar w:fldCharType="end"/>
      </w:r>
      <w:r w:rsidRPr="000C103A">
        <w:rPr>
          <w:rFonts w:ascii="Arial" w:hAnsi="Arial" w:cs="Arial"/>
        </w:rPr>
        <w:t xml:space="preserve">. Stress management through yoga, mindfulness, and sufficient sleep can help maintain hormonal balance and mental health. Medications or hormone management, cycle regulation can minimize metabolic risks. </w:t>
      </w:r>
      <w:commentRangeStart w:id="33"/>
      <w:r w:rsidRPr="000C103A">
        <w:rPr>
          <w:rFonts w:ascii="Arial" w:hAnsi="Arial" w:cs="Arial"/>
        </w:rPr>
        <w:t xml:space="preserve">Combined oral pills </w:t>
      </w:r>
      <w:commentRangeEnd w:id="33"/>
      <w:r w:rsidR="00EF0864">
        <w:rPr>
          <w:rStyle w:val="CommentReference"/>
          <w:rFonts w:ascii="Times New Roman" w:hAnsi="Times New Roman"/>
          <w:lang w:val="nb-NO" w:eastAsia="nb-NO"/>
        </w:rPr>
        <w:commentReference w:id="33"/>
      </w:r>
      <w:r w:rsidRPr="000C103A">
        <w:rPr>
          <w:rFonts w:ascii="Arial" w:hAnsi="Arial" w:cs="Arial"/>
        </w:rPr>
        <w:t xml:space="preserve">are frequently recommended for managing menstrual cycles, decreasing acne, and controlling excessive hair growth. Pills containing only progestin, hormonal patches, or IUDs might also be options. </w:t>
      </w:r>
      <w:commentRangeStart w:id="34"/>
      <w:r w:rsidRPr="000C103A">
        <w:rPr>
          <w:rFonts w:ascii="Arial" w:hAnsi="Arial" w:cs="Arial"/>
        </w:rPr>
        <w:t>Metformin is commonly recommended</w:t>
      </w:r>
      <w:commentRangeEnd w:id="34"/>
      <w:r w:rsidR="00EF0864">
        <w:rPr>
          <w:rStyle w:val="CommentReference"/>
          <w:rFonts w:ascii="Times New Roman" w:hAnsi="Times New Roman"/>
          <w:lang w:val="nb-NO" w:eastAsia="nb-NO"/>
        </w:rPr>
        <w:commentReference w:id="34"/>
      </w:r>
      <w:r w:rsidRPr="000C103A">
        <w:rPr>
          <w:rFonts w:ascii="Arial" w:hAnsi="Arial" w:cs="Arial"/>
        </w:rPr>
        <w:t xml:space="preserve"> to enhance insulin sensitivity, reduce androgen levels, and encourage more consistent ovulation. It might also enhance hyperandrogenic effects in certain individuals </w:t>
      </w:r>
      <w:r w:rsidRPr="000C103A">
        <w:rPr>
          <w:rFonts w:ascii="Arial" w:hAnsi="Arial" w:cs="Arial"/>
        </w:rPr>
        <w:fldChar w:fldCharType="begin" w:fldLock="1"/>
      </w:r>
      <w:r w:rsidRPr="000C103A">
        <w:rPr>
          <w:rFonts w:ascii="Arial" w:hAnsi="Arial" w:cs="Arial"/>
        </w:rPr>
        <w:instrText>ADDIN CSL_CITATION {"citationItems":[{"id":"ITEM-1","itemData":{"ISSN":"1745-5057","author":[{"dropping-particle":"","family":"Genazzani","given":"Alessandro D","non-dropping-particle":"","parse-names":false,"suffix":""},{"dropping-particle":"","family":"Ricchieri","given":"Federica","non-dropping-particle":"","parse-names":false,"suffix":""},{"dropping-particle":"","family":"Lanzoni","given":"Chiara","non-dropping-particle":"","parse-names":false,"suffix":""}],"container-title":"Women’s health","id":"ITEM-1","issue":"4","issued":{"date-parts":[["2010"]]},"page":"577-593","publisher":"SAGE Publications Sage UK: London, England","title":"Use of metformin in the treatment of polycystic ovary syndrome","type":"article-journal","volume":"6"},"uris":["http://www.mendeley.com/documents/?uuid=8cf6a756-38f1-4556-8b31-3690eefbfab0"]}],"mendeley":{"formattedCitation":"(Genazzani et al., 2010)","plainTextFormattedCitation":"(Genazzani et al., 2010)","previouslyFormattedCitation":"(Genazzani et al., 2010)"},"properties":{"noteIndex":0},"schema":"https://github.com/citation-style-language/schema/raw/master/csl-citation.json"}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(Genazzani et al., 2010)</w:t>
      </w:r>
      <w:r w:rsidRPr="000C103A">
        <w:rPr>
          <w:rFonts w:ascii="Arial" w:hAnsi="Arial" w:cs="Arial"/>
        </w:rPr>
        <w:fldChar w:fldCharType="end"/>
      </w:r>
      <w:r w:rsidRPr="000C103A">
        <w:rPr>
          <w:rFonts w:ascii="Arial" w:hAnsi="Arial" w:cs="Arial"/>
        </w:rPr>
        <w:t xml:space="preserve">. Inositol supplements, myo-inositol and D-chiro-inositol, are becoming increasingly popular to enhance insulin sensitivity and regulate menstrual cycles, </w:t>
      </w:r>
      <w:r w:rsidRPr="000C103A">
        <w:rPr>
          <w:rFonts w:ascii="Arial" w:hAnsi="Arial" w:cs="Arial"/>
        </w:rPr>
        <w:lastRenderedPageBreak/>
        <w:t xml:space="preserve">although they are not as effective as metformin. </w:t>
      </w:r>
      <w:commentRangeStart w:id="35"/>
      <w:r w:rsidRPr="000C103A">
        <w:rPr>
          <w:rFonts w:ascii="Arial" w:hAnsi="Arial" w:cs="Arial"/>
        </w:rPr>
        <w:t xml:space="preserve">Anti-androgen </w:t>
      </w:r>
      <w:commentRangeStart w:id="36"/>
      <w:r w:rsidRPr="000C103A">
        <w:rPr>
          <w:rFonts w:ascii="Arial" w:hAnsi="Arial" w:cs="Arial"/>
        </w:rPr>
        <w:t>drugs</w:t>
      </w:r>
      <w:commentRangeEnd w:id="36"/>
      <w:r w:rsidR="00EF0864">
        <w:rPr>
          <w:rStyle w:val="CommentReference"/>
          <w:rFonts w:ascii="Times New Roman" w:hAnsi="Times New Roman"/>
          <w:lang w:val="nb-NO" w:eastAsia="nb-NO"/>
        </w:rPr>
        <w:commentReference w:id="36"/>
      </w:r>
      <w:r w:rsidRPr="000C103A">
        <w:rPr>
          <w:rFonts w:ascii="Arial" w:hAnsi="Arial" w:cs="Arial"/>
        </w:rPr>
        <w:t xml:space="preserve"> </w:t>
      </w:r>
      <w:commentRangeEnd w:id="35"/>
      <w:r w:rsidR="00EF0864">
        <w:rPr>
          <w:rStyle w:val="CommentReference"/>
          <w:rFonts w:ascii="Times New Roman" w:hAnsi="Times New Roman"/>
          <w:lang w:val="nb-NO" w:eastAsia="nb-NO"/>
        </w:rPr>
        <w:commentReference w:id="35"/>
      </w:r>
      <w:r w:rsidRPr="000C103A">
        <w:rPr>
          <w:rFonts w:ascii="Arial" w:hAnsi="Arial" w:cs="Arial"/>
        </w:rPr>
        <w:t xml:space="preserve">such as spironolactone can assist with issues like hirsutism and acne. </w:t>
      </w:r>
    </w:p>
    <w:p w14:paraId="35AC916D" w14:textId="77777777" w:rsidR="000C103A" w:rsidRPr="00EB5B12" w:rsidRDefault="000C103A" w:rsidP="000C103A">
      <w:pPr>
        <w:jc w:val="both"/>
        <w:rPr>
          <w:rFonts w:ascii="Times New Roman" w:hAnsi="Times New Roman"/>
          <w:b/>
          <w:caps/>
          <w:sz w:val="24"/>
          <w:szCs w:val="24"/>
        </w:rPr>
      </w:pPr>
    </w:p>
    <w:p w14:paraId="3853D159" w14:textId="77777777" w:rsidR="000C103A" w:rsidRPr="001113FF" w:rsidRDefault="001113FF" w:rsidP="000C103A">
      <w:pPr>
        <w:jc w:val="both"/>
        <w:rPr>
          <w:rFonts w:ascii="Arial" w:hAnsi="Arial" w:cs="Arial"/>
          <w:b/>
          <w:caps/>
          <w:sz w:val="22"/>
          <w:szCs w:val="22"/>
        </w:rPr>
      </w:pPr>
      <w:r w:rsidRPr="001113FF">
        <w:rPr>
          <w:rFonts w:ascii="Arial" w:hAnsi="Arial" w:cs="Arial"/>
          <w:b/>
          <w:caps/>
          <w:sz w:val="22"/>
          <w:szCs w:val="22"/>
        </w:rPr>
        <w:t xml:space="preserve">8. </w:t>
      </w:r>
      <w:commentRangeStart w:id="37"/>
      <w:r w:rsidR="000C103A" w:rsidRPr="001113FF">
        <w:rPr>
          <w:rFonts w:ascii="Arial" w:hAnsi="Arial" w:cs="Arial"/>
          <w:b/>
          <w:caps/>
          <w:sz w:val="22"/>
          <w:szCs w:val="22"/>
        </w:rPr>
        <w:t xml:space="preserve">Conclusion </w:t>
      </w:r>
      <w:commentRangeEnd w:id="37"/>
      <w:r w:rsidR="00517FE6">
        <w:rPr>
          <w:rStyle w:val="CommentReference"/>
          <w:rFonts w:ascii="Times New Roman" w:hAnsi="Times New Roman"/>
          <w:lang w:val="nb-NO" w:eastAsia="nb-NO"/>
        </w:rPr>
        <w:commentReference w:id="37"/>
      </w:r>
    </w:p>
    <w:p w14:paraId="02931981" w14:textId="77777777" w:rsidR="001113FF" w:rsidRDefault="001113FF" w:rsidP="000C103A">
      <w:pPr>
        <w:tabs>
          <w:tab w:val="left" w:pos="2534"/>
        </w:tabs>
        <w:jc w:val="both"/>
        <w:rPr>
          <w:rFonts w:ascii="Times New Roman" w:hAnsi="Times New Roman"/>
          <w:sz w:val="24"/>
          <w:szCs w:val="24"/>
        </w:rPr>
      </w:pPr>
    </w:p>
    <w:p w14:paraId="604618FE" w14:textId="77777777" w:rsidR="000C103A" w:rsidRPr="001113FF" w:rsidRDefault="000C103A" w:rsidP="000C103A">
      <w:pPr>
        <w:tabs>
          <w:tab w:val="left" w:pos="2534"/>
        </w:tabs>
        <w:jc w:val="both"/>
        <w:rPr>
          <w:rFonts w:ascii="Arial" w:hAnsi="Arial" w:cs="Arial"/>
        </w:rPr>
      </w:pPr>
      <w:r w:rsidRPr="001113FF">
        <w:rPr>
          <w:rFonts w:ascii="Arial" w:hAnsi="Arial" w:cs="Arial"/>
        </w:rPr>
        <w:t>PCOS is a complicated endocrine malfunctioning condition. Its definition has transitioned from solely structural assessments (polycystic ovaries) to a clinical diagnosis usually adhering to the Rotterdam Criteria, requiring at least two of the following: hyperandrogenism, ovulatory dysfunction, and polycystic ovarian morphology. The precise origin of PCOS is still unknown, although it is commonly acknowledged to result from genetic factors and environmental influences. At the core of its pathogenesis is insulin resistance, leading to compensatory hyperinsulinemia. This surplus insulin prompts the ovarian theca cells to excessively generate androgens, interfering with the hypothalamic-pituitary-ovarian axis and halting follicular growth. Management must be personalized and focused on symptoms. Changing lifestyle, particularly through managing weight and exercising, continues to be the main approach to enhance insulin sensitivity. Pharmacological approaches consist of combined oral contraceptives for managing men</w:t>
      </w:r>
      <w:r w:rsidR="001113FF">
        <w:rPr>
          <w:rFonts w:ascii="Arial" w:hAnsi="Arial" w:cs="Arial"/>
        </w:rPr>
        <w:t>strual cycles and hirsutism.</w:t>
      </w:r>
      <w:r w:rsidRPr="001113FF">
        <w:rPr>
          <w:rFonts w:ascii="Arial" w:hAnsi="Arial" w:cs="Arial"/>
        </w:rPr>
        <w:tab/>
      </w:r>
    </w:p>
    <w:p w14:paraId="7C39ABC7" w14:textId="77777777" w:rsidR="000C103A" w:rsidRDefault="000C103A" w:rsidP="000C103A">
      <w:pPr>
        <w:jc w:val="both"/>
        <w:rPr>
          <w:rFonts w:ascii="Times New Roman" w:hAnsi="Times New Roman"/>
          <w:b/>
          <w:sz w:val="24"/>
          <w:szCs w:val="24"/>
        </w:rPr>
      </w:pPr>
    </w:p>
    <w:p w14:paraId="4B7FEA87" w14:textId="77777777" w:rsidR="001113FF" w:rsidRDefault="001113FF" w:rsidP="001113FF">
      <w:pPr>
        <w:pStyle w:val="Body"/>
        <w:spacing w:after="0"/>
        <w:rPr>
          <w:rFonts w:ascii="Arial" w:hAnsi="Arial" w:cs="Arial"/>
          <w:u w:val="single"/>
        </w:rPr>
      </w:pPr>
    </w:p>
    <w:p w14:paraId="055512FD" w14:textId="77777777" w:rsidR="00B01FCD" w:rsidRPr="001113FF" w:rsidRDefault="001113FF" w:rsidP="001113FF">
      <w:pPr>
        <w:pStyle w:val="Body"/>
        <w:spacing w:after="0"/>
        <w:rPr>
          <w:rFonts w:ascii="Arial" w:hAnsi="Arial" w:cs="Arial"/>
          <w:b/>
          <w:caps/>
          <w:sz w:val="22"/>
          <w:szCs w:val="22"/>
        </w:rPr>
      </w:pPr>
      <w:commentRangeStart w:id="38"/>
      <w:r w:rsidRPr="001113FF">
        <w:rPr>
          <w:rFonts w:ascii="Arial" w:hAnsi="Arial" w:cs="Arial"/>
          <w:b/>
          <w:caps/>
          <w:sz w:val="22"/>
          <w:szCs w:val="22"/>
        </w:rPr>
        <w:t xml:space="preserve">12. </w:t>
      </w:r>
      <w:r w:rsidR="00B01FCD" w:rsidRPr="001113FF">
        <w:rPr>
          <w:rFonts w:ascii="Arial" w:hAnsi="Arial" w:cs="Arial"/>
          <w:b/>
          <w:caps/>
          <w:sz w:val="22"/>
          <w:szCs w:val="22"/>
        </w:rPr>
        <w:t>References</w:t>
      </w:r>
      <w:commentRangeEnd w:id="38"/>
      <w:r w:rsidR="00517FE6">
        <w:rPr>
          <w:rStyle w:val="CommentReference"/>
          <w:rFonts w:ascii="Times New Roman" w:hAnsi="Times New Roman"/>
          <w:lang w:val="nb-NO" w:eastAsia="nb-NO"/>
        </w:rPr>
        <w:commentReference w:id="38"/>
      </w:r>
    </w:p>
    <w:p w14:paraId="2BC63480" w14:textId="77777777" w:rsidR="001F7E93" w:rsidRDefault="001F7E93" w:rsidP="00441B6F">
      <w:pPr>
        <w:pStyle w:val="ReferHead"/>
        <w:spacing w:after="0"/>
        <w:jc w:val="both"/>
        <w:rPr>
          <w:rFonts w:ascii="Arial" w:hAnsi="Arial" w:cs="Arial"/>
        </w:rPr>
      </w:pPr>
    </w:p>
    <w:p w14:paraId="6DD8DC0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b/>
        </w:rPr>
        <w:fldChar w:fldCharType="begin" w:fldLock="1"/>
      </w:r>
      <w:r w:rsidRPr="0043050F">
        <w:rPr>
          <w:rFonts w:ascii="Arial" w:hAnsi="Arial" w:cs="Arial"/>
          <w:b/>
        </w:rPr>
        <w:instrText xml:space="preserve">ADDIN Mendeley Bibliography CSL_BIBLIOGRAPHY </w:instrText>
      </w:r>
      <w:r w:rsidRPr="0043050F">
        <w:rPr>
          <w:rFonts w:ascii="Arial" w:hAnsi="Arial" w:cs="Arial"/>
          <w:b/>
        </w:rPr>
        <w:fldChar w:fldCharType="separate"/>
      </w:r>
      <w:r w:rsidRPr="0043050F">
        <w:rPr>
          <w:rFonts w:ascii="Arial" w:hAnsi="Arial" w:cs="Arial"/>
          <w:noProof/>
        </w:rPr>
        <w:t xml:space="preserve">Abbott, D. H., Levine, J. E., Dumesic, P. A., Padmanabhan, V., &amp; Dumesic, D. A. (2025). Gestational anti-Müllerian hormone and testosterone excess combined with maternal adiposity program for polycystic ovary syndrome. </w:t>
      </w:r>
      <w:r w:rsidRPr="0043050F">
        <w:rPr>
          <w:rFonts w:ascii="Arial" w:hAnsi="Arial" w:cs="Arial"/>
          <w:i/>
          <w:iCs/>
          <w:noProof/>
        </w:rPr>
        <w:t>Reproduction</w:t>
      </w:r>
      <w:r w:rsidRPr="0043050F">
        <w:rPr>
          <w:rFonts w:ascii="Arial" w:hAnsi="Arial" w:cs="Arial"/>
          <w:noProof/>
        </w:rPr>
        <w:t xml:space="preserve">, </w:t>
      </w:r>
      <w:r w:rsidRPr="0043050F">
        <w:rPr>
          <w:rFonts w:ascii="Arial" w:hAnsi="Arial" w:cs="Arial"/>
          <w:i/>
          <w:iCs/>
          <w:noProof/>
        </w:rPr>
        <w:t>170</w:t>
      </w:r>
      <w:r w:rsidRPr="0043050F">
        <w:rPr>
          <w:rFonts w:ascii="Arial" w:hAnsi="Arial" w:cs="Arial"/>
          <w:noProof/>
        </w:rPr>
        <w:t>, e250120.</w:t>
      </w:r>
    </w:p>
    <w:p w14:paraId="337CF379"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Balen, A. H. (1993). Hypersecretion of luteinizing hormone and the polycystic ovary syndrome. </w:t>
      </w:r>
      <w:r w:rsidRPr="0043050F">
        <w:rPr>
          <w:rFonts w:ascii="Arial" w:hAnsi="Arial" w:cs="Arial"/>
          <w:i/>
          <w:iCs/>
          <w:noProof/>
        </w:rPr>
        <w:t>Human Reproduction</w:t>
      </w:r>
      <w:r w:rsidRPr="0043050F">
        <w:rPr>
          <w:rFonts w:ascii="Arial" w:hAnsi="Arial" w:cs="Arial"/>
          <w:noProof/>
        </w:rPr>
        <w:t xml:space="preserve">, </w:t>
      </w:r>
      <w:r w:rsidRPr="0043050F">
        <w:rPr>
          <w:rFonts w:ascii="Arial" w:hAnsi="Arial" w:cs="Arial"/>
          <w:i/>
          <w:iCs/>
          <w:noProof/>
        </w:rPr>
        <w:t>8</w:t>
      </w:r>
      <w:r w:rsidRPr="0043050F">
        <w:rPr>
          <w:rFonts w:ascii="Arial" w:hAnsi="Arial" w:cs="Arial"/>
          <w:noProof/>
        </w:rPr>
        <w:t>(suppl_2), 123–128.</w:t>
      </w:r>
    </w:p>
    <w:p w14:paraId="5B952C04"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Barrett, E. S., &amp; Swan, S. H. (2015). Stress and androgen activity during fetal development. </w:t>
      </w:r>
      <w:r w:rsidRPr="0043050F">
        <w:rPr>
          <w:rFonts w:ascii="Arial" w:hAnsi="Arial" w:cs="Arial"/>
          <w:i/>
          <w:iCs/>
          <w:noProof/>
        </w:rPr>
        <w:t>Endocrinology</w:t>
      </w:r>
      <w:r w:rsidRPr="0043050F">
        <w:rPr>
          <w:rFonts w:ascii="Arial" w:hAnsi="Arial" w:cs="Arial"/>
          <w:noProof/>
        </w:rPr>
        <w:t xml:space="preserve">, </w:t>
      </w:r>
      <w:r w:rsidRPr="0043050F">
        <w:rPr>
          <w:rFonts w:ascii="Arial" w:hAnsi="Arial" w:cs="Arial"/>
          <w:i/>
          <w:iCs/>
          <w:noProof/>
        </w:rPr>
        <w:t>156</w:t>
      </w:r>
      <w:r w:rsidRPr="0043050F">
        <w:rPr>
          <w:rFonts w:ascii="Arial" w:hAnsi="Arial" w:cs="Arial"/>
          <w:noProof/>
        </w:rPr>
        <w:t>(10), 3435–3441.</w:t>
      </w:r>
    </w:p>
    <w:p w14:paraId="04C6851A"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Bird, S. R., &amp; Hawley, J. A. (2017). Update on the effects of physical activity on insulin sensitivity in humans. </w:t>
      </w:r>
      <w:r w:rsidRPr="0043050F">
        <w:rPr>
          <w:rFonts w:ascii="Arial" w:hAnsi="Arial" w:cs="Arial"/>
          <w:i/>
          <w:iCs/>
          <w:noProof/>
        </w:rPr>
        <w:t>BMJ Open Sport &amp; Exercise Medicine</w:t>
      </w:r>
      <w:r w:rsidRPr="0043050F">
        <w:rPr>
          <w:rFonts w:ascii="Arial" w:hAnsi="Arial" w:cs="Arial"/>
          <w:noProof/>
        </w:rPr>
        <w:t xml:space="preserve">, </w:t>
      </w:r>
      <w:r w:rsidRPr="0043050F">
        <w:rPr>
          <w:rFonts w:ascii="Arial" w:hAnsi="Arial" w:cs="Arial"/>
          <w:i/>
          <w:iCs/>
          <w:noProof/>
        </w:rPr>
        <w:t>2</w:t>
      </w:r>
      <w:r w:rsidRPr="0043050F">
        <w:rPr>
          <w:rFonts w:ascii="Arial" w:hAnsi="Arial" w:cs="Arial"/>
          <w:noProof/>
        </w:rPr>
        <w:t>(1).</w:t>
      </w:r>
    </w:p>
    <w:p w14:paraId="4EECDC49"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Brugo-olmedo, S., Chillik, C., &amp; Kopelman, S. (2002). Review Definition and causes of infertility. </w:t>
      </w:r>
      <w:r w:rsidRPr="0043050F">
        <w:rPr>
          <w:rFonts w:ascii="Arial" w:hAnsi="Arial" w:cs="Arial"/>
          <w:i/>
          <w:iCs/>
          <w:noProof/>
        </w:rPr>
        <w:t>Reproductive BioMedicine Online</w:t>
      </w:r>
      <w:r w:rsidRPr="0043050F">
        <w:rPr>
          <w:rFonts w:ascii="Arial" w:hAnsi="Arial" w:cs="Arial"/>
          <w:noProof/>
        </w:rPr>
        <w:t xml:space="preserve">, </w:t>
      </w:r>
      <w:r w:rsidRPr="0043050F">
        <w:rPr>
          <w:rFonts w:ascii="Arial" w:hAnsi="Arial" w:cs="Arial"/>
          <w:i/>
          <w:iCs/>
          <w:noProof/>
        </w:rPr>
        <w:t>2</w:t>
      </w:r>
      <w:r w:rsidRPr="0043050F">
        <w:rPr>
          <w:rFonts w:ascii="Arial" w:hAnsi="Arial" w:cs="Arial"/>
          <w:noProof/>
        </w:rPr>
        <w:t>(1), 173–185. https://doi.org/10.1016/S1472-6483(10)62193-1</w:t>
      </w:r>
    </w:p>
    <w:p w14:paraId="6FCBABF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Buffet, N. C., Djakoure, C., Maitre, S. C., &amp; Bouchard, P. (1998). </w:t>
      </w:r>
      <w:r w:rsidRPr="0043050F">
        <w:rPr>
          <w:rFonts w:ascii="Arial" w:hAnsi="Arial" w:cs="Arial"/>
          <w:i/>
          <w:iCs/>
          <w:noProof/>
        </w:rPr>
        <w:t>Regulation of the Human Menstrual Cycle</w:t>
      </w:r>
      <w:r w:rsidRPr="0043050F">
        <w:rPr>
          <w:rFonts w:ascii="Arial" w:hAnsi="Arial" w:cs="Arial"/>
          <w:noProof/>
        </w:rPr>
        <w:t xml:space="preserve">. </w:t>
      </w:r>
      <w:r w:rsidRPr="0043050F">
        <w:rPr>
          <w:rFonts w:ascii="Arial" w:hAnsi="Arial" w:cs="Arial"/>
          <w:i/>
          <w:iCs/>
          <w:noProof/>
        </w:rPr>
        <w:t>186</w:t>
      </w:r>
      <w:r w:rsidRPr="0043050F">
        <w:rPr>
          <w:rFonts w:ascii="Arial" w:hAnsi="Arial" w:cs="Arial"/>
          <w:noProof/>
        </w:rPr>
        <w:t>(19), 151–186.</w:t>
      </w:r>
    </w:p>
    <w:p w14:paraId="73902B1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Cadagan, D., Khan, R., &amp; Amer, S. (2016). Thecal cell sensitivity to luteinizing hormone and insulin in polycystic ovarian syndrome. </w:t>
      </w:r>
      <w:r w:rsidRPr="0043050F">
        <w:rPr>
          <w:rFonts w:ascii="Arial" w:hAnsi="Arial" w:cs="Arial"/>
          <w:i/>
          <w:iCs/>
          <w:noProof/>
        </w:rPr>
        <w:t>Reproductive Biology</w:t>
      </w:r>
      <w:r w:rsidRPr="0043050F">
        <w:rPr>
          <w:rFonts w:ascii="Arial" w:hAnsi="Arial" w:cs="Arial"/>
          <w:noProof/>
        </w:rPr>
        <w:t xml:space="preserve">, </w:t>
      </w:r>
      <w:r w:rsidRPr="0043050F">
        <w:rPr>
          <w:rFonts w:ascii="Arial" w:hAnsi="Arial" w:cs="Arial"/>
          <w:i/>
          <w:iCs/>
          <w:noProof/>
        </w:rPr>
        <w:t>16</w:t>
      </w:r>
      <w:r w:rsidRPr="0043050F">
        <w:rPr>
          <w:rFonts w:ascii="Arial" w:hAnsi="Arial" w:cs="Arial"/>
          <w:noProof/>
        </w:rPr>
        <w:t>(1), 53–60.</w:t>
      </w:r>
    </w:p>
    <w:p w14:paraId="7CD1286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Cowan, S., Lim, S., Alycia, C., Pirotta, S., Thomson, R., Gibson-Helm, M., Blackmore, R., Naderpoor, N., Bennett, C., &amp; Ee, C. (2023). Lifestyle management in polycystic ovary syndrome–beyond diet and physical activity. </w:t>
      </w:r>
      <w:r w:rsidRPr="0043050F">
        <w:rPr>
          <w:rFonts w:ascii="Arial" w:hAnsi="Arial" w:cs="Arial"/>
          <w:i/>
          <w:iCs/>
          <w:noProof/>
        </w:rPr>
        <w:t>BMC Endocrine Disorders</w:t>
      </w:r>
      <w:r w:rsidRPr="0043050F">
        <w:rPr>
          <w:rFonts w:ascii="Arial" w:hAnsi="Arial" w:cs="Arial"/>
          <w:noProof/>
        </w:rPr>
        <w:t xml:space="preserve">, </w:t>
      </w:r>
      <w:r w:rsidRPr="0043050F">
        <w:rPr>
          <w:rFonts w:ascii="Arial" w:hAnsi="Arial" w:cs="Arial"/>
          <w:i/>
          <w:iCs/>
          <w:noProof/>
        </w:rPr>
        <w:t>23</w:t>
      </w:r>
      <w:r w:rsidRPr="0043050F">
        <w:rPr>
          <w:rFonts w:ascii="Arial" w:hAnsi="Arial" w:cs="Arial"/>
          <w:noProof/>
        </w:rPr>
        <w:t>(1), 14.</w:t>
      </w:r>
    </w:p>
    <w:p w14:paraId="7F06FF28"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Dewailly, D., Robin, G., Peigne, M., Decanter, C., Pigny, P., &amp; Catteau-Jonard, S. (2016). Interactions between androgens, FSH, anti-Müllerian hormone and estradiol during folliculogenesis in the human normal and polycystic ovary. </w:t>
      </w:r>
      <w:r w:rsidRPr="0043050F">
        <w:rPr>
          <w:rFonts w:ascii="Arial" w:hAnsi="Arial" w:cs="Arial"/>
          <w:i/>
          <w:iCs/>
          <w:noProof/>
        </w:rPr>
        <w:t>Human Reproduction Update</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(6), 709–724.</w:t>
      </w:r>
    </w:p>
    <w:p w14:paraId="4A778D5A"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Fatima, F., Gul, R., Imrana, S., Awais, A., Mustanser, M., Mahmood, N., Sardar, S., &amp; Nisar, R. (2025). Comparison of Embryo and Egg Quality in Polycystic Ovary Syndrome Patients Having Regular vs Irregular Menstrual Patterns. </w:t>
      </w:r>
      <w:r w:rsidRPr="0043050F">
        <w:rPr>
          <w:rFonts w:ascii="Arial" w:hAnsi="Arial" w:cs="Arial"/>
          <w:i/>
          <w:iCs/>
          <w:noProof/>
        </w:rPr>
        <w:t>Cureus</w:t>
      </w:r>
      <w:r w:rsidRPr="0043050F">
        <w:rPr>
          <w:rFonts w:ascii="Arial" w:hAnsi="Arial" w:cs="Arial"/>
          <w:noProof/>
        </w:rPr>
        <w:t xml:space="preserve">, </w:t>
      </w:r>
      <w:r w:rsidRPr="0043050F">
        <w:rPr>
          <w:rFonts w:ascii="Arial" w:hAnsi="Arial" w:cs="Arial"/>
          <w:i/>
          <w:iCs/>
          <w:noProof/>
        </w:rPr>
        <w:t>17</w:t>
      </w:r>
      <w:r w:rsidRPr="0043050F">
        <w:rPr>
          <w:rFonts w:ascii="Arial" w:hAnsi="Arial" w:cs="Arial"/>
          <w:noProof/>
        </w:rPr>
        <w:t>(12).</w:t>
      </w:r>
    </w:p>
    <w:p w14:paraId="67769E38"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Franks, S., Gilling-Smith, C., Watson, H., &amp; Willis, D. (1999). Insulin action in the normal and polycystic ovary. </w:t>
      </w:r>
      <w:r w:rsidRPr="0043050F">
        <w:rPr>
          <w:rFonts w:ascii="Arial" w:hAnsi="Arial" w:cs="Arial"/>
          <w:i/>
          <w:iCs/>
          <w:noProof/>
        </w:rPr>
        <w:t>Endocrinology and Metabolism Clinics of North America</w:t>
      </w:r>
      <w:r w:rsidRPr="0043050F">
        <w:rPr>
          <w:rFonts w:ascii="Arial" w:hAnsi="Arial" w:cs="Arial"/>
          <w:noProof/>
        </w:rPr>
        <w:t xml:space="preserve">, </w:t>
      </w:r>
      <w:r w:rsidRPr="0043050F">
        <w:rPr>
          <w:rFonts w:ascii="Arial" w:hAnsi="Arial" w:cs="Arial"/>
          <w:i/>
          <w:iCs/>
          <w:noProof/>
        </w:rPr>
        <w:t>28</w:t>
      </w:r>
      <w:r w:rsidRPr="0043050F">
        <w:rPr>
          <w:rFonts w:ascii="Arial" w:hAnsi="Arial" w:cs="Arial"/>
          <w:noProof/>
        </w:rPr>
        <w:t>(2), 361–378.</w:t>
      </w:r>
    </w:p>
    <w:p w14:paraId="4CA0B318"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Ganie, M. A., Chowdhury, S., Malhotra, N., Sahay, R., Bhattacharya, P. K., Agrawal, S., &amp; Jabbar, P. K. (2024). </w:t>
      </w:r>
      <w:r w:rsidRPr="0043050F">
        <w:rPr>
          <w:rFonts w:ascii="Arial" w:hAnsi="Arial" w:cs="Arial"/>
          <w:i/>
          <w:iCs/>
          <w:noProof/>
        </w:rPr>
        <w:t xml:space="preserve">Prevalence , Phenotypes , and Comorbidities of Polycystic Ovary </w:t>
      </w:r>
      <w:r w:rsidRPr="0043050F">
        <w:rPr>
          <w:rFonts w:ascii="Arial" w:hAnsi="Arial" w:cs="Arial"/>
          <w:i/>
          <w:iCs/>
          <w:noProof/>
        </w:rPr>
        <w:lastRenderedPageBreak/>
        <w:t>Syndrome Among Indian Women</w:t>
      </w:r>
      <w:r w:rsidRPr="0043050F">
        <w:rPr>
          <w:rFonts w:ascii="Arial" w:hAnsi="Arial" w:cs="Arial"/>
          <w:noProof/>
        </w:rPr>
        <w:t xml:space="preserve">. </w:t>
      </w:r>
      <w:r w:rsidRPr="0043050F">
        <w:rPr>
          <w:rFonts w:ascii="Arial" w:hAnsi="Arial" w:cs="Arial"/>
          <w:i/>
          <w:iCs/>
          <w:noProof/>
        </w:rPr>
        <w:t>7</w:t>
      </w:r>
      <w:r w:rsidRPr="0043050F">
        <w:rPr>
          <w:rFonts w:ascii="Arial" w:hAnsi="Arial" w:cs="Arial"/>
          <w:noProof/>
        </w:rPr>
        <w:t>(10), 1–15. https://doi.org/10.1001/jamanetworkopen.2024.40583</w:t>
      </w:r>
    </w:p>
    <w:p w14:paraId="4C037703"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Genazzani, A. D., Ricchieri, F., &amp; Lanzoni, C. (2010). Use of metformin in the treatment of polycystic ovary syndrome. </w:t>
      </w:r>
      <w:r w:rsidRPr="0043050F">
        <w:rPr>
          <w:rFonts w:ascii="Arial" w:hAnsi="Arial" w:cs="Arial"/>
          <w:i/>
          <w:iCs/>
          <w:noProof/>
        </w:rPr>
        <w:t>Women’s Health</w:t>
      </w:r>
      <w:r w:rsidRPr="0043050F">
        <w:rPr>
          <w:rFonts w:ascii="Arial" w:hAnsi="Arial" w:cs="Arial"/>
          <w:noProof/>
        </w:rPr>
        <w:t xml:space="preserve">, </w:t>
      </w:r>
      <w:r w:rsidRPr="0043050F">
        <w:rPr>
          <w:rFonts w:ascii="Arial" w:hAnsi="Arial" w:cs="Arial"/>
          <w:i/>
          <w:iCs/>
          <w:noProof/>
        </w:rPr>
        <w:t>6</w:t>
      </w:r>
      <w:r w:rsidRPr="0043050F">
        <w:rPr>
          <w:rFonts w:ascii="Arial" w:hAnsi="Arial" w:cs="Arial"/>
          <w:noProof/>
        </w:rPr>
        <w:t>(4), 577–593.</w:t>
      </w:r>
    </w:p>
    <w:p w14:paraId="3BF97905"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Gothwal, M., Singh, P., Agrawal, N., Ghuman, N. K., Yadav, G., Gupta, M. K., Sharma, C., &amp; Kathuria, P. (2026). The Influence of Proximate Determinants on Fertility Awareness among Women Seeking Care at Infertility Clinic in Western India. </w:t>
      </w:r>
      <w:r w:rsidRPr="0043050F">
        <w:rPr>
          <w:rFonts w:ascii="Arial" w:hAnsi="Arial" w:cs="Arial"/>
          <w:i/>
          <w:iCs/>
          <w:noProof/>
        </w:rPr>
        <w:t>Indian Journal of Community Medicine</w:t>
      </w:r>
      <w:r w:rsidRPr="0043050F">
        <w:rPr>
          <w:rFonts w:ascii="Arial" w:hAnsi="Arial" w:cs="Arial"/>
          <w:noProof/>
        </w:rPr>
        <w:t xml:space="preserve">, </w:t>
      </w:r>
      <w:r w:rsidRPr="0043050F">
        <w:rPr>
          <w:rFonts w:ascii="Arial" w:hAnsi="Arial" w:cs="Arial"/>
          <w:i/>
          <w:iCs/>
          <w:noProof/>
        </w:rPr>
        <w:t>51</w:t>
      </w:r>
      <w:r w:rsidRPr="0043050F">
        <w:rPr>
          <w:rFonts w:ascii="Arial" w:hAnsi="Arial" w:cs="Arial"/>
          <w:noProof/>
        </w:rPr>
        <w:t>(1). https://journals.lww.com/ijcm/fulltext/2026/01000/the_influence_of_proximate_determinants_on.19.aspx</w:t>
      </w:r>
    </w:p>
    <w:p w14:paraId="6CA480DE"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Gupta, P. C. (2026). Female Reproductive Disorders : A Review on Causes and Reproductive Health Management in India. </w:t>
      </w:r>
      <w:r w:rsidRPr="0043050F">
        <w:rPr>
          <w:rFonts w:ascii="Arial" w:hAnsi="Arial" w:cs="Arial"/>
          <w:i/>
          <w:iCs/>
          <w:noProof/>
        </w:rPr>
        <w:t>International Journal of Advanced Multidisciplinary Research</w:t>
      </w:r>
      <w:r w:rsidRPr="0043050F">
        <w:rPr>
          <w:rFonts w:ascii="Arial" w:hAnsi="Arial" w:cs="Arial"/>
          <w:noProof/>
        </w:rPr>
        <w:t xml:space="preserve">, </w:t>
      </w:r>
      <w:r w:rsidRPr="0043050F">
        <w:rPr>
          <w:rFonts w:ascii="Arial" w:hAnsi="Arial" w:cs="Arial"/>
          <w:i/>
          <w:iCs/>
          <w:noProof/>
        </w:rPr>
        <w:t>13</w:t>
      </w:r>
      <w:r w:rsidRPr="0043050F">
        <w:rPr>
          <w:rFonts w:ascii="Arial" w:hAnsi="Arial" w:cs="Arial"/>
          <w:noProof/>
        </w:rPr>
        <w:t>(3), 77–87. https://doi.org/10.22192/ijamr</w:t>
      </w:r>
    </w:p>
    <w:p w14:paraId="7DF0AC7F"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Hakim, C., Padmanabhan, V., &amp; Vyas, A. K. (2017). Gestational hyperandrogenism in developmental programming. </w:t>
      </w:r>
      <w:r w:rsidRPr="0043050F">
        <w:rPr>
          <w:rFonts w:ascii="Arial" w:hAnsi="Arial" w:cs="Arial"/>
          <w:i/>
          <w:iCs/>
          <w:noProof/>
        </w:rPr>
        <w:t>Endocrinology</w:t>
      </w:r>
      <w:r w:rsidRPr="0043050F">
        <w:rPr>
          <w:rFonts w:ascii="Arial" w:hAnsi="Arial" w:cs="Arial"/>
          <w:noProof/>
        </w:rPr>
        <w:t xml:space="preserve">, </w:t>
      </w:r>
      <w:r w:rsidRPr="0043050F">
        <w:rPr>
          <w:rFonts w:ascii="Arial" w:hAnsi="Arial" w:cs="Arial"/>
          <w:i/>
          <w:iCs/>
          <w:noProof/>
        </w:rPr>
        <w:t>158</w:t>
      </w:r>
      <w:r w:rsidRPr="0043050F">
        <w:rPr>
          <w:rFonts w:ascii="Arial" w:hAnsi="Arial" w:cs="Arial"/>
          <w:noProof/>
        </w:rPr>
        <w:t>(2), 199–212.</w:t>
      </w:r>
    </w:p>
    <w:p w14:paraId="15167B0D"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Jiang, B. (2025). The Global Burden of Polycystic Ovary Syndrome in Women of Reproductive Age:  Findings from the GBD 2019 Study. </w:t>
      </w:r>
      <w:r w:rsidRPr="0043050F">
        <w:rPr>
          <w:rFonts w:ascii="Arial" w:hAnsi="Arial" w:cs="Arial"/>
          <w:i/>
          <w:iCs/>
          <w:noProof/>
        </w:rPr>
        <w:t>International Journal of Women’s Health</w:t>
      </w:r>
      <w:r w:rsidRPr="0043050F">
        <w:rPr>
          <w:rFonts w:ascii="Arial" w:hAnsi="Arial" w:cs="Arial"/>
          <w:noProof/>
        </w:rPr>
        <w:t xml:space="preserve">, </w:t>
      </w:r>
      <w:r w:rsidRPr="0043050F">
        <w:rPr>
          <w:rFonts w:ascii="Arial" w:hAnsi="Arial" w:cs="Arial"/>
          <w:i/>
          <w:iCs/>
          <w:noProof/>
        </w:rPr>
        <w:t>17</w:t>
      </w:r>
      <w:r w:rsidRPr="0043050F">
        <w:rPr>
          <w:rFonts w:ascii="Arial" w:hAnsi="Arial" w:cs="Arial"/>
          <w:noProof/>
        </w:rPr>
        <w:t>, 153–165. https://doi.org/10.2147/IJWH.S490836</w:t>
      </w:r>
    </w:p>
    <w:p w14:paraId="1A7B5F64"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Khan, M. J., Ullah, A., &amp; Basit, S. (2019). Genetic basis of polycystic ovary syndrome (PCOS): current perspectives. </w:t>
      </w:r>
      <w:r w:rsidRPr="0043050F">
        <w:rPr>
          <w:rFonts w:ascii="Arial" w:hAnsi="Arial" w:cs="Arial"/>
          <w:i/>
          <w:iCs/>
          <w:noProof/>
        </w:rPr>
        <w:t>The Application of Clinical Genetics</w:t>
      </w:r>
      <w:r w:rsidRPr="0043050F">
        <w:rPr>
          <w:rFonts w:ascii="Arial" w:hAnsi="Arial" w:cs="Arial"/>
          <w:noProof/>
        </w:rPr>
        <w:t>, 249–260.</w:t>
      </w:r>
    </w:p>
    <w:p w14:paraId="0A07459D"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Louwers, Y. V, Visser, J. A., Dunaif, A., &amp; Laven, J. S. E. (2025). Polycystic ovary syndrome: origins and implications: genetics of polycystic ovary syndrome (PCOS). </w:t>
      </w:r>
      <w:r w:rsidRPr="0043050F">
        <w:rPr>
          <w:rFonts w:ascii="Arial" w:hAnsi="Arial" w:cs="Arial"/>
          <w:i/>
          <w:iCs/>
          <w:noProof/>
        </w:rPr>
        <w:t>Reproduction</w:t>
      </w:r>
      <w:r w:rsidRPr="0043050F">
        <w:rPr>
          <w:rFonts w:ascii="Arial" w:hAnsi="Arial" w:cs="Arial"/>
          <w:noProof/>
        </w:rPr>
        <w:t xml:space="preserve">, </w:t>
      </w:r>
      <w:r w:rsidRPr="0043050F">
        <w:rPr>
          <w:rFonts w:ascii="Arial" w:hAnsi="Arial" w:cs="Arial"/>
          <w:i/>
          <w:iCs/>
          <w:noProof/>
        </w:rPr>
        <w:t>170</w:t>
      </w:r>
      <w:r w:rsidRPr="0043050F">
        <w:rPr>
          <w:rFonts w:ascii="Arial" w:hAnsi="Arial" w:cs="Arial"/>
          <w:noProof/>
        </w:rPr>
        <w:t>(5).</w:t>
      </w:r>
    </w:p>
    <w:p w14:paraId="54065A0C"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Magoffin, D. A. (2005). Ovarian theca cell. </w:t>
      </w:r>
      <w:r w:rsidRPr="0043050F">
        <w:rPr>
          <w:rFonts w:ascii="Arial" w:hAnsi="Arial" w:cs="Arial"/>
          <w:i/>
          <w:iCs/>
          <w:noProof/>
        </w:rPr>
        <w:t>The International Journal of Biochemistry &amp; Cell Biology</w:t>
      </w:r>
      <w:r w:rsidRPr="0043050F">
        <w:rPr>
          <w:rFonts w:ascii="Arial" w:hAnsi="Arial" w:cs="Arial"/>
          <w:noProof/>
        </w:rPr>
        <w:t xml:space="preserve">, </w:t>
      </w:r>
      <w:r w:rsidRPr="0043050F">
        <w:rPr>
          <w:rFonts w:ascii="Arial" w:hAnsi="Arial" w:cs="Arial"/>
          <w:i/>
          <w:iCs/>
          <w:noProof/>
        </w:rPr>
        <w:t>37</w:t>
      </w:r>
      <w:r w:rsidRPr="0043050F">
        <w:rPr>
          <w:rFonts w:ascii="Arial" w:hAnsi="Arial" w:cs="Arial"/>
          <w:noProof/>
        </w:rPr>
        <w:t>(7), 1344–1349.</w:t>
      </w:r>
    </w:p>
    <w:p w14:paraId="12B9592D"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Manimekalai, P. K., Poulpunitha, S., &amp; Veeramani, P. (2020). </w:t>
      </w:r>
      <w:r w:rsidRPr="0043050F">
        <w:rPr>
          <w:rFonts w:ascii="Arial" w:hAnsi="Arial" w:cs="Arial"/>
          <w:i/>
          <w:iCs/>
          <w:noProof/>
        </w:rPr>
        <w:t>Infertility : An Alarming Situation In India</w:t>
      </w:r>
      <w:r w:rsidRPr="0043050F">
        <w:rPr>
          <w:rFonts w:ascii="Arial" w:hAnsi="Arial" w:cs="Arial"/>
          <w:noProof/>
        </w:rPr>
        <w:t xml:space="preserve">. </w:t>
      </w:r>
      <w:r w:rsidRPr="0043050F">
        <w:rPr>
          <w:rFonts w:ascii="Arial" w:hAnsi="Arial" w:cs="Arial"/>
          <w:i/>
          <w:iCs/>
          <w:noProof/>
        </w:rPr>
        <w:t>9</w:t>
      </w:r>
      <w:r w:rsidRPr="0043050F">
        <w:rPr>
          <w:rFonts w:ascii="Arial" w:hAnsi="Arial" w:cs="Arial"/>
          <w:noProof/>
        </w:rPr>
        <w:t>(02), 2606–2609.</w:t>
      </w:r>
    </w:p>
    <w:p w14:paraId="6B9ECC84"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Moghetti, P. (2016). Insulin resistance and polycystic ovary syndrome. </w:t>
      </w:r>
      <w:r w:rsidRPr="0043050F">
        <w:rPr>
          <w:rFonts w:ascii="Arial" w:hAnsi="Arial" w:cs="Arial"/>
          <w:i/>
          <w:iCs/>
          <w:noProof/>
        </w:rPr>
        <w:t>Current Pharmaceutical Design</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(36), 5526–5534.</w:t>
      </w:r>
    </w:p>
    <w:p w14:paraId="4618D47F"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Parent, A.-S., Damdimopoulou, P., Johansson, H. K. L., Bouftas, N., Draskau, M. K., Franssen, D., Fudvoye, J., van Duursen, M., &amp; Svingen, T. (2025). Endocrine-disrupting chemicals and female reproductive health: a growing concern. </w:t>
      </w:r>
      <w:r w:rsidRPr="0043050F">
        <w:rPr>
          <w:rFonts w:ascii="Arial" w:hAnsi="Arial" w:cs="Arial"/>
          <w:i/>
          <w:iCs/>
          <w:noProof/>
        </w:rPr>
        <w:t>Nature Reviews Endocrinology</w:t>
      </w:r>
      <w:r w:rsidRPr="0043050F">
        <w:rPr>
          <w:rFonts w:ascii="Arial" w:hAnsi="Arial" w:cs="Arial"/>
          <w:noProof/>
        </w:rPr>
        <w:t xml:space="preserve">, </w:t>
      </w:r>
      <w:r w:rsidRPr="0043050F">
        <w:rPr>
          <w:rFonts w:ascii="Arial" w:hAnsi="Arial" w:cs="Arial"/>
          <w:i/>
          <w:iCs/>
          <w:noProof/>
        </w:rPr>
        <w:t>21</w:t>
      </w:r>
      <w:r w:rsidRPr="0043050F">
        <w:rPr>
          <w:rFonts w:ascii="Arial" w:hAnsi="Arial" w:cs="Arial"/>
          <w:noProof/>
        </w:rPr>
        <w:t>(10), 593–607.</w:t>
      </w:r>
    </w:p>
    <w:p w14:paraId="419CDF62"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Parua, S., Purkait, M. P., Bhattacharjee, A., Thangarajan, R., Rammohan, S., Islam, K., Bhattacharya, K., &amp; Syamal, A. K. (2025). Exploring female infertility: A comprehensive review of polycystic ovary syndrome (PCOS) and its impact on reproductive health. </w:t>
      </w:r>
      <w:r w:rsidRPr="0043050F">
        <w:rPr>
          <w:rFonts w:ascii="Arial" w:hAnsi="Arial" w:cs="Arial"/>
          <w:i/>
          <w:iCs/>
          <w:noProof/>
        </w:rPr>
        <w:t>Obesity Medicine</w:t>
      </w:r>
      <w:r w:rsidRPr="0043050F">
        <w:rPr>
          <w:rFonts w:ascii="Arial" w:hAnsi="Arial" w:cs="Arial"/>
          <w:noProof/>
        </w:rPr>
        <w:t xml:space="preserve">, </w:t>
      </w:r>
      <w:r w:rsidRPr="0043050F">
        <w:rPr>
          <w:rFonts w:ascii="Arial" w:hAnsi="Arial" w:cs="Arial"/>
          <w:i/>
          <w:iCs/>
          <w:noProof/>
        </w:rPr>
        <w:t>55</w:t>
      </w:r>
      <w:r w:rsidRPr="0043050F">
        <w:rPr>
          <w:rFonts w:ascii="Arial" w:hAnsi="Arial" w:cs="Arial"/>
          <w:noProof/>
        </w:rPr>
        <w:t>, 100619.</w:t>
      </w:r>
    </w:p>
    <w:p w14:paraId="3A3284E0"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Peña, A. S., &amp; Witchel, S. F. (2025). Update on diagnosis of polycystic ovary syndrome during adolescence. </w:t>
      </w:r>
      <w:r w:rsidRPr="0043050F">
        <w:rPr>
          <w:rFonts w:ascii="Arial" w:hAnsi="Arial" w:cs="Arial"/>
          <w:i/>
          <w:iCs/>
          <w:noProof/>
        </w:rPr>
        <w:t>Fertility and Sterility</w:t>
      </w:r>
      <w:r w:rsidRPr="0043050F">
        <w:rPr>
          <w:rFonts w:ascii="Arial" w:hAnsi="Arial" w:cs="Arial"/>
          <w:noProof/>
        </w:rPr>
        <w:t>.</w:t>
      </w:r>
    </w:p>
    <w:p w14:paraId="3F2049C9"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Prosperi, S., &amp; Chiarelli, F. (2025). Insulin resistance, metabolic syndrome and polycystic ovaries: an intriguing conundrum. </w:t>
      </w:r>
      <w:r w:rsidRPr="0043050F">
        <w:rPr>
          <w:rFonts w:ascii="Arial" w:hAnsi="Arial" w:cs="Arial"/>
          <w:i/>
          <w:iCs/>
          <w:noProof/>
        </w:rPr>
        <w:t>Frontiers in Endocrinology</w:t>
      </w:r>
      <w:r w:rsidRPr="0043050F">
        <w:rPr>
          <w:rFonts w:ascii="Arial" w:hAnsi="Arial" w:cs="Arial"/>
          <w:noProof/>
        </w:rPr>
        <w:t xml:space="preserve">, </w:t>
      </w:r>
      <w:r w:rsidRPr="0043050F">
        <w:rPr>
          <w:rFonts w:ascii="Arial" w:hAnsi="Arial" w:cs="Arial"/>
          <w:i/>
          <w:iCs/>
          <w:noProof/>
        </w:rPr>
        <w:t>16</w:t>
      </w:r>
      <w:r w:rsidRPr="0043050F">
        <w:rPr>
          <w:rFonts w:ascii="Arial" w:hAnsi="Arial" w:cs="Arial"/>
          <w:noProof/>
        </w:rPr>
        <w:t>, 1669716.</w:t>
      </w:r>
    </w:p>
    <w:p w14:paraId="54BB77A3"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Rozati, R., &amp; Fatima, S. (2019). Etiological role of environmental toxicants in polycystic ovarian syndrome. </w:t>
      </w:r>
      <w:r w:rsidRPr="0043050F">
        <w:rPr>
          <w:rFonts w:ascii="Arial" w:hAnsi="Arial" w:cs="Arial"/>
          <w:i/>
          <w:iCs/>
          <w:noProof/>
        </w:rPr>
        <w:t>Hormones</w:t>
      </w:r>
      <w:r w:rsidRPr="0043050F">
        <w:rPr>
          <w:rFonts w:ascii="Arial" w:hAnsi="Arial" w:cs="Arial"/>
          <w:noProof/>
        </w:rPr>
        <w:t xml:space="preserve">, </w:t>
      </w:r>
      <w:r w:rsidRPr="0043050F">
        <w:rPr>
          <w:rFonts w:ascii="Arial" w:hAnsi="Arial" w:cs="Arial"/>
          <w:i/>
          <w:iCs/>
          <w:noProof/>
        </w:rPr>
        <w:t>6</w:t>
      </w:r>
      <w:r w:rsidRPr="0043050F">
        <w:rPr>
          <w:rFonts w:ascii="Arial" w:hAnsi="Arial" w:cs="Arial"/>
          <w:noProof/>
        </w:rPr>
        <w:t>, 533–544.</w:t>
      </w:r>
    </w:p>
    <w:p w14:paraId="36E99D54"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Rudnicka, E., Suchta, K., Grymowicz, M., Calik-Ksepka, A., Smolarczyk, K., Duszewska, A. M., Smolarczyk, R., &amp; Meczekalski, B. (2021). Chronic low grade inflammation in pathogenesis of PCOS. </w:t>
      </w:r>
      <w:r w:rsidRPr="0043050F">
        <w:rPr>
          <w:rFonts w:ascii="Arial" w:hAnsi="Arial" w:cs="Arial"/>
          <w:i/>
          <w:iCs/>
          <w:noProof/>
        </w:rPr>
        <w:t>International Journal of Molecular Sciences</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(7), 3789.</w:t>
      </w:r>
    </w:p>
    <w:p w14:paraId="3B4575AF"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Rutkowska, A. Z., &amp; Diamanti-Kandarakis, E. (2016). Polycystic ovary syndrome and environmental toxins. </w:t>
      </w:r>
      <w:r w:rsidRPr="0043050F">
        <w:rPr>
          <w:rFonts w:ascii="Arial" w:hAnsi="Arial" w:cs="Arial"/>
          <w:i/>
          <w:iCs/>
          <w:noProof/>
        </w:rPr>
        <w:t>Fertility and Sterility</w:t>
      </w:r>
      <w:r w:rsidRPr="0043050F">
        <w:rPr>
          <w:rFonts w:ascii="Arial" w:hAnsi="Arial" w:cs="Arial"/>
          <w:noProof/>
        </w:rPr>
        <w:t xml:space="preserve">, </w:t>
      </w:r>
      <w:r w:rsidRPr="0043050F">
        <w:rPr>
          <w:rFonts w:ascii="Arial" w:hAnsi="Arial" w:cs="Arial"/>
          <w:i/>
          <w:iCs/>
          <w:noProof/>
        </w:rPr>
        <w:t>106</w:t>
      </w:r>
      <w:r w:rsidRPr="0043050F">
        <w:rPr>
          <w:rFonts w:ascii="Arial" w:hAnsi="Arial" w:cs="Arial"/>
          <w:noProof/>
        </w:rPr>
        <w:t>(4), 948–958.</w:t>
      </w:r>
    </w:p>
    <w:p w14:paraId="72C0901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Savita, S. (2025). The Effectiveness of Personalized Medicine in Managing Polycystic Ovary Syndrome (PCOS). </w:t>
      </w:r>
      <w:r w:rsidRPr="0043050F">
        <w:rPr>
          <w:rFonts w:ascii="Arial" w:hAnsi="Arial" w:cs="Arial"/>
          <w:i/>
          <w:iCs/>
          <w:noProof/>
        </w:rPr>
        <w:t>Scholar’s Digest: Journal of Gynecology and Obstetrics</w:t>
      </w:r>
      <w:r w:rsidRPr="0043050F">
        <w:rPr>
          <w:rFonts w:ascii="Arial" w:hAnsi="Arial" w:cs="Arial"/>
          <w:noProof/>
        </w:rPr>
        <w:t xml:space="preserve">, </w:t>
      </w:r>
      <w:r w:rsidRPr="0043050F">
        <w:rPr>
          <w:rFonts w:ascii="Arial" w:hAnsi="Arial" w:cs="Arial"/>
          <w:i/>
          <w:iCs/>
          <w:noProof/>
        </w:rPr>
        <w:t>1</w:t>
      </w:r>
      <w:r w:rsidRPr="0043050F">
        <w:rPr>
          <w:rFonts w:ascii="Arial" w:hAnsi="Arial" w:cs="Arial"/>
          <w:noProof/>
        </w:rPr>
        <w:t>(1), 56–62.</w:t>
      </w:r>
    </w:p>
    <w:p w14:paraId="6063BFAE"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Sharma, A., Sarwal, Y., Devi, N. K., &amp; Saraswathy, K. N. (2025). Polycystic Ovary Syndrome prevalence and associated sociodemographic risk factors: a study among young adults </w:t>
      </w:r>
      <w:r w:rsidRPr="0043050F">
        <w:rPr>
          <w:rFonts w:ascii="Arial" w:hAnsi="Arial" w:cs="Arial"/>
          <w:noProof/>
        </w:rPr>
        <w:lastRenderedPageBreak/>
        <w:t xml:space="preserve">in Delhi NCR, India. </w:t>
      </w:r>
      <w:r w:rsidRPr="0043050F">
        <w:rPr>
          <w:rFonts w:ascii="Arial" w:hAnsi="Arial" w:cs="Arial"/>
          <w:i/>
          <w:iCs/>
          <w:noProof/>
        </w:rPr>
        <w:t>Reproductive Health</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(1), 61.</w:t>
      </w:r>
    </w:p>
    <w:p w14:paraId="6DBD587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Sivanandy, M. S., &amp; Ha, S. K. (2023). The role of serum anti-mullerian hormone measurement in the diagnosis of polycystic ovary syndrome. </w:t>
      </w:r>
      <w:r w:rsidRPr="0043050F">
        <w:rPr>
          <w:rFonts w:ascii="Arial" w:hAnsi="Arial" w:cs="Arial"/>
          <w:i/>
          <w:iCs/>
          <w:noProof/>
        </w:rPr>
        <w:t>Diagnostics</w:t>
      </w:r>
      <w:r w:rsidRPr="0043050F">
        <w:rPr>
          <w:rFonts w:ascii="Arial" w:hAnsi="Arial" w:cs="Arial"/>
          <w:noProof/>
        </w:rPr>
        <w:t xml:space="preserve">, </w:t>
      </w:r>
      <w:r w:rsidRPr="0043050F">
        <w:rPr>
          <w:rFonts w:ascii="Arial" w:hAnsi="Arial" w:cs="Arial"/>
          <w:i/>
          <w:iCs/>
          <w:noProof/>
        </w:rPr>
        <w:t>13</w:t>
      </w:r>
      <w:r w:rsidRPr="0043050F">
        <w:rPr>
          <w:rFonts w:ascii="Arial" w:hAnsi="Arial" w:cs="Arial"/>
          <w:noProof/>
        </w:rPr>
        <w:t>(5), 907.</w:t>
      </w:r>
    </w:p>
    <w:p w14:paraId="13F6C5EA"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Smyka, M., Grzechocińska, B., &amp; Wielgoś, M. (2018). </w:t>
      </w:r>
      <w:r w:rsidRPr="0043050F">
        <w:rPr>
          <w:rFonts w:ascii="Arial" w:hAnsi="Arial" w:cs="Arial"/>
          <w:i/>
          <w:iCs/>
          <w:noProof/>
        </w:rPr>
        <w:t>The role of lifestyle changes in the treatment of polycystic ovary syndrome</w:t>
      </w:r>
      <w:r w:rsidRPr="0043050F">
        <w:rPr>
          <w:rFonts w:ascii="Arial" w:hAnsi="Arial" w:cs="Arial"/>
          <w:noProof/>
        </w:rPr>
        <w:t xml:space="preserve">. </w:t>
      </w:r>
      <w:r w:rsidRPr="0043050F">
        <w:rPr>
          <w:rFonts w:ascii="Arial" w:hAnsi="Arial" w:cs="Arial"/>
          <w:i/>
          <w:iCs/>
          <w:noProof/>
        </w:rPr>
        <w:t>38</w:t>
      </w:r>
      <w:r w:rsidRPr="0043050F">
        <w:rPr>
          <w:rFonts w:ascii="Arial" w:hAnsi="Arial" w:cs="Arial"/>
          <w:noProof/>
        </w:rPr>
        <w:t>(8), 521–527.</w:t>
      </w:r>
    </w:p>
    <w:p w14:paraId="7D1353FB"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Solano, M. E., &amp; Arck, P. C. (2020). Steroids, pregnancy and fetal development. </w:t>
      </w:r>
      <w:r w:rsidRPr="0043050F">
        <w:rPr>
          <w:rFonts w:ascii="Arial" w:hAnsi="Arial" w:cs="Arial"/>
          <w:i/>
          <w:iCs/>
          <w:noProof/>
        </w:rPr>
        <w:t>Frontiers in Immunology</w:t>
      </w:r>
      <w:r w:rsidRPr="0043050F">
        <w:rPr>
          <w:rFonts w:ascii="Arial" w:hAnsi="Arial" w:cs="Arial"/>
          <w:noProof/>
        </w:rPr>
        <w:t xml:space="preserve">, </w:t>
      </w:r>
      <w:r w:rsidRPr="0043050F">
        <w:rPr>
          <w:rFonts w:ascii="Arial" w:hAnsi="Arial" w:cs="Arial"/>
          <w:i/>
          <w:iCs/>
          <w:noProof/>
        </w:rPr>
        <w:t>10</w:t>
      </w:r>
      <w:r w:rsidRPr="0043050F">
        <w:rPr>
          <w:rFonts w:ascii="Arial" w:hAnsi="Arial" w:cs="Arial"/>
          <w:noProof/>
        </w:rPr>
        <w:t>, 3017.</w:t>
      </w:r>
    </w:p>
    <w:p w14:paraId="6989CA4E"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Trivax, B., &amp; Azziz, R. (2007). Diagnosis of polycystic ovary syndrome. </w:t>
      </w:r>
      <w:r w:rsidRPr="0043050F">
        <w:rPr>
          <w:rFonts w:ascii="Arial" w:hAnsi="Arial" w:cs="Arial"/>
          <w:i/>
          <w:iCs/>
          <w:noProof/>
        </w:rPr>
        <w:t>Clinical Obstetrics and Gynecology</w:t>
      </w:r>
      <w:r w:rsidRPr="0043050F">
        <w:rPr>
          <w:rFonts w:ascii="Arial" w:hAnsi="Arial" w:cs="Arial"/>
          <w:noProof/>
        </w:rPr>
        <w:t xml:space="preserve">, </w:t>
      </w:r>
      <w:r w:rsidRPr="0043050F">
        <w:rPr>
          <w:rFonts w:ascii="Arial" w:hAnsi="Arial" w:cs="Arial"/>
          <w:i/>
          <w:iCs/>
          <w:noProof/>
        </w:rPr>
        <w:t>50</w:t>
      </w:r>
      <w:r w:rsidRPr="0043050F">
        <w:rPr>
          <w:rFonts w:ascii="Arial" w:hAnsi="Arial" w:cs="Arial"/>
          <w:noProof/>
        </w:rPr>
        <w:t>(1), 168–177.</w:t>
      </w:r>
    </w:p>
    <w:p w14:paraId="6622F19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Vander Borght, M., &amp; Wyns, C. (2018). Fertility and infertility: Definition and epidemiology. </w:t>
      </w:r>
      <w:r w:rsidRPr="0043050F">
        <w:rPr>
          <w:rFonts w:ascii="Arial" w:hAnsi="Arial" w:cs="Arial"/>
          <w:i/>
          <w:iCs/>
          <w:noProof/>
        </w:rPr>
        <w:t>Clinical Biochemistry</w:t>
      </w:r>
      <w:r w:rsidRPr="0043050F">
        <w:rPr>
          <w:rFonts w:ascii="Arial" w:hAnsi="Arial" w:cs="Arial"/>
          <w:noProof/>
        </w:rPr>
        <w:t xml:space="preserve">, </w:t>
      </w:r>
      <w:r w:rsidRPr="0043050F">
        <w:rPr>
          <w:rFonts w:ascii="Arial" w:hAnsi="Arial" w:cs="Arial"/>
          <w:i/>
          <w:iCs/>
          <w:noProof/>
        </w:rPr>
        <w:t>62</w:t>
      </w:r>
      <w:r w:rsidRPr="0043050F">
        <w:rPr>
          <w:rFonts w:ascii="Arial" w:hAnsi="Arial" w:cs="Arial"/>
          <w:noProof/>
        </w:rPr>
        <w:t>, 2–10.</w:t>
      </w:r>
    </w:p>
    <w:p w14:paraId="659A42B5"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Wang, T., Zhang, T., Wang, J., &amp; Lu, T. (2026). Evolving PCOS Management: From Symptom Control to Phenotype-Targeted Therapy. </w:t>
      </w:r>
      <w:r w:rsidRPr="0043050F">
        <w:rPr>
          <w:rFonts w:ascii="Arial" w:hAnsi="Arial" w:cs="Arial"/>
          <w:i/>
          <w:iCs/>
          <w:noProof/>
        </w:rPr>
        <w:t>Diabetes, Metabolic Syndrome and Obesity</w:t>
      </w:r>
      <w:r w:rsidRPr="0043050F">
        <w:rPr>
          <w:rFonts w:ascii="Arial" w:hAnsi="Arial" w:cs="Arial"/>
          <w:noProof/>
        </w:rPr>
        <w:t>, 1–11.</w:t>
      </w:r>
    </w:p>
    <w:p w14:paraId="69FDFD55"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Williams, G. L., &amp; Cardoso, R. C. (2021). Neuroendocrine control of estrus and ovulation. </w:t>
      </w:r>
      <w:r w:rsidRPr="0043050F">
        <w:rPr>
          <w:rFonts w:ascii="Arial" w:hAnsi="Arial" w:cs="Arial"/>
          <w:i/>
          <w:iCs/>
          <w:noProof/>
        </w:rPr>
        <w:t>Bovine Reproduction</w:t>
      </w:r>
      <w:r w:rsidRPr="0043050F">
        <w:rPr>
          <w:rFonts w:ascii="Arial" w:hAnsi="Arial" w:cs="Arial"/>
          <w:noProof/>
        </w:rPr>
        <w:t>, 269–291.</w:t>
      </w:r>
    </w:p>
    <w:p w14:paraId="4FEC8F14"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Yang, J., &amp; Chen, C. (2024). Hormonal changes in PCOS. </w:t>
      </w:r>
      <w:r w:rsidRPr="0043050F">
        <w:rPr>
          <w:rFonts w:ascii="Arial" w:hAnsi="Arial" w:cs="Arial"/>
          <w:i/>
          <w:iCs/>
          <w:noProof/>
        </w:rPr>
        <w:t>Journal of Endocrinology</w:t>
      </w:r>
      <w:r w:rsidRPr="0043050F">
        <w:rPr>
          <w:rFonts w:ascii="Arial" w:hAnsi="Arial" w:cs="Arial"/>
          <w:noProof/>
        </w:rPr>
        <w:t xml:space="preserve">, </w:t>
      </w:r>
      <w:r w:rsidRPr="0043050F">
        <w:rPr>
          <w:rFonts w:ascii="Arial" w:hAnsi="Arial" w:cs="Arial"/>
          <w:i/>
          <w:iCs/>
          <w:noProof/>
        </w:rPr>
        <w:t>261</w:t>
      </w:r>
      <w:r w:rsidRPr="0043050F">
        <w:rPr>
          <w:rFonts w:ascii="Arial" w:hAnsi="Arial" w:cs="Arial"/>
          <w:noProof/>
        </w:rPr>
        <w:t>(1).</w:t>
      </w:r>
    </w:p>
    <w:p w14:paraId="4139CD01" w14:textId="77777777"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Zeng, X., Xie, Y., Liu, Y., Long, S., &amp; Mo, Z. (2020). Polycystic ovarian syndrome: correlation between hyperandrogenism, insulin resistance and obesity. </w:t>
      </w:r>
      <w:r w:rsidRPr="0043050F">
        <w:rPr>
          <w:rFonts w:ascii="Arial" w:hAnsi="Arial" w:cs="Arial"/>
          <w:i/>
          <w:iCs/>
          <w:noProof/>
        </w:rPr>
        <w:t>Clinica Chimica Acta</w:t>
      </w:r>
      <w:r w:rsidRPr="0043050F">
        <w:rPr>
          <w:rFonts w:ascii="Arial" w:hAnsi="Arial" w:cs="Arial"/>
          <w:noProof/>
        </w:rPr>
        <w:t xml:space="preserve">, </w:t>
      </w:r>
      <w:r w:rsidRPr="0043050F">
        <w:rPr>
          <w:rFonts w:ascii="Arial" w:hAnsi="Arial" w:cs="Arial"/>
          <w:i/>
          <w:iCs/>
          <w:noProof/>
        </w:rPr>
        <w:t>502</w:t>
      </w:r>
      <w:r w:rsidRPr="0043050F">
        <w:rPr>
          <w:rFonts w:ascii="Arial" w:hAnsi="Arial" w:cs="Arial"/>
          <w:noProof/>
        </w:rPr>
        <w:t>, 214–221.</w:t>
      </w:r>
    </w:p>
    <w:p w14:paraId="617A77ED" w14:textId="77777777" w:rsidR="0043050F" w:rsidRPr="0043050F" w:rsidRDefault="0043050F" w:rsidP="0043050F">
      <w:pPr>
        <w:jc w:val="both"/>
        <w:rPr>
          <w:rFonts w:ascii="Arial" w:hAnsi="Arial" w:cs="Arial"/>
          <w:b/>
        </w:rPr>
      </w:pPr>
      <w:r w:rsidRPr="0043050F">
        <w:rPr>
          <w:rFonts w:ascii="Arial" w:hAnsi="Arial" w:cs="Arial"/>
          <w:b/>
        </w:rPr>
        <w:fldChar w:fldCharType="end"/>
      </w:r>
    </w:p>
    <w:p w14:paraId="3257B3C3" w14:textId="77777777" w:rsidR="001113FF" w:rsidRPr="0043050F" w:rsidRDefault="001113FF" w:rsidP="0043050F">
      <w:pPr>
        <w:pStyle w:val="ReferHead"/>
        <w:spacing w:after="0"/>
        <w:jc w:val="both"/>
        <w:rPr>
          <w:rFonts w:ascii="Arial" w:hAnsi="Arial" w:cs="Arial"/>
          <w:sz w:val="20"/>
        </w:rPr>
      </w:pPr>
    </w:p>
    <w:sectPr w:rsidR="001113FF" w:rsidRPr="0043050F" w:rsidSect="00C1631A">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ovalia" w:date="2026-04-01T10:15:00Z" w:initials="N">
    <w:p w14:paraId="75C540B4" w14:textId="17B35310" w:rsidR="00517FE6" w:rsidRDefault="00517FE6">
      <w:pPr>
        <w:pStyle w:val="CommentText"/>
      </w:pPr>
      <w:r>
        <w:rPr>
          <w:rStyle w:val="CommentReference"/>
        </w:rPr>
        <w:annotationRef/>
      </w:r>
      <w:r>
        <w:t>The term is inappropriate for academic writing and should be removed</w:t>
      </w:r>
    </w:p>
  </w:comment>
  <w:comment w:id="1" w:author="Novalia" w:date="2026-04-01T10:16:00Z" w:initials="N">
    <w:p w14:paraId="55863BCB" w14:textId="1FC06635" w:rsidR="00517FE6" w:rsidRDefault="00517FE6">
      <w:pPr>
        <w:pStyle w:val="CommentText"/>
      </w:pPr>
      <w:r>
        <w:rPr>
          <w:rStyle w:val="CommentReference"/>
        </w:rPr>
        <w:annotationRef/>
      </w:r>
      <w:r>
        <w:t>women</w:t>
      </w:r>
    </w:p>
  </w:comment>
  <w:comment w:id="3" w:author="Novalia" w:date="2026-04-01T10:16:00Z" w:initials="N">
    <w:p w14:paraId="331DC217" w14:textId="1321BD41" w:rsidR="00517FE6" w:rsidRDefault="00517FE6">
      <w:pPr>
        <w:pStyle w:val="CommentText"/>
      </w:pPr>
      <w:r>
        <w:rPr>
          <w:rStyle w:val="CommentReference"/>
        </w:rPr>
        <w:annotationRef/>
      </w:r>
      <w:r>
        <w:t>the term is outdated and should be replaced</w:t>
      </w:r>
    </w:p>
  </w:comment>
  <w:comment w:id="4" w:author="Novalia" w:date="2026-04-01T08:14:00Z" w:initials="N">
    <w:p w14:paraId="0BECE945" w14:textId="77777777" w:rsidR="00B61832" w:rsidRDefault="00B61832">
      <w:pPr>
        <w:pStyle w:val="CommentText"/>
      </w:pPr>
      <w:r>
        <w:rPr>
          <w:rStyle w:val="CommentReference"/>
        </w:rPr>
        <w:annotationRef/>
      </w:r>
      <w:r>
        <w:t>Outdated reference, it should be complemented with updated sources</w:t>
      </w:r>
    </w:p>
  </w:comment>
  <w:comment w:id="5" w:author="Novalia" w:date="2026-04-01T08:16:00Z" w:initials="N">
    <w:p w14:paraId="1ABDAA00" w14:textId="77777777" w:rsidR="00B61832" w:rsidRDefault="00B61832">
      <w:pPr>
        <w:pStyle w:val="CommentText"/>
      </w:pPr>
      <w:r>
        <w:rPr>
          <w:rStyle w:val="CommentReference"/>
        </w:rPr>
        <w:annotationRef/>
      </w:r>
      <w:r>
        <w:t>This is a generalized estimate that may vary across populations, relying on a single study for global generalization is weak</w:t>
      </w:r>
    </w:p>
  </w:comment>
  <w:comment w:id="6" w:author="Novalia" w:date="2026-04-01T08:43:00Z" w:initials="N">
    <w:p w14:paraId="3C699849" w14:textId="4DE9D5C8" w:rsidR="00265643" w:rsidRDefault="00265643">
      <w:pPr>
        <w:pStyle w:val="CommentText"/>
      </w:pPr>
      <w:r>
        <w:rPr>
          <w:rStyle w:val="CommentReference"/>
        </w:rPr>
        <w:annotationRef/>
      </w:r>
      <w:r>
        <w:t>Check terminology again, is female fertility or female infertility? Ambiguous epidemiological figures reduce interpretability and may mislead readers</w:t>
      </w:r>
    </w:p>
  </w:comment>
  <w:comment w:id="7" w:author="Novalia" w:date="2026-04-01T08:50:00Z" w:initials="N">
    <w:p w14:paraId="1EBB488D" w14:textId="296BFEFC" w:rsidR="00265643" w:rsidRDefault="00265643">
      <w:pPr>
        <w:pStyle w:val="CommentText"/>
      </w:pPr>
      <w:r>
        <w:t xml:space="preserve">The </w:t>
      </w:r>
      <w:r w:rsidR="000A51B5">
        <w:t>explanation of ovulatory dysfunction’s mechanism is corret and supported by relevant references, but it still in basic descriptive. The scientific explanation was further strengthened and relevant citations were added</w:t>
      </w:r>
    </w:p>
  </w:comment>
  <w:comment w:id="8" w:author="Novalia" w:date="2026-04-01T08:56:00Z" w:initials="N">
    <w:p w14:paraId="3DDE8F86" w14:textId="090BAF7F" w:rsidR="000A51B5" w:rsidRDefault="000A51B5">
      <w:pPr>
        <w:pStyle w:val="CommentText"/>
      </w:pPr>
      <w:r>
        <w:rPr>
          <w:rStyle w:val="CommentReference"/>
        </w:rPr>
        <w:annotationRef/>
      </w:r>
      <w:r>
        <w:t>There is an inconsistency betweet the initial claim iin 11-13% worldwide and 4-21% worldwid. This migbht become epidemiological inconsistencies in one paragraph. The data need to harmonize</w:t>
      </w:r>
    </w:p>
  </w:comment>
  <w:comment w:id="9" w:author="Novalia" w:date="2026-04-01T09:01:00Z" w:initials="N">
    <w:p w14:paraId="51804DB7" w14:textId="55AA72DD" w:rsidR="001170A9" w:rsidRDefault="001170A9">
      <w:pPr>
        <w:pStyle w:val="CommentText"/>
      </w:pPr>
      <w:r>
        <w:rPr>
          <w:rStyle w:val="CommentReference"/>
        </w:rPr>
        <w:annotationRef/>
      </w:r>
      <w:r>
        <w:t>Thie wide ranges must be explained by the causal factors</w:t>
      </w:r>
    </w:p>
  </w:comment>
  <w:comment w:id="10" w:author="Novalia" w:date="2026-04-01T09:04:00Z" w:initials="N">
    <w:p w14:paraId="19B8FAB0" w14:textId="6E0283D5" w:rsidR="001170A9" w:rsidRDefault="001170A9">
      <w:pPr>
        <w:pStyle w:val="CommentText"/>
      </w:pPr>
      <w:r>
        <w:rPr>
          <w:rStyle w:val="CommentReference"/>
        </w:rPr>
        <w:annotationRef/>
      </w:r>
      <w:r>
        <w:t>This sentence is informal. It must be change as regional variations in prevalence have been reported</w:t>
      </w:r>
    </w:p>
  </w:comment>
  <w:comment w:id="11" w:author="Novalia" w:date="2026-04-01T09:07:00Z" w:initials="N">
    <w:p w14:paraId="7A6E7824" w14:textId="1DD0BA55" w:rsidR="001170A9" w:rsidRDefault="001170A9">
      <w:pPr>
        <w:pStyle w:val="CommentText"/>
      </w:pPr>
      <w:r>
        <w:rPr>
          <w:rStyle w:val="CommentReference"/>
        </w:rPr>
        <w:annotationRef/>
      </w:r>
      <w:r>
        <w:t>One of the leading causes female infertility</w:t>
      </w:r>
    </w:p>
  </w:comment>
  <w:comment w:id="12" w:author="Novalia" w:date="2026-04-01T09:10:00Z" w:initials="N">
    <w:p w14:paraId="6B890D5E" w14:textId="4911B2B0" w:rsidR="001170A9" w:rsidRDefault="001170A9">
      <w:pPr>
        <w:pStyle w:val="CommentText"/>
      </w:pPr>
      <w:r>
        <w:rPr>
          <w:rStyle w:val="CommentReference"/>
        </w:rPr>
        <w:annotationRef/>
      </w:r>
      <w:r>
        <w:t>The explanation is incomplete and should include dominant follicle selection</w:t>
      </w:r>
    </w:p>
  </w:comment>
  <w:comment w:id="13" w:author="Novalia" w:date="2026-04-01T09:11:00Z" w:initials="N">
    <w:p w14:paraId="4700E7D3" w14:textId="08BE0840" w:rsidR="001170A9" w:rsidRDefault="001170A9">
      <w:pPr>
        <w:pStyle w:val="CommentText"/>
      </w:pPr>
      <w:r>
        <w:rPr>
          <w:rStyle w:val="CommentReference"/>
        </w:rPr>
        <w:annotationRef/>
      </w:r>
      <w:r>
        <w:t>It lacks linkage to the fertile window and should include its reproductive relevance</w:t>
      </w:r>
    </w:p>
  </w:comment>
  <w:comment w:id="14" w:author="Novalia" w:date="2026-04-01T09:12:00Z" w:initials="N">
    <w:p w14:paraId="1ADB7A71" w14:textId="1CD5BA66" w:rsidR="003A0A8B" w:rsidRDefault="003A0A8B">
      <w:pPr>
        <w:pStyle w:val="CommentText"/>
      </w:pPr>
      <w:r>
        <w:rPr>
          <w:rStyle w:val="CommentReference"/>
        </w:rPr>
        <w:annotationRef/>
      </w:r>
      <w:r>
        <w:t>This was outdated and should be replaced with more recent references</w:t>
      </w:r>
    </w:p>
  </w:comment>
  <w:comment w:id="15" w:author="Novalia" w:date="2026-04-01T09:13:00Z" w:initials="N">
    <w:p w14:paraId="1AF0D0C7" w14:textId="26667162" w:rsidR="003A0A8B" w:rsidRDefault="003A0A8B">
      <w:pPr>
        <w:pStyle w:val="CommentText"/>
      </w:pPr>
      <w:r>
        <w:rPr>
          <w:rStyle w:val="CommentReference"/>
        </w:rPr>
        <w:annotationRef/>
      </w:r>
      <w:r>
        <w:t>Chage this word with excess or elevated levels</w:t>
      </w:r>
    </w:p>
  </w:comment>
  <w:comment w:id="16" w:author="Novalia" w:date="2026-04-01T09:14:00Z" w:initials="N">
    <w:p w14:paraId="43188AD4" w14:textId="1324F5E1" w:rsidR="003A0A8B" w:rsidRDefault="003A0A8B">
      <w:pPr>
        <w:pStyle w:val="CommentText"/>
      </w:pPr>
      <w:r>
        <w:rPr>
          <w:rStyle w:val="CommentReference"/>
        </w:rPr>
        <w:annotationRef/>
      </w:r>
      <w:r>
        <w:t>This word is too weak, should be replaces with can lead to or is associated with</w:t>
      </w:r>
    </w:p>
  </w:comment>
  <w:comment w:id="17" w:author="Novalia" w:date="2026-04-01T09:17:00Z" w:initials="N">
    <w:p w14:paraId="553DCBF0" w14:textId="4B8EFCA4" w:rsidR="003A0A8B" w:rsidRDefault="003A0A8B">
      <w:pPr>
        <w:pStyle w:val="CommentText"/>
      </w:pPr>
      <w:r>
        <w:rPr>
          <w:rStyle w:val="CommentReference"/>
        </w:rPr>
        <w:annotationRef/>
      </w:r>
      <w:r>
        <w:t>The causal relationship is innacurate, check again</w:t>
      </w:r>
    </w:p>
  </w:comment>
  <w:comment w:id="18" w:author="Novalia" w:date="2026-04-01T09:19:00Z" w:initials="N">
    <w:p w14:paraId="477EEAA8" w14:textId="668D8856" w:rsidR="003A0A8B" w:rsidRDefault="003A0A8B">
      <w:pPr>
        <w:pStyle w:val="CommentText"/>
      </w:pPr>
      <w:r>
        <w:rPr>
          <w:rStyle w:val="CommentReference"/>
        </w:rPr>
        <w:annotationRef/>
      </w:r>
      <w:r>
        <w:t>Change this word with Women or individuals, become more specific</w:t>
      </w:r>
    </w:p>
  </w:comment>
  <w:comment w:id="19" w:author="Novalia" w:date="2026-04-01T09:21:00Z" w:initials="N">
    <w:p w14:paraId="5EB4277A" w14:textId="5A0503A3" w:rsidR="003A0A8B" w:rsidRDefault="003A0A8B">
      <w:pPr>
        <w:pStyle w:val="CommentText"/>
      </w:pPr>
      <w:r>
        <w:rPr>
          <w:rStyle w:val="CommentReference"/>
        </w:rPr>
        <w:annotationRef/>
      </w:r>
      <w:r>
        <w:t>Is correct but does not mention the mechanism (theca cell stimulation)</w:t>
      </w:r>
    </w:p>
  </w:comment>
  <w:comment w:id="20" w:author="Novalia" w:date="2026-04-01T09:37:00Z" w:initials="N">
    <w:p w14:paraId="36FBDC13" w14:textId="0D13A4F3" w:rsidR="005261E7" w:rsidRDefault="005261E7">
      <w:pPr>
        <w:pStyle w:val="CommentText"/>
      </w:pPr>
      <w:r>
        <w:rPr>
          <w:rStyle w:val="CommentReference"/>
        </w:rPr>
        <w:annotationRef/>
      </w:r>
      <w:r>
        <w:t>The causality is oversimplified since PCOS is multifactorial</w:t>
      </w:r>
    </w:p>
  </w:comment>
  <w:comment w:id="21" w:author="Novalia" w:date="2026-04-01T09:38:00Z" w:initials="N">
    <w:p w14:paraId="45ABB1D4" w14:textId="5EBA2F19" w:rsidR="005261E7" w:rsidRDefault="005261E7">
      <w:pPr>
        <w:pStyle w:val="CommentText"/>
      </w:pPr>
      <w:r>
        <w:rPr>
          <w:rStyle w:val="CommentReference"/>
        </w:rPr>
        <w:annotationRef/>
      </w:r>
      <w:r>
        <w:t>The mechanism should specify the role of theca cells</w:t>
      </w:r>
    </w:p>
  </w:comment>
  <w:comment w:id="22" w:author="Novalia" w:date="2026-04-01T09:39:00Z" w:initials="N">
    <w:p w14:paraId="27ADCBB1" w14:textId="0B9742B8" w:rsidR="005261E7" w:rsidRDefault="005261E7">
      <w:pPr>
        <w:pStyle w:val="CommentText"/>
      </w:pPr>
      <w:r>
        <w:rPr>
          <w:rStyle w:val="CommentReference"/>
        </w:rPr>
        <w:annotationRef/>
      </w:r>
      <w:r>
        <w:t>The mecanism lacks detail on follicular arresrt</w:t>
      </w:r>
    </w:p>
  </w:comment>
  <w:comment w:id="23" w:author="Novalia" w:date="2026-04-01T09:40:00Z" w:initials="N">
    <w:p w14:paraId="44E745A4" w14:textId="0FEB04DC" w:rsidR="005261E7" w:rsidRDefault="005261E7">
      <w:pPr>
        <w:pStyle w:val="CommentText"/>
      </w:pPr>
      <w:r>
        <w:rPr>
          <w:rStyle w:val="CommentReference"/>
        </w:rPr>
        <w:annotationRef/>
      </w:r>
      <w:r>
        <w:t>The explanation lacks enzymatic detail (e.g. aromatase activity)</w:t>
      </w:r>
    </w:p>
  </w:comment>
  <w:comment w:id="24" w:author="Novalia" w:date="2026-04-01T09:41:00Z" w:initials="N">
    <w:p w14:paraId="46261B80" w14:textId="5C4F88CD" w:rsidR="005261E7" w:rsidRDefault="005261E7">
      <w:pPr>
        <w:pStyle w:val="CommentText"/>
      </w:pPr>
      <w:r>
        <w:rPr>
          <w:rStyle w:val="CommentReference"/>
        </w:rPr>
        <w:annotationRef/>
      </w:r>
      <w:r>
        <w:t>It should link to LH stimulation</w:t>
      </w:r>
    </w:p>
  </w:comment>
  <w:comment w:id="25" w:author="Novalia" w:date="2026-04-01T09:42:00Z" w:initials="N">
    <w:p w14:paraId="72401150" w14:textId="7ABA4186" w:rsidR="005261E7" w:rsidRDefault="005261E7">
      <w:pPr>
        <w:pStyle w:val="CommentText"/>
      </w:pPr>
      <w:r>
        <w:rPr>
          <w:rStyle w:val="CommentReference"/>
        </w:rPr>
        <w:annotationRef/>
      </w:r>
      <w:r>
        <w:t>The mechanism is not explained in depth</w:t>
      </w:r>
    </w:p>
  </w:comment>
  <w:comment w:id="26" w:author="Novalia" w:date="2026-04-01T09:50:00Z" w:initials="N">
    <w:p w14:paraId="36C182FF" w14:textId="75ABD450" w:rsidR="00A662DE" w:rsidRDefault="00A662DE">
      <w:pPr>
        <w:pStyle w:val="CommentText"/>
      </w:pPr>
      <w:r>
        <w:rPr>
          <w:rStyle w:val="CommentReference"/>
        </w:rPr>
        <w:annotationRef/>
      </w:r>
      <w:r>
        <w:t>The claim lacks mechanistic explanation (e.g., oxidative stress, mitochondrial dysfunction)</w:t>
      </w:r>
    </w:p>
  </w:comment>
  <w:comment w:id="27" w:author="Novalia" w:date="2026-04-01T09:51:00Z" w:initials="N">
    <w:p w14:paraId="5BFCE4F1" w14:textId="721A8AB8" w:rsidR="00A662DE" w:rsidRDefault="00A662DE">
      <w:pPr>
        <w:pStyle w:val="CommentText"/>
      </w:pPr>
      <w:r>
        <w:rPr>
          <w:rStyle w:val="CommentReference"/>
        </w:rPr>
        <w:annotationRef/>
      </w:r>
      <w:r>
        <w:t>The mechanism is not specified (e.g., impaired implantation markers, inflammation)</w:t>
      </w:r>
    </w:p>
  </w:comment>
  <w:comment w:id="28" w:author="Novalia" w:date="2026-04-01T09:52:00Z" w:initials="N">
    <w:p w14:paraId="64BF20BB" w14:textId="63CC1911" w:rsidR="00A662DE" w:rsidRDefault="00A662DE">
      <w:pPr>
        <w:pStyle w:val="CommentText"/>
      </w:pPr>
      <w:r>
        <w:rPr>
          <w:rStyle w:val="CommentReference"/>
        </w:rPr>
        <w:annotationRef/>
      </w:r>
      <w:r>
        <w:t>It should include quantitative evidence</w:t>
      </w:r>
    </w:p>
  </w:comment>
  <w:comment w:id="29" w:author="Novalia" w:date="2026-04-01T09:54:00Z" w:initials="N">
    <w:p w14:paraId="27EA9398" w14:textId="189D7F71" w:rsidR="00A662DE" w:rsidRDefault="00A662DE">
      <w:pPr>
        <w:pStyle w:val="CommentText"/>
      </w:pPr>
      <w:r>
        <w:rPr>
          <w:rStyle w:val="CommentReference"/>
        </w:rPr>
        <w:annotationRef/>
      </w:r>
      <w:r>
        <w:t>The sentence lacks mention of relevant pathways (e.g., insulin signalingm steroidogenesis), reducing its depth</w:t>
      </w:r>
    </w:p>
  </w:comment>
  <w:comment w:id="30" w:author="Novalia" w:date="2026-04-01T09:59:00Z" w:initials="N">
    <w:p w14:paraId="16BDEAE6" w14:textId="2498B939" w:rsidR="00A662DE" w:rsidRDefault="00A662DE">
      <w:pPr>
        <w:pStyle w:val="CommentText"/>
      </w:pPr>
      <w:r>
        <w:rPr>
          <w:rStyle w:val="CommentReference"/>
        </w:rPr>
        <w:annotationRef/>
      </w:r>
      <w:r>
        <w:t>The statement is valid, but lacks citation and nuance</w:t>
      </w:r>
    </w:p>
  </w:comment>
  <w:comment w:id="31" w:author="Novalia" w:date="2026-04-01T10:04:00Z" w:initials="N">
    <w:p w14:paraId="7AD9E02A" w14:textId="748590D6" w:rsidR="00EF0864" w:rsidRDefault="00EF0864">
      <w:pPr>
        <w:pStyle w:val="CommentText"/>
      </w:pPr>
      <w:r>
        <w:rPr>
          <w:rStyle w:val="CommentReference"/>
        </w:rPr>
        <w:annotationRef/>
      </w:r>
      <w:r>
        <w:t>Is outdated for a diagnostic section</w:t>
      </w:r>
    </w:p>
  </w:comment>
  <w:comment w:id="32" w:author="Novalia" w:date="2026-04-01T10:06:00Z" w:initials="N">
    <w:p w14:paraId="46AE177D" w14:textId="085FF6CD" w:rsidR="00EF0864" w:rsidRDefault="00EF0864">
      <w:pPr>
        <w:pStyle w:val="CommentText"/>
      </w:pPr>
      <w:r>
        <w:rPr>
          <w:rStyle w:val="CommentReference"/>
        </w:rPr>
        <w:annotationRef/>
      </w:r>
      <w:r>
        <w:t>The statement is strong, but should highlight evidence-based support</w:t>
      </w:r>
    </w:p>
  </w:comment>
  <w:comment w:id="33" w:author="Novalia" w:date="2026-04-01T10:07:00Z" w:initials="N">
    <w:p w14:paraId="648BC72D" w14:textId="498E3D7E" w:rsidR="00EF0864" w:rsidRDefault="00EF0864">
      <w:pPr>
        <w:pStyle w:val="CommentText"/>
      </w:pPr>
      <w:r>
        <w:rPr>
          <w:rStyle w:val="CommentReference"/>
        </w:rPr>
        <w:annotationRef/>
      </w:r>
      <w:r>
        <w:t>The correct term is combined oral contraceptives (COCs)</w:t>
      </w:r>
    </w:p>
  </w:comment>
  <w:comment w:id="34" w:author="Novalia" w:date="2026-04-01T10:08:00Z" w:initials="N">
    <w:p w14:paraId="70D9F1CC" w14:textId="5E72B263" w:rsidR="00EF0864" w:rsidRDefault="00EF0864">
      <w:pPr>
        <w:pStyle w:val="CommentText"/>
      </w:pPr>
      <w:r>
        <w:rPr>
          <w:rStyle w:val="CommentReference"/>
        </w:rPr>
        <w:annotationRef/>
      </w:r>
      <w:r>
        <w:t>The indication should be specified</w:t>
      </w:r>
    </w:p>
  </w:comment>
  <w:comment w:id="36" w:author="Novalia" w:date="2026-04-01T10:09:00Z" w:initials="N">
    <w:p w14:paraId="71325AB3" w14:textId="60CC3A5A" w:rsidR="00EF0864" w:rsidRDefault="00EF0864">
      <w:pPr>
        <w:pStyle w:val="CommentText"/>
      </w:pPr>
      <w:r>
        <w:rPr>
          <w:rStyle w:val="CommentReference"/>
        </w:rPr>
        <w:annotationRef/>
      </w:r>
      <w:r>
        <w:t>Safety considerations are missing</w:t>
      </w:r>
    </w:p>
  </w:comment>
  <w:comment w:id="35" w:author="Novalia" w:date="2026-04-01T10:09:00Z" w:initials="N">
    <w:p w14:paraId="6D485768" w14:textId="45AFC117" w:rsidR="00EF0864" w:rsidRDefault="00EF0864">
      <w:pPr>
        <w:pStyle w:val="CommentText"/>
      </w:pPr>
      <w:r>
        <w:rPr>
          <w:rStyle w:val="CommentReference"/>
        </w:rPr>
        <w:annotationRef/>
      </w:r>
      <w:r>
        <w:t>Safety considerations are missing</w:t>
      </w:r>
    </w:p>
  </w:comment>
  <w:comment w:id="37" w:author="Novalia" w:date="2026-04-01T10:10:00Z" w:initials="N">
    <w:p w14:paraId="74640FFB" w14:textId="27145E86" w:rsidR="00517FE6" w:rsidRDefault="00517FE6">
      <w:pPr>
        <w:pStyle w:val="CommentText"/>
      </w:pPr>
      <w:r>
        <w:rPr>
          <w:rStyle w:val="CommentReference"/>
        </w:rPr>
        <w:annotationRef/>
      </w:r>
      <w:r>
        <w:t>The conclusion summarizes key points but remains descriptive, includes some overstated claims, and lack a strong, impactful closing statement.</w:t>
      </w:r>
    </w:p>
  </w:comment>
  <w:comment w:id="38" w:author="Novalia" w:date="2026-04-01T10:12:00Z" w:initials="N">
    <w:p w14:paraId="54366425" w14:textId="03B85086" w:rsidR="00517FE6" w:rsidRDefault="00517FE6">
      <w:pPr>
        <w:pStyle w:val="CommentText"/>
      </w:pPr>
      <w:r>
        <w:rPr>
          <w:rStyle w:val="CommentReference"/>
        </w:rPr>
        <w:annotationRef/>
      </w:r>
      <w:r>
        <w:t>The reference list is adequate in quantity and relevance but requires significant improvement in formatting consistency, source quality, and inclusion of key authoritative references.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C540B4" w15:done="0"/>
  <w15:commentEx w15:paraId="55863BCB" w15:done="0"/>
  <w15:commentEx w15:paraId="331DC217" w15:done="0"/>
  <w15:commentEx w15:paraId="0BECE945" w15:done="0"/>
  <w15:commentEx w15:paraId="1ABDAA00" w15:done="0"/>
  <w15:commentEx w15:paraId="3C699849" w15:done="0"/>
  <w15:commentEx w15:paraId="1EBB488D" w15:done="0"/>
  <w15:commentEx w15:paraId="3DDE8F86" w15:done="0"/>
  <w15:commentEx w15:paraId="51804DB7" w15:done="0"/>
  <w15:commentEx w15:paraId="19B8FAB0" w15:done="0"/>
  <w15:commentEx w15:paraId="7A6E7824" w15:done="0"/>
  <w15:commentEx w15:paraId="6B890D5E" w15:done="0"/>
  <w15:commentEx w15:paraId="4700E7D3" w15:done="0"/>
  <w15:commentEx w15:paraId="1ADB7A71" w15:done="0"/>
  <w15:commentEx w15:paraId="1AF0D0C7" w15:done="0"/>
  <w15:commentEx w15:paraId="43188AD4" w15:done="0"/>
  <w15:commentEx w15:paraId="553DCBF0" w15:done="0"/>
  <w15:commentEx w15:paraId="477EEAA8" w15:done="0"/>
  <w15:commentEx w15:paraId="5EB4277A" w15:done="0"/>
  <w15:commentEx w15:paraId="36FBDC13" w15:done="0"/>
  <w15:commentEx w15:paraId="45ABB1D4" w15:done="0"/>
  <w15:commentEx w15:paraId="27ADCBB1" w15:done="0"/>
  <w15:commentEx w15:paraId="44E745A4" w15:done="0"/>
  <w15:commentEx w15:paraId="46261B80" w15:done="0"/>
  <w15:commentEx w15:paraId="72401150" w15:done="0"/>
  <w15:commentEx w15:paraId="36C182FF" w15:done="0"/>
  <w15:commentEx w15:paraId="5BFCE4F1" w15:done="0"/>
  <w15:commentEx w15:paraId="64BF20BB" w15:done="0"/>
  <w15:commentEx w15:paraId="27EA9398" w15:done="0"/>
  <w15:commentEx w15:paraId="16BDEAE6" w15:done="0"/>
  <w15:commentEx w15:paraId="7AD9E02A" w15:done="0"/>
  <w15:commentEx w15:paraId="46AE177D" w15:done="0"/>
  <w15:commentEx w15:paraId="648BC72D" w15:done="0"/>
  <w15:commentEx w15:paraId="70D9F1CC" w15:done="0"/>
  <w15:commentEx w15:paraId="71325AB3" w15:done="0"/>
  <w15:commentEx w15:paraId="6D485768" w15:done="0"/>
  <w15:commentEx w15:paraId="74640FFB" w15:done="0"/>
  <w15:commentEx w15:paraId="5436642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85533" w14:textId="77777777" w:rsidR="00FE7C8B" w:rsidRDefault="00FE7C8B" w:rsidP="00C37E61">
      <w:r>
        <w:separator/>
      </w:r>
    </w:p>
  </w:endnote>
  <w:endnote w:type="continuationSeparator" w:id="0">
    <w:p w14:paraId="220FB86B" w14:textId="77777777" w:rsidR="00FE7C8B" w:rsidRDefault="00FE7C8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197CC" w14:textId="77777777" w:rsidR="00C1631A" w:rsidRDefault="00C163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9BA90" w14:textId="77777777" w:rsidR="00C1631A" w:rsidRDefault="00C1631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62A36" w14:textId="77777777" w:rsidR="009E048A" w:rsidRDefault="009E048A">
    <w:pPr>
      <w:pStyle w:val="Footer"/>
      <w:rPr>
        <w:rFonts w:ascii="Arial" w:hAnsi="Arial" w:cs="Arial"/>
        <w:sz w:val="16"/>
      </w:rPr>
    </w:pPr>
  </w:p>
  <w:p w14:paraId="7EDE313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D12A50F" w14:textId="77777777" w:rsidR="009E048A" w:rsidRDefault="009E048A">
    <w:pPr>
      <w:pStyle w:val="Footer"/>
      <w:rPr>
        <w:rFonts w:ascii="Arial" w:hAnsi="Arial" w:cs="Arial"/>
        <w:sz w:val="16"/>
      </w:rPr>
    </w:pPr>
  </w:p>
  <w:p w14:paraId="3F52EC0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96FF3" w14:textId="77777777" w:rsidR="00FE7C8B" w:rsidRDefault="00FE7C8B" w:rsidP="00C37E61">
      <w:r>
        <w:separator/>
      </w:r>
    </w:p>
  </w:footnote>
  <w:footnote w:type="continuationSeparator" w:id="0">
    <w:p w14:paraId="170031C8" w14:textId="77777777" w:rsidR="00FE7C8B" w:rsidRDefault="00FE7C8B"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6EE0E" w14:textId="77777777" w:rsidR="00C1631A" w:rsidRDefault="00FE7C8B">
    <w:pPr>
      <w:pStyle w:val="Header"/>
    </w:pPr>
    <w:r>
      <w:rPr>
        <w:noProof/>
      </w:rPr>
      <w:pict w14:anchorId="3165A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12219" w14:textId="77777777" w:rsidR="00C1631A" w:rsidRDefault="00FE7C8B">
    <w:pPr>
      <w:pStyle w:val="Header"/>
    </w:pPr>
    <w:r>
      <w:rPr>
        <w:noProof/>
      </w:rPr>
      <w:pict w14:anchorId="24B27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BBE79" w14:textId="77777777" w:rsidR="00296529" w:rsidRPr="00296529" w:rsidRDefault="00FE7C8B" w:rsidP="00296529">
    <w:pPr>
      <w:ind w:left="2160"/>
      <w:jc w:val="center"/>
      <w:rPr>
        <w:rFonts w:ascii="Times New Roman" w:eastAsia="Calibri" w:hAnsi="Times New Roman"/>
        <w:i/>
        <w:sz w:val="18"/>
        <w:szCs w:val="22"/>
      </w:rPr>
    </w:pPr>
    <w:r>
      <w:rPr>
        <w:noProof/>
      </w:rPr>
      <w:pict w14:anchorId="6DFE8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C71D1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B311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BE023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66F82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4ACE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E6B86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E3584A"/>
    <w:multiLevelType w:val="hybridMultilevel"/>
    <w:tmpl w:val="CC86ADF8"/>
    <w:lvl w:ilvl="0" w:tplc="A91050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6827A8"/>
    <w:multiLevelType w:val="hybridMultilevel"/>
    <w:tmpl w:val="5580620A"/>
    <w:lvl w:ilvl="0" w:tplc="AAE45EB2">
      <w:start w:val="1"/>
      <w:numFmt w:val="lowerRoman"/>
      <w:lvlText w:val="%1."/>
      <w:lvlJc w:val="left"/>
      <w:pPr>
        <w:ind w:left="720" w:hanging="360"/>
      </w:pPr>
      <w:rPr>
        <w:rFonts w:ascii="Times New Roman" w:eastAsia="Arial"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valia">
    <w15:presenceInfo w15:providerId="None" w15:userId="Nova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51B5"/>
    <w:rsid w:val="000A65D3"/>
    <w:rsid w:val="000B1E33"/>
    <w:rsid w:val="000C103A"/>
    <w:rsid w:val="000C3877"/>
    <w:rsid w:val="000D689F"/>
    <w:rsid w:val="000E7B7B"/>
    <w:rsid w:val="000E7D62"/>
    <w:rsid w:val="00103357"/>
    <w:rsid w:val="001113FF"/>
    <w:rsid w:val="001170A9"/>
    <w:rsid w:val="00123C9F"/>
    <w:rsid w:val="00126190"/>
    <w:rsid w:val="00130F17"/>
    <w:rsid w:val="001320BF"/>
    <w:rsid w:val="00163BC4"/>
    <w:rsid w:val="00171F9F"/>
    <w:rsid w:val="00191062"/>
    <w:rsid w:val="001913F5"/>
    <w:rsid w:val="00192B72"/>
    <w:rsid w:val="001A29D8"/>
    <w:rsid w:val="001A5CAA"/>
    <w:rsid w:val="001A6594"/>
    <w:rsid w:val="001B0427"/>
    <w:rsid w:val="001D3A51"/>
    <w:rsid w:val="001E10D2"/>
    <w:rsid w:val="001E25B4"/>
    <w:rsid w:val="001E44FE"/>
    <w:rsid w:val="001F7E93"/>
    <w:rsid w:val="00200595"/>
    <w:rsid w:val="00204835"/>
    <w:rsid w:val="00231920"/>
    <w:rsid w:val="0023195C"/>
    <w:rsid w:val="0024282C"/>
    <w:rsid w:val="002460DC"/>
    <w:rsid w:val="00250985"/>
    <w:rsid w:val="002556F6"/>
    <w:rsid w:val="00262DC6"/>
    <w:rsid w:val="00265643"/>
    <w:rsid w:val="00283105"/>
    <w:rsid w:val="00284C4C"/>
    <w:rsid w:val="002874FF"/>
    <w:rsid w:val="00287E68"/>
    <w:rsid w:val="00296529"/>
    <w:rsid w:val="002A49D9"/>
    <w:rsid w:val="002A7631"/>
    <w:rsid w:val="002B27FB"/>
    <w:rsid w:val="002B685A"/>
    <w:rsid w:val="002C1DB7"/>
    <w:rsid w:val="002C57D2"/>
    <w:rsid w:val="002D317F"/>
    <w:rsid w:val="002E0D56"/>
    <w:rsid w:val="002F296C"/>
    <w:rsid w:val="00315186"/>
    <w:rsid w:val="0033343E"/>
    <w:rsid w:val="003512C2"/>
    <w:rsid w:val="00371FB6"/>
    <w:rsid w:val="003763C1"/>
    <w:rsid w:val="00376BBE"/>
    <w:rsid w:val="0039224F"/>
    <w:rsid w:val="003A0A8B"/>
    <w:rsid w:val="003A43A4"/>
    <w:rsid w:val="003A7E18"/>
    <w:rsid w:val="003B1D9D"/>
    <w:rsid w:val="003C4C86"/>
    <w:rsid w:val="003C5725"/>
    <w:rsid w:val="003C6258"/>
    <w:rsid w:val="003E2904"/>
    <w:rsid w:val="00401927"/>
    <w:rsid w:val="0041027F"/>
    <w:rsid w:val="00412475"/>
    <w:rsid w:val="00423789"/>
    <w:rsid w:val="0043050F"/>
    <w:rsid w:val="00436C65"/>
    <w:rsid w:val="00440F43"/>
    <w:rsid w:val="00441B6F"/>
    <w:rsid w:val="00446221"/>
    <w:rsid w:val="00450E62"/>
    <w:rsid w:val="004539DB"/>
    <w:rsid w:val="00471A80"/>
    <w:rsid w:val="004A00DB"/>
    <w:rsid w:val="004D305E"/>
    <w:rsid w:val="004D4277"/>
    <w:rsid w:val="00502516"/>
    <w:rsid w:val="00505F06"/>
    <w:rsid w:val="00506828"/>
    <w:rsid w:val="00517FE6"/>
    <w:rsid w:val="005261E7"/>
    <w:rsid w:val="0053056E"/>
    <w:rsid w:val="00554FDA"/>
    <w:rsid w:val="00560788"/>
    <w:rsid w:val="00591C26"/>
    <w:rsid w:val="005B7B6F"/>
    <w:rsid w:val="005C784C"/>
    <w:rsid w:val="005D17F6"/>
    <w:rsid w:val="005E5539"/>
    <w:rsid w:val="00602BF5"/>
    <w:rsid w:val="00617FDD"/>
    <w:rsid w:val="00633614"/>
    <w:rsid w:val="00633F68"/>
    <w:rsid w:val="00636EB2"/>
    <w:rsid w:val="006375B8"/>
    <w:rsid w:val="00640145"/>
    <w:rsid w:val="0066510A"/>
    <w:rsid w:val="00673F9F"/>
    <w:rsid w:val="006827CD"/>
    <w:rsid w:val="00686953"/>
    <w:rsid w:val="00687DEA"/>
    <w:rsid w:val="00687E67"/>
    <w:rsid w:val="006967F7"/>
    <w:rsid w:val="006A250C"/>
    <w:rsid w:val="006B1665"/>
    <w:rsid w:val="006B21D3"/>
    <w:rsid w:val="006B57D0"/>
    <w:rsid w:val="006D30FF"/>
    <w:rsid w:val="006D6940"/>
    <w:rsid w:val="006F11EC"/>
    <w:rsid w:val="0070082C"/>
    <w:rsid w:val="007369E6"/>
    <w:rsid w:val="00746E59"/>
    <w:rsid w:val="0075045C"/>
    <w:rsid w:val="00754C9A"/>
    <w:rsid w:val="0075599A"/>
    <w:rsid w:val="00761D52"/>
    <w:rsid w:val="007704B2"/>
    <w:rsid w:val="00772A44"/>
    <w:rsid w:val="0077749E"/>
    <w:rsid w:val="00790ADA"/>
    <w:rsid w:val="007914A8"/>
    <w:rsid w:val="00797CBB"/>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87914"/>
    <w:rsid w:val="009B3FB9"/>
    <w:rsid w:val="009C2465"/>
    <w:rsid w:val="009C4B48"/>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2DE"/>
    <w:rsid w:val="00A94063"/>
    <w:rsid w:val="00AA6219"/>
    <w:rsid w:val="00AA74E0"/>
    <w:rsid w:val="00AB703F"/>
    <w:rsid w:val="00AC6BB8"/>
    <w:rsid w:val="00AE008F"/>
    <w:rsid w:val="00B01FCD"/>
    <w:rsid w:val="00B15A3E"/>
    <w:rsid w:val="00B1776C"/>
    <w:rsid w:val="00B52583"/>
    <w:rsid w:val="00B52896"/>
    <w:rsid w:val="00B61832"/>
    <w:rsid w:val="00B95236"/>
    <w:rsid w:val="00B96BD9"/>
    <w:rsid w:val="00BA1B01"/>
    <w:rsid w:val="00BA2641"/>
    <w:rsid w:val="00BB37AA"/>
    <w:rsid w:val="00BC53A0"/>
    <w:rsid w:val="00BE62AD"/>
    <w:rsid w:val="00BF121F"/>
    <w:rsid w:val="00BF1F80"/>
    <w:rsid w:val="00C13EA3"/>
    <w:rsid w:val="00C1631A"/>
    <w:rsid w:val="00C166EF"/>
    <w:rsid w:val="00C17EB0"/>
    <w:rsid w:val="00C27F5F"/>
    <w:rsid w:val="00C30A0F"/>
    <w:rsid w:val="00C37E61"/>
    <w:rsid w:val="00C412A0"/>
    <w:rsid w:val="00C70F1B"/>
    <w:rsid w:val="00C71A47"/>
    <w:rsid w:val="00C7464C"/>
    <w:rsid w:val="00C85588"/>
    <w:rsid w:val="00CC6C6A"/>
    <w:rsid w:val="00CD6755"/>
    <w:rsid w:val="00CD6856"/>
    <w:rsid w:val="00CE0089"/>
    <w:rsid w:val="00CE091E"/>
    <w:rsid w:val="00CE793C"/>
    <w:rsid w:val="00CF193C"/>
    <w:rsid w:val="00CF2694"/>
    <w:rsid w:val="00D00B8F"/>
    <w:rsid w:val="00D173F1"/>
    <w:rsid w:val="00D74CB0"/>
    <w:rsid w:val="00D8295D"/>
    <w:rsid w:val="00DB1817"/>
    <w:rsid w:val="00DC2A65"/>
    <w:rsid w:val="00DD620D"/>
    <w:rsid w:val="00DE15F0"/>
    <w:rsid w:val="00DE5663"/>
    <w:rsid w:val="00DE78AA"/>
    <w:rsid w:val="00E053D0"/>
    <w:rsid w:val="00E15994"/>
    <w:rsid w:val="00E3114E"/>
    <w:rsid w:val="00E31A70"/>
    <w:rsid w:val="00E35B02"/>
    <w:rsid w:val="00E461EF"/>
    <w:rsid w:val="00E64893"/>
    <w:rsid w:val="00E66496"/>
    <w:rsid w:val="00E66B35"/>
    <w:rsid w:val="00E66E10"/>
    <w:rsid w:val="00E769F6"/>
    <w:rsid w:val="00E8407C"/>
    <w:rsid w:val="00E84F3C"/>
    <w:rsid w:val="00EA012C"/>
    <w:rsid w:val="00EC6A55"/>
    <w:rsid w:val="00ED0288"/>
    <w:rsid w:val="00EE52CB"/>
    <w:rsid w:val="00EF0864"/>
    <w:rsid w:val="00EF581D"/>
    <w:rsid w:val="00EF7FD8"/>
    <w:rsid w:val="00F06F59"/>
    <w:rsid w:val="00F17988"/>
    <w:rsid w:val="00F469F0"/>
    <w:rsid w:val="00F53273"/>
    <w:rsid w:val="00F755E4"/>
    <w:rsid w:val="00F77D02"/>
    <w:rsid w:val="00FB3A86"/>
    <w:rsid w:val="00FC7C8A"/>
    <w:rsid w:val="00FD36C8"/>
    <w:rsid w:val="00FE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1D1E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FootnoteReference">
    <w:name w:val="footnote reference"/>
    <w:basedOn w:val="DefaultParagraphFont"/>
    <w:uiPriority w:val="99"/>
    <w:semiHidden/>
    <w:unhideWhenUsed/>
    <w:rsid w:val="003B1D9D"/>
    <w:rPr>
      <w:vertAlign w:val="superscript"/>
    </w:rPr>
  </w:style>
  <w:style w:type="paragraph" w:styleId="NormalWeb">
    <w:name w:val="Normal (Web)"/>
    <w:basedOn w:val="Normal"/>
    <w:uiPriority w:val="99"/>
    <w:unhideWhenUsed/>
    <w:rsid w:val="00640145"/>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87914"/>
    <w:pPr>
      <w:spacing w:line="276" w:lineRule="auto"/>
      <w:ind w:left="720"/>
      <w:contextualSpacing/>
    </w:pPr>
    <w:rPr>
      <w:rFonts w:ascii="Arial" w:eastAsia="Arial" w:hAnsi="Arial" w:cs="Arial"/>
      <w:sz w:val="22"/>
      <w:szCs w:val="22"/>
      <w:lang w:val="en" w:eastAsia="en-IN"/>
    </w:rPr>
  </w:style>
  <w:style w:type="character" w:customStyle="1" w:styleId="UnresolvedMention">
    <w:name w:val="Unresolved Mention"/>
    <w:basedOn w:val="DefaultParagraphFont"/>
    <w:uiPriority w:val="99"/>
    <w:semiHidden/>
    <w:unhideWhenUsed/>
    <w:rsid w:val="002D317F"/>
    <w:rPr>
      <w:color w:val="605E5C"/>
      <w:shd w:val="clear" w:color="auto" w:fill="E1DFDD"/>
    </w:rPr>
  </w:style>
  <w:style w:type="paragraph" w:styleId="CommentSubject">
    <w:name w:val="annotation subject"/>
    <w:basedOn w:val="CommentText"/>
    <w:next w:val="CommentText"/>
    <w:link w:val="CommentSubjectChar"/>
    <w:semiHidden/>
    <w:unhideWhenUsed/>
    <w:rsid w:val="00B61832"/>
    <w:rPr>
      <w:rFonts w:ascii="Helvetica" w:hAnsi="Helvetica"/>
      <w:b/>
      <w:bCs/>
      <w:lang w:val="en-US" w:eastAsia="en-US"/>
    </w:rPr>
  </w:style>
  <w:style w:type="character" w:customStyle="1" w:styleId="CommentSubjectChar">
    <w:name w:val="Comment Subject Char"/>
    <w:basedOn w:val="CommentTextChar"/>
    <w:link w:val="CommentSubject"/>
    <w:semiHidden/>
    <w:rsid w:val="00B61832"/>
    <w:rPr>
      <w:rFonts w:ascii="Helvetica" w:hAnsi="Helvetica"/>
      <w:b/>
      <w:bCs/>
      <w:lang w:val="nb-NO" w:eastAsia="nb-NO"/>
    </w:rPr>
  </w:style>
  <w:style w:type="paragraph" w:styleId="HTMLPreformatted">
    <w:name w:val="HTML Preformatted"/>
    <w:basedOn w:val="Normal"/>
    <w:link w:val="HTMLPreformattedChar"/>
    <w:uiPriority w:val="99"/>
    <w:semiHidden/>
    <w:unhideWhenUsed/>
    <w:rsid w:val="00265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265643"/>
    <w:rPr>
      <w:rFonts w:ascii="Courier New" w:hAnsi="Courier New" w:cs="Courier New"/>
    </w:rPr>
  </w:style>
  <w:style w:type="character" w:customStyle="1" w:styleId="y2iqfc">
    <w:name w:val="y2iqfc"/>
    <w:basedOn w:val="DefaultParagraphFont"/>
    <w:rsid w:val="00265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3827345">
      <w:bodyDiv w:val="1"/>
      <w:marLeft w:val="0"/>
      <w:marRight w:val="0"/>
      <w:marTop w:val="0"/>
      <w:marBottom w:val="0"/>
      <w:divBdr>
        <w:top w:val="none" w:sz="0" w:space="0" w:color="auto"/>
        <w:left w:val="none" w:sz="0" w:space="0" w:color="auto"/>
        <w:bottom w:val="none" w:sz="0" w:space="0" w:color="auto"/>
        <w:right w:val="none" w:sz="0" w:space="0" w:color="auto"/>
      </w:divBdr>
    </w:div>
    <w:div w:id="42148603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3644242">
      <w:bodyDiv w:val="1"/>
      <w:marLeft w:val="0"/>
      <w:marRight w:val="0"/>
      <w:marTop w:val="0"/>
      <w:marBottom w:val="0"/>
      <w:divBdr>
        <w:top w:val="none" w:sz="0" w:space="0" w:color="auto"/>
        <w:left w:val="none" w:sz="0" w:space="0" w:color="auto"/>
        <w:bottom w:val="none" w:sz="0" w:space="0" w:color="auto"/>
        <w:right w:val="none" w:sz="0" w:space="0" w:color="auto"/>
      </w:divBdr>
    </w:div>
    <w:div w:id="172471143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899184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A716C-6A80-48FB-83D9-68C7149A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TotalTime>
  <Pages>11</Pages>
  <Words>13583</Words>
  <Characters>77425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90827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Novalia</cp:lastModifiedBy>
  <cp:revision>3</cp:revision>
  <cp:lastPrinted>1999-07-06T11:00:00Z</cp:lastPrinted>
  <dcterms:created xsi:type="dcterms:W3CDTF">2026-04-01T02:46:00Z</dcterms:created>
  <dcterms:modified xsi:type="dcterms:W3CDTF">2026-04-01T03:17:00Z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33bbc840-fd29-4fe4-b523-133579272f05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http://www.zotero.org/styles/journal-of-applied-pharmaceutical-research</vt:lpwstr>
  </property>
  <property fmtid="{D5CDD505-2E9C-101B-9397-08002B2CF9AE}" pid="18" name="Mendeley Recent Style Name 7_1">
    <vt:lpwstr>Journal of Applied Pharmaceutical Research</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461ce5b5-4cc2-30cb-87dc-223143cf1538</vt:lpwstr>
  </property>
</Properties>
</file>