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E57C" w14:textId="44A7C41C" w:rsidR="0048637C" w:rsidRDefault="0048637C" w:rsidP="00BB5796">
      <w:pPr>
        <w:spacing w:after="0"/>
        <w:jc w:val="center"/>
        <w:rPr>
          <w:rFonts w:ascii="Times New Roman" w:eastAsia="Times New Roman" w:hAnsi="Times New Roman" w:cs="Times New Roman"/>
          <w:b/>
          <w:bCs/>
          <w:sz w:val="24"/>
          <w:szCs w:val="24"/>
          <w:lang w:bidi="hi-IN"/>
        </w:rPr>
      </w:pPr>
      <w:r w:rsidRPr="00273BAF">
        <w:rPr>
          <w:rFonts w:ascii="Times New Roman" w:hAnsi="Times New Roman" w:cs="Times New Roman"/>
          <w:b/>
          <w:bCs/>
          <w:sz w:val="24"/>
          <w:szCs w:val="24"/>
        </w:rPr>
        <w:t xml:space="preserve">Effect of Integrated Nitrogen Management and Spacing on Soil Fertility Status and </w:t>
      </w:r>
      <w:commentRangeStart w:id="0"/>
      <w:r w:rsidRPr="006F6440">
        <w:rPr>
          <w:rFonts w:ascii="Times New Roman" w:hAnsi="Times New Roman" w:cs="Times New Roman"/>
          <w:b/>
          <w:bCs/>
          <w:sz w:val="24"/>
          <w:szCs w:val="24"/>
          <w:highlight w:val="yellow"/>
        </w:rPr>
        <w:t>Microbial</w:t>
      </w:r>
      <w:commentRangeEnd w:id="0"/>
      <w:r w:rsidR="0046385B" w:rsidRPr="00273BAF">
        <w:rPr>
          <w:rStyle w:val="CommentReference"/>
          <w:rFonts w:ascii="Times New Roman" w:hAnsi="Times New Roman" w:cs="Times New Roman"/>
          <w:b/>
          <w:bCs/>
          <w:sz w:val="24"/>
          <w:szCs w:val="24"/>
        </w:rPr>
        <w:commentReference w:id="0"/>
      </w:r>
      <w:r w:rsidRPr="00273BAF">
        <w:rPr>
          <w:rFonts w:ascii="Times New Roman" w:hAnsi="Times New Roman" w:cs="Times New Roman"/>
          <w:b/>
          <w:bCs/>
          <w:sz w:val="24"/>
          <w:szCs w:val="24"/>
        </w:rPr>
        <w:t xml:space="preserve"> Properties in Kalmegh</w:t>
      </w:r>
      <w:r w:rsidR="00273BAF" w:rsidRPr="00273BAF">
        <w:rPr>
          <w:rFonts w:ascii="Times New Roman" w:hAnsi="Times New Roman" w:cs="Times New Roman"/>
          <w:b/>
          <w:bCs/>
          <w:sz w:val="24"/>
          <w:szCs w:val="24"/>
        </w:rPr>
        <w:t xml:space="preserve"> </w:t>
      </w:r>
      <w:r w:rsidR="00273BAF" w:rsidRPr="00273BAF">
        <w:rPr>
          <w:rFonts w:ascii="Times New Roman" w:eastAsia="Times New Roman" w:hAnsi="Times New Roman" w:cs="Times New Roman"/>
          <w:b/>
          <w:bCs/>
          <w:sz w:val="24"/>
          <w:szCs w:val="24"/>
          <w:lang w:bidi="hi-IN"/>
        </w:rPr>
        <w:t>(</w:t>
      </w:r>
      <w:r w:rsidR="00273BAF" w:rsidRPr="00F94B43">
        <w:rPr>
          <w:rFonts w:ascii="Times New Roman" w:eastAsia="Times New Roman" w:hAnsi="Times New Roman" w:cs="Times New Roman"/>
          <w:b/>
          <w:bCs/>
          <w:i/>
          <w:iCs/>
          <w:sz w:val="24"/>
          <w:szCs w:val="24"/>
          <w:lang w:bidi="hi-IN"/>
        </w:rPr>
        <w:t>Andrographis paniculata</w:t>
      </w:r>
      <w:r w:rsidR="00273BAF" w:rsidRPr="00273BAF">
        <w:rPr>
          <w:rFonts w:ascii="Times New Roman" w:eastAsia="Times New Roman" w:hAnsi="Times New Roman" w:cs="Times New Roman"/>
          <w:b/>
          <w:bCs/>
          <w:sz w:val="24"/>
          <w:szCs w:val="24"/>
          <w:lang w:bidi="hi-IN"/>
        </w:rPr>
        <w:t>)</w:t>
      </w:r>
    </w:p>
    <w:p w14:paraId="4460C7AA" w14:textId="77777777" w:rsidR="00206620" w:rsidRPr="00273BAF" w:rsidRDefault="00206620" w:rsidP="00BB5796">
      <w:pPr>
        <w:spacing w:after="0"/>
        <w:jc w:val="center"/>
        <w:rPr>
          <w:rFonts w:ascii="Times New Roman" w:hAnsi="Times New Roman" w:cs="Times New Roman"/>
          <w:b/>
          <w:bCs/>
          <w:sz w:val="24"/>
          <w:szCs w:val="24"/>
        </w:rPr>
      </w:pPr>
    </w:p>
    <w:p w14:paraId="12DF1330" w14:textId="77777777" w:rsidR="001F11CB" w:rsidRPr="00D5051F" w:rsidRDefault="001F11CB" w:rsidP="00F84DBD">
      <w:pPr>
        <w:spacing w:after="0" w:line="360" w:lineRule="auto"/>
        <w:rPr>
          <w:rFonts w:ascii="Times New Roman" w:hAnsi="Times New Roman" w:cs="Times New Roman"/>
          <w:b/>
          <w:sz w:val="24"/>
          <w:szCs w:val="24"/>
        </w:rPr>
      </w:pPr>
    </w:p>
    <w:p w14:paraId="3484A437" w14:textId="726B2108" w:rsidR="001D6226" w:rsidRPr="008C4C2F" w:rsidRDefault="007F39F5" w:rsidP="008C4C2F">
      <w:pPr>
        <w:spacing w:after="0" w:line="360" w:lineRule="auto"/>
        <w:jc w:val="center"/>
        <w:rPr>
          <w:rFonts w:ascii="Times New Roman" w:hAnsi="Times New Roman" w:cs="Times New Roman"/>
          <w:b/>
          <w:sz w:val="28"/>
          <w:szCs w:val="28"/>
        </w:rPr>
      </w:pPr>
      <w:r w:rsidRPr="008C4C2F">
        <w:rPr>
          <w:rFonts w:ascii="Times New Roman" w:hAnsi="Times New Roman" w:cs="Times New Roman"/>
          <w:b/>
          <w:sz w:val="28"/>
          <w:szCs w:val="28"/>
        </w:rPr>
        <w:t>Abstract</w:t>
      </w:r>
    </w:p>
    <w:p w14:paraId="4E38DD47" w14:textId="44B03261" w:rsidR="00975A6C" w:rsidRPr="00D5051F" w:rsidRDefault="00240642" w:rsidP="00635E5B">
      <w:pPr>
        <w:spacing w:line="360" w:lineRule="auto"/>
        <w:ind w:firstLine="720"/>
        <w:jc w:val="both"/>
        <w:rPr>
          <w:rFonts w:ascii="Times New Roman" w:eastAsia="Times New Roman" w:hAnsi="Times New Roman" w:cs="Times New Roman"/>
          <w:sz w:val="24"/>
          <w:szCs w:val="24"/>
          <w:lang w:bidi="hi-IN"/>
        </w:rPr>
      </w:pPr>
      <w:r w:rsidRPr="00240642">
        <w:rPr>
          <w:rFonts w:ascii="Times New Roman" w:hAnsi="Times New Roman" w:cs="Times New Roman"/>
          <w:sz w:val="24"/>
          <w:szCs w:val="24"/>
          <w:lang w:eastAsia="en-IN" w:bidi="hi-IN"/>
        </w:rPr>
        <w:t>A field experiment was conducted to study the effect of integrated nitrogen management and plant spacing on soil fertility status and soil microbial properties in Kalmegh (</w:t>
      </w:r>
      <w:r w:rsidRPr="00240642">
        <w:rPr>
          <w:rFonts w:ascii="Times New Roman" w:hAnsi="Times New Roman" w:cs="Times New Roman"/>
          <w:i/>
          <w:iCs/>
          <w:sz w:val="24"/>
          <w:szCs w:val="24"/>
          <w:lang w:eastAsia="en-IN" w:bidi="hi-IN"/>
        </w:rPr>
        <w:t>Andrographis paniculata</w:t>
      </w:r>
      <w:r w:rsidRPr="00240642">
        <w:rPr>
          <w:rFonts w:ascii="Times New Roman" w:hAnsi="Times New Roman" w:cs="Times New Roman"/>
          <w:sz w:val="24"/>
          <w:szCs w:val="24"/>
          <w:lang w:eastAsia="en-IN" w:bidi="hi-IN"/>
        </w:rPr>
        <w:t>). The experiment was laid out in a factorial randomized block design with four nitrogen source treatments comprising different proportions of vermicompost and inorganic fertilizers, and three plant geometries. Soil samples collected after harvest were analyzed for available nitrogen (N), phosphorus (P₂O₅), potassium (K₂O)</w:t>
      </w:r>
      <w:r w:rsidR="00F94B43">
        <w:rPr>
          <w:rFonts w:ascii="Times New Roman" w:hAnsi="Times New Roman" w:cs="Times New Roman"/>
          <w:sz w:val="24"/>
          <w:szCs w:val="24"/>
          <w:lang w:eastAsia="en-IN" w:bidi="hi-IN"/>
        </w:rPr>
        <w:t xml:space="preserve"> </w:t>
      </w:r>
      <w:r w:rsidRPr="00240642">
        <w:rPr>
          <w:rFonts w:ascii="Times New Roman" w:hAnsi="Times New Roman" w:cs="Times New Roman"/>
          <w:sz w:val="24"/>
          <w:szCs w:val="24"/>
          <w:lang w:eastAsia="en-IN" w:bidi="hi-IN"/>
        </w:rPr>
        <w:t>and soil microbial populations (actinomycetes, bacteria and fungi). The results revealed that integrated nitrogen management significantly influenced post-harvest soil nutrient status and microbial activity. Application of 100% nitrogen through vermicompost recorded significantly higher available N (189.90 kg ha⁻¹), P₂O₅ (24.91 kg ha⁻¹), and K₂O (375.76 kg ha</w:t>
      </w:r>
      <w:r w:rsidR="00F94B43" w:rsidRPr="00F94B43">
        <w:rPr>
          <w:rFonts w:ascii="Times New Roman" w:hAnsi="Times New Roman" w:cs="Times New Roman"/>
          <w:sz w:val="24"/>
          <w:szCs w:val="24"/>
          <w:vertAlign w:val="superscript"/>
          <w:lang w:eastAsia="en-IN" w:bidi="hi-IN"/>
        </w:rPr>
        <w:t>-1</w:t>
      </w:r>
      <w:r w:rsidRPr="00240642">
        <w:rPr>
          <w:rFonts w:ascii="Times New Roman" w:hAnsi="Times New Roman" w:cs="Times New Roman"/>
          <w:sz w:val="24"/>
          <w:szCs w:val="24"/>
          <w:lang w:eastAsia="en-IN" w:bidi="hi-IN"/>
        </w:rPr>
        <w:t>) compared to sole application of inorganic fertilizer. Vermicompost-based treatments also enhanced soil biological properties, registering the highest populations of actinomycetes (3.92 × 10⁴ cfu g⁻¹), bacteria (28.49 × 10⁶ cfu g⁻¹) and fungi (4.39 × 10⁵ cfu g⁻¹) indicating improved soil biological health due to increased organic matter and microbial activity. Plant spacing significantly affected available soil nutrients and bacterial population, with wider spacing (30 × 15 cm) recording higher available nitrogen, while 20 × 20 cm spacing resulted in higher available phosphorus and 30 × 10 cm spacing recorded maximum potassium and bacterial count. However, actinomycetes and fungal populations were not significantly influenced by spacing. The interaction effects between nitrogen sources and plant geometry were non-significant for soil fertility and microbial parameters. The study concludes that integrated nitrogen management, particularly the use of vermicompost, along with suitable plant spacing, plays a vital role in improving soil fertility status and microbial properties in Kalmegh cultivation, contributing to sustainable soil health management.</w:t>
      </w:r>
    </w:p>
    <w:p w14:paraId="75518EF1" w14:textId="3274C325" w:rsidR="00002BD9" w:rsidRDefault="002A7D99" w:rsidP="001C54B4">
      <w:pPr>
        <w:spacing w:after="0" w:line="360" w:lineRule="auto"/>
        <w:jc w:val="both"/>
        <w:rPr>
          <w:rFonts w:ascii="Times New Roman" w:eastAsia="Times New Roman" w:hAnsi="Times New Roman" w:cs="Times New Roman"/>
          <w:sz w:val="24"/>
          <w:szCs w:val="24"/>
          <w:lang w:bidi="hi-IN"/>
        </w:rPr>
      </w:pPr>
      <w:r w:rsidRPr="00D5051F">
        <w:rPr>
          <w:rFonts w:ascii="Times New Roman" w:hAnsi="Times New Roman" w:cs="Times New Roman"/>
          <w:b/>
          <w:bCs/>
          <w:sz w:val="24"/>
          <w:szCs w:val="24"/>
        </w:rPr>
        <w:t xml:space="preserve">Keywords: </w:t>
      </w:r>
      <w:r w:rsidR="00FC0BF0" w:rsidRPr="00D5051F">
        <w:rPr>
          <w:rFonts w:ascii="Times New Roman" w:eastAsia="Times New Roman" w:hAnsi="Times New Roman" w:cs="Times New Roman"/>
          <w:sz w:val="24"/>
          <w:szCs w:val="24"/>
          <w:lang w:bidi="hi-IN"/>
        </w:rPr>
        <w:t xml:space="preserve">Kalmegh, </w:t>
      </w:r>
      <w:r w:rsidR="00A67501">
        <w:rPr>
          <w:rFonts w:ascii="Times New Roman" w:eastAsia="Times New Roman" w:hAnsi="Times New Roman" w:cs="Times New Roman"/>
          <w:sz w:val="24"/>
          <w:szCs w:val="24"/>
          <w:lang w:bidi="hi-IN"/>
        </w:rPr>
        <w:t>S</w:t>
      </w:r>
      <w:r w:rsidR="00240642">
        <w:rPr>
          <w:rFonts w:ascii="Times New Roman" w:eastAsia="Times New Roman" w:hAnsi="Times New Roman" w:cs="Times New Roman"/>
          <w:sz w:val="24"/>
          <w:szCs w:val="24"/>
          <w:lang w:bidi="hi-IN"/>
        </w:rPr>
        <w:t>oil</w:t>
      </w:r>
      <w:r w:rsidR="00A67501">
        <w:rPr>
          <w:rFonts w:ascii="Times New Roman" w:eastAsia="Times New Roman" w:hAnsi="Times New Roman" w:cs="Times New Roman"/>
          <w:sz w:val="24"/>
          <w:szCs w:val="24"/>
          <w:lang w:bidi="hi-IN"/>
        </w:rPr>
        <w:t xml:space="preserve"> </w:t>
      </w:r>
      <w:r w:rsidR="00240642">
        <w:rPr>
          <w:rFonts w:ascii="Times New Roman" w:eastAsia="Times New Roman" w:hAnsi="Times New Roman" w:cs="Times New Roman"/>
          <w:sz w:val="24"/>
          <w:szCs w:val="24"/>
          <w:lang w:bidi="hi-IN"/>
        </w:rPr>
        <w:t>fertility</w:t>
      </w:r>
      <w:r w:rsidR="006453B1">
        <w:rPr>
          <w:rFonts w:ascii="Times New Roman" w:eastAsia="Times New Roman" w:hAnsi="Times New Roman" w:cs="Times New Roman"/>
          <w:sz w:val="24"/>
          <w:szCs w:val="24"/>
          <w:lang w:bidi="hi-IN"/>
        </w:rPr>
        <w:t>,</w:t>
      </w:r>
      <w:r w:rsidR="00A67501">
        <w:rPr>
          <w:rFonts w:ascii="Times New Roman" w:eastAsia="Times New Roman" w:hAnsi="Times New Roman" w:cs="Times New Roman"/>
          <w:sz w:val="24"/>
          <w:szCs w:val="24"/>
          <w:lang w:bidi="hi-IN"/>
        </w:rPr>
        <w:t xml:space="preserve"> </w:t>
      </w:r>
      <w:r w:rsidR="00FC0BF0" w:rsidRPr="00D5051F">
        <w:rPr>
          <w:rFonts w:ascii="Times New Roman" w:eastAsia="Times New Roman" w:hAnsi="Times New Roman" w:cs="Times New Roman"/>
          <w:sz w:val="24"/>
          <w:szCs w:val="24"/>
          <w:lang w:bidi="hi-IN"/>
        </w:rPr>
        <w:t>Vermicompost, Inorganic fertilizer</w:t>
      </w:r>
      <w:r w:rsidR="006453B1">
        <w:rPr>
          <w:rFonts w:ascii="Times New Roman" w:eastAsia="Times New Roman" w:hAnsi="Times New Roman" w:cs="Times New Roman"/>
          <w:sz w:val="24"/>
          <w:szCs w:val="24"/>
          <w:lang w:bidi="hi-IN"/>
        </w:rPr>
        <w:t>.</w:t>
      </w:r>
    </w:p>
    <w:p w14:paraId="446F37BE" w14:textId="79BA51A5" w:rsidR="007311DD" w:rsidRDefault="007311DD" w:rsidP="001C54B4">
      <w:pPr>
        <w:spacing w:after="0" w:line="360" w:lineRule="auto"/>
        <w:jc w:val="both"/>
        <w:rPr>
          <w:rFonts w:ascii="Times New Roman" w:eastAsia="Times New Roman" w:hAnsi="Times New Roman" w:cs="Times New Roman"/>
          <w:sz w:val="24"/>
          <w:szCs w:val="24"/>
          <w:lang w:bidi="hi-IN"/>
        </w:rPr>
      </w:pPr>
    </w:p>
    <w:p w14:paraId="7BDB1263" w14:textId="1E5D4C17" w:rsidR="007311DD" w:rsidRDefault="007311DD" w:rsidP="001C54B4">
      <w:pPr>
        <w:spacing w:after="0" w:line="360" w:lineRule="auto"/>
        <w:jc w:val="both"/>
        <w:rPr>
          <w:rFonts w:ascii="Times New Roman" w:eastAsia="Times New Roman" w:hAnsi="Times New Roman" w:cs="Times New Roman"/>
          <w:sz w:val="24"/>
          <w:szCs w:val="24"/>
          <w:lang w:bidi="hi-IN"/>
        </w:rPr>
      </w:pPr>
    </w:p>
    <w:p w14:paraId="7C3CC606" w14:textId="4285D2CF" w:rsidR="007311DD" w:rsidRDefault="007311DD" w:rsidP="001C54B4">
      <w:pPr>
        <w:spacing w:after="0" w:line="360" w:lineRule="auto"/>
        <w:jc w:val="both"/>
        <w:rPr>
          <w:rFonts w:ascii="Times New Roman" w:eastAsia="Times New Roman" w:hAnsi="Times New Roman" w:cs="Times New Roman"/>
          <w:sz w:val="24"/>
          <w:szCs w:val="24"/>
          <w:lang w:bidi="hi-IN"/>
        </w:rPr>
      </w:pPr>
    </w:p>
    <w:p w14:paraId="22F52824" w14:textId="3211B7DC" w:rsidR="007311DD" w:rsidRDefault="007311DD" w:rsidP="001C54B4">
      <w:pPr>
        <w:spacing w:after="0" w:line="360" w:lineRule="auto"/>
        <w:jc w:val="both"/>
        <w:rPr>
          <w:rFonts w:ascii="Times New Roman" w:eastAsia="Times New Roman" w:hAnsi="Times New Roman" w:cs="Times New Roman"/>
          <w:sz w:val="24"/>
          <w:szCs w:val="24"/>
          <w:lang w:bidi="hi-IN"/>
        </w:rPr>
      </w:pPr>
    </w:p>
    <w:p w14:paraId="6CC73109" w14:textId="77777777" w:rsidR="007311DD" w:rsidRPr="00D5051F" w:rsidRDefault="007311DD" w:rsidP="001C54B4">
      <w:pPr>
        <w:spacing w:after="0" w:line="360" w:lineRule="auto"/>
        <w:jc w:val="both"/>
        <w:rPr>
          <w:rFonts w:ascii="Times New Roman" w:eastAsia="Times New Roman" w:hAnsi="Times New Roman" w:cs="Times New Roman"/>
          <w:sz w:val="24"/>
          <w:szCs w:val="24"/>
          <w:lang w:bidi="hi-IN"/>
        </w:rPr>
      </w:pPr>
    </w:p>
    <w:p w14:paraId="0021F0E0" w14:textId="77777777" w:rsidR="001C54B4" w:rsidRPr="00D5051F" w:rsidRDefault="001C54B4" w:rsidP="00F84DBD">
      <w:pPr>
        <w:tabs>
          <w:tab w:val="left" w:pos="1440"/>
        </w:tabs>
        <w:spacing w:after="100" w:line="360" w:lineRule="auto"/>
        <w:rPr>
          <w:rFonts w:ascii="Times New Roman" w:hAnsi="Times New Roman" w:cs="Times New Roman"/>
          <w:b/>
          <w:sz w:val="24"/>
          <w:szCs w:val="24"/>
        </w:rPr>
      </w:pPr>
    </w:p>
    <w:p w14:paraId="3FB0B405" w14:textId="3913B651" w:rsidR="00F84DBD" w:rsidRDefault="007F39F5" w:rsidP="006453B1">
      <w:pPr>
        <w:tabs>
          <w:tab w:val="left" w:pos="1440"/>
        </w:tabs>
        <w:spacing w:after="100" w:line="360" w:lineRule="auto"/>
        <w:jc w:val="center"/>
        <w:rPr>
          <w:rFonts w:ascii="Times New Roman" w:hAnsi="Times New Roman" w:cs="Times New Roman"/>
          <w:b/>
          <w:sz w:val="28"/>
          <w:szCs w:val="28"/>
        </w:rPr>
      </w:pPr>
      <w:r w:rsidRPr="006453B1">
        <w:rPr>
          <w:rFonts w:ascii="Times New Roman" w:hAnsi="Times New Roman" w:cs="Times New Roman"/>
          <w:b/>
          <w:sz w:val="28"/>
          <w:szCs w:val="28"/>
        </w:rPr>
        <w:t>Introduction</w:t>
      </w:r>
    </w:p>
    <w:p w14:paraId="3B312131" w14:textId="77777777" w:rsidR="006453B1" w:rsidRPr="006453B1" w:rsidRDefault="006453B1" w:rsidP="006453B1">
      <w:pPr>
        <w:tabs>
          <w:tab w:val="left" w:pos="1440"/>
        </w:tabs>
        <w:spacing w:after="100" w:line="360" w:lineRule="auto"/>
        <w:jc w:val="center"/>
        <w:rPr>
          <w:rFonts w:ascii="Times New Roman" w:hAnsi="Times New Roman" w:cs="Times New Roman"/>
          <w:b/>
          <w:sz w:val="28"/>
          <w:szCs w:val="28"/>
        </w:rPr>
      </w:pPr>
    </w:p>
    <w:p w14:paraId="20C71D40" w14:textId="06D64D5A" w:rsidR="00F30ECA" w:rsidRPr="00D5051F" w:rsidRDefault="00F30ECA" w:rsidP="00F30ECA">
      <w:pPr>
        <w:spacing w:after="160" w:line="360" w:lineRule="auto"/>
        <w:ind w:firstLine="720"/>
        <w:jc w:val="both"/>
        <w:rPr>
          <w:rFonts w:ascii="Times New Roman" w:hAnsi="Times New Roman" w:cs="Times New Roman"/>
          <w:sz w:val="24"/>
          <w:szCs w:val="24"/>
        </w:rPr>
      </w:pPr>
      <w:r w:rsidRPr="00D5051F">
        <w:rPr>
          <w:rFonts w:ascii="Times New Roman" w:hAnsi="Times New Roman" w:cs="Times New Roman"/>
          <w:i/>
          <w:iCs/>
          <w:sz w:val="24"/>
          <w:szCs w:val="24"/>
        </w:rPr>
        <w:t>Andrographis paniculata</w:t>
      </w:r>
      <w:r w:rsidRPr="00D5051F">
        <w:rPr>
          <w:rFonts w:ascii="Times New Roman" w:hAnsi="Times New Roman" w:cs="Times New Roman"/>
          <w:sz w:val="24"/>
          <w:szCs w:val="24"/>
        </w:rPr>
        <w:t xml:space="preserve"> is a valuable medicinal plant widely utilized in traditional healing systems such as Ayurveda, Unani, and Siddha, primarily due to its active compound, andrographolide. </w:t>
      </w:r>
      <w:r w:rsidR="006453B1" w:rsidRPr="006453B1">
        <w:rPr>
          <w:rFonts w:ascii="Times New Roman" w:hAnsi="Times New Roman" w:cs="Times New Roman"/>
          <w:sz w:val="24"/>
          <w:szCs w:val="24"/>
        </w:rPr>
        <w:t xml:space="preserve">One of this group's most significant medicinal plant is </w:t>
      </w:r>
      <w:commentRangeStart w:id="1"/>
      <w:commentRangeStart w:id="2"/>
      <w:r w:rsidR="006453B1" w:rsidRPr="00A44F9F">
        <w:rPr>
          <w:rFonts w:ascii="Times New Roman" w:hAnsi="Times New Roman" w:cs="Times New Roman"/>
          <w:sz w:val="24"/>
          <w:szCs w:val="24"/>
          <w:highlight w:val="yellow"/>
        </w:rPr>
        <w:t>Andrographis</w:t>
      </w:r>
      <w:commentRangeEnd w:id="1"/>
      <w:r w:rsidR="00A44F9F" w:rsidRPr="006453B1">
        <w:rPr>
          <w:rStyle w:val="CommentReference"/>
          <w:rFonts w:ascii="Times New Roman" w:hAnsi="Times New Roman" w:cs="Times New Roman"/>
          <w:sz w:val="24"/>
          <w:szCs w:val="24"/>
        </w:rPr>
        <w:commentReference w:id="1"/>
      </w:r>
      <w:commentRangeEnd w:id="2"/>
      <w:r w:rsidR="00A44F9F" w:rsidRPr="006453B1">
        <w:rPr>
          <w:rStyle w:val="CommentReference"/>
          <w:rFonts w:ascii="Times New Roman" w:hAnsi="Times New Roman" w:cs="Times New Roman"/>
          <w:sz w:val="24"/>
          <w:szCs w:val="24"/>
        </w:rPr>
        <w:commentReference w:id="2"/>
      </w:r>
      <w:r w:rsidR="006453B1" w:rsidRPr="006453B1">
        <w:rPr>
          <w:rFonts w:ascii="Times New Roman" w:hAnsi="Times New Roman" w:cs="Times New Roman"/>
          <w:sz w:val="24"/>
          <w:szCs w:val="24"/>
        </w:rPr>
        <w:t xml:space="preserve"> paniculata Nees, commonly known as Kalmegh</w:t>
      </w:r>
      <w:r w:rsidR="00F8572E">
        <w:rPr>
          <w:rFonts w:ascii="Times New Roman" w:hAnsi="Times New Roman" w:cs="Times New Roman"/>
          <w:sz w:val="24"/>
          <w:szCs w:val="24"/>
        </w:rPr>
        <w:t>.</w:t>
      </w:r>
      <w:r w:rsidR="00A44F9F">
        <w:rPr>
          <w:rFonts w:ascii="Times New Roman" w:hAnsi="Times New Roman" w:cs="Times New Roman"/>
          <w:sz w:val="24"/>
          <w:szCs w:val="24"/>
        </w:rPr>
        <w:t xml:space="preserve"> </w:t>
      </w:r>
      <w:r w:rsidR="006453B1" w:rsidRPr="006453B1">
        <w:rPr>
          <w:rFonts w:ascii="Times New Roman" w:hAnsi="Times New Roman" w:cs="Times New Roman"/>
          <w:sz w:val="24"/>
          <w:szCs w:val="24"/>
        </w:rPr>
        <w:t>Kalmegh (</w:t>
      </w:r>
      <w:r w:rsidR="006453B1" w:rsidRPr="00A44F9F">
        <w:rPr>
          <w:rFonts w:ascii="Times New Roman" w:hAnsi="Times New Roman" w:cs="Times New Roman"/>
          <w:sz w:val="24"/>
          <w:szCs w:val="24"/>
          <w:highlight w:val="yellow"/>
        </w:rPr>
        <w:t>Andrographis</w:t>
      </w:r>
      <w:r w:rsidR="006453B1" w:rsidRPr="006453B1">
        <w:rPr>
          <w:rFonts w:ascii="Times New Roman" w:hAnsi="Times New Roman" w:cs="Times New Roman"/>
          <w:sz w:val="24"/>
          <w:szCs w:val="24"/>
        </w:rPr>
        <w:t xml:space="preserve"> </w:t>
      </w:r>
      <w:commentRangeStart w:id="3"/>
      <w:r w:rsidR="006453B1" w:rsidRPr="00A44F9F">
        <w:rPr>
          <w:rFonts w:ascii="Times New Roman" w:hAnsi="Times New Roman" w:cs="Times New Roman"/>
          <w:sz w:val="24"/>
          <w:szCs w:val="24"/>
          <w:highlight w:val="yellow"/>
        </w:rPr>
        <w:t>paniculata</w:t>
      </w:r>
      <w:commentRangeEnd w:id="3"/>
      <w:r w:rsidR="00A44F9F" w:rsidRPr="006453B1">
        <w:rPr>
          <w:rStyle w:val="CommentReference"/>
          <w:rFonts w:ascii="Times New Roman" w:hAnsi="Times New Roman" w:cs="Times New Roman"/>
          <w:sz w:val="24"/>
          <w:szCs w:val="24"/>
        </w:rPr>
        <w:commentReference w:id="3"/>
      </w:r>
      <w:r w:rsidR="006453B1" w:rsidRPr="006453B1">
        <w:rPr>
          <w:rFonts w:ascii="Times New Roman" w:hAnsi="Times New Roman" w:cs="Times New Roman"/>
          <w:sz w:val="24"/>
          <w:szCs w:val="24"/>
        </w:rPr>
        <w:t xml:space="preserve"> Burm.F Nees) is a bitter-taste annual herb from the Acanthaceae family, often called the "king of bitter." </w:t>
      </w:r>
      <w:r w:rsidRPr="00D5051F">
        <w:rPr>
          <w:rFonts w:ascii="Times New Roman" w:hAnsi="Times New Roman" w:cs="Times New Roman"/>
          <w:sz w:val="24"/>
          <w:szCs w:val="24"/>
        </w:rPr>
        <w:t>Improving dry matter accumulation in Kalmegh is crucial for increasing both yield and medicinal efficacy. Key agronomic practices, particularly nitrogen management and optimal plant spacing, play a significant role in influencing its growth and productivity</w:t>
      </w:r>
      <w:r w:rsidR="00962983">
        <w:rPr>
          <w:rFonts w:ascii="Times New Roman" w:hAnsi="Times New Roman" w:cs="Times New Roman"/>
          <w:sz w:val="24"/>
          <w:szCs w:val="24"/>
        </w:rPr>
        <w:t xml:space="preserve"> (</w:t>
      </w:r>
      <w:r w:rsidR="00962983" w:rsidRPr="00962983">
        <w:rPr>
          <w:rFonts w:ascii="Times New Roman" w:hAnsi="Times New Roman" w:cs="Times New Roman"/>
          <w:sz w:val="24"/>
          <w:szCs w:val="24"/>
        </w:rPr>
        <w:t>Zaman</w:t>
      </w:r>
      <w:r w:rsidR="00962983">
        <w:rPr>
          <w:rFonts w:ascii="Times New Roman" w:hAnsi="Times New Roman" w:cs="Times New Roman"/>
          <w:sz w:val="24"/>
          <w:szCs w:val="24"/>
        </w:rPr>
        <w:t xml:space="preserve"> </w:t>
      </w:r>
      <w:commentRangeStart w:id="4"/>
      <w:r w:rsidR="00962983" w:rsidRPr="00A44F9F">
        <w:rPr>
          <w:rFonts w:ascii="Times New Roman" w:hAnsi="Times New Roman" w:cs="Times New Roman"/>
          <w:sz w:val="24"/>
          <w:szCs w:val="24"/>
          <w:highlight w:val="yellow"/>
        </w:rPr>
        <w:t>et</w:t>
      </w:r>
      <w:commentRangeEnd w:id="4"/>
      <w:r w:rsidR="00A44F9F" w:rsidRPr="00A44F9F">
        <w:rPr>
          <w:rStyle w:val="CommentReference"/>
          <w:rFonts w:ascii="Times New Roman" w:hAnsi="Times New Roman" w:cs="Times New Roman"/>
          <w:sz w:val="24"/>
          <w:szCs w:val="24"/>
          <w:highlight w:val="yellow"/>
        </w:rPr>
        <w:commentReference w:id="4"/>
      </w:r>
      <w:r w:rsidR="00962983" w:rsidRPr="00A44F9F">
        <w:rPr>
          <w:rFonts w:ascii="Times New Roman" w:hAnsi="Times New Roman" w:cs="Times New Roman"/>
          <w:sz w:val="24"/>
          <w:szCs w:val="24"/>
          <w:highlight w:val="yellow"/>
        </w:rPr>
        <w:t xml:space="preserve"> al</w:t>
      </w:r>
      <w:r w:rsidR="00962983">
        <w:rPr>
          <w:rFonts w:ascii="Times New Roman" w:hAnsi="Times New Roman" w:cs="Times New Roman"/>
          <w:sz w:val="24"/>
          <w:szCs w:val="24"/>
        </w:rPr>
        <w:t xml:space="preserve">., 2021; </w:t>
      </w:r>
      <w:r w:rsidR="00962983" w:rsidRPr="00962983">
        <w:rPr>
          <w:rFonts w:ascii="Times New Roman" w:hAnsi="Times New Roman" w:cs="Times New Roman"/>
          <w:sz w:val="24"/>
          <w:szCs w:val="24"/>
        </w:rPr>
        <w:t>Hassan</w:t>
      </w:r>
      <w:r w:rsidR="00962983">
        <w:rPr>
          <w:rFonts w:ascii="Times New Roman" w:hAnsi="Times New Roman" w:cs="Times New Roman"/>
          <w:sz w:val="24"/>
          <w:szCs w:val="24"/>
        </w:rPr>
        <w:t xml:space="preserve"> </w:t>
      </w:r>
      <w:r w:rsidR="00962983" w:rsidRPr="00A44F9F">
        <w:rPr>
          <w:rFonts w:ascii="Times New Roman" w:hAnsi="Times New Roman" w:cs="Times New Roman"/>
          <w:sz w:val="24"/>
          <w:szCs w:val="24"/>
          <w:highlight w:val="yellow"/>
        </w:rPr>
        <w:t>et al</w:t>
      </w:r>
      <w:r w:rsidR="00962983">
        <w:rPr>
          <w:rFonts w:ascii="Times New Roman" w:hAnsi="Times New Roman" w:cs="Times New Roman"/>
          <w:sz w:val="24"/>
          <w:szCs w:val="24"/>
        </w:rPr>
        <w:t xml:space="preserve">., 2022; </w:t>
      </w:r>
      <w:r w:rsidR="00962983" w:rsidRPr="00962983">
        <w:rPr>
          <w:rFonts w:ascii="Times New Roman" w:hAnsi="Times New Roman" w:cs="Times New Roman"/>
          <w:sz w:val="24"/>
          <w:szCs w:val="24"/>
        </w:rPr>
        <w:t>Qiao</w:t>
      </w:r>
      <w:r w:rsidR="00962983">
        <w:rPr>
          <w:rFonts w:ascii="Times New Roman" w:hAnsi="Times New Roman" w:cs="Times New Roman"/>
          <w:sz w:val="24"/>
          <w:szCs w:val="24"/>
        </w:rPr>
        <w:t xml:space="preserve"> </w:t>
      </w:r>
      <w:r w:rsidR="00962983" w:rsidRPr="00A44F9F">
        <w:rPr>
          <w:rFonts w:ascii="Times New Roman" w:hAnsi="Times New Roman" w:cs="Times New Roman"/>
          <w:sz w:val="24"/>
          <w:szCs w:val="24"/>
          <w:highlight w:val="yellow"/>
        </w:rPr>
        <w:t>et al</w:t>
      </w:r>
      <w:r w:rsidR="00962983">
        <w:rPr>
          <w:rFonts w:ascii="Times New Roman" w:hAnsi="Times New Roman" w:cs="Times New Roman"/>
          <w:sz w:val="24"/>
          <w:szCs w:val="24"/>
        </w:rPr>
        <w:t>., 2024)</w:t>
      </w:r>
      <w:r w:rsidRPr="00D5051F">
        <w:rPr>
          <w:rFonts w:ascii="Times New Roman" w:hAnsi="Times New Roman" w:cs="Times New Roman"/>
          <w:sz w:val="24"/>
          <w:szCs w:val="24"/>
        </w:rPr>
        <w:t xml:space="preserve">. The adoption of integrated nitrogen management (INM), which involves the combined use of organic and inorganic nitrogen sources, has been shown to boost nutrient availability, enhance soil fertility, and support sustainable crop production (Shelke </w:t>
      </w:r>
      <w:r w:rsidRPr="00F94B43">
        <w:rPr>
          <w:rFonts w:ascii="Times New Roman" w:hAnsi="Times New Roman" w:cs="Times New Roman"/>
          <w:i/>
          <w:iCs/>
          <w:sz w:val="24"/>
          <w:szCs w:val="24"/>
        </w:rPr>
        <w:t>et al.,</w:t>
      </w:r>
      <w:r w:rsidRPr="00D5051F">
        <w:rPr>
          <w:rFonts w:ascii="Times New Roman" w:hAnsi="Times New Roman" w:cs="Times New Roman"/>
          <w:sz w:val="24"/>
          <w:szCs w:val="24"/>
        </w:rPr>
        <w:t xml:space="preserve"> 2024).</w:t>
      </w:r>
    </w:p>
    <w:p w14:paraId="4B3F4CEB" w14:textId="758B8055" w:rsidR="00267F98" w:rsidRPr="006453B1" w:rsidRDefault="001D21C5" w:rsidP="001D21C5">
      <w:pPr>
        <w:pStyle w:val="Default"/>
        <w:spacing w:after="240" w:line="360" w:lineRule="auto"/>
        <w:ind w:firstLine="720"/>
        <w:jc w:val="both"/>
        <w:rPr>
          <w:b/>
          <w:bCs/>
          <w:sz w:val="28"/>
          <w:szCs w:val="28"/>
        </w:rPr>
      </w:pPr>
      <w:r w:rsidRPr="001D21C5">
        <w:rPr>
          <w:rFonts w:eastAsia="Calibri"/>
          <w:color w:val="auto"/>
          <w:lang w:val="en-US"/>
        </w:rPr>
        <w:t>Nitrogen is a key nutrient governing physiological growth, nutrient accumulation, and uptake in medicinal plants such as Kalmegh (</w:t>
      </w:r>
      <w:r w:rsidRPr="001D21C5">
        <w:rPr>
          <w:rFonts w:eastAsia="Calibri"/>
          <w:i/>
          <w:iCs/>
          <w:color w:val="auto"/>
          <w:lang w:val="en-US"/>
        </w:rPr>
        <w:t>Andrographis paniculata</w:t>
      </w:r>
      <w:r w:rsidRPr="001D21C5">
        <w:rPr>
          <w:rFonts w:eastAsia="Calibri"/>
          <w:color w:val="auto"/>
          <w:lang w:val="en-US"/>
        </w:rPr>
        <w:t xml:space="preserve">). Tiwari </w:t>
      </w:r>
      <w:r w:rsidRPr="001D21C5">
        <w:rPr>
          <w:rFonts w:eastAsia="Calibri"/>
          <w:i/>
          <w:iCs/>
          <w:color w:val="auto"/>
          <w:lang w:val="en-US"/>
        </w:rPr>
        <w:t>et al.</w:t>
      </w:r>
      <w:r w:rsidRPr="001D21C5">
        <w:rPr>
          <w:rFonts w:eastAsia="Calibri"/>
          <w:color w:val="auto"/>
          <w:lang w:val="en-US"/>
        </w:rPr>
        <w:t xml:space="preserve"> (2012) reported that the application of different nitrogen sources and levels significantly influenced physiological parameters, nutrient content, and nutrient uptake in Kalmegh. The use of organic nitrogen sources resulted in higher nutrient content and uptake compared to inorganic sources, indicating their positive role in improving nutrient availability and soil fertility</w:t>
      </w:r>
      <w:r w:rsidR="00962983">
        <w:rPr>
          <w:rFonts w:eastAsia="Calibri"/>
          <w:color w:val="auto"/>
          <w:lang w:val="en-US"/>
        </w:rPr>
        <w:t xml:space="preserve"> (</w:t>
      </w:r>
      <w:r w:rsidR="00962983" w:rsidRPr="00962983">
        <w:rPr>
          <w:rFonts w:eastAsia="Calibri"/>
          <w:color w:val="auto"/>
          <w:lang w:val="en-US"/>
        </w:rPr>
        <w:t>Kushwah</w:t>
      </w:r>
      <w:r w:rsidR="00962983">
        <w:rPr>
          <w:rFonts w:eastAsia="Calibri"/>
          <w:color w:val="auto"/>
          <w:lang w:val="en-US"/>
        </w:rPr>
        <w:t xml:space="preserve"> </w:t>
      </w:r>
      <w:commentRangeStart w:id="5"/>
      <w:r w:rsidR="00962983" w:rsidRPr="00A44F9F">
        <w:rPr>
          <w:rFonts w:eastAsia="Calibri"/>
          <w:color w:val="auto"/>
          <w:highlight w:val="yellow"/>
          <w:lang w:val="en-US"/>
        </w:rPr>
        <w:t>et</w:t>
      </w:r>
      <w:commentRangeEnd w:id="5"/>
      <w:r w:rsidR="00A44F9F">
        <w:rPr>
          <w:rStyle w:val="CommentReference"/>
          <w:rFonts w:eastAsia="Calibri"/>
          <w:color w:val="auto"/>
          <w:sz w:val="24"/>
          <w:szCs w:val="24"/>
          <w:lang w:val="en-US"/>
        </w:rPr>
        <w:commentReference w:id="5"/>
      </w:r>
      <w:r w:rsidR="00962983">
        <w:rPr>
          <w:rFonts w:eastAsia="Calibri"/>
          <w:color w:val="auto"/>
          <w:lang w:val="en-US"/>
        </w:rPr>
        <w:t xml:space="preserve"> </w:t>
      </w:r>
      <w:r w:rsidR="00962983" w:rsidRPr="00A44F9F">
        <w:rPr>
          <w:rFonts w:eastAsia="Calibri"/>
          <w:color w:val="auto"/>
          <w:highlight w:val="yellow"/>
          <w:lang w:val="en-US"/>
        </w:rPr>
        <w:t>al.</w:t>
      </w:r>
      <w:r w:rsidR="00962983">
        <w:rPr>
          <w:rFonts w:eastAsia="Calibri"/>
          <w:color w:val="auto"/>
          <w:lang w:val="en-US"/>
        </w:rPr>
        <w:t xml:space="preserve">, 2023; </w:t>
      </w:r>
      <w:r w:rsidR="00962983" w:rsidRPr="00962983">
        <w:rPr>
          <w:rFonts w:eastAsia="Calibri"/>
          <w:color w:val="auto"/>
          <w:lang w:val="en-US"/>
        </w:rPr>
        <w:t>Sarkar</w:t>
      </w:r>
      <w:r w:rsidR="00962983">
        <w:rPr>
          <w:rFonts w:eastAsia="Calibri"/>
          <w:color w:val="auto"/>
          <w:lang w:val="en-US"/>
        </w:rPr>
        <w:t xml:space="preserve"> </w:t>
      </w:r>
      <w:r w:rsidR="00962983" w:rsidRPr="00A44F9F">
        <w:rPr>
          <w:rFonts w:eastAsia="Calibri"/>
          <w:color w:val="auto"/>
          <w:highlight w:val="yellow"/>
          <w:lang w:val="en-US"/>
        </w:rPr>
        <w:t>et al</w:t>
      </w:r>
      <w:r w:rsidR="00962983">
        <w:rPr>
          <w:rFonts w:eastAsia="Calibri"/>
          <w:color w:val="auto"/>
          <w:lang w:val="en-US"/>
        </w:rPr>
        <w:t>., 2025)</w:t>
      </w:r>
      <w:r w:rsidRPr="001D21C5">
        <w:rPr>
          <w:rFonts w:eastAsia="Calibri"/>
          <w:color w:val="auto"/>
          <w:lang w:val="en-US"/>
        </w:rPr>
        <w:t xml:space="preserve">. Furthermore, nitrogen application up to 60 kg ha⁻¹ significantly enhanced physiological growth and nutrient dynamics, emphasizing the importance of optimal nitrogen level management for maximizing nutrient use efficiency and sustaining soil health in Kalmegh </w:t>
      </w:r>
      <w:commentRangeStart w:id="6"/>
      <w:r w:rsidRPr="001D21C5">
        <w:rPr>
          <w:rFonts w:eastAsia="Calibri"/>
          <w:color w:val="auto"/>
          <w:lang w:val="en-US"/>
        </w:rPr>
        <w:t>cultivation</w:t>
      </w:r>
      <w:commentRangeEnd w:id="6"/>
      <w:r w:rsidR="00A44F9F" w:rsidRPr="001D21C5">
        <w:rPr>
          <w:rStyle w:val="CommentReference"/>
          <w:rFonts w:eastAsia="Calibri"/>
          <w:color w:val="auto"/>
          <w:sz w:val="24"/>
          <w:szCs w:val="24"/>
          <w:lang w:val="en-US"/>
        </w:rPr>
        <w:commentReference w:id="6"/>
      </w:r>
      <w:r w:rsidRPr="001D21C5">
        <w:rPr>
          <w:rFonts w:eastAsia="Calibri"/>
          <w:color w:val="auto"/>
          <w:lang w:val="en-US"/>
        </w:rPr>
        <w:t>.</w:t>
      </w:r>
    </w:p>
    <w:p w14:paraId="3CB76DD6" w14:textId="7E2AA126" w:rsidR="00F30479" w:rsidRPr="006453B1" w:rsidRDefault="007F39F5" w:rsidP="006453B1">
      <w:pPr>
        <w:pStyle w:val="Default"/>
        <w:spacing w:after="240"/>
        <w:ind w:hanging="22"/>
        <w:jc w:val="center"/>
        <w:rPr>
          <w:b/>
          <w:bCs/>
          <w:sz w:val="28"/>
          <w:szCs w:val="28"/>
        </w:rPr>
      </w:pPr>
      <w:r w:rsidRPr="006453B1">
        <w:rPr>
          <w:b/>
          <w:bCs/>
          <w:sz w:val="28"/>
          <w:szCs w:val="28"/>
        </w:rPr>
        <w:t>Material</w:t>
      </w:r>
      <w:r w:rsidR="009207A8" w:rsidRPr="006453B1">
        <w:rPr>
          <w:b/>
          <w:bCs/>
          <w:sz w:val="28"/>
          <w:szCs w:val="28"/>
        </w:rPr>
        <w:t xml:space="preserve"> </w:t>
      </w:r>
      <w:r w:rsidRPr="006453B1">
        <w:rPr>
          <w:b/>
          <w:bCs/>
          <w:sz w:val="28"/>
          <w:szCs w:val="28"/>
        </w:rPr>
        <w:t>and</w:t>
      </w:r>
      <w:r w:rsidR="009207A8" w:rsidRPr="006453B1">
        <w:rPr>
          <w:b/>
          <w:bCs/>
          <w:sz w:val="28"/>
          <w:szCs w:val="28"/>
        </w:rPr>
        <w:t xml:space="preserve"> </w:t>
      </w:r>
      <w:r w:rsidRPr="006453B1">
        <w:rPr>
          <w:b/>
          <w:bCs/>
          <w:sz w:val="28"/>
          <w:szCs w:val="28"/>
        </w:rPr>
        <w:t>Methods</w:t>
      </w:r>
    </w:p>
    <w:p w14:paraId="448013E7" w14:textId="5406016A" w:rsidR="006D2E5A" w:rsidRPr="00D5051F" w:rsidRDefault="00267F98" w:rsidP="000B2C53">
      <w:pPr>
        <w:tabs>
          <w:tab w:val="left" w:pos="1440"/>
        </w:tabs>
        <w:spacing w:after="100" w:line="360" w:lineRule="auto"/>
        <w:ind w:firstLine="720"/>
        <w:jc w:val="both"/>
        <w:rPr>
          <w:rFonts w:ascii="Times New Roman" w:hAnsi="Times New Roman" w:cs="Times New Roman"/>
          <w:b/>
          <w:sz w:val="24"/>
          <w:szCs w:val="24"/>
        </w:rPr>
      </w:pPr>
      <w:r w:rsidRPr="00D5051F">
        <w:rPr>
          <w:rFonts w:ascii="Times New Roman" w:hAnsi="Times New Roman" w:cs="Times New Roman"/>
          <w:sz w:val="24"/>
          <w:szCs w:val="24"/>
        </w:rPr>
        <w:t>The experimen</w:t>
      </w:r>
      <w:r w:rsidR="006453B1">
        <w:rPr>
          <w:rFonts w:ascii="Times New Roman" w:hAnsi="Times New Roman" w:cs="Times New Roman"/>
          <w:sz w:val="24"/>
          <w:szCs w:val="24"/>
        </w:rPr>
        <w:t>t entitled</w:t>
      </w:r>
      <w:r w:rsidRPr="00D5051F">
        <w:rPr>
          <w:rFonts w:ascii="Times New Roman" w:hAnsi="Times New Roman" w:cs="Times New Roman"/>
          <w:sz w:val="24"/>
          <w:szCs w:val="24"/>
        </w:rPr>
        <w:t xml:space="preserve"> </w:t>
      </w:r>
      <w:r w:rsidR="006453B1">
        <w:rPr>
          <w:rFonts w:ascii="Times New Roman" w:eastAsia="Times New Roman" w:hAnsi="Times New Roman" w:cs="Times New Roman"/>
          <w:sz w:val="24"/>
          <w:szCs w:val="24"/>
          <w:lang w:bidi="hi-IN"/>
        </w:rPr>
        <w:t>“E</w:t>
      </w:r>
      <w:r w:rsidR="006453B1" w:rsidRPr="00D5051F">
        <w:rPr>
          <w:rFonts w:ascii="Times New Roman" w:eastAsia="Times New Roman" w:hAnsi="Times New Roman" w:cs="Times New Roman"/>
          <w:sz w:val="24"/>
          <w:szCs w:val="24"/>
          <w:lang w:bidi="hi-IN"/>
        </w:rPr>
        <w:t>ffect of integrated nitrogen management and spacing on growth parameters of Kalmegh (Andrographis paniculata)</w:t>
      </w:r>
      <w:r w:rsidR="006453B1">
        <w:rPr>
          <w:rFonts w:ascii="Times New Roman" w:eastAsia="Times New Roman" w:hAnsi="Times New Roman" w:cs="Times New Roman"/>
          <w:sz w:val="24"/>
          <w:szCs w:val="24"/>
          <w:lang w:bidi="hi-IN"/>
        </w:rPr>
        <w:t>”</w:t>
      </w:r>
      <w:r w:rsidR="006453B1" w:rsidRPr="00D5051F">
        <w:rPr>
          <w:rFonts w:ascii="Times New Roman" w:eastAsia="Times New Roman" w:hAnsi="Times New Roman" w:cs="Times New Roman"/>
          <w:sz w:val="24"/>
          <w:szCs w:val="24"/>
          <w:lang w:bidi="hi-IN"/>
        </w:rPr>
        <w:t xml:space="preserve"> </w:t>
      </w:r>
      <w:r w:rsidR="006453B1">
        <w:rPr>
          <w:rFonts w:ascii="Times New Roman" w:eastAsia="Times New Roman" w:hAnsi="Times New Roman" w:cs="Times New Roman"/>
          <w:sz w:val="24"/>
          <w:szCs w:val="24"/>
          <w:lang w:bidi="hi-IN"/>
        </w:rPr>
        <w:t xml:space="preserve">was carried out </w:t>
      </w:r>
      <w:r w:rsidR="006453B1" w:rsidRPr="00D5051F">
        <w:rPr>
          <w:rFonts w:ascii="Times New Roman" w:hAnsi="Times New Roman" w:cs="Times New Roman"/>
          <w:sz w:val="24"/>
          <w:szCs w:val="24"/>
        </w:rPr>
        <w:t xml:space="preserve">during </w:t>
      </w:r>
      <w:r w:rsidR="006453B1" w:rsidRPr="00D5051F">
        <w:rPr>
          <w:rFonts w:ascii="Times New Roman" w:hAnsi="Times New Roman" w:cs="Times New Roman"/>
          <w:i/>
          <w:iCs/>
          <w:sz w:val="24"/>
          <w:szCs w:val="24"/>
        </w:rPr>
        <w:t>kharif</w:t>
      </w:r>
      <w:r w:rsidR="006453B1" w:rsidRPr="00D5051F">
        <w:rPr>
          <w:rFonts w:ascii="Times New Roman" w:hAnsi="Times New Roman" w:cs="Times New Roman"/>
          <w:sz w:val="24"/>
          <w:szCs w:val="24"/>
        </w:rPr>
        <w:t xml:space="preserve"> season of 2024</w:t>
      </w:r>
      <w:r w:rsidR="006453B1">
        <w:rPr>
          <w:rFonts w:ascii="Times New Roman" w:hAnsi="Times New Roman" w:cs="Times New Roman"/>
          <w:sz w:val="24"/>
          <w:szCs w:val="24"/>
        </w:rPr>
        <w:t>-25</w:t>
      </w:r>
      <w:r w:rsidRPr="00D5051F">
        <w:rPr>
          <w:rFonts w:ascii="Times New Roman" w:hAnsi="Times New Roman" w:cs="Times New Roman"/>
          <w:sz w:val="24"/>
          <w:szCs w:val="24"/>
        </w:rPr>
        <w:t xml:space="preserve"> at AICRP o</w:t>
      </w:r>
      <w:r w:rsidR="006453B1">
        <w:rPr>
          <w:rFonts w:ascii="Times New Roman" w:hAnsi="Times New Roman" w:cs="Times New Roman"/>
          <w:sz w:val="24"/>
          <w:szCs w:val="24"/>
        </w:rPr>
        <w:t>n</w:t>
      </w:r>
      <w:r w:rsidRPr="00D5051F">
        <w:rPr>
          <w:rFonts w:ascii="Times New Roman" w:hAnsi="Times New Roman" w:cs="Times New Roman"/>
          <w:sz w:val="24"/>
          <w:szCs w:val="24"/>
        </w:rPr>
        <w:t xml:space="preserve"> Medicinal</w:t>
      </w:r>
      <w:r w:rsidR="006453B1">
        <w:rPr>
          <w:rFonts w:ascii="Times New Roman" w:hAnsi="Times New Roman" w:cs="Times New Roman"/>
          <w:sz w:val="24"/>
          <w:szCs w:val="24"/>
        </w:rPr>
        <w:t>,</w:t>
      </w:r>
      <w:r w:rsidRPr="00D5051F">
        <w:rPr>
          <w:rFonts w:ascii="Times New Roman" w:hAnsi="Times New Roman" w:cs="Times New Roman"/>
          <w:sz w:val="24"/>
          <w:szCs w:val="24"/>
        </w:rPr>
        <w:t xml:space="preserve"> Aromatic Plants and Betelvine, Nagarjun Medicinal Plants Garden, Dr. Panjabrao Deshmukh Krishi Vidyapeeth, Akola</w:t>
      </w:r>
      <w:r w:rsidR="006453B1">
        <w:rPr>
          <w:rFonts w:ascii="Times New Roman" w:hAnsi="Times New Roman" w:cs="Times New Roman"/>
          <w:sz w:val="24"/>
          <w:szCs w:val="24"/>
        </w:rPr>
        <w:t>.</w:t>
      </w:r>
      <w:r w:rsidR="000B2C53">
        <w:rPr>
          <w:rFonts w:ascii="Times New Roman" w:hAnsi="Times New Roman" w:cs="Times New Roman"/>
          <w:sz w:val="24"/>
          <w:szCs w:val="24"/>
        </w:rPr>
        <w:t xml:space="preserve"> </w:t>
      </w:r>
      <w:r w:rsidR="000B2C53" w:rsidRPr="00705087">
        <w:rPr>
          <w:rFonts w:ascii="Times New Roman" w:hAnsi="Times New Roman"/>
          <w:sz w:val="24"/>
          <w:szCs w:val="24"/>
        </w:rPr>
        <w:t xml:space="preserve">The site is </w:t>
      </w:r>
      <w:r w:rsidR="000B2C53" w:rsidRPr="00705087">
        <w:rPr>
          <w:rFonts w:ascii="Times New Roman" w:eastAsiaTheme="minorHAnsi" w:hAnsi="Times New Roman"/>
          <w:sz w:val="24"/>
          <w:szCs w:val="24"/>
          <w14:ligatures w14:val="standardContextual"/>
        </w:rPr>
        <w:t xml:space="preserve">situated in the subtropical region at </w:t>
      </w:r>
      <w:r w:rsidR="000B2C53" w:rsidRPr="00705087">
        <w:rPr>
          <w:rFonts w:ascii="Times New Roman" w:eastAsiaTheme="minorHAnsi" w:hAnsi="Times New Roman"/>
          <w:bCs/>
          <w:sz w:val="24"/>
          <w:szCs w:val="24"/>
          <w14:ligatures w14:val="standardContextual"/>
        </w:rPr>
        <w:t>20</w:t>
      </w:r>
      <w:r w:rsidR="000B2C53" w:rsidRPr="00705087">
        <w:rPr>
          <w:rFonts w:ascii="Times New Roman" w:eastAsiaTheme="minorHAnsi" w:hAnsi="Times New Roman"/>
          <w:bCs/>
          <w:sz w:val="24"/>
          <w:szCs w:val="24"/>
          <w:vertAlign w:val="superscript"/>
          <w14:ligatures w14:val="standardContextual"/>
        </w:rPr>
        <w:t>0</w:t>
      </w:r>
      <w:r w:rsidR="000B2C53" w:rsidRPr="00705087">
        <w:rPr>
          <w:rFonts w:ascii="Times New Roman" w:eastAsiaTheme="minorHAnsi" w:hAnsi="Times New Roman"/>
          <w:bCs/>
          <w:sz w:val="24"/>
          <w:szCs w:val="24"/>
          <w14:ligatures w14:val="standardContextual"/>
        </w:rPr>
        <w:t xml:space="preserve"> 40' 35'' </w:t>
      </w:r>
      <w:r w:rsidR="000B2C53" w:rsidRPr="00705087">
        <w:rPr>
          <w:rFonts w:ascii="Times New Roman" w:eastAsiaTheme="minorHAnsi" w:hAnsi="Times New Roman"/>
          <w:sz w:val="24"/>
          <w:szCs w:val="24"/>
          <w14:ligatures w14:val="standardContextual"/>
        </w:rPr>
        <w:t xml:space="preserve">North latitude and </w:t>
      </w:r>
      <w:r w:rsidR="000B2C53" w:rsidRPr="00705087">
        <w:rPr>
          <w:rFonts w:ascii="Times New Roman" w:eastAsiaTheme="minorHAnsi" w:hAnsi="Times New Roman"/>
          <w:bCs/>
          <w:sz w:val="24"/>
          <w:szCs w:val="24"/>
          <w14:ligatures w14:val="standardContextual"/>
        </w:rPr>
        <w:t>76</w:t>
      </w:r>
      <w:r w:rsidR="000B2C53" w:rsidRPr="00705087">
        <w:rPr>
          <w:rFonts w:ascii="Times New Roman" w:eastAsiaTheme="minorHAnsi" w:hAnsi="Times New Roman"/>
          <w:bCs/>
          <w:sz w:val="24"/>
          <w:szCs w:val="24"/>
          <w:vertAlign w:val="superscript"/>
          <w14:ligatures w14:val="standardContextual"/>
        </w:rPr>
        <w:t>0</w:t>
      </w:r>
      <w:r w:rsidR="000B2C53" w:rsidRPr="00705087">
        <w:rPr>
          <w:rFonts w:ascii="Times New Roman" w:eastAsiaTheme="minorHAnsi" w:hAnsi="Times New Roman"/>
          <w:bCs/>
          <w:sz w:val="24"/>
          <w:szCs w:val="24"/>
          <w14:ligatures w14:val="standardContextual"/>
        </w:rPr>
        <w:t xml:space="preserve"> 59' 10'' </w:t>
      </w:r>
      <w:r w:rsidR="000B2C53" w:rsidRPr="00705087">
        <w:rPr>
          <w:rFonts w:ascii="Times New Roman" w:eastAsiaTheme="minorHAnsi" w:hAnsi="Times New Roman"/>
          <w:sz w:val="24"/>
          <w:szCs w:val="24"/>
          <w14:ligatures w14:val="standardContextual"/>
        </w:rPr>
        <w:t xml:space="preserve">East longitude and at an altitude </w:t>
      </w:r>
      <w:r w:rsidR="000B2C53" w:rsidRPr="00705087">
        <w:rPr>
          <w:rFonts w:ascii="Times New Roman" w:eastAsiaTheme="minorHAnsi" w:hAnsi="Times New Roman"/>
          <w:sz w:val="24"/>
          <w:szCs w:val="24"/>
          <w14:ligatures w14:val="standardContextual"/>
        </w:rPr>
        <w:lastRenderedPageBreak/>
        <w:t xml:space="preserve">of 307.42 m above mean sea level with </w:t>
      </w:r>
      <w:r w:rsidR="000B2C53" w:rsidRPr="00705087">
        <w:rPr>
          <w:rFonts w:ascii="Times New Roman" w:hAnsi="Times New Roman"/>
          <w:sz w:val="24"/>
          <w:szCs w:val="24"/>
        </w:rPr>
        <w:t xml:space="preserve">average annual precipitation was </w:t>
      </w:r>
      <w:r w:rsidR="000B2C53">
        <w:rPr>
          <w:rFonts w:ascii="Times New Roman" w:hAnsi="Times New Roman"/>
          <w:sz w:val="24"/>
          <w:szCs w:val="24"/>
        </w:rPr>
        <w:t>750-950</w:t>
      </w:r>
      <w:r w:rsidR="000B2C53" w:rsidRPr="00705087">
        <w:rPr>
          <w:rFonts w:ascii="Times New Roman" w:hAnsi="Times New Roman"/>
          <w:sz w:val="24"/>
          <w:szCs w:val="24"/>
        </w:rPr>
        <w:t xml:space="preserve"> mm.</w:t>
      </w:r>
      <w:r w:rsidR="000B2C53" w:rsidRPr="00705087">
        <w:rPr>
          <w:rFonts w:ascii="Times New Roman" w:eastAsiaTheme="minorHAnsi" w:hAnsi="Times New Roman"/>
          <w:sz w:val="24"/>
          <w:szCs w:val="24"/>
          <w14:ligatures w14:val="standardContextual"/>
        </w:rPr>
        <w:t xml:space="preserve"> </w:t>
      </w:r>
      <w:r w:rsidRPr="00D5051F">
        <w:rPr>
          <w:rFonts w:ascii="Times New Roman" w:hAnsi="Times New Roman" w:cs="Times New Roman"/>
          <w:sz w:val="24"/>
          <w:szCs w:val="24"/>
        </w:rPr>
        <w:t>The site for experiment was clayey (52.00 % clay) in texture. The fertility status of soil was low in available N (183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 and medium in available P</w:t>
      </w:r>
      <w:r w:rsidRPr="00D5051F">
        <w:rPr>
          <w:rFonts w:ascii="Times New Roman" w:hAnsi="Times New Roman" w:cs="Times New Roman"/>
          <w:sz w:val="24"/>
          <w:szCs w:val="24"/>
          <w:vertAlign w:val="subscript"/>
        </w:rPr>
        <w:t>2</w:t>
      </w:r>
      <w:r w:rsidRPr="00D5051F">
        <w:rPr>
          <w:rFonts w:ascii="Times New Roman" w:hAnsi="Times New Roman" w:cs="Times New Roman"/>
          <w:sz w:val="24"/>
          <w:szCs w:val="24"/>
        </w:rPr>
        <w:t>O</w:t>
      </w:r>
      <w:r w:rsidRPr="00D5051F">
        <w:rPr>
          <w:rFonts w:ascii="Times New Roman" w:hAnsi="Times New Roman" w:cs="Times New Roman"/>
          <w:sz w:val="24"/>
          <w:szCs w:val="24"/>
          <w:vertAlign w:val="subscript"/>
        </w:rPr>
        <w:t>5</w:t>
      </w:r>
      <w:r w:rsidRPr="00D5051F">
        <w:rPr>
          <w:rFonts w:ascii="Times New Roman" w:hAnsi="Times New Roman" w:cs="Times New Roman"/>
          <w:sz w:val="24"/>
          <w:szCs w:val="24"/>
        </w:rPr>
        <w:t xml:space="preserve"> (21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  and K</w:t>
      </w:r>
      <w:r w:rsidRPr="00D5051F">
        <w:rPr>
          <w:rFonts w:ascii="Times New Roman" w:hAnsi="Times New Roman" w:cs="Times New Roman"/>
          <w:sz w:val="24"/>
          <w:szCs w:val="24"/>
          <w:vertAlign w:val="subscript"/>
        </w:rPr>
        <w:t>2</w:t>
      </w:r>
      <w:r w:rsidRPr="00D5051F">
        <w:rPr>
          <w:rFonts w:ascii="Times New Roman" w:hAnsi="Times New Roman" w:cs="Times New Roman"/>
          <w:sz w:val="24"/>
          <w:szCs w:val="24"/>
        </w:rPr>
        <w:t>O (349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w:t>
      </w:r>
      <w:r w:rsidR="000B2C53">
        <w:rPr>
          <w:rFonts w:ascii="Times New Roman" w:hAnsi="Times New Roman" w:cs="Times New Roman"/>
          <w:sz w:val="24"/>
          <w:szCs w:val="24"/>
        </w:rPr>
        <w:t>.</w:t>
      </w:r>
      <w:r w:rsidR="00A95B11" w:rsidRPr="00D5051F">
        <w:rPr>
          <w:rFonts w:ascii="Times New Roman" w:hAnsi="Times New Roman" w:cs="Times New Roman"/>
          <w:sz w:val="24"/>
          <w:szCs w:val="24"/>
        </w:rPr>
        <w:t xml:space="preserve">During </w:t>
      </w:r>
      <w:r w:rsidR="00A95B11" w:rsidRPr="000B2C53">
        <w:rPr>
          <w:rFonts w:ascii="Times New Roman" w:hAnsi="Times New Roman" w:cs="Times New Roman"/>
          <w:i/>
          <w:iCs/>
          <w:sz w:val="24"/>
          <w:szCs w:val="24"/>
        </w:rPr>
        <w:t>Kharif</w:t>
      </w:r>
      <w:r w:rsidR="000B2C53">
        <w:rPr>
          <w:rFonts w:ascii="Times New Roman" w:hAnsi="Times New Roman" w:cs="Times New Roman"/>
          <w:i/>
          <w:iCs/>
          <w:sz w:val="24"/>
          <w:szCs w:val="24"/>
        </w:rPr>
        <w:t xml:space="preserve"> </w:t>
      </w:r>
      <w:r w:rsidR="00A95B11" w:rsidRPr="00D5051F">
        <w:rPr>
          <w:rFonts w:ascii="Times New Roman" w:hAnsi="Times New Roman" w:cs="Times New Roman"/>
          <w:sz w:val="24"/>
          <w:szCs w:val="24"/>
        </w:rPr>
        <w:t xml:space="preserve"> 2024</w:t>
      </w:r>
      <w:r w:rsidR="000B2C53">
        <w:rPr>
          <w:rFonts w:ascii="Times New Roman" w:hAnsi="Times New Roman" w:cs="Times New Roman"/>
          <w:sz w:val="24"/>
          <w:szCs w:val="24"/>
        </w:rPr>
        <w:t>-25</w:t>
      </w:r>
      <w:r w:rsidR="00A95B11" w:rsidRPr="00D5051F">
        <w:rPr>
          <w:rFonts w:ascii="Times New Roman" w:hAnsi="Times New Roman" w:cs="Times New Roman"/>
          <w:sz w:val="24"/>
          <w:szCs w:val="24"/>
        </w:rPr>
        <w:t xml:space="preserve"> total rainfall of 955.1 mm was received in 44 rainy days, during crop growth period which was 31% more than normal. In the beginning, less rainfall caused delay and poor germination of Kalmegh seeds. Later, heavy rains in during early growth stage slowed down seedling development due to waterlogging. As the season continued, rainfall and weather conditions became favorable, helping in good plant stand and healthy growth. Adequate moisture, along with normal temperature and humidity, supported better leaf formation, branching, and plant height. This improved photosynthesis and helped increase the dry foliage yield. Although no rain was received at the end, timely harvest just after initiation of flowering resulted in overall good crop performance. </w:t>
      </w:r>
      <w:r w:rsidRPr="00D5051F">
        <w:rPr>
          <w:rFonts w:ascii="Times New Roman" w:hAnsi="Times New Roman" w:cs="Times New Roman"/>
          <w:sz w:val="24"/>
          <w:szCs w:val="24"/>
        </w:rPr>
        <w:t xml:space="preserve">The experiment was laid out in a factorial randomized block design with four nitrogen source treatments (N₁:75% </w:t>
      </w:r>
      <w:commentRangeStart w:id="7"/>
      <w:r w:rsidRPr="00F61404">
        <w:rPr>
          <w:rFonts w:ascii="Times New Roman" w:hAnsi="Times New Roman" w:cs="Times New Roman"/>
          <w:sz w:val="24"/>
          <w:szCs w:val="24"/>
          <w:highlight w:val="yellow"/>
        </w:rPr>
        <w:t>vermicompost</w:t>
      </w:r>
      <w:commentRangeEnd w:id="7"/>
      <w:r w:rsidR="00F61404" w:rsidRPr="00D5051F">
        <w:rPr>
          <w:rStyle w:val="CommentReference"/>
          <w:rFonts w:ascii="Times New Roman" w:hAnsi="Times New Roman" w:cs="Times New Roman"/>
          <w:sz w:val="24"/>
          <w:szCs w:val="24"/>
        </w:rPr>
        <w:commentReference w:id="7"/>
      </w:r>
      <w:r w:rsidRPr="00D5051F">
        <w:rPr>
          <w:rFonts w:ascii="Times New Roman" w:hAnsi="Times New Roman" w:cs="Times New Roman"/>
          <w:sz w:val="24"/>
          <w:szCs w:val="24"/>
        </w:rPr>
        <w:t xml:space="preserve"> + 25% </w:t>
      </w:r>
      <w:r w:rsidRPr="006F6440">
        <w:rPr>
          <w:rFonts w:ascii="Times New Roman" w:hAnsi="Times New Roman" w:cs="Times New Roman"/>
          <w:sz w:val="24"/>
          <w:szCs w:val="24"/>
          <w:highlight w:val="yellow"/>
        </w:rPr>
        <w:t>RDN</w:t>
      </w:r>
      <w:r w:rsidRPr="00D5051F">
        <w:rPr>
          <w:rFonts w:ascii="Times New Roman" w:hAnsi="Times New Roman" w:cs="Times New Roman"/>
          <w:sz w:val="24"/>
          <w:szCs w:val="24"/>
        </w:rPr>
        <w:t xml:space="preserve"> through inorganic fertilizer  N₂: 50% vermicompost + 50% </w:t>
      </w:r>
      <w:commentRangeStart w:id="8"/>
      <w:r w:rsidRPr="006F6440">
        <w:rPr>
          <w:rFonts w:ascii="Times New Roman" w:hAnsi="Times New Roman" w:cs="Times New Roman"/>
          <w:sz w:val="24"/>
          <w:szCs w:val="24"/>
          <w:highlight w:val="yellow"/>
        </w:rPr>
        <w:t>RDN</w:t>
      </w:r>
      <w:commentRangeEnd w:id="8"/>
      <w:r w:rsidR="00646BCC" w:rsidRPr="00D5051F">
        <w:rPr>
          <w:rStyle w:val="CommentReference"/>
          <w:rFonts w:ascii="Times New Roman" w:hAnsi="Times New Roman" w:cs="Times New Roman"/>
          <w:sz w:val="24"/>
          <w:szCs w:val="24"/>
        </w:rPr>
        <w:commentReference w:id="8"/>
      </w:r>
      <w:r w:rsidRPr="00D5051F">
        <w:rPr>
          <w:rFonts w:ascii="Times New Roman" w:hAnsi="Times New Roman" w:cs="Times New Roman"/>
          <w:sz w:val="24"/>
          <w:szCs w:val="24"/>
        </w:rPr>
        <w:t xml:space="preserve"> through inorganic fertilizer ; N₃: 100% vermicompost; N₄: 100% RDN through inorganic fertilizer ) and three plant </w:t>
      </w:r>
      <w:r w:rsidR="00FC0BF0" w:rsidRPr="00D5051F">
        <w:rPr>
          <w:rFonts w:ascii="Times New Roman" w:hAnsi="Times New Roman" w:cs="Times New Roman"/>
          <w:sz w:val="24"/>
          <w:szCs w:val="24"/>
        </w:rPr>
        <w:t>spacing</w:t>
      </w:r>
      <w:r w:rsidRPr="00D5051F">
        <w:rPr>
          <w:rFonts w:ascii="Times New Roman" w:hAnsi="Times New Roman" w:cs="Times New Roman"/>
          <w:sz w:val="24"/>
          <w:szCs w:val="24"/>
        </w:rPr>
        <w:t xml:space="preserve"> (S₁: 20×20 cm, S₂: 30×10 cm, S₃: 30×15 cm), replicated thrice, involving twelve treatment combinations.  </w:t>
      </w:r>
      <w:r w:rsidRPr="00D5051F">
        <w:rPr>
          <w:rFonts w:ascii="Times New Roman" w:eastAsia="Times New Roman" w:hAnsi="Times New Roman" w:cs="Times New Roman"/>
          <w:sz w:val="24"/>
          <w:szCs w:val="24"/>
          <w:lang w:bidi="hi-IN"/>
        </w:rPr>
        <w:t>In the present study, the recommended dose of fertilizers (RDF) was 80:50:30 kg N:P₂O₅:K₂O ha⁻¹. In treatments involving inorganic fertilizers, 50% of nitrogen along with the full dose of phosphorus and potassium was applied as a basal dose at the time of transplanting, while the remaining 50% nitrogen was top-dressed at 30 days after transplanting (DAT). The sources of fertilizers used were urea for nitrogen, single super phosphate (SSP) for phosphorus, and muriate of potash (MOP) for potassium.</w:t>
      </w:r>
      <w:r w:rsidR="00B97922" w:rsidRPr="00D5051F">
        <w:rPr>
          <w:rFonts w:ascii="Times New Roman" w:eastAsia="Times New Roman" w:hAnsi="Times New Roman" w:cs="Times New Roman"/>
          <w:sz w:val="24"/>
          <w:szCs w:val="24"/>
          <w:lang w:bidi="hi-IN"/>
        </w:rPr>
        <w:t xml:space="preserve"> </w:t>
      </w:r>
      <w:r w:rsidR="0045644A" w:rsidRPr="00D5051F">
        <w:rPr>
          <w:rFonts w:ascii="Times New Roman" w:hAnsi="Times New Roman" w:cs="Times New Roman"/>
          <w:sz w:val="24"/>
          <w:szCs w:val="24"/>
        </w:rPr>
        <w:t xml:space="preserve">The seeds were sown </w:t>
      </w:r>
      <w:r w:rsidR="00B97922" w:rsidRPr="00D5051F">
        <w:rPr>
          <w:rFonts w:ascii="Times New Roman" w:hAnsi="Times New Roman" w:cs="Times New Roman"/>
          <w:sz w:val="24"/>
          <w:szCs w:val="24"/>
        </w:rPr>
        <w:t>in nursery raised on raised beds. The healthy and disease free seedlings were transplanted at 50 days after sowing (DAS) when it attains 8-10 cm height</w:t>
      </w:r>
      <w:r w:rsidR="00D22E05" w:rsidRPr="00D5051F">
        <w:rPr>
          <w:rFonts w:ascii="Times New Roman" w:hAnsi="Times New Roman" w:cs="Times New Roman"/>
          <w:sz w:val="24"/>
          <w:szCs w:val="24"/>
        </w:rPr>
        <w:t xml:space="preserve">. </w:t>
      </w:r>
      <w:r w:rsidR="00A95B11" w:rsidRPr="00D5051F">
        <w:rPr>
          <w:rFonts w:ascii="Times New Roman" w:hAnsi="Times New Roman" w:cs="Times New Roman"/>
          <w:sz w:val="24"/>
          <w:szCs w:val="24"/>
        </w:rPr>
        <w:t xml:space="preserve"> The crop was harvested during last week of November after initiation of first flower in Kalmegh crop. </w:t>
      </w:r>
      <w:r w:rsidR="00A5674C" w:rsidRPr="00D5051F">
        <w:rPr>
          <w:rStyle w:val="FontStyle12"/>
          <w:rFonts w:ascii="Times New Roman" w:hAnsi="Times New Roman" w:cs="Times New Roman"/>
          <w:sz w:val="24"/>
          <w:szCs w:val="24"/>
        </w:rPr>
        <w:t xml:space="preserve">  </w:t>
      </w:r>
    </w:p>
    <w:p w14:paraId="423EB6C8" w14:textId="6A61C99A" w:rsidR="00936FC0" w:rsidRDefault="007F39F5" w:rsidP="00A5674C">
      <w:pPr>
        <w:spacing w:line="360" w:lineRule="auto"/>
        <w:jc w:val="both"/>
        <w:rPr>
          <w:rFonts w:ascii="Times New Roman" w:hAnsi="Times New Roman" w:cs="Times New Roman"/>
          <w:b/>
          <w:sz w:val="24"/>
          <w:szCs w:val="24"/>
        </w:rPr>
      </w:pPr>
      <w:r w:rsidRPr="00D5051F">
        <w:rPr>
          <w:rFonts w:ascii="Times New Roman" w:hAnsi="Times New Roman" w:cs="Times New Roman"/>
          <w:b/>
          <w:sz w:val="24"/>
          <w:szCs w:val="24"/>
        </w:rPr>
        <w:t xml:space="preserve">Results and </w:t>
      </w:r>
      <w:r w:rsidR="004C6819" w:rsidRPr="00D5051F">
        <w:rPr>
          <w:rFonts w:ascii="Times New Roman" w:hAnsi="Times New Roman" w:cs="Times New Roman"/>
          <w:b/>
          <w:sz w:val="24"/>
          <w:szCs w:val="24"/>
        </w:rPr>
        <w:t>D</w:t>
      </w:r>
      <w:r w:rsidRPr="00D5051F">
        <w:rPr>
          <w:rFonts w:ascii="Times New Roman" w:hAnsi="Times New Roman" w:cs="Times New Roman"/>
          <w:b/>
          <w:sz w:val="24"/>
          <w:szCs w:val="24"/>
        </w:rPr>
        <w:t>iscussion</w:t>
      </w:r>
      <w:r w:rsidR="00057B65" w:rsidRPr="00D5051F">
        <w:rPr>
          <w:rFonts w:ascii="Times New Roman" w:hAnsi="Times New Roman" w:cs="Times New Roman"/>
          <w:b/>
          <w:sz w:val="24"/>
          <w:szCs w:val="24"/>
        </w:rPr>
        <w:t xml:space="preserve">: </w:t>
      </w:r>
    </w:p>
    <w:p w14:paraId="0A5F874A" w14:textId="1BFDD7A5" w:rsidR="0048637C" w:rsidRPr="00234E9E" w:rsidRDefault="00273BAF" w:rsidP="00A5674C">
      <w:pPr>
        <w:spacing w:line="360" w:lineRule="auto"/>
        <w:jc w:val="both"/>
        <w:rPr>
          <w:rFonts w:ascii="Times New Roman" w:hAnsi="Times New Roman" w:cs="Times New Roman"/>
          <w:b/>
          <w:color w:val="000000" w:themeColor="text1"/>
          <w:sz w:val="24"/>
          <w:szCs w:val="24"/>
        </w:rPr>
      </w:pPr>
      <w:r w:rsidRPr="00234E9E">
        <w:rPr>
          <w:rFonts w:ascii="Times New Roman" w:hAnsi="Times New Roman" w:cs="Times New Roman"/>
          <w:b/>
          <w:color w:val="000000" w:themeColor="text1"/>
          <w:sz w:val="24"/>
          <w:szCs w:val="24"/>
        </w:rPr>
        <w:t xml:space="preserve">Soil parameters </w:t>
      </w:r>
    </w:p>
    <w:p w14:paraId="50316AF3" w14:textId="791C75F5" w:rsidR="00273BAF" w:rsidRPr="00273BAF" w:rsidRDefault="00273BAF" w:rsidP="00A5674C">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NPK (kg ha⁻¹) in Soil</w:t>
      </w:r>
    </w:p>
    <w:p w14:paraId="38A13CAD" w14:textId="05711DD9"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The data on available nitrogen (N), phosphorus (P₂O₅), and potassium (K₂O) in the soil after harvest as influenced by various nitrogen sources and plant geometries are presented in </w:t>
      </w:r>
      <w:r w:rsidRPr="00273BAF">
        <w:rPr>
          <w:rFonts w:ascii="Times New Roman" w:eastAsia="Aptos" w:hAnsi="Times New Roman" w:cs="Times New Roman"/>
          <w:color w:val="000000"/>
          <w:sz w:val="24"/>
          <w:szCs w:val="24"/>
        </w:rPr>
        <w:t xml:space="preserve">Table </w:t>
      </w:r>
      <w:r w:rsidR="005975C2">
        <w:rPr>
          <w:rFonts w:ascii="Times New Roman" w:eastAsia="Aptos" w:hAnsi="Times New Roman" w:cs="Times New Roman"/>
          <w:color w:val="000000"/>
          <w:sz w:val="24"/>
          <w:szCs w:val="24"/>
        </w:rPr>
        <w:t>1</w:t>
      </w:r>
      <w:r w:rsidR="00F94B43">
        <w:rPr>
          <w:rFonts w:ascii="Times New Roman" w:eastAsia="Aptos" w:hAnsi="Times New Roman" w:cs="Times New Roman"/>
          <w:color w:val="000000"/>
          <w:sz w:val="24"/>
          <w:szCs w:val="24"/>
        </w:rPr>
        <w:t>.</w:t>
      </w:r>
      <w:r w:rsidRPr="00273BAF">
        <w:rPr>
          <w:rFonts w:ascii="Times New Roman" w:eastAsia="Aptos" w:hAnsi="Times New Roman" w:cs="Times New Roman"/>
          <w:color w:val="EE0000"/>
          <w:sz w:val="24"/>
          <w:szCs w:val="24"/>
        </w:rPr>
        <w:t xml:space="preserve"> </w:t>
      </w:r>
      <w:r w:rsidRPr="00273BAF">
        <w:rPr>
          <w:rFonts w:ascii="Times New Roman" w:eastAsia="Aptos" w:hAnsi="Times New Roman" w:cs="Times New Roman"/>
          <w:sz w:val="24"/>
          <w:szCs w:val="24"/>
        </w:rPr>
        <w:t>The mean available nitrogen, phosphorus</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and potassium were 185.85 kg ha⁻¹, 23.59 kg ha⁻¹ and 365.60 kg ha⁻¹</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 xml:space="preserve">respectively. A noticeable increase in available soil nutrients was </w:t>
      </w:r>
      <w:r w:rsidRPr="00273BAF">
        <w:rPr>
          <w:rFonts w:ascii="Times New Roman" w:eastAsia="Aptos" w:hAnsi="Times New Roman" w:cs="Times New Roman"/>
          <w:sz w:val="24"/>
          <w:szCs w:val="24"/>
        </w:rPr>
        <w:lastRenderedPageBreak/>
        <w:t>observed in comparison to the initial values (N: 182 kg ha⁻¹, P₂O₅: 25 kg ha⁻¹</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and K₂O: 347 kg ha⁻¹), indicating the impact of treatments on nutrient availability after crop harvest.</w:t>
      </w:r>
    </w:p>
    <w:p w14:paraId="62579B8D" w14:textId="77777777" w:rsidR="00273BAF" w:rsidRPr="00273BAF" w:rsidRDefault="00273BAF" w:rsidP="00273BAF">
      <w:pPr>
        <w:spacing w:line="360" w:lineRule="auto"/>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Nitrogen (kg ha⁻¹)</w:t>
      </w:r>
    </w:p>
    <w:p w14:paraId="55F75DC4" w14:textId="5E939BB3"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Nitrogen Sources:</w:t>
      </w:r>
    </w:p>
    <w:p w14:paraId="0DD5177A" w14:textId="77777777" w:rsidR="00273BAF" w:rsidRPr="00A67501" w:rsidRDefault="00273BAF" w:rsidP="00273BAF">
      <w:pPr>
        <w:spacing w:line="360" w:lineRule="auto"/>
        <w:ind w:firstLine="720"/>
        <w:jc w:val="both"/>
        <w:rPr>
          <w:rFonts w:ascii="Times New Roman" w:eastAsia="Aptos" w:hAnsi="Times New Roman" w:cs="Times New Roman"/>
          <w:color w:val="000000" w:themeColor="text1"/>
          <w:sz w:val="24"/>
          <w:szCs w:val="24"/>
        </w:rPr>
      </w:pPr>
      <w:r w:rsidRPr="00273BAF">
        <w:rPr>
          <w:rFonts w:ascii="Times New Roman" w:eastAsia="Aptos" w:hAnsi="Times New Roman" w:cs="Times New Roman"/>
          <w:sz w:val="24"/>
          <w:szCs w:val="24"/>
        </w:rPr>
        <w:t xml:space="preserve">The effect of nitrogen sources on available nitrogen in soil was found to be significant. The highest available nitrogen content was recorded in treatment N₃ (100% N through vermicompost) with 189.90 kg ha⁻¹, which was significantly superior over all other treatments. However, it was found at par with N₁ -75% N through vermicompost + 25% RDN through inorganic fertilizer  (186.42 kg ha⁻¹), and the lowest available nitrogen (181.56 kg ha⁻¹) was observed under N₄ (100% RDN through inorganic fertilizer).The superior performance of vermicompost-based treatments (particularly N₃) can be attributed to enhanced microbial activity, better mineralization, and sustained release of nitrogen, resulting in improved N availability in the soil post-harvest. These results were in agreement with the findings of </w:t>
      </w:r>
      <w:r w:rsidRPr="00A67501">
        <w:rPr>
          <w:rFonts w:ascii="Times New Roman" w:eastAsia="Aptos" w:hAnsi="Times New Roman" w:cs="Times New Roman"/>
          <w:color w:val="000000" w:themeColor="text1"/>
          <w:sz w:val="24"/>
          <w:szCs w:val="24"/>
        </w:rPr>
        <w:t xml:space="preserve">Thakur </w:t>
      </w:r>
      <w:r w:rsidRPr="00A67501">
        <w:rPr>
          <w:rFonts w:ascii="Times New Roman" w:eastAsia="Aptos" w:hAnsi="Times New Roman" w:cs="Times New Roman"/>
          <w:i/>
          <w:iCs/>
          <w:color w:val="000000" w:themeColor="text1"/>
          <w:sz w:val="24"/>
          <w:szCs w:val="24"/>
        </w:rPr>
        <w:t>et al</w:t>
      </w:r>
      <w:r w:rsidRPr="00A67501">
        <w:rPr>
          <w:rFonts w:ascii="Times New Roman" w:eastAsia="Aptos" w:hAnsi="Times New Roman" w:cs="Times New Roman"/>
          <w:color w:val="000000" w:themeColor="text1"/>
          <w:sz w:val="24"/>
          <w:szCs w:val="24"/>
        </w:rPr>
        <w:t>., (2015)</w:t>
      </w:r>
    </w:p>
    <w:p w14:paraId="42F24CAE" w14:textId="3926F009"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Spacing: </w:t>
      </w:r>
    </w:p>
    <w:p w14:paraId="6474933D" w14:textId="7935B95A" w:rsidR="00273BAF" w:rsidRPr="00234E9E" w:rsidRDefault="00273BAF" w:rsidP="00273BAF">
      <w:pPr>
        <w:spacing w:line="360" w:lineRule="auto"/>
        <w:ind w:firstLine="720"/>
        <w:jc w:val="both"/>
        <w:rPr>
          <w:rFonts w:ascii="Times New Roman" w:eastAsia="Aptos" w:hAnsi="Times New Roman" w:cs="Times New Roman"/>
          <w:color w:val="EE0000"/>
          <w:sz w:val="24"/>
          <w:szCs w:val="24"/>
        </w:rPr>
      </w:pPr>
      <w:r w:rsidRPr="00273BAF">
        <w:rPr>
          <w:rFonts w:ascii="Times New Roman" w:eastAsia="Aptos" w:hAnsi="Times New Roman" w:cs="Times New Roman"/>
          <w:sz w:val="24"/>
          <w:szCs w:val="24"/>
        </w:rPr>
        <w:t>Spacing also had a significant effect on available nitrogen in soil. The maximum available N was recorded under S₃ (30 × 15 cm) with 188.42 kg ha⁻¹, which was statistically at par with S</w:t>
      </w:r>
      <w:r w:rsidR="005975C2">
        <w:rPr>
          <w:rFonts w:ascii="Times New Roman" w:eastAsia="Aptos" w:hAnsi="Times New Roman" w:cs="Times New Roman"/>
          <w:sz w:val="24"/>
          <w:szCs w:val="24"/>
          <w:vertAlign w:val="subscript"/>
        </w:rPr>
        <w:t>1</w:t>
      </w:r>
      <w:r w:rsidRPr="00273BAF">
        <w:rPr>
          <w:rFonts w:ascii="Times New Roman" w:eastAsia="Aptos" w:hAnsi="Times New Roman" w:cs="Times New Roman"/>
          <w:sz w:val="24"/>
          <w:szCs w:val="24"/>
        </w:rPr>
        <w:t xml:space="preserve"> (20 × 20 cm). Significantly lowest available nitrogen (183.99 kg ha⁻¹) was observed in S₂. Under wider spacing although the uptake of nitrogen per plant was more but due to higher plant population in S</w:t>
      </w:r>
      <w:r w:rsidR="005975C2">
        <w:rPr>
          <w:rFonts w:ascii="Times New Roman" w:eastAsia="Aptos" w:hAnsi="Times New Roman" w:cs="Times New Roman"/>
          <w:sz w:val="24"/>
          <w:szCs w:val="24"/>
          <w:vertAlign w:val="subscript"/>
        </w:rPr>
        <w:t>2</w:t>
      </w:r>
      <w:r w:rsidRPr="00273BAF">
        <w:rPr>
          <w:rFonts w:ascii="Times New Roman" w:eastAsia="Aptos" w:hAnsi="Times New Roman" w:cs="Times New Roman"/>
          <w:sz w:val="24"/>
          <w:szCs w:val="24"/>
        </w:rPr>
        <w:t xml:space="preserve"> total uptake per hectare was higher </w:t>
      </w:r>
      <w:r w:rsidRPr="006F6440">
        <w:rPr>
          <w:rFonts w:ascii="Times New Roman" w:eastAsia="Aptos" w:hAnsi="Times New Roman" w:cs="Times New Roman"/>
          <w:sz w:val="24"/>
          <w:szCs w:val="24"/>
          <w:highlight w:val="yellow"/>
        </w:rPr>
        <w:t xml:space="preserve">due to higher plant </w:t>
      </w:r>
      <w:commentRangeStart w:id="9"/>
      <w:r w:rsidRPr="006F6440">
        <w:rPr>
          <w:rFonts w:ascii="Times New Roman" w:eastAsia="Aptos" w:hAnsi="Times New Roman" w:cs="Times New Roman"/>
          <w:sz w:val="24"/>
          <w:szCs w:val="24"/>
          <w:highlight w:val="yellow"/>
        </w:rPr>
        <w:t>population</w:t>
      </w:r>
      <w:commentRangeEnd w:id="9"/>
      <w:r w:rsidR="006F6440" w:rsidRPr="00273BAF">
        <w:rPr>
          <w:rStyle w:val="CommentReference"/>
          <w:rFonts w:ascii="Times New Roman" w:eastAsia="Aptos" w:hAnsi="Times New Roman" w:cs="Times New Roman"/>
          <w:sz w:val="24"/>
          <w:szCs w:val="24"/>
        </w:rPr>
        <w:commentReference w:id="9"/>
      </w:r>
      <w:r w:rsidRPr="00273BAF">
        <w:rPr>
          <w:rFonts w:ascii="Times New Roman" w:eastAsia="Aptos" w:hAnsi="Times New Roman" w:cs="Times New Roman"/>
          <w:sz w:val="24"/>
          <w:szCs w:val="24"/>
        </w:rPr>
        <w:t xml:space="preserve"> which </w:t>
      </w:r>
      <w:r w:rsidRPr="000D5B8A">
        <w:rPr>
          <w:rFonts w:ascii="Times New Roman" w:eastAsia="Aptos" w:hAnsi="Times New Roman" w:cs="Times New Roman"/>
          <w:sz w:val="24"/>
          <w:szCs w:val="24"/>
          <w:highlight w:val="yellow"/>
        </w:rPr>
        <w:t>has resulted in higher available N in wider spacing (</w:t>
      </w:r>
      <w:commentRangeStart w:id="10"/>
      <w:r w:rsidRPr="000D5B8A">
        <w:rPr>
          <w:rFonts w:ascii="Times New Roman" w:eastAsia="Aptos" w:hAnsi="Times New Roman" w:cs="Times New Roman"/>
          <w:sz w:val="24"/>
          <w:szCs w:val="24"/>
          <w:highlight w:val="yellow"/>
        </w:rPr>
        <w:t>S</w:t>
      </w:r>
      <w:r w:rsidR="005975C2" w:rsidRPr="000D5B8A">
        <w:rPr>
          <w:rFonts w:ascii="Times New Roman" w:eastAsia="Aptos" w:hAnsi="Times New Roman" w:cs="Times New Roman"/>
          <w:sz w:val="24"/>
          <w:szCs w:val="24"/>
          <w:highlight w:val="yellow"/>
          <w:vertAlign w:val="subscript"/>
        </w:rPr>
        <w:t>3</w:t>
      </w:r>
      <w:commentRangeEnd w:id="10"/>
      <w:r w:rsidR="000D5B8A" w:rsidRPr="000D5B8A">
        <w:rPr>
          <w:rStyle w:val="CommentReference"/>
          <w:rFonts w:ascii="Times New Roman" w:eastAsia="Aptos" w:hAnsi="Times New Roman" w:cs="Times New Roman"/>
          <w:sz w:val="24"/>
          <w:szCs w:val="24"/>
          <w:highlight w:val="yellow"/>
        </w:rPr>
        <w:commentReference w:id="10"/>
      </w:r>
      <w:r w:rsidRPr="000D5B8A">
        <w:rPr>
          <w:rFonts w:ascii="Times New Roman" w:eastAsia="Aptos" w:hAnsi="Times New Roman" w:cs="Times New Roman"/>
          <w:sz w:val="24"/>
          <w:szCs w:val="24"/>
          <w:highlight w:val="yellow"/>
        </w:rPr>
        <w:t>).</w:t>
      </w:r>
      <w:r w:rsidRPr="00273BAF">
        <w:rPr>
          <w:rFonts w:ascii="Times New Roman" w:eastAsia="Aptos" w:hAnsi="Times New Roman" w:cs="Times New Roman"/>
          <w:sz w:val="24"/>
          <w:szCs w:val="24"/>
        </w:rPr>
        <w:t xml:space="preserve"> These results were in agreement with the findings of </w:t>
      </w:r>
      <w:r w:rsidRPr="00A67501">
        <w:rPr>
          <w:rFonts w:ascii="Times New Roman" w:eastAsia="Aptos" w:hAnsi="Times New Roman" w:cs="Times New Roman"/>
          <w:color w:val="000000" w:themeColor="text1"/>
          <w:sz w:val="24"/>
          <w:szCs w:val="24"/>
        </w:rPr>
        <w:t xml:space="preserve">Verma </w:t>
      </w:r>
      <w:r w:rsidRPr="00A67501">
        <w:rPr>
          <w:rFonts w:ascii="Times New Roman" w:eastAsia="Aptos" w:hAnsi="Times New Roman" w:cs="Times New Roman"/>
          <w:i/>
          <w:iCs/>
          <w:color w:val="000000" w:themeColor="text1"/>
          <w:sz w:val="24"/>
          <w:szCs w:val="24"/>
        </w:rPr>
        <w:t>et al</w:t>
      </w:r>
      <w:r w:rsidRPr="00A67501">
        <w:rPr>
          <w:rFonts w:ascii="Times New Roman" w:eastAsia="Aptos" w:hAnsi="Times New Roman" w:cs="Times New Roman"/>
          <w:color w:val="000000" w:themeColor="text1"/>
          <w:sz w:val="24"/>
          <w:szCs w:val="24"/>
        </w:rPr>
        <w:t>., (2024)</w:t>
      </w:r>
    </w:p>
    <w:p w14:paraId="674177CE" w14:textId="75F77770"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Interaction Effect:</w:t>
      </w:r>
    </w:p>
    <w:p w14:paraId="559E0236" w14:textId="77777777"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The interaction between nitrogen sources and spacing on available nitrogen was found to be non-significant in soil after harvest of crop.</w:t>
      </w:r>
    </w:p>
    <w:p w14:paraId="3A1B77EC" w14:textId="77777777" w:rsidR="00273BAF" w:rsidRPr="00273BAF" w:rsidRDefault="00273BAF" w:rsidP="00273BAF">
      <w:pPr>
        <w:spacing w:line="360" w:lineRule="auto"/>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Phosphorus (kg ha⁻¹)</w:t>
      </w:r>
    </w:p>
    <w:p w14:paraId="4AD4726C" w14:textId="2BF6C8C7"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Effect of Nitrogen Sources:</w:t>
      </w:r>
    </w:p>
    <w:p w14:paraId="53368355" w14:textId="5F92B53E"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Nitrogen source treatments significantly influenced available phosphorus in the soil. The highest value (24.91 kg ha⁻¹) was recorded under N₃ (100% N through vermicompost), </w:t>
      </w:r>
      <w:r w:rsidRPr="00273BAF">
        <w:rPr>
          <w:rFonts w:ascii="Times New Roman" w:eastAsia="Aptos" w:hAnsi="Times New Roman" w:cs="Times New Roman"/>
          <w:sz w:val="24"/>
          <w:szCs w:val="24"/>
        </w:rPr>
        <w:lastRenderedPageBreak/>
        <w:t>which was significantly superior over other treatments Next best treatment was N</w:t>
      </w:r>
      <w:r w:rsidRPr="00273BAF">
        <w:rPr>
          <w:rFonts w:ascii="Times New Roman" w:eastAsia="Aptos" w:hAnsi="Times New Roman" w:cs="Times New Roman"/>
          <w:sz w:val="24"/>
          <w:szCs w:val="24"/>
          <w:vertAlign w:val="subscript"/>
        </w:rPr>
        <w:t xml:space="preserve">1 </w:t>
      </w:r>
      <w:r w:rsidRPr="00273BAF">
        <w:rPr>
          <w:rFonts w:ascii="Times New Roman" w:eastAsia="Aptos" w:hAnsi="Times New Roman" w:cs="Times New Roman"/>
          <w:sz w:val="24"/>
          <w:szCs w:val="24"/>
        </w:rPr>
        <w:t>(75% N through vermicompost + 25% RDN through inorganic fertilizer) and lowest in N</w:t>
      </w:r>
      <w:r w:rsidRPr="00273BAF">
        <w:rPr>
          <w:rFonts w:ascii="Times New Roman" w:eastAsia="Aptos" w:hAnsi="Times New Roman" w:cs="Times New Roman"/>
          <w:sz w:val="24"/>
          <w:szCs w:val="24"/>
          <w:vertAlign w:val="subscript"/>
        </w:rPr>
        <w:t>4</w:t>
      </w:r>
      <w:r w:rsidRPr="00273BAF">
        <w:rPr>
          <w:rFonts w:ascii="Times New Roman" w:eastAsia="Aptos" w:hAnsi="Times New Roman" w:cs="Times New Roman"/>
          <w:sz w:val="24"/>
          <w:szCs w:val="24"/>
        </w:rPr>
        <w:t xml:space="preserve"> (100 % RDN </w:t>
      </w:r>
      <w:r w:rsidRPr="00273BAF">
        <w:rPr>
          <w:rFonts w:ascii="Times New Roman" w:eastAsia="Aptos" w:hAnsi="Times New Roman" w:cs="Times New Roman"/>
          <w:color w:val="000000"/>
          <w:sz w:val="24"/>
          <w:szCs w:val="24"/>
          <w:shd w:val="clear" w:color="auto" w:fill="FFFFFF"/>
        </w:rPr>
        <w:t>through inorganic fertilizer).</w:t>
      </w:r>
      <w:r w:rsidRPr="00273BAF">
        <w:rPr>
          <w:rFonts w:ascii="Times New Roman" w:eastAsia="Aptos" w:hAnsi="Times New Roman" w:cs="Times New Roman"/>
          <w:sz w:val="24"/>
          <w:szCs w:val="24"/>
        </w:rPr>
        <w:t xml:space="preserve"> The higher phosphorus availability in soil under vermicompost treatments can be attributed to organic acids produced during decomposition, which aid in solubilizing insoluble phosphorus fractions and reducing fixation.  These results were in agreement with the findings of Thakur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(2015)</w:t>
      </w:r>
    </w:p>
    <w:p w14:paraId="6D593582" w14:textId="3A485F1C"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Effect of Spacing:</w:t>
      </w:r>
    </w:p>
    <w:p w14:paraId="1266B012" w14:textId="1A3FFA32"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Spacing also had a significant impact on available phosphorus. The highest P₂O₅ content was observed in S₁ 20 x 20 cm (23.92 kg ha⁻¹), which was at par with S₃- 30x 15 cm (23.64 kg ha⁻¹) but significantly higher than S₂ 30x 10 cm (23.22 kg ha⁻¹). These results were in agreement with the findings of Verma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(2024)</w:t>
      </w:r>
    </w:p>
    <w:p w14:paraId="087D4F20" w14:textId="273158BA"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Interaction Effect:</w:t>
      </w:r>
    </w:p>
    <w:p w14:paraId="4A513506" w14:textId="77777777"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sz w:val="24"/>
          <w:szCs w:val="24"/>
        </w:rPr>
        <w:t xml:space="preserve">The interaction between nitrogen source and plant spacing was found to be non-significant for available phosphorus in soil after harvest of crop. </w:t>
      </w:r>
    </w:p>
    <w:p w14:paraId="286BFC13" w14:textId="236E0E82"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Available Potassium (kg ha⁻¹) </w:t>
      </w:r>
    </w:p>
    <w:p w14:paraId="51B23706" w14:textId="00BA47AC" w:rsidR="00273BAF" w:rsidRPr="00273BAF" w:rsidRDefault="00273BAF" w:rsidP="00273BAF">
      <w:pPr>
        <w:spacing w:line="360" w:lineRule="auto"/>
        <w:jc w:val="both"/>
        <w:rPr>
          <w:rFonts w:ascii="Times New Roman" w:eastAsia="Aptos" w:hAnsi="Times New Roman" w:cs="Times New Roman"/>
          <w:sz w:val="24"/>
          <w:szCs w:val="24"/>
        </w:rPr>
      </w:pPr>
      <w:r w:rsidRPr="00273BAF">
        <w:rPr>
          <w:rFonts w:ascii="Times New Roman" w:eastAsia="Aptos" w:hAnsi="Times New Roman" w:cs="Times New Roman"/>
          <w:b/>
          <w:bCs/>
          <w:sz w:val="24"/>
          <w:szCs w:val="24"/>
        </w:rPr>
        <w:t xml:space="preserve"> Effect of Nitrogen Sources:</w:t>
      </w:r>
    </w:p>
    <w:p w14:paraId="3CF5BE04" w14:textId="77777777" w:rsidR="00273BAF" w:rsidRPr="00273BAF" w:rsidRDefault="00273BAF" w:rsidP="00273BAF">
      <w:pPr>
        <w:spacing w:after="0"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Available potassium in soil after harvest was significantly influenced by nitrogen sources. The highest potassium content (375.76 kg ha⁻¹) was recorded under N₃ (100% N through vermicompost), which was significantly higher than all other treatments. It was followed by N₁ (75% N through vermicompost + 25% RDN through inorganic fertilizer )  (369.51 kg ha⁻¹) and the lowest potassium content (354.08 kg ha⁻¹) was recorded in N₄ (100% RDN through inorganic fertilizer). The higher K content under vermicompost treatments is due to the addition of potassium through organic matter and its better retention due to organic acids that prevent potassium fixation. These results were in agreement with the findings of Thakur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(2015)</w:t>
      </w:r>
    </w:p>
    <w:p w14:paraId="3A877B51" w14:textId="77777777" w:rsidR="00273BAF" w:rsidRPr="00273BAF" w:rsidRDefault="00273BAF" w:rsidP="00273BAF">
      <w:pPr>
        <w:spacing w:after="0" w:line="360" w:lineRule="auto"/>
        <w:jc w:val="both"/>
        <w:rPr>
          <w:rFonts w:ascii="Times New Roman" w:eastAsia="Aptos" w:hAnsi="Times New Roman" w:cs="Times New Roman"/>
          <w:b/>
          <w:bCs/>
          <w:sz w:val="24"/>
          <w:szCs w:val="24"/>
        </w:rPr>
      </w:pPr>
    </w:p>
    <w:p w14:paraId="7A92A06C" w14:textId="74D2E1E4" w:rsidR="00273BAF" w:rsidRPr="00273BAF" w:rsidRDefault="00273BAF" w:rsidP="00273BAF">
      <w:pPr>
        <w:spacing w:after="0"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Spacing:</w:t>
      </w:r>
    </w:p>
    <w:p w14:paraId="662152CE" w14:textId="77777777" w:rsidR="00273BAF" w:rsidRPr="00273BAF" w:rsidRDefault="00273BAF" w:rsidP="00273BAF">
      <w:pPr>
        <w:spacing w:after="0"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Spacing also significantly influenced available potassium. The maximum K₂O was recorded under S₂ (368.23 kg ha⁻¹), which was significantly higher than S₃ (362.95 kg ha⁻¹) but </w:t>
      </w:r>
      <w:r w:rsidRPr="00273BAF">
        <w:rPr>
          <w:rFonts w:ascii="Times New Roman" w:eastAsia="Aptos" w:hAnsi="Times New Roman" w:cs="Times New Roman"/>
          <w:sz w:val="24"/>
          <w:szCs w:val="24"/>
        </w:rPr>
        <w:lastRenderedPageBreak/>
        <w:t xml:space="preserve">at par with S₁ (365.63 kg ha⁻¹). These results were in agreement with the findings of </w:t>
      </w:r>
      <w:commentRangeStart w:id="11"/>
      <w:r w:rsidRPr="000D5B8A">
        <w:rPr>
          <w:rFonts w:ascii="Times New Roman" w:eastAsia="Aptos" w:hAnsi="Times New Roman" w:cs="Times New Roman"/>
          <w:sz w:val="24"/>
          <w:szCs w:val="24"/>
          <w:highlight w:val="yellow"/>
        </w:rPr>
        <w:t>verma</w:t>
      </w:r>
      <w:commentRangeEnd w:id="11"/>
      <w:r w:rsidR="000D5B8A" w:rsidRPr="00273BAF">
        <w:rPr>
          <w:rStyle w:val="CommentReference"/>
          <w:rFonts w:ascii="Times New Roman" w:eastAsia="Aptos" w:hAnsi="Times New Roman" w:cs="Times New Roman"/>
          <w:sz w:val="24"/>
          <w:szCs w:val="24"/>
        </w:rPr>
        <w:commentReference w:id="11"/>
      </w:r>
      <w:r w:rsidRPr="00273BAF">
        <w:rPr>
          <w:rFonts w:ascii="Times New Roman" w:eastAsia="Aptos" w:hAnsi="Times New Roman" w:cs="Times New Roman"/>
          <w:sz w:val="24"/>
          <w:szCs w:val="24"/>
        </w:rPr>
        <w:t xml:space="preserve">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(2024)</w:t>
      </w:r>
    </w:p>
    <w:p w14:paraId="2772A78B" w14:textId="7ECEFFA4" w:rsidR="00273BAF" w:rsidRPr="00F94B43" w:rsidRDefault="00273BAF" w:rsidP="00273BAF">
      <w:pPr>
        <w:spacing w:after="0"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Interaction Effect:</w:t>
      </w:r>
    </w:p>
    <w:p w14:paraId="49721EFC" w14:textId="66F85C32" w:rsid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The interaction between nitrogen sources and spacing on available potassium content was found to be non-significant</w:t>
      </w:r>
      <w:r>
        <w:rPr>
          <w:rFonts w:ascii="Times New Roman" w:eastAsia="Aptos" w:hAnsi="Times New Roman" w:cs="Times New Roman"/>
          <w:sz w:val="24"/>
          <w:szCs w:val="24"/>
        </w:rPr>
        <w:t>.</w:t>
      </w:r>
    </w:p>
    <w:p w14:paraId="533E8010" w14:textId="2DDC2D6B" w:rsidR="00273BAF" w:rsidRPr="00F94B43" w:rsidRDefault="00273BAF" w:rsidP="00F94B43">
      <w:pPr>
        <w:spacing w:after="0"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Soil Biological Properties:</w:t>
      </w:r>
    </w:p>
    <w:p w14:paraId="35198447" w14:textId="4AF3894B" w:rsidR="00273BAF" w:rsidRPr="00560FF8" w:rsidRDefault="00273BAF" w:rsidP="00273BAF">
      <w:pPr>
        <w:spacing w:after="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 xml:space="preserve">The data on soil microbial count including Actinomycetes, bacteria, and fungi as influenced by different nitrogen sources and plant geometries are presented in </w:t>
      </w:r>
      <w:r w:rsidRPr="00560FF8">
        <w:rPr>
          <w:rFonts w:ascii="Times New Roman" w:eastAsia="Aptos" w:hAnsi="Times New Roman" w:cs="Times New Roman"/>
          <w:color w:val="000000"/>
          <w:sz w:val="24"/>
          <w:szCs w:val="24"/>
        </w:rPr>
        <w:t>Table</w:t>
      </w:r>
      <w:r w:rsidR="005975C2">
        <w:rPr>
          <w:rFonts w:ascii="Times New Roman" w:eastAsia="Aptos" w:hAnsi="Times New Roman" w:cs="Times New Roman"/>
          <w:color w:val="000000"/>
          <w:sz w:val="24"/>
          <w:szCs w:val="24"/>
        </w:rPr>
        <w:t>-2.</w:t>
      </w:r>
      <w:r w:rsidRPr="00560FF8">
        <w:rPr>
          <w:rFonts w:ascii="Times New Roman" w:eastAsia="Aptos" w:hAnsi="Times New Roman" w:cs="Times New Roman"/>
          <w:sz w:val="24"/>
          <w:szCs w:val="24"/>
        </w:rPr>
        <w:t xml:space="preserve"> The general mean values for Actinomycetes, bacteria, and fungi were 3.57 × 10⁴ cfu g⁻¹, 26.65 × 10⁶ cfu g⁻¹</w:t>
      </w:r>
      <w:r w:rsidR="005975C2">
        <w:rPr>
          <w:rFonts w:ascii="Times New Roman" w:eastAsia="Aptos" w:hAnsi="Times New Roman" w:cs="Times New Roman"/>
          <w:sz w:val="24"/>
          <w:szCs w:val="24"/>
        </w:rPr>
        <w:t xml:space="preserve"> </w:t>
      </w:r>
      <w:r w:rsidRPr="00560FF8">
        <w:rPr>
          <w:rFonts w:ascii="Times New Roman" w:eastAsia="Aptos" w:hAnsi="Times New Roman" w:cs="Times New Roman"/>
          <w:sz w:val="24"/>
          <w:szCs w:val="24"/>
        </w:rPr>
        <w:t>and 4.04 × 10⁵ cfu g⁻¹, respectively. These values showed a notable enhancement over the initial microbial counts actinomycetes 3.41 × 10⁴ cfu g⁻¹, Bacteria 26.45 × 10⁶ cfu g⁻¹</w:t>
      </w:r>
      <w:r w:rsidR="005975C2">
        <w:rPr>
          <w:rFonts w:ascii="Times New Roman" w:eastAsia="Aptos" w:hAnsi="Times New Roman" w:cs="Times New Roman"/>
          <w:sz w:val="24"/>
          <w:szCs w:val="24"/>
        </w:rPr>
        <w:t xml:space="preserve"> and</w:t>
      </w:r>
      <w:r w:rsidRPr="00560FF8">
        <w:rPr>
          <w:rFonts w:ascii="Times New Roman" w:eastAsia="Aptos" w:hAnsi="Times New Roman" w:cs="Times New Roman"/>
          <w:sz w:val="24"/>
          <w:szCs w:val="24"/>
        </w:rPr>
        <w:t xml:space="preserve"> Fungi 3.85 × 10⁵ cfu g⁻¹.</w:t>
      </w:r>
    </w:p>
    <w:p w14:paraId="61DA57EC" w14:textId="77777777"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Effect of Nitrogen Sources:</w:t>
      </w:r>
    </w:p>
    <w:p w14:paraId="106BD606" w14:textId="239D351C" w:rsidR="00560FF8" w:rsidRDefault="00560FF8" w:rsidP="00F94B43">
      <w:pPr>
        <w:spacing w:after="0" w:line="360" w:lineRule="auto"/>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Nitrogen sources had a significant influence on soil microbial populations in terms of Actinomycetes, bacteria, and fungi. The highest actinomycetes, bacterial, fungi count was recorded with the application of 100% RDN through vermicompost (N</w:t>
      </w:r>
      <w:r w:rsidR="005975C2">
        <w:rPr>
          <w:rFonts w:ascii="Times New Roman" w:eastAsia="Aptos" w:hAnsi="Times New Roman" w:cs="Times New Roman"/>
          <w:sz w:val="24"/>
          <w:szCs w:val="24"/>
          <w:vertAlign w:val="subscript"/>
        </w:rPr>
        <w:t>3</w:t>
      </w:r>
      <w:r w:rsidRPr="00560FF8">
        <w:rPr>
          <w:rFonts w:ascii="Times New Roman" w:eastAsia="Aptos" w:hAnsi="Times New Roman" w:cs="Times New Roman"/>
          <w:sz w:val="24"/>
          <w:szCs w:val="24"/>
        </w:rPr>
        <w:t>) followed by (N</w:t>
      </w:r>
      <w:r w:rsidR="005975C2">
        <w:rPr>
          <w:rFonts w:ascii="Times New Roman" w:eastAsia="Aptos" w:hAnsi="Times New Roman" w:cs="Times New Roman"/>
          <w:sz w:val="24"/>
          <w:szCs w:val="24"/>
          <w:vertAlign w:val="subscript"/>
        </w:rPr>
        <w:t>1</w:t>
      </w:r>
      <w:r w:rsidRPr="00560FF8">
        <w:rPr>
          <w:rFonts w:ascii="Times New Roman" w:eastAsia="Aptos" w:hAnsi="Times New Roman" w:cs="Times New Roman"/>
          <w:sz w:val="24"/>
          <w:szCs w:val="24"/>
        </w:rPr>
        <w:t>) 75% RDN through vermicompost and 25% RDN through inorganic fertilizer and lowest was recorded in 100% RDN through inorganic fertilizer (N</w:t>
      </w:r>
      <w:r w:rsidR="005975C2">
        <w:rPr>
          <w:rFonts w:ascii="Times New Roman" w:eastAsia="Aptos" w:hAnsi="Times New Roman" w:cs="Times New Roman"/>
          <w:sz w:val="24"/>
          <w:szCs w:val="24"/>
          <w:vertAlign w:val="subscript"/>
        </w:rPr>
        <w:t>4</w:t>
      </w:r>
      <w:r w:rsidRPr="00560FF8">
        <w:rPr>
          <w:rFonts w:ascii="Times New Roman" w:eastAsia="Aptos" w:hAnsi="Times New Roman" w:cs="Times New Roman"/>
          <w:sz w:val="24"/>
          <w:szCs w:val="24"/>
        </w:rPr>
        <w:t>). Among all nitrogen sources, the application of 100% N though vermicompost significantly enhanced microbial activity in soil, highlighting its role in improving soil biological health due to increased organic carbon and microbial substrate availability.</w:t>
      </w:r>
    </w:p>
    <w:p w14:paraId="3A20E997" w14:textId="77777777" w:rsidR="00F94B43" w:rsidRDefault="00F94B43" w:rsidP="00F94B43">
      <w:pPr>
        <w:spacing w:after="0" w:line="360" w:lineRule="auto"/>
        <w:jc w:val="both"/>
        <w:rPr>
          <w:rFonts w:ascii="Times New Roman" w:eastAsia="Aptos" w:hAnsi="Times New Roman" w:cs="Times New Roman"/>
          <w:sz w:val="24"/>
          <w:szCs w:val="24"/>
        </w:rPr>
      </w:pPr>
    </w:p>
    <w:p w14:paraId="03BD6D6C" w14:textId="77777777" w:rsidR="00F94B43" w:rsidRPr="00560FF8" w:rsidRDefault="00F94B43" w:rsidP="00F94B43">
      <w:pPr>
        <w:spacing w:after="0" w:line="360" w:lineRule="auto"/>
        <w:jc w:val="both"/>
        <w:rPr>
          <w:rFonts w:ascii="Times New Roman" w:eastAsia="Aptos" w:hAnsi="Times New Roman" w:cs="Times New Roman"/>
          <w:sz w:val="24"/>
          <w:szCs w:val="24"/>
        </w:rPr>
      </w:pPr>
    </w:p>
    <w:p w14:paraId="13FE5D21" w14:textId="0243F23D"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 xml:space="preserve"> Effect of Plant Geometry:</w:t>
      </w:r>
    </w:p>
    <w:p w14:paraId="20477044" w14:textId="79647F4A" w:rsidR="00560FF8" w:rsidRPr="00560FF8" w:rsidRDefault="00560FF8" w:rsidP="00560FF8">
      <w:pPr>
        <w:spacing w:after="12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Among the three plant spacings tested, bacterial population was significantly influenced, whereas actinomycetes and fungal populations were not significantly affected. The highest bacterial count (27.63 × 10⁶ cfu g⁻¹) was recorded in 30 × 10 cm spacing (S</w:t>
      </w:r>
      <w:r w:rsidR="005975C2">
        <w:rPr>
          <w:rFonts w:ascii="Times New Roman" w:eastAsia="Aptos" w:hAnsi="Times New Roman" w:cs="Times New Roman"/>
          <w:sz w:val="24"/>
          <w:szCs w:val="24"/>
          <w:vertAlign w:val="subscript"/>
        </w:rPr>
        <w:t>2</w:t>
      </w:r>
      <w:r w:rsidRPr="00560FF8">
        <w:rPr>
          <w:rFonts w:ascii="Times New Roman" w:eastAsia="Aptos" w:hAnsi="Times New Roman" w:cs="Times New Roman"/>
          <w:sz w:val="24"/>
          <w:szCs w:val="24"/>
        </w:rPr>
        <w:t>)</w:t>
      </w:r>
      <w:r w:rsidR="005975C2">
        <w:rPr>
          <w:rFonts w:ascii="Times New Roman" w:eastAsia="Aptos" w:hAnsi="Times New Roman" w:cs="Times New Roman"/>
          <w:sz w:val="24"/>
          <w:szCs w:val="24"/>
        </w:rPr>
        <w:t>.</w:t>
      </w:r>
    </w:p>
    <w:p w14:paraId="6FAA99CC" w14:textId="083E4FAA"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 xml:space="preserve"> Interaction Effect:</w:t>
      </w:r>
    </w:p>
    <w:p w14:paraId="5CAB7480" w14:textId="151B8CCC" w:rsidR="00273BAF" w:rsidRPr="00F94B43" w:rsidRDefault="00560FF8" w:rsidP="00F94B43">
      <w:pPr>
        <w:spacing w:after="12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The interaction effect of nitrogen sources and plant geometry on microbial populations (Actinomycetes, bacteria</w:t>
      </w:r>
      <w:r w:rsidR="005975C2">
        <w:rPr>
          <w:rFonts w:ascii="Times New Roman" w:eastAsia="Aptos" w:hAnsi="Times New Roman" w:cs="Times New Roman"/>
          <w:sz w:val="24"/>
          <w:szCs w:val="24"/>
        </w:rPr>
        <w:t xml:space="preserve"> </w:t>
      </w:r>
      <w:r w:rsidRPr="00560FF8">
        <w:rPr>
          <w:rFonts w:ascii="Times New Roman" w:eastAsia="Aptos" w:hAnsi="Times New Roman" w:cs="Times New Roman"/>
          <w:sz w:val="24"/>
          <w:szCs w:val="24"/>
        </w:rPr>
        <w:t>and fungi) was found to be non-significant.</w:t>
      </w:r>
    </w:p>
    <w:p w14:paraId="5D225637" w14:textId="610FF853" w:rsidR="0048637C" w:rsidRPr="00F94B43" w:rsidRDefault="00560FF8" w:rsidP="00F94B43">
      <w:pPr>
        <w:spacing w:after="120" w:line="360" w:lineRule="auto"/>
        <w:jc w:val="both"/>
        <w:rPr>
          <w:rFonts w:ascii="Times New Roman" w:eastAsia="Aptos" w:hAnsi="Times New Roman" w:cs="Times New Roman"/>
          <w:b/>
          <w:bCs/>
          <w:sz w:val="24"/>
          <w:szCs w:val="24"/>
        </w:rPr>
      </w:pPr>
      <w:r>
        <w:rPr>
          <w:rFonts w:ascii="Arial" w:eastAsia="Aptos" w:hAnsi="Arial" w:cs="Arial"/>
          <w:b/>
          <w:sz w:val="24"/>
          <w:szCs w:val="24"/>
        </w:rPr>
        <w:t xml:space="preserve"> </w:t>
      </w:r>
      <w:r w:rsidRPr="00F94B43">
        <w:rPr>
          <w:rFonts w:ascii="Times New Roman" w:eastAsia="Aptos" w:hAnsi="Times New Roman" w:cs="Times New Roman"/>
          <w:b/>
          <w:bCs/>
          <w:sz w:val="24"/>
          <w:szCs w:val="24"/>
        </w:rPr>
        <w:t>Table1:</w:t>
      </w:r>
      <w:r w:rsidR="00F94B43">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 xml:space="preserve">Available NPK of Kalmegh as influenced by nitrogen sources and plant geometry  </w:t>
      </w:r>
    </w:p>
    <w:tbl>
      <w:tblPr>
        <w:tblStyle w:val="TableGrid1"/>
        <w:tblW w:w="5000" w:type="pct"/>
        <w:jc w:val="center"/>
        <w:tblLook w:val="04A0" w:firstRow="1" w:lastRow="0" w:firstColumn="1" w:lastColumn="0" w:noHBand="0" w:noVBand="1"/>
      </w:tblPr>
      <w:tblGrid>
        <w:gridCol w:w="4995"/>
        <w:gridCol w:w="1244"/>
        <w:gridCol w:w="1273"/>
        <w:gridCol w:w="1504"/>
      </w:tblGrid>
      <w:tr w:rsidR="00560FF8" w:rsidRPr="00DD2211" w14:paraId="0619C6FF" w14:textId="77777777" w:rsidTr="006C2CE9">
        <w:trPr>
          <w:trHeight w:val="405"/>
          <w:jc w:val="center"/>
        </w:trPr>
        <w:tc>
          <w:tcPr>
            <w:tcW w:w="2770" w:type="pct"/>
            <w:vMerge w:val="restart"/>
            <w:vAlign w:val="center"/>
          </w:tcPr>
          <w:p w14:paraId="7C1E601D"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lastRenderedPageBreak/>
              <w:t>Treatments</w:t>
            </w:r>
          </w:p>
        </w:tc>
        <w:tc>
          <w:tcPr>
            <w:tcW w:w="2230" w:type="pct"/>
            <w:gridSpan w:val="3"/>
          </w:tcPr>
          <w:p w14:paraId="345A451A"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sz w:val="24"/>
                <w:szCs w:val="24"/>
              </w:rPr>
              <w:t>Available NPK (Kg ha</w:t>
            </w:r>
            <w:r w:rsidRPr="00560FF8">
              <w:rPr>
                <w:rFonts w:ascii="Times New Roman" w:eastAsia="Aptos" w:hAnsi="Times New Roman" w:cs="Times New Roman"/>
                <w:b/>
                <w:sz w:val="24"/>
                <w:szCs w:val="24"/>
                <w:vertAlign w:val="superscript"/>
              </w:rPr>
              <w:t>-1</w:t>
            </w:r>
            <w:r w:rsidRPr="00560FF8">
              <w:rPr>
                <w:rFonts w:ascii="Times New Roman" w:eastAsia="Aptos" w:hAnsi="Times New Roman" w:cs="Times New Roman"/>
                <w:b/>
                <w:sz w:val="24"/>
                <w:szCs w:val="24"/>
              </w:rPr>
              <w:t>)</w:t>
            </w:r>
          </w:p>
        </w:tc>
      </w:tr>
      <w:tr w:rsidR="00560FF8" w:rsidRPr="00DD2211" w14:paraId="014CFC31" w14:textId="77777777" w:rsidTr="006C2CE9">
        <w:trPr>
          <w:trHeight w:val="152"/>
          <w:jc w:val="center"/>
        </w:trPr>
        <w:tc>
          <w:tcPr>
            <w:tcW w:w="2770" w:type="pct"/>
            <w:vMerge/>
          </w:tcPr>
          <w:p w14:paraId="25F3E23B" w14:textId="77777777" w:rsidR="00560FF8" w:rsidRPr="00560FF8" w:rsidRDefault="00560FF8" w:rsidP="00F94B43">
            <w:pPr>
              <w:spacing w:after="0" w:line="240" w:lineRule="auto"/>
              <w:rPr>
                <w:rFonts w:ascii="Times New Roman" w:eastAsia="Aptos" w:hAnsi="Times New Roman" w:cs="Times New Roman"/>
                <w:sz w:val="24"/>
                <w:szCs w:val="24"/>
              </w:rPr>
            </w:pPr>
          </w:p>
        </w:tc>
        <w:tc>
          <w:tcPr>
            <w:tcW w:w="690" w:type="pct"/>
            <w:vAlign w:val="center"/>
          </w:tcPr>
          <w:p w14:paraId="183AB0C0"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N</w:t>
            </w:r>
          </w:p>
        </w:tc>
        <w:tc>
          <w:tcPr>
            <w:tcW w:w="706" w:type="pct"/>
            <w:vAlign w:val="center"/>
          </w:tcPr>
          <w:p w14:paraId="1E9B7BE3" w14:textId="0BB092F3" w:rsidR="00560FF8" w:rsidRPr="005975C2" w:rsidRDefault="005975C2" w:rsidP="00F94B43">
            <w:pPr>
              <w:spacing w:after="0" w:line="240" w:lineRule="auto"/>
              <w:jc w:val="center"/>
              <w:rPr>
                <w:rFonts w:ascii="Times New Roman" w:eastAsia="Aptos" w:hAnsi="Times New Roman" w:cs="Times New Roman"/>
                <w:b/>
                <w:bCs/>
                <w:sz w:val="24"/>
                <w:szCs w:val="24"/>
                <w:vertAlign w:val="subscript"/>
              </w:rPr>
            </w:pPr>
            <w:r>
              <w:rPr>
                <w:rFonts w:ascii="Times New Roman" w:eastAsia="Aptos" w:hAnsi="Times New Roman" w:cs="Times New Roman"/>
                <w:b/>
                <w:bCs/>
                <w:sz w:val="24"/>
                <w:szCs w:val="24"/>
              </w:rPr>
              <w:t>P</w:t>
            </w:r>
            <w:r>
              <w:rPr>
                <w:rFonts w:ascii="Times New Roman" w:eastAsia="Aptos" w:hAnsi="Times New Roman" w:cs="Times New Roman"/>
                <w:b/>
                <w:bCs/>
                <w:sz w:val="24"/>
                <w:szCs w:val="24"/>
                <w:vertAlign w:val="subscript"/>
              </w:rPr>
              <w:t>2</w:t>
            </w:r>
            <w:r>
              <w:rPr>
                <w:rFonts w:ascii="Times New Roman" w:eastAsia="Aptos" w:hAnsi="Times New Roman" w:cs="Times New Roman"/>
                <w:b/>
                <w:bCs/>
                <w:sz w:val="24"/>
                <w:szCs w:val="24"/>
              </w:rPr>
              <w:t>O</w:t>
            </w:r>
            <w:r>
              <w:rPr>
                <w:rFonts w:ascii="Times New Roman" w:eastAsia="Aptos" w:hAnsi="Times New Roman" w:cs="Times New Roman"/>
                <w:b/>
                <w:bCs/>
                <w:sz w:val="24"/>
                <w:szCs w:val="24"/>
                <w:vertAlign w:val="subscript"/>
              </w:rPr>
              <w:t>5</w:t>
            </w:r>
          </w:p>
        </w:tc>
        <w:tc>
          <w:tcPr>
            <w:tcW w:w="834" w:type="pct"/>
            <w:vAlign w:val="center"/>
          </w:tcPr>
          <w:p w14:paraId="4DEC678A" w14:textId="15E2642B" w:rsidR="00560FF8" w:rsidRPr="005975C2" w:rsidRDefault="005975C2" w:rsidP="00F94B43">
            <w:pPr>
              <w:spacing w:after="0" w:line="240"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K</w:t>
            </w:r>
            <w:r>
              <w:rPr>
                <w:rFonts w:ascii="Times New Roman" w:eastAsia="Aptos" w:hAnsi="Times New Roman" w:cs="Times New Roman"/>
                <w:b/>
                <w:bCs/>
                <w:sz w:val="24"/>
                <w:szCs w:val="24"/>
                <w:vertAlign w:val="subscript"/>
              </w:rPr>
              <w:t>2</w:t>
            </w:r>
            <w:r>
              <w:rPr>
                <w:rFonts w:ascii="Times New Roman" w:eastAsia="Aptos" w:hAnsi="Times New Roman" w:cs="Times New Roman"/>
                <w:b/>
                <w:bCs/>
                <w:sz w:val="24"/>
                <w:szCs w:val="24"/>
              </w:rPr>
              <w:t>O</w:t>
            </w:r>
          </w:p>
        </w:tc>
      </w:tr>
      <w:tr w:rsidR="00560FF8" w:rsidRPr="00DD2211" w14:paraId="4B3D07EE" w14:textId="77777777" w:rsidTr="006C2CE9">
        <w:trPr>
          <w:trHeight w:val="291"/>
          <w:jc w:val="center"/>
        </w:trPr>
        <w:tc>
          <w:tcPr>
            <w:tcW w:w="5000" w:type="pct"/>
            <w:gridSpan w:val="4"/>
          </w:tcPr>
          <w:p w14:paraId="01739C3A" w14:textId="3CB66A3C" w:rsidR="00560FF8" w:rsidRPr="00560FF8" w:rsidRDefault="00560FF8" w:rsidP="00F94B43">
            <w:pPr>
              <w:spacing w:after="0" w:line="240" w:lineRule="auto"/>
              <w:rPr>
                <w:rFonts w:ascii="Times New Roman" w:eastAsia="Aptos" w:hAnsi="Times New Roman" w:cs="Times New Roman"/>
                <w:sz w:val="24"/>
                <w:szCs w:val="24"/>
              </w:rPr>
            </w:pPr>
            <w:r w:rsidRPr="00560FF8">
              <w:rPr>
                <w:rFonts w:ascii="Times New Roman" w:eastAsia="Aptos" w:hAnsi="Times New Roman" w:cs="Times New Roman"/>
                <w:b/>
                <w:bCs/>
                <w:sz w:val="24"/>
                <w:szCs w:val="24"/>
              </w:rPr>
              <w:t>Factor A: Sources of N applications</w:t>
            </w:r>
          </w:p>
        </w:tc>
      </w:tr>
      <w:tr w:rsidR="00560FF8" w:rsidRPr="00DD2211" w14:paraId="571C8F41" w14:textId="77777777" w:rsidTr="006C2CE9">
        <w:trPr>
          <w:trHeight w:val="878"/>
          <w:jc w:val="center"/>
        </w:trPr>
        <w:tc>
          <w:tcPr>
            <w:tcW w:w="2770" w:type="pct"/>
            <w:vAlign w:val="center"/>
          </w:tcPr>
          <w:p w14:paraId="7F6616E6" w14:textId="3A19E318"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1</w:t>
            </w:r>
            <w:r w:rsidRPr="00560FF8">
              <w:rPr>
                <w:rFonts w:ascii="Times New Roman" w:eastAsia="Aptos" w:hAnsi="Times New Roman" w:cs="Times New Roman"/>
                <w:color w:val="000000"/>
                <w:sz w:val="24"/>
                <w:szCs w:val="24"/>
              </w:rPr>
              <w:t>: 75%</w:t>
            </w:r>
            <w:r w:rsidRPr="00560FF8">
              <w:rPr>
                <w:rFonts w:ascii="Times New Roman" w:eastAsia="Aptos" w:hAnsi="Times New Roman" w:cs="Times New Roman"/>
                <w:sz w:val="24"/>
                <w:szCs w:val="24"/>
              </w:rPr>
              <w:t xml:space="preserve"> N through               vermicompost + 25% RDN   through inorganic fertilizer</w:t>
            </w:r>
          </w:p>
        </w:tc>
        <w:tc>
          <w:tcPr>
            <w:tcW w:w="690" w:type="pct"/>
            <w:vAlign w:val="center"/>
          </w:tcPr>
          <w:p w14:paraId="0A897A8E"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186.42</w:t>
            </w:r>
          </w:p>
        </w:tc>
        <w:tc>
          <w:tcPr>
            <w:tcW w:w="706" w:type="pct"/>
            <w:vAlign w:val="center"/>
          </w:tcPr>
          <w:p w14:paraId="572F5CF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24.08</w:t>
            </w:r>
          </w:p>
        </w:tc>
        <w:tc>
          <w:tcPr>
            <w:tcW w:w="834" w:type="pct"/>
            <w:vAlign w:val="center"/>
          </w:tcPr>
          <w:p w14:paraId="4F0D9511"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369.51</w:t>
            </w:r>
          </w:p>
        </w:tc>
      </w:tr>
      <w:tr w:rsidR="00560FF8" w:rsidRPr="00DD2211" w14:paraId="48DDED2D" w14:textId="77777777" w:rsidTr="006C2CE9">
        <w:trPr>
          <w:trHeight w:val="878"/>
          <w:jc w:val="center"/>
        </w:trPr>
        <w:tc>
          <w:tcPr>
            <w:tcW w:w="2770" w:type="pct"/>
            <w:vAlign w:val="center"/>
          </w:tcPr>
          <w:p w14:paraId="7DB0A7E5" w14:textId="60BB7826"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2</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50 % N through vermicompost + 50 % RDN through inorganic fertilizer</w:t>
            </w:r>
          </w:p>
        </w:tc>
        <w:tc>
          <w:tcPr>
            <w:tcW w:w="690" w:type="pct"/>
            <w:vAlign w:val="center"/>
          </w:tcPr>
          <w:p w14:paraId="7D2602F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185.52</w:t>
            </w:r>
          </w:p>
        </w:tc>
        <w:tc>
          <w:tcPr>
            <w:tcW w:w="706" w:type="pct"/>
            <w:vAlign w:val="center"/>
          </w:tcPr>
          <w:p w14:paraId="364D750F"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23.18</w:t>
            </w:r>
          </w:p>
        </w:tc>
        <w:tc>
          <w:tcPr>
            <w:tcW w:w="834" w:type="pct"/>
            <w:vAlign w:val="center"/>
          </w:tcPr>
          <w:p w14:paraId="54908F7F"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363.07</w:t>
            </w:r>
          </w:p>
        </w:tc>
      </w:tr>
      <w:tr w:rsidR="00560FF8" w:rsidRPr="00DD2211" w14:paraId="50142361" w14:textId="77777777" w:rsidTr="006C2CE9">
        <w:trPr>
          <w:trHeight w:val="585"/>
          <w:jc w:val="center"/>
        </w:trPr>
        <w:tc>
          <w:tcPr>
            <w:tcW w:w="2770" w:type="pct"/>
            <w:vAlign w:val="center"/>
          </w:tcPr>
          <w:p w14:paraId="04E0C2B9" w14:textId="16E544BE"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3</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100% N through vermicompost</w:t>
            </w:r>
          </w:p>
        </w:tc>
        <w:tc>
          <w:tcPr>
            <w:tcW w:w="690" w:type="pct"/>
            <w:vAlign w:val="center"/>
          </w:tcPr>
          <w:p w14:paraId="3D9AF1D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189.90</w:t>
            </w:r>
          </w:p>
        </w:tc>
        <w:tc>
          <w:tcPr>
            <w:tcW w:w="706" w:type="pct"/>
            <w:vAlign w:val="center"/>
          </w:tcPr>
          <w:p w14:paraId="7C3CE5F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24.91</w:t>
            </w:r>
          </w:p>
        </w:tc>
        <w:tc>
          <w:tcPr>
            <w:tcW w:w="834" w:type="pct"/>
            <w:vAlign w:val="center"/>
          </w:tcPr>
          <w:p w14:paraId="474F80F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375.76</w:t>
            </w:r>
          </w:p>
        </w:tc>
      </w:tr>
      <w:tr w:rsidR="00560FF8" w:rsidRPr="00DD2211" w14:paraId="01CEC62E" w14:textId="77777777" w:rsidTr="006C2CE9">
        <w:trPr>
          <w:trHeight w:val="585"/>
          <w:jc w:val="center"/>
        </w:trPr>
        <w:tc>
          <w:tcPr>
            <w:tcW w:w="2770" w:type="pct"/>
            <w:vAlign w:val="center"/>
          </w:tcPr>
          <w:p w14:paraId="2F9E264B" w14:textId="0FD334AA"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4</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w:t>
            </w:r>
            <w:bookmarkStart w:id="12" w:name="_Hlk204186860"/>
            <w:r w:rsidRPr="00560FF8">
              <w:rPr>
                <w:rFonts w:ascii="Times New Roman" w:eastAsia="Aptos" w:hAnsi="Times New Roman" w:cs="Times New Roman"/>
                <w:sz w:val="24"/>
                <w:szCs w:val="24"/>
              </w:rPr>
              <w:t xml:space="preserve">100 % RDN </w:t>
            </w:r>
            <w:r w:rsidRPr="00560FF8">
              <w:rPr>
                <w:rFonts w:ascii="Times New Roman" w:eastAsia="Aptos" w:hAnsi="Times New Roman" w:cs="Times New Roman"/>
                <w:color w:val="000000"/>
                <w:sz w:val="24"/>
                <w:szCs w:val="24"/>
                <w:shd w:val="clear" w:color="auto" w:fill="FFFFFF"/>
              </w:rPr>
              <w:t>through inorganic fertilizer</w:t>
            </w:r>
            <w:bookmarkEnd w:id="12"/>
          </w:p>
        </w:tc>
        <w:tc>
          <w:tcPr>
            <w:tcW w:w="690" w:type="pct"/>
            <w:vAlign w:val="center"/>
          </w:tcPr>
          <w:p w14:paraId="612FCDDB"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181.56</w:t>
            </w:r>
          </w:p>
        </w:tc>
        <w:tc>
          <w:tcPr>
            <w:tcW w:w="706" w:type="pct"/>
            <w:vAlign w:val="center"/>
          </w:tcPr>
          <w:p w14:paraId="01F936C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22.20</w:t>
            </w:r>
          </w:p>
        </w:tc>
        <w:tc>
          <w:tcPr>
            <w:tcW w:w="834" w:type="pct"/>
            <w:vAlign w:val="center"/>
          </w:tcPr>
          <w:p w14:paraId="50B66F0A"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354.08</w:t>
            </w:r>
          </w:p>
        </w:tc>
      </w:tr>
      <w:tr w:rsidR="00560FF8" w:rsidRPr="00DD2211" w14:paraId="75EF64A5" w14:textId="77777777" w:rsidTr="006C2CE9">
        <w:trPr>
          <w:trHeight w:val="279"/>
          <w:jc w:val="center"/>
        </w:trPr>
        <w:tc>
          <w:tcPr>
            <w:tcW w:w="2770" w:type="pct"/>
            <w:vAlign w:val="bottom"/>
          </w:tcPr>
          <w:p w14:paraId="74957A45"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2580A5AD"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1.40</w:t>
            </w:r>
          </w:p>
        </w:tc>
        <w:tc>
          <w:tcPr>
            <w:tcW w:w="706" w:type="pct"/>
            <w:vAlign w:val="center"/>
          </w:tcPr>
          <w:p w14:paraId="5360AAF3"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0.21</w:t>
            </w:r>
          </w:p>
        </w:tc>
        <w:tc>
          <w:tcPr>
            <w:tcW w:w="834" w:type="pct"/>
            <w:vAlign w:val="center"/>
          </w:tcPr>
          <w:p w14:paraId="3E8B029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1.40</w:t>
            </w:r>
          </w:p>
        </w:tc>
      </w:tr>
      <w:tr w:rsidR="00560FF8" w:rsidRPr="00DD2211" w14:paraId="2E04C437" w14:textId="77777777" w:rsidTr="006C2CE9">
        <w:trPr>
          <w:trHeight w:val="291"/>
          <w:jc w:val="center"/>
        </w:trPr>
        <w:tc>
          <w:tcPr>
            <w:tcW w:w="2770" w:type="pct"/>
            <w:vAlign w:val="bottom"/>
          </w:tcPr>
          <w:p w14:paraId="7BF50F90"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036310CF"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4.11</w:t>
            </w:r>
          </w:p>
        </w:tc>
        <w:tc>
          <w:tcPr>
            <w:tcW w:w="706" w:type="pct"/>
            <w:vAlign w:val="center"/>
          </w:tcPr>
          <w:p w14:paraId="0A8894AB"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0.63</w:t>
            </w:r>
          </w:p>
        </w:tc>
        <w:tc>
          <w:tcPr>
            <w:tcW w:w="834" w:type="pct"/>
            <w:vAlign w:val="center"/>
          </w:tcPr>
          <w:p w14:paraId="34BC11D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4.10</w:t>
            </w:r>
          </w:p>
        </w:tc>
      </w:tr>
      <w:tr w:rsidR="00560FF8" w:rsidRPr="00DD2211" w14:paraId="4EA29A1C" w14:textId="77777777" w:rsidTr="006C2CE9">
        <w:trPr>
          <w:trHeight w:val="291"/>
          <w:jc w:val="center"/>
        </w:trPr>
        <w:tc>
          <w:tcPr>
            <w:tcW w:w="2770" w:type="pct"/>
            <w:vAlign w:val="bottom"/>
          </w:tcPr>
          <w:p w14:paraId="07E82F6D" w14:textId="3D1650B8" w:rsidR="00560FF8" w:rsidRPr="00560FF8" w:rsidRDefault="00560FF8" w:rsidP="00F94B43">
            <w:pPr>
              <w:spacing w:after="0" w:line="240" w:lineRule="auto"/>
              <w:rPr>
                <w:rFonts w:ascii="Times New Roman" w:eastAsia="Aptos" w:hAnsi="Times New Roman" w:cs="Times New Roman"/>
                <w:sz w:val="24"/>
                <w:szCs w:val="24"/>
              </w:rPr>
            </w:pPr>
            <w:r w:rsidRPr="00560FF8">
              <w:rPr>
                <w:rFonts w:ascii="Times New Roman" w:eastAsia="Aptos" w:hAnsi="Times New Roman" w:cs="Times New Roman"/>
                <w:b/>
                <w:bCs/>
                <w:color w:val="000000"/>
                <w:sz w:val="24"/>
                <w:szCs w:val="24"/>
              </w:rPr>
              <w:t>Factor B: Spacing</w:t>
            </w:r>
          </w:p>
        </w:tc>
        <w:tc>
          <w:tcPr>
            <w:tcW w:w="690" w:type="pct"/>
            <w:vAlign w:val="center"/>
          </w:tcPr>
          <w:p w14:paraId="717019F9"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706" w:type="pct"/>
            <w:vAlign w:val="center"/>
          </w:tcPr>
          <w:p w14:paraId="74A15A31"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834" w:type="pct"/>
            <w:vAlign w:val="center"/>
          </w:tcPr>
          <w:p w14:paraId="6D0E0A00"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r>
      <w:tr w:rsidR="00560FF8" w:rsidRPr="00DD2211" w14:paraId="07DEEC9F" w14:textId="77777777" w:rsidTr="006C2CE9">
        <w:trPr>
          <w:trHeight w:val="291"/>
          <w:jc w:val="center"/>
        </w:trPr>
        <w:tc>
          <w:tcPr>
            <w:tcW w:w="2770" w:type="pct"/>
            <w:vAlign w:val="bottom"/>
          </w:tcPr>
          <w:p w14:paraId="4EFF049B" w14:textId="4B526004"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1</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20x20 cm</w:t>
            </w:r>
          </w:p>
        </w:tc>
        <w:tc>
          <w:tcPr>
            <w:tcW w:w="690" w:type="pct"/>
            <w:vAlign w:val="center"/>
          </w:tcPr>
          <w:p w14:paraId="28607F6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185.14</w:t>
            </w:r>
          </w:p>
        </w:tc>
        <w:tc>
          <w:tcPr>
            <w:tcW w:w="706" w:type="pct"/>
            <w:vAlign w:val="center"/>
          </w:tcPr>
          <w:p w14:paraId="19039A9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23.92</w:t>
            </w:r>
          </w:p>
        </w:tc>
        <w:tc>
          <w:tcPr>
            <w:tcW w:w="834" w:type="pct"/>
            <w:vAlign w:val="center"/>
          </w:tcPr>
          <w:p w14:paraId="3A4F1B81"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365.63</w:t>
            </w:r>
          </w:p>
        </w:tc>
      </w:tr>
      <w:tr w:rsidR="00560FF8" w:rsidRPr="00DD2211" w14:paraId="12616DFB" w14:textId="77777777" w:rsidTr="006C2CE9">
        <w:trPr>
          <w:trHeight w:val="291"/>
          <w:jc w:val="center"/>
        </w:trPr>
        <w:tc>
          <w:tcPr>
            <w:tcW w:w="2770" w:type="pct"/>
            <w:vAlign w:val="bottom"/>
          </w:tcPr>
          <w:p w14:paraId="0E28518D" w14:textId="04A55E62"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2</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30x10 cm</w:t>
            </w:r>
          </w:p>
        </w:tc>
        <w:tc>
          <w:tcPr>
            <w:tcW w:w="690" w:type="pct"/>
            <w:vAlign w:val="center"/>
          </w:tcPr>
          <w:p w14:paraId="3BCD542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183.99</w:t>
            </w:r>
          </w:p>
        </w:tc>
        <w:tc>
          <w:tcPr>
            <w:tcW w:w="706" w:type="pct"/>
            <w:vAlign w:val="center"/>
          </w:tcPr>
          <w:p w14:paraId="4F2161E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23.22</w:t>
            </w:r>
          </w:p>
        </w:tc>
        <w:tc>
          <w:tcPr>
            <w:tcW w:w="834" w:type="pct"/>
            <w:vAlign w:val="center"/>
          </w:tcPr>
          <w:p w14:paraId="4EB50A85"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368.23</w:t>
            </w:r>
          </w:p>
        </w:tc>
      </w:tr>
      <w:tr w:rsidR="00560FF8" w:rsidRPr="00DD2211" w14:paraId="270FF044" w14:textId="77777777" w:rsidTr="006C2CE9">
        <w:trPr>
          <w:trHeight w:val="291"/>
          <w:jc w:val="center"/>
        </w:trPr>
        <w:tc>
          <w:tcPr>
            <w:tcW w:w="2770" w:type="pct"/>
            <w:vAlign w:val="bottom"/>
          </w:tcPr>
          <w:p w14:paraId="3EC4EB9C" w14:textId="657578F7"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3</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30x15 cm</w:t>
            </w:r>
          </w:p>
        </w:tc>
        <w:tc>
          <w:tcPr>
            <w:tcW w:w="690" w:type="pct"/>
            <w:vAlign w:val="center"/>
          </w:tcPr>
          <w:p w14:paraId="238F86B5"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188.42</w:t>
            </w:r>
          </w:p>
        </w:tc>
        <w:tc>
          <w:tcPr>
            <w:tcW w:w="706" w:type="pct"/>
            <w:vAlign w:val="center"/>
          </w:tcPr>
          <w:p w14:paraId="542F88B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23.64</w:t>
            </w:r>
          </w:p>
        </w:tc>
        <w:tc>
          <w:tcPr>
            <w:tcW w:w="834" w:type="pct"/>
            <w:vAlign w:val="center"/>
          </w:tcPr>
          <w:p w14:paraId="3E9CF92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362.95</w:t>
            </w:r>
          </w:p>
        </w:tc>
      </w:tr>
      <w:tr w:rsidR="00560FF8" w:rsidRPr="00DD2211" w14:paraId="4D56888E" w14:textId="77777777" w:rsidTr="006C2CE9">
        <w:trPr>
          <w:trHeight w:val="279"/>
          <w:jc w:val="center"/>
        </w:trPr>
        <w:tc>
          <w:tcPr>
            <w:tcW w:w="2770" w:type="pct"/>
            <w:vAlign w:val="bottom"/>
          </w:tcPr>
          <w:p w14:paraId="29812E08"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5BCFADC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1.21</w:t>
            </w:r>
          </w:p>
        </w:tc>
        <w:tc>
          <w:tcPr>
            <w:tcW w:w="706" w:type="pct"/>
            <w:vAlign w:val="center"/>
          </w:tcPr>
          <w:p w14:paraId="494A0F4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0.18</w:t>
            </w:r>
          </w:p>
        </w:tc>
        <w:tc>
          <w:tcPr>
            <w:tcW w:w="834" w:type="pct"/>
            <w:vAlign w:val="center"/>
          </w:tcPr>
          <w:p w14:paraId="3938A67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1.21</w:t>
            </w:r>
          </w:p>
        </w:tc>
      </w:tr>
      <w:tr w:rsidR="00560FF8" w:rsidRPr="00DD2211" w14:paraId="27D10F28" w14:textId="77777777" w:rsidTr="006C2CE9">
        <w:trPr>
          <w:trHeight w:val="291"/>
          <w:jc w:val="center"/>
        </w:trPr>
        <w:tc>
          <w:tcPr>
            <w:tcW w:w="2770" w:type="pct"/>
            <w:vAlign w:val="bottom"/>
          </w:tcPr>
          <w:p w14:paraId="0BC19651"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1CB0560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3.56</w:t>
            </w:r>
          </w:p>
        </w:tc>
        <w:tc>
          <w:tcPr>
            <w:tcW w:w="706" w:type="pct"/>
            <w:vAlign w:val="center"/>
          </w:tcPr>
          <w:p w14:paraId="33E111A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0.54</w:t>
            </w:r>
          </w:p>
        </w:tc>
        <w:tc>
          <w:tcPr>
            <w:tcW w:w="834" w:type="pct"/>
            <w:vAlign w:val="center"/>
          </w:tcPr>
          <w:p w14:paraId="5C6EF59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3.55</w:t>
            </w:r>
          </w:p>
        </w:tc>
      </w:tr>
      <w:tr w:rsidR="00560FF8" w:rsidRPr="00DD2211" w14:paraId="2B5388AC" w14:textId="77777777" w:rsidTr="006C2CE9">
        <w:trPr>
          <w:trHeight w:val="291"/>
          <w:jc w:val="center"/>
        </w:trPr>
        <w:tc>
          <w:tcPr>
            <w:tcW w:w="2770" w:type="pct"/>
            <w:vAlign w:val="bottom"/>
          </w:tcPr>
          <w:p w14:paraId="1A3F2ED3" w14:textId="77777777" w:rsidR="00560FF8" w:rsidRPr="00560FF8" w:rsidRDefault="00560FF8" w:rsidP="00F94B43">
            <w:pPr>
              <w:spacing w:after="0" w:line="240" w:lineRule="auto"/>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Int. (N X S)</w:t>
            </w:r>
          </w:p>
        </w:tc>
        <w:tc>
          <w:tcPr>
            <w:tcW w:w="690" w:type="pct"/>
            <w:vAlign w:val="center"/>
          </w:tcPr>
          <w:p w14:paraId="04F41E76"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706" w:type="pct"/>
            <w:vAlign w:val="center"/>
          </w:tcPr>
          <w:p w14:paraId="2441451F"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834" w:type="pct"/>
            <w:vAlign w:val="center"/>
          </w:tcPr>
          <w:p w14:paraId="77058F33"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r>
      <w:tr w:rsidR="00560FF8" w:rsidRPr="00DD2211" w14:paraId="2E3DE7AC" w14:textId="77777777" w:rsidTr="006C2CE9">
        <w:trPr>
          <w:trHeight w:val="58"/>
          <w:jc w:val="center"/>
        </w:trPr>
        <w:tc>
          <w:tcPr>
            <w:tcW w:w="2770" w:type="pct"/>
            <w:vAlign w:val="bottom"/>
          </w:tcPr>
          <w:p w14:paraId="3EAEECC0"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57BD596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2.43</w:t>
            </w:r>
          </w:p>
        </w:tc>
        <w:tc>
          <w:tcPr>
            <w:tcW w:w="706" w:type="pct"/>
            <w:vAlign w:val="center"/>
          </w:tcPr>
          <w:p w14:paraId="161C254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0.37</w:t>
            </w:r>
          </w:p>
        </w:tc>
        <w:tc>
          <w:tcPr>
            <w:tcW w:w="834" w:type="pct"/>
            <w:vAlign w:val="center"/>
          </w:tcPr>
          <w:p w14:paraId="50CEF29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2.42</w:t>
            </w:r>
          </w:p>
        </w:tc>
      </w:tr>
      <w:tr w:rsidR="00560FF8" w:rsidRPr="00DD2211" w14:paraId="3F61BE41" w14:textId="77777777" w:rsidTr="006C2CE9">
        <w:trPr>
          <w:trHeight w:val="291"/>
          <w:jc w:val="center"/>
        </w:trPr>
        <w:tc>
          <w:tcPr>
            <w:tcW w:w="2770" w:type="pct"/>
            <w:vAlign w:val="bottom"/>
          </w:tcPr>
          <w:p w14:paraId="17ED7047"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0AF90F8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c>
          <w:tcPr>
            <w:tcW w:w="706" w:type="pct"/>
            <w:vAlign w:val="center"/>
          </w:tcPr>
          <w:p w14:paraId="0FD4E58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c>
          <w:tcPr>
            <w:tcW w:w="834" w:type="pct"/>
            <w:vAlign w:val="center"/>
          </w:tcPr>
          <w:p w14:paraId="7575B30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r>
      <w:tr w:rsidR="00560FF8" w:rsidRPr="00DD2211" w14:paraId="59F6DB30" w14:textId="77777777" w:rsidTr="006C2CE9">
        <w:trPr>
          <w:trHeight w:val="291"/>
          <w:jc w:val="center"/>
        </w:trPr>
        <w:tc>
          <w:tcPr>
            <w:tcW w:w="2770" w:type="pct"/>
            <w:vAlign w:val="bottom"/>
          </w:tcPr>
          <w:p w14:paraId="23CC8BC5"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CV %</w:t>
            </w:r>
          </w:p>
        </w:tc>
        <w:tc>
          <w:tcPr>
            <w:tcW w:w="690" w:type="pct"/>
            <w:vAlign w:val="center"/>
          </w:tcPr>
          <w:p w14:paraId="791ADB5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2.26</w:t>
            </w:r>
          </w:p>
        </w:tc>
        <w:tc>
          <w:tcPr>
            <w:tcW w:w="706" w:type="pct"/>
            <w:vAlign w:val="center"/>
          </w:tcPr>
          <w:p w14:paraId="165D32C2"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2.71</w:t>
            </w:r>
          </w:p>
        </w:tc>
        <w:tc>
          <w:tcPr>
            <w:tcW w:w="834" w:type="pct"/>
            <w:vAlign w:val="center"/>
          </w:tcPr>
          <w:p w14:paraId="1070FF1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1.15</w:t>
            </w:r>
          </w:p>
        </w:tc>
      </w:tr>
      <w:tr w:rsidR="00560FF8" w:rsidRPr="00DD2211" w14:paraId="1E812A0F" w14:textId="77777777" w:rsidTr="006C2CE9">
        <w:trPr>
          <w:trHeight w:val="279"/>
          <w:jc w:val="center"/>
        </w:trPr>
        <w:tc>
          <w:tcPr>
            <w:tcW w:w="2770" w:type="pct"/>
            <w:vAlign w:val="bottom"/>
          </w:tcPr>
          <w:p w14:paraId="6E43A55D" w14:textId="77777777" w:rsidR="00560FF8" w:rsidRPr="00560FF8" w:rsidRDefault="00560FF8" w:rsidP="00F94B43">
            <w:pPr>
              <w:spacing w:after="0" w:line="240" w:lineRule="auto"/>
              <w:jc w:val="both"/>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GM</w:t>
            </w:r>
          </w:p>
        </w:tc>
        <w:tc>
          <w:tcPr>
            <w:tcW w:w="690" w:type="pct"/>
            <w:vAlign w:val="center"/>
          </w:tcPr>
          <w:p w14:paraId="342BD453"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185.85</w:t>
            </w:r>
          </w:p>
        </w:tc>
        <w:tc>
          <w:tcPr>
            <w:tcW w:w="706" w:type="pct"/>
            <w:vAlign w:val="center"/>
          </w:tcPr>
          <w:p w14:paraId="107D5197"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b/>
                <w:bCs/>
                <w:color w:val="000000"/>
                <w:sz w:val="24"/>
                <w:szCs w:val="24"/>
              </w:rPr>
              <w:t>23.59</w:t>
            </w:r>
          </w:p>
        </w:tc>
        <w:tc>
          <w:tcPr>
            <w:tcW w:w="834" w:type="pct"/>
            <w:vAlign w:val="center"/>
          </w:tcPr>
          <w:p w14:paraId="32AFD4BD"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b/>
                <w:bCs/>
                <w:color w:val="000000"/>
                <w:sz w:val="24"/>
                <w:szCs w:val="24"/>
              </w:rPr>
              <w:t>365.60</w:t>
            </w:r>
          </w:p>
        </w:tc>
      </w:tr>
      <w:tr w:rsidR="00560FF8" w:rsidRPr="00DD2211" w14:paraId="1F39618E" w14:textId="77777777" w:rsidTr="006C2CE9">
        <w:trPr>
          <w:trHeight w:val="279"/>
          <w:jc w:val="center"/>
        </w:trPr>
        <w:tc>
          <w:tcPr>
            <w:tcW w:w="2770" w:type="pct"/>
            <w:vAlign w:val="bottom"/>
          </w:tcPr>
          <w:p w14:paraId="5C373B4B" w14:textId="77777777" w:rsidR="00560FF8" w:rsidRPr="00560FF8" w:rsidRDefault="00560FF8" w:rsidP="00F94B43">
            <w:pPr>
              <w:spacing w:after="0" w:line="240" w:lineRule="auto"/>
              <w:jc w:val="both"/>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Initial</w:t>
            </w:r>
          </w:p>
        </w:tc>
        <w:tc>
          <w:tcPr>
            <w:tcW w:w="690" w:type="pct"/>
            <w:vAlign w:val="center"/>
          </w:tcPr>
          <w:p w14:paraId="4DEA8EC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182</w:t>
            </w:r>
          </w:p>
        </w:tc>
        <w:tc>
          <w:tcPr>
            <w:tcW w:w="706" w:type="pct"/>
            <w:vAlign w:val="center"/>
          </w:tcPr>
          <w:p w14:paraId="3A743CA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25</w:t>
            </w:r>
          </w:p>
        </w:tc>
        <w:tc>
          <w:tcPr>
            <w:tcW w:w="834" w:type="pct"/>
            <w:vAlign w:val="center"/>
          </w:tcPr>
          <w:p w14:paraId="18480D7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347</w:t>
            </w:r>
          </w:p>
        </w:tc>
      </w:tr>
    </w:tbl>
    <w:p w14:paraId="2EB1992A" w14:textId="77777777" w:rsidR="00560FF8" w:rsidRDefault="00560FF8" w:rsidP="00A5674C">
      <w:pPr>
        <w:spacing w:line="360" w:lineRule="auto"/>
        <w:jc w:val="both"/>
        <w:rPr>
          <w:rFonts w:ascii="Times New Roman" w:hAnsi="Times New Roman" w:cs="Times New Roman"/>
          <w:b/>
          <w:sz w:val="24"/>
          <w:szCs w:val="24"/>
        </w:rPr>
      </w:pPr>
    </w:p>
    <w:p w14:paraId="3AA6FD70" w14:textId="77777777" w:rsidR="0048637C" w:rsidRDefault="0048637C" w:rsidP="00A5674C">
      <w:pPr>
        <w:spacing w:line="360" w:lineRule="auto"/>
        <w:jc w:val="both"/>
        <w:rPr>
          <w:rFonts w:ascii="Times New Roman" w:hAnsi="Times New Roman" w:cs="Times New Roman"/>
          <w:b/>
          <w:sz w:val="24"/>
          <w:szCs w:val="24"/>
        </w:rPr>
      </w:pPr>
    </w:p>
    <w:p w14:paraId="3CDAB92A" w14:textId="77777777" w:rsidR="00F94B43" w:rsidRDefault="00F94B43" w:rsidP="00A5674C">
      <w:pPr>
        <w:spacing w:line="360" w:lineRule="auto"/>
        <w:jc w:val="both"/>
        <w:rPr>
          <w:rFonts w:ascii="Times New Roman" w:hAnsi="Times New Roman" w:cs="Times New Roman"/>
          <w:b/>
          <w:sz w:val="24"/>
          <w:szCs w:val="24"/>
        </w:rPr>
      </w:pPr>
    </w:p>
    <w:p w14:paraId="25BF3BDF" w14:textId="05CBFBAE" w:rsidR="00560FF8" w:rsidRPr="00F94B43" w:rsidRDefault="00560FF8" w:rsidP="00A5674C">
      <w:pPr>
        <w:spacing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Table</w:t>
      </w:r>
      <w:r w:rsidR="00F94B43">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2: Soil biological properties of Kalmegh as influenced by nitrogen sources and plant geometry</w:t>
      </w:r>
    </w:p>
    <w:tbl>
      <w:tblPr>
        <w:tblStyle w:val="TableGrid1"/>
        <w:tblW w:w="4975" w:type="pct"/>
        <w:tblInd w:w="-185" w:type="dxa"/>
        <w:tblLayout w:type="fixed"/>
        <w:tblLook w:val="04A0" w:firstRow="1" w:lastRow="0" w:firstColumn="1" w:lastColumn="0" w:noHBand="0" w:noVBand="1"/>
      </w:tblPr>
      <w:tblGrid>
        <w:gridCol w:w="3201"/>
        <w:gridCol w:w="2225"/>
        <w:gridCol w:w="1771"/>
        <w:gridCol w:w="1774"/>
      </w:tblGrid>
      <w:tr w:rsidR="00560FF8" w:rsidRPr="00560FF8" w14:paraId="6758001E" w14:textId="77777777" w:rsidTr="00025013">
        <w:trPr>
          <w:trHeight w:val="334"/>
        </w:trPr>
        <w:tc>
          <w:tcPr>
            <w:tcW w:w="1784" w:type="pct"/>
            <w:vMerge w:val="restart"/>
          </w:tcPr>
          <w:p w14:paraId="2E379B5D" w14:textId="77777777" w:rsidR="00560FF8" w:rsidRPr="00F94B43" w:rsidRDefault="00560FF8" w:rsidP="00025013">
            <w:pPr>
              <w:spacing w:after="0" w:line="240" w:lineRule="auto"/>
              <w:jc w:val="center"/>
              <w:rPr>
                <w:rFonts w:ascii="Times New Roman" w:eastAsia="Aptos" w:hAnsi="Times New Roman" w:cs="Times New Roman"/>
                <w:b/>
                <w:bCs/>
                <w:sz w:val="20"/>
                <w:szCs w:val="20"/>
              </w:rPr>
            </w:pPr>
            <w:r w:rsidRPr="00F94B43">
              <w:rPr>
                <w:rFonts w:ascii="Times New Roman" w:eastAsia="Aptos" w:hAnsi="Times New Roman" w:cs="Times New Roman"/>
                <w:b/>
                <w:bCs/>
                <w:sz w:val="20"/>
                <w:szCs w:val="20"/>
              </w:rPr>
              <w:t xml:space="preserve">Treatments </w:t>
            </w:r>
          </w:p>
        </w:tc>
        <w:tc>
          <w:tcPr>
            <w:tcW w:w="3216" w:type="pct"/>
            <w:gridSpan w:val="3"/>
          </w:tcPr>
          <w:p w14:paraId="26500837"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 xml:space="preserve">Soil microbial count </w:t>
            </w:r>
          </w:p>
        </w:tc>
      </w:tr>
      <w:tr w:rsidR="00560FF8" w:rsidRPr="00560FF8" w14:paraId="6BB44EA1" w14:textId="77777777" w:rsidTr="00025013">
        <w:trPr>
          <w:trHeight w:val="813"/>
        </w:trPr>
        <w:tc>
          <w:tcPr>
            <w:tcW w:w="1784" w:type="pct"/>
            <w:vMerge/>
          </w:tcPr>
          <w:p w14:paraId="36096C72" w14:textId="77777777" w:rsidR="00560FF8" w:rsidRPr="00560FF8" w:rsidRDefault="00560FF8" w:rsidP="00025013">
            <w:pPr>
              <w:spacing w:after="0" w:line="240" w:lineRule="auto"/>
              <w:rPr>
                <w:rFonts w:ascii="Times New Roman" w:eastAsia="Aptos" w:hAnsi="Times New Roman" w:cs="Times New Roman"/>
                <w:sz w:val="20"/>
                <w:szCs w:val="20"/>
              </w:rPr>
            </w:pPr>
          </w:p>
        </w:tc>
        <w:tc>
          <w:tcPr>
            <w:tcW w:w="1240" w:type="pct"/>
          </w:tcPr>
          <w:p w14:paraId="22921A52"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Actinomyces count</w:t>
            </w:r>
          </w:p>
          <w:p w14:paraId="5A088B83" w14:textId="77777777" w:rsidR="00560FF8" w:rsidRPr="00560FF8" w:rsidRDefault="00560FF8" w:rsidP="00025013">
            <w:pPr>
              <w:spacing w:after="0" w:line="240" w:lineRule="auto"/>
              <w:jc w:val="center"/>
              <w:rPr>
                <w:rFonts w:ascii="Times New Roman" w:eastAsia="Aptos" w:hAnsi="Times New Roman" w:cs="Times New Roman"/>
                <w:b/>
                <w:bCs/>
                <w:sz w:val="20"/>
                <w:szCs w:val="20"/>
              </w:rPr>
            </w:pPr>
            <w:r w:rsidRPr="00F94B43">
              <w:rPr>
                <w:rFonts w:ascii="Times New Roman" w:eastAsia="Aptos" w:hAnsi="Times New Roman" w:cs="Times New Roman"/>
                <w:b/>
                <w:bCs/>
                <w:sz w:val="24"/>
                <w:szCs w:val="24"/>
                <w:lang w:eastAsia="en-US"/>
              </w:rPr>
              <w:t>(cfu 10</w:t>
            </w:r>
            <w:r w:rsidRPr="00025013">
              <w:rPr>
                <w:rFonts w:ascii="Times New Roman" w:eastAsia="Aptos" w:hAnsi="Times New Roman" w:cs="Times New Roman"/>
                <w:b/>
                <w:bCs/>
                <w:sz w:val="24"/>
                <w:szCs w:val="24"/>
                <w:vertAlign w:val="superscript"/>
                <w:lang w:eastAsia="en-US"/>
              </w:rPr>
              <w:t>4</w:t>
            </w:r>
            <w:r w:rsidRPr="00F94B43">
              <w:rPr>
                <w:rFonts w:ascii="Times New Roman" w:eastAsia="Aptos" w:hAnsi="Times New Roman" w:cs="Times New Roman"/>
                <w:b/>
                <w:bCs/>
                <w:sz w:val="24"/>
                <w:szCs w:val="24"/>
                <w:lang w:eastAsia="en-US"/>
              </w:rPr>
              <w:t xml:space="preserve"> 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c>
          <w:tcPr>
            <w:tcW w:w="987" w:type="pct"/>
          </w:tcPr>
          <w:p w14:paraId="14DD049F"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Bacteria count</w:t>
            </w:r>
          </w:p>
          <w:p w14:paraId="7E070E0A"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(cfu 10</w:t>
            </w:r>
            <w:r w:rsidRPr="00025013">
              <w:rPr>
                <w:rFonts w:ascii="Times New Roman" w:eastAsia="Aptos" w:hAnsi="Times New Roman" w:cs="Times New Roman"/>
                <w:b/>
                <w:bCs/>
                <w:sz w:val="24"/>
                <w:szCs w:val="24"/>
                <w:vertAlign w:val="superscript"/>
                <w:lang w:eastAsia="en-US"/>
              </w:rPr>
              <w:t xml:space="preserve">6 </w:t>
            </w:r>
            <w:r w:rsidRPr="00F94B43">
              <w:rPr>
                <w:rFonts w:ascii="Times New Roman" w:eastAsia="Aptos" w:hAnsi="Times New Roman" w:cs="Times New Roman"/>
                <w:b/>
                <w:bCs/>
                <w:sz w:val="24"/>
                <w:szCs w:val="24"/>
                <w:lang w:eastAsia="en-US"/>
              </w:rPr>
              <w:t>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c>
          <w:tcPr>
            <w:tcW w:w="990" w:type="pct"/>
          </w:tcPr>
          <w:p w14:paraId="6FB2A45E"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Fungi count</w:t>
            </w:r>
          </w:p>
          <w:p w14:paraId="3358AB67"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(cfu 10</w:t>
            </w:r>
            <w:r w:rsidRPr="00025013">
              <w:rPr>
                <w:rFonts w:ascii="Times New Roman" w:eastAsia="Aptos" w:hAnsi="Times New Roman" w:cs="Times New Roman"/>
                <w:b/>
                <w:bCs/>
                <w:sz w:val="24"/>
                <w:szCs w:val="24"/>
                <w:vertAlign w:val="superscript"/>
                <w:lang w:eastAsia="en-US"/>
              </w:rPr>
              <w:t>5</w:t>
            </w:r>
            <w:r w:rsidRPr="00F94B43">
              <w:rPr>
                <w:rFonts w:ascii="Times New Roman" w:eastAsia="Aptos" w:hAnsi="Times New Roman" w:cs="Times New Roman"/>
                <w:b/>
                <w:bCs/>
                <w:sz w:val="24"/>
                <w:szCs w:val="24"/>
                <w:lang w:eastAsia="en-US"/>
              </w:rPr>
              <w:t xml:space="preserve"> 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r>
      <w:tr w:rsidR="00560FF8" w:rsidRPr="00560FF8" w14:paraId="589FAC16" w14:textId="77777777" w:rsidTr="00560FF8">
        <w:trPr>
          <w:trHeight w:val="240"/>
        </w:trPr>
        <w:tc>
          <w:tcPr>
            <w:tcW w:w="5000" w:type="pct"/>
            <w:gridSpan w:val="4"/>
          </w:tcPr>
          <w:p w14:paraId="7F3969E0" w14:textId="77777777" w:rsidR="00560FF8" w:rsidRPr="00F94B43" w:rsidRDefault="00560FF8" w:rsidP="00025013">
            <w:pPr>
              <w:spacing w:after="0" w:line="240" w:lineRule="auto"/>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Factor A : Sources of N applications</w:t>
            </w:r>
          </w:p>
        </w:tc>
      </w:tr>
      <w:tr w:rsidR="00560FF8" w:rsidRPr="00560FF8" w14:paraId="50522899" w14:textId="77777777" w:rsidTr="00025013">
        <w:trPr>
          <w:trHeight w:val="726"/>
        </w:trPr>
        <w:tc>
          <w:tcPr>
            <w:tcW w:w="1784" w:type="pct"/>
            <w:vAlign w:val="bottom"/>
          </w:tcPr>
          <w:p w14:paraId="0099AF9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1</w:t>
            </w:r>
            <w:r w:rsidRPr="00F94B43">
              <w:rPr>
                <w:rFonts w:ascii="Times New Roman" w:eastAsia="Aptos" w:hAnsi="Times New Roman" w:cs="Times New Roman"/>
                <w:color w:val="000000"/>
                <w:sz w:val="24"/>
                <w:szCs w:val="24"/>
              </w:rPr>
              <w:t>: 75% N through               vermicompost + 25% RDN   through inorganic fertilizer</w:t>
            </w:r>
          </w:p>
        </w:tc>
        <w:tc>
          <w:tcPr>
            <w:tcW w:w="1240" w:type="pct"/>
            <w:vAlign w:val="center"/>
          </w:tcPr>
          <w:p w14:paraId="22F32242"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3.67</w:t>
            </w:r>
          </w:p>
        </w:tc>
        <w:tc>
          <w:tcPr>
            <w:tcW w:w="987" w:type="pct"/>
            <w:vAlign w:val="center"/>
          </w:tcPr>
          <w:p w14:paraId="6475F9FE"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27.39</w:t>
            </w:r>
          </w:p>
        </w:tc>
        <w:tc>
          <w:tcPr>
            <w:tcW w:w="990" w:type="pct"/>
            <w:vAlign w:val="center"/>
          </w:tcPr>
          <w:p w14:paraId="1D047D9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4.12</w:t>
            </w:r>
          </w:p>
        </w:tc>
      </w:tr>
      <w:tr w:rsidR="00560FF8" w:rsidRPr="00560FF8" w14:paraId="60D8DF69" w14:textId="77777777" w:rsidTr="00025013">
        <w:trPr>
          <w:trHeight w:val="726"/>
        </w:trPr>
        <w:tc>
          <w:tcPr>
            <w:tcW w:w="1784" w:type="pct"/>
            <w:vAlign w:val="bottom"/>
          </w:tcPr>
          <w:p w14:paraId="7AEC5842"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lastRenderedPageBreak/>
              <w:t>N</w:t>
            </w:r>
            <w:r w:rsidRPr="00F94B43">
              <w:rPr>
                <w:rFonts w:ascii="Times New Roman" w:eastAsia="Aptos" w:hAnsi="Times New Roman" w:cs="Times New Roman"/>
                <w:color w:val="000000"/>
                <w:sz w:val="24"/>
                <w:szCs w:val="24"/>
                <w:vertAlign w:val="subscript"/>
              </w:rPr>
              <w:t>2</w:t>
            </w:r>
            <w:r w:rsidRPr="00F94B43">
              <w:rPr>
                <w:rFonts w:ascii="Times New Roman" w:eastAsia="Aptos" w:hAnsi="Times New Roman" w:cs="Times New Roman"/>
                <w:color w:val="000000"/>
                <w:sz w:val="24"/>
                <w:szCs w:val="24"/>
              </w:rPr>
              <w:t>: 50% N through vermicompost + 50% RDN through inorganic fertilizer</w:t>
            </w:r>
          </w:p>
        </w:tc>
        <w:tc>
          <w:tcPr>
            <w:tcW w:w="1240" w:type="pct"/>
            <w:vAlign w:val="center"/>
          </w:tcPr>
          <w:p w14:paraId="5802E4A5"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3.43</w:t>
            </w:r>
          </w:p>
        </w:tc>
        <w:tc>
          <w:tcPr>
            <w:tcW w:w="987" w:type="pct"/>
            <w:vAlign w:val="center"/>
          </w:tcPr>
          <w:p w14:paraId="020A73C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26.6</w:t>
            </w:r>
          </w:p>
        </w:tc>
        <w:tc>
          <w:tcPr>
            <w:tcW w:w="990" w:type="pct"/>
            <w:vAlign w:val="center"/>
          </w:tcPr>
          <w:p w14:paraId="660820A2"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3.98</w:t>
            </w:r>
          </w:p>
        </w:tc>
      </w:tr>
      <w:tr w:rsidR="00560FF8" w:rsidRPr="00560FF8" w14:paraId="600C9692" w14:textId="77777777" w:rsidTr="00025013">
        <w:trPr>
          <w:trHeight w:val="483"/>
        </w:trPr>
        <w:tc>
          <w:tcPr>
            <w:tcW w:w="1784" w:type="pct"/>
            <w:vAlign w:val="bottom"/>
          </w:tcPr>
          <w:p w14:paraId="7AFFB9F3"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3</w:t>
            </w:r>
            <w:r w:rsidRPr="00F94B43">
              <w:rPr>
                <w:rFonts w:ascii="Times New Roman" w:eastAsia="Aptos" w:hAnsi="Times New Roman" w:cs="Times New Roman"/>
                <w:color w:val="000000"/>
                <w:sz w:val="24"/>
                <w:szCs w:val="24"/>
              </w:rPr>
              <w:t>: 100% N through vermicompost</w:t>
            </w:r>
          </w:p>
        </w:tc>
        <w:tc>
          <w:tcPr>
            <w:tcW w:w="1240" w:type="pct"/>
            <w:vAlign w:val="center"/>
          </w:tcPr>
          <w:p w14:paraId="3F8D9451"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3.92</w:t>
            </w:r>
          </w:p>
        </w:tc>
        <w:tc>
          <w:tcPr>
            <w:tcW w:w="987" w:type="pct"/>
            <w:vAlign w:val="center"/>
          </w:tcPr>
          <w:p w14:paraId="357FB6C7"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28.49</w:t>
            </w:r>
          </w:p>
        </w:tc>
        <w:tc>
          <w:tcPr>
            <w:tcW w:w="990" w:type="pct"/>
            <w:vAlign w:val="center"/>
          </w:tcPr>
          <w:p w14:paraId="7F93B17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4.39</w:t>
            </w:r>
          </w:p>
        </w:tc>
      </w:tr>
      <w:tr w:rsidR="00560FF8" w:rsidRPr="00560FF8" w14:paraId="2A1D4A1F" w14:textId="77777777" w:rsidTr="00025013">
        <w:trPr>
          <w:trHeight w:val="483"/>
        </w:trPr>
        <w:tc>
          <w:tcPr>
            <w:tcW w:w="1784" w:type="pct"/>
            <w:vAlign w:val="bottom"/>
          </w:tcPr>
          <w:p w14:paraId="5DF9459D"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4</w:t>
            </w:r>
            <w:r w:rsidRPr="00F94B43">
              <w:rPr>
                <w:rFonts w:ascii="Times New Roman" w:eastAsia="Aptos" w:hAnsi="Times New Roman" w:cs="Times New Roman"/>
                <w:color w:val="000000"/>
                <w:sz w:val="24"/>
                <w:szCs w:val="24"/>
              </w:rPr>
              <w:t>: 100 % RDN through inorganic fertilizer</w:t>
            </w:r>
          </w:p>
        </w:tc>
        <w:tc>
          <w:tcPr>
            <w:tcW w:w="1240" w:type="pct"/>
            <w:vAlign w:val="center"/>
          </w:tcPr>
          <w:p w14:paraId="3EF08B6D"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3.26</w:t>
            </w:r>
          </w:p>
        </w:tc>
        <w:tc>
          <w:tcPr>
            <w:tcW w:w="987" w:type="pct"/>
            <w:vAlign w:val="center"/>
          </w:tcPr>
          <w:p w14:paraId="2D21A3F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24.13</w:t>
            </w:r>
          </w:p>
        </w:tc>
        <w:tc>
          <w:tcPr>
            <w:tcW w:w="990" w:type="pct"/>
            <w:vAlign w:val="center"/>
          </w:tcPr>
          <w:p w14:paraId="7E9B627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3.69</w:t>
            </w:r>
          </w:p>
        </w:tc>
      </w:tr>
      <w:tr w:rsidR="00560FF8" w:rsidRPr="00560FF8" w14:paraId="1499329A" w14:textId="77777777" w:rsidTr="00025013">
        <w:trPr>
          <w:trHeight w:val="229"/>
        </w:trPr>
        <w:tc>
          <w:tcPr>
            <w:tcW w:w="1784" w:type="pct"/>
            <w:vAlign w:val="bottom"/>
          </w:tcPr>
          <w:p w14:paraId="40B1477A"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6C0FE05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0.05</w:t>
            </w:r>
          </w:p>
        </w:tc>
        <w:tc>
          <w:tcPr>
            <w:tcW w:w="987" w:type="pct"/>
            <w:vAlign w:val="center"/>
          </w:tcPr>
          <w:p w14:paraId="381E85A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0.15</w:t>
            </w:r>
          </w:p>
        </w:tc>
        <w:tc>
          <w:tcPr>
            <w:tcW w:w="990" w:type="pct"/>
            <w:vAlign w:val="center"/>
          </w:tcPr>
          <w:p w14:paraId="05FB4BD7"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0.05</w:t>
            </w:r>
          </w:p>
        </w:tc>
      </w:tr>
      <w:tr w:rsidR="00560FF8" w:rsidRPr="00560FF8" w14:paraId="7371C3EF" w14:textId="77777777" w:rsidTr="00025013">
        <w:trPr>
          <w:trHeight w:val="240"/>
        </w:trPr>
        <w:tc>
          <w:tcPr>
            <w:tcW w:w="1784" w:type="pct"/>
            <w:vAlign w:val="bottom"/>
          </w:tcPr>
          <w:p w14:paraId="5436F9F6"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5C203F29"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0.14</w:t>
            </w:r>
          </w:p>
        </w:tc>
        <w:tc>
          <w:tcPr>
            <w:tcW w:w="987" w:type="pct"/>
            <w:vAlign w:val="center"/>
          </w:tcPr>
          <w:p w14:paraId="5C23FE34"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0.44</w:t>
            </w:r>
          </w:p>
        </w:tc>
        <w:tc>
          <w:tcPr>
            <w:tcW w:w="990" w:type="pct"/>
            <w:vAlign w:val="center"/>
          </w:tcPr>
          <w:p w14:paraId="6BDC09D3"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0.14</w:t>
            </w:r>
          </w:p>
        </w:tc>
      </w:tr>
      <w:tr w:rsidR="00560FF8" w:rsidRPr="00560FF8" w14:paraId="5902F611" w14:textId="77777777" w:rsidTr="00025013">
        <w:trPr>
          <w:trHeight w:val="240"/>
        </w:trPr>
        <w:tc>
          <w:tcPr>
            <w:tcW w:w="1784" w:type="pct"/>
            <w:vAlign w:val="bottom"/>
          </w:tcPr>
          <w:p w14:paraId="6E769165" w14:textId="77777777" w:rsidR="00560FF8" w:rsidRPr="00560FF8" w:rsidRDefault="00560FF8" w:rsidP="00025013">
            <w:pPr>
              <w:spacing w:after="0" w:line="240" w:lineRule="auto"/>
              <w:rPr>
                <w:rFonts w:ascii="Times New Roman" w:eastAsia="Aptos" w:hAnsi="Times New Roman" w:cs="Times New Roman"/>
                <w:sz w:val="20"/>
                <w:szCs w:val="20"/>
              </w:rPr>
            </w:pPr>
            <w:r w:rsidRPr="00560FF8">
              <w:rPr>
                <w:rFonts w:ascii="Times New Roman" w:eastAsia="Aptos" w:hAnsi="Times New Roman" w:cs="Times New Roman"/>
                <w:b/>
                <w:bCs/>
                <w:color w:val="000000"/>
                <w:sz w:val="20"/>
                <w:szCs w:val="20"/>
              </w:rPr>
              <w:t>Factor B : Spacing</w:t>
            </w:r>
          </w:p>
        </w:tc>
        <w:tc>
          <w:tcPr>
            <w:tcW w:w="1240" w:type="pct"/>
            <w:vAlign w:val="center"/>
          </w:tcPr>
          <w:p w14:paraId="55B4CD58"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87" w:type="pct"/>
            <w:vAlign w:val="center"/>
          </w:tcPr>
          <w:p w14:paraId="14369A57"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90" w:type="pct"/>
            <w:vAlign w:val="center"/>
          </w:tcPr>
          <w:p w14:paraId="0DCBA844"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r>
      <w:tr w:rsidR="00560FF8" w:rsidRPr="00560FF8" w14:paraId="7480E33D" w14:textId="77777777" w:rsidTr="00025013">
        <w:trPr>
          <w:trHeight w:val="240"/>
        </w:trPr>
        <w:tc>
          <w:tcPr>
            <w:tcW w:w="1784" w:type="pct"/>
            <w:vAlign w:val="bottom"/>
          </w:tcPr>
          <w:p w14:paraId="61A6E14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1</w:t>
            </w:r>
            <w:r w:rsidRPr="00F94B43">
              <w:rPr>
                <w:rFonts w:ascii="Times New Roman" w:eastAsia="Aptos" w:hAnsi="Times New Roman" w:cs="Times New Roman"/>
                <w:color w:val="000000"/>
                <w:sz w:val="24"/>
                <w:szCs w:val="24"/>
              </w:rPr>
              <w:t>: 20x20 cm</w:t>
            </w:r>
          </w:p>
        </w:tc>
        <w:tc>
          <w:tcPr>
            <w:tcW w:w="1240" w:type="pct"/>
            <w:vAlign w:val="center"/>
          </w:tcPr>
          <w:p w14:paraId="5A1E8C8F"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6103234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26.40</w:t>
            </w:r>
          </w:p>
        </w:tc>
        <w:tc>
          <w:tcPr>
            <w:tcW w:w="990" w:type="pct"/>
            <w:vAlign w:val="center"/>
          </w:tcPr>
          <w:p w14:paraId="506CAEF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4.04</w:t>
            </w:r>
          </w:p>
        </w:tc>
      </w:tr>
      <w:tr w:rsidR="00560FF8" w:rsidRPr="00560FF8" w14:paraId="7C1C08B7" w14:textId="77777777" w:rsidTr="00025013">
        <w:trPr>
          <w:trHeight w:val="240"/>
        </w:trPr>
        <w:tc>
          <w:tcPr>
            <w:tcW w:w="1784" w:type="pct"/>
            <w:vAlign w:val="bottom"/>
          </w:tcPr>
          <w:p w14:paraId="0F9A8D21"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2</w:t>
            </w:r>
            <w:r w:rsidRPr="00F94B43">
              <w:rPr>
                <w:rFonts w:ascii="Times New Roman" w:eastAsia="Aptos" w:hAnsi="Times New Roman" w:cs="Times New Roman"/>
                <w:color w:val="000000"/>
                <w:sz w:val="24"/>
                <w:szCs w:val="24"/>
              </w:rPr>
              <w:t>: 30x10 cm</w:t>
            </w:r>
          </w:p>
        </w:tc>
        <w:tc>
          <w:tcPr>
            <w:tcW w:w="1240" w:type="pct"/>
            <w:vAlign w:val="center"/>
          </w:tcPr>
          <w:p w14:paraId="3724E91B"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1E0F7A8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27.63</w:t>
            </w:r>
          </w:p>
        </w:tc>
        <w:tc>
          <w:tcPr>
            <w:tcW w:w="990" w:type="pct"/>
            <w:vAlign w:val="center"/>
          </w:tcPr>
          <w:p w14:paraId="52DCCFC8"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4.08</w:t>
            </w:r>
          </w:p>
        </w:tc>
      </w:tr>
      <w:tr w:rsidR="00560FF8" w:rsidRPr="00560FF8" w14:paraId="7F21DCC1" w14:textId="77777777" w:rsidTr="00025013">
        <w:trPr>
          <w:trHeight w:val="240"/>
        </w:trPr>
        <w:tc>
          <w:tcPr>
            <w:tcW w:w="1784" w:type="pct"/>
            <w:vAlign w:val="bottom"/>
          </w:tcPr>
          <w:p w14:paraId="5A87453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3</w:t>
            </w:r>
            <w:r w:rsidRPr="00F94B43">
              <w:rPr>
                <w:rFonts w:ascii="Times New Roman" w:eastAsia="Aptos" w:hAnsi="Times New Roman" w:cs="Times New Roman"/>
                <w:color w:val="000000"/>
                <w:sz w:val="24"/>
                <w:szCs w:val="24"/>
              </w:rPr>
              <w:t>: 30x15 cm</w:t>
            </w:r>
          </w:p>
        </w:tc>
        <w:tc>
          <w:tcPr>
            <w:tcW w:w="1240" w:type="pct"/>
            <w:vAlign w:val="center"/>
          </w:tcPr>
          <w:p w14:paraId="127869F7"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3085E7AC"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25.93</w:t>
            </w:r>
          </w:p>
        </w:tc>
        <w:tc>
          <w:tcPr>
            <w:tcW w:w="990" w:type="pct"/>
            <w:vAlign w:val="center"/>
          </w:tcPr>
          <w:p w14:paraId="1C157B24"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4.01</w:t>
            </w:r>
          </w:p>
        </w:tc>
      </w:tr>
      <w:tr w:rsidR="00560FF8" w:rsidRPr="00560FF8" w14:paraId="1B0A4245" w14:textId="77777777" w:rsidTr="00025013">
        <w:trPr>
          <w:trHeight w:val="229"/>
        </w:trPr>
        <w:tc>
          <w:tcPr>
            <w:tcW w:w="1784" w:type="pct"/>
            <w:vAlign w:val="bottom"/>
          </w:tcPr>
          <w:p w14:paraId="511EDFA8"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2877208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0.04</w:t>
            </w:r>
          </w:p>
        </w:tc>
        <w:tc>
          <w:tcPr>
            <w:tcW w:w="987" w:type="pct"/>
            <w:vAlign w:val="center"/>
          </w:tcPr>
          <w:p w14:paraId="7D269AA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0.13</w:t>
            </w:r>
          </w:p>
        </w:tc>
        <w:tc>
          <w:tcPr>
            <w:tcW w:w="990" w:type="pct"/>
            <w:vAlign w:val="center"/>
          </w:tcPr>
          <w:p w14:paraId="4D06DA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0.04</w:t>
            </w:r>
          </w:p>
        </w:tc>
      </w:tr>
      <w:tr w:rsidR="00560FF8" w:rsidRPr="00560FF8" w14:paraId="3506E56A" w14:textId="77777777" w:rsidTr="00025013">
        <w:trPr>
          <w:trHeight w:val="240"/>
        </w:trPr>
        <w:tc>
          <w:tcPr>
            <w:tcW w:w="1784" w:type="pct"/>
            <w:vAlign w:val="bottom"/>
          </w:tcPr>
          <w:p w14:paraId="739D0810"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6A4B3416"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87" w:type="pct"/>
            <w:vAlign w:val="center"/>
          </w:tcPr>
          <w:p w14:paraId="621A2D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0.38</w:t>
            </w:r>
          </w:p>
        </w:tc>
        <w:tc>
          <w:tcPr>
            <w:tcW w:w="990" w:type="pct"/>
            <w:vAlign w:val="center"/>
          </w:tcPr>
          <w:p w14:paraId="216183B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r>
      <w:tr w:rsidR="00560FF8" w:rsidRPr="00560FF8" w14:paraId="4A1F4BD0" w14:textId="77777777" w:rsidTr="00025013">
        <w:trPr>
          <w:trHeight w:val="240"/>
        </w:trPr>
        <w:tc>
          <w:tcPr>
            <w:tcW w:w="1784" w:type="pct"/>
            <w:vAlign w:val="bottom"/>
          </w:tcPr>
          <w:p w14:paraId="649BD67E" w14:textId="77777777" w:rsidR="00560FF8" w:rsidRPr="00560FF8" w:rsidRDefault="00560FF8" w:rsidP="00025013">
            <w:pPr>
              <w:spacing w:after="0" w:line="240" w:lineRule="auto"/>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Int. (N X S)</w:t>
            </w:r>
          </w:p>
        </w:tc>
        <w:tc>
          <w:tcPr>
            <w:tcW w:w="1240" w:type="pct"/>
            <w:vAlign w:val="center"/>
          </w:tcPr>
          <w:p w14:paraId="49808873"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87" w:type="pct"/>
            <w:vAlign w:val="center"/>
          </w:tcPr>
          <w:p w14:paraId="62FF7419"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90" w:type="pct"/>
            <w:vAlign w:val="center"/>
          </w:tcPr>
          <w:p w14:paraId="7D15D87E"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r>
      <w:tr w:rsidR="00560FF8" w:rsidRPr="00560FF8" w14:paraId="3E2422DF" w14:textId="77777777" w:rsidTr="00025013">
        <w:trPr>
          <w:trHeight w:val="47"/>
        </w:trPr>
        <w:tc>
          <w:tcPr>
            <w:tcW w:w="1784" w:type="pct"/>
            <w:vAlign w:val="bottom"/>
          </w:tcPr>
          <w:p w14:paraId="2DAC5616"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476F569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0.08</w:t>
            </w:r>
          </w:p>
        </w:tc>
        <w:tc>
          <w:tcPr>
            <w:tcW w:w="987" w:type="pct"/>
            <w:vAlign w:val="center"/>
          </w:tcPr>
          <w:p w14:paraId="1558EA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0.26</w:t>
            </w:r>
          </w:p>
        </w:tc>
        <w:tc>
          <w:tcPr>
            <w:tcW w:w="990" w:type="pct"/>
            <w:vAlign w:val="center"/>
          </w:tcPr>
          <w:p w14:paraId="0F39F97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0.08</w:t>
            </w:r>
          </w:p>
        </w:tc>
      </w:tr>
      <w:tr w:rsidR="00560FF8" w:rsidRPr="00560FF8" w14:paraId="7F26632A" w14:textId="77777777" w:rsidTr="00025013">
        <w:trPr>
          <w:trHeight w:val="240"/>
        </w:trPr>
        <w:tc>
          <w:tcPr>
            <w:tcW w:w="1784" w:type="pct"/>
            <w:vAlign w:val="bottom"/>
          </w:tcPr>
          <w:p w14:paraId="0B5A9A49"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2DDD8AC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87" w:type="pct"/>
            <w:vAlign w:val="center"/>
          </w:tcPr>
          <w:p w14:paraId="2720FCB6"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90" w:type="pct"/>
            <w:vAlign w:val="center"/>
          </w:tcPr>
          <w:p w14:paraId="378B897D"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r>
      <w:tr w:rsidR="00560FF8" w:rsidRPr="00560FF8" w14:paraId="6EC05636" w14:textId="77777777" w:rsidTr="00025013">
        <w:trPr>
          <w:trHeight w:val="240"/>
        </w:trPr>
        <w:tc>
          <w:tcPr>
            <w:tcW w:w="1784" w:type="pct"/>
            <w:vAlign w:val="bottom"/>
          </w:tcPr>
          <w:p w14:paraId="7EB72B87"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CV %</w:t>
            </w:r>
          </w:p>
        </w:tc>
        <w:tc>
          <w:tcPr>
            <w:tcW w:w="1240" w:type="pct"/>
            <w:vAlign w:val="center"/>
          </w:tcPr>
          <w:p w14:paraId="540DE23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4.07</w:t>
            </w:r>
          </w:p>
        </w:tc>
        <w:tc>
          <w:tcPr>
            <w:tcW w:w="987" w:type="pct"/>
            <w:vAlign w:val="center"/>
          </w:tcPr>
          <w:p w14:paraId="33AB26ED"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1.69</w:t>
            </w:r>
          </w:p>
        </w:tc>
        <w:tc>
          <w:tcPr>
            <w:tcW w:w="990" w:type="pct"/>
            <w:vAlign w:val="center"/>
          </w:tcPr>
          <w:p w14:paraId="4801239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3.51</w:t>
            </w:r>
          </w:p>
        </w:tc>
      </w:tr>
      <w:tr w:rsidR="00560FF8" w:rsidRPr="00560FF8" w14:paraId="63ECA204" w14:textId="77777777" w:rsidTr="00025013">
        <w:trPr>
          <w:trHeight w:val="229"/>
        </w:trPr>
        <w:tc>
          <w:tcPr>
            <w:tcW w:w="1784" w:type="pct"/>
            <w:vAlign w:val="bottom"/>
          </w:tcPr>
          <w:p w14:paraId="63B85272" w14:textId="77777777" w:rsidR="00560FF8" w:rsidRPr="00B43F58" w:rsidRDefault="00560FF8" w:rsidP="00025013">
            <w:pPr>
              <w:spacing w:after="0" w:line="240" w:lineRule="auto"/>
              <w:jc w:val="both"/>
              <w:rPr>
                <w:rFonts w:ascii="Times New Roman" w:eastAsia="Aptos" w:hAnsi="Times New Roman" w:cs="Times New Roman"/>
                <w:color w:val="000000"/>
                <w:sz w:val="24"/>
                <w:szCs w:val="24"/>
              </w:rPr>
            </w:pPr>
            <w:r w:rsidRPr="00B43F58">
              <w:rPr>
                <w:rFonts w:ascii="Times New Roman" w:eastAsia="Aptos" w:hAnsi="Times New Roman" w:cs="Times New Roman"/>
                <w:color w:val="000000"/>
                <w:sz w:val="24"/>
                <w:szCs w:val="24"/>
              </w:rPr>
              <w:t>GM</w:t>
            </w:r>
          </w:p>
        </w:tc>
        <w:tc>
          <w:tcPr>
            <w:tcW w:w="1240" w:type="pct"/>
            <w:vAlign w:val="center"/>
          </w:tcPr>
          <w:p w14:paraId="313FD0E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3.57</w:t>
            </w:r>
          </w:p>
        </w:tc>
        <w:tc>
          <w:tcPr>
            <w:tcW w:w="987" w:type="pct"/>
            <w:vAlign w:val="center"/>
          </w:tcPr>
          <w:p w14:paraId="783F1B6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b/>
                <w:bCs/>
                <w:color w:val="000000"/>
                <w:sz w:val="20"/>
                <w:szCs w:val="20"/>
              </w:rPr>
              <w:t>26.65</w:t>
            </w:r>
          </w:p>
        </w:tc>
        <w:tc>
          <w:tcPr>
            <w:tcW w:w="990" w:type="pct"/>
            <w:vAlign w:val="center"/>
          </w:tcPr>
          <w:p w14:paraId="280BB35C"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b/>
                <w:bCs/>
                <w:color w:val="000000"/>
                <w:sz w:val="20"/>
                <w:szCs w:val="20"/>
              </w:rPr>
              <w:t>4.04</w:t>
            </w:r>
          </w:p>
        </w:tc>
      </w:tr>
      <w:tr w:rsidR="00560FF8" w:rsidRPr="00560FF8" w14:paraId="4D1DC910" w14:textId="77777777" w:rsidTr="00025013">
        <w:trPr>
          <w:trHeight w:val="229"/>
        </w:trPr>
        <w:tc>
          <w:tcPr>
            <w:tcW w:w="1784" w:type="pct"/>
            <w:vAlign w:val="bottom"/>
          </w:tcPr>
          <w:p w14:paraId="08106C3E" w14:textId="77777777" w:rsidR="00560FF8" w:rsidRPr="00B43F58" w:rsidRDefault="00560FF8" w:rsidP="00025013">
            <w:pPr>
              <w:spacing w:after="0" w:line="240" w:lineRule="auto"/>
              <w:jc w:val="both"/>
              <w:rPr>
                <w:rFonts w:ascii="Times New Roman" w:eastAsia="Aptos" w:hAnsi="Times New Roman" w:cs="Times New Roman"/>
                <w:color w:val="000000"/>
                <w:sz w:val="24"/>
                <w:szCs w:val="24"/>
              </w:rPr>
            </w:pPr>
            <w:r w:rsidRPr="00B43F58">
              <w:rPr>
                <w:rFonts w:ascii="Times New Roman" w:eastAsia="Aptos" w:hAnsi="Times New Roman" w:cs="Times New Roman"/>
                <w:color w:val="000000"/>
                <w:sz w:val="24"/>
                <w:szCs w:val="24"/>
              </w:rPr>
              <w:t>Initial</w:t>
            </w:r>
          </w:p>
        </w:tc>
        <w:tc>
          <w:tcPr>
            <w:tcW w:w="1240" w:type="pct"/>
            <w:vAlign w:val="center"/>
          </w:tcPr>
          <w:p w14:paraId="79153281"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3.41 X 10</w:t>
            </w:r>
            <w:r w:rsidRPr="00560FF8">
              <w:rPr>
                <w:rFonts w:ascii="Times New Roman" w:eastAsia="Aptos" w:hAnsi="Times New Roman" w:cs="Times New Roman"/>
                <w:b/>
                <w:bCs/>
                <w:color w:val="000000"/>
                <w:sz w:val="20"/>
                <w:szCs w:val="20"/>
                <w:vertAlign w:val="superscript"/>
              </w:rPr>
              <w:t>4</w:t>
            </w:r>
          </w:p>
        </w:tc>
        <w:tc>
          <w:tcPr>
            <w:tcW w:w="987" w:type="pct"/>
            <w:vAlign w:val="center"/>
          </w:tcPr>
          <w:p w14:paraId="3D3F709B" w14:textId="008DF2C3"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26.45</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X 10</w:t>
            </w:r>
            <w:r w:rsidRPr="00560FF8">
              <w:rPr>
                <w:rFonts w:ascii="Times New Roman" w:eastAsia="Aptos" w:hAnsi="Times New Roman" w:cs="Times New Roman"/>
                <w:b/>
                <w:bCs/>
                <w:color w:val="000000"/>
                <w:sz w:val="20"/>
                <w:szCs w:val="20"/>
                <w:vertAlign w:val="superscript"/>
              </w:rPr>
              <w:t>6</w:t>
            </w:r>
          </w:p>
        </w:tc>
        <w:tc>
          <w:tcPr>
            <w:tcW w:w="990" w:type="pct"/>
            <w:vAlign w:val="center"/>
          </w:tcPr>
          <w:p w14:paraId="45CFB9F5" w14:textId="12667B1E"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3.85</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X</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10</w:t>
            </w:r>
            <w:r w:rsidRPr="00560FF8">
              <w:rPr>
                <w:rFonts w:ascii="Times New Roman" w:eastAsia="Aptos" w:hAnsi="Times New Roman" w:cs="Times New Roman"/>
                <w:b/>
                <w:bCs/>
                <w:color w:val="000000"/>
                <w:sz w:val="20"/>
                <w:szCs w:val="20"/>
                <w:vertAlign w:val="superscript"/>
              </w:rPr>
              <w:t>5</w:t>
            </w:r>
          </w:p>
        </w:tc>
      </w:tr>
    </w:tbl>
    <w:p w14:paraId="2DBC5C8F" w14:textId="77777777" w:rsidR="00560FF8" w:rsidRDefault="00560FF8" w:rsidP="00A5674C">
      <w:pPr>
        <w:spacing w:line="360" w:lineRule="auto"/>
        <w:jc w:val="both"/>
        <w:rPr>
          <w:rFonts w:ascii="Times New Roman" w:hAnsi="Times New Roman" w:cs="Times New Roman"/>
          <w:b/>
          <w:sz w:val="24"/>
          <w:szCs w:val="24"/>
        </w:rPr>
      </w:pPr>
    </w:p>
    <w:p w14:paraId="12572C95" w14:textId="24595563" w:rsidR="00234E9E" w:rsidRDefault="00234E9E" w:rsidP="00A5674C">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F5E28A7" w14:textId="5369484F" w:rsidR="00560FF8" w:rsidRDefault="00234E9E" w:rsidP="00234E9E">
      <w:pPr>
        <w:spacing w:line="360" w:lineRule="auto"/>
        <w:ind w:firstLine="720"/>
        <w:jc w:val="both"/>
        <w:rPr>
          <w:rFonts w:ascii="Times New Roman" w:hAnsi="Times New Roman" w:cs="Times New Roman"/>
          <w:bCs/>
          <w:sz w:val="24"/>
          <w:szCs w:val="24"/>
        </w:rPr>
      </w:pPr>
      <w:r w:rsidRPr="00234E9E">
        <w:rPr>
          <w:rFonts w:ascii="Times New Roman" w:hAnsi="Times New Roman" w:cs="Times New Roman"/>
          <w:bCs/>
          <w:sz w:val="24"/>
          <w:szCs w:val="24"/>
        </w:rPr>
        <w:t>The study revealed that soil chemical and biological properties of Kalmegh were significantly influenced by nitrogen sources and plant geometry. Application of 100% N through vermicompost (N₃) resulted in the highest post-harvest availability of N, P and K and improved soil fertility due to better mineralization and nutrient release. Among spacings, 30 × 15 cm improved available N, 20 × 20 cm enhanced available P and 30 × 10 cm increased available K. Soil microbial populations were significantly higher under vermicompost application, indicating improved soil biological health. Plant geometry influenced only bacterial population, while interaction effects were non-significant for both soil nutrients and microbial parameters.</w:t>
      </w:r>
    </w:p>
    <w:p w14:paraId="522E0EB6" w14:textId="77777777" w:rsidR="00A84B8C" w:rsidRDefault="00A84B8C" w:rsidP="00234E9E">
      <w:pPr>
        <w:spacing w:line="360" w:lineRule="auto"/>
        <w:ind w:firstLine="720"/>
        <w:jc w:val="both"/>
        <w:rPr>
          <w:rFonts w:ascii="Times New Roman" w:hAnsi="Times New Roman" w:cs="Times New Roman"/>
          <w:bCs/>
          <w:sz w:val="24"/>
          <w:szCs w:val="24"/>
        </w:rPr>
      </w:pPr>
    </w:p>
    <w:p w14:paraId="639EE535" w14:textId="77777777" w:rsidR="00A84B8C" w:rsidRPr="00A84B8C" w:rsidRDefault="00A84B8C" w:rsidP="00A84B8C">
      <w:pPr>
        <w:rPr>
          <w:rFonts w:ascii="Arial" w:eastAsia="Times New Roman" w:hAnsi="Arial" w:cs="Arial"/>
          <w:b/>
          <w:bCs/>
          <w:lang w:val="en-GB" w:eastAsia="en-GB"/>
        </w:rPr>
      </w:pPr>
      <w:r w:rsidRPr="00A84B8C">
        <w:rPr>
          <w:rFonts w:ascii="Arial" w:eastAsia="Times New Roman" w:hAnsi="Arial" w:cs="Arial"/>
          <w:b/>
          <w:bCs/>
          <w:lang w:val="en-GB" w:eastAsia="en-GB"/>
        </w:rPr>
        <w:t>COMPETING INTERESTS DISCLAIMER:</w:t>
      </w:r>
    </w:p>
    <w:p w14:paraId="61CC08D4" w14:textId="77777777" w:rsidR="00A84B8C" w:rsidRPr="00A84B8C" w:rsidRDefault="00A84B8C" w:rsidP="00A84B8C">
      <w:pPr>
        <w:rPr>
          <w:rFonts w:eastAsia="Times New Roman" w:cs="Times New Roman"/>
          <w:lang w:val="en-GB" w:eastAsia="en-GB"/>
        </w:rPr>
      </w:pPr>
      <w:r w:rsidRPr="00A84B8C">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6EEDD63" w14:textId="77777777" w:rsidR="00A84B8C" w:rsidRPr="00234E9E" w:rsidRDefault="00A84B8C" w:rsidP="00234E9E">
      <w:pPr>
        <w:spacing w:line="360" w:lineRule="auto"/>
        <w:ind w:firstLine="720"/>
        <w:jc w:val="both"/>
        <w:rPr>
          <w:rFonts w:ascii="Times New Roman" w:hAnsi="Times New Roman" w:cs="Times New Roman"/>
          <w:bCs/>
          <w:sz w:val="24"/>
          <w:szCs w:val="24"/>
        </w:rPr>
      </w:pPr>
    </w:p>
    <w:p w14:paraId="7D741C72" w14:textId="5668960D" w:rsidR="00234E9E" w:rsidRPr="00A67501" w:rsidRDefault="007F39F5" w:rsidP="00A67501">
      <w:pPr>
        <w:spacing w:line="360" w:lineRule="auto"/>
        <w:jc w:val="center"/>
        <w:rPr>
          <w:rFonts w:ascii="Times New Roman" w:hAnsi="Times New Roman" w:cs="Times New Roman"/>
          <w:b/>
          <w:sz w:val="24"/>
          <w:szCs w:val="24"/>
        </w:rPr>
      </w:pPr>
      <w:r w:rsidRPr="00400333">
        <w:rPr>
          <w:rFonts w:ascii="Times New Roman" w:hAnsi="Times New Roman" w:cs="Times New Roman"/>
          <w:b/>
          <w:sz w:val="28"/>
          <w:szCs w:val="28"/>
        </w:rPr>
        <w:t>References</w:t>
      </w:r>
    </w:p>
    <w:p w14:paraId="6A744ECD" w14:textId="77777777" w:rsidR="00234E9E" w:rsidRPr="006A747C" w:rsidRDefault="00234E9E" w:rsidP="00F94B43">
      <w:pPr>
        <w:spacing w:after="240"/>
        <w:ind w:left="720" w:hanging="720"/>
        <w:jc w:val="both"/>
        <w:rPr>
          <w:rFonts w:ascii="Times New Roman" w:eastAsia="Times New Roman" w:hAnsi="Times New Roman" w:cs="Times New Roman"/>
          <w:sz w:val="24"/>
          <w:szCs w:val="24"/>
          <w:lang w:val="en-IN" w:bidi="hi-IN"/>
        </w:rPr>
      </w:pPr>
      <w:r w:rsidRPr="006A747C">
        <w:rPr>
          <w:rFonts w:ascii="Times New Roman" w:eastAsia="Times New Roman" w:hAnsi="Times New Roman" w:cs="Times New Roman"/>
          <w:sz w:val="24"/>
          <w:szCs w:val="24"/>
          <w:lang w:val="en-IN" w:bidi="hi-IN"/>
        </w:rPr>
        <w:lastRenderedPageBreak/>
        <w:t>Shelke, A.S., Patke, N.K., Shinde, D.F., &amp; Deshmukh, A.G. (2024). Integrated nutrient management for optimizing yield, quality and nutrient uptake in Kalmegh (</w:t>
      </w:r>
      <w:r w:rsidRPr="00F94B43">
        <w:rPr>
          <w:rFonts w:ascii="Times New Roman" w:eastAsia="Times New Roman" w:hAnsi="Times New Roman" w:cs="Times New Roman"/>
          <w:i/>
          <w:iCs/>
          <w:sz w:val="24"/>
          <w:szCs w:val="24"/>
          <w:lang w:val="en-IN" w:bidi="hi-IN"/>
        </w:rPr>
        <w:t>Andrographis paniculata</w:t>
      </w:r>
      <w:r w:rsidRPr="006A747C">
        <w:rPr>
          <w:rFonts w:ascii="Times New Roman" w:eastAsia="Times New Roman" w:hAnsi="Times New Roman" w:cs="Times New Roman"/>
          <w:sz w:val="24"/>
          <w:szCs w:val="24"/>
          <w:lang w:val="en-IN" w:bidi="hi-IN"/>
        </w:rPr>
        <w:t xml:space="preserve">). </w:t>
      </w:r>
      <w:r w:rsidRPr="00F94B43">
        <w:rPr>
          <w:rFonts w:ascii="Times New Roman" w:eastAsia="Times New Roman" w:hAnsi="Times New Roman" w:cs="Times New Roman"/>
          <w:sz w:val="24"/>
          <w:szCs w:val="24"/>
          <w:lang w:val="en-IN" w:bidi="hi-IN"/>
        </w:rPr>
        <w:t>Agronomy Journal</w:t>
      </w:r>
      <w:r w:rsidRPr="006A747C">
        <w:rPr>
          <w:rFonts w:ascii="Times New Roman" w:eastAsia="Times New Roman" w:hAnsi="Times New Roman" w:cs="Times New Roman"/>
          <w:sz w:val="24"/>
          <w:szCs w:val="24"/>
          <w:lang w:val="en-IN" w:bidi="hi-IN"/>
        </w:rPr>
        <w:t xml:space="preserve">, </w:t>
      </w:r>
      <w:r w:rsidRPr="00F94B43">
        <w:rPr>
          <w:rFonts w:ascii="Times New Roman" w:eastAsia="Times New Roman" w:hAnsi="Times New Roman" w:cs="Times New Roman"/>
          <w:sz w:val="24"/>
          <w:szCs w:val="24"/>
          <w:lang w:val="en-IN" w:bidi="hi-IN"/>
        </w:rPr>
        <w:t>7(12B)</w:t>
      </w:r>
      <w:r w:rsidRPr="006A747C">
        <w:rPr>
          <w:rFonts w:ascii="Times New Roman" w:eastAsia="Times New Roman" w:hAnsi="Times New Roman" w:cs="Times New Roman"/>
          <w:sz w:val="24"/>
          <w:szCs w:val="24"/>
          <w:lang w:val="en-IN" w:bidi="hi-IN"/>
        </w:rPr>
        <w:t>, 2105–2111.</w:t>
      </w:r>
    </w:p>
    <w:p w14:paraId="0B000563" w14:textId="77777777" w:rsidR="00234E9E" w:rsidRPr="00F94B43" w:rsidRDefault="00234E9E" w:rsidP="00234E9E">
      <w:pPr>
        <w:spacing w:after="240"/>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Thakur, A.K., Thakur, D.S., Patel, R.K., Pradhan, A. and Kumar, P., 2015. Effect of different plant geometry and nitrogen levels, inrelation to growth characters, yield and economics on sweet corn (</w:t>
      </w:r>
      <w:r w:rsidRPr="00F94B43">
        <w:rPr>
          <w:rFonts w:ascii="Times New Roman" w:eastAsia="Times New Roman" w:hAnsi="Times New Roman" w:cs="Times New Roman"/>
          <w:i/>
          <w:iCs/>
          <w:sz w:val="24"/>
          <w:szCs w:val="24"/>
          <w:lang w:val="en-IN" w:bidi="hi-IN"/>
        </w:rPr>
        <w:t>Zea mays sachharata</w:t>
      </w:r>
      <w:r w:rsidRPr="00F94B43">
        <w:rPr>
          <w:rFonts w:ascii="Times New Roman" w:eastAsia="Times New Roman" w:hAnsi="Times New Roman" w:cs="Times New Roman"/>
          <w:sz w:val="24"/>
          <w:szCs w:val="24"/>
          <w:lang w:val="en-IN" w:bidi="hi-IN"/>
        </w:rPr>
        <w:t xml:space="preserve"> L.) at Bastar plateau zone. The Bioscan, 10(3), pp.1223-1226.</w:t>
      </w:r>
    </w:p>
    <w:p w14:paraId="1ADB648F" w14:textId="77777777" w:rsidR="00234E9E" w:rsidRPr="00F94B43" w:rsidRDefault="00234E9E" w:rsidP="003D20B6">
      <w:pPr>
        <w:spacing w:line="360" w:lineRule="auto"/>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Tiwari, V.; Shrivastava, A.; Namdeo K. N. and Kumar, M. M. (2012). Effect of sources and levels of nitrogen on physiological parameters, contents and uptake of nutrient in kalmegh. Annals of Plant and soil research. 14(1): 18-21.</w:t>
      </w:r>
    </w:p>
    <w:p w14:paraId="6DAD8143" w14:textId="7DEEFB7C" w:rsidR="00234E9E" w:rsidRDefault="00234E9E" w:rsidP="00234E9E">
      <w:pPr>
        <w:spacing w:after="240"/>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Verma, H., Negi, M.S., Mahapatra, B.S., Shukla, A., Paul, J., Bhatt, M.K., Singh, S.P. and Prakash, O., 2024. Growth, yield, andrographolide content and total antioxidant activity of Kalmegh [</w:t>
      </w:r>
      <w:r w:rsidRPr="005871E7">
        <w:rPr>
          <w:rFonts w:ascii="Times New Roman" w:eastAsia="Times New Roman" w:hAnsi="Times New Roman" w:cs="Times New Roman"/>
          <w:i/>
          <w:iCs/>
          <w:sz w:val="24"/>
          <w:szCs w:val="24"/>
          <w:lang w:val="en-IN" w:bidi="hi-IN"/>
        </w:rPr>
        <w:t>Andrographis paniculata</w:t>
      </w:r>
      <w:r w:rsidRPr="00F94B43">
        <w:rPr>
          <w:rFonts w:ascii="Times New Roman" w:eastAsia="Times New Roman" w:hAnsi="Times New Roman" w:cs="Times New Roman"/>
          <w:sz w:val="24"/>
          <w:szCs w:val="24"/>
          <w:lang w:val="en-IN" w:bidi="hi-IN"/>
        </w:rPr>
        <w:t xml:space="preserve"> (Burm. f.) Wall. ex Nees] under variable nitrogen rates and organic manures application in Indo-Gangetic plains of India. Journal of Plant Nutrition, 47(20), pp.4048-4060.</w:t>
      </w:r>
    </w:p>
    <w:p w14:paraId="5432AD9F" w14:textId="6D2FAD47" w:rsidR="0008144C" w:rsidRDefault="0008144C" w:rsidP="00234E9E">
      <w:pPr>
        <w:spacing w:after="240"/>
        <w:ind w:left="720" w:hanging="720"/>
        <w:jc w:val="both"/>
        <w:rPr>
          <w:rFonts w:ascii="Times New Roman" w:eastAsia="Times New Roman" w:hAnsi="Times New Roman" w:cs="Times New Roman"/>
          <w:sz w:val="24"/>
          <w:szCs w:val="24"/>
          <w:lang w:val="en-IN" w:bidi="hi-IN"/>
        </w:rPr>
      </w:pPr>
      <w:r w:rsidRPr="00962983">
        <w:rPr>
          <w:rFonts w:ascii="Times New Roman" w:eastAsia="Times New Roman" w:hAnsi="Times New Roman" w:cs="Times New Roman"/>
          <w:sz w:val="24"/>
          <w:szCs w:val="24"/>
          <w:highlight w:val="yellow"/>
          <w:lang w:val="en-IN" w:bidi="hi-IN"/>
        </w:rPr>
        <w:t xml:space="preserve">Tyagi, </w:t>
      </w:r>
      <w:commentRangeStart w:id="13"/>
      <w:r w:rsidRPr="00962983">
        <w:rPr>
          <w:rFonts w:ascii="Times New Roman" w:eastAsia="Times New Roman" w:hAnsi="Times New Roman" w:cs="Times New Roman"/>
          <w:sz w:val="24"/>
          <w:szCs w:val="24"/>
          <w:highlight w:val="yellow"/>
          <w:lang w:val="en-IN" w:bidi="hi-IN"/>
        </w:rPr>
        <w:t>V</w:t>
      </w:r>
      <w:commentRangeEnd w:id="13"/>
      <w:r w:rsidR="00422C43" w:rsidRPr="00962983">
        <w:rPr>
          <w:rStyle w:val="CommentReference"/>
          <w:rFonts w:ascii="Times New Roman" w:eastAsia="Times New Roman" w:hAnsi="Times New Roman" w:cs="Times New Roman"/>
          <w:sz w:val="24"/>
          <w:szCs w:val="24"/>
          <w:highlight w:val="yellow"/>
          <w:lang w:val="en-IN" w:bidi="hi-IN"/>
        </w:rPr>
        <w:commentReference w:id="13"/>
      </w:r>
      <w:r w:rsidRPr="00962983">
        <w:rPr>
          <w:rFonts w:ascii="Times New Roman" w:eastAsia="Times New Roman" w:hAnsi="Times New Roman" w:cs="Times New Roman"/>
          <w:sz w:val="24"/>
          <w:szCs w:val="24"/>
          <w:highlight w:val="yellow"/>
          <w:lang w:val="en-IN" w:bidi="hi-IN"/>
        </w:rPr>
        <w:t>., Kumar, A.,</w:t>
      </w:r>
      <w:r w:rsidRPr="0008144C">
        <w:rPr>
          <w:rFonts w:ascii="Times New Roman" w:eastAsia="Times New Roman" w:hAnsi="Times New Roman" w:cs="Times New Roman"/>
          <w:sz w:val="24"/>
          <w:szCs w:val="24"/>
          <w:lang w:val="en-IN" w:bidi="hi-IN"/>
        </w:rPr>
        <w:t xml:space="preserve"> Shanker, K., &amp; Pal, A. (2025). Andrographis paniculata restores gut health by suppressing inflammation and strengthening mucosal immunity. Frontiers in Pharmacology, 16, 1536683.</w:t>
      </w:r>
      <w:r>
        <w:rPr>
          <w:rFonts w:ascii="Times New Roman" w:eastAsia="Times New Roman" w:hAnsi="Times New Roman" w:cs="Times New Roman"/>
          <w:sz w:val="24"/>
          <w:szCs w:val="24"/>
          <w:lang w:val="en-IN" w:bidi="hi-IN"/>
        </w:rPr>
        <w:t xml:space="preserve"> </w:t>
      </w:r>
      <w:r w:rsidRPr="0008144C">
        <w:rPr>
          <w:rFonts w:ascii="Times New Roman" w:eastAsia="Times New Roman" w:hAnsi="Times New Roman" w:cs="Times New Roman"/>
          <w:sz w:val="24"/>
          <w:szCs w:val="24"/>
          <w:lang w:val="en-IN" w:bidi="hi-IN"/>
        </w:rPr>
        <w:t>https://doi.org/10.3389/fphar.2025.1536683</w:t>
      </w:r>
    </w:p>
    <w:p w14:paraId="5837BAB1"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p>
    <w:p w14:paraId="6D01F1D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Qiao, R., Song, Z., Chen, Y., Xu, M., Yang, Q., Shen, X., Yu, D., Zhang, P., Ding, C., &amp; Guo, H. (2024). Planting density effect on poplar growth traits and soil nutrient availability, and response of microbial community, assembly and function. BMC Plant Biology, 24, Article 1035. https://doi.org/10.1186/s12870-024-05648-7</w:t>
      </w:r>
    </w:p>
    <w:p w14:paraId="7FE297B9"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Kushwah, N., Billore, V., Sharma, O.P., Singh, D. and Chauhan, A.P.S. (2023). Integrated Nutrient management for optimal plant health and crop yield. Plant Science Archives, 8(2), pp.10–12. doi:https://doi.org/10.51470/psa.2023.8.2.10.</w:t>
      </w:r>
    </w:p>
    <w:p w14:paraId="5FE3D05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 xml:space="preserve">Sarkar, S., Naik, S. K., Purakayastha, T. J., Dutta, A., &amp; Mali, S. S. (2025). Integrated nutrient management under long run augments maize productivity, nitrogen cycling and microbial activity under acidic Alfisol in Eastern India. Discover Soil, 2(1), 122. </w:t>
      </w:r>
    </w:p>
    <w:p w14:paraId="0ED3707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Zaman, I., Ali, M., Shahzad, K., Tahir, M. S., Matloob, A., Ahmad, W., Alamri, S., Khurshid, M. R., Qureshi, M. M., Wasaya, A., Baig, K. S., Siddiqui, M. H., Fahad, S., &amp; Datta, R. (2021). Effect of Plant Spacings on Growth, Physiology, Yield and Fiber Quality Attributes of Cotton Genotypes under Nitrogen Fertilization. Agronomy, 11(12), 2589. https://doi.org/10.3390/agronomy11122589</w:t>
      </w:r>
    </w:p>
    <w:p w14:paraId="591771AE" w14:textId="6995C61A" w:rsid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lastRenderedPageBreak/>
        <w:t>Hassan, Md.</w:t>
      </w:r>
      <w:r w:rsidR="004D314F">
        <w:rPr>
          <w:rFonts w:ascii="Times New Roman" w:eastAsia="Times New Roman" w:hAnsi="Times New Roman" w:cs="Times New Roman"/>
          <w:sz w:val="24"/>
          <w:szCs w:val="24"/>
          <w:lang w:val="en-IN" w:bidi="hi-IN"/>
        </w:rPr>
        <w:t xml:space="preserve"> </w:t>
      </w:r>
      <w:r w:rsidRPr="0010604B">
        <w:rPr>
          <w:rFonts w:ascii="Times New Roman" w:eastAsia="Times New Roman" w:hAnsi="Times New Roman" w:cs="Times New Roman"/>
          <w:sz w:val="24"/>
          <w:szCs w:val="24"/>
          <w:lang w:val="en-IN" w:bidi="hi-IN"/>
        </w:rPr>
        <w:t>M. and Pailan, E. (2022). Study on Effect of Spacing and Nutrient Management in Cabbage Cultivation in Medium Land Situation of East Medinipur. Indian Jo</w:t>
      </w:r>
      <w:r w:rsidR="00653D62">
        <w:rPr>
          <w:rFonts w:ascii="Times New Roman" w:eastAsia="Times New Roman" w:hAnsi="Times New Roman" w:cs="Times New Roman"/>
          <w:sz w:val="24"/>
          <w:szCs w:val="24"/>
          <w:lang w:val="en-IN" w:bidi="hi-IN"/>
        </w:rPr>
        <w:t>urnal Of Agricultural Research</w:t>
      </w:r>
      <w:r w:rsidRPr="0010604B">
        <w:rPr>
          <w:rFonts w:ascii="Times New Roman" w:eastAsia="Times New Roman" w:hAnsi="Times New Roman" w:cs="Times New Roman"/>
          <w:sz w:val="24"/>
          <w:szCs w:val="24"/>
          <w:lang w:val="en-IN" w:bidi="hi-IN"/>
        </w:rPr>
        <w:t>. doi:https://doi.org/10.18805/ijare.a-5956.</w:t>
      </w:r>
    </w:p>
    <w:p w14:paraId="635DAC50" w14:textId="1BA87239" w:rsidR="00962983" w:rsidRDefault="00962983" w:rsidP="00234E9E">
      <w:pPr>
        <w:spacing w:after="240"/>
        <w:ind w:left="720" w:hanging="720"/>
        <w:jc w:val="both"/>
        <w:rPr>
          <w:rFonts w:ascii="Times New Roman" w:eastAsia="Times New Roman" w:hAnsi="Times New Roman" w:cs="Times New Roman"/>
          <w:sz w:val="24"/>
          <w:szCs w:val="24"/>
          <w:lang w:val="en-IN" w:bidi="hi-IN"/>
        </w:rPr>
      </w:pPr>
    </w:p>
    <w:p w14:paraId="678CCC14" w14:textId="77777777" w:rsidR="0008144C" w:rsidRDefault="0008144C" w:rsidP="00234E9E">
      <w:pPr>
        <w:spacing w:after="240"/>
        <w:ind w:left="720" w:hanging="720"/>
        <w:jc w:val="both"/>
        <w:rPr>
          <w:rFonts w:ascii="Times New Roman" w:eastAsia="Times New Roman" w:hAnsi="Times New Roman" w:cs="Times New Roman"/>
          <w:sz w:val="24"/>
          <w:szCs w:val="24"/>
          <w:lang w:val="en-IN" w:bidi="hi-IN"/>
        </w:rPr>
      </w:pPr>
    </w:p>
    <w:p w14:paraId="35ACD461" w14:textId="77777777" w:rsidR="0008144C" w:rsidRPr="00F94B43" w:rsidRDefault="0008144C" w:rsidP="00234E9E">
      <w:pPr>
        <w:spacing w:after="240"/>
        <w:ind w:left="720" w:hanging="720"/>
        <w:jc w:val="both"/>
        <w:rPr>
          <w:rFonts w:ascii="Times New Roman" w:eastAsia="Times New Roman" w:hAnsi="Times New Roman" w:cs="Times New Roman"/>
          <w:sz w:val="24"/>
          <w:szCs w:val="24"/>
          <w:lang w:val="en-IN" w:bidi="hi-IN"/>
        </w:rPr>
      </w:pPr>
    </w:p>
    <w:p w14:paraId="3608BC7A" w14:textId="77777777" w:rsidR="00434C12" w:rsidRDefault="00434C12" w:rsidP="003D20B6">
      <w:pPr>
        <w:spacing w:line="360" w:lineRule="auto"/>
        <w:ind w:left="720" w:hanging="720"/>
        <w:jc w:val="both"/>
        <w:rPr>
          <w:rFonts w:ascii="Times New Roman" w:eastAsia="Times New Roman" w:hAnsi="Times New Roman" w:cs="Times New Roman"/>
          <w:sz w:val="24"/>
          <w:szCs w:val="24"/>
          <w:lang w:val="en-IN" w:bidi="hi-IN"/>
        </w:rPr>
      </w:pPr>
    </w:p>
    <w:p w14:paraId="38130CB2" w14:textId="77777777" w:rsidR="00434C12" w:rsidRDefault="00434C12" w:rsidP="003D20B6">
      <w:pPr>
        <w:spacing w:line="360" w:lineRule="auto"/>
        <w:ind w:left="720" w:hanging="720"/>
        <w:jc w:val="both"/>
        <w:rPr>
          <w:rFonts w:ascii="Times New Roman" w:eastAsia="Times New Roman" w:hAnsi="Times New Roman" w:cs="Times New Roman"/>
          <w:sz w:val="24"/>
          <w:szCs w:val="24"/>
          <w:lang w:val="en-IN" w:bidi="hi-IN"/>
        </w:rPr>
      </w:pPr>
    </w:p>
    <w:p w14:paraId="2C4906AA" w14:textId="7878973E" w:rsidR="00BA49F0" w:rsidRDefault="00BA49F0" w:rsidP="003D20B6">
      <w:pPr>
        <w:spacing w:line="360" w:lineRule="auto"/>
        <w:ind w:left="720" w:hanging="720"/>
        <w:jc w:val="both"/>
        <w:rPr>
          <w:rFonts w:ascii="Times New Roman" w:eastAsia="Times New Roman" w:hAnsi="Times New Roman" w:cs="Times New Roman"/>
          <w:sz w:val="24"/>
          <w:szCs w:val="24"/>
          <w:lang w:val="en-IN" w:bidi="hi-IN"/>
        </w:rPr>
      </w:pPr>
    </w:p>
    <w:sectPr w:rsidR="00BA49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wlett packard" w:date="2026-03-22T13:08:00Z" w:initials="hp">
    <w:p w14:paraId="345304DC" w14:textId="4FDED648" w:rsidR="0046385B" w:rsidRPr="0046385B" w:rsidRDefault="0046385B">
      <w:pPr>
        <w:pStyle w:val="CommentText"/>
        <w:rPr>
          <w:i/>
          <w:iCs/>
        </w:rPr>
      </w:pPr>
      <w:r>
        <w:rPr>
          <w:rStyle w:val="CommentReference"/>
        </w:rPr>
        <w:annotationRef/>
      </w:r>
      <w:r>
        <w:t>Add “…soil microbial properties in Kalmegh (</w:t>
      </w:r>
      <w:r>
        <w:rPr>
          <w:i/>
          <w:iCs/>
        </w:rPr>
        <w:t>Andrographis paniculata)</w:t>
      </w:r>
    </w:p>
  </w:comment>
  <w:comment w:id="1" w:author="hewlett packard" w:date="2026-03-22T15:32:00Z" w:initials="hp">
    <w:p w14:paraId="1D82FB65" w14:textId="3CD0C7A2" w:rsidR="00A44F9F" w:rsidRDefault="00A44F9F">
      <w:pPr>
        <w:pStyle w:val="CommentText"/>
      </w:pPr>
      <w:r>
        <w:rPr>
          <w:rStyle w:val="CommentReference"/>
        </w:rPr>
        <w:annotationRef/>
      </w:r>
      <w:r>
        <w:t xml:space="preserve">Use italics. Use full name </w:t>
      </w:r>
    </w:p>
  </w:comment>
  <w:comment w:id="2" w:author="hewlett packard" w:date="2026-03-22T15:32:00Z" w:initials="hp">
    <w:p w14:paraId="6FF5833A" w14:textId="38B8461A" w:rsidR="00A44F9F" w:rsidRDefault="00A44F9F">
      <w:pPr>
        <w:pStyle w:val="CommentText"/>
      </w:pPr>
      <w:r>
        <w:rPr>
          <w:rStyle w:val="CommentReference"/>
        </w:rPr>
        <w:annotationRef/>
      </w:r>
    </w:p>
  </w:comment>
  <w:comment w:id="3" w:author="hewlett packard" w:date="2026-03-22T15:34:00Z" w:initials="hp">
    <w:p w14:paraId="218B0B77" w14:textId="77777777" w:rsidR="00A44F9F" w:rsidRDefault="00A44F9F">
      <w:pPr>
        <w:pStyle w:val="CommentText"/>
      </w:pPr>
      <w:r>
        <w:rPr>
          <w:rStyle w:val="CommentReference"/>
        </w:rPr>
        <w:annotationRef/>
      </w:r>
      <w:r>
        <w:t>Use italics</w:t>
      </w:r>
    </w:p>
    <w:p w14:paraId="6742AF00" w14:textId="723E5F1D" w:rsidR="00A44F9F" w:rsidRDefault="00A44F9F">
      <w:pPr>
        <w:pStyle w:val="CommentText"/>
      </w:pPr>
    </w:p>
  </w:comment>
  <w:comment w:id="4" w:author="hewlett packard" w:date="2026-03-22T15:35:00Z" w:initials="hp">
    <w:p w14:paraId="095BE395" w14:textId="42BF4483" w:rsidR="00A44F9F" w:rsidRDefault="00A44F9F">
      <w:pPr>
        <w:pStyle w:val="CommentText"/>
      </w:pPr>
      <w:r>
        <w:rPr>
          <w:rStyle w:val="CommentReference"/>
        </w:rPr>
        <w:annotationRef/>
      </w:r>
      <w:r>
        <w:t>Use italics. Maintain uniformity while using references in text.</w:t>
      </w:r>
    </w:p>
  </w:comment>
  <w:comment w:id="5" w:author="hewlett packard" w:date="2026-03-22T15:37:00Z" w:initials="hp">
    <w:p w14:paraId="401BD565" w14:textId="77777777" w:rsidR="00A44F9F" w:rsidRDefault="00A44F9F">
      <w:pPr>
        <w:pStyle w:val="CommentText"/>
      </w:pPr>
      <w:r>
        <w:rPr>
          <w:rStyle w:val="CommentReference"/>
        </w:rPr>
        <w:annotationRef/>
      </w:r>
      <w:r>
        <w:t>Use italics. Maintain uniformity.</w:t>
      </w:r>
    </w:p>
    <w:p w14:paraId="08E8BA47" w14:textId="63552DB0" w:rsidR="00A44F9F" w:rsidRDefault="00A44F9F">
      <w:pPr>
        <w:pStyle w:val="CommentText"/>
      </w:pPr>
    </w:p>
  </w:comment>
  <w:comment w:id="6" w:author="hewlett packard" w:date="2026-03-22T15:38:00Z" w:initials="hp">
    <w:p w14:paraId="66621803" w14:textId="757B4027" w:rsidR="00A44F9F" w:rsidRDefault="00A44F9F">
      <w:pPr>
        <w:pStyle w:val="CommentText"/>
      </w:pPr>
      <w:r>
        <w:rPr>
          <w:rStyle w:val="CommentReference"/>
        </w:rPr>
        <w:annotationRef/>
      </w:r>
      <w:r>
        <w:t>It has not been mentioned why this experiment was conducted. The introduction ends abruptly.</w:t>
      </w:r>
    </w:p>
  </w:comment>
  <w:comment w:id="7" w:author="hewlett packard" w:date="2026-03-22T15:45:00Z" w:initials="hp">
    <w:p w14:paraId="0ED8BDA8" w14:textId="26ADC9FB" w:rsidR="00F61404" w:rsidRDefault="00F61404">
      <w:pPr>
        <w:pStyle w:val="CommentText"/>
      </w:pPr>
      <w:r>
        <w:rPr>
          <w:rStyle w:val="CommentReference"/>
        </w:rPr>
        <w:annotationRef/>
      </w:r>
      <w:r>
        <w:t>Which vermicompost was used? Did you make it yourself or did you use commercially available vermicompost? If yes, mention the brand used with full details.</w:t>
      </w:r>
    </w:p>
  </w:comment>
  <w:comment w:id="8" w:author="hewlett packard" w:date="2026-03-22T14:18:00Z" w:initials="hp">
    <w:p w14:paraId="47A7E89C" w14:textId="715082D6" w:rsidR="00646BCC" w:rsidRDefault="00646BCC">
      <w:pPr>
        <w:pStyle w:val="CommentText"/>
      </w:pPr>
      <w:r>
        <w:rPr>
          <w:rStyle w:val="CommentReference"/>
        </w:rPr>
        <w:annotationRef/>
      </w:r>
      <w:r>
        <w:t>Write full form of RDN</w:t>
      </w:r>
      <w:r w:rsidR="009529B1">
        <w:t xml:space="preserve"> or explain the abbreviation RDN.</w:t>
      </w:r>
    </w:p>
  </w:comment>
  <w:comment w:id="9" w:author="hewlett packard" w:date="2026-03-22T14:52:00Z" w:initials="hp">
    <w:p w14:paraId="2227CB89" w14:textId="36F281FE" w:rsidR="006F6440" w:rsidRDefault="006F6440">
      <w:pPr>
        <w:pStyle w:val="CommentText"/>
      </w:pPr>
      <w:r>
        <w:rPr>
          <w:rStyle w:val="CommentReference"/>
        </w:rPr>
        <w:annotationRef/>
      </w:r>
      <w:r>
        <w:t>Repetition</w:t>
      </w:r>
    </w:p>
  </w:comment>
  <w:comment w:id="10" w:author="hewlett packard" w:date="2026-03-22T14:53:00Z" w:initials="hp">
    <w:p w14:paraId="7863FB25" w14:textId="7969C43B" w:rsidR="000D5B8A" w:rsidRPr="000D5B8A" w:rsidRDefault="000D5B8A">
      <w:pPr>
        <w:pStyle w:val="CommentText"/>
      </w:pPr>
      <w:r>
        <w:rPr>
          <w:rStyle w:val="CommentReference"/>
        </w:rPr>
        <w:annotationRef/>
      </w:r>
      <w:r>
        <w:t>Reframe this line. It is not clear what you want to say. Corelating to S</w:t>
      </w:r>
      <w:r>
        <w:rPr>
          <w:vertAlign w:val="subscript"/>
        </w:rPr>
        <w:t xml:space="preserve">2 </w:t>
      </w:r>
      <w:r>
        <w:t xml:space="preserve">is incorrect. </w:t>
      </w:r>
    </w:p>
  </w:comment>
  <w:comment w:id="11" w:author="hewlett packard" w:date="2026-03-22T15:03:00Z" w:initials="hp">
    <w:p w14:paraId="6999F993" w14:textId="05DAEC13" w:rsidR="000D5B8A" w:rsidRDefault="000D5B8A">
      <w:pPr>
        <w:pStyle w:val="CommentText"/>
      </w:pPr>
      <w:r>
        <w:rPr>
          <w:rStyle w:val="CommentReference"/>
        </w:rPr>
        <w:annotationRef/>
      </w:r>
      <w:r>
        <w:t xml:space="preserve">Verma </w:t>
      </w:r>
    </w:p>
  </w:comment>
  <w:comment w:id="13" w:author="hewlett packard" w:date="2026-03-22T15:58:00Z" w:initials="hp">
    <w:p w14:paraId="744BC890" w14:textId="77777777" w:rsidR="00422C43" w:rsidRDefault="00422C43">
      <w:pPr>
        <w:pStyle w:val="CommentText"/>
      </w:pPr>
      <w:r>
        <w:rPr>
          <w:rStyle w:val="CommentReference"/>
        </w:rPr>
        <w:annotationRef/>
      </w:r>
      <w:r>
        <w:t>Could not find this reference in the text</w:t>
      </w:r>
    </w:p>
    <w:p w14:paraId="535E431A" w14:textId="2F5C54F9" w:rsidR="00422C43" w:rsidRDefault="00422C4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304DC" w15:done="0"/>
  <w15:commentEx w15:paraId="1D82FB65" w15:done="0"/>
  <w15:commentEx w15:paraId="6FF5833A" w15:paraIdParent="1D82FB65" w15:done="0"/>
  <w15:commentEx w15:paraId="6742AF00" w15:done="0"/>
  <w15:commentEx w15:paraId="095BE395" w15:done="0"/>
  <w15:commentEx w15:paraId="08E8BA47" w15:done="0"/>
  <w15:commentEx w15:paraId="66621803" w15:done="0"/>
  <w15:commentEx w15:paraId="0ED8BDA8" w15:done="0"/>
  <w15:commentEx w15:paraId="47A7E89C" w15:done="0"/>
  <w15:commentEx w15:paraId="2227CB89" w15:done="0"/>
  <w15:commentEx w15:paraId="7863FB25" w15:done="0"/>
  <w15:commentEx w15:paraId="6999F993" w15:done="0"/>
  <w15:commentEx w15:paraId="535E43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243806" w16cex:dateUtc="2026-03-22T07:38:00Z"/>
  <w16cex:commentExtensible w16cex:durableId="7551E9F8" w16cex:dateUtc="2026-03-22T10:02:00Z"/>
  <w16cex:commentExtensible w16cex:durableId="5C0D7C67" w16cex:dateUtc="2026-03-22T10:02:00Z"/>
  <w16cex:commentExtensible w16cex:durableId="209E5DDE" w16cex:dateUtc="2026-03-22T10:04:00Z"/>
  <w16cex:commentExtensible w16cex:durableId="7641AF5E" w16cex:dateUtc="2026-03-22T10:05:00Z"/>
  <w16cex:commentExtensible w16cex:durableId="2FD8769E" w16cex:dateUtc="2026-03-22T10:07:00Z"/>
  <w16cex:commentExtensible w16cex:durableId="0EA2C266" w16cex:dateUtc="2026-03-22T10:08:00Z"/>
  <w16cex:commentExtensible w16cex:durableId="22A04E1A" w16cex:dateUtc="2026-03-22T10:15:00Z"/>
  <w16cex:commentExtensible w16cex:durableId="7E3EDE5F" w16cex:dateUtc="2026-03-22T08:48:00Z"/>
  <w16cex:commentExtensible w16cex:durableId="1209AD2A" w16cex:dateUtc="2026-03-22T09:22:00Z"/>
  <w16cex:commentExtensible w16cex:durableId="26D4FD4B" w16cex:dateUtc="2026-03-22T09:23:00Z"/>
  <w16cex:commentExtensible w16cex:durableId="7A2861CA" w16cex:dateUtc="2026-03-22T09:33:00Z"/>
  <w16cex:commentExtensible w16cex:durableId="70F4A819" w16cex:dateUtc="2026-03-22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304DC" w16cid:durableId="23243806"/>
  <w16cid:commentId w16cid:paraId="1D82FB65" w16cid:durableId="7551E9F8"/>
  <w16cid:commentId w16cid:paraId="6FF5833A" w16cid:durableId="5C0D7C67"/>
  <w16cid:commentId w16cid:paraId="6742AF00" w16cid:durableId="209E5DDE"/>
  <w16cid:commentId w16cid:paraId="095BE395" w16cid:durableId="7641AF5E"/>
  <w16cid:commentId w16cid:paraId="08E8BA47" w16cid:durableId="2FD8769E"/>
  <w16cid:commentId w16cid:paraId="66621803" w16cid:durableId="0EA2C266"/>
  <w16cid:commentId w16cid:paraId="0ED8BDA8" w16cid:durableId="22A04E1A"/>
  <w16cid:commentId w16cid:paraId="47A7E89C" w16cid:durableId="7E3EDE5F"/>
  <w16cid:commentId w16cid:paraId="2227CB89" w16cid:durableId="1209AD2A"/>
  <w16cid:commentId w16cid:paraId="7863FB25" w16cid:durableId="26D4FD4B"/>
  <w16cid:commentId w16cid:paraId="6999F993" w16cid:durableId="7A2861CA"/>
  <w16cid:commentId w16cid:paraId="535E431A" w16cid:durableId="70F4A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D473" w14:textId="77777777" w:rsidR="00CD5990" w:rsidRDefault="00CD5990" w:rsidP="007311DD">
      <w:pPr>
        <w:spacing w:after="0" w:line="240" w:lineRule="auto"/>
      </w:pPr>
      <w:r>
        <w:separator/>
      </w:r>
    </w:p>
  </w:endnote>
  <w:endnote w:type="continuationSeparator" w:id="0">
    <w:p w14:paraId="6B02A4CF" w14:textId="77777777" w:rsidR="00CD5990" w:rsidRDefault="00CD5990" w:rsidP="0073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2589" w14:textId="77777777" w:rsidR="007311DD" w:rsidRDefault="0073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4CA4" w14:textId="77777777" w:rsidR="007311DD" w:rsidRDefault="0073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9137" w14:textId="77777777" w:rsidR="007311DD" w:rsidRDefault="0073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DE2A" w14:textId="77777777" w:rsidR="00CD5990" w:rsidRDefault="00CD5990" w:rsidP="007311DD">
      <w:pPr>
        <w:spacing w:after="0" w:line="240" w:lineRule="auto"/>
      </w:pPr>
      <w:r>
        <w:separator/>
      </w:r>
    </w:p>
  </w:footnote>
  <w:footnote w:type="continuationSeparator" w:id="0">
    <w:p w14:paraId="353E3E1C" w14:textId="77777777" w:rsidR="00CD5990" w:rsidRDefault="00CD5990" w:rsidP="00731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74D2" w14:textId="36234A47" w:rsidR="007311DD" w:rsidRDefault="00000000">
    <w:pPr>
      <w:pStyle w:val="Header"/>
    </w:pPr>
    <w:r>
      <w:rPr>
        <w:noProof/>
      </w:rPr>
      <w:pict w14:anchorId="62C4E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DFE9" w14:textId="38C7F0BE" w:rsidR="007311DD" w:rsidRDefault="00000000">
    <w:pPr>
      <w:pStyle w:val="Header"/>
    </w:pPr>
    <w:r>
      <w:rPr>
        <w:noProof/>
      </w:rPr>
      <w:pict w14:anchorId="7E345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BF1A" w14:textId="5D4C08E3" w:rsidR="007311DD" w:rsidRDefault="00000000">
    <w:pPr>
      <w:pStyle w:val="Header"/>
    </w:pPr>
    <w:r>
      <w:rPr>
        <w:noProof/>
      </w:rPr>
      <w:pict w14:anchorId="2B1B9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7FF"/>
    <w:multiLevelType w:val="hybridMultilevel"/>
    <w:tmpl w:val="9822D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9422FF"/>
    <w:multiLevelType w:val="hybridMultilevel"/>
    <w:tmpl w:val="7F9AD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70FA2"/>
    <w:multiLevelType w:val="hybridMultilevel"/>
    <w:tmpl w:val="F64A14F0"/>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 w15:restartNumberingAfterBreak="0">
    <w:nsid w:val="4A154295"/>
    <w:multiLevelType w:val="hybridMultilevel"/>
    <w:tmpl w:val="9ADC82A0"/>
    <w:lvl w:ilvl="0" w:tplc="785CE42A">
      <w:start w:val="3"/>
      <w:numFmt w:val="decimal"/>
      <w:lvlText w:val="%1."/>
      <w:lvlJc w:val="left"/>
      <w:pPr>
        <w:ind w:left="698" w:hanging="360"/>
      </w:pPr>
      <w:rPr>
        <w:rFonts w:hint="default"/>
      </w:rPr>
    </w:lvl>
    <w:lvl w:ilvl="1" w:tplc="40090019" w:tentative="1">
      <w:start w:val="1"/>
      <w:numFmt w:val="lowerLetter"/>
      <w:lvlText w:val="%2."/>
      <w:lvlJc w:val="left"/>
      <w:pPr>
        <w:ind w:left="1418" w:hanging="360"/>
      </w:pPr>
    </w:lvl>
    <w:lvl w:ilvl="2" w:tplc="4009001B" w:tentative="1">
      <w:start w:val="1"/>
      <w:numFmt w:val="lowerRoman"/>
      <w:lvlText w:val="%3."/>
      <w:lvlJc w:val="right"/>
      <w:pPr>
        <w:ind w:left="2138" w:hanging="180"/>
      </w:pPr>
    </w:lvl>
    <w:lvl w:ilvl="3" w:tplc="4009000F" w:tentative="1">
      <w:start w:val="1"/>
      <w:numFmt w:val="decimal"/>
      <w:lvlText w:val="%4."/>
      <w:lvlJc w:val="left"/>
      <w:pPr>
        <w:ind w:left="2858" w:hanging="360"/>
      </w:pPr>
    </w:lvl>
    <w:lvl w:ilvl="4" w:tplc="40090019" w:tentative="1">
      <w:start w:val="1"/>
      <w:numFmt w:val="lowerLetter"/>
      <w:lvlText w:val="%5."/>
      <w:lvlJc w:val="left"/>
      <w:pPr>
        <w:ind w:left="3578" w:hanging="360"/>
      </w:pPr>
    </w:lvl>
    <w:lvl w:ilvl="5" w:tplc="4009001B" w:tentative="1">
      <w:start w:val="1"/>
      <w:numFmt w:val="lowerRoman"/>
      <w:lvlText w:val="%6."/>
      <w:lvlJc w:val="right"/>
      <w:pPr>
        <w:ind w:left="4298" w:hanging="180"/>
      </w:pPr>
    </w:lvl>
    <w:lvl w:ilvl="6" w:tplc="4009000F" w:tentative="1">
      <w:start w:val="1"/>
      <w:numFmt w:val="decimal"/>
      <w:lvlText w:val="%7."/>
      <w:lvlJc w:val="left"/>
      <w:pPr>
        <w:ind w:left="5018" w:hanging="360"/>
      </w:pPr>
    </w:lvl>
    <w:lvl w:ilvl="7" w:tplc="40090019" w:tentative="1">
      <w:start w:val="1"/>
      <w:numFmt w:val="lowerLetter"/>
      <w:lvlText w:val="%8."/>
      <w:lvlJc w:val="left"/>
      <w:pPr>
        <w:ind w:left="5738" w:hanging="360"/>
      </w:pPr>
    </w:lvl>
    <w:lvl w:ilvl="8" w:tplc="4009001B" w:tentative="1">
      <w:start w:val="1"/>
      <w:numFmt w:val="lowerRoman"/>
      <w:lvlText w:val="%9."/>
      <w:lvlJc w:val="right"/>
      <w:pPr>
        <w:ind w:left="6458" w:hanging="180"/>
      </w:pPr>
    </w:lvl>
  </w:abstractNum>
  <w:abstractNum w:abstractNumId="4" w15:restartNumberingAfterBreak="0">
    <w:nsid w:val="604636BB"/>
    <w:multiLevelType w:val="hybridMultilevel"/>
    <w:tmpl w:val="67B6181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6A16D1"/>
    <w:multiLevelType w:val="multilevel"/>
    <w:tmpl w:val="265C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719675">
    <w:abstractNumId w:val="1"/>
  </w:num>
  <w:num w:numId="2" w16cid:durableId="918247305">
    <w:abstractNumId w:val="2"/>
  </w:num>
  <w:num w:numId="3" w16cid:durableId="1320772992">
    <w:abstractNumId w:val="3"/>
  </w:num>
  <w:num w:numId="4" w16cid:durableId="1595283916">
    <w:abstractNumId w:val="4"/>
  </w:num>
  <w:num w:numId="5" w16cid:durableId="1837959025">
    <w:abstractNumId w:val="0"/>
  </w:num>
  <w:num w:numId="6" w16cid:durableId="10219320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wlett packard">
    <w15:presenceInfo w15:providerId="None" w15:userId="hewlett pack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2MDQ3MjExNjC3NLdQ0lEKTi0uzszPAykwrAUAF/EIUiwAAAA="/>
  </w:docVars>
  <w:rsids>
    <w:rsidRoot w:val="00C46851"/>
    <w:rsid w:val="00002BD9"/>
    <w:rsid w:val="00006E46"/>
    <w:rsid w:val="00025013"/>
    <w:rsid w:val="00031ACC"/>
    <w:rsid w:val="00041E96"/>
    <w:rsid w:val="00042904"/>
    <w:rsid w:val="00052FF6"/>
    <w:rsid w:val="00057B65"/>
    <w:rsid w:val="0008144C"/>
    <w:rsid w:val="00091A58"/>
    <w:rsid w:val="000927EF"/>
    <w:rsid w:val="000B22B8"/>
    <w:rsid w:val="000B2C53"/>
    <w:rsid w:val="000B782E"/>
    <w:rsid w:val="000C36AC"/>
    <w:rsid w:val="000C59DA"/>
    <w:rsid w:val="000D5B8A"/>
    <w:rsid w:val="000E2BEB"/>
    <w:rsid w:val="000E5741"/>
    <w:rsid w:val="000F50F6"/>
    <w:rsid w:val="00103E17"/>
    <w:rsid w:val="0010604B"/>
    <w:rsid w:val="00124BB9"/>
    <w:rsid w:val="00134B1D"/>
    <w:rsid w:val="00135960"/>
    <w:rsid w:val="00147BE6"/>
    <w:rsid w:val="00160BE3"/>
    <w:rsid w:val="0017504C"/>
    <w:rsid w:val="0017749C"/>
    <w:rsid w:val="001921DE"/>
    <w:rsid w:val="001C392C"/>
    <w:rsid w:val="001C54B4"/>
    <w:rsid w:val="001D21C5"/>
    <w:rsid w:val="001D3995"/>
    <w:rsid w:val="001D6226"/>
    <w:rsid w:val="001D7BF6"/>
    <w:rsid w:val="001E3F49"/>
    <w:rsid w:val="001F11CB"/>
    <w:rsid w:val="001F2E77"/>
    <w:rsid w:val="001F3882"/>
    <w:rsid w:val="001F78CA"/>
    <w:rsid w:val="00206620"/>
    <w:rsid w:val="00207976"/>
    <w:rsid w:val="00234E9E"/>
    <w:rsid w:val="00240642"/>
    <w:rsid w:val="00266009"/>
    <w:rsid w:val="002663B6"/>
    <w:rsid w:val="00267F98"/>
    <w:rsid w:val="00273BAF"/>
    <w:rsid w:val="00292D73"/>
    <w:rsid w:val="0029397E"/>
    <w:rsid w:val="0029741D"/>
    <w:rsid w:val="002A3B31"/>
    <w:rsid w:val="002A3E83"/>
    <w:rsid w:val="002A7D99"/>
    <w:rsid w:val="002C7D77"/>
    <w:rsid w:val="002D2728"/>
    <w:rsid w:val="002D36E9"/>
    <w:rsid w:val="002D3850"/>
    <w:rsid w:val="002E26B7"/>
    <w:rsid w:val="002F0D27"/>
    <w:rsid w:val="0031583D"/>
    <w:rsid w:val="00322DA7"/>
    <w:rsid w:val="0035399D"/>
    <w:rsid w:val="00361C63"/>
    <w:rsid w:val="00365F04"/>
    <w:rsid w:val="003727C5"/>
    <w:rsid w:val="00373DA2"/>
    <w:rsid w:val="00375C92"/>
    <w:rsid w:val="003B19A3"/>
    <w:rsid w:val="003B251F"/>
    <w:rsid w:val="003B3870"/>
    <w:rsid w:val="003B5805"/>
    <w:rsid w:val="003D20B6"/>
    <w:rsid w:val="003D7C0B"/>
    <w:rsid w:val="003E71BA"/>
    <w:rsid w:val="00400333"/>
    <w:rsid w:val="00410E7B"/>
    <w:rsid w:val="00420CE2"/>
    <w:rsid w:val="00422C43"/>
    <w:rsid w:val="00434C12"/>
    <w:rsid w:val="00441300"/>
    <w:rsid w:val="00442B78"/>
    <w:rsid w:val="0045644A"/>
    <w:rsid w:val="004622AC"/>
    <w:rsid w:val="0046385B"/>
    <w:rsid w:val="00466A09"/>
    <w:rsid w:val="004743AF"/>
    <w:rsid w:val="00481FD6"/>
    <w:rsid w:val="0048637C"/>
    <w:rsid w:val="00486975"/>
    <w:rsid w:val="0049289A"/>
    <w:rsid w:val="0049428B"/>
    <w:rsid w:val="004A7F1C"/>
    <w:rsid w:val="004B142F"/>
    <w:rsid w:val="004C6819"/>
    <w:rsid w:val="004D314F"/>
    <w:rsid w:val="004D51ED"/>
    <w:rsid w:val="004E1C9D"/>
    <w:rsid w:val="004F171D"/>
    <w:rsid w:val="00505F64"/>
    <w:rsid w:val="00517F3B"/>
    <w:rsid w:val="00525558"/>
    <w:rsid w:val="00560FF8"/>
    <w:rsid w:val="00573EFD"/>
    <w:rsid w:val="00575BBF"/>
    <w:rsid w:val="005871E7"/>
    <w:rsid w:val="00596D45"/>
    <w:rsid w:val="005975C2"/>
    <w:rsid w:val="005A24C8"/>
    <w:rsid w:val="005A2D1A"/>
    <w:rsid w:val="005B0F38"/>
    <w:rsid w:val="005B3DC7"/>
    <w:rsid w:val="005B540B"/>
    <w:rsid w:val="005F2C38"/>
    <w:rsid w:val="005F69C2"/>
    <w:rsid w:val="00634E1C"/>
    <w:rsid w:val="00635E5B"/>
    <w:rsid w:val="00641FA5"/>
    <w:rsid w:val="006453B1"/>
    <w:rsid w:val="00646BCC"/>
    <w:rsid w:val="006525D9"/>
    <w:rsid w:val="00653D62"/>
    <w:rsid w:val="006606D2"/>
    <w:rsid w:val="0068244A"/>
    <w:rsid w:val="00694F26"/>
    <w:rsid w:val="006A48F6"/>
    <w:rsid w:val="006A747C"/>
    <w:rsid w:val="006B21CD"/>
    <w:rsid w:val="006C01DA"/>
    <w:rsid w:val="006D185E"/>
    <w:rsid w:val="006D2E5A"/>
    <w:rsid w:val="006E2993"/>
    <w:rsid w:val="006F6440"/>
    <w:rsid w:val="006F69C2"/>
    <w:rsid w:val="0070671C"/>
    <w:rsid w:val="00711167"/>
    <w:rsid w:val="00727321"/>
    <w:rsid w:val="007311DD"/>
    <w:rsid w:val="00734A16"/>
    <w:rsid w:val="007435CF"/>
    <w:rsid w:val="00747B3E"/>
    <w:rsid w:val="00794FB9"/>
    <w:rsid w:val="00795417"/>
    <w:rsid w:val="00797FFE"/>
    <w:rsid w:val="007A2732"/>
    <w:rsid w:val="007B2692"/>
    <w:rsid w:val="007B6CA0"/>
    <w:rsid w:val="007E702E"/>
    <w:rsid w:val="007F39F5"/>
    <w:rsid w:val="008137F4"/>
    <w:rsid w:val="00824D13"/>
    <w:rsid w:val="008321AD"/>
    <w:rsid w:val="00847A82"/>
    <w:rsid w:val="00856235"/>
    <w:rsid w:val="00865F82"/>
    <w:rsid w:val="00874B63"/>
    <w:rsid w:val="0087574A"/>
    <w:rsid w:val="008C4C2F"/>
    <w:rsid w:val="008E1A86"/>
    <w:rsid w:val="008F2EE9"/>
    <w:rsid w:val="00905CF7"/>
    <w:rsid w:val="009135B3"/>
    <w:rsid w:val="009207A8"/>
    <w:rsid w:val="00936FC0"/>
    <w:rsid w:val="00940431"/>
    <w:rsid w:val="00941B87"/>
    <w:rsid w:val="00942151"/>
    <w:rsid w:val="00945919"/>
    <w:rsid w:val="009529B1"/>
    <w:rsid w:val="00962983"/>
    <w:rsid w:val="00963806"/>
    <w:rsid w:val="00964771"/>
    <w:rsid w:val="009674BE"/>
    <w:rsid w:val="00975A6C"/>
    <w:rsid w:val="009766FF"/>
    <w:rsid w:val="00977E88"/>
    <w:rsid w:val="00985A38"/>
    <w:rsid w:val="00986320"/>
    <w:rsid w:val="009874E6"/>
    <w:rsid w:val="00991E4C"/>
    <w:rsid w:val="009C21FA"/>
    <w:rsid w:val="009D134E"/>
    <w:rsid w:val="009E3798"/>
    <w:rsid w:val="009F477B"/>
    <w:rsid w:val="00A05AB8"/>
    <w:rsid w:val="00A06690"/>
    <w:rsid w:val="00A21143"/>
    <w:rsid w:val="00A44F9F"/>
    <w:rsid w:val="00A46CFD"/>
    <w:rsid w:val="00A5674C"/>
    <w:rsid w:val="00A67501"/>
    <w:rsid w:val="00A76B67"/>
    <w:rsid w:val="00A84B8C"/>
    <w:rsid w:val="00A926D6"/>
    <w:rsid w:val="00A95B11"/>
    <w:rsid w:val="00AA2AF2"/>
    <w:rsid w:val="00AC06AD"/>
    <w:rsid w:val="00AF5C13"/>
    <w:rsid w:val="00AF642B"/>
    <w:rsid w:val="00B07072"/>
    <w:rsid w:val="00B077D7"/>
    <w:rsid w:val="00B122D5"/>
    <w:rsid w:val="00B124C7"/>
    <w:rsid w:val="00B16C83"/>
    <w:rsid w:val="00B23F90"/>
    <w:rsid w:val="00B30079"/>
    <w:rsid w:val="00B43F58"/>
    <w:rsid w:val="00B941D2"/>
    <w:rsid w:val="00B9451F"/>
    <w:rsid w:val="00B96B05"/>
    <w:rsid w:val="00B97922"/>
    <w:rsid w:val="00BA0D60"/>
    <w:rsid w:val="00BA49F0"/>
    <w:rsid w:val="00BA5B4D"/>
    <w:rsid w:val="00BB5796"/>
    <w:rsid w:val="00BE1FDD"/>
    <w:rsid w:val="00C12DBD"/>
    <w:rsid w:val="00C20047"/>
    <w:rsid w:val="00C33051"/>
    <w:rsid w:val="00C4517E"/>
    <w:rsid w:val="00C46851"/>
    <w:rsid w:val="00C6736D"/>
    <w:rsid w:val="00C679B6"/>
    <w:rsid w:val="00C832F4"/>
    <w:rsid w:val="00C84509"/>
    <w:rsid w:val="00C92E51"/>
    <w:rsid w:val="00C93D36"/>
    <w:rsid w:val="00C9410B"/>
    <w:rsid w:val="00C96529"/>
    <w:rsid w:val="00CB0F36"/>
    <w:rsid w:val="00CB299F"/>
    <w:rsid w:val="00CC018F"/>
    <w:rsid w:val="00CD47BD"/>
    <w:rsid w:val="00CD5990"/>
    <w:rsid w:val="00CF25E6"/>
    <w:rsid w:val="00D0049F"/>
    <w:rsid w:val="00D22E05"/>
    <w:rsid w:val="00D25BBF"/>
    <w:rsid w:val="00D40400"/>
    <w:rsid w:val="00D5051F"/>
    <w:rsid w:val="00D5116D"/>
    <w:rsid w:val="00D51B5D"/>
    <w:rsid w:val="00D62183"/>
    <w:rsid w:val="00D771B0"/>
    <w:rsid w:val="00D817E1"/>
    <w:rsid w:val="00D85EAE"/>
    <w:rsid w:val="00DA5208"/>
    <w:rsid w:val="00DA57B8"/>
    <w:rsid w:val="00DA62C2"/>
    <w:rsid w:val="00DB4D68"/>
    <w:rsid w:val="00DD1129"/>
    <w:rsid w:val="00DD3325"/>
    <w:rsid w:val="00DD771A"/>
    <w:rsid w:val="00DE1DFE"/>
    <w:rsid w:val="00DE3205"/>
    <w:rsid w:val="00DF1EC1"/>
    <w:rsid w:val="00E20884"/>
    <w:rsid w:val="00E311CD"/>
    <w:rsid w:val="00E349AC"/>
    <w:rsid w:val="00E554FA"/>
    <w:rsid w:val="00E60876"/>
    <w:rsid w:val="00E60E06"/>
    <w:rsid w:val="00E64AF3"/>
    <w:rsid w:val="00E71D3C"/>
    <w:rsid w:val="00E744F9"/>
    <w:rsid w:val="00E74829"/>
    <w:rsid w:val="00E77689"/>
    <w:rsid w:val="00EB05B9"/>
    <w:rsid w:val="00ED50D6"/>
    <w:rsid w:val="00EE688D"/>
    <w:rsid w:val="00EF4C98"/>
    <w:rsid w:val="00F13947"/>
    <w:rsid w:val="00F21A0F"/>
    <w:rsid w:val="00F23963"/>
    <w:rsid w:val="00F30479"/>
    <w:rsid w:val="00F30ECA"/>
    <w:rsid w:val="00F61404"/>
    <w:rsid w:val="00F64446"/>
    <w:rsid w:val="00F7450F"/>
    <w:rsid w:val="00F84DBD"/>
    <w:rsid w:val="00F8572E"/>
    <w:rsid w:val="00F94B43"/>
    <w:rsid w:val="00FB5480"/>
    <w:rsid w:val="00FC0BF0"/>
    <w:rsid w:val="00FC59C3"/>
    <w:rsid w:val="00FE1F68"/>
    <w:rsid w:val="00FF6C5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375F6"/>
  <w15:docId w15:val="{CB7B6330-6C78-4771-8733-AC7010E2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51"/>
    <w:pPr>
      <w:spacing w:after="200" w:line="276"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59D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3B251F"/>
    <w:pPr>
      <w:ind w:left="720"/>
    </w:pPr>
  </w:style>
  <w:style w:type="character" w:customStyle="1" w:styleId="FontStyle11">
    <w:name w:val="Font Style11"/>
    <w:uiPriority w:val="99"/>
    <w:rsid w:val="00DF1EC1"/>
    <w:rPr>
      <w:rFonts w:ascii="Arial Unicode MS" w:eastAsia="Arial Unicode MS" w:cs="Arial Unicode MS"/>
      <w:sz w:val="16"/>
      <w:szCs w:val="16"/>
    </w:rPr>
  </w:style>
  <w:style w:type="paragraph" w:customStyle="1" w:styleId="Style2">
    <w:name w:val="Style2"/>
    <w:basedOn w:val="Normal"/>
    <w:uiPriority w:val="99"/>
    <w:rsid w:val="00963806"/>
    <w:pPr>
      <w:widowControl w:val="0"/>
      <w:autoSpaceDE w:val="0"/>
      <w:autoSpaceDN w:val="0"/>
      <w:adjustRightInd w:val="0"/>
      <w:spacing w:after="0" w:line="308" w:lineRule="exact"/>
      <w:ind w:firstLine="1077"/>
      <w:jc w:val="both"/>
    </w:pPr>
    <w:rPr>
      <w:rFonts w:ascii="Arial Unicode MS" w:eastAsia="Arial Unicode MS" w:cs="Arial Unicode MS"/>
      <w:sz w:val="24"/>
      <w:szCs w:val="24"/>
    </w:rPr>
  </w:style>
  <w:style w:type="character" w:customStyle="1" w:styleId="FontStyle12">
    <w:name w:val="Font Style12"/>
    <w:uiPriority w:val="99"/>
    <w:rsid w:val="00963806"/>
    <w:rPr>
      <w:rFonts w:ascii="Arial Narrow" w:hAnsi="Arial Narrow" w:cs="Arial Narrow"/>
      <w:i/>
      <w:iCs/>
      <w:sz w:val="18"/>
      <w:szCs w:val="18"/>
    </w:rPr>
  </w:style>
  <w:style w:type="paragraph" w:customStyle="1" w:styleId="Style5">
    <w:name w:val="Style5"/>
    <w:basedOn w:val="Normal"/>
    <w:uiPriority w:val="99"/>
    <w:rsid w:val="00963806"/>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apple-converted-space">
    <w:name w:val="apple-converted-space"/>
    <w:basedOn w:val="DefaultParagraphFont"/>
    <w:rsid w:val="00936FC0"/>
  </w:style>
  <w:style w:type="paragraph" w:styleId="NormalWeb">
    <w:name w:val="Normal (Web)"/>
    <w:basedOn w:val="Normal"/>
    <w:uiPriority w:val="99"/>
    <w:semiHidden/>
    <w:unhideWhenUsed/>
    <w:rsid w:val="007A2732"/>
    <w:rPr>
      <w:rFonts w:ascii="Times New Roman" w:hAnsi="Times New Roman" w:cs="Times New Roman"/>
      <w:sz w:val="24"/>
      <w:szCs w:val="24"/>
    </w:rPr>
  </w:style>
  <w:style w:type="character" w:styleId="Emphasis">
    <w:name w:val="Emphasis"/>
    <w:basedOn w:val="DefaultParagraphFont"/>
    <w:uiPriority w:val="20"/>
    <w:qFormat/>
    <w:rsid w:val="00E311CD"/>
    <w:rPr>
      <w:i/>
      <w:iCs/>
    </w:rPr>
  </w:style>
  <w:style w:type="character" w:styleId="Strong">
    <w:name w:val="Strong"/>
    <w:basedOn w:val="DefaultParagraphFont"/>
    <w:uiPriority w:val="22"/>
    <w:qFormat/>
    <w:rsid w:val="00E311CD"/>
    <w:rPr>
      <w:b/>
      <w:bCs/>
    </w:rPr>
  </w:style>
  <w:style w:type="character" w:customStyle="1" w:styleId="sr-only">
    <w:name w:val="sr-only"/>
    <w:basedOn w:val="DefaultParagraphFont"/>
    <w:rsid w:val="00267F98"/>
  </w:style>
  <w:style w:type="table" w:customStyle="1" w:styleId="TableGrid1">
    <w:name w:val="Table Grid1"/>
    <w:basedOn w:val="TableNormal"/>
    <w:next w:val="TableGrid"/>
    <w:uiPriority w:val="39"/>
    <w:rsid w:val="00A5674C"/>
    <w:pPr>
      <w:spacing w:after="0" w:line="240" w:lineRule="auto"/>
    </w:pPr>
    <w:rPr>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5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66FF"/>
    <w:pPr>
      <w:spacing w:after="0" w:line="240" w:lineRule="auto"/>
    </w:pPr>
    <w:rPr>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F30ECA"/>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F30ECA"/>
    <w:rPr>
      <w:rFonts w:ascii="Arial MT" w:eastAsia="Arial MT" w:hAnsi="Arial MT" w:cs="Arial MT"/>
      <w:kern w:val="0"/>
      <w:sz w:val="24"/>
      <w:szCs w:val="24"/>
      <w:lang w:val="en-US"/>
      <w14:ligatures w14:val="none"/>
    </w:rPr>
  </w:style>
  <w:style w:type="character" w:styleId="Hyperlink">
    <w:name w:val="Hyperlink"/>
    <w:basedOn w:val="DefaultParagraphFont"/>
    <w:uiPriority w:val="99"/>
    <w:unhideWhenUsed/>
    <w:rsid w:val="00147BE6"/>
    <w:rPr>
      <w:color w:val="0563C1" w:themeColor="hyperlink"/>
      <w:u w:val="single"/>
    </w:rPr>
  </w:style>
  <w:style w:type="character" w:customStyle="1" w:styleId="UnresolvedMention1">
    <w:name w:val="Unresolved Mention1"/>
    <w:basedOn w:val="DefaultParagraphFont"/>
    <w:uiPriority w:val="99"/>
    <w:semiHidden/>
    <w:unhideWhenUsed/>
    <w:rsid w:val="00147BE6"/>
    <w:rPr>
      <w:color w:val="605E5C"/>
      <w:shd w:val="clear" w:color="auto" w:fill="E1DFDD"/>
    </w:rPr>
  </w:style>
  <w:style w:type="paragraph" w:styleId="Header">
    <w:name w:val="header"/>
    <w:basedOn w:val="Normal"/>
    <w:link w:val="HeaderChar"/>
    <w:uiPriority w:val="99"/>
    <w:unhideWhenUsed/>
    <w:rsid w:val="0073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1DD"/>
    <w:rPr>
      <w:rFonts w:ascii="Calibri" w:eastAsia="Calibri" w:hAnsi="Calibri" w:cs="Calibri"/>
      <w:kern w:val="0"/>
      <w:lang w:val="en-US"/>
      <w14:ligatures w14:val="none"/>
    </w:rPr>
  </w:style>
  <w:style w:type="paragraph" w:styleId="Footer">
    <w:name w:val="footer"/>
    <w:basedOn w:val="Normal"/>
    <w:link w:val="FooterChar"/>
    <w:uiPriority w:val="99"/>
    <w:unhideWhenUsed/>
    <w:rsid w:val="0073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1DD"/>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46385B"/>
    <w:rPr>
      <w:sz w:val="16"/>
      <w:szCs w:val="16"/>
    </w:rPr>
  </w:style>
  <w:style w:type="paragraph" w:styleId="CommentText">
    <w:name w:val="annotation text"/>
    <w:basedOn w:val="Normal"/>
    <w:link w:val="CommentTextChar"/>
    <w:uiPriority w:val="99"/>
    <w:semiHidden/>
    <w:unhideWhenUsed/>
    <w:rsid w:val="0046385B"/>
    <w:pPr>
      <w:spacing w:line="240" w:lineRule="auto"/>
    </w:pPr>
    <w:rPr>
      <w:sz w:val="20"/>
      <w:szCs w:val="20"/>
    </w:rPr>
  </w:style>
  <w:style w:type="character" w:customStyle="1" w:styleId="CommentTextChar">
    <w:name w:val="Comment Text Char"/>
    <w:basedOn w:val="DefaultParagraphFont"/>
    <w:link w:val="CommentText"/>
    <w:uiPriority w:val="99"/>
    <w:semiHidden/>
    <w:rsid w:val="0046385B"/>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385B"/>
    <w:rPr>
      <w:b/>
      <w:bCs/>
    </w:rPr>
  </w:style>
  <w:style w:type="character" w:customStyle="1" w:styleId="CommentSubjectChar">
    <w:name w:val="Comment Subject Char"/>
    <w:basedOn w:val="CommentTextChar"/>
    <w:link w:val="CommentSubject"/>
    <w:uiPriority w:val="99"/>
    <w:semiHidden/>
    <w:rsid w:val="0046385B"/>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2375">
      <w:bodyDiv w:val="1"/>
      <w:marLeft w:val="0"/>
      <w:marRight w:val="0"/>
      <w:marTop w:val="0"/>
      <w:marBottom w:val="0"/>
      <w:divBdr>
        <w:top w:val="none" w:sz="0" w:space="0" w:color="auto"/>
        <w:left w:val="none" w:sz="0" w:space="0" w:color="auto"/>
        <w:bottom w:val="none" w:sz="0" w:space="0" w:color="auto"/>
        <w:right w:val="none" w:sz="0" w:space="0" w:color="auto"/>
      </w:divBdr>
    </w:div>
    <w:div w:id="166478874">
      <w:bodyDiv w:val="1"/>
      <w:marLeft w:val="0"/>
      <w:marRight w:val="0"/>
      <w:marTop w:val="0"/>
      <w:marBottom w:val="0"/>
      <w:divBdr>
        <w:top w:val="none" w:sz="0" w:space="0" w:color="auto"/>
        <w:left w:val="none" w:sz="0" w:space="0" w:color="auto"/>
        <w:bottom w:val="none" w:sz="0" w:space="0" w:color="auto"/>
        <w:right w:val="none" w:sz="0" w:space="0" w:color="auto"/>
      </w:divBdr>
      <w:divsChild>
        <w:div w:id="1123497801">
          <w:marLeft w:val="0"/>
          <w:marRight w:val="0"/>
          <w:marTop w:val="0"/>
          <w:marBottom w:val="0"/>
          <w:divBdr>
            <w:top w:val="none" w:sz="0" w:space="0" w:color="auto"/>
            <w:left w:val="none" w:sz="0" w:space="0" w:color="auto"/>
            <w:bottom w:val="none" w:sz="0" w:space="0" w:color="auto"/>
            <w:right w:val="none" w:sz="0" w:space="0" w:color="auto"/>
          </w:divBdr>
          <w:divsChild>
            <w:div w:id="258026541">
              <w:marLeft w:val="0"/>
              <w:marRight w:val="0"/>
              <w:marTop w:val="0"/>
              <w:marBottom w:val="0"/>
              <w:divBdr>
                <w:top w:val="none" w:sz="0" w:space="0" w:color="auto"/>
                <w:left w:val="none" w:sz="0" w:space="0" w:color="auto"/>
                <w:bottom w:val="none" w:sz="0" w:space="0" w:color="auto"/>
                <w:right w:val="none" w:sz="0" w:space="0" w:color="auto"/>
              </w:divBdr>
              <w:divsChild>
                <w:div w:id="352417959">
                  <w:marLeft w:val="0"/>
                  <w:marRight w:val="0"/>
                  <w:marTop w:val="0"/>
                  <w:marBottom w:val="0"/>
                  <w:divBdr>
                    <w:top w:val="none" w:sz="0" w:space="0" w:color="auto"/>
                    <w:left w:val="none" w:sz="0" w:space="0" w:color="auto"/>
                    <w:bottom w:val="none" w:sz="0" w:space="0" w:color="auto"/>
                    <w:right w:val="none" w:sz="0" w:space="0" w:color="auto"/>
                  </w:divBdr>
                  <w:divsChild>
                    <w:div w:id="2009676694">
                      <w:marLeft w:val="0"/>
                      <w:marRight w:val="0"/>
                      <w:marTop w:val="0"/>
                      <w:marBottom w:val="0"/>
                      <w:divBdr>
                        <w:top w:val="none" w:sz="0" w:space="0" w:color="auto"/>
                        <w:left w:val="none" w:sz="0" w:space="0" w:color="auto"/>
                        <w:bottom w:val="none" w:sz="0" w:space="0" w:color="auto"/>
                        <w:right w:val="none" w:sz="0" w:space="0" w:color="auto"/>
                      </w:divBdr>
                      <w:divsChild>
                        <w:div w:id="914902561">
                          <w:marLeft w:val="0"/>
                          <w:marRight w:val="0"/>
                          <w:marTop w:val="0"/>
                          <w:marBottom w:val="0"/>
                          <w:divBdr>
                            <w:top w:val="none" w:sz="0" w:space="0" w:color="auto"/>
                            <w:left w:val="none" w:sz="0" w:space="0" w:color="auto"/>
                            <w:bottom w:val="none" w:sz="0" w:space="0" w:color="auto"/>
                            <w:right w:val="none" w:sz="0" w:space="0" w:color="auto"/>
                          </w:divBdr>
                          <w:divsChild>
                            <w:div w:id="13482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773">
                  <w:marLeft w:val="0"/>
                  <w:marRight w:val="0"/>
                  <w:marTop w:val="0"/>
                  <w:marBottom w:val="0"/>
                  <w:divBdr>
                    <w:top w:val="none" w:sz="0" w:space="0" w:color="auto"/>
                    <w:left w:val="none" w:sz="0" w:space="0" w:color="auto"/>
                    <w:bottom w:val="none" w:sz="0" w:space="0" w:color="auto"/>
                    <w:right w:val="none" w:sz="0" w:space="0" w:color="auto"/>
                  </w:divBdr>
                  <w:divsChild>
                    <w:div w:id="14625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91644">
      <w:bodyDiv w:val="1"/>
      <w:marLeft w:val="0"/>
      <w:marRight w:val="0"/>
      <w:marTop w:val="0"/>
      <w:marBottom w:val="0"/>
      <w:divBdr>
        <w:top w:val="none" w:sz="0" w:space="0" w:color="auto"/>
        <w:left w:val="none" w:sz="0" w:space="0" w:color="auto"/>
        <w:bottom w:val="none" w:sz="0" w:space="0" w:color="auto"/>
        <w:right w:val="none" w:sz="0" w:space="0" w:color="auto"/>
      </w:divBdr>
    </w:div>
    <w:div w:id="593822669">
      <w:bodyDiv w:val="1"/>
      <w:marLeft w:val="0"/>
      <w:marRight w:val="0"/>
      <w:marTop w:val="0"/>
      <w:marBottom w:val="0"/>
      <w:divBdr>
        <w:top w:val="none" w:sz="0" w:space="0" w:color="auto"/>
        <w:left w:val="none" w:sz="0" w:space="0" w:color="auto"/>
        <w:bottom w:val="none" w:sz="0" w:space="0" w:color="auto"/>
        <w:right w:val="none" w:sz="0" w:space="0" w:color="auto"/>
      </w:divBdr>
    </w:div>
    <w:div w:id="596183199">
      <w:bodyDiv w:val="1"/>
      <w:marLeft w:val="0"/>
      <w:marRight w:val="0"/>
      <w:marTop w:val="0"/>
      <w:marBottom w:val="0"/>
      <w:divBdr>
        <w:top w:val="none" w:sz="0" w:space="0" w:color="auto"/>
        <w:left w:val="none" w:sz="0" w:space="0" w:color="auto"/>
        <w:bottom w:val="none" w:sz="0" w:space="0" w:color="auto"/>
        <w:right w:val="none" w:sz="0" w:space="0" w:color="auto"/>
      </w:divBdr>
      <w:divsChild>
        <w:div w:id="1506478367">
          <w:marLeft w:val="0"/>
          <w:marRight w:val="0"/>
          <w:marTop w:val="0"/>
          <w:marBottom w:val="0"/>
          <w:divBdr>
            <w:top w:val="none" w:sz="0" w:space="0" w:color="auto"/>
            <w:left w:val="none" w:sz="0" w:space="0" w:color="auto"/>
            <w:bottom w:val="none" w:sz="0" w:space="0" w:color="auto"/>
            <w:right w:val="none" w:sz="0" w:space="0" w:color="auto"/>
          </w:divBdr>
          <w:divsChild>
            <w:div w:id="1877035913">
              <w:marLeft w:val="0"/>
              <w:marRight w:val="0"/>
              <w:marTop w:val="0"/>
              <w:marBottom w:val="0"/>
              <w:divBdr>
                <w:top w:val="none" w:sz="0" w:space="0" w:color="auto"/>
                <w:left w:val="none" w:sz="0" w:space="0" w:color="auto"/>
                <w:bottom w:val="none" w:sz="0" w:space="0" w:color="auto"/>
                <w:right w:val="none" w:sz="0" w:space="0" w:color="auto"/>
              </w:divBdr>
              <w:divsChild>
                <w:div w:id="392393122">
                  <w:marLeft w:val="0"/>
                  <w:marRight w:val="0"/>
                  <w:marTop w:val="0"/>
                  <w:marBottom w:val="0"/>
                  <w:divBdr>
                    <w:top w:val="none" w:sz="0" w:space="0" w:color="auto"/>
                    <w:left w:val="none" w:sz="0" w:space="0" w:color="auto"/>
                    <w:bottom w:val="none" w:sz="0" w:space="0" w:color="auto"/>
                    <w:right w:val="none" w:sz="0" w:space="0" w:color="auto"/>
                  </w:divBdr>
                  <w:divsChild>
                    <w:div w:id="5130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0368">
          <w:marLeft w:val="0"/>
          <w:marRight w:val="0"/>
          <w:marTop w:val="0"/>
          <w:marBottom w:val="0"/>
          <w:divBdr>
            <w:top w:val="none" w:sz="0" w:space="0" w:color="auto"/>
            <w:left w:val="none" w:sz="0" w:space="0" w:color="auto"/>
            <w:bottom w:val="none" w:sz="0" w:space="0" w:color="auto"/>
            <w:right w:val="none" w:sz="0" w:space="0" w:color="auto"/>
          </w:divBdr>
          <w:divsChild>
            <w:div w:id="1824619065">
              <w:marLeft w:val="0"/>
              <w:marRight w:val="0"/>
              <w:marTop w:val="0"/>
              <w:marBottom w:val="0"/>
              <w:divBdr>
                <w:top w:val="none" w:sz="0" w:space="0" w:color="auto"/>
                <w:left w:val="none" w:sz="0" w:space="0" w:color="auto"/>
                <w:bottom w:val="none" w:sz="0" w:space="0" w:color="auto"/>
                <w:right w:val="none" w:sz="0" w:space="0" w:color="auto"/>
              </w:divBdr>
              <w:divsChild>
                <w:div w:id="206988451">
                  <w:marLeft w:val="0"/>
                  <w:marRight w:val="0"/>
                  <w:marTop w:val="0"/>
                  <w:marBottom w:val="0"/>
                  <w:divBdr>
                    <w:top w:val="none" w:sz="0" w:space="0" w:color="auto"/>
                    <w:left w:val="none" w:sz="0" w:space="0" w:color="auto"/>
                    <w:bottom w:val="none" w:sz="0" w:space="0" w:color="auto"/>
                    <w:right w:val="none" w:sz="0" w:space="0" w:color="auto"/>
                  </w:divBdr>
                  <w:divsChild>
                    <w:div w:id="19109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5735">
      <w:bodyDiv w:val="1"/>
      <w:marLeft w:val="0"/>
      <w:marRight w:val="0"/>
      <w:marTop w:val="0"/>
      <w:marBottom w:val="0"/>
      <w:divBdr>
        <w:top w:val="none" w:sz="0" w:space="0" w:color="auto"/>
        <w:left w:val="none" w:sz="0" w:space="0" w:color="auto"/>
        <w:bottom w:val="none" w:sz="0" w:space="0" w:color="auto"/>
        <w:right w:val="none" w:sz="0" w:space="0" w:color="auto"/>
      </w:divBdr>
    </w:div>
    <w:div w:id="657151200">
      <w:bodyDiv w:val="1"/>
      <w:marLeft w:val="0"/>
      <w:marRight w:val="0"/>
      <w:marTop w:val="0"/>
      <w:marBottom w:val="0"/>
      <w:divBdr>
        <w:top w:val="none" w:sz="0" w:space="0" w:color="auto"/>
        <w:left w:val="none" w:sz="0" w:space="0" w:color="auto"/>
        <w:bottom w:val="none" w:sz="0" w:space="0" w:color="auto"/>
        <w:right w:val="none" w:sz="0" w:space="0" w:color="auto"/>
      </w:divBdr>
    </w:div>
    <w:div w:id="916206532">
      <w:bodyDiv w:val="1"/>
      <w:marLeft w:val="0"/>
      <w:marRight w:val="0"/>
      <w:marTop w:val="0"/>
      <w:marBottom w:val="0"/>
      <w:divBdr>
        <w:top w:val="none" w:sz="0" w:space="0" w:color="auto"/>
        <w:left w:val="none" w:sz="0" w:space="0" w:color="auto"/>
        <w:bottom w:val="none" w:sz="0" w:space="0" w:color="auto"/>
        <w:right w:val="none" w:sz="0" w:space="0" w:color="auto"/>
      </w:divBdr>
    </w:div>
    <w:div w:id="979650122">
      <w:bodyDiv w:val="1"/>
      <w:marLeft w:val="0"/>
      <w:marRight w:val="0"/>
      <w:marTop w:val="0"/>
      <w:marBottom w:val="0"/>
      <w:divBdr>
        <w:top w:val="none" w:sz="0" w:space="0" w:color="auto"/>
        <w:left w:val="none" w:sz="0" w:space="0" w:color="auto"/>
        <w:bottom w:val="none" w:sz="0" w:space="0" w:color="auto"/>
        <w:right w:val="none" w:sz="0" w:space="0" w:color="auto"/>
      </w:divBdr>
    </w:div>
    <w:div w:id="1023166057">
      <w:bodyDiv w:val="1"/>
      <w:marLeft w:val="0"/>
      <w:marRight w:val="0"/>
      <w:marTop w:val="0"/>
      <w:marBottom w:val="0"/>
      <w:divBdr>
        <w:top w:val="none" w:sz="0" w:space="0" w:color="auto"/>
        <w:left w:val="none" w:sz="0" w:space="0" w:color="auto"/>
        <w:bottom w:val="none" w:sz="0" w:space="0" w:color="auto"/>
        <w:right w:val="none" w:sz="0" w:space="0" w:color="auto"/>
      </w:divBdr>
    </w:div>
    <w:div w:id="1151748682">
      <w:bodyDiv w:val="1"/>
      <w:marLeft w:val="0"/>
      <w:marRight w:val="0"/>
      <w:marTop w:val="0"/>
      <w:marBottom w:val="0"/>
      <w:divBdr>
        <w:top w:val="none" w:sz="0" w:space="0" w:color="auto"/>
        <w:left w:val="none" w:sz="0" w:space="0" w:color="auto"/>
        <w:bottom w:val="none" w:sz="0" w:space="0" w:color="auto"/>
        <w:right w:val="none" w:sz="0" w:space="0" w:color="auto"/>
      </w:divBdr>
    </w:div>
    <w:div w:id="1254823443">
      <w:bodyDiv w:val="1"/>
      <w:marLeft w:val="0"/>
      <w:marRight w:val="0"/>
      <w:marTop w:val="0"/>
      <w:marBottom w:val="0"/>
      <w:divBdr>
        <w:top w:val="none" w:sz="0" w:space="0" w:color="auto"/>
        <w:left w:val="none" w:sz="0" w:space="0" w:color="auto"/>
        <w:bottom w:val="none" w:sz="0" w:space="0" w:color="auto"/>
        <w:right w:val="none" w:sz="0" w:space="0" w:color="auto"/>
      </w:divBdr>
    </w:div>
    <w:div w:id="1290278816">
      <w:bodyDiv w:val="1"/>
      <w:marLeft w:val="0"/>
      <w:marRight w:val="0"/>
      <w:marTop w:val="0"/>
      <w:marBottom w:val="0"/>
      <w:divBdr>
        <w:top w:val="none" w:sz="0" w:space="0" w:color="auto"/>
        <w:left w:val="none" w:sz="0" w:space="0" w:color="auto"/>
        <w:bottom w:val="none" w:sz="0" w:space="0" w:color="auto"/>
        <w:right w:val="none" w:sz="0" w:space="0" w:color="auto"/>
      </w:divBdr>
    </w:div>
    <w:div w:id="1300264916">
      <w:bodyDiv w:val="1"/>
      <w:marLeft w:val="0"/>
      <w:marRight w:val="0"/>
      <w:marTop w:val="0"/>
      <w:marBottom w:val="0"/>
      <w:divBdr>
        <w:top w:val="none" w:sz="0" w:space="0" w:color="auto"/>
        <w:left w:val="none" w:sz="0" w:space="0" w:color="auto"/>
        <w:bottom w:val="none" w:sz="0" w:space="0" w:color="auto"/>
        <w:right w:val="none" w:sz="0" w:space="0" w:color="auto"/>
      </w:divBdr>
    </w:div>
    <w:div w:id="1315914368">
      <w:bodyDiv w:val="1"/>
      <w:marLeft w:val="0"/>
      <w:marRight w:val="0"/>
      <w:marTop w:val="0"/>
      <w:marBottom w:val="0"/>
      <w:divBdr>
        <w:top w:val="none" w:sz="0" w:space="0" w:color="auto"/>
        <w:left w:val="none" w:sz="0" w:space="0" w:color="auto"/>
        <w:bottom w:val="none" w:sz="0" w:space="0" w:color="auto"/>
        <w:right w:val="none" w:sz="0" w:space="0" w:color="auto"/>
      </w:divBdr>
      <w:divsChild>
        <w:div w:id="892543017">
          <w:marLeft w:val="0"/>
          <w:marRight w:val="0"/>
          <w:marTop w:val="0"/>
          <w:marBottom w:val="0"/>
          <w:divBdr>
            <w:top w:val="none" w:sz="0" w:space="0" w:color="auto"/>
            <w:left w:val="none" w:sz="0" w:space="0" w:color="auto"/>
            <w:bottom w:val="none" w:sz="0" w:space="0" w:color="auto"/>
            <w:right w:val="none" w:sz="0" w:space="0" w:color="auto"/>
          </w:divBdr>
          <w:divsChild>
            <w:div w:id="1534878308">
              <w:marLeft w:val="0"/>
              <w:marRight w:val="0"/>
              <w:marTop w:val="0"/>
              <w:marBottom w:val="0"/>
              <w:divBdr>
                <w:top w:val="none" w:sz="0" w:space="0" w:color="auto"/>
                <w:left w:val="none" w:sz="0" w:space="0" w:color="auto"/>
                <w:bottom w:val="none" w:sz="0" w:space="0" w:color="auto"/>
                <w:right w:val="none" w:sz="0" w:space="0" w:color="auto"/>
              </w:divBdr>
              <w:divsChild>
                <w:div w:id="82380891">
                  <w:marLeft w:val="0"/>
                  <w:marRight w:val="0"/>
                  <w:marTop w:val="0"/>
                  <w:marBottom w:val="0"/>
                  <w:divBdr>
                    <w:top w:val="none" w:sz="0" w:space="0" w:color="auto"/>
                    <w:left w:val="none" w:sz="0" w:space="0" w:color="auto"/>
                    <w:bottom w:val="none" w:sz="0" w:space="0" w:color="auto"/>
                    <w:right w:val="none" w:sz="0" w:space="0" w:color="auto"/>
                  </w:divBdr>
                  <w:divsChild>
                    <w:div w:id="438138865">
                      <w:marLeft w:val="0"/>
                      <w:marRight w:val="0"/>
                      <w:marTop w:val="0"/>
                      <w:marBottom w:val="0"/>
                      <w:divBdr>
                        <w:top w:val="none" w:sz="0" w:space="0" w:color="auto"/>
                        <w:left w:val="none" w:sz="0" w:space="0" w:color="auto"/>
                        <w:bottom w:val="none" w:sz="0" w:space="0" w:color="auto"/>
                        <w:right w:val="none" w:sz="0" w:space="0" w:color="auto"/>
                      </w:divBdr>
                      <w:divsChild>
                        <w:div w:id="1811902946">
                          <w:marLeft w:val="0"/>
                          <w:marRight w:val="0"/>
                          <w:marTop w:val="0"/>
                          <w:marBottom w:val="0"/>
                          <w:divBdr>
                            <w:top w:val="none" w:sz="0" w:space="0" w:color="auto"/>
                            <w:left w:val="none" w:sz="0" w:space="0" w:color="auto"/>
                            <w:bottom w:val="none" w:sz="0" w:space="0" w:color="auto"/>
                            <w:right w:val="none" w:sz="0" w:space="0" w:color="auto"/>
                          </w:divBdr>
                          <w:divsChild>
                            <w:div w:id="804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7772">
                  <w:marLeft w:val="0"/>
                  <w:marRight w:val="0"/>
                  <w:marTop w:val="0"/>
                  <w:marBottom w:val="0"/>
                  <w:divBdr>
                    <w:top w:val="none" w:sz="0" w:space="0" w:color="auto"/>
                    <w:left w:val="none" w:sz="0" w:space="0" w:color="auto"/>
                    <w:bottom w:val="none" w:sz="0" w:space="0" w:color="auto"/>
                    <w:right w:val="none" w:sz="0" w:space="0" w:color="auto"/>
                  </w:divBdr>
                  <w:divsChild>
                    <w:div w:id="4421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40312">
      <w:bodyDiv w:val="1"/>
      <w:marLeft w:val="0"/>
      <w:marRight w:val="0"/>
      <w:marTop w:val="0"/>
      <w:marBottom w:val="0"/>
      <w:divBdr>
        <w:top w:val="none" w:sz="0" w:space="0" w:color="auto"/>
        <w:left w:val="none" w:sz="0" w:space="0" w:color="auto"/>
        <w:bottom w:val="none" w:sz="0" w:space="0" w:color="auto"/>
        <w:right w:val="none" w:sz="0" w:space="0" w:color="auto"/>
      </w:divBdr>
    </w:div>
    <w:div w:id="1457065901">
      <w:bodyDiv w:val="1"/>
      <w:marLeft w:val="0"/>
      <w:marRight w:val="0"/>
      <w:marTop w:val="0"/>
      <w:marBottom w:val="0"/>
      <w:divBdr>
        <w:top w:val="none" w:sz="0" w:space="0" w:color="auto"/>
        <w:left w:val="none" w:sz="0" w:space="0" w:color="auto"/>
        <w:bottom w:val="none" w:sz="0" w:space="0" w:color="auto"/>
        <w:right w:val="none" w:sz="0" w:space="0" w:color="auto"/>
      </w:divBdr>
    </w:div>
    <w:div w:id="1656033380">
      <w:bodyDiv w:val="1"/>
      <w:marLeft w:val="0"/>
      <w:marRight w:val="0"/>
      <w:marTop w:val="0"/>
      <w:marBottom w:val="0"/>
      <w:divBdr>
        <w:top w:val="none" w:sz="0" w:space="0" w:color="auto"/>
        <w:left w:val="none" w:sz="0" w:space="0" w:color="auto"/>
        <w:bottom w:val="none" w:sz="0" w:space="0" w:color="auto"/>
        <w:right w:val="none" w:sz="0" w:space="0" w:color="auto"/>
      </w:divBdr>
    </w:div>
    <w:div w:id="1681086116">
      <w:bodyDiv w:val="1"/>
      <w:marLeft w:val="0"/>
      <w:marRight w:val="0"/>
      <w:marTop w:val="0"/>
      <w:marBottom w:val="0"/>
      <w:divBdr>
        <w:top w:val="none" w:sz="0" w:space="0" w:color="auto"/>
        <w:left w:val="none" w:sz="0" w:space="0" w:color="auto"/>
        <w:bottom w:val="none" w:sz="0" w:space="0" w:color="auto"/>
        <w:right w:val="none" w:sz="0" w:space="0" w:color="auto"/>
      </w:divBdr>
      <w:divsChild>
        <w:div w:id="2007514336">
          <w:marLeft w:val="0"/>
          <w:marRight w:val="0"/>
          <w:marTop w:val="0"/>
          <w:marBottom w:val="0"/>
          <w:divBdr>
            <w:top w:val="none" w:sz="0" w:space="0" w:color="auto"/>
            <w:left w:val="none" w:sz="0" w:space="0" w:color="auto"/>
            <w:bottom w:val="none" w:sz="0" w:space="0" w:color="auto"/>
            <w:right w:val="none" w:sz="0" w:space="0" w:color="auto"/>
          </w:divBdr>
          <w:divsChild>
            <w:div w:id="1360159864">
              <w:marLeft w:val="0"/>
              <w:marRight w:val="0"/>
              <w:marTop w:val="0"/>
              <w:marBottom w:val="0"/>
              <w:divBdr>
                <w:top w:val="none" w:sz="0" w:space="0" w:color="auto"/>
                <w:left w:val="none" w:sz="0" w:space="0" w:color="auto"/>
                <w:bottom w:val="none" w:sz="0" w:space="0" w:color="auto"/>
                <w:right w:val="none" w:sz="0" w:space="0" w:color="auto"/>
              </w:divBdr>
              <w:divsChild>
                <w:div w:id="1203135637">
                  <w:marLeft w:val="0"/>
                  <w:marRight w:val="0"/>
                  <w:marTop w:val="0"/>
                  <w:marBottom w:val="0"/>
                  <w:divBdr>
                    <w:top w:val="none" w:sz="0" w:space="0" w:color="auto"/>
                    <w:left w:val="none" w:sz="0" w:space="0" w:color="auto"/>
                    <w:bottom w:val="none" w:sz="0" w:space="0" w:color="auto"/>
                    <w:right w:val="none" w:sz="0" w:space="0" w:color="auto"/>
                  </w:divBdr>
                  <w:divsChild>
                    <w:div w:id="544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991">
          <w:marLeft w:val="0"/>
          <w:marRight w:val="0"/>
          <w:marTop w:val="0"/>
          <w:marBottom w:val="0"/>
          <w:divBdr>
            <w:top w:val="none" w:sz="0" w:space="0" w:color="auto"/>
            <w:left w:val="none" w:sz="0" w:space="0" w:color="auto"/>
            <w:bottom w:val="none" w:sz="0" w:space="0" w:color="auto"/>
            <w:right w:val="none" w:sz="0" w:space="0" w:color="auto"/>
          </w:divBdr>
          <w:divsChild>
            <w:div w:id="24716778">
              <w:marLeft w:val="0"/>
              <w:marRight w:val="0"/>
              <w:marTop w:val="0"/>
              <w:marBottom w:val="0"/>
              <w:divBdr>
                <w:top w:val="none" w:sz="0" w:space="0" w:color="auto"/>
                <w:left w:val="none" w:sz="0" w:space="0" w:color="auto"/>
                <w:bottom w:val="none" w:sz="0" w:space="0" w:color="auto"/>
                <w:right w:val="none" w:sz="0" w:space="0" w:color="auto"/>
              </w:divBdr>
              <w:divsChild>
                <w:div w:id="807168968">
                  <w:marLeft w:val="0"/>
                  <w:marRight w:val="0"/>
                  <w:marTop w:val="0"/>
                  <w:marBottom w:val="0"/>
                  <w:divBdr>
                    <w:top w:val="none" w:sz="0" w:space="0" w:color="auto"/>
                    <w:left w:val="none" w:sz="0" w:space="0" w:color="auto"/>
                    <w:bottom w:val="none" w:sz="0" w:space="0" w:color="auto"/>
                    <w:right w:val="none" w:sz="0" w:space="0" w:color="auto"/>
                  </w:divBdr>
                  <w:divsChild>
                    <w:div w:id="18416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9079">
      <w:bodyDiv w:val="1"/>
      <w:marLeft w:val="0"/>
      <w:marRight w:val="0"/>
      <w:marTop w:val="0"/>
      <w:marBottom w:val="0"/>
      <w:divBdr>
        <w:top w:val="none" w:sz="0" w:space="0" w:color="auto"/>
        <w:left w:val="none" w:sz="0" w:space="0" w:color="auto"/>
        <w:bottom w:val="none" w:sz="0" w:space="0" w:color="auto"/>
        <w:right w:val="none" w:sz="0" w:space="0" w:color="auto"/>
      </w:divBdr>
    </w:div>
    <w:div w:id="1945840863">
      <w:bodyDiv w:val="1"/>
      <w:marLeft w:val="0"/>
      <w:marRight w:val="0"/>
      <w:marTop w:val="0"/>
      <w:marBottom w:val="0"/>
      <w:divBdr>
        <w:top w:val="none" w:sz="0" w:space="0" w:color="auto"/>
        <w:left w:val="none" w:sz="0" w:space="0" w:color="auto"/>
        <w:bottom w:val="none" w:sz="0" w:space="0" w:color="auto"/>
        <w:right w:val="none" w:sz="0" w:space="0" w:color="auto"/>
      </w:divBdr>
    </w:div>
    <w:div w:id="1952010487">
      <w:bodyDiv w:val="1"/>
      <w:marLeft w:val="0"/>
      <w:marRight w:val="0"/>
      <w:marTop w:val="0"/>
      <w:marBottom w:val="0"/>
      <w:divBdr>
        <w:top w:val="none" w:sz="0" w:space="0" w:color="auto"/>
        <w:left w:val="none" w:sz="0" w:space="0" w:color="auto"/>
        <w:bottom w:val="none" w:sz="0" w:space="0" w:color="auto"/>
        <w:right w:val="none" w:sz="0" w:space="0" w:color="auto"/>
      </w:divBdr>
    </w:div>
    <w:div w:id="2046904709">
      <w:bodyDiv w:val="1"/>
      <w:marLeft w:val="0"/>
      <w:marRight w:val="0"/>
      <w:marTop w:val="0"/>
      <w:marBottom w:val="0"/>
      <w:divBdr>
        <w:top w:val="none" w:sz="0" w:space="0" w:color="auto"/>
        <w:left w:val="none" w:sz="0" w:space="0" w:color="auto"/>
        <w:bottom w:val="none" w:sz="0" w:space="0" w:color="auto"/>
        <w:right w:val="none" w:sz="0" w:space="0" w:color="auto"/>
      </w:divBdr>
    </w:div>
    <w:div w:id="20825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5005-8D3A-48BB-A9A1-71D18CB6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DATTA SHINDE</dc:creator>
  <cp:lastModifiedBy>hewlett packard</cp:lastModifiedBy>
  <cp:revision>4</cp:revision>
  <dcterms:created xsi:type="dcterms:W3CDTF">2026-03-22T10:12:00Z</dcterms:created>
  <dcterms:modified xsi:type="dcterms:W3CDTF">2026-03-22T10:29:00Z</dcterms:modified>
</cp:coreProperties>
</file>