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529A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529AC" w:rsidRDefault="003A50EF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66F2E" w:rsidRPr="00366F2E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International Journal of Environment and Climate Change</w:t>
              </w:r>
            </w:hyperlink>
          </w:p>
        </w:tc>
      </w:tr>
      <w:tr w:rsidR="00B529A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529AC" w:rsidRDefault="00E9140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E91403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Ms_IJECC_156997</w:t>
            </w:r>
          </w:p>
        </w:tc>
      </w:tr>
      <w:tr w:rsidR="00B529A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529AC" w:rsidRDefault="00E9140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E91403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Simulating Surface Runoff Response to Land Use Change Using </w:t>
            </w:r>
            <w:proofErr w:type="spellStart"/>
            <w:r w:rsidRPr="00E91403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ArcSWAT</w:t>
            </w:r>
            <w:proofErr w:type="spellEnd"/>
            <w:r w:rsidRPr="00E91403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in </w:t>
            </w:r>
            <w:proofErr w:type="spellStart"/>
            <w:r w:rsidRPr="00E91403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Jonk</w:t>
            </w:r>
            <w:proofErr w:type="spellEnd"/>
            <w:r w:rsidRPr="00E91403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</w:t>
            </w:r>
            <w:proofErr w:type="spellStart"/>
            <w:r w:rsidRPr="00E91403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Subbasin</w:t>
            </w:r>
            <w:proofErr w:type="spellEnd"/>
          </w:p>
        </w:tc>
      </w:tr>
      <w:tr w:rsidR="00B529A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529AC" w:rsidRDefault="00E702F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B529AC" w:rsidRDefault="00B529AC">
      <w:pPr>
        <w:rPr>
          <w:sz w:val="22"/>
          <w:szCs w:val="20"/>
          <w:lang w:val="en-GB"/>
        </w:rPr>
      </w:pPr>
    </w:p>
    <w:p w:rsidR="00B529AC" w:rsidRDefault="00E702F7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B529AC" w:rsidRDefault="00B529AC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529A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529AC" w:rsidRDefault="00E702F7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9D688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  <w:p w:rsidR="0090779A" w:rsidRDefault="0090779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 xml:space="preserve">It is </w:t>
            </w:r>
            <w:r w:rsidRPr="009D688C">
              <w:rPr>
                <w:lang w:val="en-GB"/>
              </w:rPr>
              <w:t>precise, includes key elements (</w:t>
            </w:r>
            <w:proofErr w:type="spellStart"/>
            <w:r w:rsidRPr="009D688C">
              <w:rPr>
                <w:lang w:val="en-GB"/>
              </w:rPr>
              <w:t>ArcSWAT</w:t>
            </w:r>
            <w:proofErr w:type="spellEnd"/>
            <w:r w:rsidRPr="009D688C">
              <w:rPr>
                <w:lang w:val="en-GB"/>
              </w:rPr>
              <w:t>, LULC, runoff, site), but could specify "30-year (1991-2020)" for temporal scope</w:t>
            </w:r>
            <w:r>
              <w:rPr>
                <w:lang w:val="en-GB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9D688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9D688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9D688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9D688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9D688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  <w:p w:rsidR="0090779A" w:rsidRDefault="0090779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 xml:space="preserve">It </w:t>
            </w:r>
            <w:r w:rsidRPr="009D688C">
              <w:rPr>
                <w:lang w:val="en-GB"/>
              </w:rPr>
              <w:t xml:space="preserve">includes 2024, but sparse (no recent </w:t>
            </w:r>
            <w:proofErr w:type="spellStart"/>
            <w:r w:rsidRPr="009D688C">
              <w:rPr>
                <w:lang w:val="en-GB"/>
              </w:rPr>
              <w:t>ArcSWAT</w:t>
            </w:r>
            <w:proofErr w:type="spellEnd"/>
            <w:r w:rsidRPr="009D688C">
              <w:rPr>
                <w:lang w:val="en-GB"/>
              </w:rPr>
              <w:t>-LULC reviews post-2020</w:t>
            </w:r>
            <w:r>
              <w:rPr>
                <w:lang w:val="en-GB"/>
              </w:rPr>
              <w:t>)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9D688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  <w:p w:rsidR="0090779A" w:rsidRDefault="0090779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Few inconsistencies in durations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 w:rsidP="009D688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9D688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9D688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9D688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  <w:p w:rsidR="0090779A" w:rsidRDefault="0090779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90779A">
              <w:rPr>
                <w:bCs/>
                <w:sz w:val="20"/>
                <w:szCs w:val="20"/>
                <w:lang w:val="en-GB"/>
              </w:rPr>
              <w:t>Fig.1-2 referenced without captions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 w:rsidP="009D688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9D688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9D688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9D688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  <w:p w:rsidR="0090779A" w:rsidRDefault="0090779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90779A">
              <w:rPr>
                <w:bCs/>
                <w:sz w:val="20"/>
                <w:szCs w:val="20"/>
                <w:lang w:val="en-GB"/>
              </w:rPr>
              <w:t>Absent; no discussions on peak flow underestimation, uncertainty bounds etc.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DC711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DC711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B529AC" w:rsidRDefault="00B529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529AC" w:rsidRDefault="00B529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529AC" w:rsidRDefault="00B529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529AC" w:rsidRDefault="00E702F7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lastRenderedPageBreak/>
        <w:t>PART 2.2 (Subjective Evaluation)</w:t>
      </w:r>
    </w:p>
    <w:p w:rsidR="00B529AC" w:rsidRDefault="00B529A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529A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B529AC" w:rsidRDefault="00B529AC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529AC" w:rsidRDefault="00E702F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:rsidR="00B529AC" w:rsidRDefault="00E702F7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Default="00DC711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  <w:p w:rsidR="0090779A" w:rsidRDefault="0090779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 xml:space="preserve">It is </w:t>
            </w:r>
            <w:r w:rsidRPr="009D688C">
              <w:rPr>
                <w:lang w:val="en-GB"/>
              </w:rPr>
              <w:t>precise, includes key elements (</w:t>
            </w:r>
            <w:proofErr w:type="spellStart"/>
            <w:r w:rsidRPr="009D688C">
              <w:rPr>
                <w:lang w:val="en-GB"/>
              </w:rPr>
              <w:t>ArcSWAT</w:t>
            </w:r>
            <w:proofErr w:type="spellEnd"/>
            <w:r w:rsidRPr="009D688C">
              <w:rPr>
                <w:lang w:val="en-GB"/>
              </w:rPr>
              <w:t>, LULC, runoff, site), but could specify "30-year (1991-2020)" for temporal scope</w:t>
            </w:r>
            <w:r>
              <w:rPr>
                <w:lang w:val="en-GB"/>
              </w:rPr>
              <w:t>.</w:t>
            </w:r>
          </w:p>
        </w:tc>
        <w:tc>
          <w:tcPr>
            <w:tcW w:w="1543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:rsidR="00B529AC" w:rsidRDefault="00E702F7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Default="00DC711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B529AC" w:rsidRDefault="00E702F7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Default="00DC711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  <w:p w:rsidR="0090779A" w:rsidRPr="0090779A" w:rsidRDefault="0090779A" w:rsidP="0090779A">
            <w:pPr>
              <w:pStyle w:val="ListParagraph"/>
              <w:rPr>
                <w:bCs/>
                <w:sz w:val="20"/>
                <w:szCs w:val="20"/>
                <w:lang w:val="en-GB"/>
              </w:rPr>
            </w:pPr>
            <w:r w:rsidRPr="0090779A">
              <w:rPr>
                <w:bCs/>
                <w:sz w:val="20"/>
                <w:szCs w:val="20"/>
                <w:lang w:val="en-GB"/>
              </w:rPr>
              <w:t>1.</w:t>
            </w:r>
            <w:r w:rsidRPr="0090779A">
              <w:rPr>
                <w:bCs/>
                <w:sz w:val="20"/>
                <w:szCs w:val="20"/>
                <w:lang w:val="en-GB"/>
              </w:rPr>
              <w:tab/>
              <w:t>Inconsistencies in calibration/validation periods (e.g., abstract 1993-2010 vs. text 1991-2010.</w:t>
            </w:r>
          </w:p>
          <w:p w:rsidR="0090779A" w:rsidRPr="0090779A" w:rsidRDefault="0090779A" w:rsidP="0090779A">
            <w:pPr>
              <w:pStyle w:val="ListParagraph"/>
              <w:rPr>
                <w:bCs/>
                <w:sz w:val="20"/>
                <w:szCs w:val="20"/>
                <w:lang w:val="en-GB"/>
              </w:rPr>
            </w:pPr>
            <w:r w:rsidRPr="0090779A">
              <w:rPr>
                <w:bCs/>
                <w:sz w:val="20"/>
                <w:szCs w:val="20"/>
                <w:lang w:val="en-GB"/>
              </w:rPr>
              <w:t>2.</w:t>
            </w:r>
            <w:r w:rsidRPr="0090779A">
              <w:rPr>
                <w:bCs/>
                <w:sz w:val="20"/>
                <w:szCs w:val="20"/>
                <w:lang w:val="en-GB"/>
              </w:rPr>
              <w:tab/>
              <w:t>Illogical warm-up 2011-2021); Table 5 discharge trends contradict increasing runoff claims;</w:t>
            </w:r>
          </w:p>
          <w:p w:rsidR="0090779A" w:rsidRDefault="0090779A" w:rsidP="0090779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90779A">
              <w:rPr>
                <w:bCs/>
                <w:sz w:val="20"/>
                <w:szCs w:val="20"/>
                <w:lang w:val="en-GB"/>
              </w:rPr>
              <w:t>Missing LULC accuracy and p-factor.</w:t>
            </w:r>
          </w:p>
        </w:tc>
        <w:tc>
          <w:tcPr>
            <w:tcW w:w="1543" w:type="pct"/>
            <w:shd w:val="clear" w:color="auto" w:fill="auto"/>
          </w:tcPr>
          <w:p w:rsidR="00B529AC" w:rsidRPr="00DC7117" w:rsidRDefault="00B529AC" w:rsidP="0090779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Default="00DC711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529AC" w:rsidRDefault="00DC711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B529AC" w:rsidRDefault="00B529AC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B529AC" w:rsidRDefault="00B529AC">
      <w:pPr>
        <w:rPr>
          <w:highlight w:val="yellow"/>
          <w:lang w:val="en-GB"/>
        </w:rPr>
      </w:pPr>
    </w:p>
    <w:p w:rsidR="00B529AC" w:rsidRDefault="00B529AC">
      <w:pPr>
        <w:rPr>
          <w:highlight w:val="yellow"/>
          <w:lang w:val="en-GB"/>
        </w:rPr>
      </w:pPr>
    </w:p>
    <w:p w:rsidR="00B529AC" w:rsidRDefault="00B529AC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B529AC" w:rsidRDefault="00B529AC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B529AC" w:rsidRDefault="00B529AC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B529AC" w:rsidRDefault="00E702F7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D63CAC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B529AC" w:rsidRDefault="00B529A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529AC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B529AC" w:rsidRDefault="00E702F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B529AC" w:rsidRDefault="00E702F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B529A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90779A" w:rsidRDefault="0090779A" w:rsidP="0090779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05D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Inconsistent Calibration and Validation Periods (Lines ~450-500): The abstract claims calibration (1993-2010) and validation (2011-2020), but Section 3.1 and Table 5 reference calibration (1991-2010) with warm-up (2011-2021) and validation (2011-2021), creating contradictory timelines 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hat undermine model reliability. It is suggested to </w:t>
            </w:r>
            <w:r w:rsidRPr="00E05D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correct by standardizing to one period (e.g., 1991-2005 calibration, 2006-2020 validation) with a 2-year warm-up (1989-1990) and explicitly stating split rationale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</w:p>
          <w:p w:rsidR="0090779A" w:rsidRDefault="0090779A" w:rsidP="0090779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:rsidR="0090779A" w:rsidRDefault="0090779A" w:rsidP="0090779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05D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Data Source and LULC Classification Deficiencies (Lines ~200-300): Table 1 </w:t>
            </w:r>
            <w:r w:rsidRPr="009077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slightly </w:t>
            </w:r>
            <w:r w:rsidRPr="00E05D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mentions "USGS Earth Explorer satellite imagery" and "classification techniques" without specifying sensors (e.g., Landsat TM/ETM+), years, resolution, accuracy assessment (e.g., kappa &gt;0.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85), or change detection method etc. It is suggested to </w:t>
            </w:r>
            <w:r w:rsidRPr="00855D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enhance by detailing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them.</w:t>
            </w:r>
          </w:p>
          <w:p w:rsidR="0090779A" w:rsidRDefault="0090779A" w:rsidP="0090779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:rsidR="0090779A" w:rsidRDefault="0090779A" w:rsidP="0090779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:rsidR="0090779A" w:rsidRDefault="0090779A" w:rsidP="0090779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05D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Questionable Runoff Increase Interpretation (Lines ~600-700): Despite agriculture expansion and forest decline (Table 2), Table 5 shows observed discharge dropping (622.57 m³/s in 1991 to 371.78 m³/s in 2021) while claiming 9-11% runoff increase to 377.29 mm, with no climate varia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bility isolation or error bars etc. It should be </w:t>
            </w:r>
            <w:r w:rsidRPr="00E05D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revise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</w:t>
            </w:r>
            <w:r w:rsidRPr="00E05D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by disentangling LULC vs. rainfall effects via scenario simulations and clarifying "potential runoff depth increased 10.7% under constant climate" with statistical tests (e.g., Mann-Kendall trend).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:rsidR="0090779A" w:rsidRDefault="0090779A" w:rsidP="0090779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:rsidR="00B529AC" w:rsidRDefault="0090779A" w:rsidP="0090779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05D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Incoherent Sensitivity Analysis (Lines ~700-750): Claims "five highly sensitive parameters" (e.g., hydraulic conductivity) but provides no t-stat, p-values, rank table, or calibration ranges per SWAT-CUP manual, mislabelling performance metrics as "sensitiv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ity analysis". It is suggested to </w:t>
            </w:r>
            <w:r w:rsidRPr="00E05D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restructure as proper SUFI-2 global sensitivity with Table 4 showing "CN2 (-0.2, 0.2, t=-1.85), ALPHA_</w:t>
            </w:r>
            <w:proofErr w:type="gramStart"/>
            <w:r w:rsidRPr="00E05D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BF(</w:t>
            </w:r>
            <w:proofErr w:type="gramEnd"/>
            <w:r w:rsidRPr="00E05D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0.5,1.5, t=1.42)" and plots of parameter distributions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etc.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br/>
            </w:r>
          </w:p>
          <w:p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046822" w:rsidRDefault="00046822" w:rsidP="0004682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046822" w:rsidRDefault="00046822" w:rsidP="0004682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046822" w:rsidRDefault="00046822" w:rsidP="0004682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046822" w:rsidRDefault="00046822" w:rsidP="00046822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>Dharmendra Kumar, India</w:t>
      </w:r>
      <w:r>
        <w:rPr>
          <w:rFonts w:ascii="Calibri" w:hAnsi="Calibri" w:cs="Calibri"/>
          <w:color w:val="000000"/>
        </w:rPr>
        <w:br/>
      </w:r>
    </w:p>
    <w:p w:rsidR="00B529AC" w:rsidRDefault="00B529A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:rsidR="00B529AC" w:rsidRDefault="00B529A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B529AC" w:rsidRDefault="00B529A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sectPr w:rsidR="00B529A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0EF" w:rsidRDefault="003A50EF">
      <w:r>
        <w:separator/>
      </w:r>
    </w:p>
  </w:endnote>
  <w:endnote w:type="continuationSeparator" w:id="0">
    <w:p w:rsidR="003A50EF" w:rsidRDefault="003A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9AC" w:rsidRDefault="00B529AC">
    <w:pPr>
      <w:pStyle w:val="Footer"/>
      <w:jc w:val="right"/>
    </w:pPr>
  </w:p>
  <w:p w:rsidR="00B529AC" w:rsidRDefault="00E702F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7042C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7042C"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B529AC" w:rsidRDefault="00E702F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529AC" w:rsidRDefault="00B529AC">
    <w:pPr>
      <w:pStyle w:val="Footer"/>
      <w:jc w:val="right"/>
    </w:pPr>
  </w:p>
  <w:p w:rsidR="00B529AC" w:rsidRDefault="00B529A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0EF" w:rsidRDefault="003A50EF">
      <w:r>
        <w:separator/>
      </w:r>
    </w:p>
  </w:footnote>
  <w:footnote w:type="continuationSeparator" w:id="0">
    <w:p w:rsidR="003A50EF" w:rsidRDefault="003A5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9AC" w:rsidRDefault="00B529A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529AC" w:rsidRDefault="00E702F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812D3"/>
    <w:multiLevelType w:val="hybridMultilevel"/>
    <w:tmpl w:val="F28098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29AC"/>
    <w:rsid w:val="00046822"/>
    <w:rsid w:val="00132262"/>
    <w:rsid w:val="001F47F0"/>
    <w:rsid w:val="002718A0"/>
    <w:rsid w:val="002F65E4"/>
    <w:rsid w:val="00366F2E"/>
    <w:rsid w:val="00376752"/>
    <w:rsid w:val="003A50EF"/>
    <w:rsid w:val="00777833"/>
    <w:rsid w:val="00783A59"/>
    <w:rsid w:val="00855DBD"/>
    <w:rsid w:val="0090779A"/>
    <w:rsid w:val="0097042C"/>
    <w:rsid w:val="00972877"/>
    <w:rsid w:val="009D688C"/>
    <w:rsid w:val="00AE442A"/>
    <w:rsid w:val="00B529AC"/>
    <w:rsid w:val="00D63CAC"/>
    <w:rsid w:val="00DC7117"/>
    <w:rsid w:val="00E05D12"/>
    <w:rsid w:val="00E702F7"/>
    <w:rsid w:val="00E9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90779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4682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ecc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961</Words>
  <Characters>5479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20</cp:revision>
  <dcterms:created xsi:type="dcterms:W3CDTF">2026-03-24T06:15:00Z</dcterms:created>
  <dcterms:modified xsi:type="dcterms:W3CDTF">2026-04-15T06:22:00Z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