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Default="009303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303BF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Ms_IJECC_156510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Default="009303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303BF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Experimental Evaluation of Thermal Performance of a Propane Flame Weeding System Under Varying Operating Conditions for Sustainable Agriculture</w:t>
            </w:r>
          </w:p>
        </w:tc>
      </w:tr>
      <w:tr w:rsidR="00B529A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Default="003D53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study emphasizes the need for parameter optimization to ensure safety and effective weed destruction. </w:t>
            </w:r>
            <w:r w:rsidR="00512039">
              <w:rPr>
                <w:b/>
                <w:bCs/>
                <w:sz w:val="20"/>
                <w:szCs w:val="20"/>
                <w:lang w:val="en-GB"/>
              </w:rPr>
              <w:t>It also looks at avoiding soil overheating. The study provides a sustainable alternative to synthetic herbicides to avoid soil and water contamination.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B529AC">
      <w:pPr>
        <w:rPr>
          <w:sz w:val="22"/>
          <w:szCs w:val="20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5120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5120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51203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D65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3, it lacks some support references</w:t>
            </w:r>
            <w:r w:rsidR="004A2EA7">
              <w:rPr>
                <w:b/>
                <w:bCs/>
                <w:sz w:val="20"/>
                <w:szCs w:val="20"/>
                <w:lang w:val="en-GB"/>
              </w:rPr>
              <w:t>.</w:t>
            </w:r>
          </w:p>
          <w:p w:rsidR="004A2EA7" w:rsidRDefault="004A2E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last paragraph of the introduction is misplaced; it should be either before the previous one or in the discussion.</w:t>
            </w:r>
          </w:p>
          <w:p w:rsidR="004A2EA7" w:rsidRDefault="004A2EA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D65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CD651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931E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2. It is not explained how the field was prepared.</w:t>
            </w:r>
          </w:p>
          <w:p w:rsidR="00931EA2" w:rsidRDefault="00931E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Photographs in Figure 1 are the same, delete one of them.</w:t>
            </w:r>
          </w:p>
          <w:p w:rsidR="00931EA2" w:rsidRDefault="00931EA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0A75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4E42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F03A1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5. Figures 4, 5, and 6 could be enlarge for better reading.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AA08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AA082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D035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References are relevant and sufficient.</w:t>
            </w:r>
          </w:p>
          <w:p w:rsidR="000D583A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All references lack the DOI.</w:t>
            </w:r>
          </w:p>
          <w:p w:rsidR="000D583A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Some references are incomplete.</w:t>
            </w:r>
          </w:p>
          <w:p w:rsidR="00460D5D" w:rsidRDefault="00460D5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Some statements lack support references.</w:t>
            </w:r>
          </w:p>
          <w:p w:rsidR="00BC4A81" w:rsidRDefault="00BC4A81">
            <w:pPr>
              <w:pStyle w:val="ListParagraph"/>
              <w:ind w:left="0"/>
              <w:rPr>
                <w:sz w:val="20"/>
                <w:szCs w:val="20"/>
              </w:rPr>
            </w:pPr>
            <w:r w:rsidRPr="00BC4A81">
              <w:rPr>
                <w:bCs/>
                <w:sz w:val="20"/>
                <w:szCs w:val="20"/>
                <w:lang w:val="en-GB"/>
              </w:rPr>
              <w:t xml:space="preserve">References of </w:t>
            </w:r>
            <w:r w:rsidRPr="00BC4A81">
              <w:rPr>
                <w:sz w:val="20"/>
                <w:szCs w:val="20"/>
              </w:rPr>
              <w:t xml:space="preserve">Datta, A., &amp; </w:t>
            </w:r>
            <w:proofErr w:type="spellStart"/>
            <w:r w:rsidRPr="00BC4A81">
              <w:rPr>
                <w:sz w:val="20"/>
                <w:szCs w:val="20"/>
              </w:rPr>
              <w:t>Knezevic</w:t>
            </w:r>
            <w:proofErr w:type="spellEnd"/>
            <w:r w:rsidRPr="00BC4A81">
              <w:rPr>
                <w:sz w:val="20"/>
                <w:szCs w:val="20"/>
              </w:rPr>
              <w:t xml:space="preserve">, S. </w:t>
            </w:r>
            <w:proofErr w:type="spellStart"/>
            <w:proofErr w:type="gramStart"/>
            <w:r w:rsidRPr="00BC4A81">
              <w:rPr>
                <w:sz w:val="20"/>
                <w:szCs w:val="20"/>
              </w:rPr>
              <w:t>Z.have</w:t>
            </w:r>
            <w:proofErr w:type="spellEnd"/>
            <w:proofErr w:type="gramEnd"/>
            <w:r w:rsidRPr="00BC4A81">
              <w:rPr>
                <w:sz w:val="20"/>
                <w:szCs w:val="20"/>
              </w:rPr>
              <w:t xml:space="preserve"> the same year (2013).</w:t>
            </w:r>
            <w:r w:rsidR="009C7E22">
              <w:rPr>
                <w:sz w:val="20"/>
                <w:szCs w:val="20"/>
              </w:rPr>
              <w:t xml:space="preserve"> Similarly</w:t>
            </w:r>
            <w:r w:rsidR="009C7E22" w:rsidRPr="009C7E22">
              <w:rPr>
                <w:sz w:val="20"/>
                <w:szCs w:val="20"/>
              </w:rPr>
              <w:t xml:space="preserve">, references of </w:t>
            </w:r>
            <w:proofErr w:type="spellStart"/>
            <w:r w:rsidR="009C7E22" w:rsidRPr="009C7E22">
              <w:rPr>
                <w:sz w:val="20"/>
                <w:szCs w:val="20"/>
              </w:rPr>
              <w:t>Peerzada</w:t>
            </w:r>
            <w:proofErr w:type="spellEnd"/>
            <w:r w:rsidR="009C7E22" w:rsidRPr="009C7E22">
              <w:rPr>
                <w:sz w:val="20"/>
                <w:szCs w:val="20"/>
              </w:rPr>
              <w:t>, A. M., &amp; Chauhan, B. S. (2018).</w:t>
            </w:r>
          </w:p>
          <w:p w:rsidR="009E47E0" w:rsidRPr="008C0CCA" w:rsidRDefault="009E47E0">
            <w:pPr>
              <w:pStyle w:val="ListParagraph"/>
              <w:ind w:left="0"/>
              <w:rPr>
                <w:sz w:val="20"/>
                <w:szCs w:val="20"/>
              </w:rPr>
            </w:pPr>
            <w:r w:rsidRPr="009E47E0">
              <w:rPr>
                <w:sz w:val="20"/>
                <w:szCs w:val="20"/>
              </w:rPr>
              <w:t>The reference</w:t>
            </w:r>
            <w:r w:rsidR="00503514">
              <w:rPr>
                <w:sz w:val="20"/>
                <w:szCs w:val="20"/>
              </w:rPr>
              <w:t>s</w:t>
            </w:r>
            <w:r w:rsidRPr="009E47E0">
              <w:rPr>
                <w:sz w:val="20"/>
                <w:szCs w:val="20"/>
              </w:rPr>
              <w:t xml:space="preserve"> Melande</w:t>
            </w:r>
            <w:r w:rsidRPr="00503514">
              <w:rPr>
                <w:sz w:val="20"/>
                <w:szCs w:val="20"/>
              </w:rPr>
              <w:t xml:space="preserve">r </w:t>
            </w:r>
            <w:r w:rsidRPr="00503514">
              <w:rPr>
                <w:i/>
                <w:iCs/>
                <w:sz w:val="20"/>
                <w:szCs w:val="20"/>
              </w:rPr>
              <w:t>et al.</w:t>
            </w:r>
            <w:r w:rsidRPr="00503514">
              <w:rPr>
                <w:sz w:val="20"/>
                <w:szCs w:val="20"/>
              </w:rPr>
              <w:t xml:space="preserve"> (2019)</w:t>
            </w:r>
            <w:r w:rsidR="00503514" w:rsidRPr="00503514">
              <w:rPr>
                <w:sz w:val="20"/>
                <w:szCs w:val="20"/>
              </w:rPr>
              <w:t xml:space="preserve"> and Datta and </w:t>
            </w:r>
            <w:proofErr w:type="spellStart"/>
            <w:r w:rsidR="00503514" w:rsidRPr="00503514">
              <w:rPr>
                <w:sz w:val="20"/>
                <w:szCs w:val="20"/>
              </w:rPr>
              <w:t>Knezevic</w:t>
            </w:r>
            <w:proofErr w:type="spellEnd"/>
            <w:r w:rsidR="00503514" w:rsidRPr="00503514">
              <w:rPr>
                <w:sz w:val="20"/>
                <w:szCs w:val="20"/>
              </w:rPr>
              <w:t xml:space="preserve"> (2021)</w:t>
            </w:r>
            <w:r w:rsidRPr="00503514">
              <w:rPr>
                <w:sz w:val="20"/>
                <w:szCs w:val="20"/>
              </w:rPr>
              <w:t xml:space="preserve"> </w:t>
            </w:r>
            <w:r w:rsidR="00503514" w:rsidRPr="00503514">
              <w:rPr>
                <w:sz w:val="20"/>
                <w:szCs w:val="20"/>
              </w:rPr>
              <w:t>are</w:t>
            </w:r>
            <w:r w:rsidRPr="009E47E0">
              <w:rPr>
                <w:sz w:val="20"/>
                <w:szCs w:val="20"/>
              </w:rPr>
              <w:t xml:space="preserve"> not listed.</w:t>
            </w:r>
          </w:p>
          <w:p w:rsidR="00D03561" w:rsidRPr="00D03561" w:rsidRDefault="00D0356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8C0CCA">
              <w:rPr>
                <w:sz w:val="20"/>
                <w:szCs w:val="20"/>
              </w:rPr>
              <w:t xml:space="preserve">The references </w:t>
            </w:r>
            <w:proofErr w:type="spellStart"/>
            <w:r w:rsidRPr="008C0CCA">
              <w:rPr>
                <w:sz w:val="20"/>
                <w:szCs w:val="20"/>
              </w:rPr>
              <w:t>Bernik</w:t>
            </w:r>
            <w:proofErr w:type="spellEnd"/>
            <w:r w:rsidRPr="008C0CCA">
              <w:rPr>
                <w:sz w:val="20"/>
                <w:szCs w:val="20"/>
              </w:rPr>
              <w:t xml:space="preserve"> et al. 2009, </w:t>
            </w:r>
            <w:proofErr w:type="spellStart"/>
            <w:r w:rsidRPr="008C0CCA">
              <w:rPr>
                <w:sz w:val="20"/>
                <w:szCs w:val="20"/>
              </w:rPr>
              <w:t>Kumawat</w:t>
            </w:r>
            <w:proofErr w:type="spellEnd"/>
            <w:r w:rsidRPr="008C0CCA">
              <w:rPr>
                <w:sz w:val="20"/>
                <w:szCs w:val="20"/>
              </w:rPr>
              <w:t xml:space="preserve"> et al. 2019, </w:t>
            </w:r>
            <w:proofErr w:type="spellStart"/>
            <w:r w:rsidRPr="008C0CCA">
              <w:rPr>
                <w:sz w:val="20"/>
                <w:szCs w:val="20"/>
              </w:rPr>
              <w:t>Lague</w:t>
            </w:r>
            <w:proofErr w:type="spellEnd"/>
            <w:r w:rsidRPr="008C0CCA">
              <w:rPr>
                <w:sz w:val="20"/>
                <w:szCs w:val="20"/>
              </w:rPr>
              <w:t xml:space="preserve"> et al. 2001, </w:t>
            </w:r>
            <w:proofErr w:type="spellStart"/>
            <w:r w:rsidRPr="008C0CCA">
              <w:rPr>
                <w:sz w:val="20"/>
                <w:szCs w:val="20"/>
              </w:rPr>
              <w:t>Mutch</w:t>
            </w:r>
            <w:proofErr w:type="spellEnd"/>
            <w:r w:rsidRPr="008C0CCA">
              <w:rPr>
                <w:sz w:val="20"/>
                <w:szCs w:val="20"/>
              </w:rPr>
              <w:t xml:space="preserve"> 2008, Parish 1990, Pelletier 1995, </w:t>
            </w:r>
            <w:proofErr w:type="spellStart"/>
            <w:r w:rsidRPr="008C0CCA">
              <w:rPr>
                <w:sz w:val="20"/>
                <w:szCs w:val="20"/>
              </w:rPr>
              <w:t>Peteinatos</w:t>
            </w:r>
            <w:proofErr w:type="spellEnd"/>
            <w:r w:rsidRPr="008C0CCA">
              <w:rPr>
                <w:sz w:val="20"/>
                <w:szCs w:val="20"/>
              </w:rPr>
              <w:t xml:space="preserve"> et al. 2014, Rifai et al. 1996, Slaughter et al. 2008</w:t>
            </w:r>
            <w:r w:rsidR="008C0CCA" w:rsidRPr="008C0CCA">
              <w:rPr>
                <w:sz w:val="20"/>
                <w:szCs w:val="20"/>
              </w:rPr>
              <w:t xml:space="preserve">, </w:t>
            </w:r>
            <w:proofErr w:type="spellStart"/>
            <w:r w:rsidR="008C0CCA" w:rsidRPr="008C0CCA">
              <w:rPr>
                <w:sz w:val="20"/>
                <w:szCs w:val="20"/>
              </w:rPr>
              <w:t>Stepanovicet</w:t>
            </w:r>
            <w:proofErr w:type="spellEnd"/>
            <w:r w:rsidR="008C0CCA" w:rsidRPr="008C0CCA">
              <w:rPr>
                <w:sz w:val="20"/>
                <w:szCs w:val="20"/>
              </w:rPr>
              <w:t xml:space="preserve"> al. 2016, and </w:t>
            </w:r>
            <w:proofErr w:type="spellStart"/>
            <w:r w:rsidR="008C0CCA" w:rsidRPr="008C0CCA">
              <w:rPr>
                <w:sz w:val="20"/>
                <w:szCs w:val="20"/>
              </w:rPr>
              <w:t>Wijayasingheet</w:t>
            </w:r>
            <w:proofErr w:type="spellEnd"/>
            <w:r w:rsidR="008C0CCA" w:rsidRPr="008C0CCA">
              <w:rPr>
                <w:sz w:val="20"/>
                <w:szCs w:val="20"/>
              </w:rPr>
              <w:t xml:space="preserve"> al. 2025</w:t>
            </w:r>
            <w:r>
              <w:rPr>
                <w:sz w:val="20"/>
                <w:szCs w:val="20"/>
              </w:rPr>
              <w:t xml:space="preserve"> are</w:t>
            </w:r>
            <w:r w:rsidRPr="00D03561">
              <w:rPr>
                <w:sz w:val="20"/>
                <w:szCs w:val="20"/>
              </w:rPr>
              <w:t xml:space="preserve"> not mentioned in the text of the manuscript.</w:t>
            </w:r>
          </w:p>
          <w:p w:rsidR="000D583A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Rating scale = </w:t>
            </w:r>
            <w:r w:rsidR="00AA0825">
              <w:rPr>
                <w:bCs/>
                <w:sz w:val="20"/>
                <w:szCs w:val="20"/>
                <w:lang w:val="en-GB"/>
              </w:rPr>
              <w:t>2</w:t>
            </w:r>
          </w:p>
          <w:p w:rsidR="000D583A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References that can be included:</w:t>
            </w:r>
          </w:p>
          <w:p w:rsidR="000D583A" w:rsidRPr="007C03C9" w:rsidRDefault="000D583A" w:rsidP="000D583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7C03C9">
              <w:rPr>
                <w:sz w:val="20"/>
                <w:szCs w:val="20"/>
              </w:rPr>
              <w:t>Knezevic</w:t>
            </w:r>
            <w:proofErr w:type="spellEnd"/>
            <w:r w:rsidRPr="007C03C9">
              <w:rPr>
                <w:sz w:val="20"/>
                <w:szCs w:val="20"/>
              </w:rPr>
              <w:t xml:space="preserve">, S. Z. 2016. </w:t>
            </w:r>
            <w:r w:rsidRPr="007C03C9">
              <w:rPr>
                <w:color w:val="000000"/>
                <w:sz w:val="20"/>
                <w:szCs w:val="20"/>
                <w:shd w:val="clear" w:color="auto" w:fill="FFFFFF"/>
              </w:rPr>
              <w:t xml:space="preserve">Flame weeding as an alternative tool for weed management in agronomic crops: Revisiting the old concept. Acta </w:t>
            </w:r>
            <w:proofErr w:type="spellStart"/>
            <w:r w:rsidRPr="007C03C9">
              <w:rPr>
                <w:color w:val="000000"/>
                <w:sz w:val="20"/>
                <w:szCs w:val="20"/>
                <w:shd w:val="clear" w:color="auto" w:fill="FFFFFF"/>
              </w:rPr>
              <w:t>Herbologica</w:t>
            </w:r>
            <w:proofErr w:type="spellEnd"/>
            <w:r w:rsidRPr="007C03C9">
              <w:rPr>
                <w:color w:val="000000"/>
                <w:sz w:val="20"/>
                <w:szCs w:val="20"/>
                <w:shd w:val="clear" w:color="auto" w:fill="FFFFFF"/>
              </w:rPr>
              <w:t xml:space="preserve"> 25(2):69-80. DOI:10.5937/ActaHerb1602069K.</w:t>
            </w:r>
          </w:p>
          <w:p w:rsidR="000D583A" w:rsidRPr="007C03C9" w:rsidRDefault="000D583A" w:rsidP="000D583A">
            <w:pPr>
              <w:jc w:val="both"/>
              <w:rPr>
                <w:color w:val="1F1F1F"/>
                <w:sz w:val="20"/>
                <w:szCs w:val="20"/>
              </w:rPr>
            </w:pPr>
            <w:r w:rsidRPr="000D583A">
              <w:rPr>
                <w:rStyle w:val="given-name"/>
                <w:color w:val="1F1F1F"/>
                <w:sz w:val="20"/>
                <w:szCs w:val="20"/>
              </w:rPr>
              <w:t>Abhishek</w:t>
            </w:r>
            <w:r w:rsidRPr="000D583A">
              <w:rPr>
                <w:rStyle w:val="react-xocs-alternative-link"/>
                <w:color w:val="1F1F1F"/>
                <w:sz w:val="20"/>
                <w:szCs w:val="20"/>
              </w:rPr>
              <w:t> </w:t>
            </w:r>
            <w:r w:rsidRPr="000D583A">
              <w:rPr>
                <w:rStyle w:val="text"/>
                <w:color w:val="1F1F1F"/>
                <w:sz w:val="20"/>
                <w:szCs w:val="20"/>
              </w:rPr>
              <w:t>Upadhyay</w:t>
            </w:r>
            <w:r w:rsidRPr="000D583A">
              <w:rPr>
                <w:color w:val="1F1F1F"/>
                <w:sz w:val="20"/>
                <w:szCs w:val="20"/>
              </w:rPr>
              <w:t>, </w:t>
            </w:r>
            <w:r w:rsidRPr="000D583A">
              <w:rPr>
                <w:rStyle w:val="given-name"/>
                <w:color w:val="1F1F1F"/>
                <w:sz w:val="20"/>
                <w:szCs w:val="20"/>
              </w:rPr>
              <w:t>Krishna Pratap</w:t>
            </w:r>
            <w:r w:rsidRPr="000D583A">
              <w:rPr>
                <w:rStyle w:val="react-xocs-alternative-link"/>
                <w:color w:val="1F1F1F"/>
                <w:sz w:val="20"/>
                <w:szCs w:val="20"/>
              </w:rPr>
              <w:t> </w:t>
            </w:r>
            <w:r w:rsidRPr="000D583A">
              <w:rPr>
                <w:rStyle w:val="text"/>
                <w:color w:val="1F1F1F"/>
                <w:sz w:val="20"/>
                <w:szCs w:val="20"/>
              </w:rPr>
              <w:t>Singh</w:t>
            </w:r>
            <w:r w:rsidRPr="000D583A">
              <w:rPr>
                <w:color w:val="1F1F1F"/>
                <w:sz w:val="20"/>
                <w:szCs w:val="20"/>
              </w:rPr>
              <w:t>, </w:t>
            </w:r>
            <w:r w:rsidRPr="000D583A">
              <w:rPr>
                <w:rStyle w:val="given-name"/>
                <w:color w:val="1F1F1F"/>
                <w:sz w:val="20"/>
                <w:szCs w:val="20"/>
              </w:rPr>
              <w:t>K.B.</w:t>
            </w:r>
            <w:r w:rsidRPr="000D583A">
              <w:rPr>
                <w:rStyle w:val="react-xocs-alternative-link"/>
                <w:color w:val="1F1F1F"/>
                <w:sz w:val="20"/>
                <w:szCs w:val="20"/>
              </w:rPr>
              <w:t> </w:t>
            </w:r>
            <w:proofErr w:type="spellStart"/>
            <w:r w:rsidRPr="000D583A">
              <w:rPr>
                <w:rStyle w:val="text"/>
                <w:color w:val="1F1F1F"/>
                <w:sz w:val="20"/>
                <w:szCs w:val="20"/>
              </w:rPr>
              <w:t>Jhala</w:t>
            </w:r>
            <w:proofErr w:type="spellEnd"/>
            <w:r w:rsidRPr="000D583A">
              <w:rPr>
                <w:color w:val="1F1F1F"/>
                <w:sz w:val="20"/>
                <w:szCs w:val="20"/>
              </w:rPr>
              <w:t>, </w:t>
            </w:r>
            <w:r w:rsidRPr="000D583A">
              <w:rPr>
                <w:rStyle w:val="given-name"/>
                <w:color w:val="1F1F1F"/>
                <w:sz w:val="20"/>
                <w:szCs w:val="20"/>
              </w:rPr>
              <w:t>Mohit</w:t>
            </w:r>
            <w:r w:rsidRPr="000D583A">
              <w:rPr>
                <w:rStyle w:val="react-xocs-alternative-link"/>
                <w:color w:val="1F1F1F"/>
                <w:sz w:val="20"/>
                <w:szCs w:val="20"/>
              </w:rPr>
              <w:t> </w:t>
            </w:r>
            <w:r w:rsidRPr="000D583A">
              <w:rPr>
                <w:rStyle w:val="text"/>
                <w:color w:val="1F1F1F"/>
                <w:sz w:val="20"/>
                <w:szCs w:val="20"/>
              </w:rPr>
              <w:t>Kumar</w:t>
            </w:r>
            <w:r w:rsidRPr="000D583A">
              <w:rPr>
                <w:color w:val="1F1F1F"/>
                <w:sz w:val="20"/>
                <w:szCs w:val="20"/>
              </w:rPr>
              <w:t>, </w:t>
            </w:r>
            <w:r w:rsidRPr="000D583A">
              <w:rPr>
                <w:rStyle w:val="given-name"/>
                <w:color w:val="1F1F1F"/>
                <w:sz w:val="20"/>
                <w:szCs w:val="20"/>
              </w:rPr>
              <w:t>Ali</w:t>
            </w:r>
            <w:r w:rsidRPr="000D583A">
              <w:rPr>
                <w:rStyle w:val="react-xocs-alternative-link"/>
                <w:color w:val="1F1F1F"/>
                <w:sz w:val="20"/>
                <w:szCs w:val="20"/>
              </w:rPr>
              <w:t> </w:t>
            </w:r>
            <w:r w:rsidRPr="000D583A">
              <w:rPr>
                <w:rStyle w:val="text"/>
                <w:color w:val="1F1F1F"/>
                <w:sz w:val="20"/>
                <w:szCs w:val="20"/>
              </w:rPr>
              <w:t xml:space="preserve">Salem. </w:t>
            </w:r>
            <w:r w:rsidRPr="007C03C9">
              <w:rPr>
                <w:rStyle w:val="text"/>
                <w:color w:val="1F1F1F"/>
                <w:sz w:val="20"/>
                <w:szCs w:val="20"/>
              </w:rPr>
              <w:t xml:space="preserve">2024. </w:t>
            </w:r>
            <w:r w:rsidRPr="007C03C9">
              <w:rPr>
                <w:rStyle w:val="title-text"/>
                <w:rFonts w:eastAsia="Arial Unicode MS"/>
                <w:color w:val="1F1F1F"/>
                <w:sz w:val="20"/>
                <w:szCs w:val="20"/>
              </w:rPr>
              <w:t>Non-chemical weed management: Harnessing flame weeding for effective weed control</w:t>
            </w:r>
            <w:r w:rsidRPr="007C03C9">
              <w:rPr>
                <w:rStyle w:val="title-text"/>
                <w:color w:val="1F1F1F"/>
                <w:sz w:val="20"/>
                <w:szCs w:val="20"/>
              </w:rPr>
              <w:t xml:space="preserve">. </w:t>
            </w:r>
            <w:proofErr w:type="spellStart"/>
            <w:r w:rsidRPr="007C03C9">
              <w:rPr>
                <w:rStyle w:val="title-text"/>
                <w:color w:val="1F1F1F"/>
                <w:sz w:val="20"/>
                <w:szCs w:val="20"/>
              </w:rPr>
              <w:t>Heliyon</w:t>
            </w:r>
            <w:proofErr w:type="spellEnd"/>
            <w:r w:rsidRPr="007C03C9">
              <w:rPr>
                <w:rStyle w:val="title-text"/>
                <w:color w:val="1F1F1F"/>
                <w:sz w:val="20"/>
                <w:szCs w:val="20"/>
              </w:rPr>
              <w:t xml:space="preserve"> 10(12</w:t>
            </w:r>
            <w:proofErr w:type="gramStart"/>
            <w:r w:rsidRPr="007C03C9">
              <w:rPr>
                <w:rStyle w:val="title-text"/>
                <w:color w:val="1F1F1F"/>
                <w:sz w:val="20"/>
                <w:szCs w:val="20"/>
              </w:rPr>
              <w:t>):e</w:t>
            </w:r>
            <w:proofErr w:type="gramEnd"/>
            <w:r w:rsidRPr="007C03C9">
              <w:rPr>
                <w:rStyle w:val="title-text"/>
                <w:color w:val="1F1F1F"/>
                <w:sz w:val="20"/>
                <w:szCs w:val="20"/>
              </w:rPr>
              <w:t xml:space="preserve">32776. </w:t>
            </w:r>
            <w:hyperlink r:id="rId7" w:tgtFrame="_blank" w:tooltip="Persistent link using digital object identifier" w:history="1">
              <w:r w:rsidRPr="007C03C9">
                <w:rPr>
                  <w:rStyle w:val="anchor-text"/>
                  <w:color w:val="0272B1"/>
                  <w:sz w:val="20"/>
                  <w:szCs w:val="20"/>
                </w:rPr>
                <w:t>https://doi.org/10.1016/j.heliyon.2024.e32776</w:t>
              </w:r>
            </w:hyperlink>
            <w:r w:rsidRPr="007C03C9">
              <w:rPr>
                <w:color w:val="1F1F1F"/>
                <w:sz w:val="20"/>
                <w:szCs w:val="20"/>
              </w:rPr>
              <w:t>.</w:t>
            </w:r>
          </w:p>
          <w:p w:rsidR="000D583A" w:rsidRPr="007C03C9" w:rsidRDefault="000D583A" w:rsidP="000D583A">
            <w:pPr>
              <w:jc w:val="both"/>
              <w:rPr>
                <w:color w:val="1F1F1F"/>
                <w:sz w:val="20"/>
                <w:szCs w:val="20"/>
              </w:rPr>
            </w:pP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Rajković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M.,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Malidža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G.,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Tomaš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Simin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M.,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Milić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D.,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Glavaš-Trbić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D.,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Meseldžija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 xml:space="preserve">, M., &amp; </w:t>
            </w:r>
            <w:proofErr w:type="spellStart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Vrbničanin</w:t>
            </w:r>
            <w:proofErr w:type="spellEnd"/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, S. 2021. Sustainable Organic Corn Production with the Use of Flame Weeding as the Most Sustainable Economical Solution. </w:t>
            </w:r>
            <w:r w:rsidRPr="007C03C9">
              <w:rPr>
                <w:rStyle w:val="Emphasis"/>
                <w:rFonts w:eastAsia="MS Mincho"/>
                <w:i w:val="0"/>
                <w:color w:val="222222"/>
                <w:sz w:val="20"/>
                <w:szCs w:val="20"/>
                <w:shd w:val="clear" w:color="auto" w:fill="FFFFFF"/>
              </w:rPr>
              <w:t>Sustainability</w:t>
            </w:r>
            <w:r w:rsidRPr="007C03C9">
              <w:rPr>
                <w:i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7C03C9">
              <w:rPr>
                <w:rStyle w:val="Emphasis"/>
                <w:rFonts w:eastAsia="MS Mincho"/>
                <w:i w:val="0"/>
                <w:color w:val="222222"/>
                <w:sz w:val="20"/>
                <w:szCs w:val="20"/>
                <w:shd w:val="clear" w:color="auto" w:fill="FFFFFF"/>
              </w:rPr>
              <w:t>13</w:t>
            </w:r>
            <w:r w:rsidRPr="007C03C9">
              <w:rPr>
                <w:color w:val="222222"/>
                <w:sz w:val="20"/>
                <w:szCs w:val="20"/>
                <w:shd w:val="clear" w:color="auto" w:fill="FFFFFF"/>
              </w:rPr>
              <w:t>(2):572. https://doi.org/10.3390/su13020572.</w:t>
            </w:r>
          </w:p>
          <w:p w:rsidR="000D583A" w:rsidRPr="007C03C9" w:rsidRDefault="000D583A" w:rsidP="000D583A">
            <w:pPr>
              <w:jc w:val="both"/>
              <w:rPr>
                <w:color w:val="1F1F1F"/>
                <w:sz w:val="20"/>
                <w:szCs w:val="20"/>
              </w:rPr>
            </w:pPr>
          </w:p>
          <w:p w:rsidR="000D583A" w:rsidRPr="007C03C9" w:rsidRDefault="000D583A" w:rsidP="000D583A">
            <w:pPr>
              <w:jc w:val="both"/>
              <w:rPr>
                <w:color w:val="1F1F1F"/>
                <w:sz w:val="20"/>
                <w:szCs w:val="20"/>
              </w:rPr>
            </w:pPr>
          </w:p>
          <w:p w:rsidR="000D583A" w:rsidRDefault="000D583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Default="000A75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0A75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0A751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0A75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Default="000A75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see comments above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Default="000A751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012D6F" w:rsidRPr="005F4EDD" w:rsidRDefault="00012D6F" w:rsidP="00012D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12D6F" w:rsidRDefault="00012D6F" w:rsidP="00012D6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12D6F" w:rsidRPr="00AA557E" w:rsidRDefault="00012D6F" w:rsidP="00012D6F">
      <w:pPr>
        <w:rPr>
          <w:rFonts w:asciiTheme="minorHAnsi" w:hAnsiTheme="minorHAnsi"/>
        </w:rPr>
      </w:pPr>
      <w:r>
        <w:rPr>
          <w:rFonts w:ascii="Calibri" w:hAnsi="Calibri" w:cs="Calibri"/>
          <w:color w:val="000000"/>
        </w:rPr>
        <w:t>Guillermo Fuentes-</w:t>
      </w:r>
      <w:proofErr w:type="spellStart"/>
      <w:r>
        <w:rPr>
          <w:rFonts w:ascii="Calibri" w:hAnsi="Calibri" w:cs="Calibri"/>
          <w:color w:val="000000"/>
        </w:rPr>
        <w:t>Dávila</w:t>
      </w:r>
      <w:proofErr w:type="spellEnd"/>
      <w:r>
        <w:rPr>
          <w:rFonts w:ascii="Calibri" w:hAnsi="Calibri" w:cs="Calibri"/>
          <w:color w:val="000000"/>
        </w:rPr>
        <w:t>, Mexican National Institute for Forestry, Agriculture, and Livestock Research, Mexico</w:t>
      </w:r>
      <w:r>
        <w:rPr>
          <w:rFonts w:ascii="Calibri" w:hAnsi="Calibri" w:cs="Calibri"/>
          <w:color w:val="000000"/>
        </w:rPr>
        <w:br/>
      </w:r>
    </w:p>
    <w:p w:rsidR="00B529AC" w:rsidRDefault="00B529AC">
      <w:pPr>
        <w:rPr>
          <w:highlight w:val="yellow"/>
          <w:lang w:val="en-GB"/>
        </w:rPr>
      </w:pPr>
      <w:bookmarkStart w:id="0" w:name="_GoBack"/>
      <w:bookmarkEnd w:id="0"/>
    </w:p>
    <w:sectPr w:rsidR="00B529A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EF5" w:rsidRDefault="00E35EF5">
      <w:r>
        <w:separator/>
      </w:r>
    </w:p>
  </w:endnote>
  <w:endnote w:type="continuationSeparator" w:id="0">
    <w:p w:rsidR="00E35EF5" w:rsidRDefault="00E3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31E" w:rsidRDefault="003D531E">
    <w:pPr>
      <w:pStyle w:val="Footer"/>
      <w:jc w:val="right"/>
    </w:pPr>
  </w:p>
  <w:p w:rsidR="003D531E" w:rsidRDefault="003D531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7321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73215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3D531E" w:rsidRDefault="003D531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3D531E" w:rsidRDefault="003D531E">
    <w:pPr>
      <w:pStyle w:val="Footer"/>
      <w:jc w:val="right"/>
    </w:pPr>
  </w:p>
  <w:p w:rsidR="003D531E" w:rsidRDefault="003D53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EF5" w:rsidRDefault="00E35EF5">
      <w:r>
        <w:separator/>
      </w:r>
    </w:p>
  </w:footnote>
  <w:footnote w:type="continuationSeparator" w:id="0">
    <w:p w:rsidR="00E35EF5" w:rsidRDefault="00E35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31E" w:rsidRDefault="003D531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D531E" w:rsidRDefault="003D531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012D6F"/>
    <w:rsid w:val="000A7519"/>
    <w:rsid w:val="000D583A"/>
    <w:rsid w:val="00132262"/>
    <w:rsid w:val="00136125"/>
    <w:rsid w:val="00173215"/>
    <w:rsid w:val="003410EA"/>
    <w:rsid w:val="003D531E"/>
    <w:rsid w:val="003F295C"/>
    <w:rsid w:val="00460D5D"/>
    <w:rsid w:val="004A2EA7"/>
    <w:rsid w:val="004E423C"/>
    <w:rsid w:val="00503514"/>
    <w:rsid w:val="00512039"/>
    <w:rsid w:val="00603AAF"/>
    <w:rsid w:val="00647AF4"/>
    <w:rsid w:val="0070345E"/>
    <w:rsid w:val="008C0CCA"/>
    <w:rsid w:val="009303BF"/>
    <w:rsid w:val="00931EA2"/>
    <w:rsid w:val="00982DB3"/>
    <w:rsid w:val="009C7E22"/>
    <w:rsid w:val="009E47E0"/>
    <w:rsid w:val="00AA0825"/>
    <w:rsid w:val="00B529AC"/>
    <w:rsid w:val="00BC4A81"/>
    <w:rsid w:val="00C526B0"/>
    <w:rsid w:val="00CD6516"/>
    <w:rsid w:val="00D03561"/>
    <w:rsid w:val="00E35EF5"/>
    <w:rsid w:val="00E52C21"/>
    <w:rsid w:val="00E702F7"/>
    <w:rsid w:val="00F03A16"/>
    <w:rsid w:val="00F20668"/>
    <w:rsid w:val="00F36331"/>
    <w:rsid w:val="00F6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DF71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0D583A"/>
  </w:style>
  <w:style w:type="character" w:customStyle="1" w:styleId="react-xocs-alternative-link">
    <w:name w:val="react-xocs-alternative-link"/>
    <w:basedOn w:val="DefaultParagraphFont"/>
    <w:rsid w:val="000D583A"/>
  </w:style>
  <w:style w:type="character" w:customStyle="1" w:styleId="given-name">
    <w:name w:val="given-name"/>
    <w:basedOn w:val="DefaultParagraphFont"/>
    <w:rsid w:val="000D583A"/>
  </w:style>
  <w:style w:type="character" w:customStyle="1" w:styleId="text">
    <w:name w:val="text"/>
    <w:basedOn w:val="DefaultParagraphFont"/>
    <w:rsid w:val="000D583A"/>
  </w:style>
  <w:style w:type="character" w:customStyle="1" w:styleId="anchor-text">
    <w:name w:val="anchor-text"/>
    <w:basedOn w:val="DefaultParagraphFont"/>
    <w:rsid w:val="000D583A"/>
  </w:style>
  <w:style w:type="character" w:styleId="Emphasis">
    <w:name w:val="Emphasis"/>
    <w:basedOn w:val="DefaultParagraphFont"/>
    <w:uiPriority w:val="20"/>
    <w:qFormat/>
    <w:rsid w:val="000D583A"/>
    <w:rPr>
      <w:i/>
      <w:iCs/>
    </w:rPr>
  </w:style>
  <w:style w:type="paragraph" w:customStyle="1" w:styleId="Affiliation">
    <w:name w:val="Affiliation"/>
    <w:basedOn w:val="Normal"/>
    <w:rsid w:val="00012D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heliyon.2024.e327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22</cp:revision>
  <dcterms:created xsi:type="dcterms:W3CDTF">2026-04-04T15:52:00Z</dcterms:created>
  <dcterms:modified xsi:type="dcterms:W3CDTF">2026-04-07T12:11:00Z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