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D815D" w14:textId="77777777" w:rsidR="00796D56" w:rsidRPr="00796D56" w:rsidRDefault="00796D56" w:rsidP="00796D56">
      <w:pPr>
        <w:spacing w:line="360" w:lineRule="auto"/>
        <w:jc w:val="both"/>
        <w:rPr>
          <w:rFonts w:ascii="Times New Roman" w:eastAsia="Times New Roman" w:hAnsi="Times New Roman" w:cs="Times New Roman"/>
          <w:b/>
          <w:bCs/>
          <w:i/>
          <w:iCs/>
          <w:u w:val="single"/>
          <w:lang w:val="en-US"/>
        </w:rPr>
      </w:pPr>
      <w:r w:rsidRPr="00796D56">
        <w:rPr>
          <w:rFonts w:ascii="Times New Roman" w:eastAsia="Times New Roman" w:hAnsi="Times New Roman" w:cs="Times New Roman"/>
          <w:b/>
          <w:bCs/>
          <w:i/>
          <w:iCs/>
          <w:u w:val="single"/>
          <w:lang w:val="en-US"/>
        </w:rPr>
        <w:t>Original Research Article</w:t>
      </w:r>
    </w:p>
    <w:p w14:paraId="5E100867" w14:textId="49AA7987" w:rsidR="0099756F" w:rsidRPr="0099756F" w:rsidRDefault="0099756F">
      <w:pPr>
        <w:spacing w:line="360" w:lineRule="auto"/>
        <w:jc w:val="both"/>
        <w:rPr>
          <w:rFonts w:ascii="Garamond" w:eastAsia="Garamond" w:hAnsi="Garamond" w:cs="Garamond"/>
          <w:b/>
          <w:bCs/>
        </w:rPr>
      </w:pPr>
      <w:r w:rsidRPr="0099756F">
        <w:rPr>
          <w:rFonts w:ascii="Times New Roman" w:eastAsia="Times New Roman" w:hAnsi="Times New Roman" w:cs="Times New Roman"/>
          <w:b/>
          <w:bCs/>
        </w:rPr>
        <w:t>The influence of flooding on food security in Baringo County Kenya</w:t>
      </w:r>
    </w:p>
    <w:p w14:paraId="50B9F6C0" w14:textId="77777777" w:rsidR="0099756F" w:rsidRDefault="0099756F">
      <w:pPr>
        <w:spacing w:line="360" w:lineRule="auto"/>
        <w:jc w:val="both"/>
        <w:rPr>
          <w:rFonts w:ascii="Garamond" w:eastAsia="Garamond" w:hAnsi="Garamond" w:cs="Garamond"/>
          <w:b/>
          <w:bCs/>
          <w:sz w:val="24"/>
          <w:szCs w:val="24"/>
        </w:rPr>
      </w:pPr>
    </w:p>
    <w:p w14:paraId="5E17948B" w14:textId="77777777" w:rsidR="0099756F" w:rsidRDefault="0099756F">
      <w:pPr>
        <w:spacing w:line="360" w:lineRule="auto"/>
        <w:jc w:val="both"/>
        <w:rPr>
          <w:rFonts w:ascii="Garamond" w:eastAsia="Garamond" w:hAnsi="Garamond" w:cs="Garamond"/>
          <w:b/>
          <w:bCs/>
          <w:sz w:val="24"/>
          <w:szCs w:val="24"/>
        </w:rPr>
      </w:pPr>
    </w:p>
    <w:p w14:paraId="0497CF45" w14:textId="77777777" w:rsidR="00B606BF" w:rsidRDefault="00B606BF">
      <w:pPr>
        <w:spacing w:line="360" w:lineRule="auto"/>
        <w:jc w:val="both"/>
        <w:rPr>
          <w:rFonts w:ascii="Garamond" w:eastAsia="Garamond" w:hAnsi="Garamond" w:cs="Garamond"/>
          <w:b/>
          <w:bCs/>
          <w:sz w:val="24"/>
          <w:szCs w:val="24"/>
        </w:rPr>
      </w:pPr>
    </w:p>
    <w:p w14:paraId="4D79A79C" w14:textId="241CEC09"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Abstract </w:t>
      </w:r>
    </w:p>
    <w:p w14:paraId="4F1FF00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Climate change continues to pose a significant global threat to food security, particularly in developing countries where livelihoods depend heavily on agriculture. In Kenya, flood-prone regions such as Baringo County have experienced increasing climate variability, with recurrent flooding severely disrupting agricultural production and household livelihoods. Flood events undermine the four key dimensions of food security availability, access, utilization, and stability thereby increasing vulnerability among affected populations. Despite the growing frequency and intensity of floods, there is limited empirical evidence examining the relationship between flooding and food security in Baringo County. This study focuses on Baringo South Sub-County, an area highly susceptible to flooding due to its proximity to Lakes Baringo and </w:t>
      </w:r>
      <w:proofErr w:type="spellStart"/>
      <w:r>
        <w:rPr>
          <w:rFonts w:ascii="Garamond" w:eastAsia="Garamond" w:hAnsi="Garamond" w:cs="Garamond"/>
          <w:color w:val="000000"/>
          <w:sz w:val="24"/>
          <w:szCs w:val="24"/>
        </w:rPr>
        <w:t>Bogoria</w:t>
      </w:r>
      <w:proofErr w:type="spellEnd"/>
      <w:r>
        <w:rPr>
          <w:rFonts w:ascii="Garamond" w:eastAsia="Garamond" w:hAnsi="Garamond" w:cs="Garamond"/>
          <w:color w:val="000000"/>
          <w:sz w:val="24"/>
          <w:szCs w:val="24"/>
        </w:rPr>
        <w:t>. The research aims to assess the frequency, causes, and extent of flooding, examine household vulnerability and adaptive capacity, identify determinants of food security, and evaluate the overall impact of flooding on food security. The study is guided by the hypothesis that there is no significant relationship between flooding and food security.</w:t>
      </w:r>
    </w:p>
    <w:p w14:paraId="17471229"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color w:val="000000"/>
          <w:sz w:val="24"/>
          <w:szCs w:val="24"/>
        </w:rPr>
        <w:t>Keywords:</w:t>
      </w:r>
      <w:r>
        <w:rPr>
          <w:rFonts w:ascii="Garamond" w:eastAsia="Garamond" w:hAnsi="Garamond" w:cs="Garamond"/>
          <w:b/>
          <w:bCs/>
          <w:color w:val="000000"/>
          <w:sz w:val="24"/>
          <w:szCs w:val="24"/>
        </w:rPr>
        <w:t xml:space="preserve"> Flooding, climate variability, natural disasters, agricultural loss, food security</w:t>
      </w:r>
    </w:p>
    <w:p w14:paraId="1C90606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1.0. Introduction </w:t>
      </w:r>
    </w:p>
    <w:p w14:paraId="69CFEB8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1.1. Flooding and Food Security </w:t>
      </w:r>
    </w:p>
    <w:p w14:paraId="688C2B4E"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is a major global environmental hazard that occurs when excess water inundates normally dry land, often due to irregular rainfall, snowmelt, or storm surges (World Health Organization, 2024; Amerasinghe et al., 2020). Water-related disasters account for a large proportion of natural hazards, affecting billions of people and causing significant mortality and livelihood disruption (Food and Agriculture Organization of the United Nations [FAO], 2021b). The frequency of floods </w:t>
      </w:r>
      <w:r>
        <w:rPr>
          <w:rFonts w:ascii="Garamond" w:eastAsia="Garamond" w:hAnsi="Garamond" w:cs="Garamond"/>
          <w:sz w:val="24"/>
          <w:szCs w:val="24"/>
        </w:rPr>
        <w:lastRenderedPageBreak/>
        <w:t>has increased over time, reflecting intensifying climate variability and environmental change (FAO, 2021b; Intergovernmental Panel on Climate Change [IPCC], 2022). Flooding leads to destruction of crops, livestock losses, infrastructure damage, and disruption of food systems (IPCC, 2020). Consequently, floods pose a major threat to food security and undermine global efforts to achieve zero hunger targets (Relief Web, 2023; FAO, 2021b).</w:t>
      </w:r>
    </w:p>
    <w:p w14:paraId="64663A2F"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1.2. Global and Regional Food Insecurity Trends</w:t>
      </w:r>
    </w:p>
    <w:p w14:paraId="40D2F7AA"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Food security refers to consistent access to sufficient, safe, and nutritious food, yet climate shocks continue to undermine this goal (Relief Web, 2023; FAO, 2021a). Globally, hundreds of millions of people remain undernourished, while billions experience moderate to severe food insecurity (World Food Programme &amp; UNICEF, 2018; World Health Organization &amp; World Food Programme, 2020). FAOSTAT (2020) further highlights that a significant proportion of the global population faces food insecurity pressures. In Africa, food insecurity remains widespread due to climate variability, conflict, and economic instability (FAO, 2020). Eastern and Central Africa are particularly affected, with high vulnerability levels driven by environmental and socioeconomic pressures (Perez et al., 2019; FAO, 2020).</w:t>
      </w:r>
    </w:p>
    <w:p w14:paraId="7873FF62"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1.3. Flooding and Food Security in Africa and Kenya</w:t>
      </w:r>
    </w:p>
    <w:p w14:paraId="15194F83"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has significantly affected food security across Africa by displacing populations and destroying agricultural systems (Anabaraonye, 2020). In Nigeria, major flood events have led to widespread displacement and agricultural losses, worsening food insecurity (Anabaraonye, 2020). In Kenya, floods have caused extensive destruction of crops and livestock, undermining rural livelihoods (Kenya Red Cross Society, 2019). The country is highly vulnerable to climate change impacts, including flooding (Notre Dame Global Adaptation Initiative, 2023). Historical flood events have also contributed to economic losses and reduced agricultural productivity (Muia et al., 2020; Opere, 2019).</w:t>
      </w:r>
    </w:p>
    <w:p w14:paraId="070C0047"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1.4. Flooding and Food Security in Baringo County</w:t>
      </w:r>
    </w:p>
    <w:p w14:paraId="7273534B"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Baringo County experiences recurrent flooding linked to rising lake levels and increased rainfall variability (Opere, 2019). These floods have destroyed farmland, infrastructure, and biodiversity, affecting household livelihoods. The expansion of Lake Baringo has further increased exposure of </w:t>
      </w:r>
      <w:r>
        <w:rPr>
          <w:rFonts w:ascii="Garamond" w:eastAsia="Garamond" w:hAnsi="Garamond" w:cs="Garamond"/>
          <w:sz w:val="24"/>
          <w:szCs w:val="24"/>
        </w:rPr>
        <w:lastRenderedPageBreak/>
        <w:t>settlements and agricultural land to flooding risks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w:t>
      </w:r>
      <w:commentRangeStart w:id="0"/>
      <w:r>
        <w:rPr>
          <w:rFonts w:ascii="Garamond" w:eastAsia="Garamond" w:hAnsi="Garamond" w:cs="Garamond"/>
          <w:sz w:val="24"/>
          <w:szCs w:val="24"/>
        </w:rPr>
        <w:t>et</w:t>
      </w:r>
      <w:commentRangeEnd w:id="0"/>
      <w:r w:rsidR="00E67FA4">
        <w:rPr>
          <w:rStyle w:val="CommentReference"/>
        </w:rPr>
        <w:commentReference w:id="0"/>
      </w:r>
      <w:r>
        <w:rPr>
          <w:rFonts w:ascii="Garamond" w:eastAsia="Garamond" w:hAnsi="Garamond" w:cs="Garamond"/>
          <w:sz w:val="24"/>
          <w:szCs w:val="24"/>
        </w:rPr>
        <w:t xml:space="preserve"> al., 2021). These environmental changes have reduced agricultural productivity and grazing land availability, increasing food insecurity. However, limited empirical research exists on the direct flooding–food security nexus in the region.</w:t>
      </w:r>
    </w:p>
    <w:p w14:paraId="4D4F6A98" w14:textId="77777777" w:rsidR="00203701" w:rsidRDefault="003D14C2">
      <w:pPr>
        <w:spacing w:line="360" w:lineRule="auto"/>
        <w:jc w:val="both"/>
        <w:rPr>
          <w:rFonts w:ascii="Garamond" w:eastAsia="Garamond" w:hAnsi="Garamond" w:cs="Garamond"/>
          <w:b/>
          <w:bCs/>
          <w:sz w:val="24"/>
          <w:szCs w:val="24"/>
        </w:rPr>
      </w:pPr>
      <w:bookmarkStart w:id="1" w:name="_cxbq98gzq72p" w:colFirst="0" w:colLast="0"/>
      <w:bookmarkEnd w:id="1"/>
      <w:r>
        <w:rPr>
          <w:rFonts w:ascii="Garamond" w:eastAsia="Garamond" w:hAnsi="Garamond" w:cs="Garamond"/>
          <w:b/>
          <w:bCs/>
          <w:sz w:val="24"/>
          <w:szCs w:val="24"/>
        </w:rPr>
        <w:t>1.5. Statement of the Problem</w:t>
      </w:r>
    </w:p>
    <w:p w14:paraId="7AB916EB"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Baringo County is increasingly affected by climate variability characterized by alternating droughts and floods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w:t>
      </w:r>
      <w:commentRangeStart w:id="2"/>
      <w:r>
        <w:rPr>
          <w:rFonts w:ascii="Garamond" w:eastAsia="Garamond" w:hAnsi="Garamond" w:cs="Garamond"/>
          <w:sz w:val="24"/>
          <w:szCs w:val="24"/>
        </w:rPr>
        <w:t>et al</w:t>
      </w:r>
      <w:commentRangeEnd w:id="2"/>
      <w:r w:rsidR="00E67FA4">
        <w:rPr>
          <w:rStyle w:val="CommentReference"/>
        </w:rPr>
        <w:commentReference w:id="2"/>
      </w:r>
      <w:proofErr w:type="gramStart"/>
      <w:r>
        <w:rPr>
          <w:rFonts w:ascii="Garamond" w:eastAsia="Garamond" w:hAnsi="Garamond" w:cs="Garamond"/>
          <w:sz w:val="24"/>
          <w:szCs w:val="24"/>
        </w:rPr>
        <w:t>.,</w:t>
      </w:r>
      <w:proofErr w:type="gramEnd"/>
      <w:r>
        <w:rPr>
          <w:rFonts w:ascii="Garamond" w:eastAsia="Garamond" w:hAnsi="Garamond" w:cs="Garamond"/>
          <w:sz w:val="24"/>
          <w:szCs w:val="24"/>
        </w:rPr>
        <w:t xml:space="preserve"> 2021). Rising rainfall patterns have contributed to increased flooding frequency and lake expansion. This has led to land degradation, water quality challenges, and displacement of communities. Irrigation schemes supporting thousands of households have also been affected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Additionally, large-scale crop destruction has threatened food security and livelihoods in the region (Muia, 2021).</w:t>
      </w:r>
    </w:p>
    <w:p w14:paraId="29B11D13"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1.6. Research Questions</w:t>
      </w:r>
    </w:p>
    <w:p w14:paraId="0AB5245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seeks to examine the frequency and extent of flooding in Baringo County and its implications for livelihoods. It explores how household vulnerability and adaptive capacity differ across the region in response to climate shocks. The research also investigates the key determinants influencing food security among households. Furthermore, it examines the relationship between flooding and food insecurity in the county. These questions aim to generate evidence for understanding the complex interaction between environmental hazards and food systems.</w:t>
      </w:r>
    </w:p>
    <w:p w14:paraId="6240E20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1.7. Objectives of the Study</w:t>
      </w:r>
    </w:p>
    <w:p w14:paraId="6E2CAD2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general objective of the study is to assess the impact of flooding on food security in Baringo County, Kenya. Specifically, the study aims to determine the frequency, causes, and extent of flooding in the region. It also seeks to examine variations in household vulnerability and adaptive capacity to flooding. Additionally, the study identifies key factors influencing food security status among households. Finally, it evaluates the direct effects of flooding on food security outcomes in the county.</w:t>
      </w:r>
    </w:p>
    <w:p w14:paraId="42FC170C"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1.8. Research Hypothesis</w:t>
      </w:r>
    </w:p>
    <w:p w14:paraId="5C0D0BB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The study is guided by the null hypothesis that there is no significant relationship between flooding and food security in Baringo County. This hypothesis provides a basis for statistical testing and empirical analysis. It assumes that flooding does not significantly influence food availability, access, or utilization. However, existing literature suggests a likely relationship between climate hazards and food insecurity (IPCC, 2020). Testing this hypothesis will help validate or refute these assumptions within the local context.</w:t>
      </w:r>
    </w:p>
    <w:p w14:paraId="7B864117"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1.9. Significance of the Study</w:t>
      </w:r>
    </w:p>
    <w:p w14:paraId="687C0D9C"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This study contributes to a better understanding of how flooding affects food security in Baringo County, where limited empirical data currently exists. The findings support the development of effective mitigation and adaptation strategies to enhance community resilience. The research also raises awareness among local populations on sustainable coping mechanisms and disaster preparedness. Additionally, it provides valuable insights for policymakers, NGOs, and government agencies such as the Ministries of Agriculture and Environment. Ultimately, the study adds to the broader body of knowledge on climate change, flooding, and food security.</w:t>
      </w:r>
    </w:p>
    <w:p w14:paraId="7A22F60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2.0. Literature Review </w:t>
      </w:r>
    </w:p>
    <w:p w14:paraId="2A4675D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2.1. Theoretical framework </w:t>
      </w:r>
    </w:p>
    <w:p w14:paraId="6C24860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is anchored on a conceptual framework that links flooding to food insecurity through its impacts on agricultural production, livelihoods, infrastructure, and health conditions. Flooding leads to crop destruction, livestock losses, and displacement, which in turn affect food availability and access, while poor sanitation and water contamination compromise food utilization and stability. Review of literature highlights that flooding is driven by both natural and human-induced factors, including excessive rainfall, poor land use practices, and environmental degradation. Vulnerability to flooding is influenced by socioeconomic and institutional factors such as income, education, gender, and access to resources. Adaptation strategies range from structural measures like dykes to ecosystem-based approaches such as watershed restoration. However, existing studies have largely focused on socioeconomic determinants of food security, with limited attention to environmental shocks like flooding, particularly in the Kenyan context.</w:t>
      </w:r>
    </w:p>
    <w:p w14:paraId="5035FC0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2.2. Causes, Occurrence, and Magnitude of Floods in Baringo County</w:t>
      </w:r>
    </w:p>
    <w:p w14:paraId="42136C58"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lastRenderedPageBreak/>
        <w:t>Flooding is caused by heavy rainfall, river overflow, and environmental degradation (FAO, 2021b). Its impacts include crop destruction, land degradation, and loss of human and animal life (IPCC, 2020). Human activities such as deforestation and poor land use intensify flood severity (United Nations Environment Programme, 2021). Vulnerability is higher in low-lying and riparian areas (Perez et al., 2019). In Kenya, flooding significantly disrupts agriculture and food systems (Muia et al., 2020).</w:t>
      </w:r>
    </w:p>
    <w:p w14:paraId="7E303BD7" w14:textId="77777777" w:rsidR="00203701" w:rsidRDefault="00203701">
      <w:pPr>
        <w:spacing w:after="0" w:line="360" w:lineRule="auto"/>
        <w:jc w:val="both"/>
        <w:rPr>
          <w:rFonts w:ascii="Garamond" w:eastAsia="Garamond" w:hAnsi="Garamond" w:cs="Garamond"/>
          <w:sz w:val="24"/>
          <w:szCs w:val="24"/>
        </w:rPr>
      </w:pPr>
    </w:p>
    <w:p w14:paraId="1B749913"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2.3. Vulnerability and Adaptation</w:t>
      </w:r>
    </w:p>
    <w:p w14:paraId="63212C04"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Vulnerability refers to the susceptibility of systems to climate hazards, influenced by exposure, sensitivity, and adaptive capacity (IPCC, 2020). It varies across socioeconomic and environmental contexts (United Nations Environment Programme, 2021). Adaptation strategies include early warning systems, land-use planning, and ecosystem restoration (UNEP, 2021). Nature-based solutions improve resilience to flooding (UNEP, 2021). However, social inequality continues to limit adaptive capacity in many communities (IPCC, 2022).</w:t>
      </w:r>
    </w:p>
    <w:p w14:paraId="0AA2858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2.4. Factors Affecting Food Security Status in Baringo County</w:t>
      </w:r>
    </w:p>
    <w:p w14:paraId="17EA1B83"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Food security is determined by four key pillars: availability, access, utilization, and stability (FAO, 2021). Availability refers to sufficient food supply from production, markets, or aid, while access depends on household income and purchasing power. Utilization involves proper nutrition, food quality, and health conditions necessary for effective food consumption. Stability ensures consistent access to food over time despite shocks such as climate variability or market disruptions. These interconnected factors collectively determine the food security status of households in Baringo County.</w:t>
      </w:r>
    </w:p>
    <w:p w14:paraId="0B2E274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2.5. Factors Affecting Food Security</w:t>
      </w:r>
    </w:p>
    <w:p w14:paraId="04A60C4A"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Food security is influenced by socioeconomic factors such as household size, age, gender, education, and income levels (</w:t>
      </w:r>
      <w:proofErr w:type="spellStart"/>
      <w:r>
        <w:rPr>
          <w:rFonts w:ascii="Garamond" w:eastAsia="Garamond" w:hAnsi="Garamond" w:cs="Garamond"/>
          <w:sz w:val="24"/>
          <w:szCs w:val="24"/>
        </w:rPr>
        <w:t>Adeyanju</w:t>
      </w:r>
      <w:proofErr w:type="spellEnd"/>
      <w:r>
        <w:rPr>
          <w:rFonts w:ascii="Garamond" w:eastAsia="Garamond" w:hAnsi="Garamond" w:cs="Garamond"/>
          <w:sz w:val="24"/>
          <w:szCs w:val="24"/>
        </w:rPr>
        <w:t xml:space="preserve"> </w:t>
      </w:r>
      <w:commentRangeStart w:id="3"/>
      <w:r>
        <w:rPr>
          <w:rFonts w:ascii="Garamond" w:eastAsia="Garamond" w:hAnsi="Garamond" w:cs="Garamond"/>
          <w:sz w:val="24"/>
          <w:szCs w:val="24"/>
        </w:rPr>
        <w:t>et al</w:t>
      </w:r>
      <w:commentRangeEnd w:id="3"/>
      <w:r w:rsidR="00E67FA4">
        <w:rPr>
          <w:rStyle w:val="CommentReference"/>
        </w:rPr>
        <w:commentReference w:id="3"/>
      </w:r>
      <w:proofErr w:type="gramStart"/>
      <w:r>
        <w:rPr>
          <w:rFonts w:ascii="Garamond" w:eastAsia="Garamond" w:hAnsi="Garamond" w:cs="Garamond"/>
          <w:sz w:val="24"/>
          <w:szCs w:val="24"/>
        </w:rPr>
        <w:t>.,</w:t>
      </w:r>
      <w:proofErr w:type="gramEnd"/>
      <w:r>
        <w:rPr>
          <w:rFonts w:ascii="Garamond" w:eastAsia="Garamond" w:hAnsi="Garamond" w:cs="Garamond"/>
          <w:sz w:val="24"/>
          <w:szCs w:val="24"/>
        </w:rPr>
        <w:t xml:space="preserve"> 2023). Large households tend to experience higher food insecurity due to increased consumption pressure and limited resources. Gender plays a critical role, as women significantly contribute to food production but often face limited access to land and resources (FAO, 2021). Education improves food security by enhancing income opportunities and adoption of improved agricultural practices (</w:t>
      </w:r>
      <w:proofErr w:type="spellStart"/>
      <w:r>
        <w:rPr>
          <w:rFonts w:ascii="Garamond" w:eastAsia="Garamond" w:hAnsi="Garamond" w:cs="Garamond"/>
          <w:sz w:val="24"/>
          <w:szCs w:val="24"/>
        </w:rPr>
        <w:t>Muluken</w:t>
      </w:r>
      <w:proofErr w:type="spellEnd"/>
      <w:r>
        <w:rPr>
          <w:rFonts w:ascii="Garamond" w:eastAsia="Garamond" w:hAnsi="Garamond" w:cs="Garamond"/>
          <w:sz w:val="24"/>
          <w:szCs w:val="24"/>
        </w:rPr>
        <w:t xml:space="preserve">, 2021). Additionally, high food prices </w:t>
      </w:r>
      <w:r>
        <w:rPr>
          <w:rFonts w:ascii="Garamond" w:eastAsia="Garamond" w:hAnsi="Garamond" w:cs="Garamond"/>
          <w:sz w:val="24"/>
          <w:szCs w:val="24"/>
        </w:rPr>
        <w:lastRenderedPageBreak/>
        <w:t>disproportionately affect low-income households, increasing vulnerability to food insecurity (IMF, 2022; Oluoko-Odingo, 2006).</w:t>
      </w:r>
    </w:p>
    <w:p w14:paraId="7132348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2.6. Effects of Floods on Food Security</w:t>
      </w:r>
    </w:p>
    <w:p w14:paraId="2E15B0A7"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reduces food availability by destroying crops and livestock (IPCC, 2020). It disrupts transport and market systems, limiting food access (FAO, 2021a). Repeated flood exposure weakens household resilience and increases vulnerability to hunger (World Food Programme, 2020). Flooding also reduces long-term agricultural productivity (FAO, 2021b). Overall, it significantly undermines food security systems.</w:t>
      </w:r>
    </w:p>
    <w:p w14:paraId="1126C486"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2.7. Literature Gap</w:t>
      </w:r>
    </w:p>
    <w:p w14:paraId="174DF198"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Existing studies highlight the importance of education and socioeconomic factors in influencing food security outcomes (</w:t>
      </w:r>
      <w:proofErr w:type="spellStart"/>
      <w:r>
        <w:rPr>
          <w:rFonts w:ascii="Garamond" w:eastAsia="Garamond" w:hAnsi="Garamond" w:cs="Garamond"/>
          <w:sz w:val="24"/>
          <w:szCs w:val="24"/>
        </w:rPr>
        <w:t>Muluken</w:t>
      </w:r>
      <w:proofErr w:type="spellEnd"/>
      <w:r>
        <w:rPr>
          <w:rFonts w:ascii="Garamond" w:eastAsia="Garamond" w:hAnsi="Garamond" w:cs="Garamond"/>
          <w:sz w:val="24"/>
          <w:szCs w:val="24"/>
        </w:rPr>
        <w:t>, 2021). However, limited research has examined the direct relationship between flooding and food security, particularly in Kenya. Many studies focus on either physical or social vulnerability, without integrating both dimensions. There is also a lack of consensus on the most appropriate indicators for measuring food security. Furthermore, little research has explored how floods affect households with different socioeconomic characteristics within the same region, creating a significant knowledge gap.</w:t>
      </w:r>
    </w:p>
    <w:p w14:paraId="243A0E71"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3.0. Methodology </w:t>
      </w:r>
    </w:p>
    <w:p w14:paraId="6248BDB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3.1. Location </w:t>
      </w:r>
    </w:p>
    <w:p w14:paraId="1BA23BCB"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Baringo County is located in Kenya and is bordered by Turkana and West Pokot to the north, Samburu and Laikipia to the east, Nakuru and Kericho to the south, </w:t>
      </w:r>
      <w:proofErr w:type="spellStart"/>
      <w:r>
        <w:rPr>
          <w:rFonts w:ascii="Garamond" w:eastAsia="Garamond" w:hAnsi="Garamond" w:cs="Garamond"/>
          <w:color w:val="000000"/>
          <w:sz w:val="24"/>
          <w:szCs w:val="24"/>
        </w:rPr>
        <w:t>Uasin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Gishu</w:t>
      </w:r>
      <w:proofErr w:type="spellEnd"/>
      <w:r>
        <w:rPr>
          <w:rFonts w:ascii="Garamond" w:eastAsia="Garamond" w:hAnsi="Garamond" w:cs="Garamond"/>
          <w:color w:val="000000"/>
          <w:sz w:val="24"/>
          <w:szCs w:val="24"/>
        </w:rPr>
        <w:t xml:space="preserve"> to the southwest, and </w:t>
      </w:r>
      <w:proofErr w:type="spellStart"/>
      <w:r>
        <w:rPr>
          <w:rFonts w:ascii="Garamond" w:eastAsia="Garamond" w:hAnsi="Garamond" w:cs="Garamond"/>
          <w:color w:val="000000"/>
          <w:sz w:val="24"/>
          <w:szCs w:val="24"/>
        </w:rPr>
        <w:t>Elgeyo</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Marakwet</w:t>
      </w:r>
      <w:proofErr w:type="spellEnd"/>
      <w:r>
        <w:rPr>
          <w:rFonts w:ascii="Garamond" w:eastAsia="Garamond" w:hAnsi="Garamond" w:cs="Garamond"/>
          <w:color w:val="000000"/>
          <w:sz w:val="24"/>
          <w:szCs w:val="24"/>
        </w:rPr>
        <w:t xml:space="preserve"> to the west. It covers approximately 8,655 km² and lies between latitudes 0°13′ South and 1°40′ North, and longitudes 35°36′ and 36°30′ East. The study focuses on selected areas within the county, namely Salaam, Gumbo, </w:t>
      </w:r>
      <w:proofErr w:type="spellStart"/>
      <w:r>
        <w:rPr>
          <w:rFonts w:ascii="Garamond" w:eastAsia="Garamond" w:hAnsi="Garamond" w:cs="Garamond"/>
          <w:color w:val="000000"/>
          <w:sz w:val="24"/>
          <w:szCs w:val="24"/>
        </w:rPr>
        <w:t>Loruk</w:t>
      </w:r>
      <w:proofErr w:type="spellEnd"/>
      <w:r>
        <w:rPr>
          <w:rFonts w:ascii="Garamond" w:eastAsia="Garamond" w:hAnsi="Garamond" w:cs="Garamond"/>
          <w:color w:val="000000"/>
          <w:sz w:val="24"/>
          <w:szCs w:val="24"/>
        </w:rPr>
        <w:t xml:space="preserve">, and </w:t>
      </w:r>
      <w:proofErr w:type="spellStart"/>
      <w:r>
        <w:rPr>
          <w:rFonts w:ascii="Garamond" w:eastAsia="Garamond" w:hAnsi="Garamond" w:cs="Garamond"/>
          <w:color w:val="000000"/>
          <w:sz w:val="24"/>
          <w:szCs w:val="24"/>
        </w:rPr>
        <w:t>Kambiyasamaki</w:t>
      </w:r>
      <w:proofErr w:type="spellEnd"/>
      <w:r>
        <w:rPr>
          <w:rFonts w:ascii="Garamond" w:eastAsia="Garamond" w:hAnsi="Garamond" w:cs="Garamond"/>
          <w:color w:val="000000"/>
          <w:sz w:val="24"/>
          <w:szCs w:val="24"/>
        </w:rPr>
        <w:t>, which represent diverse geographical zones. The county is largely dry and semi-arid, with livestock keeping as the dominant livelihood, although droughts frequently threaten pastoral production. Agriculture also plays a key economic role, with crops such as maize, beans, sorghum, and cassava grown alongside cash crops and livestock products, though limited value addition reduces their economic returns.</w:t>
      </w:r>
    </w:p>
    <w:p w14:paraId="39DCA454"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noProof/>
          <w:color w:val="000000"/>
          <w:sz w:val="24"/>
          <w:szCs w:val="24"/>
          <w:lang w:val="en-US" w:eastAsia="en-US"/>
        </w:rPr>
        <w:lastRenderedPageBreak/>
        <w:drawing>
          <wp:inline distT="0" distB="0" distL="0" distR="0" wp14:anchorId="412809C0" wp14:editId="380AEC02">
            <wp:extent cx="5943600" cy="2762250"/>
            <wp:effectExtent l="19050" t="19050" r="19050" b="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762250"/>
                    </a:xfrm>
                    <a:prstGeom prst="rect">
                      <a:avLst/>
                    </a:prstGeom>
                    <a:ln w="19050">
                      <a:solidFill>
                        <a:srgbClr val="000000"/>
                      </a:solidFill>
                      <a:prstDash val="solid"/>
                    </a:ln>
                  </pic:spPr>
                </pic:pic>
              </a:graphicData>
            </a:graphic>
          </wp:inline>
        </w:drawing>
      </w:r>
    </w:p>
    <w:p w14:paraId="6098EC3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Figure 1. Study area Map (Field research, 2025)</w:t>
      </w:r>
    </w:p>
    <w:p w14:paraId="65AB525F"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3.2. Study design </w:t>
      </w:r>
    </w:p>
    <w:p w14:paraId="7883F687"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 xml:space="preserve">The study adopts a descriptive survey design incorporating both qualitative and quantitative approaches to provide a comprehensive understanding of the research problem. The target population consists of households in selected flood-prone areas of Baringo South Sub-County, including </w:t>
      </w:r>
      <w:proofErr w:type="spellStart"/>
      <w:r>
        <w:rPr>
          <w:rFonts w:ascii="Garamond" w:eastAsia="Garamond" w:hAnsi="Garamond" w:cs="Garamond"/>
          <w:sz w:val="24"/>
          <w:szCs w:val="24"/>
        </w:rPr>
        <w:t>Salabani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Ngambo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Loruk</w:t>
      </w:r>
      <w:proofErr w:type="spellEnd"/>
      <w:r>
        <w:rPr>
          <w:rFonts w:ascii="Garamond" w:eastAsia="Garamond" w:hAnsi="Garamond" w:cs="Garamond"/>
          <w:sz w:val="24"/>
          <w:szCs w:val="24"/>
        </w:rPr>
        <w:t xml:space="preserve">, and </w:t>
      </w:r>
      <w:proofErr w:type="spellStart"/>
      <w:r>
        <w:rPr>
          <w:rFonts w:ascii="Garamond" w:eastAsia="Garamond" w:hAnsi="Garamond" w:cs="Garamond"/>
          <w:sz w:val="24"/>
          <w:szCs w:val="24"/>
        </w:rPr>
        <w:t>Kambi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ya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Samaki</w:t>
      </w:r>
      <w:proofErr w:type="spellEnd"/>
      <w:r>
        <w:rPr>
          <w:rFonts w:ascii="Garamond" w:eastAsia="Garamond" w:hAnsi="Garamond" w:cs="Garamond"/>
          <w:sz w:val="24"/>
          <w:szCs w:val="24"/>
        </w:rPr>
        <w:t>. Using stratified random sampling, a sample size of 389 respondents (384 household heads and key informants) was selected to ensure representativeness across different locations.</w:t>
      </w:r>
    </w:p>
    <w:p w14:paraId="79958815"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 3.3. Population</w:t>
      </w:r>
    </w:p>
    <w:p w14:paraId="7892955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According to the 2019 national census, Baringo South Sub-County has a population of 90,955, while Baringo County has a total population of 666,763. The study focused on approximately 20,000 residents from </w:t>
      </w:r>
      <w:proofErr w:type="spellStart"/>
      <w:r>
        <w:rPr>
          <w:rFonts w:ascii="Garamond" w:eastAsia="Garamond" w:hAnsi="Garamond" w:cs="Garamond"/>
          <w:color w:val="000000"/>
          <w:sz w:val="24"/>
          <w:szCs w:val="24"/>
        </w:rPr>
        <w:t>Salabani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Ngambo</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Loruk</w:t>
      </w:r>
      <w:proofErr w:type="spellEnd"/>
      <w:r>
        <w:rPr>
          <w:rFonts w:ascii="Garamond" w:eastAsia="Garamond" w:hAnsi="Garamond" w:cs="Garamond"/>
          <w:color w:val="000000"/>
          <w:sz w:val="24"/>
          <w:szCs w:val="24"/>
        </w:rPr>
        <w:t xml:space="preserve">, and </w:t>
      </w:r>
      <w:proofErr w:type="spellStart"/>
      <w:r>
        <w:rPr>
          <w:rFonts w:ascii="Garamond" w:eastAsia="Garamond" w:hAnsi="Garamond" w:cs="Garamond"/>
          <w:color w:val="000000"/>
          <w:sz w:val="24"/>
          <w:szCs w:val="24"/>
        </w:rPr>
        <w:t>Kambi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ya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Samaki</w:t>
      </w:r>
      <w:proofErr w:type="spellEnd"/>
      <w:r>
        <w:rPr>
          <w:rFonts w:ascii="Garamond" w:eastAsia="Garamond" w:hAnsi="Garamond" w:cs="Garamond"/>
          <w:color w:val="000000"/>
          <w:sz w:val="24"/>
          <w:szCs w:val="24"/>
        </w:rPr>
        <w:t xml:space="preserve">. These locations were selected due to their proximity to Lakes Baringo and </w:t>
      </w:r>
      <w:proofErr w:type="spellStart"/>
      <w:r>
        <w:rPr>
          <w:rFonts w:ascii="Garamond" w:eastAsia="Garamond" w:hAnsi="Garamond" w:cs="Garamond"/>
          <w:color w:val="000000"/>
          <w:sz w:val="24"/>
          <w:szCs w:val="24"/>
        </w:rPr>
        <w:t>Bogoria</w:t>
      </w:r>
      <w:proofErr w:type="spellEnd"/>
      <w:r>
        <w:rPr>
          <w:rFonts w:ascii="Garamond" w:eastAsia="Garamond" w:hAnsi="Garamond" w:cs="Garamond"/>
          <w:color w:val="000000"/>
          <w:sz w:val="24"/>
          <w:szCs w:val="24"/>
        </w:rPr>
        <w:t xml:space="preserve"> and their vulnerability to flooding. The research aimed to examine how this proximity influences household food security. It specifically assessed food security conditions during and after flood events.</w:t>
      </w:r>
    </w:p>
    <w:p w14:paraId="2A776932"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3.4. Sampling Procedure</w:t>
      </w:r>
    </w:p>
    <w:p w14:paraId="420B672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The study used a stratified random sampling technique to ensure representative population coverage. Households were </w:t>
      </w:r>
      <w:commentRangeStart w:id="4"/>
      <w:r>
        <w:rPr>
          <w:rFonts w:ascii="Garamond" w:eastAsia="Garamond" w:hAnsi="Garamond" w:cs="Garamond"/>
          <w:color w:val="000000"/>
          <w:sz w:val="24"/>
          <w:szCs w:val="24"/>
        </w:rPr>
        <w:t>grouped</w:t>
      </w:r>
      <w:commentRangeEnd w:id="4"/>
      <w:r w:rsidR="00E67FA4">
        <w:rPr>
          <w:rStyle w:val="CommentReference"/>
        </w:rPr>
        <w:commentReference w:id="4"/>
      </w:r>
      <w:r>
        <w:rPr>
          <w:rFonts w:ascii="Garamond" w:eastAsia="Garamond" w:hAnsi="Garamond" w:cs="Garamond"/>
          <w:color w:val="000000"/>
          <w:sz w:val="24"/>
          <w:szCs w:val="24"/>
        </w:rPr>
        <w:t xml:space="preserve"> based on geographic location and randomly selected from each stratum. This method ensured equal and independent chances of selection for all households. It was suitable due to variations in flood exposure and socioeconomic characteristics across the study area. The approach enhanced the reliability and inclusiveness of the data collected.</w:t>
      </w:r>
    </w:p>
    <w:p w14:paraId="4A8006CC"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3.5. Sample Size</w:t>
      </w:r>
    </w:p>
    <w:p w14:paraId="2C91A796"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sample consisted of 389 respondents, including 384 household heads and 3 key informants. The sample size was determined using a standard formula with a 5% margin of error, resulting in 384 households. Stratified proportional allocation was used to distribute respondents evenly across the four study locations. This ensured fair representation of each area in the research. The inclusion of key informants enriched the overall dataset.</w:t>
      </w:r>
    </w:p>
    <w:p w14:paraId="6AD6F96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 Instruments</w:t>
      </w:r>
    </w:p>
    <w:p w14:paraId="542B1BC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3.6.1. Questionnaire</w:t>
      </w:r>
    </w:p>
    <w:p w14:paraId="14D51A54"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were collected using structured questionnaires to gather both qualitative and quantitative information. The tool captured demographic data and experiences related to flooding and food security. Both open-ended and closed-ended questions were included for comprehensive responses. Household heads were selected through stratified random sampling to ensure representation. Questionnaires were effective for collecting data from a large population.</w:t>
      </w:r>
    </w:p>
    <w:p w14:paraId="4E5FC01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3.6.2. Key Informant Interviews</w:t>
      </w:r>
    </w:p>
    <w:p w14:paraId="4A59E9D5"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Key informant interviews were conducted to obtain in-depth insights beyond questionnaire data. Participants included individuals with expertise in flooding and food security issues. A structured interview guide was used to maintain consistency. The interviews provided contextual and historical perspectives on the study area. This enriched the overall quality and depth of the findings.</w:t>
      </w:r>
    </w:p>
    <w:p w14:paraId="766C6D4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3.6.3. Photographic Evidence</w:t>
      </w:r>
    </w:p>
    <w:p w14:paraId="38A992B7"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Photographs were taken during fieldwork to document flooding and food security conditions. These visual records supported and validated the data collected from respondents. They provided tangible </w:t>
      </w:r>
      <w:r>
        <w:rPr>
          <w:rFonts w:ascii="Garamond" w:eastAsia="Garamond" w:hAnsi="Garamond" w:cs="Garamond"/>
          <w:color w:val="000000"/>
          <w:sz w:val="24"/>
          <w:szCs w:val="24"/>
        </w:rPr>
        <w:lastRenderedPageBreak/>
        <w:t>evidence of observed events and environmental conditions. Photographic documentation enhanced the credibility of the study. It also helped illustrate key findings for better interpretation.</w:t>
      </w:r>
    </w:p>
    <w:p w14:paraId="5C6E406F"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3.7. Data collection </w:t>
      </w:r>
    </w:p>
    <w:p w14:paraId="0CAAC6E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collection was conducted using structured questionnaires, key informant interviews, and photographic documentation. Questionnaires captured demographic characteristics and household experiences related to flooding and food security, while interviews provided in-depth insights into local conditions and adaptive strategies.</w:t>
      </w:r>
    </w:p>
    <w:p w14:paraId="0E9C767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3.8. Data analysis </w:t>
      </w:r>
    </w:p>
    <w:p w14:paraId="23787238"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analysis employed both qualitative and quantitative techniques. Qualitative data were analyzed thematically to identify key patterns related to flood impacts and coping mechanisms. Quantitative data were analyzed using descriptive statistics (frequencies, percentages, and means) and inferential statistics to examine relationships between flooding and food security indicators. The findings were presented using tables, graphs, and charts to facilitate interpretation and comparison. Overall, the study provides an integrated assessment of how flooding influences food security in Baringo County, combining statistical evidence with contextual insights to address existing research gaps and inform policy and intervention strategies.</w:t>
      </w:r>
    </w:p>
    <w:p w14:paraId="5EC2856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4.0. Results </w:t>
      </w:r>
    </w:p>
    <w:p w14:paraId="678520C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4.1. Response Rate and Demographic Characteristics</w:t>
      </w:r>
    </w:p>
    <w:p w14:paraId="79465F8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The study achieved a response rate of 71.4% (274 out of 384 respondents), which is considered acceptable in social science research for generating reliable and representative findings (</w:t>
      </w:r>
      <w:proofErr w:type="spellStart"/>
      <w:r>
        <w:rPr>
          <w:rFonts w:ascii="Garamond" w:eastAsia="Garamond" w:hAnsi="Garamond" w:cs="Garamond"/>
          <w:sz w:val="24"/>
          <w:szCs w:val="24"/>
        </w:rPr>
        <w:t>Sataloff</w:t>
      </w:r>
      <w:proofErr w:type="spellEnd"/>
      <w:r>
        <w:rPr>
          <w:rFonts w:ascii="Garamond" w:eastAsia="Garamond" w:hAnsi="Garamond" w:cs="Garamond"/>
          <w:sz w:val="24"/>
          <w:szCs w:val="24"/>
        </w:rPr>
        <w:t xml:space="preserve"> and </w:t>
      </w:r>
      <w:proofErr w:type="spellStart"/>
      <w:r>
        <w:rPr>
          <w:rFonts w:ascii="Garamond" w:eastAsia="Garamond" w:hAnsi="Garamond" w:cs="Garamond"/>
          <w:sz w:val="24"/>
          <w:szCs w:val="24"/>
        </w:rPr>
        <w:t>Vontela</w:t>
      </w:r>
      <w:proofErr w:type="spellEnd"/>
      <w:r>
        <w:rPr>
          <w:rFonts w:ascii="Garamond" w:eastAsia="Garamond" w:hAnsi="Garamond" w:cs="Garamond"/>
          <w:sz w:val="24"/>
          <w:szCs w:val="24"/>
        </w:rPr>
        <w:t>, 2021). The demographic analysis revealed a relatively young population (mean age = 35.23 years), with males constituting 66.8% and females 33.2% of respondents. Gender differences reflected local socio-economic roles, where men were primarily involved in decision-making on land use and production, while women played a central role in household food management. Educational attainment was relatively high, with most respondents having at least secondary education, although disparities existed, particularly among men with lower formal education levels.</w:t>
      </w:r>
    </w:p>
    <w:p w14:paraId="1BCADE70"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lastRenderedPageBreak/>
        <w:t>Marital status patterns showed that the majority of respondents were married, particularly within the 25–34 age group, indicating active household formation and economic responsibility. These demographic characteristics are important in understanding vulnerability and resilience, as household structure and socio-economic status significantly influence coping capacity during environmental shocks (IPCC, 2022).</w:t>
      </w:r>
    </w:p>
    <w:p w14:paraId="50C42ADB"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4.2. Flood Occurrence, Causes, and Trends</w:t>
      </w:r>
    </w:p>
    <w:p w14:paraId="10ACE7EE"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5" w:name="_7tnzuig8tlme" w:colFirst="0" w:colLast="0"/>
      <w:bookmarkEnd w:id="5"/>
      <w:r>
        <w:rPr>
          <w:rFonts w:ascii="Garamond" w:eastAsia="Garamond" w:hAnsi="Garamond" w:cs="Garamond"/>
          <w:b/>
          <w:bCs/>
          <w:color w:val="000000"/>
          <w:sz w:val="24"/>
          <w:szCs w:val="24"/>
          <w:highlight w:val="white"/>
        </w:rPr>
        <w:t>Table 1. Flood experience</w:t>
      </w:r>
    </w:p>
    <w:p w14:paraId="544A5D2B" w14:textId="77777777" w:rsidR="00203701" w:rsidRDefault="00203701">
      <w:pPr>
        <w:pBdr>
          <w:top w:val="nil"/>
          <w:left w:val="nil"/>
          <w:bottom w:val="nil"/>
          <w:right w:val="nil"/>
          <w:between w:val="nil"/>
        </w:pBdr>
        <w:spacing w:after="200" w:line="360" w:lineRule="auto"/>
        <w:jc w:val="both"/>
        <w:rPr>
          <w:rFonts w:ascii="Garamond" w:eastAsia="Garamond" w:hAnsi="Garamond" w:cs="Garamond"/>
          <w:i/>
          <w:iCs/>
          <w:color w:val="44546A"/>
          <w:sz w:val="24"/>
          <w:szCs w:val="24"/>
        </w:rPr>
      </w:pPr>
    </w:p>
    <w:tbl>
      <w:tblPr>
        <w:tblStyle w:val="a"/>
        <w:tblW w:w="9720"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970"/>
        <w:gridCol w:w="1530"/>
        <w:gridCol w:w="720"/>
        <w:gridCol w:w="1620"/>
        <w:gridCol w:w="1350"/>
        <w:gridCol w:w="1530"/>
      </w:tblGrid>
      <w:tr w:rsidR="00203701" w14:paraId="43129A55" w14:textId="77777777">
        <w:tc>
          <w:tcPr>
            <w:tcW w:w="2970" w:type="dxa"/>
            <w:tcBorders>
              <w:top w:val="single" w:sz="4" w:space="0" w:color="000000"/>
              <w:left w:val="nil"/>
              <w:bottom w:val="single" w:sz="4" w:space="0" w:color="000000"/>
              <w:right w:val="nil"/>
            </w:tcBorders>
            <w:tcMar>
              <w:top w:w="0" w:type="dxa"/>
              <w:left w:w="108" w:type="dxa"/>
              <w:bottom w:w="0" w:type="dxa"/>
              <w:right w:w="108" w:type="dxa"/>
            </w:tcMar>
          </w:tcPr>
          <w:p w14:paraId="43E50DF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 Farm</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4554AFC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Mean Age (Years)</w:t>
            </w:r>
          </w:p>
        </w:tc>
        <w:tc>
          <w:tcPr>
            <w:tcW w:w="720" w:type="dxa"/>
            <w:tcBorders>
              <w:top w:val="single" w:sz="4" w:space="0" w:color="000000"/>
              <w:left w:val="nil"/>
              <w:bottom w:val="single" w:sz="4" w:space="0" w:color="000000"/>
              <w:right w:val="nil"/>
            </w:tcBorders>
            <w:tcMar>
              <w:top w:w="0" w:type="dxa"/>
              <w:left w:w="108" w:type="dxa"/>
              <w:bottom w:w="0" w:type="dxa"/>
              <w:right w:w="108" w:type="dxa"/>
            </w:tcMar>
          </w:tcPr>
          <w:p w14:paraId="5CE8BF0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N</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67F5904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Std. Deviation</w:t>
            </w:r>
          </w:p>
        </w:tc>
        <w:tc>
          <w:tcPr>
            <w:tcW w:w="1350" w:type="dxa"/>
            <w:tcBorders>
              <w:top w:val="single" w:sz="4" w:space="0" w:color="000000"/>
              <w:left w:val="nil"/>
              <w:bottom w:val="single" w:sz="4" w:space="0" w:color="000000"/>
              <w:right w:val="nil"/>
            </w:tcBorders>
            <w:tcMar>
              <w:top w:w="0" w:type="dxa"/>
              <w:left w:w="108" w:type="dxa"/>
              <w:bottom w:w="0" w:type="dxa"/>
              <w:right w:w="108" w:type="dxa"/>
            </w:tcMar>
          </w:tcPr>
          <w:p w14:paraId="52AC4BE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Skewness</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36E9D16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 of Total N</w:t>
            </w:r>
          </w:p>
        </w:tc>
      </w:tr>
      <w:tr w:rsidR="00203701" w14:paraId="50D551D7" w14:textId="77777777">
        <w:tc>
          <w:tcPr>
            <w:tcW w:w="2970" w:type="dxa"/>
            <w:tcBorders>
              <w:top w:val="single" w:sz="4" w:space="0" w:color="000000"/>
              <w:left w:val="nil"/>
              <w:bottom w:val="nil"/>
              <w:right w:val="nil"/>
            </w:tcBorders>
            <w:tcMar>
              <w:top w:w="0" w:type="dxa"/>
              <w:left w:w="108" w:type="dxa"/>
              <w:bottom w:w="0" w:type="dxa"/>
              <w:right w:w="108" w:type="dxa"/>
            </w:tcMar>
          </w:tcPr>
          <w:p w14:paraId="3BB780C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No</w:t>
            </w:r>
          </w:p>
        </w:tc>
        <w:tc>
          <w:tcPr>
            <w:tcW w:w="1530" w:type="dxa"/>
            <w:tcBorders>
              <w:top w:val="single" w:sz="4" w:space="0" w:color="000000"/>
              <w:left w:val="nil"/>
              <w:bottom w:val="nil"/>
              <w:right w:val="nil"/>
            </w:tcBorders>
            <w:tcMar>
              <w:top w:w="0" w:type="dxa"/>
              <w:left w:w="108" w:type="dxa"/>
              <w:bottom w:w="0" w:type="dxa"/>
              <w:right w:w="108" w:type="dxa"/>
            </w:tcMar>
          </w:tcPr>
          <w:p w14:paraId="09D41A3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28.96</w:t>
            </w:r>
          </w:p>
        </w:tc>
        <w:tc>
          <w:tcPr>
            <w:tcW w:w="720" w:type="dxa"/>
            <w:tcBorders>
              <w:top w:val="single" w:sz="4" w:space="0" w:color="000000"/>
              <w:left w:val="nil"/>
              <w:bottom w:val="nil"/>
              <w:right w:val="nil"/>
            </w:tcBorders>
            <w:tcMar>
              <w:top w:w="0" w:type="dxa"/>
              <w:left w:w="108" w:type="dxa"/>
              <w:bottom w:w="0" w:type="dxa"/>
              <w:right w:w="108" w:type="dxa"/>
            </w:tcMar>
          </w:tcPr>
          <w:p w14:paraId="28FEE4E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w:t>
            </w:r>
          </w:p>
        </w:tc>
        <w:tc>
          <w:tcPr>
            <w:tcW w:w="1620" w:type="dxa"/>
            <w:tcBorders>
              <w:top w:val="single" w:sz="4" w:space="0" w:color="000000"/>
              <w:left w:val="nil"/>
              <w:bottom w:val="nil"/>
              <w:right w:val="nil"/>
            </w:tcBorders>
            <w:tcMar>
              <w:top w:w="0" w:type="dxa"/>
              <w:left w:w="108" w:type="dxa"/>
              <w:bottom w:w="0" w:type="dxa"/>
              <w:right w:w="108" w:type="dxa"/>
            </w:tcMar>
          </w:tcPr>
          <w:p w14:paraId="55A171B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8.513</w:t>
            </w:r>
          </w:p>
        </w:tc>
        <w:tc>
          <w:tcPr>
            <w:tcW w:w="1350" w:type="dxa"/>
            <w:tcBorders>
              <w:top w:val="single" w:sz="4" w:space="0" w:color="000000"/>
              <w:left w:val="nil"/>
              <w:bottom w:val="nil"/>
              <w:right w:val="nil"/>
            </w:tcBorders>
            <w:tcMar>
              <w:top w:w="0" w:type="dxa"/>
              <w:left w:w="108" w:type="dxa"/>
              <w:bottom w:w="0" w:type="dxa"/>
              <w:right w:w="108" w:type="dxa"/>
            </w:tcMar>
          </w:tcPr>
          <w:p w14:paraId="2D93C7C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1.599</w:t>
            </w:r>
          </w:p>
        </w:tc>
        <w:tc>
          <w:tcPr>
            <w:tcW w:w="1530" w:type="dxa"/>
            <w:tcBorders>
              <w:top w:val="single" w:sz="4" w:space="0" w:color="000000"/>
              <w:left w:val="nil"/>
              <w:bottom w:val="nil"/>
              <w:right w:val="nil"/>
            </w:tcBorders>
            <w:tcMar>
              <w:top w:w="0" w:type="dxa"/>
              <w:left w:w="108" w:type="dxa"/>
              <w:bottom w:w="0" w:type="dxa"/>
              <w:right w:w="108" w:type="dxa"/>
            </w:tcMar>
          </w:tcPr>
          <w:p w14:paraId="1964F345"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12.9%</w:t>
            </w:r>
          </w:p>
        </w:tc>
      </w:tr>
      <w:tr w:rsidR="00203701" w14:paraId="04587681" w14:textId="77777777">
        <w:tc>
          <w:tcPr>
            <w:tcW w:w="2970" w:type="dxa"/>
            <w:tcBorders>
              <w:top w:val="nil"/>
              <w:left w:val="nil"/>
              <w:bottom w:val="single" w:sz="4" w:space="0" w:color="000000"/>
              <w:right w:val="nil"/>
            </w:tcBorders>
            <w:tcMar>
              <w:top w:w="0" w:type="dxa"/>
              <w:left w:w="108" w:type="dxa"/>
              <w:bottom w:w="0" w:type="dxa"/>
              <w:right w:w="108" w:type="dxa"/>
            </w:tcMar>
          </w:tcPr>
          <w:p w14:paraId="22B192A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Yes</w:t>
            </w:r>
          </w:p>
        </w:tc>
        <w:tc>
          <w:tcPr>
            <w:tcW w:w="1530" w:type="dxa"/>
            <w:tcBorders>
              <w:top w:val="nil"/>
              <w:left w:val="nil"/>
              <w:bottom w:val="single" w:sz="4" w:space="0" w:color="000000"/>
              <w:right w:val="nil"/>
            </w:tcBorders>
            <w:tcMar>
              <w:top w:w="0" w:type="dxa"/>
              <w:left w:w="108" w:type="dxa"/>
              <w:bottom w:w="0" w:type="dxa"/>
              <w:right w:w="108" w:type="dxa"/>
            </w:tcMar>
          </w:tcPr>
          <w:p w14:paraId="1153D99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35.03</w:t>
            </w:r>
          </w:p>
        </w:tc>
        <w:tc>
          <w:tcPr>
            <w:tcW w:w="720" w:type="dxa"/>
            <w:tcBorders>
              <w:top w:val="nil"/>
              <w:left w:val="nil"/>
              <w:bottom w:val="single" w:sz="4" w:space="0" w:color="000000"/>
              <w:right w:val="nil"/>
            </w:tcBorders>
            <w:tcMar>
              <w:top w:w="0" w:type="dxa"/>
              <w:left w:w="108" w:type="dxa"/>
              <w:bottom w:w="0" w:type="dxa"/>
              <w:right w:w="108" w:type="dxa"/>
            </w:tcMar>
          </w:tcPr>
          <w:p w14:paraId="58CEAC2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162</w:t>
            </w:r>
          </w:p>
        </w:tc>
        <w:tc>
          <w:tcPr>
            <w:tcW w:w="1620" w:type="dxa"/>
            <w:tcBorders>
              <w:top w:val="nil"/>
              <w:left w:val="nil"/>
              <w:bottom w:val="single" w:sz="4" w:space="0" w:color="000000"/>
              <w:right w:val="nil"/>
            </w:tcBorders>
            <w:tcMar>
              <w:top w:w="0" w:type="dxa"/>
              <w:left w:w="108" w:type="dxa"/>
              <w:bottom w:w="0" w:type="dxa"/>
              <w:right w:w="108" w:type="dxa"/>
            </w:tcMar>
          </w:tcPr>
          <w:p w14:paraId="0BAE2BA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11.824</w:t>
            </w:r>
          </w:p>
        </w:tc>
        <w:tc>
          <w:tcPr>
            <w:tcW w:w="1350" w:type="dxa"/>
            <w:tcBorders>
              <w:top w:val="nil"/>
              <w:left w:val="nil"/>
              <w:bottom w:val="single" w:sz="4" w:space="0" w:color="000000"/>
              <w:right w:val="nil"/>
            </w:tcBorders>
            <w:tcMar>
              <w:top w:w="0" w:type="dxa"/>
              <w:left w:w="108" w:type="dxa"/>
              <w:bottom w:w="0" w:type="dxa"/>
              <w:right w:w="108" w:type="dxa"/>
            </w:tcMar>
          </w:tcPr>
          <w:p w14:paraId="33CD925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1.119</w:t>
            </w:r>
          </w:p>
        </w:tc>
        <w:tc>
          <w:tcPr>
            <w:tcW w:w="1530" w:type="dxa"/>
            <w:tcBorders>
              <w:top w:val="nil"/>
              <w:left w:val="nil"/>
              <w:bottom w:val="single" w:sz="4" w:space="0" w:color="000000"/>
              <w:right w:val="nil"/>
            </w:tcBorders>
            <w:tcMar>
              <w:top w:w="0" w:type="dxa"/>
              <w:left w:w="108" w:type="dxa"/>
              <w:bottom w:w="0" w:type="dxa"/>
              <w:right w:w="108" w:type="dxa"/>
            </w:tcMar>
          </w:tcPr>
          <w:p w14:paraId="7072EF6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87.1%</w:t>
            </w:r>
          </w:p>
        </w:tc>
      </w:tr>
      <w:tr w:rsidR="00203701" w14:paraId="370E92AF" w14:textId="77777777">
        <w:tc>
          <w:tcPr>
            <w:tcW w:w="2970" w:type="dxa"/>
            <w:tcBorders>
              <w:top w:val="single" w:sz="4" w:space="0" w:color="000000"/>
              <w:left w:val="nil"/>
              <w:bottom w:val="single" w:sz="4" w:space="0" w:color="000000"/>
              <w:right w:val="nil"/>
            </w:tcBorders>
            <w:tcMar>
              <w:top w:w="0" w:type="dxa"/>
              <w:left w:w="108" w:type="dxa"/>
              <w:bottom w:w="0" w:type="dxa"/>
              <w:right w:w="108" w:type="dxa"/>
            </w:tcMar>
          </w:tcPr>
          <w:p w14:paraId="50C6EC0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Total</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7A59DF7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34.25</w:t>
            </w:r>
          </w:p>
        </w:tc>
        <w:tc>
          <w:tcPr>
            <w:tcW w:w="720" w:type="dxa"/>
            <w:tcBorders>
              <w:top w:val="single" w:sz="4" w:space="0" w:color="000000"/>
              <w:left w:val="nil"/>
              <w:bottom w:val="single" w:sz="4" w:space="0" w:color="000000"/>
              <w:right w:val="nil"/>
            </w:tcBorders>
            <w:tcMar>
              <w:top w:w="0" w:type="dxa"/>
              <w:left w:w="108" w:type="dxa"/>
              <w:bottom w:w="0" w:type="dxa"/>
              <w:right w:w="108" w:type="dxa"/>
            </w:tcMar>
          </w:tcPr>
          <w:p w14:paraId="64DE11D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186</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366082C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11.612</w:t>
            </w:r>
          </w:p>
        </w:tc>
        <w:tc>
          <w:tcPr>
            <w:tcW w:w="1350" w:type="dxa"/>
            <w:tcBorders>
              <w:top w:val="single" w:sz="4" w:space="0" w:color="000000"/>
              <w:left w:val="nil"/>
              <w:bottom w:val="single" w:sz="4" w:space="0" w:color="000000"/>
              <w:right w:val="nil"/>
            </w:tcBorders>
            <w:tcMar>
              <w:top w:w="0" w:type="dxa"/>
              <w:left w:w="108" w:type="dxa"/>
              <w:bottom w:w="0" w:type="dxa"/>
              <w:right w:w="108" w:type="dxa"/>
            </w:tcMar>
          </w:tcPr>
          <w:p w14:paraId="2F862CA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1.179</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496B5E5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100.0%</w:t>
            </w:r>
          </w:p>
        </w:tc>
      </w:tr>
    </w:tbl>
    <w:p w14:paraId="0945186B" w14:textId="77777777" w:rsidR="00065152" w:rsidRDefault="00065152">
      <w:pPr>
        <w:spacing w:before="280" w:after="280" w:line="360" w:lineRule="auto"/>
        <w:jc w:val="both"/>
        <w:rPr>
          <w:rFonts w:ascii="Garamond" w:eastAsia="Garamond" w:hAnsi="Garamond" w:cs="Garamond"/>
          <w:sz w:val="24"/>
          <w:szCs w:val="24"/>
        </w:rPr>
      </w:pPr>
      <w:r>
        <w:rPr>
          <w:rStyle w:val="CommentReference"/>
        </w:rPr>
        <w:commentReference w:id="6"/>
      </w:r>
    </w:p>
    <w:p w14:paraId="451E191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in the study area was highly prevalent, with most respondents reporting exposure to </w:t>
      </w:r>
      <w:proofErr w:type="gramStart"/>
      <w:r>
        <w:rPr>
          <w:rFonts w:ascii="Garamond" w:eastAsia="Garamond" w:hAnsi="Garamond" w:cs="Garamond"/>
          <w:sz w:val="24"/>
          <w:szCs w:val="24"/>
        </w:rPr>
        <w:t>floods</w:t>
      </w:r>
      <w:proofErr w:type="gramEnd"/>
      <w:r>
        <w:rPr>
          <w:rFonts w:ascii="Garamond" w:eastAsia="Garamond" w:hAnsi="Garamond" w:cs="Garamond"/>
          <w:sz w:val="24"/>
          <w:szCs w:val="24"/>
        </w:rPr>
        <w:t>. This aligns with evidence that climate change is increasing flood frequency and intensity globally (IPCC, 2022). Rising lake levels and rainfall variability have contributed significantly to flood expansion (</w:t>
      </w:r>
      <w:proofErr w:type="spellStart"/>
      <w:r>
        <w:rPr>
          <w:rFonts w:ascii="Garamond" w:eastAsia="Garamond" w:hAnsi="Garamond" w:cs="Garamond"/>
          <w:sz w:val="24"/>
          <w:szCs w:val="24"/>
        </w:rPr>
        <w:t>Kimtai</w:t>
      </w:r>
      <w:proofErr w:type="spellEnd"/>
      <w:r>
        <w:rPr>
          <w:rFonts w:ascii="Garamond" w:eastAsia="Garamond" w:hAnsi="Garamond" w:cs="Garamond"/>
          <w:sz w:val="24"/>
          <w:szCs w:val="24"/>
        </w:rPr>
        <w:t xml:space="preserve"> </w:t>
      </w:r>
      <w:commentRangeStart w:id="7"/>
      <w:r>
        <w:rPr>
          <w:rFonts w:ascii="Garamond" w:eastAsia="Garamond" w:hAnsi="Garamond" w:cs="Garamond"/>
          <w:sz w:val="24"/>
          <w:szCs w:val="24"/>
        </w:rPr>
        <w:t>et al.</w:t>
      </w:r>
      <w:commentRangeEnd w:id="7"/>
      <w:r w:rsidR="00E67FA4">
        <w:rPr>
          <w:rStyle w:val="CommentReference"/>
        </w:rPr>
        <w:commentReference w:id="7"/>
      </w:r>
      <w:r>
        <w:rPr>
          <w:rFonts w:ascii="Garamond" w:eastAsia="Garamond" w:hAnsi="Garamond" w:cs="Garamond"/>
          <w:sz w:val="24"/>
          <w:szCs w:val="24"/>
        </w:rPr>
        <w:t>, 2024). These findings are consistent with regional climate change trends reported by FAO (2021b). Environmental and structural factors remain major drivers of flood risk.</w:t>
      </w:r>
    </w:p>
    <w:p w14:paraId="2EB484AF"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was predominantly severe (80.3%), with peak occurrences in April and August, corresponding to Kenya’s bimodal rainfall pattern. This aligns with broader climate evidence indicating increasing flood frequency and intensity due to changing precipitation patterns (Intergovernmental Panel on Climate Change, 2022). Trend analysis (2012–2024) revealed a steady increase in flood occurrences, with peaks in 2020, 2022, and 2024. The regression model (R² = 0.3789) confirmed a rising trend, although other factors such as land use and environmental degradation also contribute.</w:t>
      </w:r>
    </w:p>
    <w:p w14:paraId="5E52E97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lastRenderedPageBreak/>
        <w:t>Satellite-based observations further showed that Lake Baringo expanded significantly between 2010 and 2024, nearly doubling in size at its peak. This expansion is consistent with studies linking Rift Valley lake level increases to climate variability and catchment degradation (</w:t>
      </w:r>
      <w:proofErr w:type="spellStart"/>
      <w:r>
        <w:rPr>
          <w:rFonts w:ascii="Garamond" w:eastAsia="Garamond" w:hAnsi="Garamond" w:cs="Garamond"/>
          <w:sz w:val="24"/>
          <w:szCs w:val="24"/>
        </w:rPr>
        <w:t>Kimtai</w:t>
      </w:r>
      <w:proofErr w:type="spellEnd"/>
      <w:r>
        <w:rPr>
          <w:rFonts w:ascii="Garamond" w:eastAsia="Garamond" w:hAnsi="Garamond" w:cs="Garamond"/>
          <w:sz w:val="24"/>
          <w:szCs w:val="24"/>
        </w:rPr>
        <w:t xml:space="preserve"> </w:t>
      </w:r>
      <w:commentRangeStart w:id="8"/>
      <w:r>
        <w:rPr>
          <w:rFonts w:ascii="Garamond" w:eastAsia="Garamond" w:hAnsi="Garamond" w:cs="Garamond"/>
          <w:sz w:val="24"/>
          <w:szCs w:val="24"/>
        </w:rPr>
        <w:t>et al</w:t>
      </w:r>
      <w:commentRangeEnd w:id="8"/>
      <w:r w:rsidR="00E67FA4">
        <w:rPr>
          <w:rStyle w:val="CommentReference"/>
        </w:rPr>
        <w:commentReference w:id="8"/>
      </w:r>
      <w:proofErr w:type="gramStart"/>
      <w:r>
        <w:rPr>
          <w:rFonts w:ascii="Garamond" w:eastAsia="Garamond" w:hAnsi="Garamond" w:cs="Garamond"/>
          <w:sz w:val="24"/>
          <w:szCs w:val="24"/>
        </w:rPr>
        <w:t>.,</w:t>
      </w:r>
      <w:proofErr w:type="gramEnd"/>
      <w:r>
        <w:rPr>
          <w:rFonts w:ascii="Garamond" w:eastAsia="Garamond" w:hAnsi="Garamond" w:cs="Garamond"/>
          <w:sz w:val="24"/>
          <w:szCs w:val="24"/>
        </w:rPr>
        <w:t xml:space="preserve"> 2024).</w:t>
      </w:r>
    </w:p>
    <w:p w14:paraId="2DD272E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4.3. Household Vulnerability and Adaptive Capacity</w:t>
      </w:r>
    </w:p>
    <w:p w14:paraId="7D8F2CD5"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Household resilience varied significantly across demographic groups. Female-headed households, younger individuals (&lt;25 years), and older adults (&gt;55 years) experienced longer recovery periods, reflecting limited access to resources and reduced adaptive capacity. On average, households required 4.68 months to recover from flooding, with longer durations associated with structural housing types such as brick buildings.</w:t>
      </w:r>
    </w:p>
    <w:p w14:paraId="78B7DF90"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These findings support the broader understanding that vulnerability is shaped by socio-economic and demographic factors, including gender, age, and asset ownership (United Nations Environment Programme, 2021). Government interventions such as early warning systems, drainage construction, and relief services were reported, with early warning systems being the most common. However, their effectiveness appeared uneven, highlighting gaps in implementation and coverage.</w:t>
      </w:r>
    </w:p>
    <w:p w14:paraId="41087EA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4.4. Factors Affecting Food Security</w:t>
      </w:r>
    </w:p>
    <w:p w14:paraId="7DEF1FA2"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Food security in the region is heavily dependent on subsistence agriculture, particularly maize production (FAO, 2023). Flooding significantly reduces agricultural productivity through crop destruction and soil degradation (IPCC, 2022). Repeated climate shocks further reduce household resilience and food availability (World Food Programme, 2020). These findings align with evidence that agricultural dependency increases vulnerability to climate risks (FAO, 2021a). Structural poverty further worsens food insecurity outcomes</w:t>
      </w:r>
    </w:p>
    <w:p w14:paraId="599D83AF"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had a profound impact on agricultural productivity. Approximately 96.34% of respondents reported declining crop yields, with severe flooding responsible for the majority of losses. Only 3.66% reported yield increases, primarily under moderate flooding conditions, suggesting limited beneficial effects through soil moisture replenishment. Over a five-year period, 96.4% of respondents observed declining yields, particularly for maize, tomatoes, and kales.</w:t>
      </w:r>
    </w:p>
    <w:p w14:paraId="0AD1B7E7"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9" w:name="_bahx3pdtv1nk" w:colFirst="0" w:colLast="0"/>
      <w:bookmarkEnd w:id="9"/>
    </w:p>
    <w:p w14:paraId="2A88DEE7"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p>
    <w:p w14:paraId="5FDC106B"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p>
    <w:p w14:paraId="186EC42C"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p>
    <w:p w14:paraId="6C6883A7"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Table 2. Binary Logistic Regression on Determinants of Flood Occurrence in Farms and Homes around Lake Baringo</w:t>
      </w:r>
    </w:p>
    <w:p w14:paraId="008F9C4D" w14:textId="77777777" w:rsidR="00203701" w:rsidRDefault="00203701">
      <w:pPr>
        <w:pBdr>
          <w:top w:val="nil"/>
          <w:left w:val="nil"/>
          <w:bottom w:val="nil"/>
          <w:right w:val="nil"/>
          <w:between w:val="nil"/>
        </w:pBdr>
        <w:spacing w:after="200" w:line="360" w:lineRule="auto"/>
        <w:jc w:val="both"/>
        <w:rPr>
          <w:rFonts w:ascii="Garamond" w:eastAsia="Garamond" w:hAnsi="Garamond" w:cs="Garamond"/>
          <w:i/>
          <w:iCs/>
          <w:color w:val="44546A"/>
          <w:sz w:val="24"/>
          <w:szCs w:val="24"/>
        </w:rPr>
      </w:pPr>
    </w:p>
    <w:tbl>
      <w:tblPr>
        <w:tblStyle w:val="a0"/>
        <w:tblW w:w="9450" w:type="dxa"/>
        <w:tblInd w:w="0" w:type="dxa"/>
        <w:tblLayout w:type="fixed"/>
        <w:tblLook w:val="0000" w:firstRow="0" w:lastRow="0" w:firstColumn="0" w:lastColumn="0" w:noHBand="0" w:noVBand="0"/>
      </w:tblPr>
      <w:tblGrid>
        <w:gridCol w:w="720"/>
        <w:gridCol w:w="286"/>
        <w:gridCol w:w="1784"/>
        <w:gridCol w:w="900"/>
        <w:gridCol w:w="1080"/>
        <w:gridCol w:w="810"/>
        <w:gridCol w:w="540"/>
        <w:gridCol w:w="540"/>
        <w:gridCol w:w="720"/>
        <w:gridCol w:w="900"/>
        <w:gridCol w:w="180"/>
        <w:gridCol w:w="990"/>
      </w:tblGrid>
      <w:tr w:rsidR="00203701" w14:paraId="48649DD3" w14:textId="77777777">
        <w:tc>
          <w:tcPr>
            <w:tcW w:w="2790" w:type="dxa"/>
            <w:gridSpan w:val="3"/>
            <w:vMerge w:val="restart"/>
            <w:tcBorders>
              <w:top w:val="single" w:sz="4" w:space="0" w:color="000000"/>
            </w:tcBorders>
            <w:tcMar>
              <w:top w:w="0" w:type="dxa"/>
              <w:left w:w="108" w:type="dxa"/>
              <w:bottom w:w="0" w:type="dxa"/>
              <w:right w:w="108" w:type="dxa"/>
            </w:tcMar>
          </w:tcPr>
          <w:p w14:paraId="206BE88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 Farm</w:t>
            </w:r>
            <w:r>
              <w:rPr>
                <w:rFonts w:ascii="Garamond" w:eastAsia="Garamond" w:hAnsi="Garamond" w:cs="Garamond"/>
                <w:color w:val="000000"/>
                <w:sz w:val="24"/>
                <w:szCs w:val="24"/>
                <w:vertAlign w:val="superscript"/>
              </w:rPr>
              <w:t>a</w:t>
            </w:r>
          </w:p>
        </w:tc>
        <w:tc>
          <w:tcPr>
            <w:tcW w:w="900" w:type="dxa"/>
            <w:vMerge w:val="restart"/>
            <w:tcBorders>
              <w:top w:val="single" w:sz="4" w:space="0" w:color="000000"/>
            </w:tcBorders>
            <w:tcMar>
              <w:top w:w="0" w:type="dxa"/>
              <w:left w:w="108" w:type="dxa"/>
              <w:bottom w:w="0" w:type="dxa"/>
              <w:right w:w="108" w:type="dxa"/>
            </w:tcMar>
          </w:tcPr>
          <w:p w14:paraId="66C5340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B</w:t>
            </w:r>
          </w:p>
        </w:tc>
        <w:tc>
          <w:tcPr>
            <w:tcW w:w="1080" w:type="dxa"/>
            <w:vMerge w:val="restart"/>
            <w:tcBorders>
              <w:top w:val="single" w:sz="4" w:space="0" w:color="000000"/>
            </w:tcBorders>
            <w:tcMar>
              <w:top w:w="0" w:type="dxa"/>
              <w:left w:w="108" w:type="dxa"/>
              <w:bottom w:w="0" w:type="dxa"/>
              <w:right w:w="108" w:type="dxa"/>
            </w:tcMar>
          </w:tcPr>
          <w:p w14:paraId="3668D3F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Std. Error</w:t>
            </w:r>
          </w:p>
        </w:tc>
        <w:tc>
          <w:tcPr>
            <w:tcW w:w="810" w:type="dxa"/>
            <w:vMerge w:val="restart"/>
            <w:tcBorders>
              <w:top w:val="single" w:sz="4" w:space="0" w:color="000000"/>
            </w:tcBorders>
            <w:tcMar>
              <w:top w:w="0" w:type="dxa"/>
              <w:left w:w="108" w:type="dxa"/>
              <w:bottom w:w="0" w:type="dxa"/>
              <w:right w:w="108" w:type="dxa"/>
            </w:tcMar>
          </w:tcPr>
          <w:p w14:paraId="6E991C9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Wald</w:t>
            </w:r>
          </w:p>
        </w:tc>
        <w:tc>
          <w:tcPr>
            <w:tcW w:w="540" w:type="dxa"/>
            <w:vMerge w:val="restart"/>
            <w:tcBorders>
              <w:top w:val="single" w:sz="4" w:space="0" w:color="000000"/>
            </w:tcBorders>
            <w:tcMar>
              <w:top w:w="0" w:type="dxa"/>
              <w:left w:w="108" w:type="dxa"/>
              <w:bottom w:w="0" w:type="dxa"/>
              <w:right w:w="108" w:type="dxa"/>
            </w:tcMar>
          </w:tcPr>
          <w:p w14:paraId="02EB005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df</w:t>
            </w:r>
          </w:p>
        </w:tc>
        <w:tc>
          <w:tcPr>
            <w:tcW w:w="540" w:type="dxa"/>
            <w:vMerge w:val="restart"/>
            <w:tcBorders>
              <w:top w:val="single" w:sz="4" w:space="0" w:color="000000"/>
            </w:tcBorders>
            <w:tcMar>
              <w:top w:w="0" w:type="dxa"/>
              <w:left w:w="108" w:type="dxa"/>
              <w:bottom w:w="0" w:type="dxa"/>
              <w:right w:w="108" w:type="dxa"/>
            </w:tcMar>
          </w:tcPr>
          <w:p w14:paraId="0C77B1B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Sig.</w:t>
            </w:r>
          </w:p>
        </w:tc>
        <w:tc>
          <w:tcPr>
            <w:tcW w:w="720" w:type="dxa"/>
            <w:vMerge w:val="restart"/>
            <w:tcBorders>
              <w:top w:val="single" w:sz="4" w:space="0" w:color="000000"/>
            </w:tcBorders>
            <w:tcMar>
              <w:top w:w="0" w:type="dxa"/>
              <w:left w:w="108" w:type="dxa"/>
              <w:bottom w:w="0" w:type="dxa"/>
              <w:right w:w="108" w:type="dxa"/>
            </w:tcMar>
          </w:tcPr>
          <w:p w14:paraId="66EA6DB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Exp(B)</w:t>
            </w:r>
          </w:p>
        </w:tc>
        <w:tc>
          <w:tcPr>
            <w:tcW w:w="2070" w:type="dxa"/>
            <w:gridSpan w:val="3"/>
            <w:tcBorders>
              <w:top w:val="single" w:sz="4" w:space="0" w:color="000000"/>
            </w:tcBorders>
            <w:tcMar>
              <w:top w:w="0" w:type="dxa"/>
              <w:left w:w="108" w:type="dxa"/>
              <w:bottom w:w="0" w:type="dxa"/>
              <w:right w:w="108" w:type="dxa"/>
            </w:tcMar>
          </w:tcPr>
          <w:p w14:paraId="4A80C07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95% Confidence Interval for Exp(B)</w:t>
            </w:r>
          </w:p>
        </w:tc>
      </w:tr>
      <w:tr w:rsidR="00203701" w14:paraId="411BE30D" w14:textId="77777777">
        <w:trPr>
          <w:trHeight w:val="288"/>
        </w:trPr>
        <w:tc>
          <w:tcPr>
            <w:tcW w:w="2790" w:type="dxa"/>
            <w:gridSpan w:val="3"/>
            <w:vMerge/>
            <w:tcBorders>
              <w:top w:val="single" w:sz="4" w:space="0" w:color="000000"/>
            </w:tcBorders>
            <w:tcMar>
              <w:top w:w="0" w:type="dxa"/>
              <w:left w:w="108" w:type="dxa"/>
              <w:bottom w:w="0" w:type="dxa"/>
              <w:right w:w="108" w:type="dxa"/>
            </w:tcMar>
          </w:tcPr>
          <w:p w14:paraId="57078683"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900" w:type="dxa"/>
            <w:vMerge/>
            <w:tcBorders>
              <w:top w:val="single" w:sz="4" w:space="0" w:color="000000"/>
            </w:tcBorders>
            <w:tcMar>
              <w:top w:w="0" w:type="dxa"/>
              <w:left w:w="108" w:type="dxa"/>
              <w:bottom w:w="0" w:type="dxa"/>
              <w:right w:w="108" w:type="dxa"/>
            </w:tcMar>
          </w:tcPr>
          <w:p w14:paraId="56C027C8"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080" w:type="dxa"/>
            <w:vMerge/>
            <w:tcBorders>
              <w:top w:val="single" w:sz="4" w:space="0" w:color="000000"/>
            </w:tcBorders>
            <w:tcMar>
              <w:top w:w="0" w:type="dxa"/>
              <w:left w:w="108" w:type="dxa"/>
              <w:bottom w:w="0" w:type="dxa"/>
              <w:right w:w="108" w:type="dxa"/>
            </w:tcMar>
          </w:tcPr>
          <w:p w14:paraId="24C2F57B"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810" w:type="dxa"/>
            <w:vMerge/>
            <w:tcBorders>
              <w:top w:val="single" w:sz="4" w:space="0" w:color="000000"/>
            </w:tcBorders>
            <w:tcMar>
              <w:top w:w="0" w:type="dxa"/>
              <w:left w:w="108" w:type="dxa"/>
              <w:bottom w:w="0" w:type="dxa"/>
              <w:right w:w="108" w:type="dxa"/>
            </w:tcMar>
          </w:tcPr>
          <w:p w14:paraId="665030A5"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540" w:type="dxa"/>
            <w:vMerge/>
            <w:tcBorders>
              <w:top w:val="single" w:sz="4" w:space="0" w:color="000000"/>
            </w:tcBorders>
            <w:tcMar>
              <w:top w:w="0" w:type="dxa"/>
              <w:left w:w="108" w:type="dxa"/>
              <w:bottom w:w="0" w:type="dxa"/>
              <w:right w:w="108" w:type="dxa"/>
            </w:tcMar>
          </w:tcPr>
          <w:p w14:paraId="2D67164A"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540" w:type="dxa"/>
            <w:vMerge/>
            <w:tcBorders>
              <w:top w:val="single" w:sz="4" w:space="0" w:color="000000"/>
            </w:tcBorders>
            <w:tcMar>
              <w:top w:w="0" w:type="dxa"/>
              <w:left w:w="108" w:type="dxa"/>
              <w:bottom w:w="0" w:type="dxa"/>
              <w:right w:w="108" w:type="dxa"/>
            </w:tcMar>
          </w:tcPr>
          <w:p w14:paraId="66CEE162"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720" w:type="dxa"/>
            <w:vMerge/>
            <w:tcBorders>
              <w:top w:val="single" w:sz="4" w:space="0" w:color="000000"/>
            </w:tcBorders>
            <w:tcMar>
              <w:top w:w="0" w:type="dxa"/>
              <w:left w:w="108" w:type="dxa"/>
              <w:bottom w:w="0" w:type="dxa"/>
              <w:right w:w="108" w:type="dxa"/>
            </w:tcMar>
          </w:tcPr>
          <w:p w14:paraId="29A957E7"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080" w:type="dxa"/>
            <w:gridSpan w:val="2"/>
            <w:tcMar>
              <w:top w:w="0" w:type="dxa"/>
              <w:left w:w="108" w:type="dxa"/>
              <w:bottom w:w="0" w:type="dxa"/>
              <w:right w:w="108" w:type="dxa"/>
            </w:tcMar>
          </w:tcPr>
          <w:p w14:paraId="609DF09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Lower Bound</w:t>
            </w:r>
          </w:p>
        </w:tc>
        <w:tc>
          <w:tcPr>
            <w:tcW w:w="990" w:type="dxa"/>
            <w:tcMar>
              <w:top w:w="0" w:type="dxa"/>
              <w:left w:w="108" w:type="dxa"/>
              <w:bottom w:w="0" w:type="dxa"/>
              <w:right w:w="108" w:type="dxa"/>
            </w:tcMar>
          </w:tcPr>
          <w:p w14:paraId="2623A91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Upper Bound</w:t>
            </w:r>
          </w:p>
        </w:tc>
      </w:tr>
      <w:tr w:rsidR="00203701" w14:paraId="1939E6D3" w14:textId="77777777">
        <w:tc>
          <w:tcPr>
            <w:tcW w:w="720" w:type="dxa"/>
            <w:vMerge w:val="restart"/>
            <w:tcMar>
              <w:top w:w="0" w:type="dxa"/>
              <w:left w:w="108" w:type="dxa"/>
              <w:bottom w:w="0" w:type="dxa"/>
              <w:right w:w="108" w:type="dxa"/>
            </w:tcMar>
          </w:tcPr>
          <w:p w14:paraId="65E24CE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Yes</w:t>
            </w:r>
          </w:p>
        </w:tc>
        <w:tc>
          <w:tcPr>
            <w:tcW w:w="2070" w:type="dxa"/>
            <w:gridSpan w:val="2"/>
            <w:tcBorders>
              <w:top w:val="single" w:sz="4" w:space="0" w:color="000000"/>
            </w:tcBorders>
            <w:tcMar>
              <w:top w:w="0" w:type="dxa"/>
              <w:left w:w="108" w:type="dxa"/>
              <w:bottom w:w="0" w:type="dxa"/>
              <w:right w:w="108" w:type="dxa"/>
            </w:tcMar>
          </w:tcPr>
          <w:p w14:paraId="35AE0CD2" w14:textId="77777777" w:rsidR="00203701" w:rsidRDefault="003D14C2">
            <w:pPr>
              <w:spacing w:after="0" w:line="360" w:lineRule="auto"/>
              <w:ind w:right="60"/>
              <w:jc w:val="both"/>
              <w:rPr>
                <w:rFonts w:ascii="Garamond" w:eastAsia="Garamond" w:hAnsi="Garamond" w:cs="Garamond"/>
                <w:color w:val="000000"/>
                <w:sz w:val="24"/>
                <w:szCs w:val="24"/>
              </w:rPr>
            </w:pPr>
            <w:r>
              <w:rPr>
                <w:rFonts w:ascii="Garamond" w:eastAsia="Garamond" w:hAnsi="Garamond" w:cs="Garamond"/>
                <w:color w:val="000000"/>
                <w:sz w:val="24"/>
                <w:szCs w:val="24"/>
              </w:rPr>
              <w:t>Intercept</w:t>
            </w:r>
          </w:p>
        </w:tc>
        <w:tc>
          <w:tcPr>
            <w:tcW w:w="900" w:type="dxa"/>
            <w:tcBorders>
              <w:top w:val="single" w:sz="4" w:space="0" w:color="000000"/>
            </w:tcBorders>
            <w:tcMar>
              <w:top w:w="0" w:type="dxa"/>
              <w:left w:w="108" w:type="dxa"/>
              <w:bottom w:w="0" w:type="dxa"/>
              <w:right w:w="108" w:type="dxa"/>
            </w:tcMar>
          </w:tcPr>
          <w:p w14:paraId="712E9D4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1.887</w:t>
            </w:r>
          </w:p>
        </w:tc>
        <w:tc>
          <w:tcPr>
            <w:tcW w:w="1080" w:type="dxa"/>
            <w:tcBorders>
              <w:top w:val="single" w:sz="4" w:space="0" w:color="000000"/>
            </w:tcBorders>
            <w:tcMar>
              <w:top w:w="0" w:type="dxa"/>
              <w:left w:w="108" w:type="dxa"/>
              <w:bottom w:w="0" w:type="dxa"/>
              <w:right w:w="108" w:type="dxa"/>
            </w:tcMar>
          </w:tcPr>
          <w:p w14:paraId="245436C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.240</w:t>
            </w:r>
          </w:p>
        </w:tc>
        <w:tc>
          <w:tcPr>
            <w:tcW w:w="810" w:type="dxa"/>
            <w:tcBorders>
              <w:top w:val="single" w:sz="4" w:space="0" w:color="000000"/>
            </w:tcBorders>
            <w:tcMar>
              <w:top w:w="0" w:type="dxa"/>
              <w:left w:w="108" w:type="dxa"/>
              <w:bottom w:w="0" w:type="dxa"/>
              <w:right w:w="108" w:type="dxa"/>
            </w:tcMar>
          </w:tcPr>
          <w:p w14:paraId="4DC5907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61.850</w:t>
            </w:r>
          </w:p>
        </w:tc>
        <w:tc>
          <w:tcPr>
            <w:tcW w:w="540" w:type="dxa"/>
            <w:tcBorders>
              <w:top w:val="single" w:sz="4" w:space="0" w:color="000000"/>
            </w:tcBorders>
            <w:tcMar>
              <w:top w:w="0" w:type="dxa"/>
              <w:left w:w="108" w:type="dxa"/>
              <w:bottom w:w="0" w:type="dxa"/>
              <w:right w:w="108" w:type="dxa"/>
            </w:tcMar>
          </w:tcPr>
          <w:p w14:paraId="2F43CC7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Borders>
              <w:top w:val="single" w:sz="4" w:space="0" w:color="000000"/>
            </w:tcBorders>
            <w:tcMar>
              <w:top w:w="0" w:type="dxa"/>
              <w:left w:w="108" w:type="dxa"/>
              <w:bottom w:w="0" w:type="dxa"/>
              <w:right w:w="108" w:type="dxa"/>
            </w:tcMar>
          </w:tcPr>
          <w:p w14:paraId="5708DE8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.000</w:t>
            </w:r>
          </w:p>
        </w:tc>
        <w:tc>
          <w:tcPr>
            <w:tcW w:w="720" w:type="dxa"/>
            <w:tcBorders>
              <w:top w:val="single" w:sz="4" w:space="0" w:color="000000"/>
            </w:tcBorders>
            <w:tcMar>
              <w:top w:w="0" w:type="dxa"/>
              <w:left w:w="108" w:type="dxa"/>
              <w:bottom w:w="0" w:type="dxa"/>
              <w:right w:w="108" w:type="dxa"/>
            </w:tcMar>
          </w:tcPr>
          <w:p w14:paraId="0A4CE7D0" w14:textId="77777777" w:rsidR="00203701" w:rsidRDefault="00203701">
            <w:pPr>
              <w:spacing w:after="0" w:line="360" w:lineRule="auto"/>
              <w:jc w:val="both"/>
              <w:rPr>
                <w:rFonts w:ascii="Garamond" w:eastAsia="Garamond" w:hAnsi="Garamond" w:cs="Garamond"/>
                <w:color w:val="000000"/>
                <w:sz w:val="24"/>
                <w:szCs w:val="24"/>
              </w:rPr>
            </w:pPr>
          </w:p>
        </w:tc>
        <w:tc>
          <w:tcPr>
            <w:tcW w:w="1080" w:type="dxa"/>
            <w:gridSpan w:val="2"/>
            <w:tcBorders>
              <w:top w:val="single" w:sz="4" w:space="0" w:color="000000"/>
            </w:tcBorders>
            <w:tcMar>
              <w:top w:w="0" w:type="dxa"/>
              <w:left w:w="108" w:type="dxa"/>
              <w:bottom w:w="0" w:type="dxa"/>
              <w:right w:w="108" w:type="dxa"/>
            </w:tcMar>
          </w:tcPr>
          <w:p w14:paraId="4365CE16" w14:textId="77777777" w:rsidR="00203701" w:rsidRDefault="00203701">
            <w:pPr>
              <w:spacing w:after="0" w:line="360" w:lineRule="auto"/>
              <w:jc w:val="both"/>
              <w:rPr>
                <w:rFonts w:ascii="Garamond" w:eastAsia="Garamond" w:hAnsi="Garamond" w:cs="Garamond"/>
                <w:color w:val="000000"/>
                <w:sz w:val="24"/>
                <w:szCs w:val="24"/>
              </w:rPr>
            </w:pPr>
          </w:p>
        </w:tc>
        <w:tc>
          <w:tcPr>
            <w:tcW w:w="990" w:type="dxa"/>
            <w:tcBorders>
              <w:top w:val="single" w:sz="4" w:space="0" w:color="000000"/>
            </w:tcBorders>
            <w:tcMar>
              <w:top w:w="0" w:type="dxa"/>
              <w:left w:w="108" w:type="dxa"/>
              <w:bottom w:w="0" w:type="dxa"/>
              <w:right w:w="108" w:type="dxa"/>
            </w:tcMar>
          </w:tcPr>
          <w:p w14:paraId="339FEC52" w14:textId="77777777" w:rsidR="00203701" w:rsidRDefault="00203701">
            <w:pPr>
              <w:spacing w:after="0" w:line="360" w:lineRule="auto"/>
              <w:jc w:val="both"/>
              <w:rPr>
                <w:rFonts w:ascii="Garamond" w:eastAsia="Garamond" w:hAnsi="Garamond" w:cs="Garamond"/>
                <w:color w:val="000000"/>
                <w:sz w:val="24"/>
                <w:szCs w:val="24"/>
              </w:rPr>
            </w:pPr>
          </w:p>
        </w:tc>
      </w:tr>
      <w:tr w:rsidR="00203701" w14:paraId="497F92B1" w14:textId="77777777">
        <w:tc>
          <w:tcPr>
            <w:tcW w:w="720" w:type="dxa"/>
            <w:vMerge/>
            <w:tcMar>
              <w:top w:w="0" w:type="dxa"/>
              <w:left w:w="108" w:type="dxa"/>
              <w:bottom w:w="0" w:type="dxa"/>
              <w:right w:w="108" w:type="dxa"/>
            </w:tcMar>
          </w:tcPr>
          <w:p w14:paraId="5D58E8B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Mar>
              <w:top w:w="0" w:type="dxa"/>
              <w:left w:w="108" w:type="dxa"/>
              <w:bottom w:w="0" w:type="dxa"/>
              <w:right w:w="108" w:type="dxa"/>
            </w:tcMar>
          </w:tcPr>
          <w:p w14:paraId="36E5B4CA"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Climate Change</w:t>
            </w:r>
          </w:p>
        </w:tc>
        <w:tc>
          <w:tcPr>
            <w:tcW w:w="900" w:type="dxa"/>
            <w:tcMar>
              <w:top w:w="0" w:type="dxa"/>
              <w:left w:w="108" w:type="dxa"/>
              <w:bottom w:w="0" w:type="dxa"/>
              <w:right w:w="108" w:type="dxa"/>
            </w:tcMar>
          </w:tcPr>
          <w:p w14:paraId="2555753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.821</w:t>
            </w:r>
          </w:p>
        </w:tc>
        <w:tc>
          <w:tcPr>
            <w:tcW w:w="1080" w:type="dxa"/>
            <w:tcMar>
              <w:top w:w="0" w:type="dxa"/>
              <w:left w:w="108" w:type="dxa"/>
              <w:bottom w:w="0" w:type="dxa"/>
              <w:right w:w="108" w:type="dxa"/>
            </w:tcMar>
          </w:tcPr>
          <w:p w14:paraId="5A7E6B9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.569</w:t>
            </w:r>
          </w:p>
        </w:tc>
        <w:tc>
          <w:tcPr>
            <w:tcW w:w="810" w:type="dxa"/>
            <w:tcMar>
              <w:top w:w="0" w:type="dxa"/>
              <w:left w:w="108" w:type="dxa"/>
              <w:bottom w:w="0" w:type="dxa"/>
              <w:right w:w="108" w:type="dxa"/>
            </w:tcMar>
          </w:tcPr>
          <w:p w14:paraId="3EF1501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2.079</w:t>
            </w:r>
          </w:p>
        </w:tc>
        <w:tc>
          <w:tcPr>
            <w:tcW w:w="540" w:type="dxa"/>
            <w:tcMar>
              <w:top w:w="0" w:type="dxa"/>
              <w:left w:w="108" w:type="dxa"/>
              <w:bottom w:w="0" w:type="dxa"/>
              <w:right w:w="108" w:type="dxa"/>
            </w:tcMar>
          </w:tcPr>
          <w:p w14:paraId="4A99BDC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07130D3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.149</w:t>
            </w:r>
          </w:p>
        </w:tc>
        <w:tc>
          <w:tcPr>
            <w:tcW w:w="720" w:type="dxa"/>
            <w:tcMar>
              <w:top w:w="0" w:type="dxa"/>
              <w:left w:w="108" w:type="dxa"/>
              <w:bottom w:w="0" w:type="dxa"/>
              <w:right w:w="108" w:type="dxa"/>
            </w:tcMar>
          </w:tcPr>
          <w:p w14:paraId="00EF6D4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2.273</w:t>
            </w:r>
          </w:p>
        </w:tc>
        <w:tc>
          <w:tcPr>
            <w:tcW w:w="1080" w:type="dxa"/>
            <w:gridSpan w:val="2"/>
            <w:tcMar>
              <w:top w:w="0" w:type="dxa"/>
              <w:left w:w="108" w:type="dxa"/>
              <w:bottom w:w="0" w:type="dxa"/>
              <w:right w:w="108" w:type="dxa"/>
            </w:tcMar>
          </w:tcPr>
          <w:p w14:paraId="7C3FCBE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.744</w:t>
            </w:r>
          </w:p>
        </w:tc>
        <w:tc>
          <w:tcPr>
            <w:tcW w:w="990" w:type="dxa"/>
            <w:tcMar>
              <w:top w:w="0" w:type="dxa"/>
              <w:left w:w="108" w:type="dxa"/>
              <w:bottom w:w="0" w:type="dxa"/>
              <w:right w:w="108" w:type="dxa"/>
            </w:tcMar>
          </w:tcPr>
          <w:p w14:paraId="367F377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6.938</w:t>
            </w:r>
          </w:p>
        </w:tc>
      </w:tr>
      <w:tr w:rsidR="00203701" w14:paraId="2F09BF3E" w14:textId="77777777">
        <w:tc>
          <w:tcPr>
            <w:tcW w:w="720" w:type="dxa"/>
            <w:vMerge/>
            <w:tcMar>
              <w:top w:w="0" w:type="dxa"/>
              <w:left w:w="108" w:type="dxa"/>
              <w:bottom w:w="0" w:type="dxa"/>
              <w:right w:w="108" w:type="dxa"/>
            </w:tcMar>
          </w:tcPr>
          <w:p w14:paraId="3E2B6E90"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Mar>
              <w:top w:w="0" w:type="dxa"/>
              <w:left w:w="108" w:type="dxa"/>
              <w:bottom w:w="0" w:type="dxa"/>
              <w:right w:w="108" w:type="dxa"/>
            </w:tcMar>
          </w:tcPr>
          <w:p w14:paraId="233D511F"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Flat Terrane</w:t>
            </w:r>
          </w:p>
        </w:tc>
        <w:tc>
          <w:tcPr>
            <w:tcW w:w="900" w:type="dxa"/>
            <w:tcMar>
              <w:top w:w="0" w:type="dxa"/>
              <w:left w:w="108" w:type="dxa"/>
              <w:bottom w:w="0" w:type="dxa"/>
              <w:right w:w="108" w:type="dxa"/>
            </w:tcMar>
          </w:tcPr>
          <w:p w14:paraId="025DDEB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.697</w:t>
            </w:r>
          </w:p>
        </w:tc>
        <w:tc>
          <w:tcPr>
            <w:tcW w:w="1080" w:type="dxa"/>
            <w:tcMar>
              <w:top w:w="0" w:type="dxa"/>
              <w:left w:w="108" w:type="dxa"/>
              <w:bottom w:w="0" w:type="dxa"/>
              <w:right w:w="108" w:type="dxa"/>
            </w:tcMar>
          </w:tcPr>
          <w:p w14:paraId="6634EA4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.571</w:t>
            </w:r>
          </w:p>
        </w:tc>
        <w:tc>
          <w:tcPr>
            <w:tcW w:w="810" w:type="dxa"/>
            <w:tcMar>
              <w:top w:w="0" w:type="dxa"/>
              <w:left w:w="108" w:type="dxa"/>
              <w:bottom w:w="0" w:type="dxa"/>
              <w:right w:w="108" w:type="dxa"/>
            </w:tcMar>
          </w:tcPr>
          <w:p w14:paraId="170C14D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1.488</w:t>
            </w:r>
          </w:p>
        </w:tc>
        <w:tc>
          <w:tcPr>
            <w:tcW w:w="540" w:type="dxa"/>
            <w:tcMar>
              <w:top w:w="0" w:type="dxa"/>
              <w:left w:w="108" w:type="dxa"/>
              <w:bottom w:w="0" w:type="dxa"/>
              <w:right w:w="108" w:type="dxa"/>
            </w:tcMar>
          </w:tcPr>
          <w:p w14:paraId="45892AD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3A3C672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.223</w:t>
            </w:r>
          </w:p>
        </w:tc>
        <w:tc>
          <w:tcPr>
            <w:tcW w:w="720" w:type="dxa"/>
            <w:tcMar>
              <w:top w:w="0" w:type="dxa"/>
              <w:left w:w="108" w:type="dxa"/>
              <w:bottom w:w="0" w:type="dxa"/>
              <w:right w:w="108" w:type="dxa"/>
            </w:tcMar>
          </w:tcPr>
          <w:p w14:paraId="3A4ED54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2.008</w:t>
            </w:r>
          </w:p>
        </w:tc>
        <w:tc>
          <w:tcPr>
            <w:tcW w:w="1080" w:type="dxa"/>
            <w:gridSpan w:val="2"/>
            <w:tcMar>
              <w:top w:w="0" w:type="dxa"/>
              <w:left w:w="108" w:type="dxa"/>
              <w:bottom w:w="0" w:type="dxa"/>
              <w:right w:w="108" w:type="dxa"/>
            </w:tcMar>
          </w:tcPr>
          <w:p w14:paraId="7D58096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.655</w:t>
            </w:r>
          </w:p>
        </w:tc>
        <w:tc>
          <w:tcPr>
            <w:tcW w:w="990" w:type="dxa"/>
            <w:tcMar>
              <w:top w:w="0" w:type="dxa"/>
              <w:left w:w="108" w:type="dxa"/>
              <w:bottom w:w="0" w:type="dxa"/>
              <w:right w:w="108" w:type="dxa"/>
            </w:tcMar>
          </w:tcPr>
          <w:p w14:paraId="356CEE9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6.152</w:t>
            </w:r>
          </w:p>
        </w:tc>
      </w:tr>
      <w:tr w:rsidR="00203701" w14:paraId="46460DAE" w14:textId="77777777">
        <w:tc>
          <w:tcPr>
            <w:tcW w:w="720" w:type="dxa"/>
            <w:vMerge/>
            <w:tcMar>
              <w:top w:w="0" w:type="dxa"/>
              <w:left w:w="108" w:type="dxa"/>
              <w:bottom w:w="0" w:type="dxa"/>
              <w:right w:w="108" w:type="dxa"/>
            </w:tcMar>
          </w:tcPr>
          <w:p w14:paraId="23FA83B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Borders>
              <w:bottom w:val="single" w:sz="4" w:space="0" w:color="000000"/>
            </w:tcBorders>
            <w:tcMar>
              <w:top w:w="0" w:type="dxa"/>
              <w:left w:w="108" w:type="dxa"/>
              <w:bottom w:w="0" w:type="dxa"/>
              <w:right w:w="108" w:type="dxa"/>
            </w:tcMar>
          </w:tcPr>
          <w:p w14:paraId="5C9AF2CB"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Overflow of Lake Baringo</w:t>
            </w:r>
          </w:p>
        </w:tc>
        <w:tc>
          <w:tcPr>
            <w:tcW w:w="900" w:type="dxa"/>
            <w:tcBorders>
              <w:bottom w:val="single" w:sz="4" w:space="0" w:color="000000"/>
            </w:tcBorders>
            <w:tcMar>
              <w:top w:w="0" w:type="dxa"/>
              <w:left w:w="108" w:type="dxa"/>
              <w:bottom w:w="0" w:type="dxa"/>
              <w:right w:w="108" w:type="dxa"/>
            </w:tcMar>
          </w:tcPr>
          <w:p w14:paraId="3F61394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r>
              <w:rPr>
                <w:rFonts w:ascii="Garamond" w:eastAsia="Garamond" w:hAnsi="Garamond" w:cs="Garamond"/>
                <w:color w:val="000000"/>
                <w:sz w:val="24"/>
                <w:szCs w:val="24"/>
                <w:vertAlign w:val="superscript"/>
              </w:rPr>
              <w:t>b</w:t>
            </w:r>
          </w:p>
        </w:tc>
        <w:tc>
          <w:tcPr>
            <w:tcW w:w="1080" w:type="dxa"/>
            <w:tcBorders>
              <w:bottom w:val="single" w:sz="4" w:space="0" w:color="000000"/>
            </w:tcBorders>
            <w:tcMar>
              <w:top w:w="0" w:type="dxa"/>
              <w:left w:w="108" w:type="dxa"/>
              <w:bottom w:w="0" w:type="dxa"/>
              <w:right w:w="108" w:type="dxa"/>
            </w:tcMar>
          </w:tcPr>
          <w:p w14:paraId="0FDE2E7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810" w:type="dxa"/>
            <w:tcBorders>
              <w:bottom w:val="single" w:sz="4" w:space="0" w:color="000000"/>
            </w:tcBorders>
            <w:tcMar>
              <w:top w:w="0" w:type="dxa"/>
              <w:left w:w="108" w:type="dxa"/>
              <w:bottom w:w="0" w:type="dxa"/>
              <w:right w:w="108" w:type="dxa"/>
            </w:tcMar>
          </w:tcPr>
          <w:p w14:paraId="59AA038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540" w:type="dxa"/>
            <w:tcBorders>
              <w:bottom w:val="single" w:sz="4" w:space="0" w:color="000000"/>
            </w:tcBorders>
            <w:tcMar>
              <w:top w:w="0" w:type="dxa"/>
              <w:left w:w="108" w:type="dxa"/>
              <w:bottom w:w="0" w:type="dxa"/>
              <w:right w:w="108" w:type="dxa"/>
            </w:tcMar>
          </w:tcPr>
          <w:p w14:paraId="6A56C3A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540" w:type="dxa"/>
            <w:tcBorders>
              <w:bottom w:val="single" w:sz="4" w:space="0" w:color="000000"/>
            </w:tcBorders>
            <w:tcMar>
              <w:top w:w="0" w:type="dxa"/>
              <w:left w:w="108" w:type="dxa"/>
              <w:bottom w:w="0" w:type="dxa"/>
              <w:right w:w="108" w:type="dxa"/>
            </w:tcMar>
          </w:tcPr>
          <w:p w14:paraId="1D9E08C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720" w:type="dxa"/>
            <w:tcBorders>
              <w:bottom w:val="single" w:sz="4" w:space="0" w:color="000000"/>
            </w:tcBorders>
            <w:tcMar>
              <w:top w:w="0" w:type="dxa"/>
              <w:left w:w="108" w:type="dxa"/>
              <w:bottom w:w="0" w:type="dxa"/>
              <w:right w:w="108" w:type="dxa"/>
            </w:tcMar>
          </w:tcPr>
          <w:p w14:paraId="52C2E1C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1080" w:type="dxa"/>
            <w:gridSpan w:val="2"/>
            <w:tcBorders>
              <w:bottom w:val="single" w:sz="4" w:space="0" w:color="000000"/>
            </w:tcBorders>
            <w:tcMar>
              <w:top w:w="0" w:type="dxa"/>
              <w:left w:w="108" w:type="dxa"/>
              <w:bottom w:w="0" w:type="dxa"/>
              <w:right w:w="108" w:type="dxa"/>
            </w:tcMar>
          </w:tcPr>
          <w:p w14:paraId="195D61D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990" w:type="dxa"/>
            <w:tcBorders>
              <w:bottom w:val="single" w:sz="4" w:space="0" w:color="000000"/>
            </w:tcBorders>
            <w:tcMar>
              <w:top w:w="0" w:type="dxa"/>
              <w:left w:w="108" w:type="dxa"/>
              <w:bottom w:w="0" w:type="dxa"/>
              <w:right w:w="108" w:type="dxa"/>
            </w:tcMar>
          </w:tcPr>
          <w:p w14:paraId="2E7E81C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r>
      <w:tr w:rsidR="00203701" w14:paraId="579B0B27" w14:textId="77777777">
        <w:trPr>
          <w:trHeight w:val="82"/>
        </w:trPr>
        <w:tc>
          <w:tcPr>
            <w:tcW w:w="9450" w:type="dxa"/>
            <w:gridSpan w:val="12"/>
            <w:tcBorders>
              <w:top w:val="single" w:sz="4" w:space="0" w:color="000000"/>
            </w:tcBorders>
            <w:tcMar>
              <w:top w:w="0" w:type="dxa"/>
              <w:left w:w="108" w:type="dxa"/>
              <w:bottom w:w="0" w:type="dxa"/>
              <w:right w:w="108" w:type="dxa"/>
            </w:tcMar>
          </w:tcPr>
          <w:p w14:paraId="0887AA4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your Home</w:t>
            </w:r>
            <w:r>
              <w:rPr>
                <w:rFonts w:ascii="Garamond" w:eastAsia="Garamond" w:hAnsi="Garamond" w:cs="Garamond"/>
                <w:color w:val="000000"/>
                <w:sz w:val="24"/>
                <w:szCs w:val="24"/>
                <w:vertAlign w:val="superscript"/>
              </w:rPr>
              <w:t>a</w:t>
            </w:r>
          </w:p>
        </w:tc>
      </w:tr>
      <w:tr w:rsidR="00203701" w14:paraId="547D3CC6" w14:textId="77777777">
        <w:tc>
          <w:tcPr>
            <w:tcW w:w="1006" w:type="dxa"/>
            <w:gridSpan w:val="2"/>
            <w:vMerge w:val="restart"/>
            <w:tcMar>
              <w:top w:w="0" w:type="dxa"/>
              <w:left w:w="108" w:type="dxa"/>
              <w:bottom w:w="0" w:type="dxa"/>
              <w:right w:w="108" w:type="dxa"/>
            </w:tcMar>
          </w:tcPr>
          <w:p w14:paraId="7207AFF5" w14:textId="77777777" w:rsidR="00203701" w:rsidRDefault="00203701">
            <w:pPr>
              <w:spacing w:after="0" w:line="360" w:lineRule="auto"/>
              <w:ind w:right="60"/>
              <w:jc w:val="both"/>
              <w:rPr>
                <w:rFonts w:ascii="Garamond" w:eastAsia="Garamond" w:hAnsi="Garamond" w:cs="Garamond"/>
                <w:color w:val="000000"/>
                <w:sz w:val="24"/>
                <w:szCs w:val="24"/>
              </w:rPr>
            </w:pPr>
          </w:p>
        </w:tc>
        <w:tc>
          <w:tcPr>
            <w:tcW w:w="1784" w:type="dxa"/>
            <w:tcMar>
              <w:top w:w="0" w:type="dxa"/>
              <w:left w:w="108" w:type="dxa"/>
              <w:bottom w:w="0" w:type="dxa"/>
              <w:right w:w="108" w:type="dxa"/>
            </w:tcMar>
          </w:tcPr>
          <w:p w14:paraId="2BF62D3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Intercept</w:t>
            </w:r>
          </w:p>
        </w:tc>
        <w:tc>
          <w:tcPr>
            <w:tcW w:w="900" w:type="dxa"/>
            <w:tcMar>
              <w:top w:w="0" w:type="dxa"/>
              <w:left w:w="108" w:type="dxa"/>
              <w:bottom w:w="0" w:type="dxa"/>
              <w:right w:w="108" w:type="dxa"/>
            </w:tcMar>
          </w:tcPr>
          <w:p w14:paraId="1E3136F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1.946</w:t>
            </w:r>
          </w:p>
        </w:tc>
        <w:tc>
          <w:tcPr>
            <w:tcW w:w="1080" w:type="dxa"/>
            <w:tcMar>
              <w:top w:w="0" w:type="dxa"/>
              <w:left w:w="108" w:type="dxa"/>
              <w:bottom w:w="0" w:type="dxa"/>
              <w:right w:w="108" w:type="dxa"/>
            </w:tcMar>
          </w:tcPr>
          <w:p w14:paraId="6116DDC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.245</w:t>
            </w:r>
          </w:p>
        </w:tc>
        <w:tc>
          <w:tcPr>
            <w:tcW w:w="810" w:type="dxa"/>
            <w:tcMar>
              <w:top w:w="0" w:type="dxa"/>
              <w:left w:w="108" w:type="dxa"/>
              <w:bottom w:w="0" w:type="dxa"/>
              <w:right w:w="108" w:type="dxa"/>
            </w:tcMar>
          </w:tcPr>
          <w:p w14:paraId="4547D82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62.952</w:t>
            </w:r>
          </w:p>
        </w:tc>
        <w:tc>
          <w:tcPr>
            <w:tcW w:w="540" w:type="dxa"/>
            <w:tcMar>
              <w:top w:w="0" w:type="dxa"/>
              <w:left w:w="108" w:type="dxa"/>
              <w:bottom w:w="0" w:type="dxa"/>
              <w:right w:w="108" w:type="dxa"/>
            </w:tcMar>
          </w:tcPr>
          <w:p w14:paraId="703CA32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614C6F4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.000</w:t>
            </w:r>
          </w:p>
        </w:tc>
        <w:tc>
          <w:tcPr>
            <w:tcW w:w="720" w:type="dxa"/>
            <w:tcMar>
              <w:top w:w="0" w:type="dxa"/>
              <w:left w:w="108" w:type="dxa"/>
              <w:bottom w:w="0" w:type="dxa"/>
              <w:right w:w="108" w:type="dxa"/>
            </w:tcMar>
          </w:tcPr>
          <w:p w14:paraId="4C55DBB9" w14:textId="77777777" w:rsidR="00203701" w:rsidRDefault="00203701">
            <w:pPr>
              <w:spacing w:after="0" w:line="360" w:lineRule="auto"/>
              <w:jc w:val="both"/>
              <w:rPr>
                <w:rFonts w:ascii="Garamond" w:eastAsia="Garamond" w:hAnsi="Garamond" w:cs="Garamond"/>
                <w:color w:val="000000"/>
                <w:sz w:val="24"/>
                <w:szCs w:val="24"/>
              </w:rPr>
            </w:pPr>
          </w:p>
        </w:tc>
        <w:tc>
          <w:tcPr>
            <w:tcW w:w="900" w:type="dxa"/>
            <w:tcMar>
              <w:top w:w="0" w:type="dxa"/>
              <w:left w:w="108" w:type="dxa"/>
              <w:bottom w:w="0" w:type="dxa"/>
              <w:right w:w="108" w:type="dxa"/>
            </w:tcMar>
          </w:tcPr>
          <w:p w14:paraId="14DB1563" w14:textId="77777777" w:rsidR="00203701" w:rsidRDefault="00203701">
            <w:pPr>
              <w:spacing w:after="0" w:line="360" w:lineRule="auto"/>
              <w:jc w:val="both"/>
              <w:rPr>
                <w:rFonts w:ascii="Garamond" w:eastAsia="Garamond" w:hAnsi="Garamond" w:cs="Garamond"/>
                <w:color w:val="000000"/>
                <w:sz w:val="24"/>
                <w:szCs w:val="24"/>
              </w:rPr>
            </w:pPr>
          </w:p>
        </w:tc>
        <w:tc>
          <w:tcPr>
            <w:tcW w:w="1170" w:type="dxa"/>
            <w:gridSpan w:val="2"/>
            <w:tcMar>
              <w:top w:w="0" w:type="dxa"/>
              <w:left w:w="108" w:type="dxa"/>
              <w:bottom w:w="0" w:type="dxa"/>
              <w:right w:w="108" w:type="dxa"/>
            </w:tcMar>
          </w:tcPr>
          <w:p w14:paraId="33D02DE3" w14:textId="77777777" w:rsidR="00203701" w:rsidRDefault="00203701">
            <w:pPr>
              <w:spacing w:after="0" w:line="360" w:lineRule="auto"/>
              <w:jc w:val="both"/>
              <w:rPr>
                <w:rFonts w:ascii="Garamond" w:eastAsia="Garamond" w:hAnsi="Garamond" w:cs="Garamond"/>
                <w:color w:val="000000"/>
                <w:sz w:val="24"/>
                <w:szCs w:val="24"/>
              </w:rPr>
            </w:pPr>
          </w:p>
        </w:tc>
      </w:tr>
      <w:tr w:rsidR="00203701" w14:paraId="30A42BC9" w14:textId="77777777">
        <w:tc>
          <w:tcPr>
            <w:tcW w:w="1006" w:type="dxa"/>
            <w:gridSpan w:val="2"/>
            <w:vMerge/>
            <w:tcMar>
              <w:top w:w="0" w:type="dxa"/>
              <w:left w:w="108" w:type="dxa"/>
              <w:bottom w:w="0" w:type="dxa"/>
              <w:right w:w="108" w:type="dxa"/>
            </w:tcMar>
          </w:tcPr>
          <w:p w14:paraId="6391539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Mar>
              <w:top w:w="0" w:type="dxa"/>
              <w:left w:w="108" w:type="dxa"/>
              <w:bottom w:w="0" w:type="dxa"/>
              <w:right w:w="108" w:type="dxa"/>
            </w:tcMar>
          </w:tcPr>
          <w:p w14:paraId="593FC12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Climate Change</w:t>
            </w:r>
          </w:p>
        </w:tc>
        <w:tc>
          <w:tcPr>
            <w:tcW w:w="900" w:type="dxa"/>
            <w:tcMar>
              <w:top w:w="0" w:type="dxa"/>
              <w:left w:w="108" w:type="dxa"/>
              <w:bottom w:w="0" w:type="dxa"/>
              <w:right w:w="108" w:type="dxa"/>
            </w:tcMar>
          </w:tcPr>
          <w:p w14:paraId="7DE11EE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.762</w:t>
            </w:r>
          </w:p>
        </w:tc>
        <w:tc>
          <w:tcPr>
            <w:tcW w:w="1080" w:type="dxa"/>
            <w:tcMar>
              <w:top w:w="0" w:type="dxa"/>
              <w:left w:w="108" w:type="dxa"/>
              <w:bottom w:w="0" w:type="dxa"/>
              <w:right w:w="108" w:type="dxa"/>
            </w:tcMar>
          </w:tcPr>
          <w:p w14:paraId="406C415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.572</w:t>
            </w:r>
          </w:p>
        </w:tc>
        <w:tc>
          <w:tcPr>
            <w:tcW w:w="810" w:type="dxa"/>
            <w:tcMar>
              <w:top w:w="0" w:type="dxa"/>
              <w:left w:w="108" w:type="dxa"/>
              <w:bottom w:w="0" w:type="dxa"/>
              <w:right w:w="108" w:type="dxa"/>
            </w:tcMar>
          </w:tcPr>
          <w:p w14:paraId="1412846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1.777</w:t>
            </w:r>
          </w:p>
        </w:tc>
        <w:tc>
          <w:tcPr>
            <w:tcW w:w="540" w:type="dxa"/>
            <w:tcMar>
              <w:top w:w="0" w:type="dxa"/>
              <w:left w:w="108" w:type="dxa"/>
              <w:bottom w:w="0" w:type="dxa"/>
              <w:right w:w="108" w:type="dxa"/>
            </w:tcMar>
          </w:tcPr>
          <w:p w14:paraId="256D9A2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78BF183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.182</w:t>
            </w:r>
          </w:p>
        </w:tc>
        <w:tc>
          <w:tcPr>
            <w:tcW w:w="720" w:type="dxa"/>
            <w:tcMar>
              <w:top w:w="0" w:type="dxa"/>
              <w:left w:w="108" w:type="dxa"/>
              <w:bottom w:w="0" w:type="dxa"/>
              <w:right w:w="108" w:type="dxa"/>
            </w:tcMar>
          </w:tcPr>
          <w:p w14:paraId="560FE3B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2.143</w:t>
            </w:r>
          </w:p>
        </w:tc>
        <w:tc>
          <w:tcPr>
            <w:tcW w:w="900" w:type="dxa"/>
            <w:tcMar>
              <w:top w:w="0" w:type="dxa"/>
              <w:left w:w="108" w:type="dxa"/>
              <w:bottom w:w="0" w:type="dxa"/>
              <w:right w:w="108" w:type="dxa"/>
            </w:tcMar>
          </w:tcPr>
          <w:p w14:paraId="3A9FF47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.699</w:t>
            </w:r>
          </w:p>
        </w:tc>
        <w:tc>
          <w:tcPr>
            <w:tcW w:w="1170" w:type="dxa"/>
            <w:gridSpan w:val="2"/>
            <w:tcMar>
              <w:top w:w="0" w:type="dxa"/>
              <w:left w:w="108" w:type="dxa"/>
              <w:bottom w:w="0" w:type="dxa"/>
              <w:right w:w="108" w:type="dxa"/>
            </w:tcMar>
          </w:tcPr>
          <w:p w14:paraId="2572654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6.571</w:t>
            </w:r>
          </w:p>
        </w:tc>
      </w:tr>
      <w:tr w:rsidR="00203701" w14:paraId="2381E4B6" w14:textId="77777777">
        <w:tc>
          <w:tcPr>
            <w:tcW w:w="1006" w:type="dxa"/>
            <w:gridSpan w:val="2"/>
            <w:vMerge/>
            <w:tcMar>
              <w:top w:w="0" w:type="dxa"/>
              <w:left w:w="108" w:type="dxa"/>
              <w:bottom w:w="0" w:type="dxa"/>
              <w:right w:w="108" w:type="dxa"/>
            </w:tcMar>
          </w:tcPr>
          <w:p w14:paraId="2530937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Mar>
              <w:top w:w="0" w:type="dxa"/>
              <w:left w:w="108" w:type="dxa"/>
              <w:bottom w:w="0" w:type="dxa"/>
              <w:right w:w="108" w:type="dxa"/>
            </w:tcMar>
          </w:tcPr>
          <w:p w14:paraId="53950C3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Flat Terrane</w:t>
            </w:r>
          </w:p>
        </w:tc>
        <w:tc>
          <w:tcPr>
            <w:tcW w:w="900" w:type="dxa"/>
            <w:tcMar>
              <w:top w:w="0" w:type="dxa"/>
              <w:left w:w="108" w:type="dxa"/>
              <w:bottom w:w="0" w:type="dxa"/>
              <w:right w:w="108" w:type="dxa"/>
            </w:tcMar>
          </w:tcPr>
          <w:p w14:paraId="1802CD1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.638</w:t>
            </w:r>
          </w:p>
        </w:tc>
        <w:tc>
          <w:tcPr>
            <w:tcW w:w="1080" w:type="dxa"/>
            <w:tcMar>
              <w:top w:w="0" w:type="dxa"/>
              <w:left w:w="108" w:type="dxa"/>
              <w:bottom w:w="0" w:type="dxa"/>
              <w:right w:w="108" w:type="dxa"/>
            </w:tcMar>
          </w:tcPr>
          <w:p w14:paraId="3E8196E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.574</w:t>
            </w:r>
          </w:p>
        </w:tc>
        <w:tc>
          <w:tcPr>
            <w:tcW w:w="810" w:type="dxa"/>
            <w:tcMar>
              <w:top w:w="0" w:type="dxa"/>
              <w:left w:w="108" w:type="dxa"/>
              <w:bottom w:w="0" w:type="dxa"/>
              <w:right w:w="108" w:type="dxa"/>
            </w:tcMar>
          </w:tcPr>
          <w:p w14:paraId="0C882A8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1.237</w:t>
            </w:r>
          </w:p>
        </w:tc>
        <w:tc>
          <w:tcPr>
            <w:tcW w:w="540" w:type="dxa"/>
            <w:tcMar>
              <w:top w:w="0" w:type="dxa"/>
              <w:left w:w="108" w:type="dxa"/>
              <w:bottom w:w="0" w:type="dxa"/>
              <w:right w:w="108" w:type="dxa"/>
            </w:tcMar>
          </w:tcPr>
          <w:p w14:paraId="5ED4B03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2078539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.26</w:t>
            </w:r>
            <w:r>
              <w:rPr>
                <w:rFonts w:ascii="Garamond" w:eastAsia="Garamond" w:hAnsi="Garamond" w:cs="Garamond"/>
                <w:color w:val="000000"/>
                <w:sz w:val="24"/>
                <w:szCs w:val="24"/>
              </w:rPr>
              <w:lastRenderedPageBreak/>
              <w:t>6</w:t>
            </w:r>
          </w:p>
        </w:tc>
        <w:tc>
          <w:tcPr>
            <w:tcW w:w="720" w:type="dxa"/>
            <w:tcMar>
              <w:top w:w="0" w:type="dxa"/>
              <w:left w:w="108" w:type="dxa"/>
              <w:bottom w:w="0" w:type="dxa"/>
              <w:right w:w="108" w:type="dxa"/>
            </w:tcMar>
          </w:tcPr>
          <w:p w14:paraId="432CABF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1.893</w:t>
            </w:r>
          </w:p>
        </w:tc>
        <w:tc>
          <w:tcPr>
            <w:tcW w:w="900" w:type="dxa"/>
            <w:tcMar>
              <w:top w:w="0" w:type="dxa"/>
              <w:left w:w="108" w:type="dxa"/>
              <w:bottom w:w="0" w:type="dxa"/>
              <w:right w:w="108" w:type="dxa"/>
            </w:tcMar>
          </w:tcPr>
          <w:p w14:paraId="23CEEFB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.615</w:t>
            </w:r>
          </w:p>
        </w:tc>
        <w:tc>
          <w:tcPr>
            <w:tcW w:w="1170" w:type="dxa"/>
            <w:gridSpan w:val="2"/>
            <w:tcMar>
              <w:top w:w="0" w:type="dxa"/>
              <w:left w:w="108" w:type="dxa"/>
              <w:bottom w:w="0" w:type="dxa"/>
              <w:right w:w="108" w:type="dxa"/>
            </w:tcMar>
          </w:tcPr>
          <w:p w14:paraId="54CEFB0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5.826</w:t>
            </w:r>
          </w:p>
        </w:tc>
      </w:tr>
      <w:tr w:rsidR="00203701" w14:paraId="4D5CBD65" w14:textId="77777777">
        <w:tc>
          <w:tcPr>
            <w:tcW w:w="1006" w:type="dxa"/>
            <w:gridSpan w:val="2"/>
            <w:vMerge/>
            <w:tcMar>
              <w:top w:w="0" w:type="dxa"/>
              <w:left w:w="108" w:type="dxa"/>
              <w:bottom w:w="0" w:type="dxa"/>
              <w:right w:w="108" w:type="dxa"/>
            </w:tcMar>
          </w:tcPr>
          <w:p w14:paraId="492FDC6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Borders>
              <w:bottom w:val="single" w:sz="4" w:space="0" w:color="000000"/>
            </w:tcBorders>
            <w:tcMar>
              <w:top w:w="0" w:type="dxa"/>
              <w:left w:w="108" w:type="dxa"/>
              <w:bottom w:w="0" w:type="dxa"/>
              <w:right w:w="108" w:type="dxa"/>
            </w:tcMar>
          </w:tcPr>
          <w:p w14:paraId="4C28384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Overflow of Lake Baringo</w:t>
            </w:r>
          </w:p>
        </w:tc>
        <w:tc>
          <w:tcPr>
            <w:tcW w:w="900" w:type="dxa"/>
            <w:tcBorders>
              <w:bottom w:val="single" w:sz="4" w:space="0" w:color="000000"/>
            </w:tcBorders>
            <w:tcMar>
              <w:top w:w="0" w:type="dxa"/>
              <w:left w:w="108" w:type="dxa"/>
              <w:bottom w:w="0" w:type="dxa"/>
              <w:right w:w="108" w:type="dxa"/>
            </w:tcMar>
          </w:tcPr>
          <w:p w14:paraId="3E04179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r>
              <w:rPr>
                <w:rFonts w:ascii="Garamond" w:eastAsia="Garamond" w:hAnsi="Garamond" w:cs="Garamond"/>
                <w:color w:val="000000"/>
                <w:sz w:val="24"/>
                <w:szCs w:val="24"/>
                <w:vertAlign w:val="superscript"/>
              </w:rPr>
              <w:t>b</w:t>
            </w:r>
          </w:p>
        </w:tc>
        <w:tc>
          <w:tcPr>
            <w:tcW w:w="1080" w:type="dxa"/>
            <w:tcBorders>
              <w:bottom w:val="single" w:sz="4" w:space="0" w:color="000000"/>
            </w:tcBorders>
            <w:tcMar>
              <w:top w:w="0" w:type="dxa"/>
              <w:left w:w="108" w:type="dxa"/>
              <w:bottom w:w="0" w:type="dxa"/>
              <w:right w:w="108" w:type="dxa"/>
            </w:tcMar>
          </w:tcPr>
          <w:p w14:paraId="3E0907B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810" w:type="dxa"/>
            <w:tcBorders>
              <w:bottom w:val="single" w:sz="4" w:space="0" w:color="000000"/>
            </w:tcBorders>
            <w:tcMar>
              <w:top w:w="0" w:type="dxa"/>
              <w:left w:w="108" w:type="dxa"/>
              <w:bottom w:w="0" w:type="dxa"/>
              <w:right w:w="108" w:type="dxa"/>
            </w:tcMar>
          </w:tcPr>
          <w:p w14:paraId="7B79E2D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540" w:type="dxa"/>
            <w:tcBorders>
              <w:bottom w:val="single" w:sz="4" w:space="0" w:color="000000"/>
            </w:tcBorders>
            <w:tcMar>
              <w:top w:w="0" w:type="dxa"/>
              <w:left w:w="108" w:type="dxa"/>
              <w:bottom w:w="0" w:type="dxa"/>
              <w:right w:w="108" w:type="dxa"/>
            </w:tcMar>
          </w:tcPr>
          <w:p w14:paraId="0E00AA3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540" w:type="dxa"/>
            <w:tcBorders>
              <w:bottom w:val="single" w:sz="4" w:space="0" w:color="000000"/>
            </w:tcBorders>
            <w:tcMar>
              <w:top w:w="0" w:type="dxa"/>
              <w:left w:w="108" w:type="dxa"/>
              <w:bottom w:w="0" w:type="dxa"/>
              <w:right w:w="108" w:type="dxa"/>
            </w:tcMar>
          </w:tcPr>
          <w:p w14:paraId="4A8E3AA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720" w:type="dxa"/>
            <w:tcBorders>
              <w:bottom w:val="single" w:sz="4" w:space="0" w:color="000000"/>
            </w:tcBorders>
            <w:tcMar>
              <w:top w:w="0" w:type="dxa"/>
              <w:left w:w="108" w:type="dxa"/>
              <w:bottom w:w="0" w:type="dxa"/>
              <w:right w:w="108" w:type="dxa"/>
            </w:tcMar>
          </w:tcPr>
          <w:p w14:paraId="4D6DB1A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900" w:type="dxa"/>
            <w:tcBorders>
              <w:bottom w:val="single" w:sz="4" w:space="0" w:color="000000"/>
            </w:tcBorders>
            <w:tcMar>
              <w:top w:w="0" w:type="dxa"/>
              <w:left w:w="108" w:type="dxa"/>
              <w:bottom w:w="0" w:type="dxa"/>
              <w:right w:w="108" w:type="dxa"/>
            </w:tcMar>
          </w:tcPr>
          <w:p w14:paraId="04450CF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1170" w:type="dxa"/>
            <w:gridSpan w:val="2"/>
            <w:tcBorders>
              <w:bottom w:val="single" w:sz="4" w:space="0" w:color="000000"/>
            </w:tcBorders>
            <w:tcMar>
              <w:top w:w="0" w:type="dxa"/>
              <w:left w:w="108" w:type="dxa"/>
              <w:bottom w:w="0" w:type="dxa"/>
              <w:right w:w="108" w:type="dxa"/>
            </w:tcMar>
          </w:tcPr>
          <w:p w14:paraId="68101E0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r>
      <w:tr w:rsidR="00203701" w14:paraId="56B0A5AF" w14:textId="77777777">
        <w:tc>
          <w:tcPr>
            <w:tcW w:w="9450" w:type="dxa"/>
            <w:gridSpan w:val="12"/>
            <w:tcBorders>
              <w:top w:val="single" w:sz="4" w:space="0" w:color="000000"/>
            </w:tcBorders>
            <w:tcMar>
              <w:top w:w="0" w:type="dxa"/>
              <w:left w:w="108" w:type="dxa"/>
              <w:bottom w:w="0" w:type="dxa"/>
              <w:right w:w="108" w:type="dxa"/>
            </w:tcMar>
          </w:tcPr>
          <w:p w14:paraId="79DAB72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a. The reference category is: No.</w:t>
            </w:r>
          </w:p>
        </w:tc>
      </w:tr>
      <w:tr w:rsidR="00203701" w14:paraId="5EED36C7" w14:textId="77777777">
        <w:tc>
          <w:tcPr>
            <w:tcW w:w="9450" w:type="dxa"/>
            <w:gridSpan w:val="12"/>
            <w:tcMar>
              <w:top w:w="0" w:type="dxa"/>
              <w:left w:w="108" w:type="dxa"/>
              <w:bottom w:w="0" w:type="dxa"/>
              <w:right w:w="108" w:type="dxa"/>
            </w:tcMar>
          </w:tcPr>
          <w:p w14:paraId="51D1210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b. This parameter is set to zero because it is redundant.</w:t>
            </w:r>
          </w:p>
        </w:tc>
      </w:tr>
    </w:tbl>
    <w:p w14:paraId="4D5B4855"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Regression analysis confirmed a strong association between flooding and declining yields, consistent with findings that extreme climate events reduce agricultural productivity through waterlogging, soil degradation, and crop damage (IPCC, 2022; FAO, 2021). However, the presence of extreme coefficients suggests possible model instability, a known issue in environmental regression analyses (Gujarati &amp; Porter, 2009).</w:t>
      </w:r>
    </w:p>
    <w:p w14:paraId="41F2CF21"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4.5. Flooding and Food Security Outcomes</w:t>
      </w:r>
    </w:p>
    <w:p w14:paraId="1B00EE32"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10" w:name="_hem8v1sl7pcg" w:colFirst="0" w:colLast="0"/>
      <w:bookmarkEnd w:id="10"/>
      <w:r>
        <w:rPr>
          <w:rFonts w:ascii="Garamond" w:eastAsia="Garamond" w:hAnsi="Garamond" w:cs="Garamond"/>
          <w:b/>
          <w:bCs/>
          <w:color w:val="000000"/>
          <w:sz w:val="24"/>
          <w:szCs w:val="24"/>
        </w:rPr>
        <w:t xml:space="preserve">Table 3.  Crop yield and frequency of flooding </w:t>
      </w:r>
    </w:p>
    <w:tbl>
      <w:tblPr>
        <w:tblStyle w:val="a1"/>
        <w:tblW w:w="9624"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615"/>
        <w:gridCol w:w="1295"/>
        <w:gridCol w:w="1229"/>
        <w:gridCol w:w="1136"/>
        <w:gridCol w:w="1649"/>
        <w:gridCol w:w="2700"/>
      </w:tblGrid>
      <w:tr w:rsidR="00203701" w14:paraId="57D58A0A" w14:textId="77777777">
        <w:trPr>
          <w:trHeight w:val="288"/>
        </w:trPr>
        <w:tc>
          <w:tcPr>
            <w:tcW w:w="2910" w:type="dxa"/>
            <w:gridSpan w:val="2"/>
            <w:vMerge w:val="restart"/>
            <w:tcBorders>
              <w:top w:val="single" w:sz="4" w:space="0" w:color="000000"/>
              <w:left w:val="nil"/>
              <w:bottom w:val="single" w:sz="4" w:space="0" w:color="000000"/>
              <w:right w:val="nil"/>
            </w:tcBorders>
            <w:tcMar>
              <w:top w:w="0" w:type="dxa"/>
              <w:left w:w="108" w:type="dxa"/>
              <w:bottom w:w="0" w:type="dxa"/>
              <w:right w:w="108" w:type="dxa"/>
            </w:tcMar>
          </w:tcPr>
          <w:p w14:paraId="0DBEB967" w14:textId="77777777" w:rsidR="00203701" w:rsidRDefault="00203701">
            <w:pPr>
              <w:spacing w:after="0" w:line="360" w:lineRule="auto"/>
              <w:jc w:val="both"/>
              <w:rPr>
                <w:rFonts w:ascii="Garamond" w:eastAsia="Garamond" w:hAnsi="Garamond" w:cs="Garamond"/>
                <w:b/>
                <w:bCs/>
                <w:color w:val="000000"/>
                <w:sz w:val="24"/>
                <w:szCs w:val="24"/>
              </w:rPr>
            </w:pPr>
          </w:p>
        </w:tc>
        <w:tc>
          <w:tcPr>
            <w:tcW w:w="4014" w:type="dxa"/>
            <w:gridSpan w:val="3"/>
            <w:tcBorders>
              <w:top w:val="single" w:sz="4" w:space="0" w:color="000000"/>
              <w:left w:val="nil"/>
              <w:bottom w:val="single" w:sz="4" w:space="0" w:color="000000"/>
              <w:right w:val="nil"/>
            </w:tcBorders>
            <w:tcMar>
              <w:top w:w="0" w:type="dxa"/>
              <w:left w:w="108" w:type="dxa"/>
              <w:bottom w:w="0" w:type="dxa"/>
              <w:right w:w="108" w:type="dxa"/>
            </w:tcMar>
          </w:tcPr>
          <w:p w14:paraId="68DB5199"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Frequency of flooding </w:t>
            </w:r>
          </w:p>
        </w:tc>
        <w:tc>
          <w:tcPr>
            <w:tcW w:w="2700"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40D648BA"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 Total</w:t>
            </w:r>
          </w:p>
          <w:p w14:paraId="77B0E1DB" w14:textId="77777777" w:rsidR="00203701" w:rsidRDefault="00203701">
            <w:pPr>
              <w:spacing w:after="0" w:line="360" w:lineRule="auto"/>
              <w:jc w:val="both"/>
              <w:rPr>
                <w:rFonts w:ascii="Garamond" w:eastAsia="Garamond" w:hAnsi="Garamond" w:cs="Garamond"/>
                <w:b/>
                <w:bCs/>
                <w:color w:val="000000"/>
                <w:sz w:val="24"/>
                <w:szCs w:val="24"/>
              </w:rPr>
            </w:pPr>
          </w:p>
        </w:tc>
      </w:tr>
      <w:tr w:rsidR="00203701" w14:paraId="08E01F90" w14:textId="77777777">
        <w:trPr>
          <w:trHeight w:val="288"/>
        </w:trPr>
        <w:tc>
          <w:tcPr>
            <w:tcW w:w="2910" w:type="dxa"/>
            <w:gridSpan w:val="2"/>
            <w:vMerge/>
            <w:tcBorders>
              <w:top w:val="single" w:sz="4" w:space="0" w:color="000000"/>
              <w:left w:val="nil"/>
              <w:bottom w:val="single" w:sz="4" w:space="0" w:color="000000"/>
              <w:right w:val="nil"/>
            </w:tcBorders>
            <w:tcMar>
              <w:top w:w="0" w:type="dxa"/>
              <w:left w:w="108" w:type="dxa"/>
              <w:bottom w:w="0" w:type="dxa"/>
              <w:right w:w="108" w:type="dxa"/>
            </w:tcMar>
          </w:tcPr>
          <w:p w14:paraId="361D88A9"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b/>
                <w:bCs/>
                <w:color w:val="000000"/>
                <w:sz w:val="24"/>
                <w:szCs w:val="24"/>
              </w:rPr>
            </w:pP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26108BDF"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Mild</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63D2A0A2"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Moderate</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226950A7"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Severe</w:t>
            </w:r>
          </w:p>
        </w:tc>
        <w:tc>
          <w:tcPr>
            <w:tcW w:w="2700" w:type="dxa"/>
            <w:vMerge/>
            <w:tcBorders>
              <w:top w:val="single" w:sz="4" w:space="0" w:color="000000"/>
              <w:left w:val="nil"/>
              <w:bottom w:val="single" w:sz="4" w:space="0" w:color="000000"/>
              <w:right w:val="nil"/>
            </w:tcBorders>
            <w:tcMar>
              <w:top w:w="0" w:type="dxa"/>
              <w:left w:w="108" w:type="dxa"/>
              <w:bottom w:w="0" w:type="dxa"/>
              <w:right w:w="108" w:type="dxa"/>
            </w:tcMar>
          </w:tcPr>
          <w:p w14:paraId="3D47DC6D"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r>
      <w:tr w:rsidR="00203701" w14:paraId="79DF2882" w14:textId="77777777">
        <w:trPr>
          <w:trHeight w:val="288"/>
        </w:trPr>
        <w:tc>
          <w:tcPr>
            <w:tcW w:w="1615" w:type="dxa"/>
            <w:vMerge w:val="restart"/>
            <w:tcBorders>
              <w:top w:val="single" w:sz="4" w:space="0" w:color="000000"/>
              <w:left w:val="nil"/>
              <w:bottom w:val="nil"/>
              <w:right w:val="nil"/>
            </w:tcBorders>
            <w:tcMar>
              <w:top w:w="0" w:type="dxa"/>
              <w:left w:w="108" w:type="dxa"/>
              <w:bottom w:w="0" w:type="dxa"/>
              <w:right w:w="108" w:type="dxa"/>
            </w:tcMar>
          </w:tcPr>
          <w:p w14:paraId="1927824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Decreasing</w:t>
            </w:r>
          </w:p>
          <w:p w14:paraId="1BBC87CD"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2AB27FF1"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tc>
        <w:tc>
          <w:tcPr>
            <w:tcW w:w="1295" w:type="dxa"/>
            <w:tcBorders>
              <w:top w:val="single" w:sz="4" w:space="0" w:color="000000"/>
              <w:left w:val="nil"/>
              <w:bottom w:val="nil"/>
              <w:right w:val="nil"/>
            </w:tcBorders>
            <w:tcMar>
              <w:top w:w="0" w:type="dxa"/>
              <w:left w:w="108" w:type="dxa"/>
              <w:bottom w:w="0" w:type="dxa"/>
              <w:right w:w="108" w:type="dxa"/>
            </w:tcMar>
          </w:tcPr>
          <w:p w14:paraId="1CE30A6F"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Count</w:t>
            </w:r>
          </w:p>
        </w:tc>
        <w:tc>
          <w:tcPr>
            <w:tcW w:w="1229" w:type="dxa"/>
            <w:tcBorders>
              <w:top w:val="single" w:sz="4" w:space="0" w:color="000000"/>
              <w:left w:val="nil"/>
              <w:bottom w:val="nil"/>
              <w:right w:val="nil"/>
            </w:tcBorders>
            <w:tcMar>
              <w:top w:w="0" w:type="dxa"/>
              <w:left w:w="108" w:type="dxa"/>
              <w:bottom w:w="0" w:type="dxa"/>
              <w:right w:w="108" w:type="dxa"/>
            </w:tcMar>
          </w:tcPr>
          <w:p w14:paraId="4D13FB8C"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22</w:t>
            </w:r>
          </w:p>
        </w:tc>
        <w:tc>
          <w:tcPr>
            <w:tcW w:w="1136" w:type="dxa"/>
            <w:tcBorders>
              <w:top w:val="single" w:sz="4" w:space="0" w:color="000000"/>
              <w:left w:val="nil"/>
              <w:bottom w:val="nil"/>
              <w:right w:val="nil"/>
            </w:tcBorders>
            <w:tcMar>
              <w:top w:w="0" w:type="dxa"/>
              <w:left w:w="108" w:type="dxa"/>
              <w:bottom w:w="0" w:type="dxa"/>
              <w:right w:w="108" w:type="dxa"/>
            </w:tcMar>
          </w:tcPr>
          <w:p w14:paraId="12A5FEAE"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73</w:t>
            </w:r>
          </w:p>
        </w:tc>
        <w:tc>
          <w:tcPr>
            <w:tcW w:w="1649" w:type="dxa"/>
            <w:tcBorders>
              <w:top w:val="single" w:sz="4" w:space="0" w:color="000000"/>
              <w:left w:val="nil"/>
              <w:bottom w:val="nil"/>
              <w:right w:val="nil"/>
            </w:tcBorders>
            <w:tcMar>
              <w:top w:w="0" w:type="dxa"/>
              <w:left w:w="108" w:type="dxa"/>
              <w:bottom w:w="0" w:type="dxa"/>
              <w:right w:w="108" w:type="dxa"/>
            </w:tcMar>
          </w:tcPr>
          <w:p w14:paraId="0528245E"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168</w:t>
            </w:r>
          </w:p>
        </w:tc>
        <w:tc>
          <w:tcPr>
            <w:tcW w:w="2700" w:type="dxa"/>
            <w:tcBorders>
              <w:top w:val="single" w:sz="4" w:space="0" w:color="000000"/>
              <w:left w:val="nil"/>
              <w:bottom w:val="nil"/>
              <w:right w:val="nil"/>
            </w:tcBorders>
            <w:tcMar>
              <w:top w:w="0" w:type="dxa"/>
              <w:left w:w="108" w:type="dxa"/>
              <w:bottom w:w="0" w:type="dxa"/>
              <w:right w:w="108" w:type="dxa"/>
            </w:tcMar>
          </w:tcPr>
          <w:p w14:paraId="7007E4BD"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263</w:t>
            </w:r>
          </w:p>
        </w:tc>
      </w:tr>
      <w:tr w:rsidR="00203701" w14:paraId="7AD3F6F6" w14:textId="77777777">
        <w:trPr>
          <w:trHeight w:val="288"/>
        </w:trPr>
        <w:tc>
          <w:tcPr>
            <w:tcW w:w="1615" w:type="dxa"/>
            <w:vMerge/>
            <w:tcBorders>
              <w:top w:val="single" w:sz="4" w:space="0" w:color="000000"/>
              <w:left w:val="nil"/>
              <w:bottom w:val="nil"/>
              <w:right w:val="nil"/>
            </w:tcBorders>
            <w:tcMar>
              <w:top w:w="0" w:type="dxa"/>
              <w:left w:w="108" w:type="dxa"/>
              <w:bottom w:w="0" w:type="dxa"/>
              <w:right w:w="108" w:type="dxa"/>
            </w:tcMar>
          </w:tcPr>
          <w:p w14:paraId="0121FB3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nil"/>
              <w:left w:val="nil"/>
              <w:bottom w:val="nil"/>
              <w:right w:val="nil"/>
            </w:tcBorders>
            <w:tcMar>
              <w:top w:w="0" w:type="dxa"/>
              <w:left w:w="108" w:type="dxa"/>
              <w:bottom w:w="0" w:type="dxa"/>
              <w:right w:w="108" w:type="dxa"/>
            </w:tcMar>
          </w:tcPr>
          <w:p w14:paraId="0FAE32F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 of Row</w:t>
            </w:r>
          </w:p>
        </w:tc>
        <w:tc>
          <w:tcPr>
            <w:tcW w:w="1229" w:type="dxa"/>
            <w:tcBorders>
              <w:top w:val="nil"/>
              <w:left w:val="nil"/>
              <w:bottom w:val="nil"/>
              <w:right w:val="nil"/>
            </w:tcBorders>
            <w:tcMar>
              <w:top w:w="0" w:type="dxa"/>
              <w:left w:w="108" w:type="dxa"/>
              <w:bottom w:w="0" w:type="dxa"/>
              <w:right w:w="108" w:type="dxa"/>
            </w:tcMar>
          </w:tcPr>
          <w:p w14:paraId="28E4D42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8.37</w:t>
            </w:r>
          </w:p>
        </w:tc>
        <w:tc>
          <w:tcPr>
            <w:tcW w:w="1136" w:type="dxa"/>
            <w:tcBorders>
              <w:top w:val="nil"/>
              <w:left w:val="nil"/>
              <w:bottom w:val="nil"/>
              <w:right w:val="nil"/>
            </w:tcBorders>
            <w:tcMar>
              <w:top w:w="0" w:type="dxa"/>
              <w:left w:w="108" w:type="dxa"/>
              <w:bottom w:w="0" w:type="dxa"/>
              <w:right w:w="108" w:type="dxa"/>
            </w:tcMar>
          </w:tcPr>
          <w:p w14:paraId="6DAB3BD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27.76</w:t>
            </w:r>
          </w:p>
        </w:tc>
        <w:tc>
          <w:tcPr>
            <w:tcW w:w="1649" w:type="dxa"/>
            <w:tcBorders>
              <w:top w:val="nil"/>
              <w:left w:val="nil"/>
              <w:bottom w:val="nil"/>
              <w:right w:val="nil"/>
            </w:tcBorders>
            <w:tcMar>
              <w:top w:w="0" w:type="dxa"/>
              <w:left w:w="108" w:type="dxa"/>
              <w:bottom w:w="0" w:type="dxa"/>
              <w:right w:w="108" w:type="dxa"/>
            </w:tcMar>
          </w:tcPr>
          <w:p w14:paraId="5D235F43"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63.88</w:t>
            </w:r>
          </w:p>
        </w:tc>
        <w:tc>
          <w:tcPr>
            <w:tcW w:w="2700" w:type="dxa"/>
            <w:tcBorders>
              <w:top w:val="nil"/>
              <w:left w:val="nil"/>
              <w:bottom w:val="nil"/>
              <w:right w:val="nil"/>
            </w:tcBorders>
            <w:tcMar>
              <w:top w:w="0" w:type="dxa"/>
              <w:left w:w="108" w:type="dxa"/>
              <w:bottom w:w="0" w:type="dxa"/>
              <w:right w:w="108" w:type="dxa"/>
            </w:tcMar>
          </w:tcPr>
          <w:p w14:paraId="310A7FC2"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r>
      <w:tr w:rsidR="00203701" w14:paraId="7D0F28F2" w14:textId="77777777">
        <w:trPr>
          <w:trHeight w:val="288"/>
        </w:trPr>
        <w:tc>
          <w:tcPr>
            <w:tcW w:w="1615" w:type="dxa"/>
            <w:vMerge/>
            <w:tcBorders>
              <w:top w:val="single" w:sz="4" w:space="0" w:color="000000"/>
              <w:left w:val="nil"/>
              <w:bottom w:val="nil"/>
              <w:right w:val="nil"/>
            </w:tcBorders>
            <w:tcMar>
              <w:top w:w="0" w:type="dxa"/>
              <w:left w:w="108" w:type="dxa"/>
              <w:bottom w:w="0" w:type="dxa"/>
              <w:right w:w="108" w:type="dxa"/>
            </w:tcMar>
          </w:tcPr>
          <w:p w14:paraId="30B6322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nil"/>
              <w:left w:val="nil"/>
              <w:bottom w:val="nil"/>
              <w:right w:val="nil"/>
            </w:tcBorders>
            <w:tcMar>
              <w:top w:w="0" w:type="dxa"/>
              <w:left w:w="108" w:type="dxa"/>
              <w:bottom w:w="0" w:type="dxa"/>
              <w:right w:w="108" w:type="dxa"/>
            </w:tcMar>
          </w:tcPr>
          <w:p w14:paraId="58ADF214"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Total</w:t>
            </w:r>
          </w:p>
        </w:tc>
        <w:tc>
          <w:tcPr>
            <w:tcW w:w="1229" w:type="dxa"/>
            <w:tcBorders>
              <w:top w:val="nil"/>
              <w:left w:val="nil"/>
              <w:bottom w:val="nil"/>
              <w:right w:val="nil"/>
            </w:tcBorders>
            <w:tcMar>
              <w:top w:w="0" w:type="dxa"/>
              <w:left w:w="108" w:type="dxa"/>
              <w:bottom w:w="0" w:type="dxa"/>
              <w:right w:w="108" w:type="dxa"/>
            </w:tcMar>
          </w:tcPr>
          <w:p w14:paraId="242CDE28"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8.06</w:t>
            </w:r>
          </w:p>
        </w:tc>
        <w:tc>
          <w:tcPr>
            <w:tcW w:w="1136" w:type="dxa"/>
            <w:tcBorders>
              <w:top w:val="nil"/>
              <w:left w:val="nil"/>
              <w:bottom w:val="nil"/>
              <w:right w:val="nil"/>
            </w:tcBorders>
            <w:tcMar>
              <w:top w:w="0" w:type="dxa"/>
              <w:left w:w="108" w:type="dxa"/>
              <w:bottom w:w="0" w:type="dxa"/>
              <w:right w:w="108" w:type="dxa"/>
            </w:tcMar>
          </w:tcPr>
          <w:p w14:paraId="685365CB"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26.74</w:t>
            </w:r>
          </w:p>
        </w:tc>
        <w:tc>
          <w:tcPr>
            <w:tcW w:w="1649" w:type="dxa"/>
            <w:tcBorders>
              <w:top w:val="nil"/>
              <w:left w:val="nil"/>
              <w:bottom w:val="nil"/>
              <w:right w:val="nil"/>
            </w:tcBorders>
            <w:tcMar>
              <w:top w:w="0" w:type="dxa"/>
              <w:left w:w="108" w:type="dxa"/>
              <w:bottom w:w="0" w:type="dxa"/>
              <w:right w:w="108" w:type="dxa"/>
            </w:tcMar>
          </w:tcPr>
          <w:p w14:paraId="6274FE9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61.54</w:t>
            </w:r>
          </w:p>
        </w:tc>
        <w:tc>
          <w:tcPr>
            <w:tcW w:w="2700" w:type="dxa"/>
            <w:tcBorders>
              <w:top w:val="nil"/>
              <w:left w:val="nil"/>
              <w:bottom w:val="nil"/>
              <w:right w:val="nil"/>
            </w:tcBorders>
            <w:tcMar>
              <w:top w:w="0" w:type="dxa"/>
              <w:left w:w="108" w:type="dxa"/>
              <w:bottom w:w="0" w:type="dxa"/>
              <w:right w:w="108" w:type="dxa"/>
            </w:tcMar>
          </w:tcPr>
          <w:p w14:paraId="3D583C5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96.34</w:t>
            </w:r>
          </w:p>
        </w:tc>
      </w:tr>
      <w:tr w:rsidR="00203701" w14:paraId="6D3DA2E6" w14:textId="77777777">
        <w:trPr>
          <w:trHeight w:val="288"/>
        </w:trPr>
        <w:tc>
          <w:tcPr>
            <w:tcW w:w="1615" w:type="dxa"/>
            <w:vMerge w:val="restart"/>
            <w:tcBorders>
              <w:top w:val="nil"/>
              <w:left w:val="nil"/>
              <w:bottom w:val="single" w:sz="4" w:space="0" w:color="000000"/>
              <w:right w:val="nil"/>
            </w:tcBorders>
            <w:tcMar>
              <w:top w:w="0" w:type="dxa"/>
              <w:left w:w="108" w:type="dxa"/>
              <w:bottom w:w="0" w:type="dxa"/>
              <w:right w:w="108" w:type="dxa"/>
            </w:tcMar>
          </w:tcPr>
          <w:p w14:paraId="49A2C23A"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Increasing </w:t>
            </w:r>
          </w:p>
          <w:p w14:paraId="0401FDB8"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5B6F3CBB"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tc>
        <w:tc>
          <w:tcPr>
            <w:tcW w:w="1295" w:type="dxa"/>
            <w:tcBorders>
              <w:top w:val="nil"/>
              <w:left w:val="nil"/>
              <w:bottom w:val="single" w:sz="4" w:space="0" w:color="000000"/>
              <w:right w:val="nil"/>
            </w:tcBorders>
            <w:tcMar>
              <w:top w:w="0" w:type="dxa"/>
              <w:left w:w="108" w:type="dxa"/>
              <w:bottom w:w="0" w:type="dxa"/>
              <w:right w:w="108" w:type="dxa"/>
            </w:tcMar>
          </w:tcPr>
          <w:p w14:paraId="5579B75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Count</w:t>
            </w:r>
          </w:p>
        </w:tc>
        <w:tc>
          <w:tcPr>
            <w:tcW w:w="1229" w:type="dxa"/>
            <w:tcBorders>
              <w:top w:val="nil"/>
              <w:left w:val="nil"/>
              <w:bottom w:val="single" w:sz="4" w:space="0" w:color="000000"/>
              <w:right w:val="nil"/>
            </w:tcBorders>
            <w:tcMar>
              <w:top w:w="0" w:type="dxa"/>
              <w:left w:w="108" w:type="dxa"/>
              <w:bottom w:w="0" w:type="dxa"/>
              <w:right w:w="108" w:type="dxa"/>
            </w:tcMar>
          </w:tcPr>
          <w:p w14:paraId="397A48B0"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nil"/>
              <w:left w:val="nil"/>
              <w:bottom w:val="single" w:sz="4" w:space="0" w:color="000000"/>
              <w:right w:val="nil"/>
            </w:tcBorders>
            <w:tcMar>
              <w:top w:w="0" w:type="dxa"/>
              <w:left w:w="108" w:type="dxa"/>
              <w:bottom w:w="0" w:type="dxa"/>
              <w:right w:w="108" w:type="dxa"/>
            </w:tcMar>
          </w:tcPr>
          <w:p w14:paraId="23434C80"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c>
          <w:tcPr>
            <w:tcW w:w="1649" w:type="dxa"/>
            <w:tcBorders>
              <w:top w:val="nil"/>
              <w:left w:val="nil"/>
              <w:bottom w:val="single" w:sz="4" w:space="0" w:color="000000"/>
              <w:right w:val="nil"/>
            </w:tcBorders>
            <w:tcMar>
              <w:top w:w="0" w:type="dxa"/>
              <w:left w:w="108" w:type="dxa"/>
              <w:bottom w:w="0" w:type="dxa"/>
              <w:right w:w="108" w:type="dxa"/>
            </w:tcMar>
          </w:tcPr>
          <w:p w14:paraId="67DA85B1"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nil"/>
              <w:left w:val="nil"/>
              <w:bottom w:val="single" w:sz="4" w:space="0" w:color="000000"/>
              <w:right w:val="nil"/>
            </w:tcBorders>
            <w:tcMar>
              <w:top w:w="0" w:type="dxa"/>
              <w:left w:w="108" w:type="dxa"/>
              <w:bottom w:w="0" w:type="dxa"/>
              <w:right w:w="108" w:type="dxa"/>
            </w:tcMar>
          </w:tcPr>
          <w:p w14:paraId="4547C42C"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r>
      <w:tr w:rsidR="00203701" w14:paraId="6A5186EF" w14:textId="77777777">
        <w:trPr>
          <w:trHeight w:val="288"/>
        </w:trPr>
        <w:tc>
          <w:tcPr>
            <w:tcW w:w="1615" w:type="dxa"/>
            <w:vMerge/>
            <w:tcBorders>
              <w:top w:val="nil"/>
              <w:left w:val="nil"/>
              <w:bottom w:val="single" w:sz="4" w:space="0" w:color="000000"/>
              <w:right w:val="nil"/>
            </w:tcBorders>
            <w:tcMar>
              <w:top w:w="0" w:type="dxa"/>
              <w:left w:w="108" w:type="dxa"/>
              <w:bottom w:w="0" w:type="dxa"/>
              <w:right w:w="108" w:type="dxa"/>
            </w:tcMar>
          </w:tcPr>
          <w:p w14:paraId="709F465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single" w:sz="4" w:space="0" w:color="000000"/>
              <w:left w:val="nil"/>
              <w:bottom w:val="single" w:sz="4" w:space="0" w:color="000000"/>
              <w:right w:val="nil"/>
            </w:tcBorders>
            <w:tcMar>
              <w:top w:w="0" w:type="dxa"/>
              <w:left w:w="108" w:type="dxa"/>
              <w:bottom w:w="0" w:type="dxa"/>
              <w:right w:w="108" w:type="dxa"/>
            </w:tcMar>
          </w:tcPr>
          <w:p w14:paraId="295B64E2"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Row</w:t>
            </w: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3239F8C3"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75090F5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779DF61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single" w:sz="4" w:space="0" w:color="000000"/>
              <w:left w:val="nil"/>
              <w:bottom w:val="single" w:sz="4" w:space="0" w:color="000000"/>
              <w:right w:val="nil"/>
            </w:tcBorders>
            <w:tcMar>
              <w:top w:w="0" w:type="dxa"/>
              <w:left w:w="108" w:type="dxa"/>
              <w:bottom w:w="0" w:type="dxa"/>
              <w:right w:w="108" w:type="dxa"/>
            </w:tcMar>
          </w:tcPr>
          <w:p w14:paraId="01F68B7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r>
      <w:tr w:rsidR="00203701" w14:paraId="1C11DDF6" w14:textId="77777777">
        <w:trPr>
          <w:trHeight w:val="288"/>
        </w:trPr>
        <w:tc>
          <w:tcPr>
            <w:tcW w:w="1615" w:type="dxa"/>
            <w:vMerge/>
            <w:tcBorders>
              <w:top w:val="nil"/>
              <w:left w:val="nil"/>
              <w:bottom w:val="single" w:sz="4" w:space="0" w:color="000000"/>
              <w:right w:val="nil"/>
            </w:tcBorders>
            <w:tcMar>
              <w:top w:w="0" w:type="dxa"/>
              <w:left w:w="108" w:type="dxa"/>
              <w:bottom w:w="0" w:type="dxa"/>
              <w:right w:w="108" w:type="dxa"/>
            </w:tcMar>
          </w:tcPr>
          <w:p w14:paraId="54B260D5"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single" w:sz="4" w:space="0" w:color="000000"/>
              <w:left w:val="nil"/>
              <w:bottom w:val="single" w:sz="4" w:space="0" w:color="000000"/>
              <w:right w:val="nil"/>
            </w:tcBorders>
            <w:tcMar>
              <w:top w:w="0" w:type="dxa"/>
              <w:left w:w="108" w:type="dxa"/>
              <w:bottom w:w="0" w:type="dxa"/>
              <w:right w:w="108" w:type="dxa"/>
            </w:tcMar>
          </w:tcPr>
          <w:p w14:paraId="5A39AC56"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Total</w:t>
            </w: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71953AB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04FAE976"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3.66</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28DAF8F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single" w:sz="4" w:space="0" w:color="000000"/>
              <w:left w:val="nil"/>
              <w:bottom w:val="single" w:sz="4" w:space="0" w:color="000000"/>
              <w:right w:val="nil"/>
            </w:tcBorders>
            <w:tcMar>
              <w:top w:w="0" w:type="dxa"/>
              <w:left w:w="108" w:type="dxa"/>
              <w:bottom w:w="0" w:type="dxa"/>
              <w:right w:w="108" w:type="dxa"/>
            </w:tcMar>
          </w:tcPr>
          <w:p w14:paraId="738DA578"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3.66</w:t>
            </w:r>
          </w:p>
        </w:tc>
      </w:tr>
    </w:tbl>
    <w:p w14:paraId="747CF976"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 intensity is strongly associated with declining crop yields, with severe flooding causing the greatest losses (IPCC, 2022). Floods damage soil structure and reduce agricultural productivity (FAO, 2021b). Although moderate flooding may temporarily improve soil moisture, severe events lead to long-term degradation (World Food Programme, 2020). These patterns reflect broader global findings on climate impacts on agriculture (FAO, 2021a). Overall, flooding negatively affects food security outcomes.</w:t>
      </w:r>
    </w:p>
    <w:p w14:paraId="797B0E9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From the results, majority of respondents (96.34%) reported a decrease in crop yields, with the severity of flooding directly influencing the extent of this decline. Among those experiencing yield </w:t>
      </w:r>
      <w:r>
        <w:rPr>
          <w:rFonts w:ascii="Garamond" w:eastAsia="Garamond" w:hAnsi="Garamond" w:cs="Garamond"/>
          <w:color w:val="000000"/>
          <w:sz w:val="24"/>
          <w:szCs w:val="24"/>
        </w:rPr>
        <w:lastRenderedPageBreak/>
        <w:t>decreases, 63.88% attributed it to severe flooding, 27.76% to moderate flooding, and only 8.37% to mild flooding. This indicates a strong correlation between the intensity of flooding and its detrimental effects on crop productivity. Severe flooding, which likely causes extensive damage to crops, soil erosion, and waterlogging, has the most pronounced impact on yields. Moderate and mild flooding also contribute to reduced productivity, albeit to a lesser extent.</w:t>
      </w:r>
    </w:p>
    <w:p w14:paraId="00EA9D55" w14:textId="77777777" w:rsidR="00203701" w:rsidRDefault="00203701">
      <w:pPr>
        <w:spacing w:after="0" w:line="360" w:lineRule="auto"/>
        <w:jc w:val="both"/>
        <w:rPr>
          <w:rFonts w:ascii="Garamond" w:eastAsia="Garamond" w:hAnsi="Garamond" w:cs="Garamond"/>
          <w:color w:val="000000"/>
          <w:sz w:val="24"/>
          <w:szCs w:val="24"/>
        </w:rPr>
      </w:pPr>
    </w:p>
    <w:p w14:paraId="43A27276"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color w:val="000000"/>
          <w:sz w:val="24"/>
          <w:szCs w:val="24"/>
        </w:rPr>
        <w:t xml:space="preserve"> small subset of respondents (3.66%) reported increased crop yields, which were exclusively linked to moderate flooding. This sugge</w:t>
      </w:r>
      <w:bookmarkStart w:id="11" w:name="_GoBack"/>
      <w:bookmarkEnd w:id="11"/>
      <w:r>
        <w:rPr>
          <w:rFonts w:ascii="Garamond" w:eastAsia="Garamond" w:hAnsi="Garamond" w:cs="Garamond"/>
          <w:color w:val="000000"/>
          <w:sz w:val="24"/>
          <w:szCs w:val="24"/>
        </w:rPr>
        <w:t>sts that moderate flooding, under certain conditions, might have a positive impact on crop growth, such as by replenishing soil moisture or depositing nutrient-rich sediments. However, no instances of increasing yields were reported under mild or severe flooding, emphasizing that while moderate flooding may occasionally be beneficial, excessive or insufficient flooding is detrimental to productivity.</w:t>
      </w:r>
    </w:p>
    <w:p w14:paraId="4A0DF5A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significantly disrupted all dimensions of food security. During flood periods, households experienced severe food shortages (mean = 1.05), reduced access to resources (mean = 1.61), and increased reliance on coping strategies such as skipping meals (mean = 2.78). Although conditions improved after flooding, food security indicators remained below optimal levels, indicating prolonged recovery challenges.</w:t>
      </w:r>
    </w:p>
    <w:p w14:paraId="149501D9"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These findings are consistent with regional evidence showing that climate shocks exacerbate food insecurity by disrupting production, income, and market access (World Food Programme, 2020). The persistence of food insecurity even under normal conditions highlights underlying structural poverty and limited resilience.</w:t>
      </w:r>
    </w:p>
    <w:p w14:paraId="3374ABF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5.6. Flood Mitigation and Hypothesis Testing</w:t>
      </w:r>
    </w:p>
    <w:p w14:paraId="1DF4E25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Government interventions were primarily focused on early warning systems (42.5%), followed by drainage construction (34.4%) and relief services (23.1%). While these measures were more prevalent in flood-affected areas, their overall reach was limited. </w:t>
      </w:r>
    </w:p>
    <w:p w14:paraId="569B05E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Hypothesis testing revealed a statistically significant relationship between flooding and food security. Households exposed to lower flooding were significantly less likely to report sufficient food production compared to those experiencing severe flooding (OR = 0.326, p = 0.006). This led to the </w:t>
      </w:r>
      <w:r>
        <w:rPr>
          <w:rFonts w:ascii="Garamond" w:eastAsia="Garamond" w:hAnsi="Garamond" w:cs="Garamond"/>
          <w:sz w:val="24"/>
          <w:szCs w:val="24"/>
        </w:rPr>
        <w:lastRenderedPageBreak/>
        <w:t>rejection of the null hypothesis and confirmed that flooding is a key driver of food insecurity in the study area.</w:t>
      </w:r>
    </w:p>
    <w:p w14:paraId="143D7B62" w14:textId="77777777" w:rsidR="00203701" w:rsidRDefault="00203701">
      <w:pPr>
        <w:spacing w:before="280" w:after="280" w:line="360" w:lineRule="auto"/>
        <w:jc w:val="both"/>
        <w:rPr>
          <w:rFonts w:ascii="Garamond" w:eastAsia="Garamond" w:hAnsi="Garamond" w:cs="Garamond"/>
          <w:sz w:val="24"/>
          <w:szCs w:val="24"/>
        </w:rPr>
      </w:pPr>
    </w:p>
    <w:p w14:paraId="15B30EA2"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5.0. Summary and Conclusions</w:t>
      </w:r>
    </w:p>
    <w:p w14:paraId="114520E4"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The study established that flooding in Baringo South Sub-County is frequent and increasing over time (IPCC, 2022). It significantly affects agricultural productivity and household livelihoods (FAO, 2021b). Vulnerability varies across demographic groups due to differences in adaptive capacity (UNEP, 2021). Flooding was identified as a major determinant of food insecurity in the study area (World Food Programme, 2020). Overall, there is a strong and significant relationship between flooding and food security.</w:t>
      </w:r>
    </w:p>
    <w:p w14:paraId="240B7B9C"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5.1. Recommendations</w:t>
      </w:r>
    </w:p>
    <w:p w14:paraId="6791CCA9"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Strengthen</w:t>
      </w:r>
      <w:r>
        <w:rPr>
          <w:rFonts w:ascii="Garamond" w:eastAsia="Garamond" w:hAnsi="Garamond" w:cs="Garamond"/>
          <w:b/>
          <w:bCs/>
          <w:color w:val="000000"/>
          <w:sz w:val="24"/>
          <w:szCs w:val="24"/>
        </w:rPr>
        <w:t xml:space="preserve"> flood management and early warning systems:</w:t>
      </w:r>
      <w:r>
        <w:rPr>
          <w:rFonts w:ascii="Garamond" w:eastAsia="Garamond" w:hAnsi="Garamond" w:cs="Garamond"/>
          <w:color w:val="000000"/>
          <w:sz w:val="24"/>
          <w:szCs w:val="24"/>
        </w:rPr>
        <w:t xml:space="preserve"> Implement community-based early warning systems, improve drainage infrastructure, and enforce land-use regulations to prevent settlement in high-risk floodplains. </w:t>
      </w:r>
    </w:p>
    <w:p w14:paraId="5F656A0D"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Promote climate-smart agriculture (CSA):</w:t>
      </w:r>
      <w:r>
        <w:rPr>
          <w:rFonts w:ascii="Garamond" w:eastAsia="Garamond" w:hAnsi="Garamond" w:cs="Garamond"/>
          <w:color w:val="000000"/>
          <w:sz w:val="24"/>
          <w:szCs w:val="24"/>
        </w:rPr>
        <w:t xml:space="preserve"> Encourage adoption of drought- and flood-resistant crop varieties, improved irrigation methods, and sustainable soil management practices to enhance resilience and productivity. </w:t>
      </w:r>
    </w:p>
    <w:p w14:paraId="50A25BD3"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Enhance livelihood diversification:</w:t>
      </w:r>
      <w:r>
        <w:rPr>
          <w:rFonts w:ascii="Garamond" w:eastAsia="Garamond" w:hAnsi="Garamond" w:cs="Garamond"/>
          <w:color w:val="000000"/>
          <w:sz w:val="24"/>
          <w:szCs w:val="24"/>
        </w:rPr>
        <w:t xml:space="preserve"> Support households to diversify income sources beyond agriculture and livestock, such as small-scale enterprises and value addition, to reduce vulnerability to climate shocks. </w:t>
      </w:r>
    </w:p>
    <w:p w14:paraId="7FA98517" w14:textId="77777777" w:rsidR="00203701" w:rsidRDefault="003D14C2">
      <w:pPr>
        <w:numPr>
          <w:ilvl w:val="0"/>
          <w:numId w:val="1"/>
        </w:numPr>
        <w:pBdr>
          <w:top w:val="nil"/>
          <w:left w:val="nil"/>
          <w:bottom w:val="nil"/>
          <w:right w:val="nil"/>
          <w:between w:val="nil"/>
        </w:pBdr>
        <w:spacing w:after="28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Improve policy support and community capacity building:</w:t>
      </w:r>
      <w:r>
        <w:rPr>
          <w:rFonts w:ascii="Garamond" w:eastAsia="Garamond" w:hAnsi="Garamond" w:cs="Garamond"/>
          <w:color w:val="000000"/>
          <w:sz w:val="24"/>
          <w:szCs w:val="24"/>
        </w:rPr>
        <w:t xml:space="preserve"> Strengthen institutional frameworks, increase funding for adaptation programs, and provide training on disaster preparedness, resource management, and food security strategies.</w:t>
      </w:r>
    </w:p>
    <w:p w14:paraId="2563C296" w14:textId="77777777" w:rsidR="00203701" w:rsidRDefault="00203701">
      <w:pPr>
        <w:spacing w:before="280" w:after="280" w:line="360" w:lineRule="auto"/>
        <w:jc w:val="both"/>
        <w:rPr>
          <w:rFonts w:ascii="Garamond" w:eastAsia="Garamond" w:hAnsi="Garamond" w:cs="Garamond"/>
          <w:b/>
          <w:bCs/>
          <w:sz w:val="24"/>
          <w:szCs w:val="24"/>
        </w:rPr>
      </w:pPr>
    </w:p>
    <w:p w14:paraId="7F2CB873" w14:textId="77777777" w:rsidR="00203701" w:rsidRDefault="00203701">
      <w:pPr>
        <w:spacing w:before="280" w:after="280" w:line="360" w:lineRule="auto"/>
        <w:jc w:val="both"/>
        <w:rPr>
          <w:rFonts w:ascii="Garamond" w:eastAsia="Garamond" w:hAnsi="Garamond" w:cs="Garamond"/>
          <w:b/>
          <w:bCs/>
          <w:sz w:val="24"/>
          <w:szCs w:val="24"/>
        </w:rPr>
      </w:pPr>
    </w:p>
    <w:p w14:paraId="71AD0A50" w14:textId="77777777" w:rsidR="00203701" w:rsidRDefault="00203701">
      <w:pPr>
        <w:spacing w:before="280" w:after="280" w:line="360" w:lineRule="auto"/>
        <w:jc w:val="both"/>
        <w:rPr>
          <w:rFonts w:ascii="Garamond" w:eastAsia="Garamond" w:hAnsi="Garamond" w:cs="Garamond"/>
          <w:b/>
          <w:bCs/>
          <w:sz w:val="24"/>
          <w:szCs w:val="24"/>
        </w:rPr>
      </w:pPr>
    </w:p>
    <w:p w14:paraId="167186B1" w14:textId="77777777" w:rsidR="00203701" w:rsidRDefault="00203701">
      <w:pPr>
        <w:spacing w:before="280" w:after="280" w:line="360" w:lineRule="auto"/>
        <w:jc w:val="both"/>
        <w:rPr>
          <w:rFonts w:ascii="Garamond" w:eastAsia="Garamond" w:hAnsi="Garamond" w:cs="Garamond"/>
          <w:b/>
          <w:bCs/>
          <w:sz w:val="24"/>
          <w:szCs w:val="24"/>
        </w:rPr>
      </w:pPr>
    </w:p>
    <w:p w14:paraId="1C48EFDF" w14:textId="77777777" w:rsidR="00203701" w:rsidRDefault="00203701">
      <w:pPr>
        <w:spacing w:before="280" w:after="280" w:line="360" w:lineRule="auto"/>
        <w:jc w:val="both"/>
        <w:rPr>
          <w:rFonts w:ascii="Garamond" w:eastAsia="Garamond" w:hAnsi="Garamond" w:cs="Garamond"/>
          <w:b/>
          <w:bCs/>
          <w:sz w:val="24"/>
          <w:szCs w:val="24"/>
        </w:rPr>
      </w:pPr>
    </w:p>
    <w:p w14:paraId="35270100" w14:textId="77777777" w:rsidR="00203701" w:rsidRDefault="00203701">
      <w:pPr>
        <w:spacing w:before="280" w:after="280" w:line="360" w:lineRule="auto"/>
        <w:jc w:val="both"/>
        <w:rPr>
          <w:rFonts w:ascii="Garamond" w:eastAsia="Garamond" w:hAnsi="Garamond" w:cs="Garamond"/>
          <w:b/>
          <w:bCs/>
          <w:sz w:val="24"/>
          <w:szCs w:val="24"/>
        </w:rPr>
      </w:pPr>
    </w:p>
    <w:p w14:paraId="345E1F5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References </w:t>
      </w:r>
    </w:p>
    <w:p w14:paraId="19E4106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Anabaraonye, B. (2020). Climate change and food security in Nigeria. </w:t>
      </w:r>
      <w:r>
        <w:rPr>
          <w:rFonts w:ascii="Times New Roman" w:eastAsia="Times New Roman" w:hAnsi="Times New Roman" w:cs="Times New Roman"/>
          <w:i/>
          <w:iCs/>
          <w:color w:val="000000"/>
          <w:sz w:val="24"/>
          <w:szCs w:val="24"/>
        </w:rPr>
        <w:t>International Journal of Environmental Studies, 77</w:t>
      </w:r>
      <w:r>
        <w:rPr>
          <w:rFonts w:ascii="Times New Roman" w:eastAsia="Times New Roman" w:hAnsi="Times New Roman" w:cs="Times New Roman"/>
          <w:color w:val="000000"/>
          <w:sz w:val="24"/>
          <w:szCs w:val="24"/>
        </w:rPr>
        <w:t>(4), 1–12.</w:t>
      </w:r>
    </w:p>
    <w:p w14:paraId="5D55750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Amerasinghe, P., et al. (2020). Flood risk management and climate variability. </w:t>
      </w:r>
      <w:r>
        <w:rPr>
          <w:rFonts w:ascii="Times New Roman" w:eastAsia="Times New Roman" w:hAnsi="Times New Roman" w:cs="Times New Roman"/>
          <w:i/>
          <w:iCs/>
          <w:color w:val="000000"/>
          <w:sz w:val="24"/>
          <w:szCs w:val="24"/>
        </w:rPr>
        <w:t>International Water Management Institute (IWMI) Working Paper</w:t>
      </w:r>
      <w:r>
        <w:rPr>
          <w:rFonts w:ascii="Times New Roman" w:eastAsia="Times New Roman" w:hAnsi="Times New Roman" w:cs="Times New Roman"/>
          <w:color w:val="000000"/>
          <w:sz w:val="24"/>
          <w:szCs w:val="24"/>
        </w:rPr>
        <w:t>.</w:t>
      </w:r>
    </w:p>
    <w:p w14:paraId="3276E62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Agriculture Organization of the United Nations. </w:t>
      </w:r>
      <w:proofErr w:type="gramStart"/>
      <w:r>
        <w:rPr>
          <w:rFonts w:ascii="Times New Roman" w:eastAsia="Times New Roman" w:hAnsi="Times New Roman" w:cs="Times New Roman"/>
          <w:color w:val="000000"/>
          <w:sz w:val="24"/>
          <w:szCs w:val="24"/>
        </w:rPr>
        <w:t>(2020).</w:t>
      </w:r>
      <w:r>
        <w:rPr>
          <w:rFonts w:ascii="Times New Roman" w:eastAsia="Times New Roman" w:hAnsi="Times New Roman" w:cs="Times New Roman"/>
          <w:i/>
          <w:iCs/>
          <w:color w:val="000000"/>
          <w:sz w:val="24"/>
          <w:szCs w:val="24"/>
        </w:rPr>
        <w:t>The state of food security and nutrition in the world 2020</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FAO. </w:t>
      </w:r>
      <w:hyperlink r:id="rId10">
        <w:r w:rsidR="00203701">
          <w:rPr>
            <w:rFonts w:ascii="Times New Roman" w:eastAsia="Times New Roman" w:hAnsi="Times New Roman" w:cs="Times New Roman"/>
            <w:color w:val="0563C1"/>
            <w:sz w:val="24"/>
            <w:szCs w:val="24"/>
            <w:u w:val="single"/>
          </w:rPr>
          <w:t>https://www.fao.org</w:t>
        </w:r>
      </w:hyperlink>
    </w:p>
    <w:p w14:paraId="16676B5D"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Agriculture Organization of the United Nations. </w:t>
      </w:r>
      <w:proofErr w:type="gramStart"/>
      <w:r>
        <w:rPr>
          <w:rFonts w:ascii="Times New Roman" w:eastAsia="Times New Roman" w:hAnsi="Times New Roman" w:cs="Times New Roman"/>
          <w:color w:val="000000"/>
          <w:sz w:val="24"/>
          <w:szCs w:val="24"/>
        </w:rPr>
        <w:t>(2021a).</w:t>
      </w:r>
      <w:r>
        <w:rPr>
          <w:rFonts w:ascii="Times New Roman" w:eastAsia="Times New Roman" w:hAnsi="Times New Roman" w:cs="Times New Roman"/>
          <w:i/>
          <w:iCs/>
          <w:color w:val="000000"/>
          <w:sz w:val="24"/>
          <w:szCs w:val="24"/>
        </w:rPr>
        <w:t>The state of food and agriculture 2021</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FAO.</w:t>
      </w:r>
    </w:p>
    <w:p w14:paraId="188E8D6E"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Agriculture Organization of the United Nations. </w:t>
      </w:r>
      <w:proofErr w:type="gramStart"/>
      <w:r>
        <w:rPr>
          <w:rFonts w:ascii="Times New Roman" w:eastAsia="Times New Roman" w:hAnsi="Times New Roman" w:cs="Times New Roman"/>
          <w:color w:val="000000"/>
          <w:sz w:val="24"/>
          <w:szCs w:val="24"/>
        </w:rPr>
        <w:t>(2021b).</w:t>
      </w:r>
      <w:r>
        <w:rPr>
          <w:rFonts w:ascii="Times New Roman" w:eastAsia="Times New Roman" w:hAnsi="Times New Roman" w:cs="Times New Roman"/>
          <w:i/>
          <w:iCs/>
          <w:color w:val="000000"/>
          <w:sz w:val="24"/>
          <w:szCs w:val="24"/>
        </w:rPr>
        <w:t>The impact of disasters on agriculture and food security</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FAO.</w:t>
      </w:r>
    </w:p>
    <w:p w14:paraId="2FD462BE"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Agriculture Organization of the United Nations. </w:t>
      </w:r>
      <w:proofErr w:type="gramStart"/>
      <w:r>
        <w:rPr>
          <w:rFonts w:ascii="Times New Roman" w:eastAsia="Times New Roman" w:hAnsi="Times New Roman" w:cs="Times New Roman"/>
          <w:color w:val="000000"/>
          <w:sz w:val="24"/>
          <w:szCs w:val="24"/>
        </w:rPr>
        <w:t>(2023).</w:t>
      </w:r>
      <w:r>
        <w:rPr>
          <w:rFonts w:ascii="Times New Roman" w:eastAsia="Times New Roman" w:hAnsi="Times New Roman" w:cs="Times New Roman"/>
          <w:i/>
          <w:iCs/>
          <w:color w:val="000000"/>
          <w:sz w:val="24"/>
          <w:szCs w:val="24"/>
        </w:rPr>
        <w:t>The state of food security and nutrition in the world 2023</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FAO.</w:t>
      </w:r>
    </w:p>
    <w:p w14:paraId="01DCEC3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FAOSTAT. (2020). </w:t>
      </w:r>
      <w:r>
        <w:rPr>
          <w:rFonts w:ascii="Times New Roman" w:eastAsia="Times New Roman" w:hAnsi="Times New Roman" w:cs="Times New Roman"/>
          <w:i/>
          <w:iCs/>
          <w:color w:val="000000"/>
          <w:sz w:val="24"/>
          <w:szCs w:val="24"/>
        </w:rPr>
        <w:t>FAOSTAT statistical database</w:t>
      </w:r>
      <w:r>
        <w:rPr>
          <w:rFonts w:ascii="Times New Roman" w:eastAsia="Times New Roman" w:hAnsi="Times New Roman" w:cs="Times New Roman"/>
          <w:color w:val="000000"/>
          <w:sz w:val="24"/>
          <w:szCs w:val="24"/>
        </w:rPr>
        <w:t xml:space="preserve">. Food and Agriculture Organization of the United Nations. </w:t>
      </w:r>
      <w:hyperlink r:id="rId11">
        <w:r w:rsidR="00203701">
          <w:rPr>
            <w:rFonts w:ascii="Times New Roman" w:eastAsia="Times New Roman" w:hAnsi="Times New Roman" w:cs="Times New Roman"/>
            <w:color w:val="0563C1"/>
            <w:sz w:val="24"/>
            <w:szCs w:val="24"/>
            <w:u w:val="single"/>
          </w:rPr>
          <w:t>https://www.fao.org/faostat</w:t>
        </w:r>
      </w:hyperlink>
    </w:p>
    <w:p w14:paraId="135DCD20"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Gujarati, D. N., &amp; Porter, D. C. (2009). </w:t>
      </w:r>
      <w:r>
        <w:rPr>
          <w:rFonts w:ascii="Times New Roman" w:eastAsia="Times New Roman" w:hAnsi="Times New Roman" w:cs="Times New Roman"/>
          <w:i/>
          <w:iCs/>
          <w:color w:val="000000"/>
          <w:sz w:val="24"/>
          <w:szCs w:val="24"/>
        </w:rPr>
        <w:t>Basic econometrics</w:t>
      </w:r>
      <w:r>
        <w:rPr>
          <w:rFonts w:ascii="Times New Roman" w:eastAsia="Times New Roman" w:hAnsi="Times New Roman" w:cs="Times New Roman"/>
          <w:color w:val="000000"/>
          <w:sz w:val="24"/>
          <w:szCs w:val="24"/>
        </w:rPr>
        <w:t xml:space="preserve"> (5th Ed.). McGraw-Hill.</w:t>
      </w:r>
    </w:p>
    <w:p w14:paraId="1092F66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Herrnegger</w:t>
      </w:r>
      <w:proofErr w:type="spellEnd"/>
      <w:r>
        <w:rPr>
          <w:rFonts w:ascii="Times New Roman" w:eastAsia="Times New Roman" w:hAnsi="Times New Roman" w:cs="Times New Roman"/>
          <w:color w:val="000000"/>
          <w:sz w:val="24"/>
          <w:szCs w:val="24"/>
        </w:rPr>
        <w:t xml:space="preserve">, M., et al. (2021). Hydrological changes in the Baringo Basin. </w:t>
      </w:r>
      <w:r>
        <w:rPr>
          <w:rFonts w:ascii="Times New Roman" w:eastAsia="Times New Roman" w:hAnsi="Times New Roman" w:cs="Times New Roman"/>
          <w:i/>
          <w:iCs/>
          <w:color w:val="000000"/>
          <w:sz w:val="24"/>
          <w:szCs w:val="24"/>
        </w:rPr>
        <w:t>Hydrology and Earth System Sciences, 25</w:t>
      </w:r>
      <w:r>
        <w:rPr>
          <w:rFonts w:ascii="Times New Roman" w:eastAsia="Times New Roman" w:hAnsi="Times New Roman" w:cs="Times New Roman"/>
          <w:color w:val="000000"/>
          <w:sz w:val="24"/>
          <w:szCs w:val="24"/>
        </w:rPr>
        <w:t>(3), 1–15.</w:t>
      </w:r>
    </w:p>
    <w:p w14:paraId="7102C918"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Intergovernmental Panel on Climate Change. (2020). </w:t>
      </w:r>
      <w:r>
        <w:rPr>
          <w:rFonts w:ascii="Times New Roman" w:eastAsia="Times New Roman" w:hAnsi="Times New Roman" w:cs="Times New Roman"/>
          <w:i/>
          <w:iCs/>
          <w:color w:val="000000"/>
          <w:sz w:val="24"/>
          <w:szCs w:val="24"/>
        </w:rPr>
        <w:t>Climate change and land: An IPCC special report on climate change, desertification, land degradation, sustainable land management, and food security</w:t>
      </w:r>
      <w:r>
        <w:rPr>
          <w:rFonts w:ascii="Times New Roman" w:eastAsia="Times New Roman" w:hAnsi="Times New Roman" w:cs="Times New Roman"/>
          <w:color w:val="000000"/>
          <w:sz w:val="24"/>
          <w:szCs w:val="24"/>
        </w:rPr>
        <w:t>. IPCC.</w:t>
      </w:r>
    </w:p>
    <w:p w14:paraId="12E9801A"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Intergovernmental Panel on Climate Change. (2022). </w:t>
      </w:r>
      <w:r>
        <w:rPr>
          <w:rFonts w:ascii="Times New Roman" w:eastAsia="Times New Roman" w:hAnsi="Times New Roman" w:cs="Times New Roman"/>
          <w:i/>
          <w:iCs/>
          <w:color w:val="000000"/>
          <w:sz w:val="24"/>
          <w:szCs w:val="24"/>
        </w:rPr>
        <w:t>Climate change 2022: Impacts, adaptation and vulnerability</w:t>
      </w:r>
      <w:r>
        <w:rPr>
          <w:rFonts w:ascii="Times New Roman" w:eastAsia="Times New Roman" w:hAnsi="Times New Roman" w:cs="Times New Roman"/>
          <w:color w:val="000000"/>
          <w:sz w:val="24"/>
          <w:szCs w:val="24"/>
        </w:rPr>
        <w:t>. Cambridge University Press.</w:t>
      </w:r>
    </w:p>
    <w:p w14:paraId="22E42BF4"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Kenya National Bureau of Statistics. (2019). </w:t>
      </w:r>
      <w:r>
        <w:rPr>
          <w:rFonts w:ascii="Times New Roman" w:eastAsia="Times New Roman" w:hAnsi="Times New Roman" w:cs="Times New Roman"/>
          <w:i/>
          <w:iCs/>
          <w:color w:val="000000"/>
          <w:sz w:val="24"/>
          <w:szCs w:val="24"/>
        </w:rPr>
        <w:t>Kenya population and housing census: Volume on food security</w:t>
      </w:r>
      <w:r>
        <w:rPr>
          <w:rFonts w:ascii="Times New Roman" w:eastAsia="Times New Roman" w:hAnsi="Times New Roman" w:cs="Times New Roman"/>
          <w:color w:val="000000"/>
          <w:sz w:val="24"/>
          <w:szCs w:val="24"/>
        </w:rPr>
        <w:t>. KNBS.</w:t>
      </w:r>
    </w:p>
    <w:p w14:paraId="2677068F"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Kenya Red Cross Society. (2019). </w:t>
      </w:r>
      <w:r>
        <w:rPr>
          <w:rFonts w:ascii="Times New Roman" w:eastAsia="Times New Roman" w:hAnsi="Times New Roman" w:cs="Times New Roman"/>
          <w:i/>
          <w:iCs/>
          <w:color w:val="000000"/>
          <w:sz w:val="24"/>
          <w:szCs w:val="24"/>
        </w:rPr>
        <w:t>Floods situation report</w:t>
      </w:r>
      <w:r>
        <w:rPr>
          <w:rFonts w:ascii="Times New Roman" w:eastAsia="Times New Roman" w:hAnsi="Times New Roman" w:cs="Times New Roman"/>
          <w:color w:val="000000"/>
          <w:sz w:val="24"/>
          <w:szCs w:val="24"/>
        </w:rPr>
        <w:t>. KRCS.</w:t>
      </w:r>
    </w:p>
    <w:p w14:paraId="3F436A66"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Kimtai, A., et al. (2024). Hydro-climatic dynamics of Rift Valley lakes in Kenya. </w:t>
      </w:r>
      <w:r>
        <w:rPr>
          <w:rFonts w:ascii="Times New Roman" w:eastAsia="Times New Roman" w:hAnsi="Times New Roman" w:cs="Times New Roman"/>
          <w:i/>
          <w:iCs/>
          <w:color w:val="000000"/>
          <w:sz w:val="24"/>
          <w:szCs w:val="24"/>
        </w:rPr>
        <w:t>Journal of Hydrology: Regional Studies, 52</w:t>
      </w:r>
      <w:r>
        <w:rPr>
          <w:rFonts w:ascii="Times New Roman" w:eastAsia="Times New Roman" w:hAnsi="Times New Roman" w:cs="Times New Roman"/>
          <w:color w:val="000000"/>
          <w:sz w:val="24"/>
          <w:szCs w:val="24"/>
        </w:rPr>
        <w:t>, 101630.</w:t>
      </w:r>
    </w:p>
    <w:p w14:paraId="1855ABB7"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Muia, A. (2021). Flood impacts on agriculture in Kenya. </w:t>
      </w:r>
      <w:r>
        <w:rPr>
          <w:rFonts w:ascii="Times New Roman" w:eastAsia="Times New Roman" w:hAnsi="Times New Roman" w:cs="Times New Roman"/>
          <w:i/>
          <w:iCs/>
          <w:color w:val="000000"/>
          <w:sz w:val="24"/>
          <w:szCs w:val="24"/>
        </w:rPr>
        <w:t>African Journal of Agricultural Research, 16</w:t>
      </w:r>
      <w:r>
        <w:rPr>
          <w:rFonts w:ascii="Times New Roman" w:eastAsia="Times New Roman" w:hAnsi="Times New Roman" w:cs="Times New Roman"/>
          <w:color w:val="000000"/>
          <w:sz w:val="24"/>
          <w:szCs w:val="24"/>
        </w:rPr>
        <w:t>(4), 450–462.</w:t>
      </w:r>
    </w:p>
    <w:p w14:paraId="29A94B19"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Muia, A., et al. (2020). Flood events and socioeconomic impacts in Kenya. </w:t>
      </w:r>
      <w:r>
        <w:rPr>
          <w:rFonts w:ascii="Times New Roman" w:eastAsia="Times New Roman" w:hAnsi="Times New Roman" w:cs="Times New Roman"/>
          <w:i/>
          <w:iCs/>
          <w:color w:val="000000"/>
          <w:sz w:val="24"/>
          <w:szCs w:val="24"/>
        </w:rPr>
        <w:t>Journal of Environmental Management, 270</w:t>
      </w:r>
      <w:r>
        <w:rPr>
          <w:rFonts w:ascii="Times New Roman" w:eastAsia="Times New Roman" w:hAnsi="Times New Roman" w:cs="Times New Roman"/>
          <w:color w:val="000000"/>
          <w:sz w:val="24"/>
          <w:szCs w:val="24"/>
        </w:rPr>
        <w:t>, 110–118.</w:t>
      </w:r>
    </w:p>
    <w:p w14:paraId="5EB2B9B9"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Notre Dame Global Adaptation Initiative. (2023). </w:t>
      </w:r>
      <w:r>
        <w:rPr>
          <w:rFonts w:ascii="Times New Roman" w:eastAsia="Times New Roman" w:hAnsi="Times New Roman" w:cs="Times New Roman"/>
          <w:i/>
          <w:iCs/>
          <w:color w:val="000000"/>
          <w:sz w:val="24"/>
          <w:szCs w:val="24"/>
        </w:rPr>
        <w:t>ND-GAIN country index</w:t>
      </w:r>
      <w:r>
        <w:rPr>
          <w:rFonts w:ascii="Times New Roman" w:eastAsia="Times New Roman" w:hAnsi="Times New Roman" w:cs="Times New Roman"/>
          <w:color w:val="000000"/>
          <w:sz w:val="24"/>
          <w:szCs w:val="24"/>
        </w:rPr>
        <w:t xml:space="preserve">. </w:t>
      </w:r>
      <w:hyperlink r:id="rId12">
        <w:r w:rsidR="00203701">
          <w:rPr>
            <w:rFonts w:ascii="Times New Roman" w:eastAsia="Times New Roman" w:hAnsi="Times New Roman" w:cs="Times New Roman"/>
            <w:color w:val="0563C1"/>
            <w:sz w:val="24"/>
            <w:szCs w:val="24"/>
            <w:u w:val="single"/>
          </w:rPr>
          <w:t>https://gain.nd.edu</w:t>
        </w:r>
      </w:hyperlink>
    </w:p>
    <w:p w14:paraId="098BDE87"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Opere, A. (2019). Lake Baringo flooding and environmental impacts. </w:t>
      </w:r>
      <w:r>
        <w:rPr>
          <w:rFonts w:ascii="Times New Roman" w:eastAsia="Times New Roman" w:hAnsi="Times New Roman" w:cs="Times New Roman"/>
          <w:i/>
          <w:iCs/>
          <w:color w:val="000000"/>
          <w:sz w:val="24"/>
          <w:szCs w:val="24"/>
        </w:rPr>
        <w:t>Journal of African Earth Sciences, 150</w:t>
      </w:r>
      <w:r>
        <w:rPr>
          <w:rFonts w:ascii="Times New Roman" w:eastAsia="Times New Roman" w:hAnsi="Times New Roman" w:cs="Times New Roman"/>
          <w:color w:val="000000"/>
          <w:sz w:val="24"/>
          <w:szCs w:val="24"/>
        </w:rPr>
        <w:t>, 1–10.</w:t>
      </w:r>
    </w:p>
    <w:p w14:paraId="55E49F3C"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Perez, C., et al. (2019). Food insecurity trends in Sub-Saharan Africa. </w:t>
      </w:r>
      <w:r>
        <w:rPr>
          <w:rFonts w:ascii="Times New Roman" w:eastAsia="Times New Roman" w:hAnsi="Times New Roman" w:cs="Times New Roman"/>
          <w:i/>
          <w:iCs/>
          <w:color w:val="000000"/>
          <w:sz w:val="24"/>
          <w:szCs w:val="24"/>
        </w:rPr>
        <w:t>Global Food Security, 23</w:t>
      </w:r>
      <w:r>
        <w:rPr>
          <w:rFonts w:ascii="Times New Roman" w:eastAsia="Times New Roman" w:hAnsi="Times New Roman" w:cs="Times New Roman"/>
          <w:color w:val="000000"/>
          <w:sz w:val="24"/>
          <w:szCs w:val="24"/>
        </w:rPr>
        <w:t>, 1–9.</w:t>
      </w:r>
    </w:p>
    <w:p w14:paraId="3EBD917F"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Relief Web. (2023). </w:t>
      </w:r>
      <w:r>
        <w:rPr>
          <w:rFonts w:ascii="Times New Roman" w:eastAsia="Times New Roman" w:hAnsi="Times New Roman" w:cs="Times New Roman"/>
          <w:i/>
          <w:iCs/>
          <w:color w:val="000000"/>
          <w:sz w:val="24"/>
          <w:szCs w:val="24"/>
        </w:rPr>
        <w:t>Food security overview and reports</w:t>
      </w:r>
      <w:r>
        <w:rPr>
          <w:rFonts w:ascii="Times New Roman" w:eastAsia="Times New Roman" w:hAnsi="Times New Roman" w:cs="Times New Roman"/>
          <w:color w:val="000000"/>
          <w:sz w:val="24"/>
          <w:szCs w:val="24"/>
        </w:rPr>
        <w:t xml:space="preserve">. </w:t>
      </w:r>
      <w:hyperlink r:id="rId13">
        <w:r w:rsidR="00203701">
          <w:rPr>
            <w:rFonts w:ascii="Times New Roman" w:eastAsia="Times New Roman" w:hAnsi="Times New Roman" w:cs="Times New Roman"/>
            <w:color w:val="0563C1"/>
            <w:sz w:val="24"/>
            <w:szCs w:val="24"/>
            <w:u w:val="single"/>
          </w:rPr>
          <w:t>https://reliefweb.int</w:t>
        </w:r>
      </w:hyperlink>
    </w:p>
    <w:p w14:paraId="098380AB"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Sataloff, R. T., &amp; </w:t>
      </w:r>
      <w:proofErr w:type="spellStart"/>
      <w:r>
        <w:rPr>
          <w:rFonts w:ascii="Times New Roman" w:eastAsia="Times New Roman" w:hAnsi="Times New Roman" w:cs="Times New Roman"/>
          <w:color w:val="000000"/>
          <w:sz w:val="24"/>
          <w:szCs w:val="24"/>
        </w:rPr>
        <w:t>Vontela</w:t>
      </w:r>
      <w:proofErr w:type="spellEnd"/>
      <w:r>
        <w:rPr>
          <w:rFonts w:ascii="Times New Roman" w:eastAsia="Times New Roman" w:hAnsi="Times New Roman" w:cs="Times New Roman"/>
          <w:color w:val="000000"/>
          <w:sz w:val="24"/>
          <w:szCs w:val="24"/>
        </w:rPr>
        <w:t xml:space="preserve">, S. (2021). </w:t>
      </w:r>
      <w:r>
        <w:rPr>
          <w:rFonts w:ascii="Times New Roman" w:eastAsia="Times New Roman" w:hAnsi="Times New Roman" w:cs="Times New Roman"/>
          <w:i/>
          <w:iCs/>
          <w:color w:val="000000"/>
          <w:sz w:val="24"/>
          <w:szCs w:val="24"/>
        </w:rPr>
        <w:t>Research methods in social sciences</w:t>
      </w:r>
      <w:r>
        <w:rPr>
          <w:rFonts w:ascii="Times New Roman" w:eastAsia="Times New Roman" w:hAnsi="Times New Roman" w:cs="Times New Roman"/>
          <w:color w:val="000000"/>
          <w:sz w:val="24"/>
          <w:szCs w:val="24"/>
        </w:rPr>
        <w:t>. Springer.</w:t>
      </w:r>
    </w:p>
    <w:p w14:paraId="14EBD73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Nations Environment Programme. (2021). </w:t>
      </w:r>
      <w:r>
        <w:rPr>
          <w:rFonts w:ascii="Times New Roman" w:eastAsia="Times New Roman" w:hAnsi="Times New Roman" w:cs="Times New Roman"/>
          <w:i/>
          <w:iCs/>
          <w:color w:val="000000"/>
          <w:sz w:val="24"/>
          <w:szCs w:val="24"/>
        </w:rPr>
        <w:t>Adaptation gap report 2021</w:t>
      </w:r>
      <w:r>
        <w:rPr>
          <w:rFonts w:ascii="Times New Roman" w:eastAsia="Times New Roman" w:hAnsi="Times New Roman" w:cs="Times New Roman"/>
          <w:color w:val="000000"/>
          <w:sz w:val="24"/>
          <w:szCs w:val="24"/>
        </w:rPr>
        <w:t xml:space="preserve">. UNEP. </w:t>
      </w:r>
      <w:hyperlink r:id="rId14">
        <w:r w:rsidR="00203701">
          <w:rPr>
            <w:rFonts w:ascii="Times New Roman" w:eastAsia="Times New Roman" w:hAnsi="Times New Roman" w:cs="Times New Roman"/>
            <w:color w:val="0563C1"/>
            <w:sz w:val="24"/>
            <w:szCs w:val="24"/>
            <w:u w:val="single"/>
          </w:rPr>
          <w:t>https://www.unep.org</w:t>
        </w:r>
      </w:hyperlink>
    </w:p>
    <w:p w14:paraId="36AB600C"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Food Programme. (2020). </w:t>
      </w:r>
      <w:r>
        <w:rPr>
          <w:rFonts w:ascii="Times New Roman" w:eastAsia="Times New Roman" w:hAnsi="Times New Roman" w:cs="Times New Roman"/>
          <w:i/>
          <w:iCs/>
          <w:color w:val="000000"/>
          <w:sz w:val="24"/>
          <w:szCs w:val="24"/>
        </w:rPr>
        <w:t>Food security and climate change report</w:t>
      </w:r>
      <w:r>
        <w:rPr>
          <w:rFonts w:ascii="Times New Roman" w:eastAsia="Times New Roman" w:hAnsi="Times New Roman" w:cs="Times New Roman"/>
          <w:color w:val="000000"/>
          <w:sz w:val="24"/>
          <w:szCs w:val="24"/>
        </w:rPr>
        <w:t>. WFP.</w:t>
      </w:r>
    </w:p>
    <w:p w14:paraId="67907FC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Food Programme &amp; UNICEF. (2018). </w:t>
      </w:r>
      <w:r>
        <w:rPr>
          <w:rFonts w:ascii="Times New Roman" w:eastAsia="Times New Roman" w:hAnsi="Times New Roman" w:cs="Times New Roman"/>
          <w:i/>
          <w:iCs/>
          <w:color w:val="000000"/>
          <w:sz w:val="24"/>
          <w:szCs w:val="24"/>
        </w:rPr>
        <w:t>Global hunger statistics report</w:t>
      </w:r>
      <w:r>
        <w:rPr>
          <w:rFonts w:ascii="Times New Roman" w:eastAsia="Times New Roman" w:hAnsi="Times New Roman" w:cs="Times New Roman"/>
          <w:color w:val="000000"/>
          <w:sz w:val="24"/>
          <w:szCs w:val="24"/>
        </w:rPr>
        <w:t>. WFP.</w:t>
      </w:r>
    </w:p>
    <w:p w14:paraId="2D81EF5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(2024). </w:t>
      </w:r>
      <w:r>
        <w:rPr>
          <w:rFonts w:ascii="Times New Roman" w:eastAsia="Times New Roman" w:hAnsi="Times New Roman" w:cs="Times New Roman"/>
          <w:i/>
          <w:iCs/>
          <w:color w:val="000000"/>
          <w:sz w:val="24"/>
          <w:szCs w:val="24"/>
        </w:rPr>
        <w:t>Flooding and health risks</w:t>
      </w:r>
      <w:r>
        <w:rPr>
          <w:rFonts w:ascii="Times New Roman" w:eastAsia="Times New Roman" w:hAnsi="Times New Roman" w:cs="Times New Roman"/>
          <w:color w:val="000000"/>
          <w:sz w:val="24"/>
          <w:szCs w:val="24"/>
        </w:rPr>
        <w:t>. WHO.</w:t>
      </w:r>
    </w:p>
    <w:p w14:paraId="6CC6FF5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&amp; World Food Programme. (2020). </w:t>
      </w:r>
      <w:r>
        <w:rPr>
          <w:rFonts w:ascii="Times New Roman" w:eastAsia="Times New Roman" w:hAnsi="Times New Roman" w:cs="Times New Roman"/>
          <w:i/>
          <w:iCs/>
          <w:color w:val="000000"/>
          <w:sz w:val="24"/>
          <w:szCs w:val="24"/>
        </w:rPr>
        <w:t>Global food security and nutrition report</w:t>
      </w:r>
      <w:r>
        <w:rPr>
          <w:rFonts w:ascii="Times New Roman" w:eastAsia="Times New Roman" w:hAnsi="Times New Roman" w:cs="Times New Roman"/>
          <w:color w:val="000000"/>
          <w:sz w:val="24"/>
          <w:szCs w:val="24"/>
        </w:rPr>
        <w:t>. WHO &amp; WFP.</w:t>
      </w:r>
    </w:p>
    <w:p w14:paraId="293DC129" w14:textId="77777777" w:rsidR="00203701" w:rsidRDefault="00203701">
      <w:pPr>
        <w:spacing w:line="360" w:lineRule="auto"/>
        <w:ind w:left="720" w:hanging="720"/>
        <w:jc w:val="both"/>
        <w:rPr>
          <w:rFonts w:ascii="Garamond" w:eastAsia="Garamond" w:hAnsi="Garamond" w:cs="Garamond"/>
          <w:sz w:val="24"/>
          <w:szCs w:val="24"/>
        </w:rPr>
      </w:pPr>
    </w:p>
    <w:sectPr w:rsidR="0020370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6-03-31T17:55:00Z" w:initials="h">
    <w:p w14:paraId="0F439496" w14:textId="021506EC" w:rsidR="00E67FA4" w:rsidRDefault="00E67FA4">
      <w:pPr>
        <w:pStyle w:val="CommentText"/>
      </w:pPr>
      <w:r>
        <w:rPr>
          <w:rStyle w:val="CommentReference"/>
        </w:rPr>
        <w:annotationRef/>
      </w:r>
      <w:proofErr w:type="spellStart"/>
      <w:proofErr w:type="gramStart"/>
      <w:r>
        <w:t>italize</w:t>
      </w:r>
      <w:proofErr w:type="spellEnd"/>
      <w:proofErr w:type="gramEnd"/>
    </w:p>
  </w:comment>
  <w:comment w:id="2" w:author="hp" w:date="2026-03-31T17:55:00Z" w:initials="h">
    <w:p w14:paraId="7BB733F8" w14:textId="5C681799" w:rsidR="00E67FA4" w:rsidRDefault="00E67FA4">
      <w:pPr>
        <w:pStyle w:val="CommentText"/>
      </w:pPr>
      <w:r>
        <w:rPr>
          <w:rStyle w:val="CommentReference"/>
        </w:rPr>
        <w:annotationRef/>
      </w:r>
      <w:proofErr w:type="spellStart"/>
      <w:proofErr w:type="gramStart"/>
      <w:r>
        <w:t>italize</w:t>
      </w:r>
      <w:proofErr w:type="spellEnd"/>
      <w:proofErr w:type="gramEnd"/>
    </w:p>
  </w:comment>
  <w:comment w:id="3" w:author="hp" w:date="2026-03-31T17:56:00Z" w:initials="h">
    <w:p w14:paraId="205E41AB" w14:textId="2A6DCC14" w:rsidR="00E67FA4" w:rsidRDefault="00E67FA4">
      <w:pPr>
        <w:pStyle w:val="CommentText"/>
      </w:pPr>
      <w:r>
        <w:rPr>
          <w:rStyle w:val="CommentReference"/>
        </w:rPr>
        <w:annotationRef/>
      </w:r>
      <w:proofErr w:type="spellStart"/>
      <w:proofErr w:type="gramStart"/>
      <w:r>
        <w:t>italize</w:t>
      </w:r>
      <w:proofErr w:type="spellEnd"/>
      <w:proofErr w:type="gramEnd"/>
    </w:p>
  </w:comment>
  <w:comment w:id="4" w:author="hp" w:date="2026-03-31T18:02:00Z" w:initials="h">
    <w:p w14:paraId="54D10133" w14:textId="7CAFE8C4" w:rsidR="00E67FA4" w:rsidRDefault="00E67FA4">
      <w:pPr>
        <w:pStyle w:val="CommentText"/>
      </w:pPr>
      <w:r>
        <w:rPr>
          <w:rStyle w:val="CommentReference"/>
        </w:rPr>
        <w:annotationRef/>
      </w:r>
      <w:r>
        <w:t xml:space="preserve">Table should be provided to indicate the strata and stratum </w:t>
      </w:r>
      <w:proofErr w:type="gramStart"/>
      <w:r>
        <w:t>weight .</w:t>
      </w:r>
      <w:proofErr w:type="gramEnd"/>
    </w:p>
  </w:comment>
  <w:comment w:id="6" w:author="hp" w:date="2026-03-31T18:08:00Z" w:initials="h">
    <w:p w14:paraId="6AEFE057" w14:textId="0E9D8742" w:rsidR="00065152" w:rsidRDefault="00065152">
      <w:pPr>
        <w:pStyle w:val="CommentText"/>
      </w:pPr>
      <w:r>
        <w:rPr>
          <w:rStyle w:val="CommentReference"/>
        </w:rPr>
        <w:annotationRef/>
      </w:r>
      <w:r>
        <w:t>Source??? E.g. Field Survey, 2025</w:t>
      </w:r>
    </w:p>
  </w:comment>
  <w:comment w:id="7" w:author="hp" w:date="2026-03-31T18:02:00Z" w:initials="h">
    <w:p w14:paraId="0381A623" w14:textId="6B23BD63" w:rsidR="00E67FA4" w:rsidRDefault="00E67FA4">
      <w:pPr>
        <w:pStyle w:val="CommentText"/>
      </w:pPr>
      <w:r>
        <w:rPr>
          <w:rStyle w:val="CommentReference"/>
        </w:rPr>
        <w:annotationRef/>
      </w:r>
      <w:proofErr w:type="spellStart"/>
      <w:proofErr w:type="gramStart"/>
      <w:r>
        <w:t>italize</w:t>
      </w:r>
      <w:proofErr w:type="spellEnd"/>
      <w:proofErr w:type="gramEnd"/>
    </w:p>
  </w:comment>
  <w:comment w:id="8" w:author="hp" w:date="2026-03-31T18:03:00Z" w:initials="h">
    <w:p w14:paraId="55256D2F" w14:textId="17DA8569" w:rsidR="00E67FA4" w:rsidRDefault="00E67FA4">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9E622" w14:textId="77777777" w:rsidR="0085150E" w:rsidRDefault="0085150E" w:rsidP="00B606BF">
      <w:pPr>
        <w:spacing w:after="0" w:line="240" w:lineRule="auto"/>
      </w:pPr>
      <w:r>
        <w:separator/>
      </w:r>
    </w:p>
  </w:endnote>
  <w:endnote w:type="continuationSeparator" w:id="0">
    <w:p w14:paraId="3C9593B1" w14:textId="77777777" w:rsidR="0085150E" w:rsidRDefault="0085150E" w:rsidP="00B6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EB52C7DD-9634-4013-8768-A3373AB3AE45}"/>
    <w:embedBold r:id="rId2" w:fontKey="{187B4C1E-D367-453D-8180-6A0C4B05E1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C390551-420A-4F78-B375-8D887C3ACDD5}"/>
  </w:font>
  <w:font w:name="Tahoma">
    <w:panose1 w:val="020B0604030504040204"/>
    <w:charset w:val="00"/>
    <w:family w:val="swiss"/>
    <w:pitch w:val="variable"/>
    <w:sig w:usb0="E1002EFF" w:usb1="C000605B" w:usb2="00000029" w:usb3="00000000" w:csb0="000101FF" w:csb1="00000000"/>
    <w:embedRegular r:id="rId4" w:fontKey="{43C3E643-1988-4B76-A481-310D67668F2B}"/>
  </w:font>
  <w:font w:name="Garamond">
    <w:panose1 w:val="02020404030301010803"/>
    <w:charset w:val="00"/>
    <w:family w:val="roman"/>
    <w:pitch w:val="variable"/>
    <w:sig w:usb0="00000287" w:usb1="00000000" w:usb2="00000000" w:usb3="00000000" w:csb0="0000009F" w:csb1="00000000"/>
    <w:embedRegular r:id="rId5" w:fontKey="{EB50FCD5-7C34-4CD4-9289-5D2688E3975F}"/>
    <w:embedBold r:id="rId6" w:fontKey="{C3D1FB32-6C1B-4A0D-B07D-C5558DFD5212}"/>
    <w:embedItalic r:id="rId7" w:fontKey="{DE0D4A81-B569-4104-A49E-A86F52B7B75A}"/>
  </w:font>
  <w:font w:name="Cambria">
    <w:panose1 w:val="02040503050406030204"/>
    <w:charset w:val="00"/>
    <w:family w:val="roman"/>
    <w:pitch w:val="variable"/>
    <w:sig w:usb0="E00006FF" w:usb1="420024FF" w:usb2="02000000" w:usb3="00000000" w:csb0="0000019F" w:csb1="00000000"/>
    <w:embedRegular r:id="rId8" w:fontKey="{D9A7C844-E820-45F6-92C2-362DADCA6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7CED0" w14:textId="77777777" w:rsidR="00B606BF" w:rsidRDefault="00B606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77A1B" w14:textId="77777777" w:rsidR="00B606BF" w:rsidRDefault="00B606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2575" w14:textId="77777777" w:rsidR="00B606BF" w:rsidRDefault="00B606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ECB0D" w14:textId="77777777" w:rsidR="0085150E" w:rsidRDefault="0085150E" w:rsidP="00B606BF">
      <w:pPr>
        <w:spacing w:after="0" w:line="240" w:lineRule="auto"/>
      </w:pPr>
      <w:r>
        <w:separator/>
      </w:r>
    </w:p>
  </w:footnote>
  <w:footnote w:type="continuationSeparator" w:id="0">
    <w:p w14:paraId="4222074C" w14:textId="77777777" w:rsidR="0085150E" w:rsidRDefault="0085150E" w:rsidP="00B60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8646B" w14:textId="1794B1B1" w:rsidR="00B606BF" w:rsidRDefault="0085150E">
    <w:pPr>
      <w:pStyle w:val="Header"/>
    </w:pPr>
    <w:r>
      <w:rPr>
        <w:noProof/>
      </w:rPr>
      <w:pict w14:anchorId="2DD32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6018B" w14:textId="3B7CE06F" w:rsidR="00B606BF" w:rsidRDefault="0085150E">
    <w:pPr>
      <w:pStyle w:val="Header"/>
    </w:pPr>
    <w:r>
      <w:rPr>
        <w:noProof/>
      </w:rPr>
      <w:pict w14:anchorId="4978D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53F16" w14:textId="2EA417AB" w:rsidR="00B606BF" w:rsidRDefault="0085150E">
    <w:pPr>
      <w:pStyle w:val="Header"/>
    </w:pPr>
    <w:r>
      <w:rPr>
        <w:noProof/>
      </w:rPr>
      <w:pict w14:anchorId="75CC0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84BA7"/>
    <w:multiLevelType w:val="multilevel"/>
    <w:tmpl w:val="14F8B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701"/>
    <w:rsid w:val="00065152"/>
    <w:rsid w:val="00203701"/>
    <w:rsid w:val="002B4813"/>
    <w:rsid w:val="003D14C2"/>
    <w:rsid w:val="00410929"/>
    <w:rsid w:val="00796D56"/>
    <w:rsid w:val="0085150E"/>
    <w:rsid w:val="0099756F"/>
    <w:rsid w:val="00B606BF"/>
    <w:rsid w:val="00C13443"/>
    <w:rsid w:val="00D93A02"/>
    <w:rsid w:val="00E67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4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6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BF"/>
  </w:style>
  <w:style w:type="paragraph" w:styleId="Footer">
    <w:name w:val="footer"/>
    <w:basedOn w:val="Normal"/>
    <w:link w:val="FooterChar"/>
    <w:uiPriority w:val="99"/>
    <w:unhideWhenUsed/>
    <w:rsid w:val="00B6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BF"/>
  </w:style>
  <w:style w:type="paragraph" w:styleId="BalloonText">
    <w:name w:val="Balloon Text"/>
    <w:basedOn w:val="Normal"/>
    <w:link w:val="BalloonTextChar"/>
    <w:uiPriority w:val="99"/>
    <w:semiHidden/>
    <w:unhideWhenUsed/>
    <w:rsid w:val="00E67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FA4"/>
    <w:rPr>
      <w:rFonts w:ascii="Tahoma" w:hAnsi="Tahoma" w:cs="Tahoma"/>
      <w:sz w:val="16"/>
      <w:szCs w:val="16"/>
    </w:rPr>
  </w:style>
  <w:style w:type="character" w:styleId="CommentReference">
    <w:name w:val="annotation reference"/>
    <w:basedOn w:val="DefaultParagraphFont"/>
    <w:uiPriority w:val="99"/>
    <w:semiHidden/>
    <w:unhideWhenUsed/>
    <w:rsid w:val="00E67FA4"/>
    <w:rPr>
      <w:sz w:val="16"/>
      <w:szCs w:val="16"/>
    </w:rPr>
  </w:style>
  <w:style w:type="paragraph" w:styleId="CommentText">
    <w:name w:val="annotation text"/>
    <w:basedOn w:val="Normal"/>
    <w:link w:val="CommentTextChar"/>
    <w:uiPriority w:val="99"/>
    <w:semiHidden/>
    <w:unhideWhenUsed/>
    <w:rsid w:val="00E67FA4"/>
    <w:pPr>
      <w:spacing w:line="240" w:lineRule="auto"/>
    </w:pPr>
    <w:rPr>
      <w:sz w:val="20"/>
      <w:szCs w:val="20"/>
    </w:rPr>
  </w:style>
  <w:style w:type="character" w:customStyle="1" w:styleId="CommentTextChar">
    <w:name w:val="Comment Text Char"/>
    <w:basedOn w:val="DefaultParagraphFont"/>
    <w:link w:val="CommentText"/>
    <w:uiPriority w:val="99"/>
    <w:semiHidden/>
    <w:rsid w:val="00E67FA4"/>
    <w:rPr>
      <w:sz w:val="20"/>
      <w:szCs w:val="20"/>
    </w:rPr>
  </w:style>
  <w:style w:type="paragraph" w:styleId="CommentSubject">
    <w:name w:val="annotation subject"/>
    <w:basedOn w:val="CommentText"/>
    <w:next w:val="CommentText"/>
    <w:link w:val="CommentSubjectChar"/>
    <w:uiPriority w:val="99"/>
    <w:semiHidden/>
    <w:unhideWhenUsed/>
    <w:rsid w:val="00E67FA4"/>
    <w:rPr>
      <w:b/>
      <w:bCs/>
    </w:rPr>
  </w:style>
  <w:style w:type="character" w:customStyle="1" w:styleId="CommentSubjectChar">
    <w:name w:val="Comment Subject Char"/>
    <w:basedOn w:val="CommentTextChar"/>
    <w:link w:val="CommentSubject"/>
    <w:uiPriority w:val="99"/>
    <w:semiHidden/>
    <w:rsid w:val="00E67FA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6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BF"/>
  </w:style>
  <w:style w:type="paragraph" w:styleId="Footer">
    <w:name w:val="footer"/>
    <w:basedOn w:val="Normal"/>
    <w:link w:val="FooterChar"/>
    <w:uiPriority w:val="99"/>
    <w:unhideWhenUsed/>
    <w:rsid w:val="00B6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BF"/>
  </w:style>
  <w:style w:type="paragraph" w:styleId="BalloonText">
    <w:name w:val="Balloon Text"/>
    <w:basedOn w:val="Normal"/>
    <w:link w:val="BalloonTextChar"/>
    <w:uiPriority w:val="99"/>
    <w:semiHidden/>
    <w:unhideWhenUsed/>
    <w:rsid w:val="00E67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FA4"/>
    <w:rPr>
      <w:rFonts w:ascii="Tahoma" w:hAnsi="Tahoma" w:cs="Tahoma"/>
      <w:sz w:val="16"/>
      <w:szCs w:val="16"/>
    </w:rPr>
  </w:style>
  <w:style w:type="character" w:styleId="CommentReference">
    <w:name w:val="annotation reference"/>
    <w:basedOn w:val="DefaultParagraphFont"/>
    <w:uiPriority w:val="99"/>
    <w:semiHidden/>
    <w:unhideWhenUsed/>
    <w:rsid w:val="00E67FA4"/>
    <w:rPr>
      <w:sz w:val="16"/>
      <w:szCs w:val="16"/>
    </w:rPr>
  </w:style>
  <w:style w:type="paragraph" w:styleId="CommentText">
    <w:name w:val="annotation text"/>
    <w:basedOn w:val="Normal"/>
    <w:link w:val="CommentTextChar"/>
    <w:uiPriority w:val="99"/>
    <w:semiHidden/>
    <w:unhideWhenUsed/>
    <w:rsid w:val="00E67FA4"/>
    <w:pPr>
      <w:spacing w:line="240" w:lineRule="auto"/>
    </w:pPr>
    <w:rPr>
      <w:sz w:val="20"/>
      <w:szCs w:val="20"/>
    </w:rPr>
  </w:style>
  <w:style w:type="character" w:customStyle="1" w:styleId="CommentTextChar">
    <w:name w:val="Comment Text Char"/>
    <w:basedOn w:val="DefaultParagraphFont"/>
    <w:link w:val="CommentText"/>
    <w:uiPriority w:val="99"/>
    <w:semiHidden/>
    <w:rsid w:val="00E67FA4"/>
    <w:rPr>
      <w:sz w:val="20"/>
      <w:szCs w:val="20"/>
    </w:rPr>
  </w:style>
  <w:style w:type="paragraph" w:styleId="CommentSubject">
    <w:name w:val="annotation subject"/>
    <w:basedOn w:val="CommentText"/>
    <w:next w:val="CommentText"/>
    <w:link w:val="CommentSubjectChar"/>
    <w:uiPriority w:val="99"/>
    <w:semiHidden/>
    <w:unhideWhenUsed/>
    <w:rsid w:val="00E67FA4"/>
    <w:rPr>
      <w:b/>
      <w:bCs/>
    </w:rPr>
  </w:style>
  <w:style w:type="character" w:customStyle="1" w:styleId="CommentSubjectChar">
    <w:name w:val="Comment Subject Char"/>
    <w:basedOn w:val="CommentTextChar"/>
    <w:link w:val="CommentSubject"/>
    <w:uiPriority w:val="99"/>
    <w:semiHidden/>
    <w:rsid w:val="00E67F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reliefweb.int"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ain.nd.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ao.org/faost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o.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nep.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4754</Words>
  <Characters>27099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8</cp:revision>
  <dcterms:created xsi:type="dcterms:W3CDTF">2026-04-01T05:53:00Z</dcterms:created>
  <dcterms:modified xsi:type="dcterms:W3CDTF">2026-04-01T02:39:00Z</dcterms:modified>
</cp:coreProperties>
</file>