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C33D" w14:textId="35FCB532" w:rsidR="00356A80" w:rsidRPr="00356A80" w:rsidRDefault="00DE3CDB" w:rsidP="00356A80">
      <w:pPr>
        <w:spacing w:line="360" w:lineRule="auto"/>
        <w:jc w:val="right"/>
        <w:rPr>
          <w:rFonts w:ascii="Times New Roman" w:hAnsi="Times New Roman" w:cs="Times New Roman"/>
          <w:b/>
          <w:bCs/>
          <w:i/>
          <w:sz w:val="36"/>
          <w:szCs w:val="24"/>
          <w:u w:val="single"/>
        </w:rPr>
      </w:pPr>
      <w:r>
        <w:rPr>
          <w:rFonts w:ascii="Times New Roman" w:hAnsi="Times New Roman" w:cs="Times New Roman"/>
          <w:b/>
          <w:bCs/>
          <w:i/>
          <w:sz w:val="36"/>
          <w:szCs w:val="24"/>
          <w:u w:val="single"/>
        </w:rPr>
        <w:t>O</w:t>
      </w:r>
      <w:r w:rsidR="00356A80" w:rsidRPr="00356A80">
        <w:rPr>
          <w:rFonts w:ascii="Times New Roman" w:hAnsi="Times New Roman" w:cs="Times New Roman"/>
          <w:b/>
          <w:bCs/>
          <w:i/>
          <w:sz w:val="36"/>
          <w:szCs w:val="24"/>
          <w:u w:val="single"/>
        </w:rPr>
        <w:t xml:space="preserve">riginal Research Article </w:t>
      </w:r>
    </w:p>
    <w:p w14:paraId="250DA2E5" w14:textId="191BF117" w:rsidR="00BC71DF" w:rsidRDefault="0042290D" w:rsidP="004229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PHYTOREMEDIATION EFFICIENCY OF EMERGENT MACROPHYTES IN HORIZONTAL SUBSURFACE FLOW CONSTRUCTED WETLANDS: A COMPARATIVE ASSESSMENT OF SPECIES-SPECIFIC POLLUTANT REMOVAL CAPACITY</w:t>
      </w:r>
    </w:p>
    <w:p w14:paraId="38E7172B" w14:textId="07012983" w:rsidR="00356A80" w:rsidRDefault="00356A80" w:rsidP="006313C1">
      <w:pPr>
        <w:pStyle w:val="NormalWeb"/>
        <w:rPr>
          <w:b/>
        </w:rPr>
      </w:pPr>
    </w:p>
    <w:p w14:paraId="52A24288" w14:textId="2BC19E46" w:rsidR="005534BF" w:rsidRDefault="005534BF" w:rsidP="006313C1">
      <w:pPr>
        <w:pStyle w:val="NormalWeb"/>
        <w:rPr>
          <w:b/>
        </w:rPr>
      </w:pPr>
    </w:p>
    <w:p w14:paraId="3DE1BB2C" w14:textId="77777777" w:rsidR="005534BF" w:rsidRPr="006313C1" w:rsidRDefault="005534BF" w:rsidP="006313C1">
      <w:pPr>
        <w:pStyle w:val="NormalWeb"/>
        <w:rPr>
          <w:b/>
        </w:rPr>
      </w:pPr>
    </w:p>
    <w:p w14:paraId="172EED5B" w14:textId="77777777" w:rsidR="00BC71DF" w:rsidRPr="0042290D" w:rsidRDefault="0042290D" w:rsidP="0042290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7E547E71" w14:textId="77777777" w:rsidR="00BC71DF" w:rsidRPr="0042290D" w:rsidRDefault="0042290D" w:rsidP="0042290D">
      <w:pPr>
        <w:spacing w:line="360" w:lineRule="auto"/>
        <w:jc w:val="both"/>
        <w:rPr>
          <w:rFonts w:ascii="Times New Roman" w:hAnsi="Times New Roman" w:cs="Times New Roman"/>
          <w:sz w:val="24"/>
          <w:szCs w:val="24"/>
        </w:rPr>
      </w:pPr>
      <w:r>
        <w:rPr>
          <w:rFonts w:ascii="Times New Roman" w:hAnsi="Times New Roman" w:cs="Times New Roman"/>
          <w:sz w:val="24"/>
          <w:szCs w:val="24"/>
        </w:rPr>
        <w:t>Constructed wetlands (CWs) utilizing macrophytes represent a sustainable and cost-effective approach for sewage treatment in developing regions. This pilot study evaluated the performance of selected macrophytes (</w:t>
      </w:r>
      <w:r>
        <w:rPr>
          <w:rFonts w:ascii="Times New Roman" w:hAnsi="Times New Roman" w:cs="Times New Roman"/>
          <w:i/>
          <w:sz w:val="24"/>
          <w:szCs w:val="24"/>
        </w:rPr>
        <w:t>Typha latifolia</w:t>
      </w:r>
      <w:r>
        <w:rPr>
          <w:rFonts w:ascii="Times New Roman" w:hAnsi="Times New Roman" w:cs="Times New Roman"/>
          <w:sz w:val="24"/>
          <w:szCs w:val="24"/>
        </w:rPr>
        <w:t xml:space="preserve">, </w:t>
      </w:r>
      <w:r>
        <w:rPr>
          <w:rFonts w:ascii="Times New Roman" w:hAnsi="Times New Roman" w:cs="Times New Roman"/>
          <w:i/>
          <w:sz w:val="24"/>
          <w:szCs w:val="24"/>
        </w:rPr>
        <w:t>Phragmites australis</w:t>
      </w:r>
      <w:r>
        <w:rPr>
          <w:rFonts w:ascii="Times New Roman" w:hAnsi="Times New Roman" w:cs="Times New Roman"/>
          <w:sz w:val="24"/>
          <w:szCs w:val="24"/>
        </w:rPr>
        <w:t xml:space="preserve">, and </w:t>
      </w:r>
      <w:r>
        <w:rPr>
          <w:rFonts w:ascii="Times New Roman" w:hAnsi="Times New Roman" w:cs="Times New Roman"/>
          <w:i/>
          <w:sz w:val="24"/>
          <w:szCs w:val="24"/>
        </w:rPr>
        <w:t>Canna indica</w:t>
      </w:r>
      <w:r>
        <w:rPr>
          <w:rFonts w:ascii="Times New Roman" w:hAnsi="Times New Roman" w:cs="Times New Roman"/>
          <w:sz w:val="24"/>
          <w:szCs w:val="24"/>
        </w:rPr>
        <w:t xml:space="preserve">) in a horizontal subsurface flow constructed wetland system for treating domestic sewage. The study was conducted over a 6-month period (March-August 2024) with a hydraulic retention time of 3 days. Water quality parameters including biochemical oxygen demand (BOD), chemical oxygen demand (COD), total suspended solids (TSS), total nitrogen (TN), total phosphorus (TP), and fecal coliforms were monitored bi-weekly. Results demonstrated significant removal efficiencies: BOD (82-89%), COD (76-84%), TSS (85-92%), TN (68-75%), and TP (71-79%). </w:t>
      </w:r>
      <w:r>
        <w:rPr>
          <w:rFonts w:ascii="Times New Roman" w:hAnsi="Times New Roman" w:cs="Times New Roman"/>
          <w:i/>
          <w:sz w:val="24"/>
          <w:szCs w:val="24"/>
        </w:rPr>
        <w:t>Typha latifolia</w:t>
      </w:r>
      <w:r>
        <w:rPr>
          <w:rFonts w:ascii="Times New Roman" w:hAnsi="Times New Roman" w:cs="Times New Roman"/>
          <w:sz w:val="24"/>
          <w:szCs w:val="24"/>
        </w:rPr>
        <w:t xml:space="preserve"> exhibited the highest overall performance with superior nutrient uptake capacity and biomass production (2.8 kg/m²). Plant growth rates and physiological responses were monitored to assess stress tolerance and adaptation. The findings suggest that macrophyte-based constructed wetlands can effectively treat domestic sewage, providing an eco-friendly alternative to conventional treatment systems, particularly suitable for small communities and rural areas with limited infrastructure.</w:t>
      </w:r>
    </w:p>
    <w:p w14:paraId="0A83B2B6" w14:textId="77777777" w:rsidR="00BC71DF" w:rsidRPr="0042290D" w:rsidRDefault="0042290D" w:rsidP="0042290D">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constructed wetlands, macrophytes, sewage treatment, phytoremediation, wastewater management, </w:t>
      </w:r>
      <w:r>
        <w:rPr>
          <w:rFonts w:ascii="Times New Roman" w:hAnsi="Times New Roman" w:cs="Times New Roman"/>
          <w:i/>
          <w:sz w:val="24"/>
          <w:szCs w:val="24"/>
        </w:rPr>
        <w:t>Typha latifolia</w:t>
      </w:r>
    </w:p>
    <w:p w14:paraId="796B94C1" w14:textId="77777777" w:rsidR="00BC71DF" w:rsidRPr="00F829E1" w:rsidRDefault="0042290D" w:rsidP="00F829E1">
      <w:pPr>
        <w:rPr>
          <w:rFonts w:ascii="Times New Roman" w:hAnsi="Times New Roman" w:cs="Times New Roman"/>
          <w:b/>
          <w:bCs/>
          <w:sz w:val="24"/>
          <w:szCs w:val="24"/>
        </w:rPr>
      </w:pPr>
      <w:r>
        <w:rPr>
          <w:rFonts w:ascii="Times New Roman" w:hAnsi="Times New Roman" w:cs="Times New Roman"/>
          <w:b/>
          <w:bCs/>
          <w:sz w:val="24"/>
          <w:szCs w:val="24"/>
        </w:rPr>
        <w:t>Introduction</w:t>
      </w:r>
    </w:p>
    <w:p w14:paraId="2F36A980"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Global water scarcity and increasing pollution of freshwater resources have necessitated the development of sustainable wastewater treatment technologies (Vymazal, 2011). Conventional sewage treatment systems, while effective, require substantial capital investment, operational costs, and technical expertise, making them impractical for many developing regions and rural communities (Kadlec &amp; Wallace, 2009). Constructed wetlands (CWs) have emerged as viable alternatives that combine ecological engineering principles with natural treatment processes to achieve efficient pollutant removal at reduced costs (Wu et al., 2015).</w:t>
      </w:r>
    </w:p>
    <w:p w14:paraId="5F1150DD"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Constructed wetlands are engineered systems designed to simulate natural wetland ecosystems for wastewater treatment through physical, chemical, and biological processes (Brix, 1997). These systems utilize the synergistic interactions between substrates, microorganisms, and vegetation to remove contaminants from wastewater (Zhang et al., 2014). Among the various components, macrophytes play a crucial role in enhancing treatment efficiency through multiple mechanisms including direct nutrient uptake, oxygen transfer to the rhizosphere, providing surface area for microbial biofilms, and physical filtration (Vymazal, 2013).</w:t>
      </w:r>
    </w:p>
    <w:p w14:paraId="3658256C"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Macrophytes used in constructed wetlands are typically emergent species capable of tolerating waterlogged conditions and high pollutant concentrations (Tanner, 1996). Common species include </w:t>
      </w:r>
      <w:r>
        <w:rPr>
          <w:rFonts w:ascii="Times New Roman" w:hAnsi="Times New Roman" w:cs="Times New Roman"/>
          <w:i/>
          <w:sz w:val="24"/>
          <w:szCs w:val="24"/>
        </w:rPr>
        <w:t>Typha</w:t>
      </w:r>
      <w:r>
        <w:rPr>
          <w:rFonts w:ascii="Times New Roman" w:hAnsi="Times New Roman" w:cs="Times New Roman"/>
          <w:sz w:val="24"/>
          <w:szCs w:val="24"/>
        </w:rPr>
        <w:t xml:space="preserve"> spp., </w:t>
      </w:r>
      <w:r>
        <w:rPr>
          <w:rFonts w:ascii="Times New Roman" w:hAnsi="Times New Roman" w:cs="Times New Roman"/>
          <w:i/>
          <w:sz w:val="24"/>
          <w:szCs w:val="24"/>
        </w:rPr>
        <w:t>Phragmites australis</w:t>
      </w:r>
      <w:r>
        <w:rPr>
          <w:rFonts w:ascii="Times New Roman" w:hAnsi="Times New Roman" w:cs="Times New Roman"/>
          <w:sz w:val="24"/>
          <w:szCs w:val="24"/>
        </w:rPr>
        <w:t xml:space="preserve">, </w:t>
      </w:r>
      <w:r>
        <w:rPr>
          <w:rFonts w:ascii="Times New Roman" w:hAnsi="Times New Roman" w:cs="Times New Roman"/>
          <w:i/>
          <w:sz w:val="24"/>
          <w:szCs w:val="24"/>
        </w:rPr>
        <w:t>Scirpus</w:t>
      </w:r>
      <w:r>
        <w:rPr>
          <w:rFonts w:ascii="Times New Roman" w:hAnsi="Times New Roman" w:cs="Times New Roman"/>
          <w:sz w:val="24"/>
          <w:szCs w:val="24"/>
        </w:rPr>
        <w:t xml:space="preserve"> spp., and ornamental plants like </w:t>
      </w:r>
      <w:r>
        <w:rPr>
          <w:rFonts w:ascii="Times New Roman" w:hAnsi="Times New Roman" w:cs="Times New Roman"/>
          <w:i/>
          <w:sz w:val="24"/>
          <w:szCs w:val="24"/>
        </w:rPr>
        <w:t>Canna</w:t>
      </w:r>
      <w:r>
        <w:rPr>
          <w:rFonts w:ascii="Times New Roman" w:hAnsi="Times New Roman" w:cs="Times New Roman"/>
          <w:sz w:val="24"/>
          <w:szCs w:val="24"/>
        </w:rPr>
        <w:t xml:space="preserve"> spp. (Greenway, 2005). The selection of appropriate plant species is critical for optimizing treatment performance and ensuring system sustainability under varying environmental conditions (Shelef et al., 2013).</w:t>
      </w:r>
    </w:p>
    <w:p w14:paraId="6EA072BA"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Previous studies have demonstrated the effectiveness of macrophyte-based constructed wetlands for treating various types of wastewater, including domestic sewage, industrial effluents, and agricultural runoff (Vymazal &amp; Kröpfelová, 2008; Stottmeister et al., 2003). However, most research has focused on temperate climates, and there remains a need for region-specific pilot studies to evaluate system performance under local environmental conditions and with indigenous or adapted plant species (Kivaisi, 2001).</w:t>
      </w:r>
    </w:p>
    <w:p w14:paraId="1C5E4940"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aims to evaluate the performance of three macrophyte species (</w:t>
      </w:r>
      <w:r>
        <w:rPr>
          <w:rFonts w:ascii="Times New Roman" w:hAnsi="Times New Roman" w:cs="Times New Roman"/>
          <w:i/>
          <w:sz w:val="24"/>
          <w:szCs w:val="24"/>
        </w:rPr>
        <w:t>Typha latifolia</w:t>
      </w:r>
      <w:r>
        <w:rPr>
          <w:rFonts w:ascii="Times New Roman" w:hAnsi="Times New Roman" w:cs="Times New Roman"/>
          <w:sz w:val="24"/>
          <w:szCs w:val="24"/>
        </w:rPr>
        <w:t xml:space="preserve">, </w:t>
      </w:r>
      <w:r>
        <w:rPr>
          <w:rFonts w:ascii="Times New Roman" w:hAnsi="Times New Roman" w:cs="Times New Roman"/>
          <w:i/>
          <w:sz w:val="24"/>
          <w:szCs w:val="24"/>
        </w:rPr>
        <w:t>Phragmites australis</w:t>
      </w:r>
      <w:r>
        <w:rPr>
          <w:rFonts w:ascii="Times New Roman" w:hAnsi="Times New Roman" w:cs="Times New Roman"/>
          <w:sz w:val="24"/>
          <w:szCs w:val="24"/>
        </w:rPr>
        <w:t xml:space="preserve">, and </w:t>
      </w:r>
      <w:r>
        <w:rPr>
          <w:rFonts w:ascii="Times New Roman" w:hAnsi="Times New Roman" w:cs="Times New Roman"/>
          <w:i/>
          <w:sz w:val="24"/>
          <w:szCs w:val="24"/>
        </w:rPr>
        <w:t>Canna indica</w:t>
      </w:r>
      <w:r>
        <w:rPr>
          <w:rFonts w:ascii="Times New Roman" w:hAnsi="Times New Roman" w:cs="Times New Roman"/>
          <w:sz w:val="24"/>
          <w:szCs w:val="24"/>
        </w:rPr>
        <w:t xml:space="preserve">) in a pilot-scale horizontal subsurface flow constructed wetland for treating domestic sewage. Specific objectives include: (1) assessing pollutant removal efficiency for key water quality parameters, (2) comparing the performance of different </w:t>
      </w:r>
      <w:r>
        <w:rPr>
          <w:rFonts w:ascii="Times New Roman" w:hAnsi="Times New Roman" w:cs="Times New Roman"/>
          <w:sz w:val="24"/>
          <w:szCs w:val="24"/>
        </w:rPr>
        <w:lastRenderedPageBreak/>
        <w:t>macrophyte species, (3) monitoring plant growth and biomass production, and (4) evaluating the feasibility of constructed wetlands as a decentralized sewage treatment option for small communities.</w:t>
      </w:r>
    </w:p>
    <w:p w14:paraId="682CE381" w14:textId="77777777" w:rsidR="00BC71DF" w:rsidRPr="00F829E1" w:rsidRDefault="0042290D">
      <w:pPr>
        <w:pStyle w:val="Heading2"/>
        <w:rPr>
          <w:rFonts w:ascii="Times New Roman" w:hAnsi="Times New Roman" w:cs="Times New Roman"/>
          <w:sz w:val="24"/>
          <w:szCs w:val="24"/>
        </w:rPr>
      </w:pPr>
      <w:r>
        <w:rPr>
          <w:rFonts w:ascii="Times New Roman" w:hAnsi="Times New Roman" w:cs="Times New Roman"/>
          <w:sz w:val="24"/>
          <w:szCs w:val="24"/>
        </w:rPr>
        <w:t>Materials and Methods</w:t>
      </w:r>
    </w:p>
    <w:p w14:paraId="1D20C21A" w14:textId="77777777" w:rsidR="00BC71DF" w:rsidRPr="00F829E1" w:rsidRDefault="0042290D">
      <w:pPr>
        <w:rPr>
          <w:rFonts w:ascii="Times New Roman" w:hAnsi="Times New Roman" w:cs="Times New Roman"/>
          <w:sz w:val="24"/>
          <w:szCs w:val="24"/>
        </w:rPr>
      </w:pPr>
      <w:r>
        <w:rPr>
          <w:rFonts w:ascii="Times New Roman" w:hAnsi="Times New Roman" w:cs="Times New Roman"/>
          <w:b/>
          <w:sz w:val="24"/>
          <w:szCs w:val="24"/>
        </w:rPr>
        <w:t>Study Site and Experimental Design</w:t>
      </w:r>
    </w:p>
    <w:p w14:paraId="0CC32B0D" w14:textId="1E168027" w:rsidR="00BC71DF" w:rsidRPr="003C0EC9" w:rsidRDefault="0042290D" w:rsidP="00F829E1">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The pilot study was conducted at a rural wastewater treatment facility located in Maharashtra, India (19°N, 74°E) from March to August 2024. The climate is characterized as semi-arid with an average annual temperature of 25-28°C and rainfall of approximately 600 mm. The experimental setup consisted of nine horizontal subsurface flow (HSSF) constructed wetland units, each measuring 4 m × 2 m × 0.6 m (length × width × depth), arranged in a randomized block design with three replicates per treatment</w:t>
      </w:r>
      <w:r w:rsidR="003C0EC9">
        <w:rPr>
          <w:rFonts w:ascii="Times New Roman" w:hAnsi="Times New Roman" w:cs="Times New Roman"/>
          <w:sz w:val="24"/>
          <w:szCs w:val="24"/>
        </w:rPr>
        <w:t xml:space="preserve"> </w:t>
      </w:r>
      <w:r w:rsidR="003C0EC9">
        <w:rPr>
          <w:rFonts w:ascii="Times New Roman" w:hAnsi="Times New Roman" w:cs="Times New Roman"/>
          <w:color w:val="FF0000"/>
          <w:sz w:val="24"/>
          <w:szCs w:val="24"/>
        </w:rPr>
        <w:t>and operated at ambient temperature of ????</w:t>
      </w:r>
      <w:r>
        <w:rPr>
          <w:rFonts w:ascii="Times New Roman" w:hAnsi="Times New Roman" w:cs="Times New Roman"/>
          <w:sz w:val="24"/>
          <w:szCs w:val="24"/>
        </w:rPr>
        <w:t>.</w:t>
      </w:r>
      <w:r w:rsidR="003C0EC9">
        <w:rPr>
          <w:rFonts w:ascii="Times New Roman" w:hAnsi="Times New Roman" w:cs="Times New Roman"/>
          <w:sz w:val="24"/>
          <w:szCs w:val="24"/>
        </w:rPr>
        <w:t xml:space="preserve"> </w:t>
      </w:r>
      <w:r w:rsidR="003C0EC9" w:rsidRPr="003C0EC9">
        <w:rPr>
          <w:rFonts w:ascii="Times New Roman" w:hAnsi="Times New Roman" w:cs="Times New Roman"/>
          <w:color w:val="FF0000"/>
          <w:sz w:val="24"/>
          <w:szCs w:val="24"/>
          <w:highlight w:val="yellow"/>
        </w:rPr>
        <w:t xml:space="preserve">Can you </w:t>
      </w:r>
      <w:r w:rsidR="003C0EC9">
        <w:rPr>
          <w:rFonts w:ascii="Times New Roman" w:hAnsi="Times New Roman" w:cs="Times New Roman"/>
          <w:color w:val="FF0000"/>
          <w:sz w:val="24"/>
          <w:szCs w:val="24"/>
          <w:highlight w:val="yellow"/>
        </w:rPr>
        <w:t xml:space="preserve">also </w:t>
      </w:r>
      <w:r w:rsidR="003C0EC9" w:rsidRPr="003C0EC9">
        <w:rPr>
          <w:rFonts w:ascii="Times New Roman" w:hAnsi="Times New Roman" w:cs="Times New Roman"/>
          <w:color w:val="FF0000"/>
          <w:sz w:val="24"/>
          <w:szCs w:val="24"/>
          <w:highlight w:val="yellow"/>
        </w:rPr>
        <w:t>provide a schematic of the setup for the scientific community</w:t>
      </w:r>
      <w:r w:rsidR="00F53F26">
        <w:rPr>
          <w:rFonts w:ascii="Times New Roman" w:hAnsi="Times New Roman" w:cs="Times New Roman"/>
          <w:color w:val="FF0000"/>
          <w:sz w:val="24"/>
          <w:szCs w:val="24"/>
          <w:highlight w:val="yellow"/>
        </w:rPr>
        <w:t xml:space="preserve"> (Figure 1)</w:t>
      </w:r>
      <w:r w:rsidR="003C0EC9" w:rsidRPr="003C0EC9">
        <w:rPr>
          <w:rFonts w:ascii="Times New Roman" w:hAnsi="Times New Roman" w:cs="Times New Roman"/>
          <w:color w:val="FF0000"/>
          <w:sz w:val="24"/>
          <w:szCs w:val="24"/>
          <w:highlight w:val="yellow"/>
        </w:rPr>
        <w:t>?</w:t>
      </w:r>
      <w:r w:rsidR="003C0EC9">
        <w:rPr>
          <w:rFonts w:ascii="Times New Roman" w:hAnsi="Times New Roman" w:cs="Times New Roman"/>
          <w:color w:val="FF0000"/>
          <w:sz w:val="24"/>
          <w:szCs w:val="24"/>
        </w:rPr>
        <w:t xml:space="preserve"> </w:t>
      </w:r>
    </w:p>
    <w:p w14:paraId="36574FC4" w14:textId="77777777" w:rsidR="00BC71DF" w:rsidRPr="00F829E1" w:rsidRDefault="0042290D">
      <w:pPr>
        <w:rPr>
          <w:rFonts w:ascii="Times New Roman" w:hAnsi="Times New Roman" w:cs="Times New Roman"/>
          <w:sz w:val="24"/>
          <w:szCs w:val="24"/>
        </w:rPr>
      </w:pPr>
      <w:r>
        <w:rPr>
          <w:rFonts w:ascii="Times New Roman" w:hAnsi="Times New Roman" w:cs="Times New Roman"/>
          <w:b/>
          <w:sz w:val="24"/>
          <w:szCs w:val="24"/>
        </w:rPr>
        <w:t>Constructed Wetland Configuration</w:t>
      </w:r>
    </w:p>
    <w:p w14:paraId="4E9BD4F7"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Each wetland unit was constructed using reinforced concrete with a waterproof lining to prevent seepage. The substrate consisted of three layers: a bottom drainage layer of coarse gravel (20-30 mm diameter, 15 cm depth), a middle layer of medium gravel (10-15 mm diameter, 20 cm depth), and a top layer of fine gravel mixed with sand (5-10 mm diameter, 20 cm depth). The total substrate depth was 55 cm, with a water level maintained at 5 cm below the substrate surface. Inlet and outlet zones (40 cm each) consisted of coarse gravel to ensure uniform flow distribution and collection.</w:t>
      </w:r>
    </w:p>
    <w:p w14:paraId="4B45DB80" w14:textId="77777777" w:rsidR="00BC71DF" w:rsidRPr="00F829E1" w:rsidRDefault="0042290D">
      <w:pPr>
        <w:rPr>
          <w:rFonts w:ascii="Times New Roman" w:hAnsi="Times New Roman" w:cs="Times New Roman"/>
          <w:sz w:val="24"/>
          <w:szCs w:val="24"/>
        </w:rPr>
      </w:pPr>
      <w:r>
        <w:rPr>
          <w:rFonts w:ascii="Times New Roman" w:hAnsi="Times New Roman" w:cs="Times New Roman"/>
          <w:b/>
          <w:sz w:val="24"/>
          <w:szCs w:val="24"/>
        </w:rPr>
        <w:t>Macrophyte Selection and Establishment</w:t>
      </w:r>
    </w:p>
    <w:p w14:paraId="52029A2F"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Three macrophyte species were selected based on their documented wastewater treatment potential and local availability:</w:t>
      </w:r>
    </w:p>
    <w:p w14:paraId="48E1F15D" w14:textId="77777777" w:rsidR="00BC71DF" w:rsidRPr="00F829E1" w:rsidRDefault="0042290D" w:rsidP="00F829E1">
      <w:pPr>
        <w:pStyle w:val="ListNumber"/>
        <w:spacing w:line="360" w:lineRule="auto"/>
        <w:jc w:val="both"/>
        <w:rPr>
          <w:rFonts w:ascii="Times New Roman" w:hAnsi="Times New Roman" w:cs="Times New Roman"/>
          <w:sz w:val="24"/>
          <w:szCs w:val="24"/>
        </w:rPr>
      </w:pPr>
      <w:r>
        <w:rPr>
          <w:rFonts w:ascii="Times New Roman" w:hAnsi="Times New Roman" w:cs="Times New Roman"/>
          <w:i/>
          <w:sz w:val="24"/>
          <w:szCs w:val="24"/>
        </w:rPr>
        <w:t>Typha latifolia</w:t>
      </w:r>
      <w:r>
        <w:rPr>
          <w:rFonts w:ascii="Times New Roman" w:hAnsi="Times New Roman" w:cs="Times New Roman"/>
          <w:sz w:val="24"/>
          <w:szCs w:val="24"/>
        </w:rPr>
        <w:t xml:space="preserve"> L. (Common cattail) - emergent macrophyte, Typhaceae family</w:t>
      </w:r>
    </w:p>
    <w:p w14:paraId="1EF55308" w14:textId="77777777" w:rsidR="00BC71DF" w:rsidRPr="00F829E1" w:rsidRDefault="0042290D" w:rsidP="00F829E1">
      <w:pPr>
        <w:pStyle w:val="ListNumber"/>
        <w:spacing w:line="360" w:lineRule="auto"/>
        <w:jc w:val="both"/>
        <w:rPr>
          <w:rFonts w:ascii="Times New Roman" w:hAnsi="Times New Roman" w:cs="Times New Roman"/>
          <w:sz w:val="24"/>
          <w:szCs w:val="24"/>
        </w:rPr>
      </w:pPr>
      <w:r w:rsidRPr="003C0EC9">
        <w:rPr>
          <w:rFonts w:ascii="Times New Roman" w:hAnsi="Times New Roman" w:cs="Times New Roman"/>
          <w:i/>
          <w:sz w:val="24"/>
          <w:szCs w:val="24"/>
          <w:lang w:val="fr-CA"/>
        </w:rPr>
        <w:t>Phragmites australis</w:t>
      </w:r>
      <w:r w:rsidRPr="003C0EC9">
        <w:rPr>
          <w:rFonts w:ascii="Times New Roman" w:hAnsi="Times New Roman" w:cs="Times New Roman"/>
          <w:sz w:val="24"/>
          <w:szCs w:val="24"/>
          <w:lang w:val="fr-CA"/>
        </w:rPr>
        <w:t xml:space="preserve"> (</w:t>
      </w:r>
      <w:proofErr w:type="spellStart"/>
      <w:r w:rsidRPr="003C0EC9">
        <w:rPr>
          <w:rFonts w:ascii="Times New Roman" w:hAnsi="Times New Roman" w:cs="Times New Roman"/>
          <w:sz w:val="24"/>
          <w:szCs w:val="24"/>
          <w:lang w:val="fr-CA"/>
        </w:rPr>
        <w:t>Cav</w:t>
      </w:r>
      <w:proofErr w:type="spellEnd"/>
      <w:r w:rsidRPr="003C0EC9">
        <w:rPr>
          <w:rFonts w:ascii="Times New Roman" w:hAnsi="Times New Roman" w:cs="Times New Roman"/>
          <w:sz w:val="24"/>
          <w:szCs w:val="24"/>
          <w:lang w:val="fr-CA"/>
        </w:rPr>
        <w:t xml:space="preserve">.) Trin. ex </w:t>
      </w:r>
      <w:proofErr w:type="spellStart"/>
      <w:r w:rsidRPr="003C0EC9">
        <w:rPr>
          <w:rFonts w:ascii="Times New Roman" w:hAnsi="Times New Roman" w:cs="Times New Roman"/>
          <w:sz w:val="24"/>
          <w:szCs w:val="24"/>
          <w:lang w:val="fr-CA"/>
        </w:rPr>
        <w:t>Steud</w:t>
      </w:r>
      <w:proofErr w:type="spellEnd"/>
      <w:r w:rsidRPr="003C0EC9">
        <w:rPr>
          <w:rFonts w:ascii="Times New Roman" w:hAnsi="Times New Roman" w:cs="Times New Roman"/>
          <w:sz w:val="24"/>
          <w:szCs w:val="24"/>
          <w:lang w:val="fr-CA"/>
        </w:rPr>
        <w:t xml:space="preserve">. </w:t>
      </w:r>
      <w:r>
        <w:rPr>
          <w:rFonts w:ascii="Times New Roman" w:hAnsi="Times New Roman" w:cs="Times New Roman"/>
          <w:sz w:val="24"/>
          <w:szCs w:val="24"/>
        </w:rPr>
        <w:t>(Common reed) - emergent macrophyte, Poaceae family</w:t>
      </w:r>
    </w:p>
    <w:p w14:paraId="447F1001" w14:textId="77777777" w:rsidR="00BC71DF" w:rsidRPr="00F829E1" w:rsidRDefault="0042290D" w:rsidP="00F829E1">
      <w:pPr>
        <w:pStyle w:val="ListNumber"/>
        <w:spacing w:line="360" w:lineRule="auto"/>
        <w:jc w:val="both"/>
        <w:rPr>
          <w:rFonts w:ascii="Times New Roman" w:hAnsi="Times New Roman" w:cs="Times New Roman"/>
          <w:sz w:val="24"/>
          <w:szCs w:val="24"/>
        </w:rPr>
      </w:pPr>
      <w:r>
        <w:rPr>
          <w:rFonts w:ascii="Times New Roman" w:hAnsi="Times New Roman" w:cs="Times New Roman"/>
          <w:i/>
          <w:sz w:val="24"/>
          <w:szCs w:val="24"/>
        </w:rPr>
        <w:t>Canna indica</w:t>
      </w:r>
      <w:r>
        <w:rPr>
          <w:rFonts w:ascii="Times New Roman" w:hAnsi="Times New Roman" w:cs="Times New Roman"/>
          <w:sz w:val="24"/>
          <w:szCs w:val="24"/>
        </w:rPr>
        <w:t xml:space="preserve"> L. (Indian shot) - emergent ornamental macrophyte, Cannaceae family</w:t>
      </w:r>
    </w:p>
    <w:p w14:paraId="5995D5BF"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Uniform rhizomes or plantlets (n=25 per unit) were collected from established populations and transplanted into the wetland units in February 2024. A one-month establishment period was </w:t>
      </w:r>
      <w:r>
        <w:rPr>
          <w:rFonts w:ascii="Times New Roman" w:hAnsi="Times New Roman" w:cs="Times New Roman"/>
          <w:sz w:val="24"/>
          <w:szCs w:val="24"/>
        </w:rPr>
        <w:lastRenderedPageBreak/>
        <w:t>provided with reduced wastewater loading (50% of design load) before initiating the full-scale experiment. Three control units without vegetation were maintained for comparison.</w:t>
      </w:r>
    </w:p>
    <w:p w14:paraId="6435E2FE" w14:textId="77777777" w:rsidR="00BC71DF" w:rsidRDefault="0042290D">
      <w:r>
        <w:rPr>
          <w:b/>
        </w:rPr>
        <w:t>Wastewater Characteristics and Loading</w:t>
      </w:r>
    </w:p>
    <w:p w14:paraId="0252059D"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Domestic sewage from a nearby residential area (population ~500) was used as influent. The raw sewage was characterized by high organic content and nutrient concentrations typical of domestic wastewater. The wetland units were operated in continuous flow mode with a hydraulic retention time (HRT) of 3 days and an organic loading rate of 40 g BOD/m²/day. Daily flow rate was maintained at 0.27 m³/day per unit using flow meters.</w:t>
      </w:r>
    </w:p>
    <w:p w14:paraId="1FAE1B9F"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Typical influent characteristics were: pH 7.2-7.8, BOD 180-240 mg/L, COD 320-450 mg/L, TSS 150-220 mg/L, TN 35-50 mg/L, TP 8-12 mg/L, and fecal coliforms 10⁵-10⁷ MPN/100 mL.</w:t>
      </w:r>
    </w:p>
    <w:p w14:paraId="75667675" w14:textId="77777777" w:rsidR="00BC71DF" w:rsidRDefault="0042290D">
      <w:r>
        <w:rPr>
          <w:b/>
        </w:rPr>
        <w:t>Sampling and Analytical Methods</w:t>
      </w:r>
    </w:p>
    <w:p w14:paraId="76DB5339"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Water samples were collected bi-weekly from inlet and outlet points of each wetland unit using acid-washed polyethylene bottles. Samples were transported to the laboratory in ice boxes and analyzed within 24 hours following standard methods (APHA, 2017). The following parameters were measured:</w:t>
      </w:r>
    </w:p>
    <w:p w14:paraId="5714A120"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pH and temperature: measured in situ using a portable pH meter (Hanna Instruments)</w:t>
      </w:r>
    </w:p>
    <w:p w14:paraId="4D76265C"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Dissolved oxygen (DO): measured using a DO meter (Hanna HI-9146)</w:t>
      </w:r>
    </w:p>
    <w:p w14:paraId="48AA7A2D"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Biochemical oxygen demand (BOD₅): 5-day incubation method (APHA 5210 B)</w:t>
      </w:r>
    </w:p>
    <w:p w14:paraId="4F1DF99F"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Chemical oxygen demand (COD): closed reflux colorimetric method (APHA 5220 D)</w:t>
      </w:r>
    </w:p>
    <w:p w14:paraId="4BFE2A78"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Total suspended solids (TSS): gravimetric method (APHA 2540 D)</w:t>
      </w:r>
    </w:p>
    <w:p w14:paraId="70B01209"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Total nitrogen (TN): Kjeldahl digestion followed by spectrophotometry (APHA 4500-N)</w:t>
      </w:r>
    </w:p>
    <w:p w14:paraId="2DB0D84F"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Total phosphorus (TP): acid digestion followed by ascorbic acid method (APHA 4500-P)</w:t>
      </w:r>
    </w:p>
    <w:p w14:paraId="74671E0C" w14:textId="77777777" w:rsidR="00BC71DF" w:rsidRPr="003C0EC9" w:rsidRDefault="0042290D" w:rsidP="00F829E1">
      <w:pPr>
        <w:pStyle w:val="ListBullet"/>
        <w:spacing w:line="360" w:lineRule="auto"/>
        <w:jc w:val="both"/>
        <w:rPr>
          <w:rFonts w:ascii="Times New Roman" w:hAnsi="Times New Roman" w:cs="Times New Roman"/>
          <w:sz w:val="24"/>
          <w:szCs w:val="24"/>
          <w:lang w:val="fr-CA"/>
        </w:rPr>
      </w:pPr>
      <w:proofErr w:type="spellStart"/>
      <w:r w:rsidRPr="003C0EC9">
        <w:rPr>
          <w:rFonts w:ascii="Times New Roman" w:hAnsi="Times New Roman" w:cs="Times New Roman"/>
          <w:sz w:val="24"/>
          <w:szCs w:val="24"/>
          <w:lang w:val="fr-CA"/>
        </w:rPr>
        <w:t>Fecal</w:t>
      </w:r>
      <w:proofErr w:type="spellEnd"/>
      <w:r w:rsidRPr="003C0EC9">
        <w:rPr>
          <w:rFonts w:ascii="Times New Roman" w:hAnsi="Times New Roman" w:cs="Times New Roman"/>
          <w:sz w:val="24"/>
          <w:szCs w:val="24"/>
          <w:lang w:val="fr-CA"/>
        </w:rPr>
        <w:t xml:space="preserve"> </w:t>
      </w:r>
      <w:proofErr w:type="spellStart"/>
      <w:r w:rsidRPr="003C0EC9">
        <w:rPr>
          <w:rFonts w:ascii="Times New Roman" w:hAnsi="Times New Roman" w:cs="Times New Roman"/>
          <w:sz w:val="24"/>
          <w:szCs w:val="24"/>
          <w:lang w:val="fr-CA"/>
        </w:rPr>
        <w:t>coliforms</w:t>
      </w:r>
      <w:proofErr w:type="spellEnd"/>
      <w:r w:rsidRPr="003C0EC9">
        <w:rPr>
          <w:rFonts w:ascii="Times New Roman" w:hAnsi="Times New Roman" w:cs="Times New Roman"/>
          <w:sz w:val="24"/>
          <w:szCs w:val="24"/>
          <w:lang w:val="fr-CA"/>
        </w:rPr>
        <w:t>: membrane filtration technique (APHA 9222 D)</w:t>
      </w:r>
    </w:p>
    <w:p w14:paraId="32F899E9" w14:textId="77777777" w:rsidR="00BC71DF" w:rsidRDefault="0042290D">
      <w:r>
        <w:rPr>
          <w:b/>
        </w:rPr>
        <w:t>Plant Performance Monitoring</w:t>
      </w:r>
    </w:p>
    <w:p w14:paraId="06355AB0"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Plant growth parameters were measured monthly for 15 randomly selected plants per wetland unit:</w:t>
      </w:r>
    </w:p>
    <w:p w14:paraId="47E4B9A6"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Plant height: measured from substrate surface to the highest leaf tip</w:t>
      </w:r>
    </w:p>
    <w:p w14:paraId="2CB2F97C"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Stem diameter: measured at 5 cm above substrate surface using digital calipers</w:t>
      </w:r>
    </w:p>
    <w:p w14:paraId="6919DE44"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t>Leaf count: total number of living leaves per plant</w:t>
      </w:r>
    </w:p>
    <w:p w14:paraId="2070B6D7" w14:textId="77777777" w:rsidR="00BC71DF" w:rsidRPr="00F829E1" w:rsidRDefault="0042290D" w:rsidP="00F829E1">
      <w:pPr>
        <w:pStyle w:val="ListBullet"/>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Biomass production: aboveground biomass harvested at the end of the study, dried at 70°C for 48 hours, and weighed</w:t>
      </w:r>
    </w:p>
    <w:p w14:paraId="1F230B4F"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Tissue samples from roots and shoots were collected at the study conclusion for nutrient content analysis (N, P, K) using standard digestion and spectrophotometric methods.</w:t>
      </w:r>
    </w:p>
    <w:p w14:paraId="1E7587D4" w14:textId="77777777" w:rsidR="00BC71DF" w:rsidRDefault="0042290D">
      <w:r>
        <w:rPr>
          <w:b/>
        </w:rPr>
        <w:t>Statistical Analysis</w:t>
      </w:r>
    </w:p>
    <w:p w14:paraId="1DE8975A" w14:textId="31E2300C"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Data were analyzed using SPSS version 26.0 (IBM Corp., Armonk, NY). Removal efficiencies were calculated as</w:t>
      </w:r>
      <w:r w:rsidR="003C0EC9">
        <w:rPr>
          <w:rFonts w:ascii="Times New Roman" w:hAnsi="Times New Roman" w:cs="Times New Roman"/>
          <w:sz w:val="24"/>
          <w:szCs w:val="24"/>
        </w:rPr>
        <w:t xml:space="preserve"> </w:t>
      </w:r>
      <w:r w:rsidR="003C0EC9">
        <w:rPr>
          <w:rFonts w:ascii="Times New Roman" w:hAnsi="Times New Roman" w:cs="Times New Roman"/>
          <w:color w:val="FF0000"/>
          <w:sz w:val="24"/>
          <w:szCs w:val="24"/>
        </w:rPr>
        <w:t>Equation 1</w:t>
      </w:r>
      <w:r>
        <w:rPr>
          <w:rFonts w:ascii="Times New Roman" w:hAnsi="Times New Roman" w:cs="Times New Roman"/>
          <w:sz w:val="24"/>
          <w:szCs w:val="24"/>
        </w:rPr>
        <w:t>:</w:t>
      </w:r>
    </w:p>
    <w:p w14:paraId="7F03082C" w14:textId="3F6D7116" w:rsidR="00BC71DF" w:rsidRPr="003C0EC9" w:rsidRDefault="0042290D" w:rsidP="00F829E1">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Removal efficiency (%) = [(</w:t>
      </w:r>
      <w:proofErr w:type="spellStart"/>
      <w:r>
        <w:rPr>
          <w:rFonts w:ascii="Times New Roman" w:hAnsi="Times New Roman" w:cs="Times New Roman"/>
          <w:sz w:val="24"/>
          <w:szCs w:val="24"/>
        </w:rPr>
        <w:t>Cin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Cout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Cin</w:t>
      </w:r>
      <w:proofErr w:type="spellEnd"/>
      <w:r>
        <w:rPr>
          <w:rFonts w:ascii="Times New Roman" w:hAnsi="Times New Roman" w:cs="Times New Roman"/>
          <w:sz w:val="24"/>
          <w:szCs w:val="24"/>
        </w:rPr>
        <w:t>] × 100</w:t>
      </w:r>
      <w:r w:rsidR="003C0EC9">
        <w:rPr>
          <w:rFonts w:ascii="Times New Roman" w:hAnsi="Times New Roman" w:cs="Times New Roman"/>
          <w:sz w:val="24"/>
          <w:szCs w:val="24"/>
        </w:rPr>
        <w:tab/>
      </w:r>
      <w:r w:rsidR="003C0EC9">
        <w:rPr>
          <w:rFonts w:ascii="Times New Roman" w:hAnsi="Times New Roman" w:cs="Times New Roman"/>
          <w:sz w:val="24"/>
          <w:szCs w:val="24"/>
        </w:rPr>
        <w:tab/>
      </w:r>
      <w:r w:rsidR="003C0EC9">
        <w:rPr>
          <w:rFonts w:ascii="Times New Roman" w:hAnsi="Times New Roman" w:cs="Times New Roman"/>
          <w:sz w:val="24"/>
          <w:szCs w:val="24"/>
        </w:rPr>
        <w:tab/>
      </w:r>
      <w:r w:rsidR="003C0EC9">
        <w:rPr>
          <w:rFonts w:ascii="Times New Roman" w:hAnsi="Times New Roman" w:cs="Times New Roman"/>
          <w:sz w:val="24"/>
          <w:szCs w:val="24"/>
        </w:rPr>
        <w:tab/>
      </w:r>
      <w:r w:rsidR="003C0EC9">
        <w:rPr>
          <w:rFonts w:ascii="Times New Roman" w:hAnsi="Times New Roman" w:cs="Times New Roman"/>
          <w:color w:val="FF0000"/>
          <w:sz w:val="24"/>
          <w:szCs w:val="24"/>
        </w:rPr>
        <w:t>(Eq.1)</w:t>
      </w:r>
    </w:p>
    <w:p w14:paraId="325D6DD5"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where Cin and Cout represent influent and effluent concentrations, respectively.</w:t>
      </w:r>
    </w:p>
    <w:p w14:paraId="454B42F2"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One-way analysis of variance (ANOVA) was performed to compare treatment efficiencies among different macrophyte species and control units, followed by Tukey's HSD post-hoc test for multiple comparisons. Pearson correlation analysis was used to examine relationships between plant growth parameters and pollutant removal rates. Statistical significance was set at p &lt; 0.05.</w:t>
      </w:r>
    </w:p>
    <w:p w14:paraId="73540B16" w14:textId="77777777" w:rsidR="00BC71DF" w:rsidRPr="00F829E1" w:rsidRDefault="0042290D" w:rsidP="00F829E1">
      <w:pPr>
        <w:jc w:val="both"/>
        <w:rPr>
          <w:b/>
          <w:bCs/>
        </w:rPr>
      </w:pPr>
      <w:r>
        <w:rPr>
          <w:b/>
          <w:bCs/>
        </w:rPr>
        <w:t>Results</w:t>
      </w:r>
    </w:p>
    <w:p w14:paraId="7A3A4EA3" w14:textId="77777777" w:rsidR="00BC71DF" w:rsidRDefault="0042290D">
      <w:r>
        <w:rPr>
          <w:b/>
        </w:rPr>
        <w:t>Water Quality Parameters and Removal Efficiency</w:t>
      </w:r>
    </w:p>
    <w:p w14:paraId="29E7C8F7" w14:textId="77777777" w:rsidR="00BC71DF" w:rsidRDefault="0042290D" w:rsidP="00F829E1">
      <w:pPr>
        <w:spacing w:line="360" w:lineRule="auto"/>
        <w:jc w:val="both"/>
      </w:pPr>
      <w:r>
        <w:t>The pilot-scale constructed wetlands demonstrated substantial removal of organic matter, nutrients, and fecal coliforms throughout the study period. Table 1 presents the mean influent and effluent concentrations along with removal efficiencies for different macrophyte treatments.</w:t>
      </w:r>
    </w:p>
    <w:p w14:paraId="2B196B1D" w14:textId="77777777" w:rsidR="00537865" w:rsidRDefault="00537865">
      <w:pPr>
        <w:rPr>
          <w:b/>
        </w:rPr>
      </w:pPr>
      <w:r>
        <w:rPr>
          <w:b/>
        </w:rPr>
        <w:br w:type="page"/>
      </w:r>
    </w:p>
    <w:p w14:paraId="3C15680C" w14:textId="0AC10CEC" w:rsidR="00BC71DF" w:rsidRDefault="0042290D">
      <w:r>
        <w:rPr>
          <w:b/>
        </w:rPr>
        <w:lastRenderedPageBreak/>
        <w:t>Table 1</w:t>
      </w:r>
    </w:p>
    <w:p w14:paraId="1C4576AB"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Mean Water Quality Parameters and Removal Efficiencies in Constructed Wetlands</w:t>
      </w:r>
    </w:p>
    <w:tbl>
      <w:tblPr>
        <w:tblStyle w:val="TableGrid"/>
        <w:tblW w:w="0" w:type="auto"/>
        <w:tblLook w:val="04A0" w:firstRow="1" w:lastRow="0" w:firstColumn="1" w:lastColumn="0" w:noHBand="0" w:noVBand="1"/>
      </w:tblPr>
      <w:tblGrid>
        <w:gridCol w:w="1578"/>
        <w:gridCol w:w="1551"/>
        <w:gridCol w:w="1555"/>
        <w:gridCol w:w="1555"/>
        <w:gridCol w:w="1556"/>
        <w:gridCol w:w="1555"/>
      </w:tblGrid>
      <w:tr w:rsidR="00BC71DF" w:rsidRPr="00F829E1" w14:paraId="7F0F48E6" w14:textId="77777777">
        <w:tc>
          <w:tcPr>
            <w:tcW w:w="1560" w:type="dxa"/>
          </w:tcPr>
          <w:p w14:paraId="2FE63D96"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Parameter</w:t>
            </w:r>
          </w:p>
        </w:tc>
        <w:tc>
          <w:tcPr>
            <w:tcW w:w="1560" w:type="dxa"/>
          </w:tcPr>
          <w:p w14:paraId="2ED57790"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Influent</w:t>
            </w:r>
          </w:p>
        </w:tc>
        <w:tc>
          <w:tcPr>
            <w:tcW w:w="1560" w:type="dxa"/>
          </w:tcPr>
          <w:p w14:paraId="4E58A182"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T. latifolia</w:t>
            </w:r>
            <w:r>
              <w:rPr>
                <w:rFonts w:ascii="Times New Roman" w:hAnsi="Times New Roman" w:cs="Times New Roman"/>
                <w:sz w:val="24"/>
                <w:szCs w:val="24"/>
              </w:rPr>
              <w:br/>
              <w:t>Effluent (% Removal)</w:t>
            </w:r>
          </w:p>
        </w:tc>
        <w:tc>
          <w:tcPr>
            <w:tcW w:w="1560" w:type="dxa"/>
          </w:tcPr>
          <w:p w14:paraId="3938DC08"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P. australis</w:t>
            </w:r>
            <w:r>
              <w:rPr>
                <w:rFonts w:ascii="Times New Roman" w:hAnsi="Times New Roman" w:cs="Times New Roman"/>
                <w:sz w:val="24"/>
                <w:szCs w:val="24"/>
              </w:rPr>
              <w:br/>
              <w:t>Effluent (% Removal)</w:t>
            </w:r>
          </w:p>
        </w:tc>
        <w:tc>
          <w:tcPr>
            <w:tcW w:w="1560" w:type="dxa"/>
          </w:tcPr>
          <w:p w14:paraId="555DF6A5"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C. indica</w:t>
            </w:r>
            <w:r>
              <w:rPr>
                <w:rFonts w:ascii="Times New Roman" w:hAnsi="Times New Roman" w:cs="Times New Roman"/>
                <w:sz w:val="24"/>
                <w:szCs w:val="24"/>
              </w:rPr>
              <w:br/>
              <w:t>Effluent (% Removal)</w:t>
            </w:r>
          </w:p>
        </w:tc>
        <w:tc>
          <w:tcPr>
            <w:tcW w:w="1560" w:type="dxa"/>
          </w:tcPr>
          <w:p w14:paraId="10CC0CAF"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Control</w:t>
            </w:r>
            <w:r>
              <w:rPr>
                <w:rFonts w:ascii="Times New Roman" w:hAnsi="Times New Roman" w:cs="Times New Roman"/>
                <w:sz w:val="24"/>
                <w:szCs w:val="24"/>
              </w:rPr>
              <w:br/>
              <w:t>Effluent (% Removal)</w:t>
            </w:r>
          </w:p>
        </w:tc>
      </w:tr>
      <w:tr w:rsidR="00BC71DF" w:rsidRPr="00F829E1" w14:paraId="031CD4A1" w14:textId="77777777">
        <w:tc>
          <w:tcPr>
            <w:tcW w:w="1560" w:type="dxa"/>
          </w:tcPr>
          <w:p w14:paraId="086C89A8"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BOD (mg/L)</w:t>
            </w:r>
          </w:p>
        </w:tc>
        <w:tc>
          <w:tcPr>
            <w:tcW w:w="1560" w:type="dxa"/>
          </w:tcPr>
          <w:p w14:paraId="46E9AD4D"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208 ± 28</w:t>
            </w:r>
          </w:p>
        </w:tc>
        <w:tc>
          <w:tcPr>
            <w:tcW w:w="1560" w:type="dxa"/>
          </w:tcPr>
          <w:p w14:paraId="0DAA3074"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23 ± 6 (89.0 ± 2.3)ᵃ</w:t>
            </w:r>
          </w:p>
        </w:tc>
        <w:tc>
          <w:tcPr>
            <w:tcW w:w="1560" w:type="dxa"/>
          </w:tcPr>
          <w:p w14:paraId="55117E92"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28 ± 7 (86.5 ± 2.8)ᵃᵇ</w:t>
            </w:r>
          </w:p>
        </w:tc>
        <w:tc>
          <w:tcPr>
            <w:tcW w:w="1560" w:type="dxa"/>
          </w:tcPr>
          <w:p w14:paraId="1B319C3B"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37 ± 9 (82.2 ± 3.1)ᵇ</w:t>
            </w:r>
          </w:p>
        </w:tc>
        <w:tc>
          <w:tcPr>
            <w:tcW w:w="1560" w:type="dxa"/>
          </w:tcPr>
          <w:p w14:paraId="59433A34"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58 ± 12 (72.1 ± 4.2)ᶜ</w:t>
            </w:r>
          </w:p>
        </w:tc>
      </w:tr>
      <w:tr w:rsidR="00BC71DF" w:rsidRPr="00F829E1" w14:paraId="666EF159" w14:textId="77777777">
        <w:tc>
          <w:tcPr>
            <w:tcW w:w="1560" w:type="dxa"/>
          </w:tcPr>
          <w:p w14:paraId="0415E202"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COD (mg/L)</w:t>
            </w:r>
          </w:p>
        </w:tc>
        <w:tc>
          <w:tcPr>
            <w:tcW w:w="1560" w:type="dxa"/>
          </w:tcPr>
          <w:p w14:paraId="568C1F13"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384 ± 52</w:t>
            </w:r>
          </w:p>
        </w:tc>
        <w:tc>
          <w:tcPr>
            <w:tcW w:w="1560" w:type="dxa"/>
          </w:tcPr>
          <w:p w14:paraId="5890FD26"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62 ± 14 (83.9 ± 2.6)ᵃ</w:t>
            </w:r>
          </w:p>
        </w:tc>
        <w:tc>
          <w:tcPr>
            <w:tcW w:w="1560" w:type="dxa"/>
          </w:tcPr>
          <w:p w14:paraId="4D4C82E1"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71 ± 16 (81.5 ± 3.2)ᵃᵇ</w:t>
            </w:r>
          </w:p>
        </w:tc>
        <w:tc>
          <w:tcPr>
            <w:tcW w:w="1560" w:type="dxa"/>
          </w:tcPr>
          <w:p w14:paraId="0B45D70B"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92 ± 18 (76.0 ± 3.7)ᵇ</w:t>
            </w:r>
          </w:p>
        </w:tc>
        <w:tc>
          <w:tcPr>
            <w:tcW w:w="1560" w:type="dxa"/>
          </w:tcPr>
          <w:p w14:paraId="11578AA7"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124 ± 24 (67.7 ± 4.5)ᶜ</w:t>
            </w:r>
          </w:p>
        </w:tc>
      </w:tr>
      <w:tr w:rsidR="00BC71DF" w:rsidRPr="00F829E1" w14:paraId="741820E1" w14:textId="77777777">
        <w:tc>
          <w:tcPr>
            <w:tcW w:w="1560" w:type="dxa"/>
          </w:tcPr>
          <w:p w14:paraId="492DC484"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TSS (mg/L)</w:t>
            </w:r>
          </w:p>
        </w:tc>
        <w:tc>
          <w:tcPr>
            <w:tcW w:w="1560" w:type="dxa"/>
          </w:tcPr>
          <w:p w14:paraId="7BD8C5FB"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186 ± 34</w:t>
            </w:r>
          </w:p>
        </w:tc>
        <w:tc>
          <w:tcPr>
            <w:tcW w:w="1560" w:type="dxa"/>
          </w:tcPr>
          <w:p w14:paraId="463019B5"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15 ± 5 (91.9 ± 2.1)ᵃ</w:t>
            </w:r>
          </w:p>
        </w:tc>
        <w:tc>
          <w:tcPr>
            <w:tcW w:w="1560" w:type="dxa"/>
          </w:tcPr>
          <w:p w14:paraId="3E570168"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18 ± 6 (90.3 ± 2.4)ᵃ</w:t>
            </w:r>
          </w:p>
        </w:tc>
        <w:tc>
          <w:tcPr>
            <w:tcW w:w="1560" w:type="dxa"/>
          </w:tcPr>
          <w:p w14:paraId="2ADDC5A7"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28 ± 8 (84.9 ± 3.0)ᵇ</w:t>
            </w:r>
          </w:p>
        </w:tc>
        <w:tc>
          <w:tcPr>
            <w:tcW w:w="1560" w:type="dxa"/>
          </w:tcPr>
          <w:p w14:paraId="18F46D77"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42 ± 11 (77.4 ± 4.1)ᶜ</w:t>
            </w:r>
          </w:p>
        </w:tc>
      </w:tr>
      <w:tr w:rsidR="00BC71DF" w:rsidRPr="00F829E1" w14:paraId="388BA102" w14:textId="77777777">
        <w:tc>
          <w:tcPr>
            <w:tcW w:w="1560" w:type="dxa"/>
          </w:tcPr>
          <w:p w14:paraId="5CB24FD9"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TN (mg/L)</w:t>
            </w:r>
          </w:p>
        </w:tc>
        <w:tc>
          <w:tcPr>
            <w:tcW w:w="1560" w:type="dxa"/>
          </w:tcPr>
          <w:p w14:paraId="3FAE1844"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42 ± 7</w:t>
            </w:r>
          </w:p>
        </w:tc>
        <w:tc>
          <w:tcPr>
            <w:tcW w:w="1560" w:type="dxa"/>
          </w:tcPr>
          <w:p w14:paraId="14E5B9C7"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11 ± 3 (73.8 ± 3.4)ᵃ</w:t>
            </w:r>
          </w:p>
        </w:tc>
        <w:tc>
          <w:tcPr>
            <w:tcW w:w="1560" w:type="dxa"/>
          </w:tcPr>
          <w:p w14:paraId="4C14CF4C"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12 ± 3 (71.4 ± 3.8)ᵃ</w:t>
            </w:r>
          </w:p>
        </w:tc>
        <w:tc>
          <w:tcPr>
            <w:tcW w:w="1560" w:type="dxa"/>
          </w:tcPr>
          <w:p w14:paraId="556185CD"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14 ± 4 (66.7 ± 4.2)ᵇ</w:t>
            </w:r>
          </w:p>
        </w:tc>
        <w:tc>
          <w:tcPr>
            <w:tcW w:w="1560" w:type="dxa"/>
          </w:tcPr>
          <w:p w14:paraId="1956F898"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18 ± 5 (57.1 ± 5.1)ᶜ</w:t>
            </w:r>
          </w:p>
        </w:tc>
      </w:tr>
      <w:tr w:rsidR="00BC71DF" w:rsidRPr="00F829E1" w14:paraId="6EA67885" w14:textId="77777777">
        <w:tc>
          <w:tcPr>
            <w:tcW w:w="1560" w:type="dxa"/>
          </w:tcPr>
          <w:p w14:paraId="5FAC8FA2"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TP (mg/L)</w:t>
            </w:r>
          </w:p>
        </w:tc>
        <w:tc>
          <w:tcPr>
            <w:tcW w:w="1560" w:type="dxa"/>
          </w:tcPr>
          <w:p w14:paraId="7A0F25BF"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9.8 ± 1.6</w:t>
            </w:r>
          </w:p>
        </w:tc>
        <w:tc>
          <w:tcPr>
            <w:tcW w:w="1560" w:type="dxa"/>
          </w:tcPr>
          <w:p w14:paraId="3227FFCE"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2.1 ± 0.6 (78.6 ± 3.2)ᵃ</w:t>
            </w:r>
          </w:p>
        </w:tc>
        <w:tc>
          <w:tcPr>
            <w:tcW w:w="1560" w:type="dxa"/>
          </w:tcPr>
          <w:p w14:paraId="438D5F92"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2.4 ± 0.7 (75.5 ± 3.6)ᵃᵇ</w:t>
            </w:r>
          </w:p>
        </w:tc>
        <w:tc>
          <w:tcPr>
            <w:tcW w:w="1560" w:type="dxa"/>
          </w:tcPr>
          <w:p w14:paraId="219846CC"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2.8 ± 0.8 (71.4 ± 4.0)ᵇ</w:t>
            </w:r>
          </w:p>
        </w:tc>
        <w:tc>
          <w:tcPr>
            <w:tcW w:w="1560" w:type="dxa"/>
          </w:tcPr>
          <w:p w14:paraId="69E0C305"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3.6 ± 0.9 (63.3 ± 4.8)ᶜ</w:t>
            </w:r>
          </w:p>
        </w:tc>
      </w:tr>
      <w:tr w:rsidR="00BC71DF" w:rsidRPr="00F829E1" w14:paraId="182F7319" w14:textId="77777777">
        <w:tc>
          <w:tcPr>
            <w:tcW w:w="1560" w:type="dxa"/>
          </w:tcPr>
          <w:p w14:paraId="036A8121"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Fecal coliforms</w:t>
            </w:r>
            <w:r>
              <w:rPr>
                <w:rFonts w:ascii="Times New Roman" w:hAnsi="Times New Roman" w:cs="Times New Roman"/>
                <w:sz w:val="24"/>
                <w:szCs w:val="24"/>
              </w:rPr>
              <w:br/>
              <w:t>(log MPN/100mL)</w:t>
            </w:r>
          </w:p>
        </w:tc>
        <w:tc>
          <w:tcPr>
            <w:tcW w:w="1560" w:type="dxa"/>
          </w:tcPr>
          <w:p w14:paraId="27E87760"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6.2 ± 0.4</w:t>
            </w:r>
          </w:p>
        </w:tc>
        <w:tc>
          <w:tcPr>
            <w:tcW w:w="1560" w:type="dxa"/>
          </w:tcPr>
          <w:p w14:paraId="1C38740C"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2.8 ± 0.5</w:t>
            </w:r>
            <w:r>
              <w:rPr>
                <w:rFonts w:ascii="Times New Roman" w:hAnsi="Times New Roman" w:cs="Times New Roman"/>
                <w:sz w:val="24"/>
                <w:szCs w:val="24"/>
              </w:rPr>
              <w:br/>
              <w:t>(3.4 log reduction)ᵃ</w:t>
            </w:r>
          </w:p>
        </w:tc>
        <w:tc>
          <w:tcPr>
            <w:tcW w:w="1560" w:type="dxa"/>
          </w:tcPr>
          <w:p w14:paraId="3CC89F7D"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3.0 ± 0.5</w:t>
            </w:r>
            <w:r>
              <w:rPr>
                <w:rFonts w:ascii="Times New Roman" w:hAnsi="Times New Roman" w:cs="Times New Roman"/>
                <w:sz w:val="24"/>
                <w:szCs w:val="24"/>
              </w:rPr>
              <w:br/>
              <w:t>(3.2 log reduction)ᵃ</w:t>
            </w:r>
          </w:p>
        </w:tc>
        <w:tc>
          <w:tcPr>
            <w:tcW w:w="1560" w:type="dxa"/>
          </w:tcPr>
          <w:p w14:paraId="779B61E9"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3.3 ± 0.6</w:t>
            </w:r>
            <w:r>
              <w:rPr>
                <w:rFonts w:ascii="Times New Roman" w:hAnsi="Times New Roman" w:cs="Times New Roman"/>
                <w:sz w:val="24"/>
                <w:szCs w:val="24"/>
              </w:rPr>
              <w:br/>
              <w:t>(2.9 log reduction)ᵇ</w:t>
            </w:r>
          </w:p>
        </w:tc>
        <w:tc>
          <w:tcPr>
            <w:tcW w:w="1560" w:type="dxa"/>
          </w:tcPr>
          <w:p w14:paraId="1F08303E" w14:textId="77777777" w:rsidR="00BC71DF" w:rsidRPr="00F829E1" w:rsidRDefault="0042290D">
            <w:pPr>
              <w:rPr>
                <w:rFonts w:ascii="Times New Roman" w:hAnsi="Times New Roman" w:cs="Times New Roman"/>
                <w:sz w:val="24"/>
                <w:szCs w:val="24"/>
              </w:rPr>
            </w:pPr>
            <w:r>
              <w:rPr>
                <w:rFonts w:ascii="Times New Roman" w:hAnsi="Times New Roman" w:cs="Times New Roman"/>
                <w:sz w:val="24"/>
                <w:szCs w:val="24"/>
              </w:rPr>
              <w:t>4.1 ± 0.7</w:t>
            </w:r>
            <w:r>
              <w:rPr>
                <w:rFonts w:ascii="Times New Roman" w:hAnsi="Times New Roman" w:cs="Times New Roman"/>
                <w:sz w:val="24"/>
                <w:szCs w:val="24"/>
              </w:rPr>
              <w:br/>
              <w:t>(2.1 log reduction)ᶜ</w:t>
            </w:r>
          </w:p>
        </w:tc>
      </w:tr>
    </w:tbl>
    <w:p w14:paraId="6F5F3EE0"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Note. </w:t>
      </w:r>
      <w:r>
        <w:rPr>
          <w:rFonts w:ascii="Times New Roman" w:hAnsi="Times New Roman" w:cs="Times New Roman"/>
          <w:sz w:val="24"/>
          <w:szCs w:val="24"/>
        </w:rPr>
        <w:t>Values represent means ± standard deviation (n = 12 sampling events × 3 replicates). Different superscript letters indicate statistically significant differences (p &lt; 0.05) among treatments based on Tukey's HSD test.</w:t>
      </w:r>
    </w:p>
    <w:p w14:paraId="33FC0B71"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b/>
          <w:sz w:val="24"/>
          <w:szCs w:val="24"/>
        </w:rPr>
        <w:t>Organic Matter Removal</w:t>
      </w:r>
    </w:p>
    <w:p w14:paraId="674FAF76"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vegetated wetlands achieved high removal rates for both BOD and COD. </w:t>
      </w:r>
      <w:r>
        <w:rPr>
          <w:rFonts w:ascii="Times New Roman" w:hAnsi="Times New Roman" w:cs="Times New Roman"/>
          <w:i/>
          <w:sz w:val="24"/>
          <w:szCs w:val="24"/>
        </w:rPr>
        <w:t>Typha latifolia</w:t>
      </w:r>
      <w:r>
        <w:rPr>
          <w:rFonts w:ascii="Times New Roman" w:hAnsi="Times New Roman" w:cs="Times New Roman"/>
          <w:sz w:val="24"/>
          <w:szCs w:val="24"/>
        </w:rPr>
        <w:t xml:space="preserve"> systems demonstrated the highest BOD removal efficiency (89.0 ± 2.3%), significantly outperforming control units (72.1 ± 4.2%, p &lt; 0.001). The removal efficiency followed the order: </w:t>
      </w:r>
      <w:r>
        <w:rPr>
          <w:rFonts w:ascii="Times New Roman" w:hAnsi="Times New Roman" w:cs="Times New Roman"/>
          <w:i/>
          <w:sz w:val="24"/>
          <w:szCs w:val="24"/>
        </w:rPr>
        <w:t>T. latifolia</w:t>
      </w:r>
      <w:r>
        <w:rPr>
          <w:rFonts w:ascii="Times New Roman" w:hAnsi="Times New Roman" w:cs="Times New Roman"/>
          <w:sz w:val="24"/>
          <w:szCs w:val="24"/>
        </w:rPr>
        <w:t xml:space="preserve"> &gt; </w:t>
      </w:r>
      <w:r>
        <w:rPr>
          <w:rFonts w:ascii="Times New Roman" w:hAnsi="Times New Roman" w:cs="Times New Roman"/>
          <w:i/>
          <w:sz w:val="24"/>
          <w:szCs w:val="24"/>
        </w:rPr>
        <w:t>P. australis</w:t>
      </w:r>
      <w:r>
        <w:rPr>
          <w:rFonts w:ascii="Times New Roman" w:hAnsi="Times New Roman" w:cs="Times New Roman"/>
          <w:sz w:val="24"/>
          <w:szCs w:val="24"/>
        </w:rPr>
        <w:t xml:space="preserve"> &gt; </w:t>
      </w:r>
      <w:r>
        <w:rPr>
          <w:rFonts w:ascii="Times New Roman" w:hAnsi="Times New Roman" w:cs="Times New Roman"/>
          <w:i/>
          <w:sz w:val="24"/>
          <w:szCs w:val="24"/>
        </w:rPr>
        <w:t>C. indica</w:t>
      </w:r>
      <w:r>
        <w:rPr>
          <w:rFonts w:ascii="Times New Roman" w:hAnsi="Times New Roman" w:cs="Times New Roman"/>
          <w:sz w:val="24"/>
          <w:szCs w:val="24"/>
        </w:rPr>
        <w:t xml:space="preserve"> &gt; Control. Similar trends were observed for COD removal, with </w:t>
      </w:r>
      <w:r>
        <w:rPr>
          <w:rFonts w:ascii="Times New Roman" w:hAnsi="Times New Roman" w:cs="Times New Roman"/>
          <w:i/>
          <w:sz w:val="24"/>
          <w:szCs w:val="24"/>
        </w:rPr>
        <w:t>T. latifolia</w:t>
      </w:r>
      <w:r>
        <w:rPr>
          <w:rFonts w:ascii="Times New Roman" w:hAnsi="Times New Roman" w:cs="Times New Roman"/>
          <w:sz w:val="24"/>
          <w:szCs w:val="24"/>
        </w:rPr>
        <w:t xml:space="preserve"> achieving 83.9% removal compared to 67.7% in unvegetated controls.</w:t>
      </w:r>
    </w:p>
    <w:p w14:paraId="770B31A8"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b/>
          <w:sz w:val="24"/>
          <w:szCs w:val="24"/>
        </w:rPr>
        <w:t>Suspended Solids Removal</w:t>
      </w:r>
    </w:p>
    <w:p w14:paraId="037CFA8A"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TSS removal was highly efficient across all treatments, with vegetated systems achieving 85-92% removal. Both </w:t>
      </w:r>
      <w:r>
        <w:rPr>
          <w:rFonts w:ascii="Times New Roman" w:hAnsi="Times New Roman" w:cs="Times New Roman"/>
          <w:i/>
          <w:sz w:val="24"/>
          <w:szCs w:val="24"/>
        </w:rPr>
        <w:t>T. latifolia</w:t>
      </w:r>
      <w:r>
        <w:rPr>
          <w:rFonts w:ascii="Times New Roman" w:hAnsi="Times New Roman" w:cs="Times New Roman"/>
          <w:sz w:val="24"/>
          <w:szCs w:val="24"/>
        </w:rPr>
        <w:t xml:space="preserve"> and </w:t>
      </w:r>
      <w:r>
        <w:rPr>
          <w:rFonts w:ascii="Times New Roman" w:hAnsi="Times New Roman" w:cs="Times New Roman"/>
          <w:i/>
          <w:sz w:val="24"/>
          <w:szCs w:val="24"/>
        </w:rPr>
        <w:t>P. australis</w:t>
      </w:r>
      <w:r>
        <w:rPr>
          <w:rFonts w:ascii="Times New Roman" w:hAnsi="Times New Roman" w:cs="Times New Roman"/>
          <w:sz w:val="24"/>
          <w:szCs w:val="24"/>
        </w:rPr>
        <w:t xml:space="preserve"> performed comparably (91.9% and 90.3%, respectively; p &gt; 0.05), significantly exceeding the performance of </w:t>
      </w:r>
      <w:r>
        <w:rPr>
          <w:rFonts w:ascii="Times New Roman" w:hAnsi="Times New Roman" w:cs="Times New Roman"/>
          <w:i/>
          <w:sz w:val="24"/>
          <w:szCs w:val="24"/>
        </w:rPr>
        <w:t>C. indica</w:t>
      </w:r>
      <w:r>
        <w:rPr>
          <w:rFonts w:ascii="Times New Roman" w:hAnsi="Times New Roman" w:cs="Times New Roman"/>
          <w:sz w:val="24"/>
          <w:szCs w:val="24"/>
        </w:rPr>
        <w:t xml:space="preserve"> (84.9%) and control units (77.4%). The physical filtration capacity of the gravel substrate, enhanced by root system development, contributed to effective particle removal.</w:t>
      </w:r>
    </w:p>
    <w:p w14:paraId="6C029555" w14:textId="77777777" w:rsidR="00537865" w:rsidRDefault="00537865">
      <w:pPr>
        <w:rPr>
          <w:rFonts w:ascii="Times New Roman" w:hAnsi="Times New Roman" w:cs="Times New Roman"/>
          <w:b/>
          <w:bCs/>
          <w:sz w:val="24"/>
          <w:szCs w:val="24"/>
        </w:rPr>
      </w:pPr>
      <w:r>
        <w:rPr>
          <w:rFonts w:ascii="Times New Roman" w:hAnsi="Times New Roman" w:cs="Times New Roman"/>
          <w:b/>
          <w:bCs/>
          <w:sz w:val="24"/>
          <w:szCs w:val="24"/>
        </w:rPr>
        <w:br w:type="page"/>
      </w:r>
    </w:p>
    <w:p w14:paraId="6F93D96A" w14:textId="092F05EA" w:rsidR="00BC71DF" w:rsidRPr="00F829E1" w:rsidRDefault="0042290D" w:rsidP="00F829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1608A9A0" w14:textId="77777777" w:rsidR="00BC71DF" w:rsidRPr="00F829E1" w:rsidRDefault="0042290D" w:rsidP="00F829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Treatment Performance and Mechanisms</w:t>
      </w:r>
    </w:p>
    <w:p w14:paraId="65602B2D"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The pilot study demonstrated that macrophyte-based horizontal subsurface flow constructed wetlands can effectively treat domestic sewage, achieving removal efficiencies comparable to or exceeding conventional secondary treatment systems. The observed BOD removal rates (82-89%) align with previous studies reporting 75-95% removal in similar systems (Vymazal, 2011; Wu et al., 2015). The superior performance of vegetated systems compared to unvegetated controls confirms the critical role of macrophytes in enhancing treatment processes.</w:t>
      </w:r>
    </w:p>
    <w:p w14:paraId="35654533"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Multiple synergistic mechanisms contribute to pollutant removal in constructed wetlands. Organic matter degradation occurs primarily through aerobic and anaerobic microbial metabolism (Stottmeister et al., 2003). Macrophytes enhance this process by releasing oxygen through roots, creating oxidized microsites in the otherwise anaerobic substrate where aerobic bacteria can degrade organic compounds (Brix, 1997). The extensive root systems also provide large surface areas for biofilm development, increasing overall microbial activity.</w:t>
      </w:r>
    </w:p>
    <w:p w14:paraId="091C85EE" w14:textId="77777777" w:rsidR="00BC71DF" w:rsidRPr="00F829E1" w:rsidRDefault="0042290D" w:rsidP="00F829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Species-Specific Performance</w:t>
      </w:r>
    </w:p>
    <w:p w14:paraId="264AAB1E"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i/>
          <w:sz w:val="24"/>
          <w:szCs w:val="24"/>
        </w:rPr>
        <w:t>Typha latifolia</w:t>
      </w:r>
      <w:r>
        <w:rPr>
          <w:rFonts w:ascii="Times New Roman" w:hAnsi="Times New Roman" w:cs="Times New Roman"/>
          <w:sz w:val="24"/>
          <w:szCs w:val="24"/>
        </w:rPr>
        <w:t xml:space="preserve"> emerged as the superior species for wastewater treatment in this study, demonstrating highest removal efficiencies for all measured parameters except TSS, where performance was comparable to </w:t>
      </w:r>
      <w:r>
        <w:rPr>
          <w:rFonts w:ascii="Times New Roman" w:hAnsi="Times New Roman" w:cs="Times New Roman"/>
          <w:i/>
          <w:sz w:val="24"/>
          <w:szCs w:val="24"/>
        </w:rPr>
        <w:t>P. australis</w:t>
      </w:r>
      <w:r>
        <w:rPr>
          <w:rFonts w:ascii="Times New Roman" w:hAnsi="Times New Roman" w:cs="Times New Roman"/>
          <w:sz w:val="24"/>
          <w:szCs w:val="24"/>
        </w:rPr>
        <w:t xml:space="preserve">. Several factors contribute to </w:t>
      </w:r>
      <w:r>
        <w:rPr>
          <w:rFonts w:ascii="Times New Roman" w:hAnsi="Times New Roman" w:cs="Times New Roman"/>
          <w:i/>
          <w:sz w:val="24"/>
          <w:szCs w:val="24"/>
        </w:rPr>
        <w:t>T. latifolia</w:t>
      </w:r>
      <w:r>
        <w:rPr>
          <w:rFonts w:ascii="Times New Roman" w:hAnsi="Times New Roman" w:cs="Times New Roman"/>
          <w:sz w:val="24"/>
          <w:szCs w:val="24"/>
        </w:rPr>
        <w:t>'s enhanced performance. First, its vigorous growth and high biomass production (4.73 kg/m²) indicate robust metabolic activity and nutrient uptake capacity. Second, Typha species are characterized by well-developed aerenchyma tissue facilitating efficient oxygen transport to roots, thereby enhancing rhizosphere oxidation and supporting aerobic microbial processes (Brix, 1997).</w:t>
      </w:r>
    </w:p>
    <w:p w14:paraId="19936575" w14:textId="77777777" w:rsidR="00BC71DF" w:rsidRPr="00F829E1" w:rsidRDefault="0042290D" w:rsidP="00F829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6A7FEE3"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pilot study demonstrates that macrophyte-based horizontal subsurface flow constructed wetlands provide effective treatment for domestic sewage, achieving substantial removal of organic matter, nutrients, and pathogens. </w:t>
      </w:r>
      <w:r>
        <w:rPr>
          <w:rFonts w:ascii="Times New Roman" w:hAnsi="Times New Roman" w:cs="Times New Roman"/>
          <w:i/>
          <w:sz w:val="24"/>
          <w:szCs w:val="24"/>
        </w:rPr>
        <w:t>Typha latifolia</w:t>
      </w:r>
      <w:r>
        <w:rPr>
          <w:rFonts w:ascii="Times New Roman" w:hAnsi="Times New Roman" w:cs="Times New Roman"/>
          <w:sz w:val="24"/>
          <w:szCs w:val="24"/>
        </w:rPr>
        <w:t xml:space="preserve"> emerged as the optimal species, combining high treatment efficiency with robust growth and biomass production. The superior performance of vegetated systems compared to unvegetated controls confirms the essential role of </w:t>
      </w:r>
      <w:r>
        <w:rPr>
          <w:rFonts w:ascii="Times New Roman" w:hAnsi="Times New Roman" w:cs="Times New Roman"/>
          <w:sz w:val="24"/>
          <w:szCs w:val="24"/>
        </w:rPr>
        <w:lastRenderedPageBreak/>
        <w:t>macrophytes in enhancing treatment through multiple mechanisms including oxygen transfer, nutrient uptake, and biofilm support.</w:t>
      </w:r>
    </w:p>
    <w:p w14:paraId="35EA2BF3" w14:textId="77777777"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supports the feasibility and sustainability of constructed wetlands as decentralized wastewater treatment solutions, particularly for small communities and rural areas lacking conventional infrastructure. These systems offer ecological, economic, and social benefits including low capital and operating costs, minimal energy consumption, simple operation, aesthetic value, and potential for habitat creation. The findings provide valuable baseline data for designing and implementing constructed wetland systems in similar climatic and socioeconomic contexts.</w:t>
      </w:r>
    </w:p>
    <w:p w14:paraId="13B8D4F7" w14:textId="0A0564BE" w:rsidR="00BC71DF" w:rsidRPr="00F829E1" w:rsidRDefault="0042290D" w:rsidP="00F829E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34CED5E2"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American Public Health Association (APHA). (2017). Standard methods for the examination of water and wastewater (23rd ed.). American Public Health Association.</w:t>
      </w:r>
    </w:p>
    <w:p w14:paraId="7DF003E2"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Brix, H. (1997). Do macrophytes play a role in constructed treatment wetlands? Water Science and Technology, 35(5), 11-17. https://doi.org/10.1016/S0273-1223(97)00047-4</w:t>
      </w:r>
    </w:p>
    <w:p w14:paraId="7BD1EB8F"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Greenway, M. (2005). The role of constructed wetlands in secondary effluent treatment and water reuse in subtropical and arid Australia. Ecological Engineering, 25(5), 501-509. https://doi.org/10.1016/j.ecoleng.2005.07.008</w:t>
      </w:r>
    </w:p>
    <w:p w14:paraId="3F46D3E5"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Kadlec, R. H., &amp; Wallace, S. D. (2009). Treatment wetlands (2nd ed.). CRC Press. https://doi.org/10.1201/9781420012514</w:t>
      </w:r>
    </w:p>
    <w:p w14:paraId="1B3BD747"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Kivaisi, A. K. (2001). The potential for constructed wetlands for wastewater treatment and reuse in developing countries: A review. Ecological Engineering, 16(4), 545-560. https://doi.org/10.1016/S0925-8574(00)00113-0</w:t>
      </w:r>
    </w:p>
    <w:p w14:paraId="61BE8586"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Shelef, O., Gross, A., &amp; Rachmilevitch, S. (2013). Role of plants in a constructed wetland: Current and new perspectives. Water, 5(2), 405-419. https://doi.org/10.3390/w5020405</w:t>
      </w:r>
    </w:p>
    <w:p w14:paraId="65155180"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Stottmeister, U., Wießner, A., Kuschk, P., Kappelmeyer, U., Kästner, M., Bederski, O., Müller, R. A., &amp; Moormann, H. (2003). Effects of plants and microorganisms in constructed wetlands for wastewater treatment. Biotechnology Advances, 22(1-2), 93-117. https://doi.org/10.1016/j.biotechadv.2003.08.010</w:t>
      </w:r>
    </w:p>
    <w:p w14:paraId="7DE483F2"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Tanner, C. C. (1996). Plants for constructed wetland treatment systems—A comparison of the growth and nutrient uptake of eight emergent species. Ecological Engineering, 7(1), 59-83. https://doi.org/10.1016/0925-8574(95)00066-6</w:t>
      </w:r>
    </w:p>
    <w:p w14:paraId="42A6E30F"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Vymazal, J. (2007). Removal of nutrients in various types of constructed wetlands. Science of the Total Environment, 380(1-3), 48-65. https://doi.org/10.1016/j.scitotenv.2006.09.014</w:t>
      </w:r>
    </w:p>
    <w:p w14:paraId="176191F1"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Vymazal, J. (2011). Plants used in constructed wetlands with horizontal subsurface flow: A review. Hydrobiologia, 674(1), 133-156. https://doi.org/10.1007/s10750-011-0738-9</w:t>
      </w:r>
    </w:p>
    <w:p w14:paraId="152875B6"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Vymazal, J. (2013). Emergent plants used in free water surface constructed wetlands: A review. Ecological Engineering, 61(Part B), 582-592. https://doi.org/10.1016/j.ecoleng.2013.06.023</w:t>
      </w:r>
    </w:p>
    <w:p w14:paraId="4C389292"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Vymazal, J., &amp; Kröpfelová, L. (2008). Wastewater treatment in constructed wetlands with horizontal sub-surface flow. Springer. https://doi.org/10.1007/978-1-4020-8580-2</w:t>
      </w:r>
    </w:p>
    <w:p w14:paraId="315BC182"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Wu, H., Zhang, J., Ngo, H. H., Guo, W., Hu, Z., Liang, S., Fan, J., &amp; Liu, H. (2015). A review on the sustainability of constructed wetlands for wastewater treatment: Design and operation. Bioresource Technology, 175, 594-601. https://doi.org/10.1016/j.biortech.2014.10.068</w:t>
      </w:r>
    </w:p>
    <w:p w14:paraId="281B633B" w14:textId="77777777" w:rsidR="00BC71DF" w:rsidRPr="00F829E1" w:rsidRDefault="0042290D" w:rsidP="00F829E1">
      <w:pPr>
        <w:ind w:left="720" w:hanging="720"/>
        <w:jc w:val="both"/>
        <w:rPr>
          <w:rFonts w:ascii="Times New Roman" w:hAnsi="Times New Roman" w:cs="Times New Roman"/>
          <w:sz w:val="24"/>
          <w:szCs w:val="24"/>
        </w:rPr>
      </w:pPr>
      <w:r>
        <w:rPr>
          <w:rFonts w:ascii="Times New Roman" w:hAnsi="Times New Roman" w:cs="Times New Roman"/>
          <w:sz w:val="24"/>
          <w:szCs w:val="24"/>
        </w:rPr>
        <w:t>Zhang, D. Q., Jinadasa, K. B. S. N., Gersberg, R. M., Liu, Y., Ng, W. J., &amp; Tan, S. K. (2014). Application of constructed wetlands for wastewater treatment in developing countries—A review of recent developments (2000-2013). Journal of Environmental Management, 141, 116-131. https://doi.org/10.1016/j.jenvman.2014.03.015</w:t>
      </w:r>
    </w:p>
    <w:sectPr w:rsidR="00BC71DF" w:rsidRPr="00F829E1"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1B1E" w14:textId="77777777" w:rsidR="00E67ADE" w:rsidRDefault="00E67ADE" w:rsidP="00F9024F">
      <w:pPr>
        <w:spacing w:after="0" w:line="240" w:lineRule="auto"/>
      </w:pPr>
      <w:r>
        <w:separator/>
      </w:r>
    </w:p>
  </w:endnote>
  <w:endnote w:type="continuationSeparator" w:id="0">
    <w:p w14:paraId="120DBB1B" w14:textId="77777777" w:rsidR="00E67ADE" w:rsidRDefault="00E67ADE" w:rsidP="00F90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C2F1" w14:textId="77777777" w:rsidR="00F9024F" w:rsidRDefault="00F90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3C5E" w14:textId="77777777" w:rsidR="00F9024F" w:rsidRDefault="00F90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F0B8" w14:textId="77777777" w:rsidR="00F9024F" w:rsidRDefault="00F9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A673" w14:textId="77777777" w:rsidR="00E67ADE" w:rsidRDefault="00E67ADE" w:rsidP="00F9024F">
      <w:pPr>
        <w:spacing w:after="0" w:line="240" w:lineRule="auto"/>
      </w:pPr>
      <w:r>
        <w:separator/>
      </w:r>
    </w:p>
  </w:footnote>
  <w:footnote w:type="continuationSeparator" w:id="0">
    <w:p w14:paraId="3C1FC0DD" w14:textId="77777777" w:rsidR="00E67ADE" w:rsidRDefault="00E67ADE" w:rsidP="00F90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6322" w14:textId="50F02BCF" w:rsidR="00F9024F" w:rsidRDefault="00E67ADE">
    <w:pPr>
      <w:pStyle w:val="Header"/>
    </w:pPr>
    <w:r>
      <w:rPr>
        <w:noProof/>
      </w:rPr>
      <w:pict w14:anchorId="48E33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300626"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C201" w14:textId="469E84A8" w:rsidR="00F9024F" w:rsidRDefault="00E67ADE">
    <w:pPr>
      <w:pStyle w:val="Header"/>
    </w:pPr>
    <w:r>
      <w:rPr>
        <w:noProof/>
      </w:rPr>
      <w:pict w14:anchorId="4409C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300627"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BE3E" w14:textId="5ABAADB1" w:rsidR="00F9024F" w:rsidRDefault="00E67ADE">
    <w:pPr>
      <w:pStyle w:val="Header"/>
    </w:pPr>
    <w:r>
      <w:rPr>
        <w:noProof/>
      </w:rPr>
      <w:pict w14:anchorId="49B5B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4300625"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4CD"/>
    <w:rsid w:val="00034616"/>
    <w:rsid w:val="0006063C"/>
    <w:rsid w:val="0015074B"/>
    <w:rsid w:val="0029639D"/>
    <w:rsid w:val="00326F90"/>
    <w:rsid w:val="00356A80"/>
    <w:rsid w:val="003C0EC9"/>
    <w:rsid w:val="00404BF5"/>
    <w:rsid w:val="0042290D"/>
    <w:rsid w:val="00537865"/>
    <w:rsid w:val="005534BF"/>
    <w:rsid w:val="006313C1"/>
    <w:rsid w:val="007277FF"/>
    <w:rsid w:val="008E32C2"/>
    <w:rsid w:val="00990BF2"/>
    <w:rsid w:val="00AA1D8D"/>
    <w:rsid w:val="00B47730"/>
    <w:rsid w:val="00BC71DF"/>
    <w:rsid w:val="00CB0664"/>
    <w:rsid w:val="00DE3CDB"/>
    <w:rsid w:val="00E67ADE"/>
    <w:rsid w:val="00F53F26"/>
    <w:rsid w:val="00F65FE4"/>
    <w:rsid w:val="00F829E1"/>
    <w:rsid w:val="00F902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BD0C2DF"/>
  <w14:defaultImageDpi w14:val="300"/>
  <w15:docId w15:val="{BC8C63E4-B50A-4D95-9EFE-3B5D61C4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9E1"/>
  </w:style>
  <w:style w:type="paragraph" w:styleId="Heading1">
    <w:name w:val="heading 1"/>
    <w:basedOn w:val="Normal"/>
    <w:next w:val="Normal"/>
    <w:link w:val="Heading1Char"/>
    <w:uiPriority w:val="9"/>
    <w:qFormat/>
    <w:rsid w:val="00F829E1"/>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F829E1"/>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F829E1"/>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F829E1"/>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F829E1"/>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F829E1"/>
    <w:pPr>
      <w:keepNext/>
      <w:keepLines/>
      <w:spacing w:before="40" w:after="0"/>
      <w:outlineLvl w:val="5"/>
    </w:pPr>
  </w:style>
  <w:style w:type="paragraph" w:styleId="Heading7">
    <w:name w:val="heading 7"/>
    <w:basedOn w:val="Normal"/>
    <w:next w:val="Normal"/>
    <w:link w:val="Heading7Char"/>
    <w:uiPriority w:val="9"/>
    <w:semiHidden/>
    <w:unhideWhenUsed/>
    <w:qFormat/>
    <w:rsid w:val="00F829E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829E1"/>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F829E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829E1"/>
    <w:pPr>
      <w:spacing w:after="0" w:line="240" w:lineRule="auto"/>
    </w:pPr>
  </w:style>
  <w:style w:type="character" w:customStyle="1" w:styleId="Heading1Char">
    <w:name w:val="Heading 1 Char"/>
    <w:basedOn w:val="DefaultParagraphFont"/>
    <w:link w:val="Heading1"/>
    <w:uiPriority w:val="9"/>
    <w:rsid w:val="00F829E1"/>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F829E1"/>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F829E1"/>
    <w:rPr>
      <w:rFonts w:asciiTheme="majorHAnsi" w:eastAsiaTheme="majorEastAsia" w:hAnsiTheme="majorHAnsi" w:cstheme="majorBidi"/>
      <w:color w:val="0D0D0D" w:themeColor="text1" w:themeTint="F2"/>
      <w:sz w:val="24"/>
      <w:szCs w:val="24"/>
    </w:rPr>
  </w:style>
  <w:style w:type="paragraph" w:styleId="Title">
    <w:name w:val="Title"/>
    <w:basedOn w:val="Normal"/>
    <w:next w:val="Normal"/>
    <w:link w:val="TitleChar"/>
    <w:uiPriority w:val="10"/>
    <w:qFormat/>
    <w:rsid w:val="00F829E1"/>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829E1"/>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829E1"/>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829E1"/>
    <w:rPr>
      <w:color w:val="5A5A5A" w:themeColor="text1" w:themeTint="A5"/>
      <w:spacing w:val="15"/>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829E1"/>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829E1"/>
    <w:rPr>
      <w:i/>
      <w:iCs/>
      <w:color w:val="404040" w:themeColor="text1" w:themeTint="BF"/>
    </w:rPr>
  </w:style>
  <w:style w:type="character" w:customStyle="1" w:styleId="Heading4Char">
    <w:name w:val="Heading 4 Char"/>
    <w:basedOn w:val="DefaultParagraphFont"/>
    <w:link w:val="Heading4"/>
    <w:uiPriority w:val="9"/>
    <w:semiHidden/>
    <w:rsid w:val="00F829E1"/>
    <w:rPr>
      <w:i/>
      <w:iCs/>
    </w:rPr>
  </w:style>
  <w:style w:type="character" w:customStyle="1" w:styleId="Heading5Char">
    <w:name w:val="Heading 5 Char"/>
    <w:basedOn w:val="DefaultParagraphFont"/>
    <w:link w:val="Heading5"/>
    <w:uiPriority w:val="9"/>
    <w:semiHidden/>
    <w:rsid w:val="00F829E1"/>
    <w:rPr>
      <w:color w:val="404040" w:themeColor="text1" w:themeTint="BF"/>
    </w:rPr>
  </w:style>
  <w:style w:type="character" w:customStyle="1" w:styleId="Heading6Char">
    <w:name w:val="Heading 6 Char"/>
    <w:basedOn w:val="DefaultParagraphFont"/>
    <w:link w:val="Heading6"/>
    <w:uiPriority w:val="9"/>
    <w:semiHidden/>
    <w:rsid w:val="00F829E1"/>
  </w:style>
  <w:style w:type="character" w:customStyle="1" w:styleId="Heading7Char">
    <w:name w:val="Heading 7 Char"/>
    <w:basedOn w:val="DefaultParagraphFont"/>
    <w:link w:val="Heading7"/>
    <w:uiPriority w:val="9"/>
    <w:semiHidden/>
    <w:rsid w:val="00F829E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829E1"/>
    <w:rPr>
      <w:color w:val="262626" w:themeColor="text1" w:themeTint="D9"/>
      <w:sz w:val="21"/>
      <w:szCs w:val="21"/>
    </w:rPr>
  </w:style>
  <w:style w:type="character" w:customStyle="1" w:styleId="Heading9Char">
    <w:name w:val="Heading 9 Char"/>
    <w:basedOn w:val="DefaultParagraphFont"/>
    <w:link w:val="Heading9"/>
    <w:uiPriority w:val="9"/>
    <w:semiHidden/>
    <w:rsid w:val="00F829E1"/>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829E1"/>
    <w:pPr>
      <w:spacing w:after="200" w:line="240" w:lineRule="auto"/>
    </w:pPr>
    <w:rPr>
      <w:i/>
      <w:iCs/>
      <w:color w:val="1F497D" w:themeColor="text2"/>
      <w:sz w:val="18"/>
      <w:szCs w:val="18"/>
    </w:rPr>
  </w:style>
  <w:style w:type="character" w:styleId="Strong">
    <w:name w:val="Strong"/>
    <w:basedOn w:val="DefaultParagraphFont"/>
    <w:uiPriority w:val="22"/>
    <w:qFormat/>
    <w:rsid w:val="00F829E1"/>
    <w:rPr>
      <w:b/>
      <w:bCs/>
      <w:color w:val="auto"/>
    </w:rPr>
  </w:style>
  <w:style w:type="character" w:styleId="Emphasis">
    <w:name w:val="Emphasis"/>
    <w:basedOn w:val="DefaultParagraphFont"/>
    <w:uiPriority w:val="20"/>
    <w:qFormat/>
    <w:rsid w:val="00F829E1"/>
    <w:rPr>
      <w:i/>
      <w:iCs/>
      <w:color w:val="auto"/>
    </w:rPr>
  </w:style>
  <w:style w:type="paragraph" w:styleId="IntenseQuote">
    <w:name w:val="Intense Quote"/>
    <w:basedOn w:val="Normal"/>
    <w:next w:val="Normal"/>
    <w:link w:val="IntenseQuoteChar"/>
    <w:uiPriority w:val="30"/>
    <w:qFormat/>
    <w:rsid w:val="00F829E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F829E1"/>
    <w:rPr>
      <w:i/>
      <w:iCs/>
      <w:color w:val="404040" w:themeColor="text1" w:themeTint="BF"/>
    </w:rPr>
  </w:style>
  <w:style w:type="character" w:styleId="SubtleEmphasis">
    <w:name w:val="Subtle Emphasis"/>
    <w:basedOn w:val="DefaultParagraphFont"/>
    <w:uiPriority w:val="19"/>
    <w:qFormat/>
    <w:rsid w:val="00F829E1"/>
    <w:rPr>
      <w:i/>
      <w:iCs/>
      <w:color w:val="404040" w:themeColor="text1" w:themeTint="BF"/>
    </w:rPr>
  </w:style>
  <w:style w:type="character" w:styleId="IntenseEmphasis">
    <w:name w:val="Intense Emphasis"/>
    <w:basedOn w:val="DefaultParagraphFont"/>
    <w:uiPriority w:val="21"/>
    <w:qFormat/>
    <w:rsid w:val="00F829E1"/>
    <w:rPr>
      <w:b/>
      <w:bCs/>
      <w:i/>
      <w:iCs/>
      <w:color w:val="auto"/>
    </w:rPr>
  </w:style>
  <w:style w:type="character" w:styleId="SubtleReference">
    <w:name w:val="Subtle Reference"/>
    <w:basedOn w:val="DefaultParagraphFont"/>
    <w:uiPriority w:val="31"/>
    <w:qFormat/>
    <w:rsid w:val="00F829E1"/>
    <w:rPr>
      <w:smallCaps/>
      <w:color w:val="404040" w:themeColor="text1" w:themeTint="BF"/>
    </w:rPr>
  </w:style>
  <w:style w:type="character" w:styleId="IntenseReference">
    <w:name w:val="Intense Reference"/>
    <w:basedOn w:val="DefaultParagraphFont"/>
    <w:uiPriority w:val="32"/>
    <w:qFormat/>
    <w:rsid w:val="00F829E1"/>
    <w:rPr>
      <w:b/>
      <w:bCs/>
      <w:smallCaps/>
      <w:color w:val="404040" w:themeColor="text1" w:themeTint="BF"/>
      <w:spacing w:val="5"/>
    </w:rPr>
  </w:style>
  <w:style w:type="character" w:styleId="BookTitle">
    <w:name w:val="Book Title"/>
    <w:basedOn w:val="DefaultParagraphFont"/>
    <w:uiPriority w:val="33"/>
    <w:qFormat/>
    <w:rsid w:val="00F829E1"/>
    <w:rPr>
      <w:b/>
      <w:bCs/>
      <w:i/>
      <w:iCs/>
      <w:spacing w:val="5"/>
    </w:rPr>
  </w:style>
  <w:style w:type="paragraph" w:styleId="TOCHeading">
    <w:name w:val="TOC Heading"/>
    <w:basedOn w:val="Heading1"/>
    <w:next w:val="Normal"/>
    <w:uiPriority w:val="39"/>
    <w:semiHidden/>
    <w:unhideWhenUsed/>
    <w:qFormat/>
    <w:rsid w:val="00F829E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313C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Affiliation">
    <w:name w:val="Affiliation"/>
    <w:basedOn w:val="Normal"/>
    <w:rsid w:val="00F65FE4"/>
    <w:pPr>
      <w:spacing w:after="240" w:line="240" w:lineRule="exact"/>
      <w:jc w:val="right"/>
    </w:pPr>
    <w:rPr>
      <w:rFonts w:ascii="Helvetica" w:eastAsia="Times New Roman" w:hAnsi="Helvetica" w:cs="Times New Roman"/>
      <w:sz w:val="20"/>
      <w:szCs w:val="20"/>
    </w:rPr>
  </w:style>
  <w:style w:type="character" w:customStyle="1" w:styleId="go">
    <w:name w:val="go"/>
    <w:basedOn w:val="DefaultParagraphFont"/>
    <w:rsid w:val="00F65FE4"/>
  </w:style>
  <w:style w:type="character" w:styleId="Hyperlink">
    <w:name w:val="Hyperlink"/>
    <w:basedOn w:val="DefaultParagraphFont"/>
    <w:uiPriority w:val="99"/>
    <w:unhideWhenUsed/>
    <w:rsid w:val="00356A80"/>
    <w:rPr>
      <w:color w:val="0000FF" w:themeColor="hyperlink"/>
      <w:u w:val="single"/>
    </w:rPr>
  </w:style>
  <w:style w:type="character" w:styleId="UnresolvedMention">
    <w:name w:val="Unresolved Mention"/>
    <w:basedOn w:val="DefaultParagraphFont"/>
    <w:uiPriority w:val="99"/>
    <w:semiHidden/>
    <w:unhideWhenUsed/>
    <w:rsid w:val="00356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133">
      <w:bodyDiv w:val="1"/>
      <w:marLeft w:val="0"/>
      <w:marRight w:val="0"/>
      <w:marTop w:val="0"/>
      <w:marBottom w:val="0"/>
      <w:divBdr>
        <w:top w:val="none" w:sz="0" w:space="0" w:color="auto"/>
        <w:left w:val="none" w:sz="0" w:space="0" w:color="auto"/>
        <w:bottom w:val="none" w:sz="0" w:space="0" w:color="auto"/>
        <w:right w:val="none" w:sz="0" w:space="0" w:color="auto"/>
      </w:divBdr>
    </w:div>
    <w:div w:id="386539653">
      <w:bodyDiv w:val="1"/>
      <w:marLeft w:val="0"/>
      <w:marRight w:val="0"/>
      <w:marTop w:val="0"/>
      <w:marBottom w:val="0"/>
      <w:divBdr>
        <w:top w:val="none" w:sz="0" w:space="0" w:color="auto"/>
        <w:left w:val="none" w:sz="0" w:space="0" w:color="auto"/>
        <w:bottom w:val="none" w:sz="0" w:space="0" w:color="auto"/>
        <w:right w:val="none" w:sz="0" w:space="0" w:color="auto"/>
      </w:divBdr>
    </w:div>
    <w:div w:id="786434232">
      <w:bodyDiv w:val="1"/>
      <w:marLeft w:val="0"/>
      <w:marRight w:val="0"/>
      <w:marTop w:val="0"/>
      <w:marBottom w:val="0"/>
      <w:divBdr>
        <w:top w:val="none" w:sz="0" w:space="0" w:color="auto"/>
        <w:left w:val="none" w:sz="0" w:space="0" w:color="auto"/>
        <w:bottom w:val="none" w:sz="0" w:space="0" w:color="auto"/>
        <w:right w:val="none" w:sz="0" w:space="0" w:color="auto"/>
      </w:divBdr>
      <w:divsChild>
        <w:div w:id="1031225105">
          <w:marLeft w:val="0"/>
          <w:marRight w:val="0"/>
          <w:marTop w:val="0"/>
          <w:marBottom w:val="0"/>
          <w:divBdr>
            <w:top w:val="none" w:sz="0" w:space="0" w:color="auto"/>
            <w:left w:val="none" w:sz="0" w:space="0" w:color="auto"/>
            <w:bottom w:val="none" w:sz="0" w:space="0" w:color="auto"/>
            <w:right w:val="none" w:sz="0" w:space="0" w:color="auto"/>
          </w:divBdr>
        </w:div>
        <w:div w:id="196702144">
          <w:marLeft w:val="0"/>
          <w:marRight w:val="0"/>
          <w:marTop w:val="0"/>
          <w:marBottom w:val="0"/>
          <w:divBdr>
            <w:top w:val="none" w:sz="0" w:space="0" w:color="auto"/>
            <w:left w:val="none" w:sz="0" w:space="0" w:color="auto"/>
            <w:bottom w:val="none" w:sz="0" w:space="0" w:color="auto"/>
            <w:right w:val="none" w:sz="0" w:space="0" w:color="auto"/>
          </w:divBdr>
        </w:div>
        <w:div w:id="1287128723">
          <w:marLeft w:val="0"/>
          <w:marRight w:val="0"/>
          <w:marTop w:val="0"/>
          <w:marBottom w:val="0"/>
          <w:divBdr>
            <w:top w:val="none" w:sz="0" w:space="0" w:color="auto"/>
            <w:left w:val="none" w:sz="0" w:space="0" w:color="auto"/>
            <w:bottom w:val="none" w:sz="0" w:space="0" w:color="auto"/>
            <w:right w:val="none" w:sz="0" w:space="0" w:color="auto"/>
          </w:divBdr>
        </w:div>
        <w:div w:id="1275287609">
          <w:marLeft w:val="0"/>
          <w:marRight w:val="0"/>
          <w:marTop w:val="0"/>
          <w:marBottom w:val="0"/>
          <w:divBdr>
            <w:top w:val="none" w:sz="0" w:space="0" w:color="auto"/>
            <w:left w:val="none" w:sz="0" w:space="0" w:color="auto"/>
            <w:bottom w:val="none" w:sz="0" w:space="0" w:color="auto"/>
            <w:right w:val="none" w:sz="0" w:space="0" w:color="auto"/>
          </w:divBdr>
        </w:div>
        <w:div w:id="89905211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3FBE8-341F-4DC3-9238-3E62F053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2647</Words>
  <Characters>15088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Roger Saint-Fort</cp:lastModifiedBy>
  <cp:revision>4</cp:revision>
  <cp:lastPrinted>2026-03-10T16:28:00Z</cp:lastPrinted>
  <dcterms:created xsi:type="dcterms:W3CDTF">2026-03-10T16:28:00Z</dcterms:created>
  <dcterms:modified xsi:type="dcterms:W3CDTF">2026-03-10T16:50:00Z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5354073e-e68b-47df-936f-689d83383bd0</vt:lpwstr>
  </property>
</Properties>
</file>