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CF77A7" w14:paraId="38BA1FF2" w14:textId="77777777">
        <w:trPr>
          <w:trHeight w:val="20"/>
          <w:jc w:val="center"/>
        </w:trPr>
        <w:tc>
          <w:tcPr>
            <w:tcW w:w="1186" w:type="pct"/>
          </w:tcPr>
          <w:p w14:paraId="30F98142" w14:textId="77777777" w:rsidR="0051575F" w:rsidRPr="00CF77A7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E094D2" w14:textId="77777777" w:rsidR="0051575F" w:rsidRPr="00CF77A7" w:rsidRDefault="007A7CB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CF77A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CF77A7" w14:paraId="28E65097" w14:textId="77777777">
        <w:trPr>
          <w:trHeight w:val="20"/>
          <w:jc w:val="center"/>
        </w:trPr>
        <w:tc>
          <w:tcPr>
            <w:tcW w:w="1186" w:type="pct"/>
          </w:tcPr>
          <w:p w14:paraId="576850DE" w14:textId="77777777" w:rsidR="0051575F" w:rsidRPr="00CF77A7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F33933" w14:textId="77777777" w:rsidR="0051575F" w:rsidRPr="00CF77A7" w:rsidRDefault="00FA06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Ms_EJNFS_157268</w:t>
            </w:r>
          </w:p>
        </w:tc>
      </w:tr>
      <w:tr w:rsidR="0051575F" w:rsidRPr="00CF77A7" w14:paraId="3F89DB84" w14:textId="77777777">
        <w:trPr>
          <w:trHeight w:val="20"/>
          <w:jc w:val="center"/>
        </w:trPr>
        <w:tc>
          <w:tcPr>
            <w:tcW w:w="1186" w:type="pct"/>
          </w:tcPr>
          <w:p w14:paraId="26AE7C63" w14:textId="77777777" w:rsidR="0051575F" w:rsidRPr="00CF77A7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EE6990A" w14:textId="77777777" w:rsidR="0051575F" w:rsidRPr="00CF77A7" w:rsidRDefault="00FA06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Pathogenic Risks in Courier-Based Food Delivery Systems: Integrating Microbiological Surveillance in Zambia’s Food Safety Framework</w:t>
            </w:r>
          </w:p>
        </w:tc>
      </w:tr>
      <w:tr w:rsidR="0051575F" w:rsidRPr="00CF77A7" w14:paraId="558DD620" w14:textId="77777777">
        <w:trPr>
          <w:trHeight w:val="20"/>
          <w:jc w:val="center"/>
        </w:trPr>
        <w:tc>
          <w:tcPr>
            <w:tcW w:w="1186" w:type="pct"/>
          </w:tcPr>
          <w:p w14:paraId="26B72A5A" w14:textId="77777777" w:rsidR="0051575F" w:rsidRPr="00CF77A7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E0788A" w14:textId="77777777" w:rsidR="0051575F" w:rsidRPr="00CF77A7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7D28AA" w14:textId="77777777" w:rsidR="0051575F" w:rsidRPr="00CF77A7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B0F635" w14:textId="77777777" w:rsidR="0051575F" w:rsidRPr="00CF77A7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E24711" w14:textId="77777777" w:rsidR="0051575F" w:rsidRPr="00CF77A7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77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F77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ECD1BBB" w14:textId="77777777" w:rsidR="0051575F" w:rsidRPr="00CF77A7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CF77A7" w14:paraId="7B2FAC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ADDCDB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1FE8438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C2316D6" w14:textId="77777777" w:rsidR="0051575F" w:rsidRPr="00CF77A7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77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7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2FD5F3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6C2770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009481" w14:textId="77777777" w:rsidR="0051575F" w:rsidRPr="00CF77A7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4E1E77" w14:textId="774E6B67" w:rsidR="0051575F" w:rsidRPr="00CF77A7" w:rsidRDefault="007C5C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important as it investigates microbial contamination in food delivery carriers and highlights potential contamination routes </w:t>
            </w:r>
          </w:p>
        </w:tc>
        <w:tc>
          <w:tcPr>
            <w:tcW w:w="1367" w:type="pct"/>
          </w:tcPr>
          <w:p w14:paraId="43F3699C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08F96C" w14:textId="77777777" w:rsidR="0051575F" w:rsidRPr="00CF77A7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722902D2" w14:textId="77777777" w:rsidR="0051575F" w:rsidRPr="00CF77A7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F77A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A5E2DB3" w14:textId="77777777" w:rsidR="0051575F" w:rsidRPr="00CF77A7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CF77A7" w14:paraId="576871E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A0BE5CB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57B9EAC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283051F" w14:textId="77777777" w:rsidR="0051575F" w:rsidRPr="00CF77A7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7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CF77A7" w14:paraId="212880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62CCA" w14:textId="77777777" w:rsidR="0051575F" w:rsidRPr="00CF77A7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512FFB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A678F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AED65D" w14:textId="699BA1E7" w:rsidR="007C5C4F" w:rsidRPr="00CF77A7" w:rsidRDefault="007C5C4F" w:rsidP="007C5C4F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Ti</w:t>
            </w:r>
            <w:r w:rsidR="009373F8"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</w:t>
            </w: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le can be reframed to ‘Food-borne pathogen contamination in courier-based Food delivery systems: Evidence from Zambia and Implications for Food Safety Surveillance’</w:t>
            </w:r>
          </w:p>
          <w:p w14:paraId="22539558" w14:textId="0C741A02" w:rsidR="0051575F" w:rsidRPr="00CF77A7" w:rsidRDefault="0051575F" w:rsidP="007C5C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B9513E0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5B25DE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469DC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4EDEB98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41BC8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FB648" w14:textId="77777777" w:rsidR="0051575F" w:rsidRPr="00CF77A7" w:rsidRDefault="00E25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Comprehensive. </w:t>
            </w:r>
          </w:p>
          <w:p w14:paraId="5A5A494E" w14:textId="75CD3A60" w:rsidR="00E2510B" w:rsidRPr="00CF77A7" w:rsidRDefault="00E2510B" w:rsidP="00E2510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Check the use of Pearson's correlation; it should be Spearman's correlation.</w:t>
            </w:r>
          </w:p>
          <w:p w14:paraId="0F594F89" w14:textId="22751759" w:rsidR="00E2510B" w:rsidRPr="00CF77A7" w:rsidRDefault="00E2510B" w:rsidP="00E2510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check, </w:t>
            </w:r>
            <w:r w:rsidRPr="00CF77A7">
              <w:rPr>
                <w:rFonts w:ascii="Arial" w:hAnsi="Arial" w:cs="Arial"/>
                <w:b/>
                <w:bCs/>
                <w:sz w:val="20"/>
                <w:szCs w:val="20"/>
              </w:rPr>
              <w:t>coagulase -negative Staphylococcus or staphylococci?</w:t>
            </w:r>
          </w:p>
          <w:p w14:paraId="326C65AD" w14:textId="1BDCAA25" w:rsidR="00852D8C" w:rsidRPr="00CF77A7" w:rsidRDefault="00852D8C" w:rsidP="00E2510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</w:rPr>
              <w:t>Mention the confidence interval in regression analysis.</w:t>
            </w:r>
          </w:p>
          <w:p w14:paraId="2C4C399D" w14:textId="1668FB91" w:rsidR="00852D8C" w:rsidRPr="00CF77A7" w:rsidRDefault="00852D8C" w:rsidP="00E2510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 words like ‘influenced’ with ‘associated’.</w:t>
            </w:r>
          </w:p>
          <w:p w14:paraId="1A19623A" w14:textId="5EF79A17" w:rsidR="00382287" w:rsidRPr="00CF77A7" w:rsidRDefault="00382287" w:rsidP="00E2510B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 the presence of esophageal varices in advanced liver disease to validate other screening parameters. Delete nonrelated sentence.</w:t>
            </w:r>
          </w:p>
          <w:p w14:paraId="6F5AA145" w14:textId="426C9343" w:rsidR="00E2510B" w:rsidRPr="00CF77A7" w:rsidRDefault="00E25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02E9B733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1954D2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88A58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103B2B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ABB5C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B290FD" w14:textId="1D81BAA4" w:rsidR="0051575F" w:rsidRPr="00CF77A7" w:rsidRDefault="003822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 Zambia can be added.</w:t>
            </w:r>
          </w:p>
        </w:tc>
        <w:tc>
          <w:tcPr>
            <w:tcW w:w="1367" w:type="pct"/>
          </w:tcPr>
          <w:p w14:paraId="66710835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0D276F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61B76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9285F1F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61FA0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87FE3C" w14:textId="2CED3AC7" w:rsidR="0051575F" w:rsidRPr="00CF77A7" w:rsidRDefault="00412554" w:rsidP="00BF79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Good. </w:t>
            </w:r>
            <w:r w:rsidR="00BF79F0"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global burden can be reduced by focusing on the African burden, with a focus on handling and transport. All microbial contamination studies can be given in one paragraph.</w:t>
            </w:r>
          </w:p>
        </w:tc>
        <w:tc>
          <w:tcPr>
            <w:tcW w:w="1367" w:type="pct"/>
          </w:tcPr>
          <w:p w14:paraId="45313E14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112064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FC4383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B6CF95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65C8C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B4AA0" w14:textId="0A292E63" w:rsidR="00BF79F0" w:rsidRPr="00CF77A7" w:rsidRDefault="00412554" w:rsidP="00585709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Satisfactory. </w:t>
            </w:r>
            <w:r w:rsidR="00BF79F0"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Clear objective articulation needs to be done. Eg. Reusable carriers may represent an overlooked route for microbial contamination and cross-contamination during food transport. Therefore, this study aimed to assess microbial contamination in </w:t>
            </w:r>
            <w:r w:rsidR="00585709"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courier-based food delivery carriers in Lusaka, Zambia, and to examine the operational and hygiene-related factors associated with</w:t>
            </w:r>
            <w:r w:rsidR="00BF79F0"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contamination risk.</w:t>
            </w:r>
          </w:p>
          <w:p w14:paraId="7A594365" w14:textId="77777777" w:rsidR="0051575F" w:rsidRPr="00CF77A7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D7B600B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3D384E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C15E24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F4542E6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457C2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77E06" w14:textId="54BACBFF" w:rsidR="0051575F" w:rsidRPr="00CF77A7" w:rsidRDefault="00412554" w:rsidP="008165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satisfactory. In</w:t>
            </w:r>
            <w:r w:rsidR="008165C6"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introduction, it's sufficient. In the discussion section, more recent, related studies should be added to strengthen the study.</w:t>
            </w:r>
          </w:p>
        </w:tc>
        <w:tc>
          <w:tcPr>
            <w:tcW w:w="1367" w:type="pct"/>
          </w:tcPr>
          <w:p w14:paraId="11BA9023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425CE7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164F0A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E30D12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94E98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8D08C" w14:textId="65886FDA" w:rsidR="00412554" w:rsidRPr="00CF77A7" w:rsidRDefault="00412554" w:rsidP="0041255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 </w:t>
            </w:r>
          </w:p>
          <w:p w14:paraId="01F6D39C" w14:textId="47DBF23C" w:rsidR="0051575F" w:rsidRPr="00CF77A7" w:rsidRDefault="00540026" w:rsidP="00412554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highlighted part is suitable for the result and discussion. In material methods, Sampling was continued until microbial saturation was achieved. Sampling was extended beyond saturation point to ensure robustness. </w:t>
            </w:r>
          </w:p>
          <w:p w14:paraId="10B25AA2" w14:textId="77777777" w:rsidR="00540026" w:rsidRPr="00CF77A7" w:rsidRDefault="00540026" w:rsidP="005400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detailed steps for reproducibility with media and incubation temperature, mentioning the criteria used for species-level identification.</w:t>
            </w:r>
          </w:p>
          <w:p w14:paraId="0799BF85" w14:textId="77777777" w:rsidR="00540026" w:rsidRPr="00CF77A7" w:rsidRDefault="00540026" w:rsidP="005400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Colony-forming counts represent quantitative microbial load, whereas prevalence refers to presence /absence data. Clearly mention which measurements were performed.</w:t>
            </w:r>
          </w:p>
          <w:p w14:paraId="4FFDA54C" w14:textId="77777777" w:rsidR="00540026" w:rsidRPr="00CF77A7" w:rsidRDefault="00540026" w:rsidP="005400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Justify use of Pearson correlation or consider alternative methods such as Spearman correlation or logistic regression only</w:t>
            </w:r>
          </w:p>
          <w:p w14:paraId="0DC15F09" w14:textId="77777777" w:rsidR="00540026" w:rsidRPr="00CF77A7" w:rsidRDefault="00540026" w:rsidP="005400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Whether univariate or multivariate regression, mention model diagnostic or goodness of fit measures</w:t>
            </w:r>
          </w:p>
          <w:p w14:paraId="35F5867D" w14:textId="287C692F" w:rsidR="00412554" w:rsidRPr="00CF77A7" w:rsidRDefault="00412554" w:rsidP="0041255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BC8FC01" w14:textId="2CB4798F" w:rsidR="00540026" w:rsidRPr="00CF77A7" w:rsidRDefault="00540026" w:rsidP="002339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8788395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558B77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7745B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77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A7712B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D5B9B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03E92" w14:textId="7535743B" w:rsidR="0051575F" w:rsidRPr="00CF77A7" w:rsidRDefault="002D63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Satisfactory. </w:t>
            </w:r>
            <w:r w:rsidR="0013363B"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declaration given needs reframing as the words used are “patients” instead of the courier delivery participants' statement, without any mention of ethical approval number</w:t>
            </w:r>
          </w:p>
        </w:tc>
        <w:tc>
          <w:tcPr>
            <w:tcW w:w="1367" w:type="pct"/>
          </w:tcPr>
          <w:p w14:paraId="668D4B37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38C590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76AF72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3583F9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4E64F" w14:textId="77777777" w:rsidR="0051575F" w:rsidRPr="00CF77A7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867A61" w14:textId="19BC5862" w:rsidR="002D6360" w:rsidRPr="00CF77A7" w:rsidRDefault="002D6360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IN"/>
              </w:rPr>
              <w:t>Needs improvement.</w:t>
            </w:r>
          </w:p>
          <w:p w14:paraId="38FD6477" w14:textId="1EB8F472" w:rsidR="00F14576" w:rsidRPr="00CF77A7" w:rsidRDefault="00F14576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Mention clearly ‘contaminated </w:t>
            </w:r>
            <w:r w:rsidR="006B4CCC" w:rsidRPr="00CF77A7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carrier ' </w:t>
            </w:r>
            <w:r w:rsidRPr="00CF77A7">
              <w:rPr>
                <w:rFonts w:ascii="Arial" w:hAnsi="Arial" w:cs="Arial"/>
                <w:bCs/>
                <w:sz w:val="20"/>
                <w:szCs w:val="20"/>
                <w:lang w:val="en-IN"/>
              </w:rPr>
              <w:t>in text, what this refers to, whether this is microbiological confirmation or any contamination threshold in methods or table footnote.</w:t>
            </w:r>
          </w:p>
          <w:p w14:paraId="5BBBB57E" w14:textId="77777777" w:rsidR="005D0CA5" w:rsidRPr="00CF77A7" w:rsidRDefault="00A457ED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>Percentage in the table is different from what is reported in text in secondary level education (75.3 vs 75%)</w:t>
            </w:r>
          </w:p>
          <w:p w14:paraId="097318C6" w14:textId="478125F2" w:rsidR="005D0CA5" w:rsidRPr="00CF77A7" w:rsidRDefault="005D0CA5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>Changes suggested in manuscript files in detail.</w:t>
            </w:r>
          </w:p>
          <w:p w14:paraId="3820E8DE" w14:textId="77777777" w:rsidR="005D0CA5" w:rsidRPr="00CF77A7" w:rsidRDefault="005D0CA5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>Regression analysis: mention reference category</w:t>
            </w:r>
          </w:p>
          <w:p w14:paraId="6DB649A2" w14:textId="18A72A7A" w:rsidR="002D6360" w:rsidRPr="00CF77A7" w:rsidRDefault="002D6360" w:rsidP="00F145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>Pearson correlation can be excluded, or can be switched to Spearman correlation.</w:t>
            </w:r>
          </w:p>
          <w:p w14:paraId="49F8D0A9" w14:textId="0E6AF40A" w:rsidR="00A457ED" w:rsidRPr="00CF77A7" w:rsidRDefault="00A457ED" w:rsidP="005D0CA5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D45278" w14:textId="01E75C03" w:rsidR="0051575F" w:rsidRPr="00CF77A7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E6CA367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56CB4F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379A3C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0624AB85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4B7E0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16DDD" w14:textId="77777777" w:rsidR="00DF2543" w:rsidRPr="00CF77A7" w:rsidRDefault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Satisfactory.</w:t>
            </w:r>
          </w:p>
          <w:p w14:paraId="469EECCF" w14:textId="74403D6D" w:rsidR="0051575F" w:rsidRPr="00CF77A7" w:rsidRDefault="005D0C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Tables need formatting with clear differences in percentage, reference values, and interpretation. Or the interpretation in tables can be excluded. </w:t>
            </w:r>
          </w:p>
        </w:tc>
        <w:tc>
          <w:tcPr>
            <w:tcW w:w="1367" w:type="pct"/>
          </w:tcPr>
          <w:p w14:paraId="59EF9245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7C45F3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34484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8586B13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079B1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EAD96A" w14:textId="679D13E3" w:rsidR="00DF2543" w:rsidRPr="00CF77A7" w:rsidRDefault="00DF2543" w:rsidP="004C6AF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  <w:p w14:paraId="023B0666" w14:textId="0360AD73" w:rsidR="004C6AF2" w:rsidRPr="00CF77A7" w:rsidRDefault="00B10878" w:rsidP="004C6AF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Antibiotic resistance is not supported</w:t>
            </w:r>
            <w:r w:rsidR="00784F69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by study data as it lacks resistance profiling.</w:t>
            </w:r>
          </w:p>
          <w:p w14:paraId="49508BC5" w14:textId="77777777" w:rsidR="004C6AF2" w:rsidRPr="00CF77A7" w:rsidRDefault="004C6AF2" w:rsidP="004C6AF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Words like strongest determinant " don’t support the cross-sectional design and should be rephrased to reflect associations. Eg. cleaning frequency.</w:t>
            </w:r>
          </w:p>
          <w:p w14:paraId="6A194135" w14:textId="5FED823F" w:rsidR="004C6AF2" w:rsidRPr="00CF77A7" w:rsidRDefault="004C6AF2" w:rsidP="004C6AF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</w:rPr>
              <w:t>Interpretation of carrier type effects remains unclear due to absence of defined reference category.</w:t>
            </w:r>
          </w:p>
        </w:tc>
        <w:tc>
          <w:tcPr>
            <w:tcW w:w="1367" w:type="pct"/>
          </w:tcPr>
          <w:p w14:paraId="65E77A26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3A1178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0AF5F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A48516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271F5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2AC376" w14:textId="6264AF00" w:rsidR="0051575F" w:rsidRPr="00CF77A7" w:rsidRDefault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Satisfactory. </w:t>
            </w:r>
            <w:r w:rsidR="004C6AF2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367" w:type="pct"/>
          </w:tcPr>
          <w:p w14:paraId="3D99384B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2BFAD0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46D780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C62FC6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3BCD0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0F3108" w14:textId="098803E1" w:rsidR="0051575F" w:rsidRPr="00CF77A7" w:rsidRDefault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Satisfactory. </w:t>
            </w:r>
            <w:r w:rsidR="004C6AF2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Methodological limitations and statistical limitations (if any) need to be included.</w:t>
            </w:r>
          </w:p>
        </w:tc>
        <w:tc>
          <w:tcPr>
            <w:tcW w:w="1367" w:type="pct"/>
          </w:tcPr>
          <w:p w14:paraId="50D8E5F5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15B22E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2FF304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8AC561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30DC8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F46895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5CD512" w14:textId="2F646ED4" w:rsidR="0051575F" w:rsidRPr="00CF77A7" w:rsidRDefault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867158B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48FD6E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B5204C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A4FD12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D5FF2" w14:textId="77777777" w:rsidR="0051575F" w:rsidRPr="00CF77A7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A6C0E5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12DA7F" w14:textId="27183EFE" w:rsidR="0051575F" w:rsidRPr="00CF77A7" w:rsidRDefault="00412554" w:rsidP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Good. </w:t>
            </w:r>
            <w:r w:rsidR="00FB5289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and comprehensive.</w:t>
            </w:r>
          </w:p>
          <w:p w14:paraId="4843064E" w14:textId="40FAF4DF" w:rsidR="00FB5289" w:rsidRPr="00CF77A7" w:rsidRDefault="00DF25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E55B494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6164BA" w14:textId="77777777" w:rsidR="0051575F" w:rsidRPr="00CF77A7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1F727" w14:textId="77777777" w:rsidR="0051575F" w:rsidRPr="00CF77A7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F77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F538D39" w14:textId="77777777" w:rsidR="0051575F" w:rsidRPr="00CF77A7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CF77A7" w14:paraId="3C01C9F4" w14:textId="77777777" w:rsidTr="00CF77A7">
        <w:trPr>
          <w:trHeight w:val="20"/>
          <w:jc w:val="center"/>
        </w:trPr>
        <w:tc>
          <w:tcPr>
            <w:tcW w:w="1672" w:type="pct"/>
            <w:noWrap/>
          </w:tcPr>
          <w:p w14:paraId="735DBFC9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E937A6D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CCA3E8" w14:textId="77777777" w:rsidR="0051575F" w:rsidRPr="00CF77A7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7B8BBF3" w14:textId="77777777" w:rsidR="0051575F" w:rsidRPr="00CF77A7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7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7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0F0363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1BF738CC" w14:textId="77777777" w:rsidTr="00CF77A7">
        <w:trPr>
          <w:trHeight w:val="20"/>
          <w:jc w:val="center"/>
        </w:trPr>
        <w:tc>
          <w:tcPr>
            <w:tcW w:w="1672" w:type="pct"/>
            <w:noWrap/>
          </w:tcPr>
          <w:p w14:paraId="2BAD5914" w14:textId="77777777" w:rsidR="0051575F" w:rsidRPr="00CF77A7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3F1A06" w14:textId="77777777" w:rsidR="0051575F" w:rsidRPr="00CF77A7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63623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DE7448" w14:textId="77777777" w:rsidR="009373F8" w:rsidRPr="00CF77A7" w:rsidRDefault="009373F8" w:rsidP="009373F8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Title can be reframed to ‘Food-borne pathogen contamination in courier-based Food delivery systems: Evidence from Zambia and Implications for Food Safety Surveillance’</w:t>
            </w:r>
          </w:p>
          <w:p w14:paraId="7BE7D45F" w14:textId="77777777" w:rsidR="0051575F" w:rsidRPr="00CF77A7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7CB43DD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  <w:tr w:rsidR="0051575F" w:rsidRPr="00CF77A7" w14:paraId="300E244A" w14:textId="77777777" w:rsidTr="00CF77A7">
        <w:trPr>
          <w:trHeight w:val="20"/>
          <w:jc w:val="center"/>
        </w:trPr>
        <w:tc>
          <w:tcPr>
            <w:tcW w:w="1672" w:type="pct"/>
            <w:noWrap/>
          </w:tcPr>
          <w:p w14:paraId="764AB6D5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550995" w14:textId="77777777" w:rsidR="0051575F" w:rsidRPr="00CF77A7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5D6ADF" w14:textId="77777777" w:rsidR="0051575F" w:rsidRPr="00CF77A7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D8D51B" w14:textId="77777777" w:rsidR="009373F8" w:rsidRPr="00CF77A7" w:rsidRDefault="009373F8" w:rsidP="009373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Comprehensive. </w:t>
            </w:r>
          </w:p>
          <w:p w14:paraId="6974217B" w14:textId="77777777" w:rsidR="009373F8" w:rsidRPr="00CF77A7" w:rsidRDefault="009373F8" w:rsidP="009373F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Check the use of Pearson's correlation; it should be Spearman's correlation.</w:t>
            </w:r>
          </w:p>
          <w:p w14:paraId="27356020" w14:textId="77777777" w:rsidR="009373F8" w:rsidRPr="00CF77A7" w:rsidRDefault="009373F8" w:rsidP="009373F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check, </w:t>
            </w:r>
            <w:r w:rsidRPr="00CF77A7">
              <w:rPr>
                <w:rFonts w:ascii="Arial" w:hAnsi="Arial" w:cs="Arial"/>
                <w:b/>
                <w:bCs/>
                <w:sz w:val="20"/>
                <w:szCs w:val="20"/>
              </w:rPr>
              <w:t>coagulase -negative Staphylococcus or staphylococci?</w:t>
            </w:r>
          </w:p>
          <w:p w14:paraId="45B56971" w14:textId="77777777" w:rsidR="009373F8" w:rsidRPr="00CF77A7" w:rsidRDefault="009373F8" w:rsidP="009373F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</w:rPr>
              <w:t>Mention the confidence interval in regression analysis.</w:t>
            </w:r>
          </w:p>
          <w:p w14:paraId="5B9AE845" w14:textId="77777777" w:rsidR="009373F8" w:rsidRPr="00CF77A7" w:rsidRDefault="009373F8" w:rsidP="009373F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 words like ‘influenced’ with ‘associated’.</w:t>
            </w:r>
          </w:p>
          <w:p w14:paraId="60CD7F33" w14:textId="77777777" w:rsidR="009373F8" w:rsidRPr="00CF77A7" w:rsidRDefault="009373F8" w:rsidP="009373F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 the presence of esophageal varices in advanced liver disease to validate other screening parameters. Delete nonrelated sentence.</w:t>
            </w:r>
          </w:p>
          <w:p w14:paraId="32D9F3BC" w14:textId="0E7DF2D0" w:rsidR="0051575F" w:rsidRPr="00CF77A7" w:rsidRDefault="00515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E683D8C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36438F46" w14:textId="77777777" w:rsidTr="00CF77A7">
        <w:trPr>
          <w:trHeight w:val="20"/>
          <w:jc w:val="center"/>
        </w:trPr>
        <w:tc>
          <w:tcPr>
            <w:tcW w:w="1672" w:type="pct"/>
            <w:noWrap/>
          </w:tcPr>
          <w:p w14:paraId="2992EB3F" w14:textId="77777777" w:rsidR="0051575F" w:rsidRPr="00CF77A7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77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77A7">
              <w:rPr>
                <w:rFonts w:ascii="Arial" w:hAnsi="Arial" w:cs="Arial"/>
                <w:lang w:val="en-GB" w:eastAsia="en-US"/>
              </w:rPr>
              <w:br/>
            </w:r>
          </w:p>
          <w:p w14:paraId="0457AADB" w14:textId="77777777" w:rsidR="0051575F" w:rsidRPr="00CF77A7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42344E" w14:textId="78918B51" w:rsidR="0051575F" w:rsidRPr="00CF77A7" w:rsidRDefault="00C66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="009373F8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</w:t>
            </w: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described above </w:t>
            </w:r>
            <w:r w:rsidR="009373F8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highlighted in the manuscript</w:t>
            </w:r>
          </w:p>
        </w:tc>
        <w:tc>
          <w:tcPr>
            <w:tcW w:w="1542" w:type="pct"/>
          </w:tcPr>
          <w:p w14:paraId="30DD5646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516C171C" w14:textId="77777777" w:rsidTr="00CF77A7">
        <w:trPr>
          <w:trHeight w:val="20"/>
          <w:jc w:val="center"/>
        </w:trPr>
        <w:tc>
          <w:tcPr>
            <w:tcW w:w="1672" w:type="pct"/>
            <w:noWrap/>
          </w:tcPr>
          <w:p w14:paraId="58DC5415" w14:textId="77777777" w:rsidR="0051575F" w:rsidRPr="00CF77A7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9299CD" w14:textId="77777777" w:rsidR="0051575F" w:rsidRPr="00CF77A7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22FDB9" w14:textId="77777777" w:rsidR="0051575F" w:rsidRPr="00CF77A7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6CA182" w14:textId="77777777" w:rsidR="0051575F" w:rsidRPr="00CF77A7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57CE972" w14:textId="197BBE77" w:rsidR="0051575F" w:rsidRPr="00CF77A7" w:rsidRDefault="00C66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74147F7F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CF77A7" w14:paraId="1AF7BDA7" w14:textId="77777777" w:rsidTr="00CF77A7">
        <w:trPr>
          <w:trHeight w:val="896"/>
          <w:jc w:val="center"/>
        </w:trPr>
        <w:tc>
          <w:tcPr>
            <w:tcW w:w="1672" w:type="pct"/>
            <w:noWrap/>
          </w:tcPr>
          <w:p w14:paraId="3ABF5D45" w14:textId="77777777" w:rsidR="0051575F" w:rsidRPr="00CF77A7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6A0093" w14:textId="77777777" w:rsidR="0051575F" w:rsidRPr="00CF77A7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A4DF72" w14:textId="77777777" w:rsidR="0051575F" w:rsidRPr="00CF77A7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1CDC4C" w14:textId="77777777" w:rsidR="0051575F" w:rsidRPr="00CF77A7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3C3F2D" w14:textId="77777777" w:rsidR="0051575F" w:rsidRPr="00CF77A7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508CF2" w14:textId="36DF3295" w:rsidR="0051575F" w:rsidRPr="00CF77A7" w:rsidRDefault="00C66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permission numbers will strengthen the study.</w:t>
            </w:r>
            <w:r w:rsidR="009373F8"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Suggestions</w:t>
            </w:r>
            <w:r w:rsidRPr="00CF77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described above</w:t>
            </w:r>
          </w:p>
        </w:tc>
        <w:tc>
          <w:tcPr>
            <w:tcW w:w="1542" w:type="pct"/>
          </w:tcPr>
          <w:p w14:paraId="543BF375" w14:textId="77777777" w:rsidR="0051575F" w:rsidRPr="00CF77A7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A3F343" w14:textId="77777777" w:rsidR="00CF77A7" w:rsidRPr="00CF77A7" w:rsidRDefault="00CF77A7" w:rsidP="00CF77A7">
      <w:pPr>
        <w:rPr>
          <w:rFonts w:ascii="Arial" w:hAnsi="Arial" w:cs="Arial"/>
          <w:b/>
          <w:sz w:val="20"/>
          <w:szCs w:val="20"/>
        </w:rPr>
      </w:pPr>
    </w:p>
    <w:p w14:paraId="4DB7FE72" w14:textId="77777777" w:rsidR="00CF77A7" w:rsidRPr="00CF77A7" w:rsidRDefault="00CF77A7" w:rsidP="00CF77A7">
      <w:pPr>
        <w:rPr>
          <w:rFonts w:ascii="Arial" w:hAnsi="Arial" w:cs="Arial"/>
          <w:b/>
          <w:sz w:val="20"/>
          <w:szCs w:val="20"/>
          <w:u w:val="single"/>
        </w:rPr>
      </w:pPr>
      <w:r w:rsidRPr="00CF77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A94298" w14:textId="77777777" w:rsidR="00CF77A7" w:rsidRPr="00CF77A7" w:rsidRDefault="00CF77A7" w:rsidP="00CF77A7">
      <w:pPr>
        <w:rPr>
          <w:rFonts w:ascii="Arial" w:hAnsi="Arial" w:cs="Arial"/>
          <w:sz w:val="20"/>
          <w:szCs w:val="20"/>
        </w:rPr>
      </w:pPr>
      <w:r w:rsidRPr="00CF77A7">
        <w:rPr>
          <w:rFonts w:ascii="Arial" w:hAnsi="Arial" w:cs="Arial"/>
          <w:color w:val="000000"/>
          <w:sz w:val="20"/>
          <w:szCs w:val="20"/>
        </w:rPr>
        <w:t>Wavhal Nilam Pandurang, Guru Angad Dev Veterinary &amp; Animal Sciences University</w:t>
      </w:r>
      <w:r w:rsidRPr="00CF77A7">
        <w:rPr>
          <w:rFonts w:ascii="Arial" w:hAnsi="Arial" w:cs="Arial"/>
          <w:sz w:val="20"/>
          <w:szCs w:val="20"/>
        </w:rPr>
        <w:t xml:space="preserve">, </w:t>
      </w:r>
      <w:r w:rsidRPr="00CF77A7">
        <w:rPr>
          <w:rFonts w:ascii="Arial" w:hAnsi="Arial" w:cs="Arial"/>
          <w:color w:val="000000"/>
          <w:sz w:val="20"/>
          <w:szCs w:val="20"/>
        </w:rPr>
        <w:t>India</w:t>
      </w:r>
    </w:p>
    <w:p w14:paraId="466C7944" w14:textId="77777777" w:rsidR="00CF77A7" w:rsidRPr="00CF77A7" w:rsidRDefault="00CF77A7" w:rsidP="00CF77A7">
      <w:pPr>
        <w:rPr>
          <w:rFonts w:ascii="Arial" w:hAnsi="Arial" w:cs="Arial"/>
          <w:sz w:val="20"/>
          <w:szCs w:val="20"/>
        </w:rPr>
      </w:pPr>
    </w:p>
    <w:p w14:paraId="27809357" w14:textId="77777777" w:rsidR="0051575F" w:rsidRPr="00CF77A7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AA13146" w14:textId="77777777" w:rsidR="0051575F" w:rsidRPr="00CF77A7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5BAF72" w14:textId="77777777" w:rsidR="00CF77A7" w:rsidRPr="00CF77A7" w:rsidRDefault="00CF77A7">
      <w:pPr>
        <w:rPr>
          <w:rFonts w:ascii="Arial" w:hAnsi="Arial" w:cs="Arial"/>
          <w:sz w:val="20"/>
          <w:szCs w:val="20"/>
          <w:lang w:val="en-GB"/>
        </w:rPr>
      </w:pPr>
    </w:p>
    <w:sectPr w:rsidR="00CF77A7" w:rsidRPr="00CF77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23D4B" w14:textId="77777777" w:rsidR="007A7CB8" w:rsidRDefault="007A7CB8">
      <w:r>
        <w:separator/>
      </w:r>
    </w:p>
  </w:endnote>
  <w:endnote w:type="continuationSeparator" w:id="0">
    <w:p w14:paraId="54DE691A" w14:textId="77777777" w:rsidR="007A7CB8" w:rsidRDefault="007A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144C" w14:textId="77777777" w:rsidR="0051575F" w:rsidRDefault="0051575F">
    <w:pPr>
      <w:pStyle w:val="Footer"/>
      <w:jc w:val="right"/>
    </w:pPr>
  </w:p>
  <w:p w14:paraId="540C5D7B" w14:textId="77777777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96B2886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FE8BA7" w14:textId="77777777" w:rsidR="0051575F" w:rsidRDefault="0051575F">
    <w:pPr>
      <w:pStyle w:val="Footer"/>
      <w:jc w:val="right"/>
    </w:pPr>
  </w:p>
  <w:p w14:paraId="26403998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71FC" w14:textId="77777777" w:rsidR="007A7CB8" w:rsidRDefault="007A7CB8">
      <w:r>
        <w:separator/>
      </w:r>
    </w:p>
  </w:footnote>
  <w:footnote w:type="continuationSeparator" w:id="0">
    <w:p w14:paraId="74448998" w14:textId="77777777" w:rsidR="007A7CB8" w:rsidRDefault="007A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5B5D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30FAF2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1522"/>
    <w:multiLevelType w:val="hybridMultilevel"/>
    <w:tmpl w:val="75E4236A"/>
    <w:lvl w:ilvl="0" w:tplc="3BC2E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570"/>
    <w:multiLevelType w:val="hybridMultilevel"/>
    <w:tmpl w:val="8CC4BA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FFE"/>
    <w:multiLevelType w:val="hybridMultilevel"/>
    <w:tmpl w:val="91D4DA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4271B"/>
    <w:multiLevelType w:val="hybridMultilevel"/>
    <w:tmpl w:val="3072E3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4AC4"/>
    <w:multiLevelType w:val="hybridMultilevel"/>
    <w:tmpl w:val="75C451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15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4132A"/>
    <w:rsid w:val="000D5312"/>
    <w:rsid w:val="0013363B"/>
    <w:rsid w:val="0023394A"/>
    <w:rsid w:val="002D6360"/>
    <w:rsid w:val="00321376"/>
    <w:rsid w:val="00347328"/>
    <w:rsid w:val="00382287"/>
    <w:rsid w:val="00412554"/>
    <w:rsid w:val="00491477"/>
    <w:rsid w:val="004C6AF2"/>
    <w:rsid w:val="004D27CD"/>
    <w:rsid w:val="004E2AC2"/>
    <w:rsid w:val="0051575F"/>
    <w:rsid w:val="00540026"/>
    <w:rsid w:val="005759A3"/>
    <w:rsid w:val="00585709"/>
    <w:rsid w:val="005D0CA5"/>
    <w:rsid w:val="005D3F94"/>
    <w:rsid w:val="006B4CCC"/>
    <w:rsid w:val="006B6FA8"/>
    <w:rsid w:val="00743D03"/>
    <w:rsid w:val="007637D4"/>
    <w:rsid w:val="00784F69"/>
    <w:rsid w:val="007A7CB8"/>
    <w:rsid w:val="007C5C4F"/>
    <w:rsid w:val="007C7B4C"/>
    <w:rsid w:val="008165C6"/>
    <w:rsid w:val="00822879"/>
    <w:rsid w:val="00852D8C"/>
    <w:rsid w:val="00885313"/>
    <w:rsid w:val="009373F8"/>
    <w:rsid w:val="00A457ED"/>
    <w:rsid w:val="00B00E5D"/>
    <w:rsid w:val="00B10878"/>
    <w:rsid w:val="00B44757"/>
    <w:rsid w:val="00BF79F0"/>
    <w:rsid w:val="00C66E82"/>
    <w:rsid w:val="00CF77A7"/>
    <w:rsid w:val="00D875A3"/>
    <w:rsid w:val="00DF2543"/>
    <w:rsid w:val="00E2510B"/>
    <w:rsid w:val="00E8582C"/>
    <w:rsid w:val="00F14576"/>
    <w:rsid w:val="00F45497"/>
    <w:rsid w:val="00FA06FA"/>
    <w:rsid w:val="00FB5289"/>
    <w:rsid w:val="00FC0348"/>
    <w:rsid w:val="00FE4A5E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5E5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382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287"/>
    <w:rPr>
      <w:sz w:val="20"/>
      <w:szCs w:val="20"/>
      <w:lang w:val="nb-NO" w:eastAsia="nb-NO"/>
    </w:rPr>
  </w:style>
  <w:style w:type="character" w:customStyle="1" w:styleId="CommentTextChar">
    <w:name w:val="Comment Text Char"/>
    <w:link w:val="CommentText"/>
    <w:uiPriority w:val="99"/>
    <w:rsid w:val="00382287"/>
    <w:rPr>
      <w:rFonts w:ascii="Times New Roman" w:eastAsia="Times New Roman" w:hAnsi="Times New Roman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