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AF196" w14:textId="77777777" w:rsidR="008B5ED8" w:rsidRPr="008B5ED8" w:rsidRDefault="008B5ED8" w:rsidP="008B5ED8">
      <w:pPr>
        <w:spacing w:after="320" w:line="480" w:lineRule="auto"/>
        <w:jc w:val="center"/>
        <w:rPr>
          <w:b/>
          <w:bCs/>
          <w:i/>
          <w:iCs/>
          <w:sz w:val="30"/>
          <w:szCs w:val="30"/>
          <w:u w:val="single"/>
        </w:rPr>
      </w:pPr>
      <w:r w:rsidRPr="008B5ED8">
        <w:rPr>
          <w:b/>
          <w:bCs/>
          <w:i/>
          <w:iCs/>
          <w:sz w:val="30"/>
          <w:szCs w:val="30"/>
          <w:u w:val="single"/>
        </w:rPr>
        <w:t>Review Article</w:t>
      </w:r>
    </w:p>
    <w:p w14:paraId="4924FE4E" w14:textId="77777777" w:rsidR="002A0601" w:rsidRPr="008F37D3" w:rsidRDefault="008F37D3">
      <w:pPr>
        <w:spacing w:after="320" w:line="480" w:lineRule="auto"/>
        <w:jc w:val="center"/>
        <w:rPr>
          <w:lang w:val="en-GB"/>
        </w:rPr>
      </w:pPr>
      <w:r w:rsidRPr="008F37D3">
        <w:rPr>
          <w:b/>
          <w:bCs/>
          <w:sz w:val="30"/>
          <w:szCs w:val="30"/>
          <w:lang w:val="en-GB"/>
        </w:rPr>
        <w:t xml:space="preserve">A Review of </w:t>
      </w:r>
      <w:r w:rsidR="00ED3E58" w:rsidRPr="008F37D3">
        <w:rPr>
          <w:b/>
          <w:bCs/>
          <w:sz w:val="30"/>
          <w:szCs w:val="30"/>
          <w:lang w:val="en-GB"/>
        </w:rPr>
        <w:t>Emerging Technologies in Agricultural Post-Harvest Processing and Quality Retention</w:t>
      </w:r>
    </w:p>
    <w:p w14:paraId="2B3CDC17" w14:textId="77777777" w:rsidR="002A0601" w:rsidRPr="008F37D3" w:rsidRDefault="00ED3E58">
      <w:pPr>
        <w:spacing w:line="360" w:lineRule="auto"/>
        <w:jc w:val="both"/>
        <w:rPr>
          <w:lang w:val="en-GB"/>
        </w:rPr>
      </w:pPr>
      <w:r w:rsidRPr="008F37D3">
        <w:rPr>
          <w:b/>
          <w:bCs/>
          <w:lang w:val="en-GB"/>
        </w:rPr>
        <w:t>Abstract</w:t>
      </w:r>
    </w:p>
    <w:p w14:paraId="58D42B75" w14:textId="17DB8DCC" w:rsidR="002A0601" w:rsidRDefault="00ED3E58">
      <w:pPr>
        <w:spacing w:after="200" w:line="360" w:lineRule="auto"/>
        <w:jc w:val="both"/>
        <w:rPr>
          <w:lang w:val="en-GB"/>
        </w:rPr>
      </w:pPr>
      <w:commentRangeStart w:id="0"/>
      <w:r w:rsidRPr="008F37D3">
        <w:rPr>
          <w:lang w:val="en-GB"/>
        </w:rPr>
        <w:t xml:space="preserve">Post-harvest </w:t>
      </w:r>
      <w:commentRangeEnd w:id="0"/>
      <w:r w:rsidR="006330FD">
        <w:rPr>
          <w:rStyle w:val="CommentReference"/>
        </w:rPr>
        <w:commentReference w:id="0"/>
      </w:r>
      <w:r w:rsidRPr="008F37D3">
        <w:rPr>
          <w:lang w:val="en-GB"/>
        </w:rPr>
        <w:t>losses represent one of the most pressing challenges</w:t>
      </w:r>
      <w:bookmarkStart w:id="1" w:name="_GoBack"/>
      <w:bookmarkEnd w:id="1"/>
      <w:r w:rsidRPr="008F37D3">
        <w:rPr>
          <w:lang w:val="en-GB"/>
        </w:rPr>
        <w:t xml:space="preserve"> to global food </w:t>
      </w:r>
      <w:proofErr w:type="gramStart"/>
      <w:r w:rsidRPr="008F37D3">
        <w:rPr>
          <w:lang w:val="en-GB"/>
        </w:rPr>
        <w:t>security,</w:t>
      </w:r>
      <w:proofErr w:type="gramEnd"/>
      <w:r w:rsidRPr="008F37D3">
        <w:rPr>
          <w:lang w:val="en-GB"/>
        </w:rPr>
        <w:t xml:space="preserve"> with credible estimates indicating that between 14% and 30% of all food produced for human consumption is lost or wasted before reaching the consumer. Addressing these losses requires a thorough understanding of the physiological, microbiological, and environmental drivers of deterioration, as well as the technological interventions capable of mitigating them. This narrative review synthesises the current state of knowledge on emerging and established technologies in agricultural post-harvest processing and quality retention, drawing primarily on peer-reviewed literature published between 2007 and 2026. The review examines a broad spectrum of approaches including controlled and modified atmosphere technologies; non-thermal processing methods such as high-pressure processing, pulsed electric fields, ultraviolet-C irradiation, pulsed light, ozone treatment, and cold plasma; chemical and biological interventions encompassing edible coatings, 1-methylcyclopropene (1-MCP), and biocontrol agents; digital and precision technologies including the Internet of Things (IoT), machine learning, computer vision, hyperspectral imaging, and blockchain-based traceability systems; and advanced drying technologies. The synthesis of evidence suggests that whilst each technology demonstrates merit under specific conditions, no single solution universally resolves post-harvest challenges. Integrated multi-technology approaches, supported by robust cold-chain infrastructure and intelligent monitoring systems, are emerging as the most effective strategy. Particular attention is drawn to the disparities in technology adoption between high-income and low-and-middle-income countries, and to the regulatory and economic barriers that impede wider deployment. Future research should prioritise scalable, cost-effective innovations and greater harmonisation of international standards governing post-harvest treatment.</w:t>
      </w:r>
    </w:p>
    <w:p w14:paraId="5CDB9909" w14:textId="6F8AC482" w:rsidR="00921E50" w:rsidRDefault="00921E50">
      <w:pPr>
        <w:spacing w:after="200" w:line="360" w:lineRule="auto"/>
        <w:jc w:val="both"/>
        <w:rPr>
          <w:lang w:val="en-GB"/>
        </w:rPr>
      </w:pPr>
    </w:p>
    <w:p w14:paraId="39A1B20D" w14:textId="77777777" w:rsidR="00921E50" w:rsidRPr="008F37D3" w:rsidRDefault="00921E50">
      <w:pPr>
        <w:spacing w:after="200" w:line="360" w:lineRule="auto"/>
        <w:jc w:val="both"/>
        <w:rPr>
          <w:lang w:val="en-GB"/>
        </w:rPr>
      </w:pPr>
    </w:p>
    <w:p w14:paraId="5E93FDD2" w14:textId="77777777" w:rsidR="002A0601" w:rsidRPr="008F37D3" w:rsidRDefault="00ED3E58">
      <w:pPr>
        <w:spacing w:line="360" w:lineRule="auto"/>
        <w:jc w:val="both"/>
        <w:rPr>
          <w:lang w:val="en-GB"/>
        </w:rPr>
      </w:pPr>
      <w:r w:rsidRPr="008F37D3">
        <w:rPr>
          <w:b/>
          <w:bCs/>
          <w:lang w:val="en-GB"/>
        </w:rPr>
        <w:lastRenderedPageBreak/>
        <w:t>Keywords</w:t>
      </w:r>
    </w:p>
    <w:p w14:paraId="6E7D44B7" w14:textId="77777777" w:rsidR="002A0601" w:rsidRPr="008F37D3" w:rsidRDefault="00ED3E58">
      <w:pPr>
        <w:spacing w:after="200" w:line="360" w:lineRule="auto"/>
        <w:jc w:val="both"/>
        <w:rPr>
          <w:lang w:val="en-GB"/>
        </w:rPr>
      </w:pPr>
      <w:r w:rsidRPr="008F37D3">
        <w:rPr>
          <w:lang w:val="en-GB"/>
        </w:rPr>
        <w:t>post-harvest technology; food quality retention; modified atmosphere packaging; high-pressure processing; edible coatings; 1-methylcyclopropene; pulsed electric fields; blockchain traceability; cold plasma; Internet of Things</w:t>
      </w:r>
    </w:p>
    <w:p w14:paraId="56C2221B" w14:textId="77777777" w:rsidR="002A0601" w:rsidRPr="008F37D3" w:rsidRDefault="002A0601">
      <w:pPr>
        <w:rPr>
          <w:lang w:val="en-GB"/>
        </w:rPr>
      </w:pPr>
    </w:p>
    <w:p w14:paraId="70A348F0" w14:textId="77777777" w:rsidR="002A0601" w:rsidRPr="008F37D3" w:rsidRDefault="00ED3E58">
      <w:pPr>
        <w:pStyle w:val="Heading1"/>
        <w:spacing w:before="360" w:after="120" w:line="480" w:lineRule="auto"/>
        <w:rPr>
          <w:lang w:val="en-GB"/>
        </w:rPr>
      </w:pPr>
      <w:r w:rsidRPr="008F37D3">
        <w:rPr>
          <w:lang w:val="en-GB"/>
        </w:rPr>
        <w:t>1. Introduction</w:t>
      </w:r>
    </w:p>
    <w:p w14:paraId="433204F1" w14:textId="77777777" w:rsidR="002A0601" w:rsidRPr="008F37D3" w:rsidRDefault="00ED3E58">
      <w:pPr>
        <w:spacing w:line="480" w:lineRule="auto"/>
        <w:ind w:firstLine="720"/>
        <w:jc w:val="both"/>
        <w:rPr>
          <w:lang w:val="en-GB"/>
        </w:rPr>
      </w:pPr>
      <w:r w:rsidRPr="008F37D3">
        <w:rPr>
          <w:lang w:val="en-GB"/>
        </w:rPr>
        <w:t xml:space="preserve">The global agricultural system faces a fundamental paradox: whilst hundreds of millions of people worldwide remain chronically undernourished, a substantial proportion of food produced for human consumption is lost before it reaches the consumer </w:t>
      </w:r>
      <w:commentRangeStart w:id="2"/>
      <w:r w:rsidRPr="008F37D3">
        <w:rPr>
          <w:lang w:val="en-GB"/>
        </w:rPr>
        <w:t>(FAO, 2019)</w:t>
      </w:r>
      <w:commentRangeEnd w:id="2"/>
      <w:r w:rsidR="00B2613D">
        <w:rPr>
          <w:rStyle w:val="CommentReference"/>
        </w:rPr>
        <w:commentReference w:id="2"/>
      </w:r>
      <w:r w:rsidRPr="008F37D3">
        <w:rPr>
          <w:lang w:val="en-GB"/>
        </w:rPr>
        <w:t xml:space="preserve">. Post-harvest losses—encompassing physical, qualitative, and nutritional degradation occurring between the point of harvest and the point of consumption—represent both an ethical failure and an economic catastrophe of considerable scale. These losses are not merely a supply-side inconvenience; they carry profound implications for food security, environmental sustainability, and the livelihoods of smallholder farmers across the developing world </w:t>
      </w:r>
      <w:commentRangeStart w:id="3"/>
      <w:r w:rsidRPr="008F37D3">
        <w:rPr>
          <w:lang w:val="en-GB"/>
        </w:rPr>
        <w:t xml:space="preserve">(Hodges </w:t>
      </w:r>
      <w:commentRangeStart w:id="4"/>
      <w:r w:rsidRPr="008F37D3">
        <w:rPr>
          <w:lang w:val="en-GB"/>
        </w:rPr>
        <w:t xml:space="preserve">et al., </w:t>
      </w:r>
      <w:commentRangeEnd w:id="4"/>
      <w:r w:rsidR="00B2613D">
        <w:rPr>
          <w:rStyle w:val="CommentReference"/>
        </w:rPr>
        <w:commentReference w:id="4"/>
      </w:r>
      <w:r w:rsidRPr="008F37D3">
        <w:rPr>
          <w:lang w:val="en-GB"/>
        </w:rPr>
        <w:t>2011)</w:t>
      </w:r>
      <w:commentRangeEnd w:id="3"/>
      <w:r w:rsidR="00B2613D">
        <w:rPr>
          <w:rStyle w:val="CommentReference"/>
        </w:rPr>
        <w:commentReference w:id="3"/>
      </w:r>
      <w:r w:rsidRPr="008F37D3">
        <w:rPr>
          <w:lang w:val="en-GB"/>
        </w:rPr>
        <w:t>. In low-and-middle-income countries, where cold-chain infrastructure is frequently absent or inadequate and supply chains are long and fragmented, post-harvest losses in highly perishable commodities such as fruits, vegetables, and fish can routinely exceed 40% to 50% of total production, representing a catastrophic erosion of the resources—land, water, labour, and energy—invested in primary production.</w:t>
      </w:r>
    </w:p>
    <w:p w14:paraId="70F45ECD" w14:textId="77777777" w:rsidR="002A0601" w:rsidRPr="008F37D3" w:rsidRDefault="00ED3E58">
      <w:pPr>
        <w:spacing w:line="480" w:lineRule="auto"/>
        <w:ind w:firstLine="720"/>
        <w:jc w:val="both"/>
        <w:rPr>
          <w:lang w:val="en-GB"/>
        </w:rPr>
      </w:pPr>
      <w:r w:rsidRPr="008F37D3">
        <w:rPr>
          <w:lang w:val="en-GB"/>
        </w:rPr>
        <w:t xml:space="preserve">The biological and biochemical processes responsible for post-harvest deterioration are well established. Respiration, transpiration, ethylene production, enzymatic browning, mechanical damage, and microbial colonisation collectively and synergistically drive the degradation of perishable commodities </w:t>
      </w:r>
      <w:commentRangeStart w:id="5"/>
      <w:r w:rsidRPr="008F37D3">
        <w:rPr>
          <w:lang w:val="en-GB"/>
        </w:rPr>
        <w:t xml:space="preserve">(Mahajan </w:t>
      </w:r>
      <w:commentRangeStart w:id="6"/>
      <w:r w:rsidRPr="008F37D3">
        <w:rPr>
          <w:lang w:val="en-GB"/>
        </w:rPr>
        <w:t xml:space="preserve">et al., </w:t>
      </w:r>
      <w:commentRangeEnd w:id="6"/>
      <w:r w:rsidR="00B2613D">
        <w:rPr>
          <w:rStyle w:val="CommentReference"/>
        </w:rPr>
        <w:commentReference w:id="6"/>
      </w:r>
      <w:r w:rsidRPr="008F37D3">
        <w:rPr>
          <w:lang w:val="en-GB"/>
        </w:rPr>
        <w:t>2014)</w:t>
      </w:r>
      <w:commentRangeEnd w:id="5"/>
      <w:r w:rsidR="00B2613D">
        <w:rPr>
          <w:rStyle w:val="CommentReference"/>
        </w:rPr>
        <w:commentReference w:id="5"/>
      </w:r>
      <w:r w:rsidRPr="008F37D3">
        <w:rPr>
          <w:lang w:val="en-GB"/>
        </w:rPr>
        <w:t xml:space="preserve">. Overcoming these challenges has necessitated centuries of empirical innovation, from rudimentary root-cellaring and sun-drying to the highly sophisticated controlled atmosphere storage systems and intelligent </w:t>
      </w:r>
      <w:r w:rsidRPr="008F37D3">
        <w:rPr>
          <w:lang w:val="en-GB"/>
        </w:rPr>
        <w:lastRenderedPageBreak/>
        <w:t>packaging platforms of the modern era. However, the pace of technological development has accelerated dramatically in recent decades, driven by advances in materials science, biotechnology, data analytics, and a deepening mechanistic understanding of plant post-harvest physiology. The emergence of non-thermal food processing methods, smart sensors, artificial intelligence, and distributed digital ledger technologies has introduced possibilities for post-harvest management that would have seemed improbable at the turn of the millennium.</w:t>
      </w:r>
    </w:p>
    <w:p w14:paraId="69E5C2B9" w14:textId="77777777" w:rsidR="002A0601" w:rsidRPr="008F37D3" w:rsidRDefault="00ED3E58">
      <w:pPr>
        <w:spacing w:line="480" w:lineRule="auto"/>
        <w:ind w:firstLine="720"/>
        <w:jc w:val="both"/>
        <w:rPr>
          <w:lang w:val="en-GB"/>
        </w:rPr>
      </w:pPr>
      <w:r w:rsidRPr="008F37D3">
        <w:rPr>
          <w:lang w:val="en-GB"/>
        </w:rPr>
        <w:t xml:space="preserve">The significance of this technological evolution extends beyond the immediate preservation of commodity quality. In the context of the United Nations Sustainable Development Goal 12.3, which commits to halving per capita food waste at retail and consumer levels by 2030 and to reducing food losses along production and supply chains, the development and adoption of effective post-harvest technologies assumes renewed urgency </w:t>
      </w:r>
      <w:commentRangeStart w:id="7"/>
      <w:r w:rsidRPr="008F37D3">
        <w:rPr>
          <w:lang w:val="en-GB"/>
        </w:rPr>
        <w:t>(UNEP, 2021)</w:t>
      </w:r>
      <w:commentRangeEnd w:id="7"/>
      <w:r w:rsidR="00B2613D">
        <w:rPr>
          <w:rStyle w:val="CommentReference"/>
        </w:rPr>
        <w:commentReference w:id="7"/>
      </w:r>
      <w:r w:rsidRPr="008F37D3">
        <w:rPr>
          <w:lang w:val="en-GB"/>
        </w:rPr>
        <w:t xml:space="preserve">. Simultaneously, growing consumer demand for minimally processed, chemically preserved foods has catalysed interest in non-thermal processing methods that preserve nutritional and sensory attributes whilst ensuring microbiological safety </w:t>
      </w:r>
      <w:commentRangeStart w:id="8"/>
      <w:r w:rsidRPr="008F37D3">
        <w:rPr>
          <w:lang w:val="en-GB"/>
        </w:rPr>
        <w:t>(</w:t>
      </w:r>
      <w:proofErr w:type="spellStart"/>
      <w:r w:rsidRPr="008F37D3">
        <w:rPr>
          <w:lang w:val="en-GB"/>
        </w:rPr>
        <w:t>Misra</w:t>
      </w:r>
      <w:proofErr w:type="spellEnd"/>
      <w:r w:rsidRPr="008F37D3">
        <w:rPr>
          <w:lang w:val="en-GB"/>
        </w:rPr>
        <w:t xml:space="preserve"> </w:t>
      </w:r>
      <w:commentRangeStart w:id="9"/>
      <w:r w:rsidRPr="008F37D3">
        <w:rPr>
          <w:lang w:val="en-GB"/>
        </w:rPr>
        <w:t>et al.,</w:t>
      </w:r>
      <w:commentRangeEnd w:id="9"/>
      <w:r w:rsidR="00B2613D">
        <w:rPr>
          <w:rStyle w:val="CommentReference"/>
        </w:rPr>
        <w:commentReference w:id="9"/>
      </w:r>
      <w:r w:rsidRPr="008F37D3">
        <w:rPr>
          <w:lang w:val="en-GB"/>
        </w:rPr>
        <w:t xml:space="preserve"> 2017)</w:t>
      </w:r>
      <w:commentRangeEnd w:id="8"/>
      <w:r w:rsidR="00B2613D">
        <w:rPr>
          <w:rStyle w:val="CommentReference"/>
        </w:rPr>
        <w:commentReference w:id="8"/>
      </w:r>
      <w:r w:rsidRPr="008F37D3">
        <w:rPr>
          <w:lang w:val="en-GB"/>
        </w:rPr>
        <w:t>. This dual imperative—reduce losses whilst meeting evolving consumer quality expectations—defines the central challenge of contemporary post-harvest science.</w:t>
      </w:r>
    </w:p>
    <w:p w14:paraId="2E6C34E9" w14:textId="77777777" w:rsidR="002A0601" w:rsidRPr="008F37D3" w:rsidRDefault="00ED3E58">
      <w:pPr>
        <w:spacing w:line="480" w:lineRule="auto"/>
        <w:ind w:firstLine="720"/>
        <w:jc w:val="both"/>
        <w:rPr>
          <w:lang w:val="en-GB"/>
        </w:rPr>
      </w:pPr>
      <w:r w:rsidRPr="008F37D3">
        <w:rPr>
          <w:lang w:val="en-GB"/>
        </w:rPr>
        <w:t>Despite a rapidly expanding body of primary research, comprehensive synthesis of the interdisciplinary knowledge base spanning technology, biology, policy, and economics remains limited. Existing reviews often address individual technologies in isolation, leaving practitioners and policymakers without a holistic view of the landscape. This review seeks to address that gap by providing a narrative synthesis of the principal emerging technologies in agricultural post-harvest processing and quality retention, examining their mechanisms, efficacy, limitations, and integration potential across the post-harvest continuum.</w:t>
      </w:r>
    </w:p>
    <w:p w14:paraId="0836923C" w14:textId="77777777" w:rsidR="002A0601" w:rsidRPr="008F37D3" w:rsidRDefault="00ED3E58">
      <w:pPr>
        <w:pStyle w:val="Heading2"/>
        <w:spacing w:after="80" w:line="480" w:lineRule="auto"/>
        <w:rPr>
          <w:lang w:val="en-GB"/>
        </w:rPr>
      </w:pPr>
      <w:r w:rsidRPr="008F37D3">
        <w:rPr>
          <w:lang w:val="en-GB"/>
        </w:rPr>
        <w:t>1.1 Scope and Objectives of the Review</w:t>
      </w:r>
    </w:p>
    <w:p w14:paraId="3094B521" w14:textId="77777777" w:rsidR="002A0601" w:rsidRPr="008F37D3" w:rsidRDefault="00ED3E58">
      <w:pPr>
        <w:spacing w:line="480" w:lineRule="auto"/>
        <w:ind w:firstLine="720"/>
        <w:jc w:val="both"/>
        <w:rPr>
          <w:lang w:val="en-GB"/>
        </w:rPr>
      </w:pPr>
      <w:r w:rsidRPr="008F37D3">
        <w:rPr>
          <w:lang w:val="en-GB"/>
        </w:rPr>
        <w:lastRenderedPageBreak/>
        <w:t>This review focuses on post-harvest technologies applicable to fresh and minimally processed fruits, vegetables, grains, and their derived products. It encompasses technologies operating across the continuum from immediate post-harvest handling through storage, processing, and distribution. The primary objectives are: to describe and critically appraise the principal emerging and advanced post-harvest technologies in terms of their mechanisms and demonstrated efficacy; to examine the integration of digital and precision technologies in cold-chain management and quality monitoring; to identify key barriers to adoption and areas requiring further research; and to offer a forward-looking perspective on the trajectory of this field. The review does not encompass primary production practices, genetic improvement strategies, or consumer-stage interventions unless these directly intersect with post-harvest handling. Mathematical and engineering derivations are beyond the scope of this narrative review.</w:t>
      </w:r>
    </w:p>
    <w:p w14:paraId="53F588B5" w14:textId="77777777" w:rsidR="002A0601" w:rsidRPr="008F37D3" w:rsidRDefault="00ED3E58">
      <w:pPr>
        <w:pStyle w:val="Heading1"/>
        <w:spacing w:before="360" w:after="120" w:line="480" w:lineRule="auto"/>
        <w:rPr>
          <w:lang w:val="en-GB"/>
        </w:rPr>
      </w:pPr>
      <w:r w:rsidRPr="008F37D3">
        <w:rPr>
          <w:lang w:val="en-GB"/>
        </w:rPr>
        <w:t>2. Methods for Literature Selection</w:t>
      </w:r>
    </w:p>
    <w:p w14:paraId="0D8A59CE" w14:textId="77777777" w:rsidR="002A0601" w:rsidRPr="008F37D3" w:rsidRDefault="00ED3E58">
      <w:pPr>
        <w:spacing w:line="480" w:lineRule="auto"/>
        <w:ind w:firstLine="720"/>
        <w:jc w:val="both"/>
        <w:rPr>
          <w:lang w:val="en-GB"/>
        </w:rPr>
      </w:pPr>
      <w:r w:rsidRPr="008F37D3">
        <w:rPr>
          <w:lang w:val="en-GB"/>
        </w:rPr>
        <w:t xml:space="preserve">A narrative approach was selected because the subject matter spans multiple disciplines—food science, engineering, microbiology, informatics, and policy—and requires qualitative synthesis of heterogeneous evidence types that are not amenable to the quantitative meta-analytic methods characteristic of systematic reviews. As articulated by </w:t>
      </w:r>
      <w:commentRangeStart w:id="10"/>
      <w:r w:rsidRPr="008F37D3">
        <w:rPr>
          <w:lang w:val="en-GB"/>
        </w:rPr>
        <w:t xml:space="preserve">Ferrari (2015) </w:t>
      </w:r>
      <w:commentRangeEnd w:id="10"/>
      <w:r w:rsidR="00B2613D">
        <w:rPr>
          <w:rStyle w:val="CommentReference"/>
        </w:rPr>
        <w:commentReference w:id="10"/>
      </w:r>
      <w:r w:rsidRPr="008F37D3">
        <w:rPr>
          <w:lang w:val="en-GB"/>
        </w:rPr>
        <w:t xml:space="preserve">and </w:t>
      </w:r>
      <w:commentRangeStart w:id="11"/>
      <w:proofErr w:type="spellStart"/>
      <w:r w:rsidRPr="008F37D3">
        <w:rPr>
          <w:lang w:val="en-GB"/>
        </w:rPr>
        <w:t>Baumeister</w:t>
      </w:r>
      <w:proofErr w:type="spellEnd"/>
      <w:r w:rsidRPr="008F37D3">
        <w:rPr>
          <w:lang w:val="en-GB"/>
        </w:rPr>
        <w:t xml:space="preserve"> and Leary (1997)</w:t>
      </w:r>
      <w:commentRangeEnd w:id="11"/>
      <w:r w:rsidR="00B2613D">
        <w:rPr>
          <w:rStyle w:val="CommentReference"/>
        </w:rPr>
        <w:commentReference w:id="11"/>
      </w:r>
      <w:r w:rsidRPr="008F37D3">
        <w:rPr>
          <w:lang w:val="en-GB"/>
        </w:rPr>
        <w:t>, narrative reviews are appropriate when the objective is to construct a broad conceptual framework and to integrate findings across methodologically diverse studies, rather than to answer a precisely defined technical question amenable to quantitative pooling.</w:t>
      </w:r>
    </w:p>
    <w:p w14:paraId="0FA3E358" w14:textId="77777777" w:rsidR="002A0601" w:rsidRPr="008F37D3" w:rsidRDefault="00ED3E58">
      <w:pPr>
        <w:spacing w:line="480" w:lineRule="auto"/>
        <w:ind w:firstLine="720"/>
        <w:jc w:val="both"/>
        <w:rPr>
          <w:lang w:val="en-GB"/>
        </w:rPr>
      </w:pPr>
      <w:r w:rsidRPr="008F37D3">
        <w:rPr>
          <w:lang w:val="en-GB"/>
        </w:rPr>
        <w:t xml:space="preserve">Literature was identified through searches of the following academic databases: Web of Science, Scopus, PubMed, and Google Scholar. The primary search string combined terms including 'post-harvest technology,' 'food quality retention,' 'post-harvest losses,' 'modified </w:t>
      </w:r>
      <w:r w:rsidRPr="008F37D3">
        <w:rPr>
          <w:lang w:val="en-GB"/>
        </w:rPr>
        <w:lastRenderedPageBreak/>
        <w:t xml:space="preserve">atmosphere packaging,' 'edible coatings,' 'high-pressure processing,' 'pulsed electric fields,' 'UV-C irradiation,' '1-methylcyclopropene,' 'blockchain food traceability,' 'IoT cold chain,' and 'cold plasma food.' Boolean operators </w:t>
      </w:r>
      <w:commentRangeStart w:id="12"/>
      <w:r w:rsidRPr="008F37D3">
        <w:rPr>
          <w:lang w:val="en-GB"/>
        </w:rPr>
        <w:t xml:space="preserve">(AND, OR) </w:t>
      </w:r>
      <w:commentRangeEnd w:id="12"/>
      <w:r w:rsidR="00B2613D">
        <w:rPr>
          <w:rStyle w:val="CommentReference"/>
        </w:rPr>
        <w:commentReference w:id="12"/>
      </w:r>
      <w:r w:rsidRPr="008F37D3">
        <w:rPr>
          <w:lang w:val="en-GB"/>
        </w:rPr>
        <w:t>were used to construct multi-term queries; truncation and wildcard characters were applied where supported by the database interface. Searches were conducted with a primary date range of 2007 to 2026, allowing for the inclusion of a robust body of recent evidence. Classic foundational references published before 2007 were also included where they established seminal concepts or provided the only authoritative account of a given phenomenon.</w:t>
      </w:r>
    </w:p>
    <w:p w14:paraId="1D556097" w14:textId="77777777" w:rsidR="002A0601" w:rsidRPr="008F37D3" w:rsidRDefault="00ED3E58">
      <w:pPr>
        <w:spacing w:line="480" w:lineRule="auto"/>
        <w:ind w:firstLine="720"/>
        <w:jc w:val="both"/>
        <w:rPr>
          <w:lang w:val="en-GB"/>
        </w:rPr>
      </w:pPr>
      <w:r w:rsidRPr="008F37D3">
        <w:rPr>
          <w:lang w:val="en-GB"/>
        </w:rPr>
        <w:t>Studies were included on the basis of the following criteria: publication in peer-reviewed academic journals; direct relevance to post-harvest processing or quality retention in agricultural produce; availability in the English language; and sufficient methodological transparency to permit critical appraisal. Grey literature, conference proceedings, theses, and book chapters were excluded from primary consideration to ensure the quality and verifiability of the evidence base. Reports from intergovernmental organisations such as the Food and Agriculture Organization of the United Nations (FAO) and the United Nations Environment Programme (UNEP) were included where they provided verifiable statistical data unavailable in the peer-reviewed literature, and are identified as such in the reference list with their full URL. Duplicate records retrieved across multiple databases were identified by title and author matching and removed prior to screening. Influential studies were selected on the basis of methodological rigour, journal quality, and relevance to the review's objectives. Studies with exceptionally high citation counts that pre-dated the primary date range were retained as foundational references, provided they were published in peer-reviewed academic journals.</w:t>
      </w:r>
    </w:p>
    <w:p w14:paraId="6F674E7B" w14:textId="77777777" w:rsidR="002A0601" w:rsidRPr="008F37D3" w:rsidRDefault="00ED3E58">
      <w:pPr>
        <w:pStyle w:val="Heading1"/>
        <w:spacing w:before="360" w:after="120" w:line="480" w:lineRule="auto"/>
        <w:rPr>
          <w:lang w:val="en-GB"/>
        </w:rPr>
      </w:pPr>
      <w:r w:rsidRPr="008F37D3">
        <w:rPr>
          <w:lang w:val="en-GB"/>
        </w:rPr>
        <w:t>3. Global Post-Harvest Losses: Context and Magnitude</w:t>
      </w:r>
    </w:p>
    <w:p w14:paraId="693AA56A" w14:textId="77777777" w:rsidR="002A0601" w:rsidRPr="008F37D3" w:rsidRDefault="00ED3E58">
      <w:pPr>
        <w:pStyle w:val="Heading2"/>
        <w:spacing w:after="80" w:line="480" w:lineRule="auto"/>
        <w:rPr>
          <w:lang w:val="en-GB"/>
        </w:rPr>
      </w:pPr>
      <w:r w:rsidRPr="008F37D3">
        <w:rPr>
          <w:lang w:val="en-GB"/>
        </w:rPr>
        <w:lastRenderedPageBreak/>
        <w:t>3.1 Scale and Economic Impact</w:t>
      </w:r>
    </w:p>
    <w:p w14:paraId="09E8C088" w14:textId="77777777" w:rsidR="002A0601" w:rsidRPr="008F37D3" w:rsidRDefault="00ED3E58">
      <w:pPr>
        <w:spacing w:line="480" w:lineRule="auto"/>
        <w:ind w:firstLine="720"/>
        <w:jc w:val="both"/>
        <w:rPr>
          <w:lang w:val="en-GB"/>
        </w:rPr>
      </w:pPr>
      <w:r w:rsidRPr="008F37D3">
        <w:rPr>
          <w:lang w:val="en-GB"/>
        </w:rPr>
        <w:t xml:space="preserve">The scale of global post-harvest losses is staggering by any measure. The Food and Agriculture Organization of the United Nations estimated in its landmark 2011 report that approximately one-third of food produced globally for human consumption—approximately 1.3 billion tonnes per annum—is either lost or wasted </w:t>
      </w:r>
      <w:commentRangeStart w:id="13"/>
      <w:r w:rsidRPr="008F37D3">
        <w:rPr>
          <w:lang w:val="en-GB"/>
        </w:rPr>
        <w:t>(FAO, 2011)</w:t>
      </w:r>
      <w:commentRangeEnd w:id="13"/>
      <w:r w:rsidR="00B2613D">
        <w:rPr>
          <w:rStyle w:val="CommentReference"/>
        </w:rPr>
        <w:commentReference w:id="13"/>
      </w:r>
      <w:r w:rsidRPr="008F37D3">
        <w:rPr>
          <w:lang w:val="en-GB"/>
        </w:rPr>
        <w:t xml:space="preserve">. More recent analyses have refined and nuanced this estimate; the FAO's 2019 report estimates that food loss occurring between harvest and the retail level accounts for approximately 14% of total food produced globally, with this figure masking enormous variability across commodity types and geographical regions </w:t>
      </w:r>
      <w:commentRangeStart w:id="14"/>
      <w:r w:rsidRPr="008F37D3">
        <w:rPr>
          <w:lang w:val="en-GB"/>
        </w:rPr>
        <w:t>(FAO, 2019)</w:t>
      </w:r>
      <w:commentRangeEnd w:id="14"/>
      <w:r w:rsidR="00B2613D">
        <w:rPr>
          <w:rStyle w:val="CommentReference"/>
        </w:rPr>
        <w:commentReference w:id="14"/>
      </w:r>
      <w:r w:rsidRPr="008F37D3">
        <w:rPr>
          <w:lang w:val="en-GB"/>
        </w:rPr>
        <w:t xml:space="preserve">. The United Nations Environment Programme's 2021 Food Waste Index further estimates that an additional 17% of food is wasted at retail and consumer levels, underscoring the breadth of the challenge across the entire food value chain </w:t>
      </w:r>
      <w:commentRangeStart w:id="15"/>
      <w:r w:rsidRPr="008F37D3">
        <w:rPr>
          <w:lang w:val="en-GB"/>
        </w:rPr>
        <w:t>(UNEP, 2021)</w:t>
      </w:r>
      <w:commentRangeEnd w:id="15"/>
      <w:r w:rsidR="00B2613D">
        <w:rPr>
          <w:rStyle w:val="CommentReference"/>
        </w:rPr>
        <w:commentReference w:id="15"/>
      </w:r>
      <w:r w:rsidRPr="008F37D3">
        <w:rPr>
          <w:lang w:val="en-GB"/>
        </w:rPr>
        <w:t>.</w:t>
      </w:r>
    </w:p>
    <w:p w14:paraId="412EDFE6" w14:textId="77777777" w:rsidR="002A0601" w:rsidRPr="008F37D3" w:rsidRDefault="00ED3E58">
      <w:pPr>
        <w:spacing w:line="480" w:lineRule="auto"/>
        <w:ind w:firstLine="720"/>
        <w:jc w:val="both"/>
        <w:rPr>
          <w:lang w:val="en-GB"/>
        </w:rPr>
      </w:pPr>
      <w:r w:rsidRPr="008F37D3">
        <w:rPr>
          <w:lang w:val="en-GB"/>
        </w:rPr>
        <w:t xml:space="preserve">The economic dimensions of post-harvest losses are equally sobering. </w:t>
      </w:r>
      <w:commentRangeStart w:id="16"/>
      <w:r w:rsidRPr="008F37D3">
        <w:rPr>
          <w:lang w:val="en-GB"/>
        </w:rPr>
        <w:t xml:space="preserve">Hodges </w:t>
      </w:r>
      <w:commentRangeStart w:id="17"/>
      <w:r w:rsidRPr="008F37D3">
        <w:rPr>
          <w:lang w:val="en-GB"/>
        </w:rPr>
        <w:t xml:space="preserve">et al. </w:t>
      </w:r>
      <w:commentRangeEnd w:id="17"/>
      <w:r w:rsidR="00B2613D">
        <w:rPr>
          <w:rStyle w:val="CommentReference"/>
        </w:rPr>
        <w:commentReference w:id="17"/>
      </w:r>
      <w:r w:rsidRPr="008F37D3">
        <w:rPr>
          <w:lang w:val="en-GB"/>
        </w:rPr>
        <w:t>(2011)</w:t>
      </w:r>
      <w:commentRangeEnd w:id="16"/>
      <w:r w:rsidR="00B2613D">
        <w:rPr>
          <w:rStyle w:val="CommentReference"/>
        </w:rPr>
        <w:commentReference w:id="16"/>
      </w:r>
      <w:r w:rsidRPr="008F37D3">
        <w:rPr>
          <w:lang w:val="en-GB"/>
        </w:rPr>
        <w:t xml:space="preserve"> emphasised that losses are disproportionately concentrated in sub-Saharan Africa, South Asia, and Southeast Asia, where inadequate infrastructure, limited access to refrigeration, and weak supply-chain organisation amplify the physiological drivers of deterioration. In these regions, post-harvest losses in perishable commodities such as fruits and vegetables commonly exceed 40% to 50% of production, representing a catastrophic erosion of farm-gate income for smallholder producers who typically operate on margins that afford no tolerance for waste. The opportunity cost of these losses, in terms of food security, nutritional access, and resource utilisation—land, water, energy, and labour—compounds the direct economic harm. By contrast, in high-income countries, post-harvest losses at the production, storage, and processing stages are comparatively lower, but absolute volumes lost are still substantial owing to the scale of production and the high financial and resource value of the commodities involved </w:t>
      </w:r>
      <w:commentRangeStart w:id="18"/>
      <w:r w:rsidRPr="008F37D3">
        <w:rPr>
          <w:lang w:val="en-GB"/>
        </w:rPr>
        <w:t xml:space="preserve">(Hodges </w:t>
      </w:r>
      <w:commentRangeStart w:id="19"/>
      <w:r w:rsidRPr="008F37D3">
        <w:rPr>
          <w:lang w:val="en-GB"/>
        </w:rPr>
        <w:t xml:space="preserve">et al., </w:t>
      </w:r>
      <w:commentRangeEnd w:id="19"/>
      <w:r w:rsidR="00B2613D">
        <w:rPr>
          <w:rStyle w:val="CommentReference"/>
        </w:rPr>
        <w:commentReference w:id="19"/>
      </w:r>
      <w:r w:rsidRPr="008F37D3">
        <w:rPr>
          <w:lang w:val="en-GB"/>
        </w:rPr>
        <w:t>2011)</w:t>
      </w:r>
      <w:commentRangeEnd w:id="18"/>
      <w:r w:rsidR="00B2613D">
        <w:rPr>
          <w:rStyle w:val="CommentReference"/>
        </w:rPr>
        <w:commentReference w:id="18"/>
      </w:r>
      <w:r w:rsidRPr="008F37D3">
        <w:rPr>
          <w:lang w:val="en-GB"/>
        </w:rPr>
        <w:t>.</w:t>
      </w:r>
    </w:p>
    <w:p w14:paraId="3E5040C3" w14:textId="77777777" w:rsidR="002A0601" w:rsidRPr="008F37D3" w:rsidRDefault="00ED3E58">
      <w:pPr>
        <w:pStyle w:val="Heading2"/>
        <w:spacing w:after="80" w:line="480" w:lineRule="auto"/>
        <w:rPr>
          <w:lang w:val="en-GB"/>
        </w:rPr>
      </w:pPr>
      <w:r w:rsidRPr="008F37D3">
        <w:rPr>
          <w:lang w:val="en-GB"/>
        </w:rPr>
        <w:lastRenderedPageBreak/>
        <w:t>3.2 Principal Causes of Post-Harvest Deterioration</w:t>
      </w:r>
    </w:p>
    <w:p w14:paraId="27D15A40" w14:textId="77777777" w:rsidR="002A0601" w:rsidRPr="008F37D3" w:rsidRDefault="00ED3E58">
      <w:pPr>
        <w:spacing w:line="480" w:lineRule="auto"/>
        <w:ind w:firstLine="720"/>
        <w:jc w:val="both"/>
        <w:rPr>
          <w:lang w:val="en-GB"/>
        </w:rPr>
      </w:pPr>
      <w:r w:rsidRPr="008F37D3">
        <w:rPr>
          <w:lang w:val="en-GB"/>
        </w:rPr>
        <w:t xml:space="preserve">Post-harvest deterioration arises from a complex interplay of biological, environmental, and mechanical factors. At the cellular level, continued respiration following harvest depletes substrates and generates heat and carbon dioxide, accelerating senescence and softening </w:t>
      </w:r>
      <w:commentRangeStart w:id="20"/>
      <w:r w:rsidRPr="008F37D3">
        <w:rPr>
          <w:lang w:val="en-GB"/>
        </w:rPr>
        <w:t xml:space="preserve">(Mahajan </w:t>
      </w:r>
      <w:commentRangeStart w:id="21"/>
      <w:r w:rsidRPr="008F37D3">
        <w:rPr>
          <w:lang w:val="en-GB"/>
        </w:rPr>
        <w:t xml:space="preserve">et al., </w:t>
      </w:r>
      <w:commentRangeEnd w:id="21"/>
      <w:r w:rsidR="008144AE">
        <w:rPr>
          <w:rStyle w:val="CommentReference"/>
        </w:rPr>
        <w:commentReference w:id="21"/>
      </w:r>
      <w:r w:rsidRPr="008F37D3">
        <w:rPr>
          <w:lang w:val="en-GB"/>
        </w:rPr>
        <w:t>2014)</w:t>
      </w:r>
      <w:commentRangeEnd w:id="20"/>
      <w:r w:rsidR="008144AE">
        <w:rPr>
          <w:rStyle w:val="CommentReference"/>
        </w:rPr>
        <w:commentReference w:id="20"/>
      </w:r>
      <w:r w:rsidRPr="008F37D3">
        <w:rPr>
          <w:lang w:val="en-GB"/>
        </w:rPr>
        <w:t xml:space="preserve">. Ethylene, a gaseous plant hormone produced endogenously by climacteric fruits in particular, acts as the principal molecular trigger of ripening and senescence, orchestrating a cascade of biochemical changes including chlorophyll degradation, cell-wall dismantlement, starch-to-sugar conversion, and aroma volatilisation </w:t>
      </w:r>
      <w:commentRangeStart w:id="22"/>
      <w:r w:rsidRPr="008F37D3">
        <w:rPr>
          <w:lang w:val="en-GB"/>
        </w:rPr>
        <w:t>(Watkins, 2006)</w:t>
      </w:r>
      <w:commentRangeEnd w:id="22"/>
      <w:r w:rsidR="008144AE">
        <w:rPr>
          <w:rStyle w:val="CommentReference"/>
        </w:rPr>
        <w:commentReference w:id="22"/>
      </w:r>
      <w:r w:rsidRPr="008F37D3">
        <w:rPr>
          <w:lang w:val="en-GB"/>
        </w:rPr>
        <w:t xml:space="preserve">. </w:t>
      </w:r>
      <w:proofErr w:type="spellStart"/>
      <w:r w:rsidRPr="008F37D3">
        <w:rPr>
          <w:lang w:val="en-GB"/>
        </w:rPr>
        <w:t>Transpirational</w:t>
      </w:r>
      <w:proofErr w:type="spellEnd"/>
      <w:r w:rsidRPr="008F37D3">
        <w:rPr>
          <w:lang w:val="en-GB"/>
        </w:rPr>
        <w:t xml:space="preserve"> water loss through the commodity's epidermis contributes to wilting, shrivelling, and textural deterioration, whilst enzymatic browning reactions—initiated upon tissue damage via the action of polyphenol oxidase and peroxidase enzymes—are responsible for the visual defects that render many commodities commercially unacceptable long before advanced microbial spoilage is apparent </w:t>
      </w:r>
      <w:commentRangeStart w:id="23"/>
      <w:r w:rsidRPr="008F37D3">
        <w:rPr>
          <w:lang w:val="en-GB"/>
        </w:rPr>
        <w:t>(</w:t>
      </w:r>
      <w:proofErr w:type="spellStart"/>
      <w:r w:rsidRPr="008F37D3">
        <w:rPr>
          <w:lang w:val="en-GB"/>
        </w:rPr>
        <w:t>Oms-Oliu</w:t>
      </w:r>
      <w:proofErr w:type="spellEnd"/>
      <w:r w:rsidRPr="008F37D3">
        <w:rPr>
          <w:lang w:val="en-GB"/>
        </w:rPr>
        <w:t xml:space="preserve"> </w:t>
      </w:r>
      <w:commentRangeStart w:id="24"/>
      <w:r w:rsidRPr="008F37D3">
        <w:rPr>
          <w:lang w:val="en-GB"/>
        </w:rPr>
        <w:t xml:space="preserve">et al., </w:t>
      </w:r>
      <w:commentRangeEnd w:id="24"/>
      <w:r w:rsidR="008144AE">
        <w:rPr>
          <w:rStyle w:val="CommentReference"/>
        </w:rPr>
        <w:commentReference w:id="24"/>
      </w:r>
      <w:r w:rsidRPr="008F37D3">
        <w:rPr>
          <w:lang w:val="en-GB"/>
        </w:rPr>
        <w:t>2010)</w:t>
      </w:r>
      <w:commentRangeEnd w:id="23"/>
      <w:r w:rsidR="008144AE">
        <w:rPr>
          <w:rStyle w:val="CommentReference"/>
        </w:rPr>
        <w:commentReference w:id="23"/>
      </w:r>
      <w:r w:rsidRPr="008F37D3">
        <w:rPr>
          <w:lang w:val="en-GB"/>
        </w:rPr>
        <w:t>.</w:t>
      </w:r>
    </w:p>
    <w:p w14:paraId="258001D3" w14:textId="77777777" w:rsidR="002A0601" w:rsidRPr="008F37D3" w:rsidRDefault="00ED3E58">
      <w:pPr>
        <w:spacing w:line="480" w:lineRule="auto"/>
        <w:ind w:firstLine="720"/>
        <w:jc w:val="both"/>
        <w:rPr>
          <w:lang w:val="en-GB"/>
        </w:rPr>
      </w:pPr>
      <w:r w:rsidRPr="008F37D3">
        <w:rPr>
          <w:lang w:val="en-GB"/>
        </w:rPr>
        <w:t xml:space="preserve">Superimposed upon these physiological processes are the activities of bacterial, fungal, and yeast populations, which proliferate rapidly in damaged or senescent tissue and are responsible for the majority of post-harvest losses in tropical and subtropical environments </w:t>
      </w:r>
      <w:commentRangeStart w:id="25"/>
      <w:r w:rsidRPr="008F37D3">
        <w:rPr>
          <w:lang w:val="en-GB"/>
        </w:rPr>
        <w:t xml:space="preserve">(Sharma </w:t>
      </w:r>
      <w:commentRangeStart w:id="26"/>
      <w:r w:rsidRPr="008F37D3">
        <w:rPr>
          <w:lang w:val="en-GB"/>
        </w:rPr>
        <w:t xml:space="preserve">et al., </w:t>
      </w:r>
      <w:commentRangeEnd w:id="26"/>
      <w:r w:rsidR="008144AE">
        <w:rPr>
          <w:rStyle w:val="CommentReference"/>
        </w:rPr>
        <w:commentReference w:id="26"/>
      </w:r>
      <w:r w:rsidRPr="008F37D3">
        <w:rPr>
          <w:lang w:val="en-GB"/>
        </w:rPr>
        <w:t>2009)</w:t>
      </w:r>
      <w:commentRangeEnd w:id="25"/>
      <w:r w:rsidR="008144AE">
        <w:rPr>
          <w:rStyle w:val="CommentReference"/>
        </w:rPr>
        <w:commentReference w:id="25"/>
      </w:r>
      <w:r w:rsidRPr="008F37D3">
        <w:rPr>
          <w:lang w:val="en-GB"/>
        </w:rPr>
        <w:t xml:space="preserve">. Key fungal pathogens including </w:t>
      </w:r>
      <w:commentRangeStart w:id="27"/>
      <w:r w:rsidRPr="008F37D3">
        <w:rPr>
          <w:lang w:val="en-GB"/>
        </w:rPr>
        <w:t xml:space="preserve">Botrytis </w:t>
      </w:r>
      <w:proofErr w:type="spellStart"/>
      <w:r w:rsidRPr="008F37D3">
        <w:rPr>
          <w:lang w:val="en-GB"/>
        </w:rPr>
        <w:t>cinerea</w:t>
      </w:r>
      <w:commentRangeEnd w:id="27"/>
      <w:proofErr w:type="spellEnd"/>
      <w:r w:rsidR="008144AE">
        <w:rPr>
          <w:rStyle w:val="CommentReference"/>
        </w:rPr>
        <w:commentReference w:id="27"/>
      </w:r>
      <w:r w:rsidRPr="008F37D3">
        <w:rPr>
          <w:lang w:val="en-GB"/>
        </w:rPr>
        <w:t xml:space="preserve">, </w:t>
      </w:r>
      <w:commentRangeStart w:id="28"/>
      <w:proofErr w:type="spellStart"/>
      <w:r w:rsidRPr="008F37D3">
        <w:rPr>
          <w:lang w:val="en-GB"/>
        </w:rPr>
        <w:t>Penicillium</w:t>
      </w:r>
      <w:proofErr w:type="spellEnd"/>
      <w:r w:rsidRPr="008F37D3">
        <w:rPr>
          <w:lang w:val="en-GB"/>
        </w:rPr>
        <w:t xml:space="preserve"> </w:t>
      </w:r>
      <w:proofErr w:type="spellStart"/>
      <w:r w:rsidRPr="008F37D3">
        <w:rPr>
          <w:lang w:val="en-GB"/>
        </w:rPr>
        <w:t>expansum</w:t>
      </w:r>
      <w:commentRangeEnd w:id="28"/>
      <w:proofErr w:type="spellEnd"/>
      <w:r w:rsidR="008144AE">
        <w:rPr>
          <w:rStyle w:val="CommentReference"/>
        </w:rPr>
        <w:commentReference w:id="28"/>
      </w:r>
      <w:r w:rsidRPr="008F37D3">
        <w:rPr>
          <w:lang w:val="en-GB"/>
        </w:rPr>
        <w:t xml:space="preserve">, </w:t>
      </w:r>
      <w:commentRangeStart w:id="29"/>
      <w:proofErr w:type="spellStart"/>
      <w:r w:rsidRPr="008F37D3">
        <w:rPr>
          <w:lang w:val="en-GB"/>
        </w:rPr>
        <w:t>Rhizopus</w:t>
      </w:r>
      <w:proofErr w:type="spellEnd"/>
      <w:r w:rsidRPr="008F37D3">
        <w:rPr>
          <w:lang w:val="en-GB"/>
        </w:rPr>
        <w:t xml:space="preserve"> </w:t>
      </w:r>
      <w:proofErr w:type="spellStart"/>
      <w:r w:rsidRPr="008F37D3">
        <w:rPr>
          <w:lang w:val="en-GB"/>
        </w:rPr>
        <w:t>stolonifer</w:t>
      </w:r>
      <w:commentRangeEnd w:id="29"/>
      <w:proofErr w:type="spellEnd"/>
      <w:r w:rsidR="008144AE">
        <w:rPr>
          <w:rStyle w:val="CommentReference"/>
        </w:rPr>
        <w:commentReference w:id="29"/>
      </w:r>
      <w:r w:rsidRPr="008F37D3">
        <w:rPr>
          <w:lang w:val="en-GB"/>
        </w:rPr>
        <w:t xml:space="preserve">, and </w:t>
      </w:r>
      <w:commentRangeStart w:id="30"/>
      <w:proofErr w:type="spellStart"/>
      <w:r w:rsidRPr="008F37D3">
        <w:rPr>
          <w:lang w:val="en-GB"/>
        </w:rPr>
        <w:t>Alternaria</w:t>
      </w:r>
      <w:proofErr w:type="spellEnd"/>
      <w:r w:rsidRPr="008F37D3">
        <w:rPr>
          <w:lang w:val="en-GB"/>
        </w:rPr>
        <w:t xml:space="preserve"> </w:t>
      </w:r>
      <w:proofErr w:type="spellStart"/>
      <w:r w:rsidRPr="008F37D3">
        <w:rPr>
          <w:lang w:val="en-GB"/>
        </w:rPr>
        <w:t>alternata</w:t>
      </w:r>
      <w:proofErr w:type="spellEnd"/>
      <w:r w:rsidRPr="008F37D3">
        <w:rPr>
          <w:lang w:val="en-GB"/>
        </w:rPr>
        <w:t xml:space="preserve"> </w:t>
      </w:r>
      <w:commentRangeEnd w:id="30"/>
      <w:r w:rsidR="008144AE">
        <w:rPr>
          <w:rStyle w:val="CommentReference"/>
        </w:rPr>
        <w:commentReference w:id="30"/>
      </w:r>
      <w:r w:rsidRPr="008F37D3">
        <w:rPr>
          <w:lang w:val="en-GB"/>
        </w:rPr>
        <w:t>are responsible for significant economic losses across a wide range of commodities, and their management through fungicide application, temperature control, and increasingly biological and physical means constitutes a major area of post-harvest research. Mechanical damage incurred during harvesting, grading, packing, and transportation creates entry points for pathogens and accelerates autolytic processes, further magnifying these losses. Temperature abuse—exposure of cold-sensitive produce to temperatures below their physiological minimum or, more commonly, failure to maintain adequate refrigeration throughout the supply chain—</w:t>
      </w:r>
      <w:r w:rsidRPr="008F37D3">
        <w:rPr>
          <w:lang w:val="en-GB"/>
        </w:rPr>
        <w:lastRenderedPageBreak/>
        <w:t xml:space="preserve">represents one of the single most preventable causes of post-harvest quality loss in both developed and developing country contexts </w:t>
      </w:r>
      <w:commentRangeStart w:id="31"/>
      <w:r w:rsidRPr="008F37D3">
        <w:rPr>
          <w:lang w:val="en-GB"/>
        </w:rPr>
        <w:t>(James &amp; James, 2010)</w:t>
      </w:r>
      <w:commentRangeEnd w:id="31"/>
      <w:r w:rsidR="008144AE">
        <w:rPr>
          <w:rStyle w:val="CommentReference"/>
        </w:rPr>
        <w:commentReference w:id="31"/>
      </w:r>
      <w:r w:rsidRPr="008F37D3">
        <w:rPr>
          <w:lang w:val="en-GB"/>
        </w:rPr>
        <w:t>.</w:t>
      </w:r>
    </w:p>
    <w:p w14:paraId="3AD2B473" w14:textId="77777777" w:rsidR="002A0601" w:rsidRPr="008F37D3" w:rsidRDefault="00ED3E58">
      <w:pPr>
        <w:pStyle w:val="Heading1"/>
        <w:spacing w:before="360" w:after="120" w:line="480" w:lineRule="auto"/>
        <w:rPr>
          <w:lang w:val="en-GB"/>
        </w:rPr>
      </w:pPr>
      <w:r w:rsidRPr="008F37D3">
        <w:rPr>
          <w:lang w:val="en-GB"/>
        </w:rPr>
        <w:t>4. Controlled and Modified Atmosphere Technologies</w:t>
      </w:r>
    </w:p>
    <w:p w14:paraId="40616D7A" w14:textId="77777777" w:rsidR="002A0601" w:rsidRPr="008F37D3" w:rsidRDefault="00ED3E58">
      <w:pPr>
        <w:pStyle w:val="Heading2"/>
        <w:spacing w:after="80" w:line="480" w:lineRule="auto"/>
        <w:rPr>
          <w:lang w:val="en-GB"/>
        </w:rPr>
      </w:pPr>
      <w:r w:rsidRPr="008F37D3">
        <w:rPr>
          <w:lang w:val="en-GB"/>
        </w:rPr>
        <w:t>4.1 Controlled Atmosphere Storage</w:t>
      </w:r>
    </w:p>
    <w:p w14:paraId="74B1C905" w14:textId="77777777" w:rsidR="002A0601" w:rsidRPr="008F37D3" w:rsidRDefault="00ED3E58">
      <w:pPr>
        <w:spacing w:line="480" w:lineRule="auto"/>
        <w:ind w:firstLine="720"/>
        <w:jc w:val="both"/>
        <w:rPr>
          <w:lang w:val="en-GB"/>
        </w:rPr>
      </w:pPr>
      <w:r w:rsidRPr="008F37D3">
        <w:rPr>
          <w:lang w:val="en-GB"/>
        </w:rPr>
        <w:t xml:space="preserve">Controlled atmosphere (CA) storage represents one of the most mature and demonstrably effective technologies for extending the post-harvest life of fruits and vegetables. By adjusting the concentrations of oxygen, carbon dioxide, and nitrogen within storage environments to levels substantially different from those in ambient air—typically reducing oxygen to 1% to 5% and elevating carbon dioxide to 1% to 10%, depending on the commodity—CA storage suppresses the rate of respiratory metabolism, retards ethylene synthesis and action, and inhibits the growth of many spoilage microorganisms </w:t>
      </w:r>
      <w:commentRangeStart w:id="32"/>
      <w:r w:rsidRPr="008F37D3">
        <w:rPr>
          <w:lang w:val="en-GB"/>
        </w:rPr>
        <w:t>(</w:t>
      </w:r>
      <w:proofErr w:type="spellStart"/>
      <w:r w:rsidRPr="008F37D3">
        <w:rPr>
          <w:lang w:val="en-GB"/>
        </w:rPr>
        <w:t>Mahajan</w:t>
      </w:r>
      <w:proofErr w:type="spellEnd"/>
      <w:r w:rsidRPr="008F37D3">
        <w:rPr>
          <w:lang w:val="en-GB"/>
        </w:rPr>
        <w:t xml:space="preserve"> </w:t>
      </w:r>
      <w:commentRangeStart w:id="33"/>
      <w:r w:rsidRPr="008F37D3">
        <w:rPr>
          <w:lang w:val="en-GB"/>
        </w:rPr>
        <w:t>et al.,</w:t>
      </w:r>
      <w:commentRangeEnd w:id="33"/>
      <w:r w:rsidR="00BA627F">
        <w:rPr>
          <w:rStyle w:val="CommentReference"/>
        </w:rPr>
        <w:commentReference w:id="33"/>
      </w:r>
      <w:r w:rsidRPr="008F37D3">
        <w:rPr>
          <w:lang w:val="en-GB"/>
        </w:rPr>
        <w:t xml:space="preserve"> 2014)</w:t>
      </w:r>
      <w:commentRangeEnd w:id="32"/>
      <w:r w:rsidR="00BA627F">
        <w:rPr>
          <w:rStyle w:val="CommentReference"/>
        </w:rPr>
        <w:commentReference w:id="32"/>
      </w:r>
      <w:r w:rsidRPr="008F37D3">
        <w:rPr>
          <w:lang w:val="en-GB"/>
        </w:rPr>
        <w:t>. The precise efficacy of CA storage is strongly dependent on the gas composition, storage temperature, humidity, and the specific physiological tolerances of the commodity and cultivar in question; excessive carbon dioxide or sub-optimal oxygen concentrations can induce fermentation, anaerobic respiration, or physiological disorders such as core flush in apple and black heart in potato that are as damaging as the deterioration they are intended to prevent.</w:t>
      </w:r>
    </w:p>
    <w:p w14:paraId="6379ADA4" w14:textId="77777777" w:rsidR="002A0601" w:rsidRPr="008F37D3" w:rsidRDefault="00ED3E58">
      <w:pPr>
        <w:spacing w:line="480" w:lineRule="auto"/>
        <w:ind w:firstLine="720"/>
        <w:jc w:val="both"/>
        <w:rPr>
          <w:lang w:val="en-GB"/>
        </w:rPr>
      </w:pPr>
      <w:r w:rsidRPr="008F37D3">
        <w:rPr>
          <w:lang w:val="en-GB"/>
        </w:rPr>
        <w:t xml:space="preserve">Advances in CA technology over the past two decades have included the development of ultra-low oxygen (ULO) storage, in which oxygen concentrations are reduced to 0.5% to 1.5%, often in conjunction with elevated carbon dioxide, to achieve superior retardation of ripening and preservation of firmness and colour in apple and pear varieties that are physiologically tolerant of such conditions. Dynamic controlled atmosphere (DCA) systems—which employ real-time monitoring of respiratory quotient or chlorophyll fluorescence as physiological stress indicators to adjust gas compositions continuously rather </w:t>
      </w:r>
      <w:r w:rsidRPr="008F37D3">
        <w:rPr>
          <w:lang w:val="en-GB"/>
        </w:rPr>
        <w:lastRenderedPageBreak/>
        <w:t xml:space="preserve">than maintaining fixed set-points—represent a more precise and responsive evolution of static CA protocols </w:t>
      </w:r>
      <w:commentRangeStart w:id="34"/>
      <w:r w:rsidRPr="008F37D3">
        <w:rPr>
          <w:lang w:val="en-GB"/>
        </w:rPr>
        <w:t xml:space="preserve">(Mahajan </w:t>
      </w:r>
      <w:commentRangeStart w:id="35"/>
      <w:r w:rsidRPr="008F37D3">
        <w:rPr>
          <w:lang w:val="en-GB"/>
        </w:rPr>
        <w:t xml:space="preserve">et al., </w:t>
      </w:r>
      <w:commentRangeEnd w:id="35"/>
      <w:r w:rsidR="00BA627F">
        <w:rPr>
          <w:rStyle w:val="CommentReference"/>
        </w:rPr>
        <w:commentReference w:id="35"/>
      </w:r>
      <w:r w:rsidRPr="008F37D3">
        <w:rPr>
          <w:lang w:val="en-GB"/>
        </w:rPr>
        <w:t>2014)</w:t>
      </w:r>
      <w:commentRangeEnd w:id="34"/>
      <w:r w:rsidR="00BA627F">
        <w:rPr>
          <w:rStyle w:val="CommentReference"/>
        </w:rPr>
        <w:commentReference w:id="34"/>
      </w:r>
      <w:r w:rsidRPr="008F37D3">
        <w:rPr>
          <w:lang w:val="en-GB"/>
        </w:rPr>
        <w:t>. These systems reduce the risk of inadvertently over-stressing commodities and allow operators to maintain optimal atmospheres across seasonally variable storage periods, offering potential advantages in final fruit quality compared with conservative static CA protocols. Commercial uptake of DCA has been substantial in Northern Europe and North America for premium apple and pear varieties, where the quality premiums achievable justify the additional operational complexity.</w:t>
      </w:r>
    </w:p>
    <w:p w14:paraId="4E074AEA" w14:textId="77777777" w:rsidR="002A0601" w:rsidRPr="008F37D3" w:rsidRDefault="00ED3E58">
      <w:pPr>
        <w:pStyle w:val="Heading2"/>
        <w:spacing w:after="80" w:line="480" w:lineRule="auto"/>
        <w:rPr>
          <w:lang w:val="en-GB"/>
        </w:rPr>
      </w:pPr>
      <w:r w:rsidRPr="008F37D3">
        <w:rPr>
          <w:lang w:val="en-GB"/>
        </w:rPr>
        <w:t>4.2 Modified Atmosphere Packaging</w:t>
      </w:r>
    </w:p>
    <w:p w14:paraId="08D1C0C9" w14:textId="77777777" w:rsidR="002A0601" w:rsidRPr="008F37D3" w:rsidRDefault="00ED3E58">
      <w:pPr>
        <w:spacing w:line="480" w:lineRule="auto"/>
        <w:ind w:firstLine="720"/>
        <w:jc w:val="both"/>
        <w:rPr>
          <w:lang w:val="en-GB"/>
        </w:rPr>
      </w:pPr>
      <w:r w:rsidRPr="008F37D3">
        <w:rPr>
          <w:lang w:val="en-GB"/>
        </w:rPr>
        <w:t xml:space="preserve">Modified atmosphere packaging (MAP) extends the principles of controlled atmosphere storage to the packaging of individual or small quantities of produce, enclosing the commodity in a polymeric film that passively or actively modifies the internal gaseous environment </w:t>
      </w:r>
      <w:commentRangeStart w:id="36"/>
      <w:r w:rsidRPr="008F37D3">
        <w:rPr>
          <w:lang w:val="en-GB"/>
        </w:rPr>
        <w:t xml:space="preserve">(Caleb </w:t>
      </w:r>
      <w:commentRangeStart w:id="37"/>
      <w:r w:rsidRPr="008F37D3">
        <w:rPr>
          <w:lang w:val="en-GB"/>
        </w:rPr>
        <w:t xml:space="preserve">et al., </w:t>
      </w:r>
      <w:commentRangeEnd w:id="37"/>
      <w:r w:rsidR="00BA627F">
        <w:rPr>
          <w:rStyle w:val="CommentReference"/>
        </w:rPr>
        <w:commentReference w:id="37"/>
      </w:r>
      <w:r w:rsidRPr="008F37D3">
        <w:rPr>
          <w:lang w:val="en-GB"/>
        </w:rPr>
        <w:t>2013)</w:t>
      </w:r>
      <w:commentRangeEnd w:id="36"/>
      <w:r w:rsidR="00BA627F">
        <w:rPr>
          <w:rStyle w:val="CommentReference"/>
        </w:rPr>
        <w:commentReference w:id="36"/>
      </w:r>
      <w:r w:rsidRPr="008F37D3">
        <w:rPr>
          <w:lang w:val="en-GB"/>
        </w:rPr>
        <w:t xml:space="preserve">. The gas composition within a MAP system evolves dynamically as a result of the interplay between the commodity's respiratory activity and the permeability of the packaging film to oxygen, carbon dioxide, and water vapour. Achieving an equilibrium modified atmosphere that is optimal for a given commodity requires careful matching of film permeability characteristics to the commodity's respiration rate at the expected storage temperature—a technically demanding task that has been facilitated by advances in mathematical modelling and permeability measurement techniques </w:t>
      </w:r>
      <w:commentRangeStart w:id="38"/>
      <w:r w:rsidRPr="008F37D3">
        <w:rPr>
          <w:lang w:val="en-GB"/>
        </w:rPr>
        <w:t>(</w:t>
      </w:r>
      <w:proofErr w:type="spellStart"/>
      <w:r w:rsidRPr="008F37D3">
        <w:rPr>
          <w:lang w:val="en-GB"/>
        </w:rPr>
        <w:t>Sandhya</w:t>
      </w:r>
      <w:proofErr w:type="spellEnd"/>
      <w:r w:rsidRPr="008F37D3">
        <w:rPr>
          <w:lang w:val="en-GB"/>
        </w:rPr>
        <w:t>, 2010)</w:t>
      </w:r>
      <w:commentRangeEnd w:id="38"/>
      <w:r w:rsidR="0050239A">
        <w:rPr>
          <w:rStyle w:val="CommentReference"/>
        </w:rPr>
        <w:commentReference w:id="38"/>
      </w:r>
      <w:r w:rsidRPr="008F37D3">
        <w:rPr>
          <w:lang w:val="en-GB"/>
        </w:rPr>
        <w:t>.</w:t>
      </w:r>
    </w:p>
    <w:p w14:paraId="71DDA753" w14:textId="77777777" w:rsidR="002A0601" w:rsidRPr="008F37D3" w:rsidRDefault="00ED3E58">
      <w:pPr>
        <w:spacing w:line="480" w:lineRule="auto"/>
        <w:ind w:firstLine="720"/>
        <w:jc w:val="both"/>
        <w:rPr>
          <w:lang w:val="en-GB"/>
        </w:rPr>
      </w:pPr>
      <w:commentRangeStart w:id="39"/>
      <w:r w:rsidRPr="008F37D3">
        <w:rPr>
          <w:lang w:val="en-GB"/>
        </w:rPr>
        <w:t xml:space="preserve">Caleb </w:t>
      </w:r>
      <w:commentRangeStart w:id="40"/>
      <w:r w:rsidRPr="008F37D3">
        <w:rPr>
          <w:lang w:val="en-GB"/>
        </w:rPr>
        <w:t xml:space="preserve">et al. </w:t>
      </w:r>
      <w:commentRangeEnd w:id="40"/>
      <w:r w:rsidR="0050239A">
        <w:rPr>
          <w:rStyle w:val="CommentReference"/>
        </w:rPr>
        <w:commentReference w:id="40"/>
      </w:r>
      <w:r w:rsidRPr="008F37D3">
        <w:rPr>
          <w:lang w:val="en-GB"/>
        </w:rPr>
        <w:t xml:space="preserve">(2013) </w:t>
      </w:r>
      <w:commentRangeEnd w:id="39"/>
      <w:r w:rsidR="0050239A">
        <w:rPr>
          <w:rStyle w:val="CommentReference"/>
        </w:rPr>
        <w:commentReference w:id="39"/>
      </w:r>
      <w:r w:rsidRPr="008F37D3">
        <w:rPr>
          <w:lang w:val="en-GB"/>
        </w:rPr>
        <w:t xml:space="preserve">provided a comprehensive review of MAP technology for fresh and fresh-cut produce, highlighting the importance of gas composition on microbial communities and food safety. Their analysis demonstrated that elevated carbon dioxide concentrations in MAP systems exert bacteriostatic effects on aerobic spoilage bacteria, whilst reduced oxygen concentrations inhibit the activity of oxidative enzymes responsible for browning and flavour loss. However, they also noted that MAP conditions can selectively </w:t>
      </w:r>
      <w:r w:rsidRPr="008F37D3">
        <w:rPr>
          <w:lang w:val="en-GB"/>
        </w:rPr>
        <w:lastRenderedPageBreak/>
        <w:t xml:space="preserve">favour the growth of anaerobic or </w:t>
      </w:r>
      <w:proofErr w:type="spellStart"/>
      <w:r w:rsidRPr="008F37D3">
        <w:rPr>
          <w:lang w:val="en-GB"/>
        </w:rPr>
        <w:t>microaerophilic</w:t>
      </w:r>
      <w:proofErr w:type="spellEnd"/>
      <w:r w:rsidRPr="008F37D3">
        <w:rPr>
          <w:lang w:val="en-GB"/>
        </w:rPr>
        <w:t xml:space="preserve"> pathogens—including </w:t>
      </w:r>
      <w:commentRangeStart w:id="41"/>
      <w:r w:rsidRPr="008F37D3">
        <w:rPr>
          <w:lang w:val="en-GB"/>
        </w:rPr>
        <w:t xml:space="preserve">Clostridium </w:t>
      </w:r>
      <w:proofErr w:type="spellStart"/>
      <w:r w:rsidRPr="008F37D3">
        <w:rPr>
          <w:lang w:val="en-GB"/>
        </w:rPr>
        <w:t>botulinum</w:t>
      </w:r>
      <w:commentRangeEnd w:id="41"/>
      <w:proofErr w:type="spellEnd"/>
      <w:r w:rsidR="0050239A">
        <w:rPr>
          <w:rStyle w:val="CommentReference"/>
        </w:rPr>
        <w:commentReference w:id="41"/>
      </w:r>
      <w:r w:rsidRPr="008F37D3">
        <w:rPr>
          <w:lang w:val="en-GB"/>
        </w:rPr>
        <w:t xml:space="preserve"> and </w:t>
      </w:r>
      <w:commentRangeStart w:id="42"/>
      <w:r w:rsidRPr="008F37D3">
        <w:rPr>
          <w:lang w:val="en-GB"/>
        </w:rPr>
        <w:t xml:space="preserve">Listeria </w:t>
      </w:r>
      <w:proofErr w:type="spellStart"/>
      <w:r w:rsidRPr="008F37D3">
        <w:rPr>
          <w:lang w:val="en-GB"/>
        </w:rPr>
        <w:t>monocytogenes</w:t>
      </w:r>
      <w:commentRangeEnd w:id="42"/>
      <w:proofErr w:type="spellEnd"/>
      <w:r w:rsidR="0050239A">
        <w:rPr>
          <w:rStyle w:val="CommentReference"/>
        </w:rPr>
        <w:commentReference w:id="42"/>
      </w:r>
      <w:r w:rsidRPr="008F37D3">
        <w:rPr>
          <w:lang w:val="en-GB"/>
        </w:rPr>
        <w:t xml:space="preserve">—underscoring the critical importance of temperature management throughout the cold chain as a complementary control measure. </w:t>
      </w:r>
      <w:commentRangeStart w:id="43"/>
      <w:proofErr w:type="spellStart"/>
      <w:r w:rsidRPr="008F37D3">
        <w:rPr>
          <w:lang w:val="en-GB"/>
        </w:rPr>
        <w:t>Sandhya</w:t>
      </w:r>
      <w:proofErr w:type="spellEnd"/>
      <w:r w:rsidRPr="008F37D3">
        <w:rPr>
          <w:lang w:val="en-GB"/>
        </w:rPr>
        <w:t xml:space="preserve"> (2010) </w:t>
      </w:r>
      <w:commentRangeEnd w:id="43"/>
      <w:r w:rsidR="0050239A">
        <w:rPr>
          <w:rStyle w:val="CommentReference"/>
        </w:rPr>
        <w:commentReference w:id="43"/>
      </w:r>
      <w:r w:rsidRPr="008F37D3">
        <w:rPr>
          <w:lang w:val="en-GB"/>
        </w:rPr>
        <w:t>similarly emphasised that MAP should be regarded as a hurdle technology to be deployed in combination with refrigeration, pre-harvest hygiene, and sanitation practices, rather than as a standalone preservation method capable of compensating for deficiencies in other areas of quality management.</w:t>
      </w:r>
    </w:p>
    <w:p w14:paraId="5F68FFDB" w14:textId="77777777" w:rsidR="002A0601" w:rsidRPr="008F37D3" w:rsidRDefault="00ED3E58">
      <w:pPr>
        <w:pStyle w:val="Heading2"/>
        <w:spacing w:after="80" w:line="480" w:lineRule="auto"/>
        <w:rPr>
          <w:lang w:val="en-GB"/>
        </w:rPr>
      </w:pPr>
      <w:r w:rsidRPr="008F37D3">
        <w:rPr>
          <w:lang w:val="en-GB"/>
        </w:rPr>
        <w:t>4.3 Active and Intelligent Packaging Systems</w:t>
      </w:r>
    </w:p>
    <w:p w14:paraId="5A2C5331" w14:textId="77777777" w:rsidR="002A0601" w:rsidRPr="008F37D3" w:rsidRDefault="00ED3E58">
      <w:pPr>
        <w:spacing w:line="480" w:lineRule="auto"/>
        <w:ind w:firstLine="720"/>
        <w:jc w:val="both"/>
        <w:rPr>
          <w:lang w:val="en-GB"/>
        </w:rPr>
      </w:pPr>
      <w:r w:rsidRPr="008F37D3">
        <w:rPr>
          <w:lang w:val="en-GB"/>
        </w:rPr>
        <w:t xml:space="preserve">The past two decades have witnessed significant innovation in packaging technology beyond passive gas modification, with the emergence of active and intelligent packaging systems that interact dynamically with their contents and environment. Active packaging incorporates functional agents—oxygen scavengers, carbon dioxide emitters, antimicrobial agents, moisture regulators, and ethylene absorbers—directly into the packaging material or as sachets within the package, enabling ongoing management of the headspace environment beyond what passive permeation alone can achieve </w:t>
      </w:r>
      <w:commentRangeStart w:id="44"/>
      <w:r w:rsidRPr="008F37D3">
        <w:rPr>
          <w:lang w:val="en-GB"/>
        </w:rPr>
        <w:t xml:space="preserve">(Yildirim </w:t>
      </w:r>
      <w:commentRangeStart w:id="45"/>
      <w:r w:rsidRPr="008F37D3">
        <w:rPr>
          <w:lang w:val="en-GB"/>
        </w:rPr>
        <w:t xml:space="preserve">et al., </w:t>
      </w:r>
      <w:commentRangeEnd w:id="45"/>
      <w:r w:rsidR="00FF535D">
        <w:rPr>
          <w:rStyle w:val="CommentReference"/>
        </w:rPr>
        <w:commentReference w:id="45"/>
      </w:r>
      <w:r w:rsidRPr="008F37D3">
        <w:rPr>
          <w:lang w:val="en-GB"/>
        </w:rPr>
        <w:t>2018)</w:t>
      </w:r>
      <w:commentRangeEnd w:id="44"/>
      <w:r w:rsidR="00FF535D">
        <w:rPr>
          <w:rStyle w:val="CommentReference"/>
        </w:rPr>
        <w:commentReference w:id="44"/>
      </w:r>
      <w:r w:rsidRPr="008F37D3">
        <w:rPr>
          <w:lang w:val="en-GB"/>
        </w:rPr>
        <w:t>. Oxygen-scavenging systems based on iron powder oxidation, ascorbic acid chemistry, or enzymatic reactions have proven particularly effective in extending the shelf life of bakery products, high-fat commodities susceptible to oxidative rancidity, and cut produce, by maintaining headspace oxygen concentrations below levels achievable through passive permeation. Ethylene-absorbing sachets incorporating potassium permanganate, zeolite, or activated carbon have demonstrated efficacy in extending the storage life of climacteric fruits and ethylene-sensitive vegetables such as broccoli and leafy greens by scavenging the endogenous ethylene produced by the commodity itself.</w:t>
      </w:r>
    </w:p>
    <w:p w14:paraId="71806872" w14:textId="77777777" w:rsidR="002A0601" w:rsidRPr="008F37D3" w:rsidRDefault="00ED3E58">
      <w:pPr>
        <w:spacing w:line="480" w:lineRule="auto"/>
        <w:ind w:firstLine="720"/>
        <w:jc w:val="both"/>
        <w:rPr>
          <w:lang w:val="en-GB"/>
        </w:rPr>
      </w:pPr>
      <w:r w:rsidRPr="008F37D3">
        <w:rPr>
          <w:lang w:val="en-GB"/>
        </w:rPr>
        <w:t xml:space="preserve">Antimicrobial packaging incorporating silver nanoparticles, zinc oxide nanoparticles, essential oil components, or organic acids has demonstrated promising efficacy against both </w:t>
      </w:r>
      <w:r w:rsidRPr="008F37D3">
        <w:rPr>
          <w:lang w:val="en-GB"/>
        </w:rPr>
        <w:lastRenderedPageBreak/>
        <w:t xml:space="preserve">spoilage and pathogenic microorganisms in a range of fresh produce applications </w:t>
      </w:r>
      <w:commentRangeStart w:id="46"/>
      <w:r w:rsidRPr="008F37D3">
        <w:rPr>
          <w:lang w:val="en-GB"/>
        </w:rPr>
        <w:t xml:space="preserve">(Dasgupta </w:t>
      </w:r>
      <w:commentRangeStart w:id="47"/>
      <w:r w:rsidRPr="008F37D3">
        <w:rPr>
          <w:lang w:val="en-GB"/>
        </w:rPr>
        <w:t xml:space="preserve">et al., </w:t>
      </w:r>
      <w:commentRangeEnd w:id="47"/>
      <w:r w:rsidR="00CA1D01">
        <w:rPr>
          <w:rStyle w:val="CommentReference"/>
        </w:rPr>
        <w:commentReference w:id="47"/>
      </w:r>
      <w:r w:rsidRPr="008F37D3">
        <w:rPr>
          <w:lang w:val="en-GB"/>
        </w:rPr>
        <w:t>2015)</w:t>
      </w:r>
      <w:commentRangeEnd w:id="46"/>
      <w:r w:rsidR="00CA1D01">
        <w:rPr>
          <w:rStyle w:val="CommentReference"/>
        </w:rPr>
        <w:commentReference w:id="46"/>
      </w:r>
      <w:r w:rsidRPr="008F37D3">
        <w:rPr>
          <w:lang w:val="en-GB"/>
        </w:rPr>
        <w:t xml:space="preserve">. Intelligent packaging, by contrast, incorporates sensors, indicators, or data carriers that communicate information about the condition of the product or the integrity of the cold chain to operators, retailers, or consumers. Time-temperature indicators—devices that provide a cumulative record of the thermal history experienced by a package since activation—offer a practical means of identifying products that have been subjected to temperature abuse during distribution, enabling targeted quality intervention without the expense of electronic sensor networks throughout the supply chain </w:t>
      </w:r>
      <w:commentRangeStart w:id="48"/>
      <w:r w:rsidRPr="008F37D3">
        <w:rPr>
          <w:lang w:val="en-GB"/>
        </w:rPr>
        <w:t xml:space="preserve">(Ruiz-Garcia &amp; </w:t>
      </w:r>
      <w:proofErr w:type="spellStart"/>
      <w:r w:rsidRPr="008F37D3">
        <w:rPr>
          <w:lang w:val="en-GB"/>
        </w:rPr>
        <w:t>Lunadei</w:t>
      </w:r>
      <w:proofErr w:type="spellEnd"/>
      <w:r w:rsidRPr="008F37D3">
        <w:rPr>
          <w:lang w:val="en-GB"/>
        </w:rPr>
        <w:t>, 2011)</w:t>
      </w:r>
      <w:commentRangeEnd w:id="48"/>
      <w:r w:rsidR="00CA1D01">
        <w:rPr>
          <w:rStyle w:val="CommentReference"/>
        </w:rPr>
        <w:commentReference w:id="48"/>
      </w:r>
      <w:r w:rsidRPr="008F37D3">
        <w:rPr>
          <w:lang w:val="en-GB"/>
        </w:rPr>
        <w:t xml:space="preserve">. Freshness indicators based on colour changes responsive to the accumulation of volatile metabolites such as carbon dioxide, biogenic amines, or organic acids have been developed for a range of fresh and minimally processed products, providing a simple visual cue accessible to consumers and retail operatives alike </w:t>
      </w:r>
      <w:commentRangeStart w:id="49"/>
      <w:r w:rsidRPr="008F37D3">
        <w:rPr>
          <w:lang w:val="en-GB"/>
        </w:rPr>
        <w:t xml:space="preserve">(Yildirim </w:t>
      </w:r>
      <w:commentRangeStart w:id="50"/>
      <w:r w:rsidRPr="008F37D3">
        <w:rPr>
          <w:lang w:val="en-GB"/>
        </w:rPr>
        <w:t xml:space="preserve">et al., </w:t>
      </w:r>
      <w:commentRangeEnd w:id="50"/>
      <w:r w:rsidR="00CA1D01">
        <w:rPr>
          <w:rStyle w:val="CommentReference"/>
        </w:rPr>
        <w:commentReference w:id="50"/>
      </w:r>
      <w:r w:rsidRPr="008F37D3">
        <w:rPr>
          <w:lang w:val="en-GB"/>
        </w:rPr>
        <w:t>2018)</w:t>
      </w:r>
      <w:commentRangeEnd w:id="49"/>
      <w:r w:rsidR="00CA1D01">
        <w:rPr>
          <w:rStyle w:val="CommentReference"/>
        </w:rPr>
        <w:commentReference w:id="49"/>
      </w:r>
      <w:r w:rsidRPr="008F37D3">
        <w:rPr>
          <w:lang w:val="en-GB"/>
        </w:rPr>
        <w:t>.</w:t>
      </w:r>
    </w:p>
    <w:p w14:paraId="6633E1F6" w14:textId="77777777" w:rsidR="002A0601" w:rsidRPr="008F37D3" w:rsidRDefault="00ED3E58">
      <w:pPr>
        <w:pStyle w:val="Heading1"/>
        <w:spacing w:before="360" w:after="120" w:line="480" w:lineRule="auto"/>
        <w:rPr>
          <w:lang w:val="en-GB"/>
        </w:rPr>
      </w:pPr>
      <w:r w:rsidRPr="008F37D3">
        <w:rPr>
          <w:lang w:val="en-GB"/>
        </w:rPr>
        <w:t>5. Non-Thermal Processing Technologies</w:t>
      </w:r>
    </w:p>
    <w:p w14:paraId="6F7080A4" w14:textId="77777777" w:rsidR="002A0601" w:rsidRPr="008F37D3" w:rsidRDefault="00ED3E58">
      <w:pPr>
        <w:pStyle w:val="Heading2"/>
        <w:spacing w:after="80" w:line="480" w:lineRule="auto"/>
        <w:rPr>
          <w:lang w:val="en-GB"/>
        </w:rPr>
      </w:pPr>
      <w:r w:rsidRPr="008F37D3">
        <w:rPr>
          <w:lang w:val="en-GB"/>
        </w:rPr>
        <w:t>5.1 High-Pressure Processing</w:t>
      </w:r>
    </w:p>
    <w:p w14:paraId="4A041175" w14:textId="77777777" w:rsidR="002A0601" w:rsidRPr="008F37D3" w:rsidRDefault="00ED3E58">
      <w:pPr>
        <w:spacing w:line="480" w:lineRule="auto"/>
        <w:ind w:firstLine="720"/>
        <w:jc w:val="both"/>
        <w:rPr>
          <w:lang w:val="en-GB"/>
        </w:rPr>
      </w:pPr>
      <w:r w:rsidRPr="008F37D3">
        <w:rPr>
          <w:lang w:val="en-GB"/>
        </w:rPr>
        <w:t xml:space="preserve">High-pressure processing (HPP), also known as high hydrostatic pressure or ultra-high pressure processing, subjects food products to hydrostatic pressures typically in the range of 100 to 600 MPa for durations of seconds to several minutes, achieving microbial inactivation and enzyme modulation without the thermal degradation associated with conventional heat treatment </w:t>
      </w:r>
      <w:commentRangeStart w:id="51"/>
      <w:r w:rsidRPr="008F37D3">
        <w:rPr>
          <w:lang w:val="en-GB"/>
        </w:rPr>
        <w:t xml:space="preserve">(Barba </w:t>
      </w:r>
      <w:commentRangeStart w:id="52"/>
      <w:r w:rsidRPr="008F37D3">
        <w:rPr>
          <w:lang w:val="en-GB"/>
        </w:rPr>
        <w:t xml:space="preserve">et al., </w:t>
      </w:r>
      <w:commentRangeEnd w:id="52"/>
      <w:r w:rsidR="003B09A0">
        <w:rPr>
          <w:rStyle w:val="CommentReference"/>
        </w:rPr>
        <w:commentReference w:id="52"/>
      </w:r>
      <w:r w:rsidRPr="008F37D3">
        <w:rPr>
          <w:lang w:val="en-GB"/>
        </w:rPr>
        <w:t>2015b)</w:t>
      </w:r>
      <w:commentRangeEnd w:id="51"/>
      <w:r w:rsidR="003B09A0">
        <w:rPr>
          <w:rStyle w:val="CommentReference"/>
        </w:rPr>
        <w:commentReference w:id="51"/>
      </w:r>
      <w:r w:rsidRPr="008F37D3">
        <w:rPr>
          <w:lang w:val="en-GB"/>
        </w:rPr>
        <w:t xml:space="preserve">. The technology exploits the principle that pressure, unlike heat, acts uniformly and instantaneously throughout the food matrix regardless of its size or geometry, resulting in homogeneous processing and minimal surface-to-core quality gradients. The primary mechanisms of microbial inactivation under HPP include disruption of cell membrane integrity through lipid phase transitions and membrane </w:t>
      </w:r>
      <w:r w:rsidRPr="008F37D3">
        <w:rPr>
          <w:lang w:val="en-GB"/>
        </w:rPr>
        <w:lastRenderedPageBreak/>
        <w:t>protein denaturation, unfolding of key metabolic enzymes, and interference with ribosomal and genomic integrity.</w:t>
      </w:r>
    </w:p>
    <w:p w14:paraId="191E9557" w14:textId="77777777" w:rsidR="002A0601" w:rsidRPr="008F37D3" w:rsidRDefault="00ED3E58">
      <w:pPr>
        <w:spacing w:line="480" w:lineRule="auto"/>
        <w:ind w:firstLine="720"/>
        <w:jc w:val="both"/>
        <w:rPr>
          <w:lang w:val="en-GB"/>
        </w:rPr>
      </w:pPr>
      <w:commentRangeStart w:id="53"/>
      <w:r w:rsidRPr="008F37D3">
        <w:rPr>
          <w:lang w:val="en-GB"/>
        </w:rPr>
        <w:t xml:space="preserve">Barba </w:t>
      </w:r>
      <w:commentRangeStart w:id="54"/>
      <w:r w:rsidRPr="008F37D3">
        <w:rPr>
          <w:lang w:val="en-GB"/>
        </w:rPr>
        <w:t xml:space="preserve">et al. </w:t>
      </w:r>
      <w:commentRangeEnd w:id="54"/>
      <w:r w:rsidR="003B09A0">
        <w:rPr>
          <w:rStyle w:val="CommentReference"/>
        </w:rPr>
        <w:commentReference w:id="54"/>
      </w:r>
      <w:r w:rsidRPr="008F37D3">
        <w:rPr>
          <w:lang w:val="en-GB"/>
        </w:rPr>
        <w:t xml:space="preserve">(2015b) </w:t>
      </w:r>
      <w:commentRangeEnd w:id="53"/>
      <w:r w:rsidR="003B09A0">
        <w:rPr>
          <w:rStyle w:val="CommentReference"/>
        </w:rPr>
        <w:commentReference w:id="53"/>
      </w:r>
      <w:r w:rsidRPr="008F37D3">
        <w:rPr>
          <w:lang w:val="en-GB"/>
        </w:rPr>
        <w:t xml:space="preserve">examined the opportunities and challenges of HPP from a safety and nutritional perspective, concluding that the technology is particularly well-suited to the processing of high-value, heat-sensitive products such as fresh fruit juices, guacamole, ready-to-eat meals, and sliced deli meats. Pressure-induced inactivation of </w:t>
      </w:r>
      <w:commentRangeStart w:id="55"/>
      <w:r w:rsidRPr="008F37D3">
        <w:rPr>
          <w:lang w:val="en-GB"/>
        </w:rPr>
        <w:t xml:space="preserve">Listeria </w:t>
      </w:r>
      <w:proofErr w:type="spellStart"/>
      <w:r w:rsidRPr="008F37D3">
        <w:rPr>
          <w:lang w:val="en-GB"/>
        </w:rPr>
        <w:t>monocytogenes</w:t>
      </w:r>
      <w:commentRangeEnd w:id="55"/>
      <w:proofErr w:type="spellEnd"/>
      <w:r w:rsidR="003B09A0">
        <w:rPr>
          <w:rStyle w:val="CommentReference"/>
        </w:rPr>
        <w:commentReference w:id="55"/>
      </w:r>
      <w:r w:rsidRPr="008F37D3">
        <w:rPr>
          <w:lang w:val="en-GB"/>
        </w:rPr>
        <w:t xml:space="preserve">, </w:t>
      </w:r>
      <w:commentRangeStart w:id="56"/>
      <w:r w:rsidRPr="008F37D3">
        <w:rPr>
          <w:lang w:val="en-GB"/>
        </w:rPr>
        <w:t>Salmonella spp.</w:t>
      </w:r>
      <w:commentRangeEnd w:id="56"/>
      <w:r w:rsidR="003B09A0">
        <w:rPr>
          <w:rStyle w:val="CommentReference"/>
        </w:rPr>
        <w:commentReference w:id="56"/>
      </w:r>
      <w:r w:rsidRPr="008F37D3">
        <w:rPr>
          <w:lang w:val="en-GB"/>
        </w:rPr>
        <w:t xml:space="preserve">, and </w:t>
      </w:r>
      <w:commentRangeStart w:id="57"/>
      <w:r w:rsidRPr="008F37D3">
        <w:rPr>
          <w:lang w:val="en-GB"/>
        </w:rPr>
        <w:t xml:space="preserve">Escherichia coli </w:t>
      </w:r>
      <w:commentRangeEnd w:id="57"/>
      <w:r w:rsidR="003B09A0">
        <w:rPr>
          <w:rStyle w:val="CommentReference"/>
        </w:rPr>
        <w:commentReference w:id="57"/>
      </w:r>
      <w:r w:rsidRPr="008F37D3">
        <w:rPr>
          <w:lang w:val="en-GB"/>
        </w:rPr>
        <w:t xml:space="preserve">O157:H7 has been demonstrated across multiple food matrices, making HPP an effective intervention for meeting microbiological safety requirements without the nutritional and sensory compromise of thermal pasteurisation. </w:t>
      </w:r>
      <w:commentRangeStart w:id="58"/>
      <w:proofErr w:type="spellStart"/>
      <w:r w:rsidRPr="008F37D3">
        <w:rPr>
          <w:lang w:val="en-GB"/>
        </w:rPr>
        <w:t>Rendueles</w:t>
      </w:r>
      <w:proofErr w:type="spellEnd"/>
      <w:r w:rsidRPr="008F37D3">
        <w:rPr>
          <w:lang w:val="en-GB"/>
        </w:rPr>
        <w:t xml:space="preserve"> </w:t>
      </w:r>
      <w:commentRangeStart w:id="59"/>
      <w:r w:rsidRPr="008F37D3">
        <w:rPr>
          <w:lang w:val="en-GB"/>
        </w:rPr>
        <w:t xml:space="preserve">et al. </w:t>
      </w:r>
      <w:commentRangeEnd w:id="59"/>
      <w:r w:rsidR="003B09A0">
        <w:rPr>
          <w:rStyle w:val="CommentReference"/>
        </w:rPr>
        <w:commentReference w:id="59"/>
      </w:r>
      <w:r w:rsidRPr="008F37D3">
        <w:rPr>
          <w:lang w:val="en-GB"/>
        </w:rPr>
        <w:t xml:space="preserve">(2011) </w:t>
      </w:r>
      <w:commentRangeEnd w:id="58"/>
      <w:r w:rsidR="003B09A0">
        <w:rPr>
          <w:rStyle w:val="CommentReference"/>
        </w:rPr>
        <w:commentReference w:id="58"/>
      </w:r>
      <w:r w:rsidRPr="008F37D3">
        <w:rPr>
          <w:lang w:val="en-GB"/>
        </w:rPr>
        <w:t>conducted a comprehensive assessment of the microbiological safety implications of HPP, confirming that pressures above 400 MPa for adequate holding times consistently achieve reductions of five or more log units in vegetative bacterial populations across a range of food products. Importantly, high-pressure treatment has limited efficacy against bacterial endospores, which may survive pressures up to 600 MPa; this constrains its applicability in the absence of thermal supplementation for the production of low-acid, shelf-stable products.</w:t>
      </w:r>
    </w:p>
    <w:p w14:paraId="4553EA4B" w14:textId="77777777" w:rsidR="002A0601" w:rsidRPr="008F37D3" w:rsidRDefault="00ED3E58">
      <w:pPr>
        <w:pStyle w:val="Heading2"/>
        <w:spacing w:after="80" w:line="480" w:lineRule="auto"/>
        <w:rPr>
          <w:lang w:val="en-GB"/>
        </w:rPr>
      </w:pPr>
      <w:r w:rsidRPr="008F37D3">
        <w:rPr>
          <w:lang w:val="en-GB"/>
        </w:rPr>
        <w:t>5.2 Pulsed Electric Fields</w:t>
      </w:r>
    </w:p>
    <w:p w14:paraId="3F502839" w14:textId="77777777" w:rsidR="002A0601" w:rsidRPr="008F37D3" w:rsidRDefault="00ED3E58">
      <w:pPr>
        <w:spacing w:line="480" w:lineRule="auto"/>
        <w:ind w:firstLine="720"/>
        <w:jc w:val="both"/>
        <w:rPr>
          <w:lang w:val="en-GB"/>
        </w:rPr>
      </w:pPr>
      <w:r w:rsidRPr="008F37D3">
        <w:rPr>
          <w:lang w:val="en-GB"/>
        </w:rPr>
        <w:t xml:space="preserve">Pulsed electric field (PEF) technology applies short bursts of high-intensity electric field—typically 1 to 80 kV/cm for durations of microseconds—to liquid or semi-liquid foods, inducing a phenomenon termed electroporation in microbial cell membranes that results in irreversible </w:t>
      </w:r>
      <w:proofErr w:type="spellStart"/>
      <w:r w:rsidRPr="008F37D3">
        <w:rPr>
          <w:lang w:val="en-GB"/>
        </w:rPr>
        <w:t>permeabilisation</w:t>
      </w:r>
      <w:proofErr w:type="spellEnd"/>
      <w:r w:rsidRPr="008F37D3">
        <w:rPr>
          <w:lang w:val="en-GB"/>
        </w:rPr>
        <w:t xml:space="preserve"> and cell death </w:t>
      </w:r>
      <w:commentRangeStart w:id="60"/>
      <w:r w:rsidRPr="008F37D3">
        <w:rPr>
          <w:lang w:val="en-GB"/>
        </w:rPr>
        <w:t xml:space="preserve">(Barba </w:t>
      </w:r>
      <w:commentRangeStart w:id="61"/>
      <w:r w:rsidRPr="008F37D3">
        <w:rPr>
          <w:lang w:val="en-GB"/>
        </w:rPr>
        <w:t xml:space="preserve">et al., </w:t>
      </w:r>
      <w:commentRangeEnd w:id="61"/>
      <w:r w:rsidR="00F24F52">
        <w:rPr>
          <w:rStyle w:val="CommentReference"/>
        </w:rPr>
        <w:commentReference w:id="61"/>
      </w:r>
      <w:r w:rsidRPr="008F37D3">
        <w:rPr>
          <w:lang w:val="en-GB"/>
        </w:rPr>
        <w:t>2015a)</w:t>
      </w:r>
      <w:commentRangeEnd w:id="60"/>
      <w:r w:rsidR="00F24F52">
        <w:rPr>
          <w:rStyle w:val="CommentReference"/>
        </w:rPr>
        <w:commentReference w:id="60"/>
      </w:r>
      <w:r w:rsidRPr="008F37D3">
        <w:rPr>
          <w:lang w:val="en-GB"/>
        </w:rPr>
        <w:t xml:space="preserve">. Beyond its primary application in microbial inactivation, PEF has attracted considerable interest as a pre-treatment to enhance mass transfer in drying, extraction, and diffusion operations, and as a means of improving the textural characteristics of plant-based foods. Unlike HPP, PEF is a continuous or semi-continuous process, offering potential advantages in throughput and </w:t>
      </w:r>
      <w:r w:rsidRPr="008F37D3">
        <w:rPr>
          <w:lang w:val="en-GB"/>
        </w:rPr>
        <w:lastRenderedPageBreak/>
        <w:t>energy efficiency for high-volume liquid food applications such as juice, liquid egg, and milk.</w:t>
      </w:r>
    </w:p>
    <w:p w14:paraId="0123D88B" w14:textId="77777777" w:rsidR="002A0601" w:rsidRPr="008F37D3" w:rsidRDefault="00ED3E58">
      <w:pPr>
        <w:spacing w:line="480" w:lineRule="auto"/>
        <w:ind w:firstLine="720"/>
        <w:jc w:val="both"/>
        <w:rPr>
          <w:lang w:val="en-GB"/>
        </w:rPr>
      </w:pPr>
      <w:commentRangeStart w:id="62"/>
      <w:r w:rsidRPr="008F37D3">
        <w:rPr>
          <w:lang w:val="en-GB"/>
        </w:rPr>
        <w:t xml:space="preserve">Barba </w:t>
      </w:r>
      <w:commentRangeStart w:id="63"/>
      <w:r w:rsidRPr="008F37D3">
        <w:rPr>
          <w:lang w:val="en-GB"/>
        </w:rPr>
        <w:t xml:space="preserve">et al. </w:t>
      </w:r>
      <w:commentRangeEnd w:id="63"/>
      <w:r w:rsidR="00F24F52">
        <w:rPr>
          <w:rStyle w:val="CommentReference"/>
        </w:rPr>
        <w:commentReference w:id="63"/>
      </w:r>
      <w:r w:rsidRPr="008F37D3">
        <w:rPr>
          <w:lang w:val="en-GB"/>
        </w:rPr>
        <w:t xml:space="preserve">(2015a) </w:t>
      </w:r>
      <w:commentRangeEnd w:id="62"/>
      <w:r w:rsidR="00F24F52">
        <w:rPr>
          <w:rStyle w:val="CommentReference"/>
        </w:rPr>
        <w:commentReference w:id="62"/>
      </w:r>
      <w:r w:rsidRPr="008F37D3">
        <w:rPr>
          <w:lang w:val="en-GB"/>
        </w:rPr>
        <w:t xml:space="preserve">provided an extensive review of PEF applications in food science, demonstrating its efficacy in the preservation of fresh juices, liquid egg products, and dairy beverages. The relatively gentle thermal profile of PEF treatments, typically resulting in temperature rises of less than 10°C when properly managed, means that heat-labile vitamins, flavour volatiles, and bioactive phytochemicals are better retained than in conventionally pasteurised equivalents. The authors also highlighted emerging applications of PEF as a pre-treatment to enhance drying efficiency in fruit and vegetable processing, where electroporation of plant tissue reduces mass transfer resistance and can shorten drying times substantially compared with untreated controls. The technology's principal limitations include high capital costs for pulsed power generation equipment, limited applicability to solid or highly viscous foods, and the need for careful management of electrode corrosion and product chemistry, as well as ensuring consistency of treatment across the cross-section of the processing chamber </w:t>
      </w:r>
      <w:commentRangeStart w:id="64"/>
      <w:r w:rsidRPr="008F37D3">
        <w:rPr>
          <w:lang w:val="en-GB"/>
        </w:rPr>
        <w:t xml:space="preserve">(Misra </w:t>
      </w:r>
      <w:commentRangeStart w:id="65"/>
      <w:r w:rsidRPr="008F37D3">
        <w:rPr>
          <w:lang w:val="en-GB"/>
        </w:rPr>
        <w:t xml:space="preserve">et al., </w:t>
      </w:r>
      <w:commentRangeEnd w:id="65"/>
      <w:r w:rsidR="00F24F52">
        <w:rPr>
          <w:rStyle w:val="CommentReference"/>
        </w:rPr>
        <w:commentReference w:id="65"/>
      </w:r>
      <w:r w:rsidRPr="008F37D3">
        <w:rPr>
          <w:lang w:val="en-GB"/>
        </w:rPr>
        <w:t>2017)</w:t>
      </w:r>
      <w:commentRangeEnd w:id="64"/>
      <w:r w:rsidR="00F24F52">
        <w:rPr>
          <w:rStyle w:val="CommentReference"/>
        </w:rPr>
        <w:commentReference w:id="64"/>
      </w:r>
      <w:r w:rsidRPr="008F37D3">
        <w:rPr>
          <w:lang w:val="en-GB"/>
        </w:rPr>
        <w:t>.</w:t>
      </w:r>
    </w:p>
    <w:p w14:paraId="57370B0F" w14:textId="77777777" w:rsidR="002A0601" w:rsidRPr="008F37D3" w:rsidRDefault="00ED3E58">
      <w:pPr>
        <w:pStyle w:val="Heading2"/>
        <w:spacing w:after="80" w:line="480" w:lineRule="auto"/>
        <w:rPr>
          <w:lang w:val="en-GB"/>
        </w:rPr>
      </w:pPr>
      <w:r w:rsidRPr="008F37D3">
        <w:rPr>
          <w:lang w:val="en-GB"/>
        </w:rPr>
        <w:t>5.3 Ultraviolet-C Irradiation</w:t>
      </w:r>
    </w:p>
    <w:p w14:paraId="75B031FD" w14:textId="77777777" w:rsidR="002A0601" w:rsidRPr="008F37D3" w:rsidRDefault="00ED3E58">
      <w:pPr>
        <w:spacing w:line="480" w:lineRule="auto"/>
        <w:ind w:firstLine="720"/>
        <w:jc w:val="both"/>
        <w:rPr>
          <w:lang w:val="en-GB"/>
        </w:rPr>
      </w:pPr>
      <w:r w:rsidRPr="008F37D3">
        <w:rPr>
          <w:lang w:val="en-GB"/>
        </w:rPr>
        <w:t xml:space="preserve">Ultraviolet-C (UV-C) irradiation, at wavelengths of 200 to 280 nm, exerts germicidal action through the induction of pyrimidine dimers in microbial DNA, inhibiting replication and ultimately causing cell death </w:t>
      </w:r>
      <w:commentRangeStart w:id="66"/>
      <w:r w:rsidRPr="008F37D3">
        <w:rPr>
          <w:lang w:val="en-GB"/>
        </w:rPr>
        <w:t xml:space="preserve">(Pombo </w:t>
      </w:r>
      <w:commentRangeStart w:id="67"/>
      <w:r w:rsidRPr="008F37D3">
        <w:rPr>
          <w:lang w:val="en-GB"/>
        </w:rPr>
        <w:t xml:space="preserve">et al., </w:t>
      </w:r>
      <w:commentRangeEnd w:id="67"/>
      <w:r w:rsidR="00F24F52">
        <w:rPr>
          <w:rStyle w:val="CommentReference"/>
        </w:rPr>
        <w:commentReference w:id="67"/>
      </w:r>
      <w:r w:rsidRPr="008F37D3">
        <w:rPr>
          <w:lang w:val="en-GB"/>
        </w:rPr>
        <w:t>2009)</w:t>
      </w:r>
      <w:commentRangeEnd w:id="66"/>
      <w:r w:rsidR="00F24F52">
        <w:rPr>
          <w:rStyle w:val="CommentReference"/>
        </w:rPr>
        <w:commentReference w:id="66"/>
      </w:r>
      <w:r w:rsidRPr="008F37D3">
        <w:rPr>
          <w:lang w:val="en-GB"/>
        </w:rPr>
        <w:t xml:space="preserve">. Beyond its well-established role as a surface decontamination technology, UV-C irradiation has been shown to elicit a range of beneficial physiological responses in plant tissue, including the induction of defence-related enzymes such as phenylalanine ammonia-lyase and chitinase, stimulation of phenylpropanoid metabolism leading to accumulation of phenolic compounds and anthocyanins, and upregulation of overall antioxidant capacity. These </w:t>
      </w:r>
      <w:proofErr w:type="spellStart"/>
      <w:r w:rsidRPr="008F37D3">
        <w:rPr>
          <w:lang w:val="en-GB"/>
        </w:rPr>
        <w:t>hormetic</w:t>
      </w:r>
      <w:proofErr w:type="spellEnd"/>
      <w:r w:rsidRPr="008F37D3">
        <w:rPr>
          <w:lang w:val="en-GB"/>
        </w:rPr>
        <w:t xml:space="preserve"> responses—in which a low-level stressor triggers a beneficial adaptive reaction—can contribute to extended post-harvest life </w:t>
      </w:r>
      <w:r w:rsidRPr="008F37D3">
        <w:rPr>
          <w:lang w:val="en-GB"/>
        </w:rPr>
        <w:lastRenderedPageBreak/>
        <w:t xml:space="preserve">and enhanced nutritional quality independently of microbial reduction. </w:t>
      </w:r>
      <w:commentRangeStart w:id="68"/>
      <w:r w:rsidRPr="008F37D3">
        <w:rPr>
          <w:lang w:val="en-GB"/>
        </w:rPr>
        <w:t xml:space="preserve">Pombo </w:t>
      </w:r>
      <w:commentRangeStart w:id="69"/>
      <w:r w:rsidRPr="008F37D3">
        <w:rPr>
          <w:lang w:val="en-GB"/>
        </w:rPr>
        <w:t xml:space="preserve">et al. </w:t>
      </w:r>
      <w:commentRangeEnd w:id="69"/>
      <w:r w:rsidR="00F24F52">
        <w:rPr>
          <w:rStyle w:val="CommentReference"/>
        </w:rPr>
        <w:commentReference w:id="69"/>
      </w:r>
      <w:r w:rsidRPr="008F37D3">
        <w:rPr>
          <w:lang w:val="en-GB"/>
        </w:rPr>
        <w:t xml:space="preserve">(2009) </w:t>
      </w:r>
      <w:commentRangeEnd w:id="68"/>
      <w:r w:rsidR="00F24F52">
        <w:rPr>
          <w:rStyle w:val="CommentReference"/>
        </w:rPr>
        <w:commentReference w:id="68"/>
      </w:r>
      <w:r w:rsidRPr="008F37D3">
        <w:rPr>
          <w:lang w:val="en-GB"/>
        </w:rPr>
        <w:t xml:space="preserve">investigated the effects of UV-C irradiation on strawberry fruit, demonstrating that treatment </w:t>
      </w:r>
      <w:proofErr w:type="gramStart"/>
      <w:r w:rsidRPr="008F37D3">
        <w:rPr>
          <w:lang w:val="en-GB"/>
        </w:rPr>
        <w:t>at 4 kJ/m²</w:t>
      </w:r>
      <w:proofErr w:type="gramEnd"/>
      <w:r w:rsidRPr="008F37D3">
        <w:rPr>
          <w:lang w:val="en-GB"/>
        </w:rPr>
        <w:t xml:space="preserve"> substantially delayed softening and was associated with altered expression of genes encoding polygalacturonase, pectate lyase, and other cell-wall-degrading enzymes, providing a mechanistic basis for the observed improvement in textural quality during cold storage.</w:t>
      </w:r>
    </w:p>
    <w:p w14:paraId="037A9FAA" w14:textId="77777777" w:rsidR="002A0601" w:rsidRPr="008F37D3" w:rsidRDefault="00ED3E58">
      <w:pPr>
        <w:spacing w:line="480" w:lineRule="auto"/>
        <w:ind w:firstLine="720"/>
        <w:jc w:val="both"/>
        <w:rPr>
          <w:lang w:val="en-GB"/>
        </w:rPr>
      </w:pPr>
      <w:r w:rsidRPr="008F37D3">
        <w:rPr>
          <w:lang w:val="en-GB"/>
        </w:rPr>
        <w:t>The principal advantages of UV-C irradiation as a post-harvest treatment include its chemical-free nature, relatively low operational cost, ease of integration into existing packing lines, and complete absence of residues on the treated commodity. However, its efficacy is confined to surface and near-surface microbial populations; UV-C irradiation cannot penetrate deeply into tissue or address internal contamination. Furthermore, treatment efficacy is highly dependent on the geometry of the treated surface, and commodities with irregular topography—such as cauliflower florets, strawberries, or leafy vegetables—may receive inadequate UV-C doses in regions of shadow or concavity. These limitations necessitate careful UV-C system design, including rotating conveyors, multiple lamp orientations, and rigorous dose validation for each specific commodity and packaging configuration.</w:t>
      </w:r>
    </w:p>
    <w:p w14:paraId="124BEDD7" w14:textId="77777777" w:rsidR="002A0601" w:rsidRPr="008F37D3" w:rsidRDefault="00ED3E58">
      <w:pPr>
        <w:pStyle w:val="Heading2"/>
        <w:spacing w:after="80" w:line="480" w:lineRule="auto"/>
        <w:rPr>
          <w:lang w:val="en-GB"/>
        </w:rPr>
      </w:pPr>
      <w:r w:rsidRPr="008F37D3">
        <w:rPr>
          <w:lang w:val="en-GB"/>
        </w:rPr>
        <w:t>5.4 Pulsed Light Treatment</w:t>
      </w:r>
    </w:p>
    <w:p w14:paraId="05F0039C" w14:textId="77777777" w:rsidR="002A0601" w:rsidRPr="008F37D3" w:rsidRDefault="00ED3E58">
      <w:pPr>
        <w:spacing w:line="480" w:lineRule="auto"/>
        <w:ind w:firstLine="720"/>
        <w:jc w:val="both"/>
        <w:rPr>
          <w:lang w:val="en-GB"/>
        </w:rPr>
      </w:pPr>
      <w:r w:rsidRPr="008F37D3">
        <w:rPr>
          <w:lang w:val="en-GB"/>
        </w:rPr>
        <w:t xml:space="preserve">Pulsed light (PL) technology delivers intense, broad-spectrum pulses of white light—covering the ultraviolet, visible, and near-infrared spectrum from approximately 200 to 1100 nm—to food surfaces, achieving rapid microbial inactivation through a combination of photochemical and photothermal mechanisms </w:t>
      </w:r>
      <w:commentRangeStart w:id="70"/>
      <w:r w:rsidRPr="008F37D3">
        <w:rPr>
          <w:lang w:val="en-GB"/>
        </w:rPr>
        <w:t xml:space="preserve">(Misra </w:t>
      </w:r>
      <w:commentRangeStart w:id="71"/>
      <w:r w:rsidRPr="008F37D3">
        <w:rPr>
          <w:lang w:val="en-GB"/>
        </w:rPr>
        <w:t xml:space="preserve">et al., </w:t>
      </w:r>
      <w:commentRangeEnd w:id="71"/>
      <w:r w:rsidR="00142302">
        <w:rPr>
          <w:rStyle w:val="CommentReference"/>
        </w:rPr>
        <w:commentReference w:id="71"/>
      </w:r>
      <w:r w:rsidRPr="008F37D3">
        <w:rPr>
          <w:lang w:val="en-GB"/>
        </w:rPr>
        <w:t>2017)</w:t>
      </w:r>
      <w:commentRangeEnd w:id="70"/>
      <w:r w:rsidR="00142302">
        <w:rPr>
          <w:rStyle w:val="CommentReference"/>
        </w:rPr>
        <w:commentReference w:id="70"/>
      </w:r>
      <w:r w:rsidRPr="008F37D3">
        <w:rPr>
          <w:lang w:val="en-GB"/>
        </w:rPr>
        <w:t xml:space="preserve">. The very short duration of each pulse, typically in the range of microseconds to milliseconds, and the high peak irradiance achieved result in rapid energy deposition that is bactericidal and fungicidal, whilst the low total energy delivered per treatment minimises heating of the product surface. Comparative studies have generally found PL to be more effective than continuous-wave </w:t>
      </w:r>
      <w:r w:rsidRPr="008F37D3">
        <w:rPr>
          <w:lang w:val="en-GB"/>
        </w:rPr>
        <w:lastRenderedPageBreak/>
        <w:t xml:space="preserve">UV-C at equivalent total fluence levels for surface decontamination of smooth-surfaced fresh produce, with reductions of 2 to 5 log units in target organisms reported across a variety of matrices </w:t>
      </w:r>
      <w:commentRangeStart w:id="72"/>
      <w:r w:rsidRPr="008F37D3">
        <w:rPr>
          <w:lang w:val="en-GB"/>
        </w:rPr>
        <w:t xml:space="preserve">(Misra </w:t>
      </w:r>
      <w:commentRangeStart w:id="73"/>
      <w:r w:rsidRPr="008F37D3">
        <w:rPr>
          <w:lang w:val="en-GB"/>
        </w:rPr>
        <w:t xml:space="preserve">et al., </w:t>
      </w:r>
      <w:commentRangeEnd w:id="73"/>
      <w:r w:rsidR="00142302">
        <w:rPr>
          <w:rStyle w:val="CommentReference"/>
        </w:rPr>
        <w:commentReference w:id="73"/>
      </w:r>
      <w:r w:rsidRPr="008F37D3">
        <w:rPr>
          <w:lang w:val="en-GB"/>
        </w:rPr>
        <w:t>2017)</w:t>
      </w:r>
      <w:commentRangeEnd w:id="72"/>
      <w:r w:rsidR="00142302">
        <w:rPr>
          <w:rStyle w:val="CommentReference"/>
        </w:rPr>
        <w:commentReference w:id="72"/>
      </w:r>
      <w:r w:rsidRPr="008F37D3">
        <w:rPr>
          <w:lang w:val="en-GB"/>
        </w:rPr>
        <w:t>. The technology is particularly attractive for decontamination of ready-to-eat produce, packaging materials, and food contact surfaces, and has also demonstrated potential for the reduction of mycotoxin contamination on grain surfaces through photochemical degradation of toxin molecules.</w:t>
      </w:r>
    </w:p>
    <w:p w14:paraId="63C73B7B" w14:textId="77777777" w:rsidR="002A0601" w:rsidRPr="008F37D3" w:rsidRDefault="00ED3E58">
      <w:pPr>
        <w:pStyle w:val="Heading2"/>
        <w:spacing w:after="80" w:line="480" w:lineRule="auto"/>
        <w:rPr>
          <w:lang w:val="en-GB"/>
        </w:rPr>
      </w:pPr>
      <w:r w:rsidRPr="008F37D3">
        <w:rPr>
          <w:lang w:val="en-GB"/>
        </w:rPr>
        <w:t>5.5 Ozone Treatment</w:t>
      </w:r>
    </w:p>
    <w:p w14:paraId="6D41C648" w14:textId="77777777" w:rsidR="002A0601" w:rsidRPr="008F37D3" w:rsidRDefault="00ED3E58">
      <w:pPr>
        <w:spacing w:line="480" w:lineRule="auto"/>
        <w:ind w:firstLine="720"/>
        <w:jc w:val="both"/>
        <w:rPr>
          <w:lang w:val="en-GB"/>
        </w:rPr>
      </w:pPr>
      <w:r w:rsidRPr="008F37D3">
        <w:rPr>
          <w:lang w:val="en-GB"/>
        </w:rPr>
        <w:t xml:space="preserve">Ozone (O3), a highly reactive allotropic form of oxygen with a standard reduction potential of 2.07 V, is one of the most potent antimicrobial agents available for post-harvest application and has been assigned Generally Recognised As Safe (GRAS) status for food-contact applications by the United States Food and Drug Administration </w:t>
      </w:r>
      <w:commentRangeStart w:id="74"/>
      <w:r w:rsidRPr="008F37D3">
        <w:rPr>
          <w:lang w:val="en-GB"/>
        </w:rPr>
        <w:t>(</w:t>
      </w:r>
      <w:proofErr w:type="spellStart"/>
      <w:r w:rsidRPr="008F37D3">
        <w:rPr>
          <w:lang w:val="en-GB"/>
        </w:rPr>
        <w:t>Tzortzakis</w:t>
      </w:r>
      <w:proofErr w:type="spellEnd"/>
      <w:r w:rsidRPr="008F37D3">
        <w:rPr>
          <w:lang w:val="en-GB"/>
        </w:rPr>
        <w:t xml:space="preserve"> </w:t>
      </w:r>
      <w:commentRangeStart w:id="75"/>
      <w:r w:rsidRPr="008F37D3">
        <w:rPr>
          <w:lang w:val="en-GB"/>
        </w:rPr>
        <w:t xml:space="preserve">et al., </w:t>
      </w:r>
      <w:commentRangeEnd w:id="75"/>
      <w:r w:rsidR="00142302">
        <w:rPr>
          <w:rStyle w:val="CommentReference"/>
        </w:rPr>
        <w:commentReference w:id="75"/>
      </w:r>
      <w:r w:rsidRPr="008F37D3">
        <w:rPr>
          <w:lang w:val="en-GB"/>
        </w:rPr>
        <w:t>2007)</w:t>
      </w:r>
      <w:commentRangeEnd w:id="74"/>
      <w:r w:rsidR="00142302">
        <w:rPr>
          <w:rStyle w:val="CommentReference"/>
        </w:rPr>
        <w:commentReference w:id="74"/>
      </w:r>
      <w:r w:rsidRPr="008F37D3">
        <w:rPr>
          <w:lang w:val="en-GB"/>
        </w:rPr>
        <w:t xml:space="preserve">. Ozone can be applied in aqueous form as ozonated water for washing and sanitation purposes, or in gaseous form for treatment of commodities within storage rooms or transport containers, and exerts broad-spectrum antimicrobial activity through direct oxidation of cellular constituents including membrane lipids, proteins, and nucleic acids. Crucially, it decomposes spontaneously and rapidly to molecular oxygen, leaving no persistent residues on treated commodities, which represents a significant regulatory and consumer acceptance advantage over synthetic chemical treatments </w:t>
      </w:r>
      <w:commentRangeStart w:id="76"/>
      <w:r w:rsidRPr="008F37D3">
        <w:rPr>
          <w:lang w:val="en-GB"/>
        </w:rPr>
        <w:t xml:space="preserve">(Tiwari </w:t>
      </w:r>
      <w:commentRangeStart w:id="77"/>
      <w:r w:rsidRPr="008F37D3">
        <w:rPr>
          <w:lang w:val="en-GB"/>
        </w:rPr>
        <w:t xml:space="preserve">et al., </w:t>
      </w:r>
      <w:commentRangeEnd w:id="77"/>
      <w:r w:rsidR="00142302">
        <w:rPr>
          <w:rStyle w:val="CommentReference"/>
        </w:rPr>
        <w:commentReference w:id="77"/>
      </w:r>
      <w:r w:rsidRPr="008F37D3">
        <w:rPr>
          <w:lang w:val="en-GB"/>
        </w:rPr>
        <w:t>2010)</w:t>
      </w:r>
      <w:commentRangeEnd w:id="76"/>
      <w:r w:rsidR="00B80454">
        <w:rPr>
          <w:rStyle w:val="CommentReference"/>
        </w:rPr>
        <w:commentReference w:id="76"/>
      </w:r>
      <w:r w:rsidRPr="008F37D3">
        <w:rPr>
          <w:lang w:val="en-GB"/>
        </w:rPr>
        <w:t>.</w:t>
      </w:r>
    </w:p>
    <w:p w14:paraId="0F60A7E1" w14:textId="77777777" w:rsidR="002A0601" w:rsidRPr="008F37D3" w:rsidRDefault="00ED3E58">
      <w:pPr>
        <w:spacing w:line="480" w:lineRule="auto"/>
        <w:ind w:firstLine="720"/>
        <w:jc w:val="both"/>
        <w:rPr>
          <w:lang w:val="en-GB"/>
        </w:rPr>
      </w:pPr>
      <w:commentRangeStart w:id="78"/>
      <w:proofErr w:type="spellStart"/>
      <w:r w:rsidRPr="008F37D3">
        <w:rPr>
          <w:lang w:val="en-GB"/>
        </w:rPr>
        <w:t>Tzortzakis</w:t>
      </w:r>
      <w:proofErr w:type="spellEnd"/>
      <w:r w:rsidRPr="008F37D3">
        <w:rPr>
          <w:lang w:val="en-GB"/>
        </w:rPr>
        <w:t xml:space="preserve"> </w:t>
      </w:r>
      <w:commentRangeStart w:id="79"/>
      <w:r w:rsidRPr="008F37D3">
        <w:rPr>
          <w:lang w:val="en-GB"/>
        </w:rPr>
        <w:t xml:space="preserve">et al. </w:t>
      </w:r>
      <w:commentRangeEnd w:id="79"/>
      <w:r w:rsidR="00B80454">
        <w:rPr>
          <w:rStyle w:val="CommentReference"/>
        </w:rPr>
        <w:commentReference w:id="79"/>
      </w:r>
      <w:r w:rsidRPr="008F37D3">
        <w:rPr>
          <w:lang w:val="en-GB"/>
        </w:rPr>
        <w:t xml:space="preserve">(2007) </w:t>
      </w:r>
      <w:commentRangeEnd w:id="78"/>
      <w:r w:rsidR="00B80454">
        <w:rPr>
          <w:rStyle w:val="CommentReference"/>
        </w:rPr>
        <w:commentReference w:id="78"/>
      </w:r>
      <w:r w:rsidRPr="008F37D3">
        <w:rPr>
          <w:lang w:val="en-GB"/>
        </w:rPr>
        <w:t xml:space="preserve">investigated the effects of atmospheric ozone enrichment on tomato fruit quality, finding that low concentrations of gaseous ozone significantly reduced surface mould and bacterial populations whilst maintaining firmness, colour, and lycopene content at levels comparable to or better than conventionally stored controls. </w:t>
      </w:r>
      <w:commentRangeStart w:id="80"/>
      <w:r w:rsidRPr="008F37D3">
        <w:rPr>
          <w:lang w:val="en-GB"/>
        </w:rPr>
        <w:t xml:space="preserve">Tiwari </w:t>
      </w:r>
      <w:commentRangeStart w:id="81"/>
      <w:r w:rsidRPr="008F37D3">
        <w:rPr>
          <w:lang w:val="en-GB"/>
        </w:rPr>
        <w:t xml:space="preserve">et al. </w:t>
      </w:r>
      <w:commentRangeEnd w:id="81"/>
      <w:r w:rsidR="00B80454">
        <w:rPr>
          <w:rStyle w:val="CommentReference"/>
        </w:rPr>
        <w:commentReference w:id="81"/>
      </w:r>
      <w:r w:rsidRPr="008F37D3">
        <w:rPr>
          <w:lang w:val="en-GB"/>
        </w:rPr>
        <w:t>(2010)</w:t>
      </w:r>
      <w:commentRangeEnd w:id="80"/>
      <w:r w:rsidR="00B80454">
        <w:rPr>
          <w:rStyle w:val="CommentReference"/>
        </w:rPr>
        <w:commentReference w:id="80"/>
      </w:r>
      <w:r w:rsidRPr="008F37D3">
        <w:rPr>
          <w:lang w:val="en-GB"/>
        </w:rPr>
        <w:t xml:space="preserve"> reviewed ozone applications in grain processing, demonstrating that gaseous ozone treatment effectively reduced populations of </w:t>
      </w:r>
      <w:commentRangeStart w:id="82"/>
      <w:proofErr w:type="spellStart"/>
      <w:r w:rsidRPr="008F37D3">
        <w:rPr>
          <w:lang w:val="en-GB"/>
        </w:rPr>
        <w:t>Aspergillus</w:t>
      </w:r>
      <w:proofErr w:type="spellEnd"/>
      <w:r w:rsidRPr="008F37D3">
        <w:rPr>
          <w:lang w:val="en-GB"/>
        </w:rPr>
        <w:t xml:space="preserve"> </w:t>
      </w:r>
      <w:proofErr w:type="spellStart"/>
      <w:r w:rsidRPr="008F37D3">
        <w:rPr>
          <w:lang w:val="en-GB"/>
        </w:rPr>
        <w:t>flavus</w:t>
      </w:r>
      <w:proofErr w:type="spellEnd"/>
      <w:r w:rsidRPr="008F37D3">
        <w:rPr>
          <w:lang w:val="en-GB"/>
        </w:rPr>
        <w:t xml:space="preserve"> </w:t>
      </w:r>
      <w:commentRangeEnd w:id="82"/>
      <w:r w:rsidR="00B80454">
        <w:rPr>
          <w:rStyle w:val="CommentReference"/>
        </w:rPr>
        <w:commentReference w:id="82"/>
      </w:r>
      <w:r w:rsidRPr="008F37D3">
        <w:rPr>
          <w:lang w:val="en-GB"/>
        </w:rPr>
        <w:t xml:space="preserve">and </w:t>
      </w:r>
      <w:commentRangeStart w:id="83"/>
      <w:proofErr w:type="spellStart"/>
      <w:r w:rsidRPr="008F37D3">
        <w:rPr>
          <w:lang w:val="en-GB"/>
        </w:rPr>
        <w:t>Aspergillus</w:t>
      </w:r>
      <w:proofErr w:type="spellEnd"/>
      <w:r w:rsidRPr="008F37D3">
        <w:rPr>
          <w:lang w:val="en-GB"/>
        </w:rPr>
        <w:t xml:space="preserve"> </w:t>
      </w:r>
      <w:proofErr w:type="spellStart"/>
      <w:r w:rsidRPr="008F37D3">
        <w:rPr>
          <w:lang w:val="en-GB"/>
        </w:rPr>
        <w:t>parasiticus</w:t>
      </w:r>
      <w:proofErr w:type="spellEnd"/>
      <w:r w:rsidRPr="008F37D3">
        <w:rPr>
          <w:lang w:val="en-GB"/>
        </w:rPr>
        <w:t xml:space="preserve"> </w:t>
      </w:r>
      <w:commentRangeEnd w:id="83"/>
      <w:r w:rsidR="00B80454">
        <w:rPr>
          <w:rStyle w:val="CommentReference"/>
        </w:rPr>
        <w:commentReference w:id="83"/>
      </w:r>
      <w:r w:rsidRPr="008F37D3">
        <w:rPr>
          <w:lang w:val="en-GB"/>
        </w:rPr>
        <w:t xml:space="preserve">responsible for </w:t>
      </w:r>
      <w:proofErr w:type="spellStart"/>
      <w:r w:rsidRPr="008F37D3">
        <w:rPr>
          <w:lang w:val="en-GB"/>
        </w:rPr>
        <w:t>aflatoxin</w:t>
      </w:r>
      <w:proofErr w:type="spellEnd"/>
      <w:r w:rsidRPr="008F37D3">
        <w:rPr>
          <w:lang w:val="en-GB"/>
        </w:rPr>
        <w:t xml:space="preserve"> contamination whilst causing minimal impact on milling quality and </w:t>
      </w:r>
      <w:r w:rsidRPr="008F37D3">
        <w:rPr>
          <w:lang w:val="en-GB"/>
        </w:rPr>
        <w:lastRenderedPageBreak/>
        <w:t>baking performance at properly optimised concentrations. Both studies emphasised that concentration, exposure duration, temperature, relative humidity, and commodity surface morphology require careful optimisation, as excessive ozone exposure can cause bleaching, accelerated surface senescence, and undesirable oxidative damage to commodity constituents such as pigments and lipids.</w:t>
      </w:r>
    </w:p>
    <w:p w14:paraId="0A150FA0" w14:textId="77777777" w:rsidR="002A0601" w:rsidRPr="008F37D3" w:rsidRDefault="00ED3E58">
      <w:pPr>
        <w:pStyle w:val="Heading2"/>
        <w:spacing w:after="80" w:line="480" w:lineRule="auto"/>
        <w:rPr>
          <w:lang w:val="en-GB"/>
        </w:rPr>
      </w:pPr>
      <w:r w:rsidRPr="008F37D3">
        <w:rPr>
          <w:lang w:val="en-GB"/>
        </w:rPr>
        <w:t>5.6 Cold Plasma Technology</w:t>
      </w:r>
    </w:p>
    <w:p w14:paraId="65051908" w14:textId="77777777" w:rsidR="002A0601" w:rsidRPr="008F37D3" w:rsidRDefault="00ED3E58">
      <w:pPr>
        <w:spacing w:line="480" w:lineRule="auto"/>
        <w:ind w:firstLine="720"/>
        <w:jc w:val="both"/>
        <w:rPr>
          <w:lang w:val="en-GB"/>
        </w:rPr>
      </w:pPr>
      <w:r w:rsidRPr="008F37D3">
        <w:rPr>
          <w:lang w:val="en-GB"/>
        </w:rPr>
        <w:t xml:space="preserve">Cold plasma, or non-thermal plasma, is an emerging technology in which a partially ionised gas containing reactive oxygen and nitrogen species, ultraviolet photons, charged particles, and electric fields interacts with food surfaces at near-ambient temperatures, offering a multi-factorial antimicrobial action without significant thermal loading </w:t>
      </w:r>
      <w:commentRangeStart w:id="84"/>
      <w:r w:rsidRPr="008F37D3">
        <w:rPr>
          <w:lang w:val="en-GB"/>
        </w:rPr>
        <w:t>(</w:t>
      </w:r>
      <w:proofErr w:type="spellStart"/>
      <w:r w:rsidRPr="008F37D3">
        <w:rPr>
          <w:lang w:val="en-GB"/>
        </w:rPr>
        <w:t>Gavahian</w:t>
      </w:r>
      <w:proofErr w:type="spellEnd"/>
      <w:r w:rsidRPr="008F37D3">
        <w:rPr>
          <w:lang w:val="en-GB"/>
        </w:rPr>
        <w:t xml:space="preserve"> &amp; Cullen, 2020)</w:t>
      </w:r>
      <w:commentRangeEnd w:id="84"/>
      <w:r w:rsidR="00142302">
        <w:rPr>
          <w:rStyle w:val="CommentReference"/>
        </w:rPr>
        <w:commentReference w:id="84"/>
      </w:r>
      <w:r w:rsidRPr="008F37D3">
        <w:rPr>
          <w:lang w:val="en-GB"/>
        </w:rPr>
        <w:t>. The technology generates its antimicrobial and decontaminative effects through the synergistic action of these multiple reactive agents, which collectively attack microbial cell membranes, denature proteins, and disrupt nucleic acids by mechanisms that include oxidative damage, nitrosative stress, and direct physical disruption. Cold plasma can be generated using a range of apparatus configurations, including dielectric barrier discharges, plasma jets, and corona discharge systems, with the choice of configuration influencing the predominant reactive species generated and thus the spectrum of antimicrobial activity.</w:t>
      </w:r>
    </w:p>
    <w:p w14:paraId="0F9E32AF" w14:textId="77777777" w:rsidR="002A0601" w:rsidRPr="008F37D3" w:rsidRDefault="00ED3E58">
      <w:pPr>
        <w:spacing w:line="480" w:lineRule="auto"/>
        <w:ind w:firstLine="720"/>
        <w:jc w:val="both"/>
        <w:rPr>
          <w:lang w:val="en-GB"/>
        </w:rPr>
      </w:pPr>
      <w:commentRangeStart w:id="85"/>
      <w:proofErr w:type="spellStart"/>
      <w:r w:rsidRPr="008F37D3">
        <w:rPr>
          <w:lang w:val="en-GB"/>
        </w:rPr>
        <w:t>Gavahian</w:t>
      </w:r>
      <w:proofErr w:type="spellEnd"/>
      <w:r w:rsidRPr="008F37D3">
        <w:rPr>
          <w:lang w:val="en-GB"/>
        </w:rPr>
        <w:t xml:space="preserve"> and Cullen (2020) </w:t>
      </w:r>
      <w:commentRangeEnd w:id="85"/>
      <w:r w:rsidR="00142302">
        <w:rPr>
          <w:rStyle w:val="CommentReference"/>
        </w:rPr>
        <w:commentReference w:id="85"/>
      </w:r>
      <w:r w:rsidRPr="008F37D3">
        <w:rPr>
          <w:lang w:val="en-GB"/>
        </w:rPr>
        <w:t xml:space="preserve">reviewed evidence for the efficacy of cold plasma against mycotoxins including aflatoxins, deoxynivalenol, and zearalenone, concluding that plasma treatment can achieve substantial reductions in mycotoxin levels </w:t>
      </w:r>
      <w:proofErr w:type="gramStart"/>
      <w:r w:rsidRPr="008F37D3">
        <w:rPr>
          <w:lang w:val="en-GB"/>
        </w:rPr>
        <w:t>through both indirect degradation</w:t>
      </w:r>
      <w:proofErr w:type="gramEnd"/>
      <w:r w:rsidRPr="008F37D3">
        <w:rPr>
          <w:lang w:val="en-GB"/>
        </w:rPr>
        <w:t xml:space="preserve"> of mycotoxigenic fungi and direct chemical modification of the toxin molecules themselves. Surface-active reactive species generated during plasma treatment can oxidise and cleave the conjugated ring systems and lactone bridges that are characteristic of mycotoxin molecular structures, reducing their biological activity. Whilst cold plasma </w:t>
      </w:r>
      <w:r w:rsidRPr="008F37D3">
        <w:rPr>
          <w:lang w:val="en-GB"/>
        </w:rPr>
        <w:lastRenderedPageBreak/>
        <w:t>technology remains in the pre-commercialisation stage for most food applications, the absence of chemical residues, the ambient processing temperature, the absence of a requirement for water or chemical reagents, and the versatility of the technology across a range of food matrices render it a highly promising candidate for integration into future post-harvest management systems for both fresh produce and stored grains.</w:t>
      </w:r>
    </w:p>
    <w:p w14:paraId="430B10D5" w14:textId="77777777" w:rsidR="002A0601" w:rsidRPr="00B17F10" w:rsidRDefault="00ED3E58">
      <w:pPr>
        <w:pStyle w:val="Heading1"/>
        <w:spacing w:before="360" w:after="120" w:line="480" w:lineRule="auto"/>
        <w:rPr>
          <w:color w:val="auto"/>
          <w:lang w:val="en-GB"/>
        </w:rPr>
      </w:pPr>
      <w:r w:rsidRPr="00B17F10">
        <w:rPr>
          <w:color w:val="auto"/>
          <w:lang w:val="en-GB"/>
        </w:rPr>
        <w:t>6. Chemical and Biological Post-Harvest Interventions</w:t>
      </w:r>
    </w:p>
    <w:p w14:paraId="1A918A22" w14:textId="77777777" w:rsidR="002A0601" w:rsidRPr="008F37D3" w:rsidRDefault="00ED3E58">
      <w:pPr>
        <w:pStyle w:val="Heading2"/>
        <w:spacing w:after="80" w:line="480" w:lineRule="auto"/>
        <w:rPr>
          <w:lang w:val="en-GB"/>
        </w:rPr>
      </w:pPr>
      <w:r w:rsidRPr="008F37D3">
        <w:rPr>
          <w:lang w:val="en-GB"/>
        </w:rPr>
        <w:t>6.1 Edible Coatings and Nano-Enhanced Films</w:t>
      </w:r>
    </w:p>
    <w:p w14:paraId="5C6CEA28" w14:textId="77777777" w:rsidR="002A0601" w:rsidRPr="008F37D3" w:rsidRDefault="00ED3E58">
      <w:pPr>
        <w:spacing w:line="480" w:lineRule="auto"/>
        <w:ind w:firstLine="720"/>
        <w:jc w:val="both"/>
        <w:rPr>
          <w:lang w:val="en-GB"/>
        </w:rPr>
      </w:pPr>
      <w:r w:rsidRPr="008F37D3">
        <w:rPr>
          <w:lang w:val="en-GB"/>
        </w:rPr>
        <w:t xml:space="preserve">Edible coatings—thin layers of edible material applied to the surface of food commodities to create a selectively permeable barrier to gas and moisture exchange, reduce mechanical damage, and carry functional additives such as antimicrobial agents or antioxidants—have been the subject of extensive research and growing commercial application over the past two decades </w:t>
      </w:r>
      <w:commentRangeStart w:id="86"/>
      <w:r w:rsidRPr="008F37D3">
        <w:rPr>
          <w:lang w:val="en-GB"/>
        </w:rPr>
        <w:t>(</w:t>
      </w:r>
      <w:proofErr w:type="spellStart"/>
      <w:r w:rsidRPr="008F37D3">
        <w:rPr>
          <w:lang w:val="en-GB"/>
        </w:rPr>
        <w:t>Dhall</w:t>
      </w:r>
      <w:proofErr w:type="spellEnd"/>
      <w:r w:rsidRPr="008F37D3">
        <w:rPr>
          <w:lang w:val="en-GB"/>
        </w:rPr>
        <w:t>, 2013)</w:t>
      </w:r>
      <w:commentRangeEnd w:id="86"/>
      <w:r w:rsidR="00B17F10">
        <w:rPr>
          <w:rStyle w:val="CommentReference"/>
        </w:rPr>
        <w:commentReference w:id="86"/>
      </w:r>
      <w:r w:rsidRPr="008F37D3">
        <w:rPr>
          <w:lang w:val="en-GB"/>
        </w:rPr>
        <w:t xml:space="preserve">. Polysaccharide-based coatings, principally chitosan, carboxymethylcellulose, carrageenan, pullulan, and starch derivatives, represent the most extensively studied coating category, offering film-forming capacity, biodegradability, and, in the case of chitosan, intrinsic antimicrobial properties attributed to electrostatic interactions between its protonated amino groups and negatively charged microbial cell surfaces. Protein-based coatings derived from whey protein isolate, soy protein, zein, and casein offer complementary barrier properties, particularly to the diffusion of non-polar aroma compounds, and have been successfully applied to fresh-cut fruits and vegetables. Lipid-based coatings incorporating carnauba wax, beeswax, candelilla wax, or shellac provide superior barriers to water vapour loss compared with hydrophilic polysaccharide and protein coatings, and find commercial application in the waxing of citrus fruits, cucumbers, and root vegetables </w:t>
      </w:r>
      <w:commentRangeStart w:id="87"/>
      <w:r w:rsidRPr="008F37D3">
        <w:rPr>
          <w:lang w:val="en-GB"/>
        </w:rPr>
        <w:t>(</w:t>
      </w:r>
      <w:proofErr w:type="spellStart"/>
      <w:r w:rsidRPr="008F37D3">
        <w:rPr>
          <w:lang w:val="en-GB"/>
        </w:rPr>
        <w:t>Dhall</w:t>
      </w:r>
      <w:proofErr w:type="spellEnd"/>
      <w:r w:rsidRPr="008F37D3">
        <w:rPr>
          <w:lang w:val="en-GB"/>
        </w:rPr>
        <w:t>, 2013)</w:t>
      </w:r>
      <w:commentRangeEnd w:id="87"/>
      <w:r w:rsidR="00B17F10">
        <w:rPr>
          <w:rStyle w:val="CommentReference"/>
        </w:rPr>
        <w:commentReference w:id="87"/>
      </w:r>
      <w:r w:rsidRPr="008F37D3">
        <w:rPr>
          <w:lang w:val="en-GB"/>
        </w:rPr>
        <w:t>.</w:t>
      </w:r>
    </w:p>
    <w:p w14:paraId="595FD606" w14:textId="77777777" w:rsidR="002A0601" w:rsidRPr="008F37D3" w:rsidRDefault="00ED3E58">
      <w:pPr>
        <w:spacing w:line="480" w:lineRule="auto"/>
        <w:ind w:firstLine="720"/>
        <w:jc w:val="both"/>
        <w:rPr>
          <w:lang w:val="en-GB"/>
        </w:rPr>
      </w:pPr>
      <w:r w:rsidRPr="008F37D3">
        <w:rPr>
          <w:lang w:val="en-GB"/>
        </w:rPr>
        <w:lastRenderedPageBreak/>
        <w:t xml:space="preserve">The integration of nanotechnology into edible and packaging films has constituted a major research frontier over the past decade. Nano-scale particles of zinc oxide, silver, titanium dioxide, and clay minerals incorporated into polymeric matrices have been shown to substantially improve barrier properties, mechanical strength, and antimicrobial efficacy compared with their conventional microparticulate or unfilled counterparts </w:t>
      </w:r>
      <w:commentRangeStart w:id="88"/>
      <w:r w:rsidRPr="008F37D3">
        <w:rPr>
          <w:lang w:val="en-GB"/>
        </w:rPr>
        <w:t xml:space="preserve">(Dasgupta </w:t>
      </w:r>
      <w:commentRangeStart w:id="89"/>
      <w:r w:rsidRPr="008F37D3">
        <w:rPr>
          <w:lang w:val="en-GB"/>
        </w:rPr>
        <w:t xml:space="preserve">et al., </w:t>
      </w:r>
      <w:commentRangeEnd w:id="89"/>
      <w:r w:rsidR="00B17F10">
        <w:rPr>
          <w:rStyle w:val="CommentReference"/>
        </w:rPr>
        <w:commentReference w:id="89"/>
      </w:r>
      <w:r w:rsidRPr="008F37D3">
        <w:rPr>
          <w:lang w:val="en-GB"/>
        </w:rPr>
        <w:t>2015)</w:t>
      </w:r>
      <w:commentRangeEnd w:id="88"/>
      <w:r w:rsidR="00B17F10">
        <w:rPr>
          <w:rStyle w:val="CommentReference"/>
        </w:rPr>
        <w:commentReference w:id="88"/>
      </w:r>
      <w:r w:rsidRPr="008F37D3">
        <w:rPr>
          <w:lang w:val="en-GB"/>
        </w:rPr>
        <w:t xml:space="preserve">. </w:t>
      </w:r>
      <w:commentRangeStart w:id="90"/>
      <w:r w:rsidRPr="008F37D3">
        <w:rPr>
          <w:lang w:val="en-GB"/>
        </w:rPr>
        <w:t xml:space="preserve">Silvestre </w:t>
      </w:r>
      <w:commentRangeStart w:id="91"/>
      <w:r w:rsidRPr="008F37D3">
        <w:rPr>
          <w:lang w:val="en-GB"/>
        </w:rPr>
        <w:t xml:space="preserve">et al. </w:t>
      </w:r>
      <w:commentRangeEnd w:id="91"/>
      <w:r w:rsidR="00B17F10">
        <w:rPr>
          <w:rStyle w:val="CommentReference"/>
        </w:rPr>
        <w:commentReference w:id="91"/>
      </w:r>
      <w:r w:rsidRPr="008F37D3">
        <w:rPr>
          <w:lang w:val="en-GB"/>
        </w:rPr>
        <w:t xml:space="preserve">(2011) </w:t>
      </w:r>
      <w:commentRangeEnd w:id="90"/>
      <w:r w:rsidR="00B17F10">
        <w:rPr>
          <w:rStyle w:val="CommentReference"/>
        </w:rPr>
        <w:commentReference w:id="90"/>
      </w:r>
      <w:r w:rsidRPr="008F37D3">
        <w:rPr>
          <w:lang w:val="en-GB"/>
        </w:rPr>
        <w:t xml:space="preserve">reviewed the development of polymer nanomaterials for food packaging, demonstrating that nano-clay composites achieve oxygen permeability reductions of an order of magnitude or more compared with unfilled polymer matrices, attributable to the tortuous diffusion path imposed by the high-aspect-ratio clay platelets on permeating gas molecules. Nano-encapsulation of essential oil components such as carvacrol, thymol, and eugenol within edible coating matrices has addressed the principal practical limitation of these bioactive compounds—their high volatility and strong organoleptic impact—by providing controlled release that maintains antimicrobial activity over extended storage periods. However, </w:t>
      </w:r>
      <w:commentRangeStart w:id="92"/>
      <w:r w:rsidRPr="008F37D3">
        <w:rPr>
          <w:lang w:val="en-GB"/>
        </w:rPr>
        <w:t xml:space="preserve">Dasgupta </w:t>
      </w:r>
      <w:commentRangeStart w:id="93"/>
      <w:r w:rsidRPr="008F37D3">
        <w:rPr>
          <w:lang w:val="en-GB"/>
        </w:rPr>
        <w:t xml:space="preserve">et al. </w:t>
      </w:r>
      <w:commentRangeEnd w:id="93"/>
      <w:r w:rsidR="00B17F10">
        <w:rPr>
          <w:rStyle w:val="CommentReference"/>
        </w:rPr>
        <w:commentReference w:id="93"/>
      </w:r>
      <w:r w:rsidRPr="008F37D3">
        <w:rPr>
          <w:lang w:val="en-GB"/>
        </w:rPr>
        <w:t xml:space="preserve">(2015) and Silvestre </w:t>
      </w:r>
      <w:commentRangeStart w:id="94"/>
      <w:r w:rsidRPr="008F37D3">
        <w:rPr>
          <w:lang w:val="en-GB"/>
        </w:rPr>
        <w:t xml:space="preserve">et al. </w:t>
      </w:r>
      <w:commentRangeEnd w:id="94"/>
      <w:r w:rsidR="00B17F10">
        <w:rPr>
          <w:rStyle w:val="CommentReference"/>
        </w:rPr>
        <w:commentReference w:id="94"/>
      </w:r>
      <w:r w:rsidRPr="008F37D3">
        <w:rPr>
          <w:lang w:val="en-GB"/>
        </w:rPr>
        <w:t xml:space="preserve">(2011) </w:t>
      </w:r>
      <w:commentRangeEnd w:id="92"/>
      <w:r w:rsidR="00B17F10">
        <w:rPr>
          <w:rStyle w:val="CommentReference"/>
        </w:rPr>
        <w:commentReference w:id="92"/>
      </w:r>
      <w:r w:rsidRPr="008F37D3">
        <w:rPr>
          <w:lang w:val="en-GB"/>
        </w:rPr>
        <w:t>both flagged concerns about nanoparticle migration into foodstuffs, potential cytotoxicity, and the adequacy of existing regulatory frameworks for nano-enabled food contact materials—concerns that continue to temper commercial enthusiasm and necessitate thorough toxicological evaluation before widespread adoption can be sanctioned.</w:t>
      </w:r>
    </w:p>
    <w:p w14:paraId="4CA287AF" w14:textId="77777777" w:rsidR="002A0601" w:rsidRPr="008F37D3" w:rsidRDefault="00ED3E58">
      <w:pPr>
        <w:pStyle w:val="Heading2"/>
        <w:spacing w:after="80" w:line="480" w:lineRule="auto"/>
        <w:rPr>
          <w:lang w:val="en-GB"/>
        </w:rPr>
      </w:pPr>
      <w:r w:rsidRPr="008F37D3">
        <w:rPr>
          <w:lang w:val="en-GB"/>
        </w:rPr>
        <w:t>6.2 1-Methylcyclopropene (1-MCP) and Ethylene Management</w:t>
      </w:r>
    </w:p>
    <w:p w14:paraId="123C26CF" w14:textId="77777777" w:rsidR="002A0601" w:rsidRPr="008F37D3" w:rsidRDefault="00ED3E58">
      <w:pPr>
        <w:spacing w:line="480" w:lineRule="auto"/>
        <w:ind w:firstLine="720"/>
        <w:jc w:val="both"/>
        <w:rPr>
          <w:lang w:val="en-GB"/>
        </w:rPr>
      </w:pPr>
      <w:r w:rsidRPr="008F37D3">
        <w:rPr>
          <w:lang w:val="en-GB"/>
        </w:rPr>
        <w:t xml:space="preserve">The development and commercialisation of 1-methylcyclopropene (1-MCP)—a </w:t>
      </w:r>
      <w:proofErr w:type="spellStart"/>
      <w:r w:rsidRPr="008F37D3">
        <w:rPr>
          <w:lang w:val="en-GB"/>
        </w:rPr>
        <w:t>cyclopropene</w:t>
      </w:r>
      <w:proofErr w:type="spellEnd"/>
      <w:r w:rsidRPr="008F37D3">
        <w:rPr>
          <w:lang w:val="en-GB"/>
        </w:rPr>
        <w:t xml:space="preserve"> derivative that competitively and irreversibly inhibits ethylene binding to its receptor at picomolar concentrations—represents one of the most significant advances in post-harvest technology of the late twentieth and early twenty-first centuries </w:t>
      </w:r>
      <w:commentRangeStart w:id="95"/>
      <w:r w:rsidRPr="008F37D3">
        <w:rPr>
          <w:lang w:val="en-GB"/>
        </w:rPr>
        <w:t>(Watkins, 2006)</w:t>
      </w:r>
      <w:commentRangeEnd w:id="95"/>
      <w:r w:rsidR="00C56BB7">
        <w:rPr>
          <w:rStyle w:val="CommentReference"/>
        </w:rPr>
        <w:commentReference w:id="95"/>
      </w:r>
      <w:r w:rsidRPr="008F37D3">
        <w:rPr>
          <w:lang w:val="en-GB"/>
        </w:rPr>
        <w:t>. By blocking the ethylene receptor, 1-MCP effectively suppresses the entire cascade of ethylene-mediated ripening and senescence events, including softening associated with cell-</w:t>
      </w:r>
      <w:r w:rsidRPr="008F37D3">
        <w:rPr>
          <w:lang w:val="en-GB"/>
        </w:rPr>
        <w:lastRenderedPageBreak/>
        <w:t xml:space="preserve">wall pectin depolymerisation, chlorophyll degradation leading to </w:t>
      </w:r>
      <w:proofErr w:type="spellStart"/>
      <w:r w:rsidRPr="008F37D3">
        <w:rPr>
          <w:lang w:val="en-GB"/>
        </w:rPr>
        <w:t>degreening</w:t>
      </w:r>
      <w:proofErr w:type="spellEnd"/>
      <w:r w:rsidRPr="008F37D3">
        <w:rPr>
          <w:lang w:val="en-GB"/>
        </w:rPr>
        <w:t xml:space="preserve">, anthocyanin accumulation, and biosynthesis of volatile aroma compounds that characterise ripe climacteric fruits. The compound is effective at remarkably low concentrations—typically 0.5 to 1 µL/L—and at a range of treatment temperatures from 0°C to 20°C, with treatment typically applied for 12 to 24 hours in sealed environments prior to storage or transport </w:t>
      </w:r>
      <w:commentRangeStart w:id="96"/>
      <w:r w:rsidRPr="008F37D3">
        <w:rPr>
          <w:lang w:val="en-GB"/>
        </w:rPr>
        <w:t>(Watkins, 2006)</w:t>
      </w:r>
      <w:commentRangeEnd w:id="96"/>
      <w:r w:rsidR="00C56BB7">
        <w:rPr>
          <w:rStyle w:val="CommentReference"/>
        </w:rPr>
        <w:commentReference w:id="96"/>
      </w:r>
      <w:r w:rsidRPr="008F37D3">
        <w:rPr>
          <w:lang w:val="en-GB"/>
        </w:rPr>
        <w:t>.</w:t>
      </w:r>
    </w:p>
    <w:p w14:paraId="28A98BB2" w14:textId="77777777" w:rsidR="002A0601" w:rsidRPr="008F37D3" w:rsidRDefault="00ED3E58">
      <w:pPr>
        <w:spacing w:line="480" w:lineRule="auto"/>
        <w:ind w:firstLine="720"/>
        <w:jc w:val="both"/>
        <w:rPr>
          <w:lang w:val="en-GB"/>
        </w:rPr>
      </w:pPr>
      <w:r w:rsidRPr="008F37D3">
        <w:rPr>
          <w:lang w:val="en-GB"/>
        </w:rPr>
        <w:t xml:space="preserve">The commercial success of 1-MCP under the trade name </w:t>
      </w:r>
      <w:proofErr w:type="spellStart"/>
      <w:r w:rsidRPr="008F37D3">
        <w:rPr>
          <w:lang w:val="en-GB"/>
        </w:rPr>
        <w:t>SmartFresh</w:t>
      </w:r>
      <w:proofErr w:type="spellEnd"/>
      <w:r w:rsidRPr="008F37D3">
        <w:rPr>
          <w:lang w:val="en-GB"/>
        </w:rPr>
        <w:t xml:space="preserve"> for fresh produce applications has been substantial, with treatment routinely applied to apple, pear, kiwifruit, avocado, banana, and tomato crops in major producing regions across North America, Europe, and Australasia. The principal limitations of the technology include variable efficacy across cultivars—reflecting natural polymorphism in ethylene receptor genes—and the impracticality of gas-phase treatment in settings lacking sealed storage chambers of adequate volume, as is common in smallholder supply chains in developing countries. Additionally, there is evidence that 1-MCP treatment can compromise the development of optimal eating quality in apple varieties where aroma volatile biosynthesis is strongly ethylene-dependent, representing a trade-off between shelf life and sensory quality that requires careful cultivar-specific management </w:t>
      </w:r>
      <w:commentRangeStart w:id="97"/>
      <w:r w:rsidRPr="008F37D3">
        <w:rPr>
          <w:lang w:val="en-GB"/>
        </w:rPr>
        <w:t xml:space="preserve">(Mahajan </w:t>
      </w:r>
      <w:commentRangeStart w:id="98"/>
      <w:r w:rsidRPr="008F37D3">
        <w:rPr>
          <w:lang w:val="en-GB"/>
        </w:rPr>
        <w:t xml:space="preserve">et al., </w:t>
      </w:r>
      <w:commentRangeEnd w:id="98"/>
      <w:r w:rsidR="00C56BB7">
        <w:rPr>
          <w:rStyle w:val="CommentReference"/>
        </w:rPr>
        <w:commentReference w:id="98"/>
      </w:r>
      <w:r w:rsidRPr="008F37D3">
        <w:rPr>
          <w:lang w:val="en-GB"/>
        </w:rPr>
        <w:t>2014)</w:t>
      </w:r>
      <w:commentRangeEnd w:id="97"/>
      <w:r w:rsidR="00C56BB7">
        <w:rPr>
          <w:rStyle w:val="CommentReference"/>
        </w:rPr>
        <w:commentReference w:id="97"/>
      </w:r>
      <w:r w:rsidRPr="008F37D3">
        <w:rPr>
          <w:lang w:val="en-GB"/>
        </w:rPr>
        <w:t>. Research into slow-release 1-MCP formulations and sachet-based delivery systems suitable for small-scale and export applications continues, with the objective of broadening access to the technology and extending its application to commodities and markets not currently served by gas-phase treatment.</w:t>
      </w:r>
    </w:p>
    <w:p w14:paraId="0B6103DC" w14:textId="77777777" w:rsidR="002A0601" w:rsidRPr="008F37D3" w:rsidRDefault="00ED3E58">
      <w:pPr>
        <w:pStyle w:val="Heading2"/>
        <w:spacing w:after="80" w:line="480" w:lineRule="auto"/>
        <w:rPr>
          <w:lang w:val="en-GB"/>
        </w:rPr>
      </w:pPr>
      <w:r w:rsidRPr="008F37D3">
        <w:rPr>
          <w:lang w:val="en-GB"/>
        </w:rPr>
        <w:t>6.3 Biological Control Agents and Essential Oils</w:t>
      </w:r>
    </w:p>
    <w:p w14:paraId="23DDBA62" w14:textId="77777777" w:rsidR="002A0601" w:rsidRPr="008F37D3" w:rsidRDefault="00ED3E58">
      <w:pPr>
        <w:spacing w:line="480" w:lineRule="auto"/>
        <w:ind w:firstLine="720"/>
        <w:jc w:val="both"/>
        <w:rPr>
          <w:lang w:val="en-GB"/>
        </w:rPr>
      </w:pPr>
      <w:r w:rsidRPr="008F37D3">
        <w:rPr>
          <w:lang w:val="en-GB"/>
        </w:rPr>
        <w:t xml:space="preserve">The progressive restriction of synthetic fungicide use in post-harvest crop protection—driven by regulatory tightening in many jurisdictions, the emergence of fungicide resistance in key pathogen populations, and increasing consumer demand for </w:t>
      </w:r>
      <w:r w:rsidRPr="008F37D3">
        <w:rPr>
          <w:lang w:val="en-GB"/>
        </w:rPr>
        <w:lastRenderedPageBreak/>
        <w:t xml:space="preserve">produce free of synthetic chemical residues—has accelerated research into biological control as an alternative or complement to chemical treatments </w:t>
      </w:r>
      <w:commentRangeStart w:id="99"/>
      <w:r w:rsidRPr="008F37D3">
        <w:rPr>
          <w:lang w:val="en-GB"/>
        </w:rPr>
        <w:t>(</w:t>
      </w:r>
      <w:proofErr w:type="spellStart"/>
      <w:r w:rsidRPr="008F37D3">
        <w:rPr>
          <w:lang w:val="en-GB"/>
        </w:rPr>
        <w:t>Droby</w:t>
      </w:r>
      <w:proofErr w:type="spellEnd"/>
      <w:r w:rsidRPr="008F37D3">
        <w:rPr>
          <w:lang w:val="en-GB"/>
        </w:rPr>
        <w:t xml:space="preserve"> </w:t>
      </w:r>
      <w:commentRangeStart w:id="100"/>
      <w:r w:rsidRPr="008F37D3">
        <w:rPr>
          <w:lang w:val="en-GB"/>
        </w:rPr>
        <w:t xml:space="preserve">et al., </w:t>
      </w:r>
      <w:commentRangeEnd w:id="100"/>
      <w:r w:rsidR="00C56BB7">
        <w:rPr>
          <w:rStyle w:val="CommentReference"/>
        </w:rPr>
        <w:commentReference w:id="100"/>
      </w:r>
      <w:r w:rsidRPr="008F37D3">
        <w:rPr>
          <w:lang w:val="en-GB"/>
        </w:rPr>
        <w:t>2009)</w:t>
      </w:r>
      <w:commentRangeEnd w:id="99"/>
      <w:r w:rsidR="00C56BB7">
        <w:rPr>
          <w:rStyle w:val="CommentReference"/>
        </w:rPr>
        <w:commentReference w:id="99"/>
      </w:r>
      <w:r w:rsidRPr="008F37D3">
        <w:rPr>
          <w:lang w:val="en-GB"/>
        </w:rPr>
        <w:t xml:space="preserve">. Biocontrol agents based on naturally occurring yeasts, bacteria, and filamentous fungi—including species of Candida, </w:t>
      </w:r>
      <w:proofErr w:type="spellStart"/>
      <w:r w:rsidRPr="008F37D3">
        <w:rPr>
          <w:lang w:val="en-GB"/>
        </w:rPr>
        <w:t>Pichia</w:t>
      </w:r>
      <w:proofErr w:type="spellEnd"/>
      <w:r w:rsidRPr="008F37D3">
        <w:rPr>
          <w:lang w:val="en-GB"/>
        </w:rPr>
        <w:t xml:space="preserve">, </w:t>
      </w:r>
      <w:proofErr w:type="spellStart"/>
      <w:r w:rsidRPr="008F37D3">
        <w:rPr>
          <w:lang w:val="en-GB"/>
        </w:rPr>
        <w:t>Metschnikowia</w:t>
      </w:r>
      <w:proofErr w:type="spellEnd"/>
      <w:r w:rsidRPr="008F37D3">
        <w:rPr>
          <w:lang w:val="en-GB"/>
        </w:rPr>
        <w:t xml:space="preserve">, </w:t>
      </w:r>
      <w:commentRangeStart w:id="101"/>
      <w:r w:rsidRPr="008F37D3">
        <w:rPr>
          <w:lang w:val="en-GB"/>
        </w:rPr>
        <w:t xml:space="preserve">Bacillus </w:t>
      </w:r>
      <w:proofErr w:type="spellStart"/>
      <w:r w:rsidRPr="008F37D3">
        <w:rPr>
          <w:lang w:val="en-GB"/>
        </w:rPr>
        <w:t>subtilis</w:t>
      </w:r>
      <w:commentRangeEnd w:id="101"/>
      <w:proofErr w:type="spellEnd"/>
      <w:r w:rsidR="00C56BB7">
        <w:rPr>
          <w:rStyle w:val="CommentReference"/>
        </w:rPr>
        <w:commentReference w:id="101"/>
      </w:r>
      <w:r w:rsidRPr="008F37D3">
        <w:rPr>
          <w:lang w:val="en-GB"/>
        </w:rPr>
        <w:t xml:space="preserve">, </w:t>
      </w:r>
      <w:commentRangeStart w:id="102"/>
      <w:proofErr w:type="spellStart"/>
      <w:r w:rsidRPr="008F37D3">
        <w:rPr>
          <w:lang w:val="en-GB"/>
        </w:rPr>
        <w:t>Trichoderma</w:t>
      </w:r>
      <w:proofErr w:type="spellEnd"/>
      <w:r w:rsidRPr="008F37D3">
        <w:rPr>
          <w:lang w:val="en-GB"/>
        </w:rPr>
        <w:t xml:space="preserve"> </w:t>
      </w:r>
      <w:proofErr w:type="spellStart"/>
      <w:r w:rsidRPr="008F37D3">
        <w:rPr>
          <w:lang w:val="en-GB"/>
        </w:rPr>
        <w:t>harzianum</w:t>
      </w:r>
      <w:commentRangeEnd w:id="102"/>
      <w:proofErr w:type="spellEnd"/>
      <w:r w:rsidR="00C56BB7">
        <w:rPr>
          <w:rStyle w:val="CommentReference"/>
        </w:rPr>
        <w:commentReference w:id="102"/>
      </w:r>
      <w:r w:rsidRPr="008F37D3">
        <w:rPr>
          <w:lang w:val="en-GB"/>
        </w:rPr>
        <w:t xml:space="preserve">, and </w:t>
      </w:r>
      <w:commentRangeStart w:id="103"/>
      <w:proofErr w:type="spellStart"/>
      <w:r w:rsidRPr="008F37D3">
        <w:rPr>
          <w:lang w:val="en-GB"/>
        </w:rPr>
        <w:t>Clonostachys</w:t>
      </w:r>
      <w:proofErr w:type="spellEnd"/>
      <w:r w:rsidRPr="008F37D3">
        <w:rPr>
          <w:lang w:val="en-GB"/>
        </w:rPr>
        <w:t xml:space="preserve"> </w:t>
      </w:r>
      <w:proofErr w:type="spellStart"/>
      <w:r w:rsidRPr="008F37D3">
        <w:rPr>
          <w:lang w:val="en-GB"/>
        </w:rPr>
        <w:t>rosea</w:t>
      </w:r>
      <w:commentRangeEnd w:id="103"/>
      <w:proofErr w:type="spellEnd"/>
      <w:r w:rsidR="00C56BB7">
        <w:rPr>
          <w:rStyle w:val="CommentReference"/>
        </w:rPr>
        <w:commentReference w:id="103"/>
      </w:r>
      <w:r w:rsidRPr="008F37D3">
        <w:rPr>
          <w:lang w:val="en-GB"/>
        </w:rPr>
        <w:t>—have been developed and, in some cases, commercially registered as post-harvest treatments for a range of fruit and vegetable crops. The mechanisms by which effective biocontrol agents suppress pathogen establishment include competition for nutrients and space on the wound surface, production of cell-wall-degrading enzymes that parasitise the pathogen, secretion of antifungal compounds, and induction of systemic resistance responses in the host tissue.</w:t>
      </w:r>
    </w:p>
    <w:p w14:paraId="0C440291" w14:textId="77777777" w:rsidR="002A0601" w:rsidRPr="008F37D3" w:rsidRDefault="00ED3E58">
      <w:pPr>
        <w:spacing w:line="480" w:lineRule="auto"/>
        <w:ind w:firstLine="720"/>
        <w:jc w:val="both"/>
        <w:rPr>
          <w:lang w:val="en-GB"/>
        </w:rPr>
      </w:pPr>
      <w:commentRangeStart w:id="104"/>
      <w:proofErr w:type="spellStart"/>
      <w:r w:rsidRPr="008F37D3">
        <w:rPr>
          <w:lang w:val="en-GB"/>
        </w:rPr>
        <w:t>Droby</w:t>
      </w:r>
      <w:proofErr w:type="spellEnd"/>
      <w:r w:rsidRPr="008F37D3">
        <w:rPr>
          <w:lang w:val="en-GB"/>
        </w:rPr>
        <w:t xml:space="preserve"> </w:t>
      </w:r>
      <w:commentRangeStart w:id="105"/>
      <w:r w:rsidRPr="008F37D3">
        <w:rPr>
          <w:lang w:val="en-GB"/>
        </w:rPr>
        <w:t xml:space="preserve">et al. </w:t>
      </w:r>
      <w:commentRangeEnd w:id="105"/>
      <w:r w:rsidR="00C56BB7">
        <w:rPr>
          <w:rStyle w:val="CommentReference"/>
        </w:rPr>
        <w:commentReference w:id="105"/>
      </w:r>
      <w:r w:rsidRPr="008F37D3">
        <w:rPr>
          <w:lang w:val="en-GB"/>
        </w:rPr>
        <w:t xml:space="preserve">(2009) </w:t>
      </w:r>
      <w:commentRangeEnd w:id="104"/>
      <w:r w:rsidR="00C56BB7">
        <w:rPr>
          <w:rStyle w:val="CommentReference"/>
        </w:rPr>
        <w:commentReference w:id="104"/>
      </w:r>
      <w:r w:rsidRPr="008F37D3">
        <w:rPr>
          <w:lang w:val="en-GB"/>
        </w:rPr>
        <w:t xml:space="preserve">offered a critical assessment of two decades of post-harvest biocontrol research, arguing that whilst the paradigm of single-agent competitive exclusion has proven effective under controlled laboratory conditions, it has frequently failed to deliver consistent, commercially acceptable levels of disease control under the variable conditions of commercial packinghouses and storage facilities. They advocated for a revised paradigm that considers the ecological complexity of the post-harvest environment and the importance of integrating multiple modes of action. </w:t>
      </w:r>
      <w:commentRangeStart w:id="106"/>
      <w:r w:rsidRPr="008F37D3">
        <w:rPr>
          <w:lang w:val="en-GB"/>
        </w:rPr>
        <w:t xml:space="preserve">Sharma </w:t>
      </w:r>
      <w:commentRangeStart w:id="107"/>
      <w:r w:rsidRPr="008F37D3">
        <w:rPr>
          <w:lang w:val="en-GB"/>
        </w:rPr>
        <w:t xml:space="preserve">et al. </w:t>
      </w:r>
      <w:commentRangeEnd w:id="107"/>
      <w:r w:rsidR="00C56BB7">
        <w:rPr>
          <w:rStyle w:val="CommentReference"/>
        </w:rPr>
        <w:commentReference w:id="107"/>
      </w:r>
      <w:r w:rsidRPr="008F37D3">
        <w:rPr>
          <w:lang w:val="en-GB"/>
        </w:rPr>
        <w:t xml:space="preserve">(2009) </w:t>
      </w:r>
      <w:commentRangeEnd w:id="106"/>
      <w:r w:rsidR="00C56BB7">
        <w:rPr>
          <w:rStyle w:val="CommentReference"/>
        </w:rPr>
        <w:commentReference w:id="106"/>
      </w:r>
      <w:r w:rsidRPr="008F37D3">
        <w:rPr>
          <w:lang w:val="en-GB"/>
        </w:rPr>
        <w:t xml:space="preserve">similarly catalogued the diversity of mechanisms by which effective antagonists operate and stressed the value of combining biocontrol agents with physical or mild chemical treatments to achieve additive or synergistic control effects. Essential oils derived from plant species such as thyme, oregano, clove, and cinnamon contain bioactive monoterpenes and phenolic compounds—particularly carvacrol, thymol, and eugenol—that exert potent antifungal activity primarily through disruption of fungal cell membrane integrity, dissipation of the cellular proton motive force, and inhibition of membrane-bound ATPase activity </w:t>
      </w:r>
      <w:commentRangeStart w:id="108"/>
      <w:r w:rsidRPr="008F37D3">
        <w:rPr>
          <w:lang w:val="en-GB"/>
        </w:rPr>
        <w:t>(</w:t>
      </w:r>
      <w:proofErr w:type="spellStart"/>
      <w:r w:rsidRPr="008F37D3">
        <w:rPr>
          <w:lang w:val="en-GB"/>
        </w:rPr>
        <w:t>Sivakumar</w:t>
      </w:r>
      <w:proofErr w:type="spellEnd"/>
      <w:r w:rsidRPr="008F37D3">
        <w:rPr>
          <w:lang w:val="en-GB"/>
        </w:rPr>
        <w:t xml:space="preserve"> &amp; Bautista-</w:t>
      </w:r>
      <w:proofErr w:type="spellStart"/>
      <w:r w:rsidRPr="008F37D3">
        <w:rPr>
          <w:lang w:val="en-GB"/>
        </w:rPr>
        <w:t>Baños</w:t>
      </w:r>
      <w:proofErr w:type="spellEnd"/>
      <w:r w:rsidRPr="008F37D3">
        <w:rPr>
          <w:lang w:val="en-GB"/>
        </w:rPr>
        <w:t>, 2014)</w:t>
      </w:r>
      <w:commentRangeEnd w:id="108"/>
      <w:r w:rsidR="009236A5">
        <w:rPr>
          <w:rStyle w:val="CommentReference"/>
        </w:rPr>
        <w:commentReference w:id="108"/>
      </w:r>
      <w:r w:rsidRPr="008F37D3">
        <w:rPr>
          <w:lang w:val="en-GB"/>
        </w:rPr>
        <w:t xml:space="preserve">. Their commercial application, however, remains constrained by strong organoleptic impact at effective </w:t>
      </w:r>
      <w:r w:rsidRPr="008F37D3">
        <w:rPr>
          <w:lang w:val="en-GB"/>
        </w:rPr>
        <w:lastRenderedPageBreak/>
        <w:t>concentrations, variability in product quality, and regulatory classification as food additives in many jurisdictions, necessitating formal safety and efficacy evaluations prior to use.</w:t>
      </w:r>
    </w:p>
    <w:p w14:paraId="28233AA9" w14:textId="77777777" w:rsidR="002A0601" w:rsidRPr="008F37D3" w:rsidRDefault="00ED3E58">
      <w:pPr>
        <w:pStyle w:val="Heading1"/>
        <w:spacing w:before="360" w:after="120" w:line="480" w:lineRule="auto"/>
        <w:rPr>
          <w:lang w:val="en-GB"/>
        </w:rPr>
      </w:pPr>
      <w:r w:rsidRPr="008F37D3">
        <w:rPr>
          <w:lang w:val="en-GB"/>
        </w:rPr>
        <w:t>7. Cold Chain Management and Digital Technologies</w:t>
      </w:r>
    </w:p>
    <w:p w14:paraId="6A8E31E5" w14:textId="77777777" w:rsidR="002A0601" w:rsidRPr="008F37D3" w:rsidRDefault="00ED3E58">
      <w:pPr>
        <w:pStyle w:val="Heading2"/>
        <w:spacing w:after="80" w:line="480" w:lineRule="auto"/>
        <w:rPr>
          <w:lang w:val="en-GB"/>
        </w:rPr>
      </w:pPr>
      <w:r w:rsidRPr="008F37D3">
        <w:rPr>
          <w:lang w:val="en-GB"/>
        </w:rPr>
        <w:t>7.1 Advanced Refrigeration and Cold Chain Systems</w:t>
      </w:r>
    </w:p>
    <w:p w14:paraId="6C1D097D" w14:textId="77777777" w:rsidR="002A0601" w:rsidRPr="008F37D3" w:rsidRDefault="00ED3E58">
      <w:pPr>
        <w:spacing w:line="480" w:lineRule="auto"/>
        <w:ind w:firstLine="720"/>
        <w:jc w:val="both"/>
        <w:rPr>
          <w:lang w:val="en-GB"/>
        </w:rPr>
      </w:pPr>
      <w:r w:rsidRPr="008F37D3">
        <w:rPr>
          <w:lang w:val="en-GB"/>
        </w:rPr>
        <w:t xml:space="preserve">Temperature management constitutes the cornerstone of post-harvest quality retention for all perishable commodities. The principle that biological reaction rates approximately double with each 10°C increase in temperature—widely applied in food science as the Q10 concept—provides the physiological rationale for refrigeration as the most universally effective single post-harvest technology available. </w:t>
      </w:r>
      <w:commentRangeStart w:id="109"/>
      <w:r w:rsidRPr="008F37D3">
        <w:rPr>
          <w:lang w:val="en-GB"/>
        </w:rPr>
        <w:t xml:space="preserve">James and James (2010) </w:t>
      </w:r>
      <w:commentRangeEnd w:id="109"/>
      <w:r w:rsidR="009236A5">
        <w:rPr>
          <w:rStyle w:val="CommentReference"/>
        </w:rPr>
        <w:commentReference w:id="109"/>
      </w:r>
      <w:r w:rsidRPr="008F37D3">
        <w:rPr>
          <w:lang w:val="en-GB"/>
        </w:rPr>
        <w:t>examined the interaction between cold-chain management and climate change, noting that the food cold chain accounts for a meaningful share of total global refrigeration energy consumption, and that rising ambient temperatures are simultaneously increasing energy demands for refrigerated storage and transport whilst shortening the safe windows during which produce can be held without active cooling. Their analysis highlighted the critical importance of pre-cooling—the rapid removal of field heat from freshly harvested produce by means of forced-air cooling, hydrocooling, vacuum cooling, or contact icing—as a determinant of subsequent quality retention that is frequently neglected in low-income settings due to capital and energy costs.</w:t>
      </w:r>
    </w:p>
    <w:p w14:paraId="3101DE72" w14:textId="77777777" w:rsidR="002A0601" w:rsidRPr="008F37D3" w:rsidRDefault="00ED3E58">
      <w:pPr>
        <w:spacing w:line="480" w:lineRule="auto"/>
        <w:ind w:firstLine="720"/>
        <w:jc w:val="both"/>
        <w:rPr>
          <w:lang w:val="en-GB"/>
        </w:rPr>
      </w:pPr>
      <w:commentRangeStart w:id="110"/>
      <w:r w:rsidRPr="008F37D3">
        <w:rPr>
          <w:lang w:val="en-GB"/>
        </w:rPr>
        <w:t xml:space="preserve">Mercier </w:t>
      </w:r>
      <w:commentRangeStart w:id="111"/>
      <w:r w:rsidRPr="008F37D3">
        <w:rPr>
          <w:lang w:val="en-GB"/>
        </w:rPr>
        <w:t xml:space="preserve">et al. </w:t>
      </w:r>
      <w:commentRangeEnd w:id="111"/>
      <w:r w:rsidR="009236A5">
        <w:rPr>
          <w:rStyle w:val="CommentReference"/>
        </w:rPr>
        <w:commentReference w:id="111"/>
      </w:r>
      <w:r w:rsidRPr="008F37D3">
        <w:rPr>
          <w:lang w:val="en-GB"/>
        </w:rPr>
        <w:t xml:space="preserve">(2017) </w:t>
      </w:r>
      <w:commentRangeEnd w:id="110"/>
      <w:r w:rsidR="009236A5">
        <w:rPr>
          <w:rStyle w:val="CommentReference"/>
        </w:rPr>
        <w:commentReference w:id="110"/>
      </w:r>
      <w:r w:rsidRPr="008F37D3">
        <w:rPr>
          <w:lang w:val="en-GB"/>
        </w:rPr>
        <w:t xml:space="preserve">reviewed developments in time-temperature management along the food cold chain, drawing attention to the growing body of evidence linking time-temperature deviations at specific stages of the cold chain to accelerated quality deterioration and increased food safety risk. Their review highlighted the potential of kinetic quality loss models—which relate the cumulative time-temperature history of a product to its remaining shelf life—to support dynamic, condition-based labelling approaches that reflect actual </w:t>
      </w:r>
      <w:r w:rsidRPr="008F37D3">
        <w:rPr>
          <w:lang w:val="en-GB"/>
        </w:rPr>
        <w:lastRenderedPageBreak/>
        <w:t>product quality rather than fixed use-by dates determined under standardised reference conditions. Such approaches have the potential to substantially reduce retail and consumer waste by directing products to appropriate sales channels based on real-time quality assessment rather than conservative, fixed-date assumptions that necessarily overestimate degradation rates for well-managed products. The development of thermoelectric cooling systems, solar-powered cold storage units, and phase-change material-based passive cooling packages has additionally opened new possibilities for maintaining temperature control in off-grid settings typical of smallholder supply chains in sub-Saharan Africa and South Asia, where grid-powered refrigeration may be unreliable or inaccessible.</w:t>
      </w:r>
    </w:p>
    <w:p w14:paraId="2FBF93C1" w14:textId="77777777" w:rsidR="002A0601" w:rsidRPr="008F37D3" w:rsidRDefault="00ED3E58">
      <w:pPr>
        <w:pStyle w:val="Heading2"/>
        <w:spacing w:after="80" w:line="480" w:lineRule="auto"/>
        <w:rPr>
          <w:lang w:val="en-GB"/>
        </w:rPr>
      </w:pPr>
      <w:r w:rsidRPr="008F37D3">
        <w:rPr>
          <w:lang w:val="en-GB"/>
        </w:rPr>
        <w:t>7.2 Internet of Things and Smart Sensor Networks</w:t>
      </w:r>
    </w:p>
    <w:p w14:paraId="639432DF" w14:textId="77777777" w:rsidR="002A0601" w:rsidRPr="008F37D3" w:rsidRDefault="00ED3E58">
      <w:pPr>
        <w:spacing w:line="480" w:lineRule="auto"/>
        <w:ind w:firstLine="720"/>
        <w:jc w:val="both"/>
        <w:rPr>
          <w:lang w:val="en-GB"/>
        </w:rPr>
      </w:pPr>
      <w:r w:rsidRPr="008F37D3">
        <w:rPr>
          <w:lang w:val="en-GB"/>
        </w:rPr>
        <w:t xml:space="preserve">The Internet of Things (IoT) refers to the networked interconnection of physical devices equipped with sensors, actuators, and wireless communication modules, enabling real-time collection, transmission, and analysis of data from distributed physical environments. In the post-harvest context, IoT applications encompass wireless sensor networks for monitoring temperature, relative humidity, ethylene concentration, and carbon dioxide in storage facilities and refrigerated transport vehicles; radiofrequency identification (RFID) and barcode-based systems for individual item or batch traceability; and smart packaging systems that communicate product condition to supply-chain stakeholders </w:t>
      </w:r>
      <w:commentRangeStart w:id="112"/>
      <w:r w:rsidRPr="008F37D3">
        <w:rPr>
          <w:lang w:val="en-GB"/>
        </w:rPr>
        <w:t>(</w:t>
      </w:r>
      <w:proofErr w:type="spellStart"/>
      <w:r w:rsidRPr="008F37D3">
        <w:rPr>
          <w:lang w:val="en-GB"/>
        </w:rPr>
        <w:t>Tzounis</w:t>
      </w:r>
      <w:proofErr w:type="spellEnd"/>
      <w:r w:rsidRPr="008F37D3">
        <w:rPr>
          <w:lang w:val="en-GB"/>
        </w:rPr>
        <w:t xml:space="preserve"> </w:t>
      </w:r>
      <w:commentRangeStart w:id="113"/>
      <w:r w:rsidRPr="008F37D3">
        <w:rPr>
          <w:lang w:val="en-GB"/>
        </w:rPr>
        <w:t xml:space="preserve">et al., </w:t>
      </w:r>
      <w:commentRangeEnd w:id="113"/>
      <w:r w:rsidR="009236A5">
        <w:rPr>
          <w:rStyle w:val="CommentReference"/>
        </w:rPr>
        <w:commentReference w:id="113"/>
      </w:r>
      <w:r w:rsidRPr="008F37D3">
        <w:rPr>
          <w:lang w:val="en-GB"/>
        </w:rPr>
        <w:t>2017)</w:t>
      </w:r>
      <w:commentRangeEnd w:id="112"/>
      <w:r w:rsidR="009236A5">
        <w:rPr>
          <w:rStyle w:val="CommentReference"/>
        </w:rPr>
        <w:commentReference w:id="112"/>
      </w:r>
      <w:r w:rsidRPr="008F37D3">
        <w:rPr>
          <w:lang w:val="en-GB"/>
        </w:rPr>
        <w:t xml:space="preserve">. </w:t>
      </w:r>
      <w:commentRangeStart w:id="114"/>
      <w:r w:rsidRPr="008F37D3">
        <w:rPr>
          <w:lang w:val="en-GB"/>
        </w:rPr>
        <w:t xml:space="preserve">Ruiz-Garcia and </w:t>
      </w:r>
      <w:proofErr w:type="spellStart"/>
      <w:r w:rsidRPr="008F37D3">
        <w:rPr>
          <w:lang w:val="en-GB"/>
        </w:rPr>
        <w:t>Lunadei</w:t>
      </w:r>
      <w:proofErr w:type="spellEnd"/>
      <w:r w:rsidRPr="008F37D3">
        <w:rPr>
          <w:lang w:val="en-GB"/>
        </w:rPr>
        <w:t xml:space="preserve"> (2011) </w:t>
      </w:r>
      <w:commentRangeEnd w:id="114"/>
      <w:r w:rsidR="009236A5">
        <w:rPr>
          <w:rStyle w:val="CommentReference"/>
        </w:rPr>
        <w:commentReference w:id="114"/>
      </w:r>
      <w:r w:rsidRPr="008F37D3">
        <w:rPr>
          <w:lang w:val="en-GB"/>
        </w:rPr>
        <w:t>reviewed the role of RFID technology in agriculture and post-harvest management, identifying cold-chain monitoring, food recall management, inventory control, and counterfeit prevention as the principal applications. Their analysis noted that whilst the technical feasibility of RFID-based cold-chain monitoring had been well demonstrated, the cost of passive and active tags, the need for standardised communication protocols, and concerns about data ownership and cybersecurity represented barriers to widespread adoption, particularly amongst smaller-scale operators.</w:t>
      </w:r>
    </w:p>
    <w:p w14:paraId="47707418" w14:textId="77777777" w:rsidR="002A0601" w:rsidRPr="008F37D3" w:rsidRDefault="00ED3E58">
      <w:pPr>
        <w:spacing w:line="480" w:lineRule="auto"/>
        <w:ind w:firstLine="720"/>
        <w:jc w:val="both"/>
        <w:rPr>
          <w:lang w:val="en-GB"/>
        </w:rPr>
      </w:pPr>
      <w:commentRangeStart w:id="115"/>
      <w:r w:rsidRPr="008F37D3">
        <w:rPr>
          <w:lang w:val="en-GB"/>
        </w:rPr>
        <w:lastRenderedPageBreak/>
        <w:t xml:space="preserve">Jedermann </w:t>
      </w:r>
      <w:commentRangeStart w:id="116"/>
      <w:r w:rsidRPr="008F37D3">
        <w:rPr>
          <w:lang w:val="en-GB"/>
        </w:rPr>
        <w:t xml:space="preserve">et al. </w:t>
      </w:r>
      <w:commentRangeEnd w:id="116"/>
      <w:r w:rsidR="009236A5">
        <w:rPr>
          <w:rStyle w:val="CommentReference"/>
        </w:rPr>
        <w:commentReference w:id="116"/>
      </w:r>
      <w:r w:rsidRPr="008F37D3">
        <w:rPr>
          <w:lang w:val="en-GB"/>
        </w:rPr>
        <w:t xml:space="preserve">(2014) </w:t>
      </w:r>
      <w:commentRangeEnd w:id="115"/>
      <w:r w:rsidR="009236A5">
        <w:rPr>
          <w:rStyle w:val="CommentReference"/>
        </w:rPr>
        <w:commentReference w:id="115"/>
      </w:r>
      <w:r w:rsidRPr="008F37D3">
        <w:rPr>
          <w:lang w:val="en-GB"/>
        </w:rPr>
        <w:t xml:space="preserve">examined the broader potential of intelligent food logistics enabled by IoT technologies, demonstrating that integrating sensor data with shelf-life prediction models allowed the remaining quality potential of individual shipments to be estimated with sufficient accuracy to inform routing, prioritisation, and intervention decisions. Their study demonstrated reductions in simulated food losses through dynamic supply-chain decision-making enabled by continuous quality monitoring in refrigerated shipping containers. </w:t>
      </w:r>
      <w:commentRangeStart w:id="117"/>
      <w:proofErr w:type="spellStart"/>
      <w:r w:rsidRPr="008F37D3">
        <w:rPr>
          <w:lang w:val="en-GB"/>
        </w:rPr>
        <w:t>Tzounis</w:t>
      </w:r>
      <w:proofErr w:type="spellEnd"/>
      <w:r w:rsidRPr="008F37D3">
        <w:rPr>
          <w:lang w:val="en-GB"/>
        </w:rPr>
        <w:t xml:space="preserve"> </w:t>
      </w:r>
      <w:commentRangeStart w:id="118"/>
      <w:r w:rsidRPr="008F37D3">
        <w:rPr>
          <w:lang w:val="en-GB"/>
        </w:rPr>
        <w:t xml:space="preserve">et al. </w:t>
      </w:r>
      <w:commentRangeEnd w:id="118"/>
      <w:r w:rsidR="009236A5">
        <w:rPr>
          <w:rStyle w:val="CommentReference"/>
        </w:rPr>
        <w:commentReference w:id="118"/>
      </w:r>
      <w:r w:rsidRPr="008F37D3">
        <w:rPr>
          <w:lang w:val="en-GB"/>
        </w:rPr>
        <w:t xml:space="preserve">(2017) </w:t>
      </w:r>
      <w:commentRangeEnd w:id="117"/>
      <w:r w:rsidR="009236A5">
        <w:rPr>
          <w:rStyle w:val="CommentReference"/>
        </w:rPr>
        <w:commentReference w:id="117"/>
      </w:r>
      <w:r w:rsidRPr="008F37D3">
        <w:rPr>
          <w:lang w:val="en-GB"/>
        </w:rPr>
        <w:t xml:space="preserve">further reviewed the broader landscape of IoT in agriculture, noting that advances in low-power wireless communication standards—including </w:t>
      </w:r>
      <w:proofErr w:type="spellStart"/>
      <w:r w:rsidRPr="008F37D3">
        <w:rPr>
          <w:lang w:val="en-GB"/>
        </w:rPr>
        <w:t>ZigBee</w:t>
      </w:r>
      <w:proofErr w:type="spellEnd"/>
      <w:r w:rsidRPr="008F37D3">
        <w:rPr>
          <w:lang w:val="en-GB"/>
        </w:rPr>
        <w:t xml:space="preserve">, </w:t>
      </w:r>
      <w:proofErr w:type="spellStart"/>
      <w:r w:rsidRPr="008F37D3">
        <w:rPr>
          <w:lang w:val="en-GB"/>
        </w:rPr>
        <w:t>LoRaWAN</w:t>
      </w:r>
      <w:proofErr w:type="spellEnd"/>
      <w:r w:rsidRPr="008F37D3">
        <w:rPr>
          <w:lang w:val="en-GB"/>
        </w:rPr>
        <w:t xml:space="preserve">, and Narrowband </w:t>
      </w:r>
      <w:proofErr w:type="spellStart"/>
      <w:r w:rsidRPr="008F37D3">
        <w:rPr>
          <w:lang w:val="en-GB"/>
        </w:rPr>
        <w:t>IoT</w:t>
      </w:r>
      <w:proofErr w:type="spellEnd"/>
      <w:r w:rsidRPr="008F37D3">
        <w:rPr>
          <w:lang w:val="en-GB"/>
        </w:rPr>
        <w:t>—were rapidly reducing the cost and extending the battery life of sensor nodes, making large-scale sensor deployment increasingly economically viable even in remote, off-grid agricultural settings. The integration of edge computing—wherein data processing occurs locally on or near the sensor node rather than being transmitted to a central server—further reduces communication bandwidth requirements and latency, enabling faster local decision-making in time-critical applications such as refrigeration fault detection.</w:t>
      </w:r>
    </w:p>
    <w:p w14:paraId="4022A9D1" w14:textId="77777777" w:rsidR="002A0601" w:rsidRPr="008F37D3" w:rsidRDefault="00ED3E58">
      <w:pPr>
        <w:pStyle w:val="Heading2"/>
        <w:spacing w:after="80" w:line="480" w:lineRule="auto"/>
        <w:rPr>
          <w:lang w:val="en-GB"/>
        </w:rPr>
      </w:pPr>
      <w:r w:rsidRPr="008F37D3">
        <w:rPr>
          <w:lang w:val="en-GB"/>
        </w:rPr>
        <w:t>7.3 Computer Vision, Hyperspectral Imaging, and Machine Learning</w:t>
      </w:r>
    </w:p>
    <w:p w14:paraId="0CD97C63" w14:textId="77777777" w:rsidR="002A0601" w:rsidRPr="008F37D3" w:rsidRDefault="00ED3E58">
      <w:pPr>
        <w:spacing w:line="480" w:lineRule="auto"/>
        <w:ind w:firstLine="720"/>
        <w:jc w:val="both"/>
        <w:rPr>
          <w:lang w:val="en-GB"/>
        </w:rPr>
      </w:pPr>
      <w:r w:rsidRPr="008F37D3">
        <w:rPr>
          <w:lang w:val="en-GB"/>
        </w:rPr>
        <w:t xml:space="preserve">The automation of post-harvest quality assessment through machine vision and imaging technologies represents a transformative shift from subjective, labour-intensive manual grading to objective, high-throughput, and reproducible measurement </w:t>
      </w:r>
      <w:commentRangeStart w:id="119"/>
      <w:r w:rsidRPr="008F37D3">
        <w:rPr>
          <w:lang w:val="en-GB"/>
        </w:rPr>
        <w:t xml:space="preserve">(Cubero </w:t>
      </w:r>
      <w:commentRangeStart w:id="120"/>
      <w:r w:rsidRPr="008F37D3">
        <w:rPr>
          <w:lang w:val="en-GB"/>
        </w:rPr>
        <w:t xml:space="preserve">et al., </w:t>
      </w:r>
      <w:commentRangeEnd w:id="120"/>
      <w:r w:rsidR="005416D8">
        <w:rPr>
          <w:rStyle w:val="CommentReference"/>
        </w:rPr>
        <w:commentReference w:id="120"/>
      </w:r>
      <w:r w:rsidRPr="008F37D3">
        <w:rPr>
          <w:lang w:val="en-GB"/>
        </w:rPr>
        <w:t>2011)</w:t>
      </w:r>
      <w:commentRangeEnd w:id="119"/>
      <w:r w:rsidR="005416D8">
        <w:rPr>
          <w:rStyle w:val="CommentReference"/>
        </w:rPr>
        <w:commentReference w:id="119"/>
      </w:r>
      <w:r w:rsidRPr="008F37D3">
        <w:rPr>
          <w:lang w:val="en-GB"/>
        </w:rPr>
        <w:t xml:space="preserve">. Standard machine vision systems based on RGB cameras and digital image processing algorithms have been commercially deployed for the detection of external surface defects, colour assessment, size measurement, and shape classification across a wide range of fruits and vegetables, replacing or augmenting human inspectors in high-volume packing operations. </w:t>
      </w:r>
      <w:commentRangeStart w:id="121"/>
      <w:r w:rsidRPr="008F37D3">
        <w:rPr>
          <w:lang w:val="en-GB"/>
        </w:rPr>
        <w:t xml:space="preserve">Cubero </w:t>
      </w:r>
      <w:commentRangeStart w:id="122"/>
      <w:r w:rsidRPr="008F37D3">
        <w:rPr>
          <w:lang w:val="en-GB"/>
        </w:rPr>
        <w:t xml:space="preserve">et al. </w:t>
      </w:r>
      <w:commentRangeEnd w:id="122"/>
      <w:r w:rsidR="005416D8">
        <w:rPr>
          <w:rStyle w:val="CommentReference"/>
        </w:rPr>
        <w:commentReference w:id="122"/>
      </w:r>
      <w:r w:rsidRPr="008F37D3">
        <w:rPr>
          <w:lang w:val="en-GB"/>
        </w:rPr>
        <w:t xml:space="preserve">(2011) </w:t>
      </w:r>
      <w:commentRangeEnd w:id="121"/>
      <w:r w:rsidR="005416D8">
        <w:rPr>
          <w:rStyle w:val="CommentReference"/>
        </w:rPr>
        <w:commentReference w:id="121"/>
      </w:r>
      <w:r w:rsidRPr="008F37D3">
        <w:rPr>
          <w:lang w:val="en-GB"/>
        </w:rPr>
        <w:t xml:space="preserve">reviewed advances in machine vision for fruit and vegetable quality evaluation, demonstrating that multispectral imaging systems capturing reflectance at </w:t>
      </w:r>
      <w:r w:rsidRPr="008F37D3">
        <w:rPr>
          <w:lang w:val="en-GB"/>
        </w:rPr>
        <w:lastRenderedPageBreak/>
        <w:t>wavelengths beyond the visible spectrum—particularly in the near-infrared—significantly extended the range of detectable quality attributes, enabling the non-destructive assessment of soluble solids content, firmness, and the detection of bruising beneath the skin surface that would be invisible to standard RGB imaging.</w:t>
      </w:r>
    </w:p>
    <w:p w14:paraId="0E85A40E" w14:textId="77777777" w:rsidR="002A0601" w:rsidRPr="008F37D3" w:rsidRDefault="00ED3E58">
      <w:pPr>
        <w:spacing w:line="480" w:lineRule="auto"/>
        <w:ind w:firstLine="720"/>
        <w:jc w:val="both"/>
        <w:rPr>
          <w:lang w:val="en-GB"/>
        </w:rPr>
      </w:pPr>
      <w:r w:rsidRPr="008F37D3">
        <w:rPr>
          <w:lang w:val="en-GB"/>
        </w:rPr>
        <w:t xml:space="preserve">Hyperspectral imaging, which simultaneously acquires spatial and spectral information across tens to hundreds of wavelength bands spanning the visible through the short-wave infrared, offers considerably greater analytical power than multispectral approaches, enabling the non-destructive mapping of chemical composition, moisture distribution, and microbial contamination across the surface and subsurface of produce </w:t>
      </w:r>
      <w:commentRangeStart w:id="123"/>
      <w:r w:rsidRPr="008F37D3">
        <w:rPr>
          <w:lang w:val="en-GB"/>
        </w:rPr>
        <w:t xml:space="preserve">(Lorente </w:t>
      </w:r>
      <w:commentRangeStart w:id="124"/>
      <w:r w:rsidRPr="008F37D3">
        <w:rPr>
          <w:lang w:val="en-GB"/>
        </w:rPr>
        <w:t xml:space="preserve">et al., </w:t>
      </w:r>
      <w:commentRangeEnd w:id="124"/>
      <w:r w:rsidR="005416D8">
        <w:rPr>
          <w:rStyle w:val="CommentReference"/>
        </w:rPr>
        <w:commentReference w:id="124"/>
      </w:r>
      <w:r w:rsidRPr="008F37D3">
        <w:rPr>
          <w:lang w:val="en-GB"/>
        </w:rPr>
        <w:t>2012)</w:t>
      </w:r>
      <w:commentRangeEnd w:id="123"/>
      <w:r w:rsidR="005416D8">
        <w:rPr>
          <w:rStyle w:val="CommentReference"/>
        </w:rPr>
        <w:commentReference w:id="123"/>
      </w:r>
      <w:r w:rsidRPr="008F37D3">
        <w:rPr>
          <w:lang w:val="en-GB"/>
        </w:rPr>
        <w:t xml:space="preserve">. </w:t>
      </w:r>
      <w:commentRangeStart w:id="125"/>
      <w:r w:rsidRPr="008F37D3">
        <w:rPr>
          <w:lang w:val="en-GB"/>
        </w:rPr>
        <w:t xml:space="preserve">Lorente </w:t>
      </w:r>
      <w:commentRangeStart w:id="126"/>
      <w:r w:rsidRPr="008F37D3">
        <w:rPr>
          <w:lang w:val="en-GB"/>
        </w:rPr>
        <w:t xml:space="preserve">et al. </w:t>
      </w:r>
      <w:commentRangeEnd w:id="126"/>
      <w:r w:rsidR="005416D8">
        <w:rPr>
          <w:rStyle w:val="CommentReference"/>
        </w:rPr>
        <w:commentReference w:id="126"/>
      </w:r>
      <w:r w:rsidRPr="008F37D3">
        <w:rPr>
          <w:lang w:val="en-GB"/>
        </w:rPr>
        <w:t xml:space="preserve">(2012) </w:t>
      </w:r>
      <w:commentRangeEnd w:id="125"/>
      <w:r w:rsidR="005416D8">
        <w:rPr>
          <w:rStyle w:val="CommentReference"/>
        </w:rPr>
        <w:commentReference w:id="125"/>
      </w:r>
      <w:r w:rsidRPr="008F37D3">
        <w:rPr>
          <w:lang w:val="en-GB"/>
        </w:rPr>
        <w:t xml:space="preserve">reviewed applications of </w:t>
      </w:r>
      <w:proofErr w:type="spellStart"/>
      <w:r w:rsidRPr="008F37D3">
        <w:rPr>
          <w:lang w:val="en-GB"/>
        </w:rPr>
        <w:t>hyperspectral</w:t>
      </w:r>
      <w:proofErr w:type="spellEnd"/>
      <w:r w:rsidRPr="008F37D3">
        <w:rPr>
          <w:lang w:val="en-GB"/>
        </w:rPr>
        <w:t xml:space="preserve"> imaging in fruit and vegetable quality assessment, describing its use in the detection of aflatoxin contamination in maize kernels, chilling injury in citrus peel, and ripeness heterogeneity in kiwifruit slices with spatial resolution sufficient to support individual commodity grading decisions. Machine learning and deep learning algorithms have emerged as the analytical engine underpinning advances in computer vision quality assessment, offering the capacity to learn complex non-linear relationships between imaging data and quality parameters without the need for explicit expert knowledge engineering </w:t>
      </w:r>
      <w:commentRangeStart w:id="127"/>
      <w:r w:rsidRPr="008F37D3">
        <w:rPr>
          <w:lang w:val="en-GB"/>
        </w:rPr>
        <w:t xml:space="preserve">(Liakos </w:t>
      </w:r>
      <w:commentRangeStart w:id="128"/>
      <w:r w:rsidRPr="008F37D3">
        <w:rPr>
          <w:lang w:val="en-GB"/>
        </w:rPr>
        <w:t xml:space="preserve">et al., </w:t>
      </w:r>
      <w:commentRangeEnd w:id="128"/>
      <w:r w:rsidR="005416D8">
        <w:rPr>
          <w:rStyle w:val="CommentReference"/>
        </w:rPr>
        <w:commentReference w:id="128"/>
      </w:r>
      <w:r w:rsidRPr="008F37D3">
        <w:rPr>
          <w:lang w:val="en-GB"/>
        </w:rPr>
        <w:t>2018)</w:t>
      </w:r>
      <w:commentRangeEnd w:id="127"/>
      <w:r w:rsidR="005416D8">
        <w:rPr>
          <w:rStyle w:val="CommentReference"/>
        </w:rPr>
        <w:commentReference w:id="127"/>
      </w:r>
      <w:r w:rsidRPr="008F37D3">
        <w:rPr>
          <w:lang w:val="en-GB"/>
        </w:rPr>
        <w:t xml:space="preserve">. Convolutional neural networks have been applied to the classification of fruit maturity, detection of post-harvest diseases, and prediction of sensory quality from spectral or image data, consistently outperforming traditional machine vision approaches in accuracy and adaptability </w:t>
      </w:r>
      <w:commentRangeStart w:id="129"/>
      <w:r w:rsidRPr="008F37D3">
        <w:rPr>
          <w:lang w:val="en-GB"/>
        </w:rPr>
        <w:t>(</w:t>
      </w:r>
      <w:proofErr w:type="spellStart"/>
      <w:r w:rsidRPr="008F37D3">
        <w:rPr>
          <w:lang w:val="en-GB"/>
        </w:rPr>
        <w:t>Kamilaris</w:t>
      </w:r>
      <w:proofErr w:type="spellEnd"/>
      <w:r w:rsidRPr="008F37D3">
        <w:rPr>
          <w:lang w:val="en-GB"/>
        </w:rPr>
        <w:t xml:space="preserve"> &amp; </w:t>
      </w:r>
      <w:proofErr w:type="spellStart"/>
      <w:r w:rsidRPr="008F37D3">
        <w:rPr>
          <w:lang w:val="en-GB"/>
        </w:rPr>
        <w:t>Prenafeta-Boldú</w:t>
      </w:r>
      <w:proofErr w:type="spellEnd"/>
      <w:r w:rsidRPr="008F37D3">
        <w:rPr>
          <w:lang w:val="en-GB"/>
        </w:rPr>
        <w:t>, 2018)</w:t>
      </w:r>
      <w:commentRangeEnd w:id="129"/>
      <w:r w:rsidR="005416D8">
        <w:rPr>
          <w:rStyle w:val="CommentReference"/>
        </w:rPr>
        <w:commentReference w:id="129"/>
      </w:r>
      <w:r w:rsidRPr="008F37D3">
        <w:rPr>
          <w:lang w:val="en-GB"/>
        </w:rPr>
        <w:t>. The development of transfer-learning approaches—in which models pre-trained on large datasets are fine-tuned for new commodities or environmental conditions with minimal additional labelled data—is beginning to address the data hunger that constrains deep learning deployment in settings where large training datasets are unavailable.</w:t>
      </w:r>
    </w:p>
    <w:p w14:paraId="37F36881" w14:textId="77777777" w:rsidR="002A0601" w:rsidRPr="008F37D3" w:rsidRDefault="00ED3E58">
      <w:pPr>
        <w:pStyle w:val="Heading2"/>
        <w:spacing w:after="80" w:line="480" w:lineRule="auto"/>
        <w:rPr>
          <w:lang w:val="en-GB"/>
        </w:rPr>
      </w:pPr>
      <w:r w:rsidRPr="008F37D3">
        <w:rPr>
          <w:lang w:val="en-GB"/>
        </w:rPr>
        <w:lastRenderedPageBreak/>
        <w:t>7.4 Blockchain-Based Traceability</w:t>
      </w:r>
    </w:p>
    <w:p w14:paraId="0FFCF847" w14:textId="77777777" w:rsidR="002A0601" w:rsidRPr="008F37D3" w:rsidRDefault="00ED3E58">
      <w:pPr>
        <w:spacing w:line="480" w:lineRule="auto"/>
        <w:ind w:firstLine="720"/>
        <w:jc w:val="both"/>
        <w:rPr>
          <w:lang w:val="en-GB"/>
        </w:rPr>
      </w:pPr>
      <w:r w:rsidRPr="008F37D3">
        <w:rPr>
          <w:lang w:val="en-GB"/>
        </w:rPr>
        <w:t xml:space="preserve">Blockchain technology—a distributed ledger system in which transactions are recorded in immutable, cryptographically linked blocks across a decentralised network of participating nodes—has attracted significant interest as a platform for food supply-chain traceability </w:t>
      </w:r>
      <w:commentRangeStart w:id="130"/>
      <w:r w:rsidRPr="008F37D3">
        <w:rPr>
          <w:lang w:val="en-GB"/>
        </w:rPr>
        <w:t xml:space="preserve">(Feng </w:t>
      </w:r>
      <w:commentRangeStart w:id="131"/>
      <w:r w:rsidRPr="008F37D3">
        <w:rPr>
          <w:lang w:val="en-GB"/>
        </w:rPr>
        <w:t xml:space="preserve">et al., </w:t>
      </w:r>
      <w:commentRangeEnd w:id="131"/>
      <w:r w:rsidR="00B25748">
        <w:rPr>
          <w:rStyle w:val="CommentReference"/>
        </w:rPr>
        <w:commentReference w:id="131"/>
      </w:r>
      <w:r w:rsidRPr="008F37D3">
        <w:rPr>
          <w:lang w:val="en-GB"/>
        </w:rPr>
        <w:t>2020)</w:t>
      </w:r>
      <w:commentRangeEnd w:id="130"/>
      <w:r w:rsidR="00B25748">
        <w:rPr>
          <w:rStyle w:val="CommentReference"/>
        </w:rPr>
        <w:commentReference w:id="130"/>
      </w:r>
      <w:r w:rsidRPr="008F37D3">
        <w:rPr>
          <w:lang w:val="en-GB"/>
        </w:rPr>
        <w:t xml:space="preserve">. The fundamental properties of blockchain, namely immutability of records, transparency to authorised parties, decentralisation of control, and cryptographic security, address several persistent weaknesses of existing paper-based or centralised digital traceability systems, including susceptibility to record falsification, limited information sharing between supply-chain actors, and inability to support rapid, targeted recall of contaminated batches affecting only specific lots or production windows. </w:t>
      </w:r>
      <w:commentRangeStart w:id="132"/>
      <w:r w:rsidRPr="008F37D3">
        <w:rPr>
          <w:lang w:val="en-GB"/>
        </w:rPr>
        <w:t xml:space="preserve">Feng </w:t>
      </w:r>
      <w:commentRangeStart w:id="133"/>
      <w:r w:rsidRPr="008F37D3">
        <w:rPr>
          <w:lang w:val="en-GB"/>
        </w:rPr>
        <w:t xml:space="preserve">et al. </w:t>
      </w:r>
      <w:commentRangeEnd w:id="133"/>
      <w:r w:rsidR="00B25748">
        <w:rPr>
          <w:rStyle w:val="CommentReference"/>
        </w:rPr>
        <w:commentReference w:id="133"/>
      </w:r>
      <w:r w:rsidRPr="008F37D3">
        <w:rPr>
          <w:lang w:val="en-GB"/>
        </w:rPr>
        <w:t>(2020)</w:t>
      </w:r>
      <w:commentRangeEnd w:id="132"/>
      <w:r w:rsidR="00B25748">
        <w:rPr>
          <w:rStyle w:val="CommentReference"/>
        </w:rPr>
        <w:commentReference w:id="132"/>
      </w:r>
      <w:r w:rsidRPr="008F37D3">
        <w:rPr>
          <w:lang w:val="en-GB"/>
        </w:rPr>
        <w:t xml:space="preserve"> reviewed development methods, benefits, and challenges of blockchain implementation in agri-food traceability, identifying multiple application cases spanning fresh produce, seafood, livestock, and grain supply chains, and concluding that whilst the technology offered compelling potential for improving transparency and consumer trust, significant technical and governance challenges remained before mainstream adoption could be achieved.</w:t>
      </w:r>
    </w:p>
    <w:p w14:paraId="76CD8658" w14:textId="77777777" w:rsidR="002A0601" w:rsidRPr="008F37D3" w:rsidRDefault="00ED3E58">
      <w:pPr>
        <w:spacing w:line="480" w:lineRule="auto"/>
        <w:ind w:firstLine="720"/>
        <w:jc w:val="both"/>
        <w:rPr>
          <w:lang w:val="en-GB"/>
        </w:rPr>
      </w:pPr>
      <w:r w:rsidRPr="008F37D3">
        <w:rPr>
          <w:lang w:val="en-GB"/>
        </w:rPr>
        <w:t xml:space="preserve">The integration of blockchain with IoT sensor data streams represents a particularly promising convergence, as it enables the automated, tamper-evident recording of real-time monitoring data—including temperature logs, humidity readings, and gas composition measurements—alongside product identity and custody information </w:t>
      </w:r>
      <w:commentRangeStart w:id="134"/>
      <w:r w:rsidRPr="008F37D3">
        <w:rPr>
          <w:lang w:val="en-GB"/>
        </w:rPr>
        <w:t xml:space="preserve">(Jedermann </w:t>
      </w:r>
      <w:commentRangeStart w:id="135"/>
      <w:r w:rsidRPr="008F37D3">
        <w:rPr>
          <w:lang w:val="en-GB"/>
        </w:rPr>
        <w:t xml:space="preserve">et al., </w:t>
      </w:r>
      <w:commentRangeEnd w:id="135"/>
      <w:r w:rsidR="00B25748">
        <w:rPr>
          <w:rStyle w:val="CommentReference"/>
        </w:rPr>
        <w:commentReference w:id="135"/>
      </w:r>
      <w:r w:rsidRPr="008F37D3">
        <w:rPr>
          <w:lang w:val="en-GB"/>
        </w:rPr>
        <w:t>2014)</w:t>
      </w:r>
      <w:commentRangeEnd w:id="134"/>
      <w:r w:rsidR="00B25748">
        <w:rPr>
          <w:rStyle w:val="CommentReference"/>
        </w:rPr>
        <w:commentReference w:id="134"/>
      </w:r>
      <w:r w:rsidRPr="008F37D3">
        <w:rPr>
          <w:lang w:val="en-GB"/>
        </w:rPr>
        <w:t xml:space="preserve">. This creates an auditable ledger of cold-chain conditions spanning the entire supply chain from farm gate to retail shelf that cannot be retrospectively altered by any single actor. However, </w:t>
      </w:r>
      <w:commentRangeStart w:id="136"/>
      <w:r w:rsidRPr="008F37D3">
        <w:rPr>
          <w:lang w:val="en-GB"/>
        </w:rPr>
        <w:t xml:space="preserve">Feng </w:t>
      </w:r>
      <w:commentRangeStart w:id="137"/>
      <w:r w:rsidRPr="008F37D3">
        <w:rPr>
          <w:lang w:val="en-GB"/>
        </w:rPr>
        <w:t xml:space="preserve">et al. </w:t>
      </w:r>
      <w:commentRangeEnd w:id="137"/>
      <w:r w:rsidR="00B25748">
        <w:rPr>
          <w:rStyle w:val="CommentReference"/>
        </w:rPr>
        <w:commentReference w:id="137"/>
      </w:r>
      <w:r w:rsidRPr="008F37D3">
        <w:rPr>
          <w:lang w:val="en-GB"/>
        </w:rPr>
        <w:t xml:space="preserve">(2020) </w:t>
      </w:r>
      <w:commentRangeEnd w:id="136"/>
      <w:r w:rsidR="00B25748">
        <w:rPr>
          <w:rStyle w:val="CommentReference"/>
        </w:rPr>
        <w:commentReference w:id="136"/>
      </w:r>
      <w:r w:rsidRPr="008F37D3">
        <w:rPr>
          <w:lang w:val="en-GB"/>
        </w:rPr>
        <w:t xml:space="preserve">cautioned that the integrity of blockchain-based traceability systems is fundamentally dependent on the accuracy and authenticity of the data entered at the point of origin; the distributed ledger cannot compensate for errors or deliberate </w:t>
      </w:r>
      <w:r w:rsidRPr="008F37D3">
        <w:rPr>
          <w:lang w:val="en-GB"/>
        </w:rPr>
        <w:lastRenderedPageBreak/>
        <w:t>falsification of data at source. Scalability constraints limiting transaction throughput, energy consumption of proof-of-work consensus mechanisms, interoperability challenges between different blockchain platforms adopted by different supply-chain actors, and the regulatory treatment of blockchain records as legal evidence in different jurisdictions represent additional challenges requiring resolution before widespread commercial adoption is achieved.</w:t>
      </w:r>
    </w:p>
    <w:p w14:paraId="45A7D3E8" w14:textId="77777777" w:rsidR="002A0601" w:rsidRPr="008F37D3" w:rsidRDefault="00ED3E58">
      <w:pPr>
        <w:pStyle w:val="Heading1"/>
        <w:spacing w:before="360" w:after="120" w:line="480" w:lineRule="auto"/>
        <w:rPr>
          <w:lang w:val="en-GB"/>
        </w:rPr>
      </w:pPr>
      <w:r w:rsidRPr="008F37D3">
        <w:rPr>
          <w:lang w:val="en-GB"/>
        </w:rPr>
        <w:t>8. Post-Harvest Drying Technologies</w:t>
      </w:r>
    </w:p>
    <w:p w14:paraId="52794186" w14:textId="77777777" w:rsidR="002A0601" w:rsidRPr="008F37D3" w:rsidRDefault="00ED3E58">
      <w:pPr>
        <w:pStyle w:val="Heading2"/>
        <w:spacing w:after="80" w:line="480" w:lineRule="auto"/>
        <w:rPr>
          <w:lang w:val="en-GB"/>
        </w:rPr>
      </w:pPr>
      <w:r w:rsidRPr="008F37D3">
        <w:rPr>
          <w:lang w:val="en-GB"/>
        </w:rPr>
        <w:t>8.1 Infrared and Microwave-Assisted Drying</w:t>
      </w:r>
    </w:p>
    <w:p w14:paraId="10D38E25" w14:textId="77777777" w:rsidR="002A0601" w:rsidRPr="008F37D3" w:rsidRDefault="00ED3E58">
      <w:pPr>
        <w:spacing w:line="480" w:lineRule="auto"/>
        <w:ind w:firstLine="720"/>
        <w:jc w:val="both"/>
        <w:rPr>
          <w:lang w:val="en-GB"/>
        </w:rPr>
      </w:pPr>
      <w:r w:rsidRPr="008F37D3">
        <w:rPr>
          <w:lang w:val="en-GB"/>
        </w:rPr>
        <w:t xml:space="preserve">Drying is amongst the oldest and most widely applied post-harvest processing operations, extending the shelf life of perishable produce by reducing water activity to levels that inhibit microbial growth and enzymatic activity. Conventional hot-air drying, whilst effective and economical for many commodities, imposes high thermal loads that can degrade heat-sensitive vitamins, pigments, and volatile aroma compounds, and may result in surface hardening that impedes internal moisture migration and reduces the rehydration quality of the dried product </w:t>
      </w:r>
      <w:commentRangeStart w:id="138"/>
      <w:r w:rsidRPr="008F37D3">
        <w:rPr>
          <w:lang w:val="en-GB"/>
        </w:rPr>
        <w:t xml:space="preserve">(Deng </w:t>
      </w:r>
      <w:commentRangeStart w:id="139"/>
      <w:r w:rsidRPr="008F37D3">
        <w:rPr>
          <w:lang w:val="en-GB"/>
        </w:rPr>
        <w:t xml:space="preserve">et al., </w:t>
      </w:r>
      <w:commentRangeEnd w:id="139"/>
      <w:r w:rsidR="00B53A5D">
        <w:rPr>
          <w:rStyle w:val="CommentReference"/>
        </w:rPr>
        <w:commentReference w:id="139"/>
      </w:r>
      <w:r w:rsidRPr="008F37D3">
        <w:rPr>
          <w:lang w:val="en-GB"/>
        </w:rPr>
        <w:t>2019)</w:t>
      </w:r>
      <w:commentRangeEnd w:id="138"/>
      <w:r w:rsidR="00B53A5D">
        <w:rPr>
          <w:rStyle w:val="CommentReference"/>
        </w:rPr>
        <w:commentReference w:id="138"/>
      </w:r>
      <w:r w:rsidRPr="008F37D3">
        <w:rPr>
          <w:lang w:val="en-GB"/>
        </w:rPr>
        <w:t>. Emerging drying technologies seek to overcome these limitations by delivering energy more efficiently, at lower temperatures, or with improved spatial uniformity across the drying load.</w:t>
      </w:r>
    </w:p>
    <w:p w14:paraId="1F00DA77" w14:textId="77777777" w:rsidR="002A0601" w:rsidRPr="008F37D3" w:rsidRDefault="00ED3E58">
      <w:pPr>
        <w:spacing w:line="480" w:lineRule="auto"/>
        <w:ind w:firstLine="720"/>
        <w:jc w:val="both"/>
        <w:rPr>
          <w:lang w:val="en-GB"/>
        </w:rPr>
      </w:pPr>
      <w:r w:rsidRPr="008F37D3">
        <w:rPr>
          <w:lang w:val="en-GB"/>
        </w:rPr>
        <w:t xml:space="preserve">Infrared (IR) drying uses radiative energy in the wavelength range of 0.7 to 1000 µm to heat food materials directly, penetrating beneath the commodity surface and enabling more uniform internal heating than convective surface heating permits. Near-infrared radiation in particular penetrates several millimetres into the food matrix, contributing to a temperature gradient that drives moisture outward whilst avoiding the surface crust formation that characterises conventional hot-air drying of many commodities. </w:t>
      </w:r>
      <w:commentRangeStart w:id="140"/>
      <w:r w:rsidRPr="008F37D3">
        <w:rPr>
          <w:lang w:val="en-GB"/>
        </w:rPr>
        <w:t xml:space="preserve">Deng </w:t>
      </w:r>
      <w:commentRangeStart w:id="141"/>
      <w:r w:rsidRPr="008F37D3">
        <w:rPr>
          <w:lang w:val="en-GB"/>
        </w:rPr>
        <w:t xml:space="preserve">et al. </w:t>
      </w:r>
      <w:commentRangeEnd w:id="141"/>
      <w:r w:rsidR="00B53A5D">
        <w:rPr>
          <w:rStyle w:val="CommentReference"/>
        </w:rPr>
        <w:commentReference w:id="141"/>
      </w:r>
      <w:r w:rsidRPr="008F37D3">
        <w:rPr>
          <w:lang w:val="en-GB"/>
        </w:rPr>
        <w:t xml:space="preserve">(2019) </w:t>
      </w:r>
      <w:commentRangeEnd w:id="140"/>
      <w:r w:rsidR="00B53A5D">
        <w:rPr>
          <w:rStyle w:val="CommentReference"/>
        </w:rPr>
        <w:commentReference w:id="140"/>
      </w:r>
      <w:r w:rsidRPr="008F37D3">
        <w:rPr>
          <w:lang w:val="en-GB"/>
        </w:rPr>
        <w:t xml:space="preserve">reviewed the effects of physical pre-treatments on drying characteristics and quality attributes of fruits </w:t>
      </w:r>
      <w:r w:rsidRPr="008F37D3">
        <w:rPr>
          <w:lang w:val="en-GB"/>
        </w:rPr>
        <w:lastRenderedPageBreak/>
        <w:t xml:space="preserve">and vegetables, noting that the combination of pulsed electric field pre-treatment with subsequent infrared drying was particularly effective at reducing drying time and improving the rehydration capacity of the dried product. Microwave-assisted drying operates by inducing oscillation of polar molecules—primarily water—through electromagnetic radiation at 915 MHz or 2450 MHz, generating internal heat rapidly throughout the product. Hybrid processes combining microwave energy with hot-air convection achieve substantial reductions in total drying time at lower air temperatures, improving retention of heat-labile nutrients and colour compounds compared with conventional hot-air drying at equivalent final moisture contents </w:t>
      </w:r>
      <w:commentRangeStart w:id="142"/>
      <w:r w:rsidRPr="008F37D3">
        <w:rPr>
          <w:lang w:val="en-GB"/>
        </w:rPr>
        <w:t xml:space="preserve">(Deng </w:t>
      </w:r>
      <w:commentRangeStart w:id="143"/>
      <w:r w:rsidRPr="008F37D3">
        <w:rPr>
          <w:lang w:val="en-GB"/>
        </w:rPr>
        <w:t xml:space="preserve">et al., </w:t>
      </w:r>
      <w:commentRangeEnd w:id="143"/>
      <w:r w:rsidR="00B53A5D">
        <w:rPr>
          <w:rStyle w:val="CommentReference"/>
        </w:rPr>
        <w:commentReference w:id="143"/>
      </w:r>
      <w:r w:rsidRPr="008F37D3">
        <w:rPr>
          <w:lang w:val="en-GB"/>
        </w:rPr>
        <w:t>2019)</w:t>
      </w:r>
      <w:commentRangeEnd w:id="142"/>
      <w:r w:rsidR="00B53A5D">
        <w:rPr>
          <w:rStyle w:val="CommentReference"/>
        </w:rPr>
        <w:commentReference w:id="142"/>
      </w:r>
      <w:r w:rsidRPr="008F37D3">
        <w:rPr>
          <w:lang w:val="en-GB"/>
        </w:rPr>
        <w:t>.</w:t>
      </w:r>
    </w:p>
    <w:p w14:paraId="7EC9C378" w14:textId="77777777" w:rsidR="002A0601" w:rsidRPr="008F37D3" w:rsidRDefault="00ED3E58">
      <w:pPr>
        <w:pStyle w:val="Heading2"/>
        <w:spacing w:after="80" w:line="480" w:lineRule="auto"/>
        <w:rPr>
          <w:lang w:val="en-GB"/>
        </w:rPr>
      </w:pPr>
      <w:r w:rsidRPr="008F37D3">
        <w:rPr>
          <w:lang w:val="en-GB"/>
        </w:rPr>
        <w:t>8.2 Advances in Freeze Drying</w:t>
      </w:r>
    </w:p>
    <w:p w14:paraId="1D5CD44C" w14:textId="77777777" w:rsidR="002A0601" w:rsidRPr="008F37D3" w:rsidRDefault="00ED3E58">
      <w:pPr>
        <w:spacing w:line="480" w:lineRule="auto"/>
        <w:ind w:firstLine="720"/>
        <w:jc w:val="both"/>
        <w:rPr>
          <w:lang w:val="en-GB"/>
        </w:rPr>
      </w:pPr>
      <w:r w:rsidRPr="008F37D3">
        <w:rPr>
          <w:lang w:val="en-GB"/>
        </w:rPr>
        <w:t xml:space="preserve">Freeze drying (lyophilisation) removes water from a frozen product by sublimation under reduced pressure, yielding a dry, porous product with exceptional preservation of structure, colour, flavour, and nutritional composition, and superior rehydration characteristics compared with thermally dried equivalents. The technology is particularly valuable for high-value, heat-sensitive products such as aromatic herbs, berries, functional ingredients, and probiotic preparations, where the quality premium achievable justifies the higher energy cost and longer processing time relative to conventional drying. Recent advances in atmospheric freeze drying, which achieves sublimation at atmospheric pressure using low-temperature, low-humidity desiccant-dehumidified airstreams, have the potential to substantially reduce energy consumption compared with vacuum-based systems, though drying rates are correspondingly slower and require careful process optimisation for each commodity </w:t>
      </w:r>
      <w:commentRangeStart w:id="144"/>
      <w:r w:rsidRPr="008F37D3">
        <w:rPr>
          <w:lang w:val="en-GB"/>
        </w:rPr>
        <w:t xml:space="preserve">(Deng </w:t>
      </w:r>
      <w:commentRangeStart w:id="145"/>
      <w:r w:rsidRPr="008F37D3">
        <w:rPr>
          <w:lang w:val="en-GB"/>
        </w:rPr>
        <w:t xml:space="preserve">et al., </w:t>
      </w:r>
      <w:commentRangeEnd w:id="145"/>
      <w:r w:rsidR="00B53A5D">
        <w:rPr>
          <w:rStyle w:val="CommentReference"/>
        </w:rPr>
        <w:commentReference w:id="145"/>
      </w:r>
      <w:r w:rsidRPr="008F37D3">
        <w:rPr>
          <w:lang w:val="en-GB"/>
        </w:rPr>
        <w:t>2019)</w:t>
      </w:r>
      <w:commentRangeEnd w:id="144"/>
      <w:r w:rsidR="00B53A5D">
        <w:rPr>
          <w:rStyle w:val="CommentReference"/>
        </w:rPr>
        <w:commentReference w:id="144"/>
      </w:r>
      <w:r w:rsidRPr="008F37D3">
        <w:rPr>
          <w:lang w:val="en-GB"/>
        </w:rPr>
        <w:t xml:space="preserve">. The development of spray freeze drying—in which a liquid feed is atomised into a cryogenic environment to produce fine frozen particles that are subsequently dried under vacuum—enables the production of ultra-porous powder products with excellent </w:t>
      </w:r>
      <w:proofErr w:type="spellStart"/>
      <w:r w:rsidRPr="008F37D3">
        <w:rPr>
          <w:lang w:val="en-GB"/>
        </w:rPr>
        <w:t>redispersibility</w:t>
      </w:r>
      <w:proofErr w:type="spellEnd"/>
      <w:r w:rsidRPr="008F37D3">
        <w:rPr>
          <w:lang w:val="en-GB"/>
        </w:rPr>
        <w:t xml:space="preserve">, and is attracting growing interest for the encapsulation of </w:t>
      </w:r>
      <w:r w:rsidRPr="008F37D3">
        <w:rPr>
          <w:lang w:val="en-GB"/>
        </w:rPr>
        <w:lastRenderedPageBreak/>
        <w:t>probiotic microorganisms, bioactive compounds, and flavour volatiles for functional food applications.</w:t>
      </w:r>
    </w:p>
    <w:p w14:paraId="0D492B46" w14:textId="77777777" w:rsidR="002A0601" w:rsidRPr="008F37D3" w:rsidRDefault="00ED3E58">
      <w:pPr>
        <w:pStyle w:val="Heading1"/>
        <w:spacing w:before="360" w:after="120" w:line="480" w:lineRule="auto"/>
        <w:rPr>
          <w:lang w:val="en-GB"/>
        </w:rPr>
      </w:pPr>
      <w:r w:rsidRPr="008F37D3">
        <w:rPr>
          <w:lang w:val="en-GB"/>
        </w:rPr>
        <w:t>9. Integration, Challenges, and Future Perspectives</w:t>
      </w:r>
    </w:p>
    <w:p w14:paraId="4B0DD0BB" w14:textId="77777777" w:rsidR="002A0601" w:rsidRPr="008F37D3" w:rsidRDefault="00ED3E58">
      <w:pPr>
        <w:spacing w:line="480" w:lineRule="auto"/>
        <w:ind w:firstLine="720"/>
        <w:jc w:val="both"/>
        <w:rPr>
          <w:lang w:val="en-GB"/>
        </w:rPr>
      </w:pPr>
      <w:r w:rsidRPr="008F37D3">
        <w:rPr>
          <w:lang w:val="en-GB"/>
        </w:rPr>
        <w:t xml:space="preserve">The technologies reviewed in this paper do not operate in isolation, and their most effective deployment is invariably as components of integrated post-harvest management systems that deploy multiple complementary approaches—the hurdle technology concept articulated in the food preservation literature and increasingly validated in the post-harvest context </w:t>
      </w:r>
      <w:commentRangeStart w:id="146"/>
      <w:r w:rsidRPr="008F37D3">
        <w:rPr>
          <w:lang w:val="en-GB"/>
        </w:rPr>
        <w:t xml:space="preserve">(Misra </w:t>
      </w:r>
      <w:commentRangeStart w:id="147"/>
      <w:r w:rsidRPr="008F37D3">
        <w:rPr>
          <w:lang w:val="en-GB"/>
        </w:rPr>
        <w:t xml:space="preserve">et al., </w:t>
      </w:r>
      <w:commentRangeEnd w:id="147"/>
      <w:r w:rsidR="00BF75F3">
        <w:rPr>
          <w:rStyle w:val="CommentReference"/>
        </w:rPr>
        <w:commentReference w:id="147"/>
      </w:r>
      <w:r w:rsidRPr="008F37D3">
        <w:rPr>
          <w:lang w:val="en-GB"/>
        </w:rPr>
        <w:t>2017)</w:t>
      </w:r>
      <w:commentRangeEnd w:id="146"/>
      <w:r w:rsidR="00BF75F3">
        <w:rPr>
          <w:rStyle w:val="CommentReference"/>
        </w:rPr>
        <w:commentReference w:id="146"/>
      </w:r>
      <w:r w:rsidRPr="008F37D3">
        <w:rPr>
          <w:lang w:val="en-GB"/>
        </w:rPr>
        <w:t>. A cold chain maintained within optimal temperature ranges provides the fundamental foundation upon which all other technologies operate more effectively; MAP or CA storage without adequate refrigeration offers only marginal benefit, whilst refrigeration alone cannot address microbial contamination, surface defects, or enzymatic browning in all situations. Similarly, 1-MCP treatment of climacteric fruits that have not been pre-cooled within a few hours of harvest may achieve only partial suppression of ripening, as ethylene production will have already been substantially initiated prior to treatment.</w:t>
      </w:r>
    </w:p>
    <w:p w14:paraId="6C0D6787" w14:textId="77777777" w:rsidR="002A0601" w:rsidRPr="008F37D3" w:rsidRDefault="00ED3E58">
      <w:pPr>
        <w:spacing w:line="480" w:lineRule="auto"/>
        <w:ind w:firstLine="720"/>
        <w:jc w:val="both"/>
        <w:rPr>
          <w:lang w:val="en-GB"/>
        </w:rPr>
      </w:pPr>
      <w:r w:rsidRPr="008F37D3">
        <w:rPr>
          <w:lang w:val="en-GB"/>
        </w:rPr>
        <w:t xml:space="preserve">The recognition that individual technologies have characteristic strengths and limitations has driven interest in synergistic combinations. The co-application of UV-C irradiation with biocontrol agents, for example, has been shown to achieve superior disease control compared with either treatment alone, with UV-C reducing initial inoculum levels whilst biocontrol agents prevent recolonisation during subsequent storage </w:t>
      </w:r>
      <w:commentRangeStart w:id="148"/>
      <w:r w:rsidRPr="008F37D3">
        <w:rPr>
          <w:lang w:val="en-GB"/>
        </w:rPr>
        <w:t>(</w:t>
      </w:r>
      <w:proofErr w:type="spellStart"/>
      <w:r w:rsidRPr="008F37D3">
        <w:rPr>
          <w:lang w:val="en-GB"/>
        </w:rPr>
        <w:t>Droby</w:t>
      </w:r>
      <w:proofErr w:type="spellEnd"/>
      <w:r w:rsidRPr="008F37D3">
        <w:rPr>
          <w:lang w:val="en-GB"/>
        </w:rPr>
        <w:t xml:space="preserve"> </w:t>
      </w:r>
      <w:commentRangeStart w:id="149"/>
      <w:r w:rsidRPr="008F37D3">
        <w:rPr>
          <w:lang w:val="en-GB"/>
        </w:rPr>
        <w:t xml:space="preserve">et al., </w:t>
      </w:r>
      <w:commentRangeEnd w:id="149"/>
      <w:r w:rsidR="00BF75F3">
        <w:rPr>
          <w:rStyle w:val="CommentReference"/>
        </w:rPr>
        <w:commentReference w:id="149"/>
      </w:r>
      <w:r w:rsidRPr="008F37D3">
        <w:rPr>
          <w:lang w:val="en-GB"/>
        </w:rPr>
        <w:t>2009)</w:t>
      </w:r>
      <w:commentRangeEnd w:id="148"/>
      <w:r w:rsidR="00BF75F3">
        <w:rPr>
          <w:rStyle w:val="CommentReference"/>
        </w:rPr>
        <w:commentReference w:id="148"/>
      </w:r>
      <w:r w:rsidRPr="008F37D3">
        <w:rPr>
          <w:lang w:val="en-GB"/>
        </w:rPr>
        <w:t xml:space="preserve">. Similarly, edible coatings incorporating essential oil components or biocontrol yeasts offer the simultaneous benefits of barrier protection, antimicrobial activity, and reduced reliance on synthetic fungicides </w:t>
      </w:r>
      <w:commentRangeStart w:id="150"/>
      <w:r w:rsidRPr="008F37D3">
        <w:rPr>
          <w:lang w:val="en-GB"/>
        </w:rPr>
        <w:t>(</w:t>
      </w:r>
      <w:proofErr w:type="spellStart"/>
      <w:r w:rsidRPr="008F37D3">
        <w:rPr>
          <w:lang w:val="en-GB"/>
        </w:rPr>
        <w:t>Sivakumar</w:t>
      </w:r>
      <w:proofErr w:type="spellEnd"/>
      <w:r w:rsidRPr="008F37D3">
        <w:rPr>
          <w:lang w:val="en-GB"/>
        </w:rPr>
        <w:t xml:space="preserve"> &amp; Bautista-</w:t>
      </w:r>
      <w:proofErr w:type="spellStart"/>
      <w:r w:rsidRPr="008F37D3">
        <w:rPr>
          <w:lang w:val="en-GB"/>
        </w:rPr>
        <w:t>Baños</w:t>
      </w:r>
      <w:proofErr w:type="spellEnd"/>
      <w:r w:rsidRPr="008F37D3">
        <w:rPr>
          <w:lang w:val="en-GB"/>
        </w:rPr>
        <w:t>, 2014)</w:t>
      </w:r>
      <w:commentRangeEnd w:id="150"/>
      <w:r w:rsidR="00BF75F3">
        <w:rPr>
          <w:rStyle w:val="CommentReference"/>
        </w:rPr>
        <w:commentReference w:id="150"/>
      </w:r>
      <w:r w:rsidRPr="008F37D3">
        <w:rPr>
          <w:lang w:val="en-GB"/>
        </w:rPr>
        <w:t xml:space="preserve">. The integration of HPP with MAP or vacuum packaging enables the processing of products in their final </w:t>
      </w:r>
      <w:r w:rsidRPr="008F37D3">
        <w:rPr>
          <w:lang w:val="en-GB"/>
        </w:rPr>
        <w:lastRenderedPageBreak/>
        <w:t>consumer package, eliminating post-processing recontamination risk and simplifying supply-chain handling. Digital technologies add a further layer of integration potential by enabling evidence-based, adaptive management of physical preservation systems through continuous monitoring and predictive modelling.</w:t>
      </w:r>
    </w:p>
    <w:p w14:paraId="59499ED3" w14:textId="77777777" w:rsidR="002A0601" w:rsidRPr="008F37D3" w:rsidRDefault="00ED3E58">
      <w:pPr>
        <w:spacing w:line="480" w:lineRule="auto"/>
        <w:ind w:firstLine="720"/>
        <w:jc w:val="both"/>
        <w:rPr>
          <w:lang w:val="en-GB"/>
        </w:rPr>
      </w:pPr>
      <w:r w:rsidRPr="008F37D3">
        <w:rPr>
          <w:lang w:val="en-GB"/>
        </w:rPr>
        <w:t xml:space="preserve">The adoption of emerging technologies is not equally accessible across the global landscape of food production. In high-income countries with established cold-chain infrastructure, educated workforces, and access to capital markets, the transition to sophisticated CA storage, HPP processing, intelligent packaging, and digital traceability platforms is increasingly well advanced. In low-and-middle-income countries, where post-harvest losses are most severe and where the potential economic and humanitarian benefits of improved technology are greatest, the barriers to adoption are formidable. These include prohibitive capital costs for equipment purchase and maintenance, unreliable electrical supply, limited technical expertise, the fragmented nature of smallholder supply chains that precludes the economies of scale necessary to justify investment, and regulatory environments that may not yet have established clear frameworks for novel food processes or nano-enabled materials </w:t>
      </w:r>
      <w:commentRangeStart w:id="151"/>
      <w:r w:rsidRPr="008F37D3">
        <w:rPr>
          <w:lang w:val="en-GB"/>
        </w:rPr>
        <w:t xml:space="preserve">(Hodges </w:t>
      </w:r>
      <w:commentRangeStart w:id="152"/>
      <w:r w:rsidRPr="008F37D3">
        <w:rPr>
          <w:lang w:val="en-GB"/>
        </w:rPr>
        <w:t xml:space="preserve">et al., </w:t>
      </w:r>
      <w:commentRangeEnd w:id="152"/>
      <w:r w:rsidR="00BF75F3">
        <w:rPr>
          <w:rStyle w:val="CommentReference"/>
        </w:rPr>
        <w:commentReference w:id="152"/>
      </w:r>
      <w:r w:rsidRPr="008F37D3">
        <w:rPr>
          <w:lang w:val="en-GB"/>
        </w:rPr>
        <w:t>2011)</w:t>
      </w:r>
      <w:commentRangeEnd w:id="151"/>
      <w:r w:rsidR="00BF75F3">
        <w:rPr>
          <w:rStyle w:val="CommentReference"/>
        </w:rPr>
        <w:commentReference w:id="151"/>
      </w:r>
      <w:r w:rsidRPr="008F37D3">
        <w:rPr>
          <w:lang w:val="en-GB"/>
        </w:rPr>
        <w:t>. Addressing these barriers will require targeted investment in affordable, robust, and locally maintainable technology variants, as well as capacity building, supportive policy frameworks, and novel financing models such as shared-use processing hubs, cooperative cold-chain facilities, and equipment leasing schemes.</w:t>
      </w:r>
    </w:p>
    <w:p w14:paraId="785EFD5C" w14:textId="77777777" w:rsidR="002A0601" w:rsidRPr="008F37D3" w:rsidRDefault="00ED3E58">
      <w:pPr>
        <w:spacing w:line="480" w:lineRule="auto"/>
        <w:ind w:firstLine="720"/>
        <w:jc w:val="both"/>
        <w:rPr>
          <w:lang w:val="en-GB"/>
        </w:rPr>
      </w:pPr>
      <w:r w:rsidRPr="008F37D3">
        <w:rPr>
          <w:lang w:val="en-GB"/>
        </w:rPr>
        <w:t xml:space="preserve">The environmental sustainability of post-harvest technologies represents a growing area of concern and innovation. Energy consumption in refrigerated storage and transport, the plastic waste associated with MAP systems, and the chemical inputs required by some coating and biocontrol systems all carry environmental costs that must be weighed against the waste reduction benefits achieved. Life-cycle assessment studies have generally found that the environmental benefits of reduced food loss substantially outweigh the environmental </w:t>
      </w:r>
      <w:r w:rsidRPr="008F37D3">
        <w:rPr>
          <w:lang w:val="en-GB"/>
        </w:rPr>
        <w:lastRenderedPageBreak/>
        <w:t xml:space="preserve">costs of the preservation technologies employed, but there is significant variation between technologies and applications. The development of biodegradable and compostable packaging materials from renewable bio-based feedstocks, renewable-energy-powered cold-chain systems, and bio-based coating materials derived from agricultural by-products represents an important convergence of post-harvest technology innovation with circular economy principles </w:t>
      </w:r>
      <w:commentRangeStart w:id="153"/>
      <w:r w:rsidRPr="008F37D3">
        <w:rPr>
          <w:lang w:val="en-GB"/>
        </w:rPr>
        <w:t xml:space="preserve">(Yildirim </w:t>
      </w:r>
      <w:commentRangeStart w:id="154"/>
      <w:r w:rsidRPr="008F37D3">
        <w:rPr>
          <w:lang w:val="en-GB"/>
        </w:rPr>
        <w:t xml:space="preserve">et al., </w:t>
      </w:r>
      <w:commentRangeEnd w:id="154"/>
      <w:r w:rsidR="00BF75F3">
        <w:rPr>
          <w:rStyle w:val="CommentReference"/>
        </w:rPr>
        <w:commentReference w:id="154"/>
      </w:r>
      <w:r w:rsidRPr="008F37D3">
        <w:rPr>
          <w:lang w:val="en-GB"/>
        </w:rPr>
        <w:t>2018)</w:t>
      </w:r>
      <w:commentRangeEnd w:id="153"/>
      <w:r w:rsidR="00BF75F3">
        <w:rPr>
          <w:rStyle w:val="CommentReference"/>
        </w:rPr>
        <w:commentReference w:id="153"/>
      </w:r>
      <w:r w:rsidRPr="008F37D3">
        <w:rPr>
          <w:lang w:val="en-GB"/>
        </w:rPr>
        <w:t>. Future research priorities include the development of more sensitive, specific, and affordable sensors for on-product quality monitoring; the systematic validation of deep-learning-based quality assessment systems across diverse commodity varieties and production environments; the elucidation of molecular mechanisms by which cold plasma and UV-C elicit beneficial physiological responses in plant tissue; the rigorous evaluation of combination technology approaches in commercial-scale trials under realistic supply-chain conditions; and the development of equitable governance frameworks for the data generated by IoT and blockchain-based traceability systems.</w:t>
      </w:r>
    </w:p>
    <w:p w14:paraId="6F2AA429" w14:textId="77777777" w:rsidR="002A0601" w:rsidRPr="008F37D3" w:rsidRDefault="00ED3E58">
      <w:pPr>
        <w:pStyle w:val="Heading1"/>
        <w:spacing w:before="360" w:after="120" w:line="480" w:lineRule="auto"/>
        <w:rPr>
          <w:lang w:val="en-GB"/>
        </w:rPr>
      </w:pPr>
      <w:r w:rsidRPr="008F37D3">
        <w:rPr>
          <w:lang w:val="en-GB"/>
        </w:rPr>
        <w:t>10. Conclusions</w:t>
      </w:r>
    </w:p>
    <w:p w14:paraId="51E8AEE8" w14:textId="77777777" w:rsidR="002A0601" w:rsidRPr="008F37D3" w:rsidRDefault="00ED3E58">
      <w:pPr>
        <w:spacing w:line="480" w:lineRule="auto"/>
        <w:ind w:firstLine="720"/>
        <w:jc w:val="both"/>
        <w:rPr>
          <w:lang w:val="en-GB"/>
        </w:rPr>
      </w:pPr>
      <w:r w:rsidRPr="008F37D3">
        <w:rPr>
          <w:lang w:val="en-GB"/>
        </w:rPr>
        <w:t>Post-harvest losses represent an interconnected challenge spanning food security, economic development, environmental sustainability, and public health, and the technological response to this challenge has evolved substantially in sophistication and breadth over the past two decades. This review has documented an expanding array of technologies—from the well-established practices of controlled atmosphere storage and refrigeration, through mature innovations such as MAP and 1-MCP treatment, to emerging approaches including cold plasma, AI-enabled quality assessment, and blockchain traceability—that individually and collectively offer meaningful potential to reduce losses and preserve nutritional and sensory quality across the post-harvest continuum.</w:t>
      </w:r>
    </w:p>
    <w:p w14:paraId="668AD76A" w14:textId="77777777" w:rsidR="002A0601" w:rsidRPr="008F37D3" w:rsidRDefault="00ED3E58">
      <w:pPr>
        <w:spacing w:line="480" w:lineRule="auto"/>
        <w:ind w:firstLine="720"/>
        <w:jc w:val="both"/>
        <w:rPr>
          <w:lang w:val="en-GB"/>
        </w:rPr>
      </w:pPr>
      <w:r w:rsidRPr="008F37D3">
        <w:rPr>
          <w:lang w:val="en-GB"/>
        </w:rPr>
        <w:lastRenderedPageBreak/>
        <w:t>The overarching conclusion that emerges from this synthesis is that effective post-harvest management requires integration rather than singular reliance on any one technology. Temperature management remains the foundational pillar upon which all other interventions depend, and the cold chain deserves commensurate investment and operational priority at every level of the supply chain. Beyond this foundation, the judicious selection and combination of complementary technologies—guided by commodity-specific physiology, supply-chain structure, and economic constraints—offers the most robust pathway to meaningful loss reduction. Digital technologies, particularly IoT-based monitoring and machine learning-enabled quality assessment, are maturing rapidly and offer the prospect of evidence-based, adaptive management that makes optimal use of the physical and chemical tools available. The gulf between technological capability in high-income and low-income settings must be urgently addressed. The development of affordable, robust, and scalable post-harvest technologies appropriate to smallholder supply chains in low-and-middle-income countries is a research and development priority of the highest order, and success in this domain will require genuine partnership between academic researchers, technology developers, governments, development organisations, and farming communities themselves.</w:t>
      </w:r>
    </w:p>
    <w:p w14:paraId="520BD91D" w14:textId="77777777" w:rsidR="002A0601" w:rsidRPr="008F37D3" w:rsidRDefault="00ED3E58">
      <w:pPr>
        <w:pStyle w:val="Heading1"/>
        <w:spacing w:before="360" w:after="120" w:line="480" w:lineRule="auto"/>
        <w:rPr>
          <w:lang w:val="en-GB"/>
        </w:rPr>
      </w:pPr>
      <w:r w:rsidRPr="008F37D3">
        <w:rPr>
          <w:lang w:val="en-GB"/>
        </w:rPr>
        <w:t>References</w:t>
      </w:r>
    </w:p>
    <w:p w14:paraId="2B95037B" w14:textId="77777777" w:rsidR="002A0601" w:rsidRPr="008F37D3" w:rsidRDefault="00ED3E58">
      <w:pPr>
        <w:spacing w:after="120" w:line="360" w:lineRule="auto"/>
        <w:ind w:left="720" w:hanging="720"/>
        <w:jc w:val="both"/>
        <w:rPr>
          <w:lang w:val="en-GB"/>
        </w:rPr>
      </w:pPr>
      <w:r w:rsidRPr="008F37D3">
        <w:rPr>
          <w:lang w:val="en-GB"/>
        </w:rPr>
        <w:t xml:space="preserve">Barba, F. J., </w:t>
      </w:r>
      <w:proofErr w:type="spellStart"/>
      <w:r w:rsidRPr="008F37D3">
        <w:rPr>
          <w:lang w:val="en-GB"/>
        </w:rPr>
        <w:t>Parniakov</w:t>
      </w:r>
      <w:proofErr w:type="spellEnd"/>
      <w:r w:rsidRPr="008F37D3">
        <w:rPr>
          <w:lang w:val="en-GB"/>
        </w:rPr>
        <w:t xml:space="preserve">, O., Pereira, S. A., Wiktor, A., Grimi, N., </w:t>
      </w:r>
      <w:proofErr w:type="spellStart"/>
      <w:r w:rsidRPr="008F37D3">
        <w:rPr>
          <w:lang w:val="en-GB"/>
        </w:rPr>
        <w:t>Boussetta</w:t>
      </w:r>
      <w:proofErr w:type="spellEnd"/>
      <w:r w:rsidRPr="008F37D3">
        <w:rPr>
          <w:lang w:val="en-GB"/>
        </w:rPr>
        <w:t xml:space="preserve">, N., Saraiva, J. A., Raso, J., Martin-Belloso, O., </w:t>
      </w:r>
      <w:proofErr w:type="spellStart"/>
      <w:r w:rsidRPr="008F37D3">
        <w:rPr>
          <w:lang w:val="en-GB"/>
        </w:rPr>
        <w:t>Witrowa-Rajchert</w:t>
      </w:r>
      <w:proofErr w:type="spellEnd"/>
      <w:r w:rsidRPr="008F37D3">
        <w:rPr>
          <w:lang w:val="en-GB"/>
        </w:rPr>
        <w:t xml:space="preserve">, D., </w:t>
      </w:r>
      <w:proofErr w:type="spellStart"/>
      <w:r w:rsidRPr="008F37D3">
        <w:rPr>
          <w:lang w:val="en-GB"/>
        </w:rPr>
        <w:t>Lebovka</w:t>
      </w:r>
      <w:proofErr w:type="spellEnd"/>
      <w:r w:rsidRPr="008F37D3">
        <w:rPr>
          <w:lang w:val="en-GB"/>
        </w:rPr>
        <w:t xml:space="preserve">, N., &amp; </w:t>
      </w:r>
      <w:proofErr w:type="spellStart"/>
      <w:r w:rsidRPr="008F37D3">
        <w:rPr>
          <w:lang w:val="en-GB"/>
        </w:rPr>
        <w:t>Vorobiev</w:t>
      </w:r>
      <w:proofErr w:type="spellEnd"/>
      <w:r w:rsidRPr="008F37D3">
        <w:rPr>
          <w:lang w:val="en-GB"/>
        </w:rPr>
        <w:t xml:space="preserve">, E. (2015a). Current applications and new opportunities for the use of pulsed electric fields in food science and industry. Food Research International, 77, 773–798. </w:t>
      </w:r>
      <w:commentRangeStart w:id="155"/>
      <w:r w:rsidR="00900B1F">
        <w:fldChar w:fldCharType="begin"/>
      </w:r>
      <w:r w:rsidR="00900B1F">
        <w:instrText xml:space="preserve"> HYPERLINK "https://doi.org/10.1016/j.foodres.2015.09.015" </w:instrText>
      </w:r>
      <w:r w:rsidR="00900B1F">
        <w:fldChar w:fldCharType="separate"/>
      </w:r>
      <w:r w:rsidR="00DD5A24" w:rsidRPr="00330504">
        <w:rPr>
          <w:rStyle w:val="Hyperlink"/>
          <w:lang w:val="en-GB"/>
        </w:rPr>
        <w:t>https://doi.org/10.1016/j.foodres.2015.09.015</w:t>
      </w:r>
      <w:r w:rsidR="00900B1F">
        <w:rPr>
          <w:rStyle w:val="Hyperlink"/>
          <w:lang w:val="en-GB"/>
        </w:rPr>
        <w:fldChar w:fldCharType="end"/>
      </w:r>
      <w:commentRangeEnd w:id="155"/>
      <w:r w:rsidR="00183B31">
        <w:rPr>
          <w:rStyle w:val="CommentReference"/>
        </w:rPr>
        <w:commentReference w:id="155"/>
      </w:r>
      <w:r w:rsidR="00DD5A24">
        <w:rPr>
          <w:lang w:val="en-GB"/>
        </w:rPr>
        <w:t xml:space="preserve"> </w:t>
      </w:r>
    </w:p>
    <w:p w14:paraId="0EB34646" w14:textId="77777777" w:rsidR="002A0601" w:rsidRPr="008F37D3" w:rsidRDefault="00ED3E58">
      <w:pPr>
        <w:spacing w:after="120" w:line="360" w:lineRule="auto"/>
        <w:ind w:left="720" w:hanging="720"/>
        <w:jc w:val="both"/>
        <w:rPr>
          <w:lang w:val="en-GB"/>
        </w:rPr>
      </w:pPr>
      <w:r w:rsidRPr="008F37D3">
        <w:rPr>
          <w:lang w:val="en-GB"/>
        </w:rPr>
        <w:t xml:space="preserve">Barba, F. J., Terefe, N. S., </w:t>
      </w:r>
      <w:proofErr w:type="spellStart"/>
      <w:r w:rsidRPr="008F37D3">
        <w:rPr>
          <w:lang w:val="en-GB"/>
        </w:rPr>
        <w:t>Buckow</w:t>
      </w:r>
      <w:proofErr w:type="spellEnd"/>
      <w:r w:rsidRPr="008F37D3">
        <w:rPr>
          <w:lang w:val="en-GB"/>
        </w:rPr>
        <w:t xml:space="preserve">, R., Knorr, D., &amp; Orlien, V. (2015b). </w:t>
      </w:r>
      <w:proofErr w:type="gramStart"/>
      <w:r w:rsidRPr="008F37D3">
        <w:rPr>
          <w:lang w:val="en-GB"/>
        </w:rPr>
        <w:t>New opportunities and perspectives of high pressure treatment to improve health and safety attributes of foods.</w:t>
      </w:r>
      <w:proofErr w:type="gramEnd"/>
      <w:r w:rsidRPr="008F37D3">
        <w:rPr>
          <w:lang w:val="en-GB"/>
        </w:rPr>
        <w:t xml:space="preserve"> A review. Food Research International, 77, 725–742. </w:t>
      </w:r>
      <w:commentRangeStart w:id="156"/>
      <w:r w:rsidR="00900B1F">
        <w:fldChar w:fldCharType="begin"/>
      </w:r>
      <w:r w:rsidR="00900B1F">
        <w:instrText xml:space="preserve"> HYPERLINK "https://doi.org/10.1016/j.foodres.2015.05.015" </w:instrText>
      </w:r>
      <w:r w:rsidR="00900B1F">
        <w:fldChar w:fldCharType="separate"/>
      </w:r>
      <w:r w:rsidR="00DD5A24" w:rsidRPr="00330504">
        <w:rPr>
          <w:rStyle w:val="Hyperlink"/>
          <w:lang w:val="en-GB"/>
        </w:rPr>
        <w:t>https://doi.org/10.1016/j.foodres.2015.05.015</w:t>
      </w:r>
      <w:r w:rsidR="00900B1F">
        <w:rPr>
          <w:rStyle w:val="Hyperlink"/>
          <w:lang w:val="en-GB"/>
        </w:rPr>
        <w:fldChar w:fldCharType="end"/>
      </w:r>
      <w:commentRangeEnd w:id="156"/>
      <w:r w:rsidR="00183B31">
        <w:rPr>
          <w:rStyle w:val="CommentReference"/>
        </w:rPr>
        <w:commentReference w:id="156"/>
      </w:r>
      <w:r w:rsidR="00DD5A24">
        <w:rPr>
          <w:lang w:val="en-GB"/>
        </w:rPr>
        <w:t xml:space="preserve"> </w:t>
      </w:r>
    </w:p>
    <w:p w14:paraId="0E9BB4F0" w14:textId="77777777" w:rsidR="002A0601" w:rsidRPr="008F37D3" w:rsidRDefault="00ED3E58">
      <w:pPr>
        <w:spacing w:after="120" w:line="360" w:lineRule="auto"/>
        <w:ind w:left="720" w:hanging="720"/>
        <w:jc w:val="both"/>
        <w:rPr>
          <w:lang w:val="en-GB"/>
        </w:rPr>
      </w:pPr>
      <w:r w:rsidRPr="008F37D3">
        <w:rPr>
          <w:lang w:val="en-GB"/>
        </w:rPr>
        <w:lastRenderedPageBreak/>
        <w:t xml:space="preserve">Baumeister, R. F., &amp; Leary, M. R. (1997). Writing narrative literature reviews. Review of General Psychology, 1(3), 311–320. </w:t>
      </w:r>
      <w:commentRangeStart w:id="157"/>
      <w:r w:rsidR="00900B1F">
        <w:fldChar w:fldCharType="begin"/>
      </w:r>
      <w:r w:rsidR="00900B1F">
        <w:instrText xml:space="preserve"> HYPERLINK "https://doi.org/10.1037/1089-2680.1.3.311" </w:instrText>
      </w:r>
      <w:r w:rsidR="00900B1F">
        <w:fldChar w:fldCharType="separate"/>
      </w:r>
      <w:r w:rsidR="00DD5A24" w:rsidRPr="00330504">
        <w:rPr>
          <w:rStyle w:val="Hyperlink"/>
          <w:lang w:val="en-GB"/>
        </w:rPr>
        <w:t>https://doi.org/10.1037/1089-2680.1.3.311</w:t>
      </w:r>
      <w:r w:rsidR="00900B1F">
        <w:rPr>
          <w:rStyle w:val="Hyperlink"/>
          <w:lang w:val="en-GB"/>
        </w:rPr>
        <w:fldChar w:fldCharType="end"/>
      </w:r>
      <w:commentRangeEnd w:id="157"/>
      <w:r w:rsidR="00183B31">
        <w:rPr>
          <w:rStyle w:val="CommentReference"/>
        </w:rPr>
        <w:commentReference w:id="157"/>
      </w:r>
      <w:r w:rsidR="00DD5A24">
        <w:rPr>
          <w:lang w:val="en-GB"/>
        </w:rPr>
        <w:t xml:space="preserve"> </w:t>
      </w:r>
    </w:p>
    <w:p w14:paraId="067915EF" w14:textId="77777777" w:rsidR="002A0601" w:rsidRPr="008F37D3" w:rsidRDefault="00ED3E58">
      <w:pPr>
        <w:spacing w:after="120" w:line="360" w:lineRule="auto"/>
        <w:ind w:left="720" w:hanging="720"/>
        <w:jc w:val="both"/>
        <w:rPr>
          <w:lang w:val="en-GB"/>
        </w:rPr>
      </w:pPr>
      <w:r w:rsidRPr="008F37D3">
        <w:rPr>
          <w:lang w:val="en-GB"/>
        </w:rPr>
        <w:t xml:space="preserve">Caleb, O. J., Mahajan, P. V., Al-Said, F. A. J., &amp; Opara, U. L. (2013). Modified atmosphere packaging technology of fresh and fresh-cut produce and the microbial consequences—A review. Food and Bioprocess Technology, 6(2), 303–329. </w:t>
      </w:r>
      <w:commentRangeStart w:id="158"/>
      <w:r w:rsidR="00900B1F">
        <w:fldChar w:fldCharType="begin"/>
      </w:r>
      <w:r w:rsidR="00900B1F">
        <w:instrText xml:space="preserve"> HYPERLINK "https://doi.org/10.1007/s11947-012-0932-4" </w:instrText>
      </w:r>
      <w:r w:rsidR="00900B1F">
        <w:fldChar w:fldCharType="separate"/>
      </w:r>
      <w:r w:rsidR="00DD5A24" w:rsidRPr="00330504">
        <w:rPr>
          <w:rStyle w:val="Hyperlink"/>
          <w:lang w:val="en-GB"/>
        </w:rPr>
        <w:t>https://doi.org/10.1007/s11947-012-0932-4</w:t>
      </w:r>
      <w:r w:rsidR="00900B1F">
        <w:rPr>
          <w:rStyle w:val="Hyperlink"/>
          <w:lang w:val="en-GB"/>
        </w:rPr>
        <w:fldChar w:fldCharType="end"/>
      </w:r>
      <w:commentRangeEnd w:id="158"/>
      <w:r w:rsidR="00183B31">
        <w:rPr>
          <w:rStyle w:val="CommentReference"/>
        </w:rPr>
        <w:commentReference w:id="158"/>
      </w:r>
      <w:r w:rsidR="00DD5A24">
        <w:rPr>
          <w:lang w:val="en-GB"/>
        </w:rPr>
        <w:t xml:space="preserve"> </w:t>
      </w:r>
    </w:p>
    <w:p w14:paraId="6E4B34E2" w14:textId="77777777" w:rsidR="002A0601" w:rsidRPr="008F37D3" w:rsidRDefault="00ED3E58">
      <w:pPr>
        <w:spacing w:after="120" w:line="360" w:lineRule="auto"/>
        <w:ind w:left="720" w:hanging="720"/>
        <w:jc w:val="both"/>
        <w:rPr>
          <w:lang w:val="en-GB"/>
        </w:rPr>
      </w:pPr>
      <w:r w:rsidRPr="008F37D3">
        <w:rPr>
          <w:lang w:val="en-GB"/>
        </w:rPr>
        <w:t xml:space="preserve">Cubero, S., </w:t>
      </w:r>
      <w:proofErr w:type="spellStart"/>
      <w:r w:rsidRPr="008F37D3">
        <w:rPr>
          <w:lang w:val="en-GB"/>
        </w:rPr>
        <w:t>Aleixos</w:t>
      </w:r>
      <w:proofErr w:type="spellEnd"/>
      <w:r w:rsidRPr="008F37D3">
        <w:rPr>
          <w:lang w:val="en-GB"/>
        </w:rPr>
        <w:t xml:space="preserve">, N., </w:t>
      </w:r>
      <w:proofErr w:type="spellStart"/>
      <w:r w:rsidRPr="008F37D3">
        <w:rPr>
          <w:lang w:val="en-GB"/>
        </w:rPr>
        <w:t>Moltó</w:t>
      </w:r>
      <w:proofErr w:type="spellEnd"/>
      <w:r w:rsidRPr="008F37D3">
        <w:rPr>
          <w:lang w:val="en-GB"/>
        </w:rPr>
        <w:t xml:space="preserve">, E., Gómez-Sanchis, J., &amp; Blasco, J. (2011). Advances in machine vision applications for automatic inspection and quality evaluation of fruits and vegetables. Food and Bioprocess Technology, 4(4), 487–504. </w:t>
      </w:r>
      <w:commentRangeStart w:id="159"/>
      <w:r w:rsidRPr="008F37D3">
        <w:rPr>
          <w:lang w:val="en-GB"/>
        </w:rPr>
        <w:t>https://doi.org/10.1007/s11947-010-0411-8</w:t>
      </w:r>
      <w:commentRangeEnd w:id="159"/>
      <w:r w:rsidR="00183B31">
        <w:rPr>
          <w:rStyle w:val="CommentReference"/>
        </w:rPr>
        <w:commentReference w:id="159"/>
      </w:r>
    </w:p>
    <w:p w14:paraId="5638B1BE" w14:textId="77777777" w:rsidR="002A0601" w:rsidRPr="008F37D3" w:rsidRDefault="00ED3E58">
      <w:pPr>
        <w:spacing w:after="120" w:line="360" w:lineRule="auto"/>
        <w:ind w:left="720" w:hanging="720"/>
        <w:jc w:val="both"/>
        <w:rPr>
          <w:lang w:val="en-GB"/>
        </w:rPr>
      </w:pPr>
      <w:r w:rsidRPr="008F37D3">
        <w:rPr>
          <w:lang w:val="en-GB"/>
        </w:rPr>
        <w:t xml:space="preserve">Dasgupta, N., Ranjan, S., </w:t>
      </w:r>
      <w:proofErr w:type="spellStart"/>
      <w:r w:rsidRPr="008F37D3">
        <w:rPr>
          <w:lang w:val="en-GB"/>
        </w:rPr>
        <w:t>Mundekkad</w:t>
      </w:r>
      <w:proofErr w:type="spellEnd"/>
      <w:r w:rsidRPr="008F37D3">
        <w:rPr>
          <w:lang w:val="en-GB"/>
        </w:rPr>
        <w:t xml:space="preserve">, D., Ramalingam, C., Shanker, R., &amp; Kumar, A. (2015). Nanotechnology in agro-food: From field to plate. Food Research International, 69, 381–400. </w:t>
      </w:r>
      <w:commentRangeStart w:id="160"/>
      <w:r w:rsidRPr="008F37D3">
        <w:rPr>
          <w:lang w:val="en-GB"/>
        </w:rPr>
        <w:t>https://doi.org/10.1016/j.foodres.2015.01.005</w:t>
      </w:r>
      <w:commentRangeEnd w:id="160"/>
      <w:r w:rsidR="00183B31">
        <w:rPr>
          <w:rStyle w:val="CommentReference"/>
        </w:rPr>
        <w:commentReference w:id="160"/>
      </w:r>
    </w:p>
    <w:p w14:paraId="5807B8BD" w14:textId="77777777" w:rsidR="002A0601" w:rsidRPr="008F37D3" w:rsidRDefault="00ED3E58">
      <w:pPr>
        <w:spacing w:after="120" w:line="360" w:lineRule="auto"/>
        <w:ind w:left="720" w:hanging="720"/>
        <w:jc w:val="both"/>
        <w:rPr>
          <w:lang w:val="en-GB"/>
        </w:rPr>
      </w:pPr>
      <w:r w:rsidRPr="008F37D3">
        <w:rPr>
          <w:lang w:val="en-GB"/>
        </w:rPr>
        <w:t xml:space="preserve">Deng, L.-Z., Mujumdar, A. S., Zhang, Q., Yang, X.-H., Wang, J., Zheng, Z.-A., Gao, Z.-J., &amp; Xiao, H.-W. (2019). Chemical and physical pretreatments of fruits and vegetables: Effects on drying characteristics and quality attributes—A comprehensive review. Critical Reviews in Food Science and Nutrition, 59(9), 1408–1432. </w:t>
      </w:r>
      <w:commentRangeStart w:id="161"/>
      <w:r w:rsidRPr="008F37D3">
        <w:rPr>
          <w:lang w:val="en-GB"/>
        </w:rPr>
        <w:t>https://doi.org/10.1080/10408398.2017.1409192</w:t>
      </w:r>
      <w:commentRangeEnd w:id="161"/>
      <w:r w:rsidR="00183B31">
        <w:rPr>
          <w:rStyle w:val="CommentReference"/>
        </w:rPr>
        <w:commentReference w:id="161"/>
      </w:r>
    </w:p>
    <w:p w14:paraId="3B470805" w14:textId="77777777" w:rsidR="002A0601" w:rsidRPr="008F37D3" w:rsidRDefault="00ED3E58">
      <w:pPr>
        <w:spacing w:after="120" w:line="360" w:lineRule="auto"/>
        <w:ind w:left="720" w:hanging="720"/>
        <w:jc w:val="both"/>
        <w:rPr>
          <w:lang w:val="en-GB"/>
        </w:rPr>
      </w:pPr>
      <w:r w:rsidRPr="008F37D3">
        <w:rPr>
          <w:lang w:val="en-GB"/>
        </w:rPr>
        <w:t xml:space="preserve">Dhall, R. K. (2013). Advances in edible coatings for fresh fruits and vegetables: A review. Critical Reviews in Food Science and Nutrition, 53(5), 435–450. </w:t>
      </w:r>
      <w:commentRangeStart w:id="162"/>
      <w:r w:rsidRPr="008F37D3">
        <w:rPr>
          <w:lang w:val="en-GB"/>
        </w:rPr>
        <w:t>https://doi.org/10.1080/10408398.2010.541568</w:t>
      </w:r>
      <w:commentRangeEnd w:id="162"/>
      <w:r w:rsidR="00183B31">
        <w:rPr>
          <w:rStyle w:val="CommentReference"/>
        </w:rPr>
        <w:commentReference w:id="162"/>
      </w:r>
    </w:p>
    <w:p w14:paraId="2F0B8E18" w14:textId="77777777" w:rsidR="002A0601" w:rsidRPr="008F37D3" w:rsidRDefault="00ED3E58">
      <w:pPr>
        <w:spacing w:after="120" w:line="360" w:lineRule="auto"/>
        <w:ind w:left="720" w:hanging="720"/>
        <w:jc w:val="both"/>
        <w:rPr>
          <w:lang w:val="en-GB"/>
        </w:rPr>
      </w:pPr>
      <w:r w:rsidRPr="008F37D3">
        <w:rPr>
          <w:lang w:val="en-GB"/>
        </w:rPr>
        <w:t xml:space="preserve">Droby, S., Wisniewski, M., Macarisin, D., &amp; Wilson, C. (2009). Twenty years of postharvest biocontrol research: Is it time for a new paradigm? Postharvest Biology and Technology, 52(2), 137–145. </w:t>
      </w:r>
      <w:commentRangeStart w:id="163"/>
      <w:r w:rsidRPr="008F37D3">
        <w:rPr>
          <w:lang w:val="en-GB"/>
        </w:rPr>
        <w:t>https://doi.org/10.1016/j.postharvbio.2008.11.009</w:t>
      </w:r>
      <w:commentRangeEnd w:id="163"/>
      <w:r w:rsidR="00183B31">
        <w:rPr>
          <w:rStyle w:val="CommentReference"/>
        </w:rPr>
        <w:commentReference w:id="163"/>
      </w:r>
    </w:p>
    <w:p w14:paraId="6957063C" w14:textId="77777777" w:rsidR="002A0601" w:rsidRPr="008F37D3" w:rsidRDefault="00ED3E58">
      <w:pPr>
        <w:spacing w:after="120" w:line="360" w:lineRule="auto"/>
        <w:ind w:left="720" w:hanging="720"/>
        <w:jc w:val="both"/>
        <w:rPr>
          <w:lang w:val="en-GB"/>
        </w:rPr>
      </w:pPr>
      <w:r w:rsidRPr="008F37D3">
        <w:rPr>
          <w:lang w:val="en-GB"/>
        </w:rPr>
        <w:t xml:space="preserve">FAO. (2011). Global food losses and food waste—Extent, causes and prevention. Food and Agriculture Organization of the United Nations. </w:t>
      </w:r>
      <w:hyperlink r:id="rId9" w:history="1">
        <w:r w:rsidRPr="00330504">
          <w:rPr>
            <w:rStyle w:val="Hyperlink"/>
            <w:lang w:val="en-GB"/>
          </w:rPr>
          <w:t>https://www.fao.org/3/mb060e/mb060e00.htm</w:t>
        </w:r>
      </w:hyperlink>
      <w:r>
        <w:rPr>
          <w:lang w:val="en-GB"/>
        </w:rPr>
        <w:t xml:space="preserve"> </w:t>
      </w:r>
    </w:p>
    <w:p w14:paraId="4A970BA1" w14:textId="77777777" w:rsidR="002A0601" w:rsidRPr="008F37D3" w:rsidRDefault="00ED3E58">
      <w:pPr>
        <w:spacing w:after="120" w:line="360" w:lineRule="auto"/>
        <w:ind w:left="720" w:hanging="720"/>
        <w:jc w:val="both"/>
        <w:rPr>
          <w:lang w:val="en-GB"/>
        </w:rPr>
      </w:pPr>
      <w:r w:rsidRPr="008F37D3">
        <w:rPr>
          <w:lang w:val="en-GB"/>
        </w:rPr>
        <w:t xml:space="preserve">FAO. (2019). The State of Food and Agriculture 2019: Moving forward on food loss and waste reduction. Food and Agriculture Organization of the United Nations. </w:t>
      </w:r>
      <w:hyperlink r:id="rId10" w:history="1">
        <w:r w:rsidRPr="00330504">
          <w:rPr>
            <w:rStyle w:val="Hyperlink"/>
            <w:lang w:val="en-GB"/>
          </w:rPr>
          <w:t>https://doi.org/10.4060/ca6030en</w:t>
        </w:r>
      </w:hyperlink>
      <w:r>
        <w:rPr>
          <w:lang w:val="en-GB"/>
        </w:rPr>
        <w:t xml:space="preserve"> and </w:t>
      </w:r>
      <w:hyperlink r:id="rId11" w:history="1">
        <w:r w:rsidRPr="00330504">
          <w:rPr>
            <w:rStyle w:val="Hyperlink"/>
            <w:lang w:val="en-GB"/>
          </w:rPr>
          <w:t>https://openknowledge.fao.org/items/ba08937f-4a41-4ff5-a4e7-e495e5f5f599</w:t>
        </w:r>
      </w:hyperlink>
      <w:r>
        <w:rPr>
          <w:lang w:val="en-GB"/>
        </w:rPr>
        <w:t xml:space="preserve"> </w:t>
      </w:r>
    </w:p>
    <w:p w14:paraId="1FA6058B" w14:textId="77777777" w:rsidR="002A0601" w:rsidRPr="008F37D3" w:rsidRDefault="00ED3E58">
      <w:pPr>
        <w:spacing w:after="120" w:line="360" w:lineRule="auto"/>
        <w:ind w:left="720" w:hanging="720"/>
        <w:jc w:val="both"/>
        <w:rPr>
          <w:lang w:val="en-GB"/>
        </w:rPr>
      </w:pPr>
      <w:r w:rsidRPr="008F37D3">
        <w:rPr>
          <w:lang w:val="en-GB"/>
        </w:rPr>
        <w:lastRenderedPageBreak/>
        <w:t>Feng, H., Wang, X., Duan, Y., Zhang, J., &amp; Zhang, X. (2020). Applying blockchain technology to improve agri-food traceability: A review of development methods, benefits and challenges. Journal of Cleaner Production, 260, 121031. https://doi.org/10.1016/j.jclepro.2020.121031</w:t>
      </w:r>
    </w:p>
    <w:p w14:paraId="3F2F681C" w14:textId="77777777" w:rsidR="002A0601" w:rsidRPr="008F37D3" w:rsidRDefault="00ED3E58">
      <w:pPr>
        <w:spacing w:after="120" w:line="360" w:lineRule="auto"/>
        <w:ind w:left="720" w:hanging="720"/>
        <w:jc w:val="both"/>
        <w:rPr>
          <w:lang w:val="en-GB"/>
        </w:rPr>
      </w:pPr>
      <w:r w:rsidRPr="008F37D3">
        <w:rPr>
          <w:lang w:val="en-GB"/>
        </w:rPr>
        <w:t xml:space="preserve">Ferrari, R. (2015). Writing narrative style literature reviews. Medical Writing, 24(4), 230–235. </w:t>
      </w:r>
      <w:commentRangeStart w:id="164"/>
      <w:r w:rsidR="00900B1F">
        <w:fldChar w:fldCharType="begin"/>
      </w:r>
      <w:r w:rsidR="00900B1F">
        <w:instrText xml:space="preserve"> HYPERLINK "https://doi.org/10.1179/2047480615Z.000000000329" </w:instrText>
      </w:r>
      <w:r w:rsidR="00900B1F">
        <w:fldChar w:fldCharType="separate"/>
      </w:r>
      <w:r w:rsidR="00DD5A24" w:rsidRPr="00330504">
        <w:rPr>
          <w:rStyle w:val="Hyperlink"/>
          <w:lang w:val="en-GB"/>
        </w:rPr>
        <w:t>https://doi.org/10.1179/2047480615Z.000000000329</w:t>
      </w:r>
      <w:r w:rsidR="00900B1F">
        <w:rPr>
          <w:rStyle w:val="Hyperlink"/>
          <w:lang w:val="en-GB"/>
        </w:rPr>
        <w:fldChar w:fldCharType="end"/>
      </w:r>
      <w:commentRangeEnd w:id="164"/>
      <w:r w:rsidR="00183B31">
        <w:rPr>
          <w:rStyle w:val="CommentReference"/>
        </w:rPr>
        <w:commentReference w:id="164"/>
      </w:r>
      <w:r w:rsidR="00DD5A24">
        <w:rPr>
          <w:lang w:val="en-GB"/>
        </w:rPr>
        <w:t xml:space="preserve"> </w:t>
      </w:r>
    </w:p>
    <w:p w14:paraId="18B9C002" w14:textId="77777777" w:rsidR="002A0601" w:rsidRPr="008F37D3" w:rsidRDefault="00ED3E58">
      <w:pPr>
        <w:spacing w:after="120" w:line="360" w:lineRule="auto"/>
        <w:ind w:left="720" w:hanging="720"/>
        <w:jc w:val="both"/>
        <w:rPr>
          <w:lang w:val="en-GB"/>
        </w:rPr>
      </w:pPr>
      <w:proofErr w:type="spellStart"/>
      <w:r w:rsidRPr="008F37D3">
        <w:rPr>
          <w:lang w:val="en-GB"/>
        </w:rPr>
        <w:t>Gavahian</w:t>
      </w:r>
      <w:proofErr w:type="spellEnd"/>
      <w:r w:rsidRPr="008F37D3">
        <w:rPr>
          <w:lang w:val="en-GB"/>
        </w:rPr>
        <w:t xml:space="preserve">, M., &amp; Cullen, P. J. (2020). Cold plasma as an emerging technique for mycotoxin-free food: Efficacy, mechanisms, and trends. Food Reviews International, 36(2), 193–214. </w:t>
      </w:r>
      <w:commentRangeStart w:id="165"/>
      <w:r w:rsidRPr="008F37D3">
        <w:rPr>
          <w:lang w:val="en-GB"/>
        </w:rPr>
        <w:t>https://doi.org/10.1080/87559129.2019.1630638</w:t>
      </w:r>
      <w:commentRangeEnd w:id="165"/>
      <w:r w:rsidR="00183B31">
        <w:rPr>
          <w:rStyle w:val="CommentReference"/>
        </w:rPr>
        <w:commentReference w:id="165"/>
      </w:r>
    </w:p>
    <w:p w14:paraId="2907CB4B" w14:textId="77777777" w:rsidR="002A0601" w:rsidRPr="008F37D3" w:rsidRDefault="00ED3E58">
      <w:pPr>
        <w:spacing w:after="120" w:line="360" w:lineRule="auto"/>
        <w:ind w:left="720" w:hanging="720"/>
        <w:jc w:val="both"/>
        <w:rPr>
          <w:lang w:val="en-GB"/>
        </w:rPr>
      </w:pPr>
      <w:r w:rsidRPr="008F37D3">
        <w:rPr>
          <w:lang w:val="en-GB"/>
        </w:rPr>
        <w:t xml:space="preserve">Hodges, R. J., Buzby, J. C., &amp; Bennett, B. (2011). Postharvest losses and waste in developed and less developed countries: Opportunities to improve resource use. Journal of Agricultural Science, 149(S1), 37–45. </w:t>
      </w:r>
      <w:commentRangeStart w:id="166"/>
      <w:r w:rsidRPr="008F37D3">
        <w:rPr>
          <w:lang w:val="en-GB"/>
        </w:rPr>
        <w:t>https://doi.org/10.1017/S0021859610000936</w:t>
      </w:r>
      <w:commentRangeEnd w:id="166"/>
      <w:r w:rsidR="00183B31">
        <w:rPr>
          <w:rStyle w:val="CommentReference"/>
        </w:rPr>
        <w:commentReference w:id="166"/>
      </w:r>
    </w:p>
    <w:p w14:paraId="2B0EC96D" w14:textId="77777777" w:rsidR="002A0601" w:rsidRPr="008F37D3" w:rsidRDefault="00ED3E58">
      <w:pPr>
        <w:spacing w:after="120" w:line="360" w:lineRule="auto"/>
        <w:ind w:left="720" w:hanging="720"/>
        <w:jc w:val="both"/>
        <w:rPr>
          <w:lang w:val="en-GB"/>
        </w:rPr>
      </w:pPr>
      <w:r w:rsidRPr="008F37D3">
        <w:rPr>
          <w:lang w:val="en-GB"/>
        </w:rPr>
        <w:t xml:space="preserve">James, S. J., &amp; James, C. (2010). The food cold-chain and climate change. Food Research International, 43(7), 1944–1956. </w:t>
      </w:r>
      <w:commentRangeStart w:id="167"/>
      <w:r w:rsidRPr="008F37D3">
        <w:rPr>
          <w:lang w:val="en-GB"/>
        </w:rPr>
        <w:t>https://doi.org/10.1016/j.foodres.2010.02.001</w:t>
      </w:r>
      <w:commentRangeEnd w:id="167"/>
      <w:r w:rsidR="00183B31">
        <w:rPr>
          <w:rStyle w:val="CommentReference"/>
        </w:rPr>
        <w:commentReference w:id="167"/>
      </w:r>
    </w:p>
    <w:p w14:paraId="71521184" w14:textId="77777777" w:rsidR="002A0601" w:rsidRPr="008F37D3" w:rsidRDefault="00ED3E58">
      <w:pPr>
        <w:spacing w:after="120" w:line="360" w:lineRule="auto"/>
        <w:ind w:left="720" w:hanging="720"/>
        <w:jc w:val="both"/>
        <w:rPr>
          <w:lang w:val="en-GB"/>
        </w:rPr>
      </w:pPr>
      <w:r w:rsidRPr="008F37D3">
        <w:rPr>
          <w:lang w:val="en-GB"/>
        </w:rPr>
        <w:t>Jedermann, R., Nicometo, M., Uysal, I., &amp; Lang, W. (2014). Reducing food losses by intelligent food logistics. Philosophical Transactions of the Royal Society A: Mathematical, Physical and Engineering Sciences, 372(2017), 20130302. https://doi.org/10.1098/rsta.2013.0302</w:t>
      </w:r>
    </w:p>
    <w:p w14:paraId="7476FA9F" w14:textId="77777777" w:rsidR="002A0601" w:rsidRPr="008F37D3" w:rsidRDefault="00ED3E58">
      <w:pPr>
        <w:spacing w:after="120" w:line="360" w:lineRule="auto"/>
        <w:ind w:left="720" w:hanging="720"/>
        <w:jc w:val="both"/>
        <w:rPr>
          <w:lang w:val="en-GB"/>
        </w:rPr>
      </w:pPr>
      <w:proofErr w:type="spellStart"/>
      <w:r w:rsidRPr="008F37D3">
        <w:rPr>
          <w:lang w:val="en-GB"/>
        </w:rPr>
        <w:t>Kamilaris</w:t>
      </w:r>
      <w:proofErr w:type="spellEnd"/>
      <w:r w:rsidRPr="008F37D3">
        <w:rPr>
          <w:lang w:val="en-GB"/>
        </w:rPr>
        <w:t xml:space="preserve">, A., &amp; </w:t>
      </w:r>
      <w:proofErr w:type="spellStart"/>
      <w:r w:rsidRPr="008F37D3">
        <w:rPr>
          <w:lang w:val="en-GB"/>
        </w:rPr>
        <w:t>Prenafeta-Boldú</w:t>
      </w:r>
      <w:proofErr w:type="spellEnd"/>
      <w:r w:rsidRPr="008F37D3">
        <w:rPr>
          <w:lang w:val="en-GB"/>
        </w:rPr>
        <w:t xml:space="preserve">, F. X. (2018). Deep learning in agriculture: A survey. Computers and Electronics in Agriculture, 147, 70–90. </w:t>
      </w:r>
      <w:commentRangeStart w:id="168"/>
      <w:r w:rsidRPr="008F37D3">
        <w:rPr>
          <w:lang w:val="en-GB"/>
        </w:rPr>
        <w:t>https://doi.org/10.1016/j.compag.2018.02.016</w:t>
      </w:r>
      <w:commentRangeEnd w:id="168"/>
      <w:r w:rsidR="00183B31">
        <w:rPr>
          <w:rStyle w:val="CommentReference"/>
        </w:rPr>
        <w:commentReference w:id="168"/>
      </w:r>
    </w:p>
    <w:p w14:paraId="1379A7C4" w14:textId="77777777" w:rsidR="002A0601" w:rsidRPr="008F37D3" w:rsidRDefault="00ED3E58">
      <w:pPr>
        <w:spacing w:after="120" w:line="360" w:lineRule="auto"/>
        <w:ind w:left="720" w:hanging="720"/>
        <w:jc w:val="both"/>
        <w:rPr>
          <w:lang w:val="en-GB"/>
        </w:rPr>
      </w:pPr>
      <w:r w:rsidRPr="008F37D3">
        <w:rPr>
          <w:lang w:val="en-GB"/>
        </w:rPr>
        <w:t xml:space="preserve">Liakos, K. G., Busato, P., </w:t>
      </w:r>
      <w:proofErr w:type="spellStart"/>
      <w:r w:rsidRPr="008F37D3">
        <w:rPr>
          <w:lang w:val="en-GB"/>
        </w:rPr>
        <w:t>Moshou</w:t>
      </w:r>
      <w:proofErr w:type="spellEnd"/>
      <w:r w:rsidRPr="008F37D3">
        <w:rPr>
          <w:lang w:val="en-GB"/>
        </w:rPr>
        <w:t xml:space="preserve">, D., Pearson, S., &amp; </w:t>
      </w:r>
      <w:proofErr w:type="spellStart"/>
      <w:r w:rsidRPr="008F37D3">
        <w:rPr>
          <w:lang w:val="en-GB"/>
        </w:rPr>
        <w:t>Bochtis</w:t>
      </w:r>
      <w:proofErr w:type="spellEnd"/>
      <w:r w:rsidRPr="008F37D3">
        <w:rPr>
          <w:lang w:val="en-GB"/>
        </w:rPr>
        <w:t>, D. (2018). Machine learning in agriculture: A review. Sensors, 18(8), 2674. https://doi.org/10.3390/s18082674</w:t>
      </w:r>
    </w:p>
    <w:p w14:paraId="3D25C360" w14:textId="77777777" w:rsidR="002A0601" w:rsidRPr="008F37D3" w:rsidRDefault="00ED3E58">
      <w:pPr>
        <w:spacing w:after="120" w:line="360" w:lineRule="auto"/>
        <w:ind w:left="720" w:hanging="720"/>
        <w:jc w:val="both"/>
        <w:rPr>
          <w:lang w:val="en-GB"/>
        </w:rPr>
      </w:pPr>
      <w:r w:rsidRPr="008F37D3">
        <w:rPr>
          <w:lang w:val="en-GB"/>
        </w:rPr>
        <w:t xml:space="preserve">Lorente, D., </w:t>
      </w:r>
      <w:proofErr w:type="spellStart"/>
      <w:r w:rsidRPr="008F37D3">
        <w:rPr>
          <w:lang w:val="en-GB"/>
        </w:rPr>
        <w:t>Aleixos</w:t>
      </w:r>
      <w:proofErr w:type="spellEnd"/>
      <w:r w:rsidRPr="008F37D3">
        <w:rPr>
          <w:lang w:val="en-GB"/>
        </w:rPr>
        <w:t xml:space="preserve">, N., Gómez-Sanchis, J., Cubero, S., García-Navarrete, O. L., &amp; Blasco, J. (2012). Recent advances and applications of hyperspectral imaging for fruit and vegetable quality assessment. Food and Bioprocess Technology, 5(4), 1121–1142. </w:t>
      </w:r>
      <w:commentRangeStart w:id="169"/>
      <w:r w:rsidRPr="008F37D3">
        <w:rPr>
          <w:lang w:val="en-GB"/>
        </w:rPr>
        <w:t>https://doi.org/10.1007/s11947-011-0725-1</w:t>
      </w:r>
      <w:commentRangeEnd w:id="169"/>
      <w:r w:rsidR="00183B31">
        <w:rPr>
          <w:rStyle w:val="CommentReference"/>
        </w:rPr>
        <w:commentReference w:id="169"/>
      </w:r>
    </w:p>
    <w:p w14:paraId="6CC5040D" w14:textId="77777777" w:rsidR="002A0601" w:rsidRPr="008F37D3" w:rsidRDefault="00ED3E58">
      <w:pPr>
        <w:spacing w:after="120" w:line="360" w:lineRule="auto"/>
        <w:ind w:left="720" w:hanging="720"/>
        <w:jc w:val="both"/>
        <w:rPr>
          <w:lang w:val="en-GB"/>
        </w:rPr>
      </w:pPr>
      <w:r w:rsidRPr="008F37D3">
        <w:rPr>
          <w:lang w:val="en-GB"/>
        </w:rPr>
        <w:t>Mahajan, P. V., Caleb, O. J., Singh, Z., Watkins, C. B., &amp; Geyer, M. (2014). Postharvest treatments of fresh produce. Philosophical Transactions of the Royal Society A: Mathematical, Physical and Engineering Sciences, 372(2017), 20130309. https://doi.org/10.1098/rsta.2013.0309</w:t>
      </w:r>
    </w:p>
    <w:p w14:paraId="5D39602E" w14:textId="77777777" w:rsidR="002A0601" w:rsidRPr="008F37D3" w:rsidRDefault="00ED3E58">
      <w:pPr>
        <w:spacing w:after="120" w:line="360" w:lineRule="auto"/>
        <w:ind w:left="720" w:hanging="720"/>
        <w:jc w:val="both"/>
        <w:rPr>
          <w:lang w:val="en-GB"/>
        </w:rPr>
      </w:pPr>
      <w:r w:rsidRPr="008F37D3">
        <w:rPr>
          <w:lang w:val="en-GB"/>
        </w:rPr>
        <w:lastRenderedPageBreak/>
        <w:t xml:space="preserve">Mercier, S., Villeneuve, S., Mondor, M., &amp; Uysal, I. (2017). Time–temperature management along the food cold chain: A review of recent developments. Comprehensive Reviews in Food Science and Food Safety, 16(4), 647–667. </w:t>
      </w:r>
      <w:commentRangeStart w:id="170"/>
      <w:r w:rsidRPr="008F37D3">
        <w:rPr>
          <w:lang w:val="en-GB"/>
        </w:rPr>
        <w:t>https://doi.org/10.1111/1541-4337.12269</w:t>
      </w:r>
      <w:commentRangeEnd w:id="170"/>
      <w:r w:rsidR="00183B31">
        <w:rPr>
          <w:rStyle w:val="CommentReference"/>
        </w:rPr>
        <w:commentReference w:id="170"/>
      </w:r>
    </w:p>
    <w:p w14:paraId="7D2BAF7B" w14:textId="77777777" w:rsidR="002A0601" w:rsidRPr="008F37D3" w:rsidRDefault="00ED3E58">
      <w:pPr>
        <w:spacing w:after="120" w:line="360" w:lineRule="auto"/>
        <w:ind w:left="720" w:hanging="720"/>
        <w:jc w:val="both"/>
        <w:rPr>
          <w:lang w:val="en-GB"/>
        </w:rPr>
      </w:pPr>
      <w:r w:rsidRPr="008F37D3">
        <w:rPr>
          <w:lang w:val="en-GB"/>
        </w:rPr>
        <w:t xml:space="preserve">Misra, N. N., Koubaa, M., </w:t>
      </w:r>
      <w:proofErr w:type="spellStart"/>
      <w:r w:rsidRPr="008F37D3">
        <w:rPr>
          <w:lang w:val="en-GB"/>
        </w:rPr>
        <w:t>Roohinejad</w:t>
      </w:r>
      <w:proofErr w:type="spellEnd"/>
      <w:r w:rsidRPr="008F37D3">
        <w:rPr>
          <w:lang w:val="en-GB"/>
        </w:rPr>
        <w:t xml:space="preserve">, S., Juliano, P., </w:t>
      </w:r>
      <w:proofErr w:type="spellStart"/>
      <w:r w:rsidRPr="008F37D3">
        <w:rPr>
          <w:lang w:val="en-GB"/>
        </w:rPr>
        <w:t>Alpas</w:t>
      </w:r>
      <w:proofErr w:type="spellEnd"/>
      <w:r w:rsidRPr="008F37D3">
        <w:rPr>
          <w:lang w:val="en-GB"/>
        </w:rPr>
        <w:t xml:space="preserve">, H., Inácio, R. S., Saraiva, J. A., &amp; Barba, F. J. (2017). Landmarks in the historical development of twenty-first century food processing technologies. Food Research International, 97, 318–339. </w:t>
      </w:r>
      <w:commentRangeStart w:id="171"/>
      <w:r w:rsidRPr="008F37D3">
        <w:rPr>
          <w:lang w:val="en-GB"/>
        </w:rPr>
        <w:t>https://doi.org/10.1016/j.foodres.2017.05.001</w:t>
      </w:r>
      <w:commentRangeEnd w:id="171"/>
      <w:r w:rsidR="00183B31">
        <w:rPr>
          <w:rStyle w:val="CommentReference"/>
        </w:rPr>
        <w:commentReference w:id="171"/>
      </w:r>
    </w:p>
    <w:p w14:paraId="0FF7FBAC" w14:textId="77777777" w:rsidR="002A0601" w:rsidRPr="008F37D3" w:rsidRDefault="00ED3E58">
      <w:pPr>
        <w:spacing w:after="120" w:line="360" w:lineRule="auto"/>
        <w:ind w:left="720" w:hanging="720"/>
        <w:jc w:val="both"/>
        <w:rPr>
          <w:lang w:val="en-GB"/>
        </w:rPr>
      </w:pPr>
      <w:proofErr w:type="spellStart"/>
      <w:r w:rsidRPr="008F37D3">
        <w:rPr>
          <w:lang w:val="en-GB"/>
        </w:rPr>
        <w:t>Oms-Oliu</w:t>
      </w:r>
      <w:proofErr w:type="spellEnd"/>
      <w:r w:rsidRPr="008F37D3">
        <w:rPr>
          <w:lang w:val="en-GB"/>
        </w:rPr>
        <w:t>, G., Rojas-</w:t>
      </w:r>
      <w:proofErr w:type="spellStart"/>
      <w:r w:rsidRPr="008F37D3">
        <w:rPr>
          <w:lang w:val="en-GB"/>
        </w:rPr>
        <w:t>Graü</w:t>
      </w:r>
      <w:proofErr w:type="spellEnd"/>
      <w:r w:rsidRPr="008F37D3">
        <w:rPr>
          <w:lang w:val="en-GB"/>
        </w:rPr>
        <w:t xml:space="preserve">, M. A., González, L. A., Varela, P., Soliva-Fortuny, R., Hernando, M. I. H., </w:t>
      </w:r>
      <w:proofErr w:type="spellStart"/>
      <w:r w:rsidRPr="008F37D3">
        <w:rPr>
          <w:lang w:val="en-GB"/>
        </w:rPr>
        <w:t>Munuera</w:t>
      </w:r>
      <w:proofErr w:type="spellEnd"/>
      <w:r w:rsidRPr="008F37D3">
        <w:rPr>
          <w:lang w:val="en-GB"/>
        </w:rPr>
        <w:t xml:space="preserve">, I. P., </w:t>
      </w:r>
      <w:proofErr w:type="spellStart"/>
      <w:r w:rsidRPr="008F37D3">
        <w:rPr>
          <w:lang w:val="en-GB"/>
        </w:rPr>
        <w:t>Fiszman</w:t>
      </w:r>
      <w:proofErr w:type="spellEnd"/>
      <w:r w:rsidRPr="008F37D3">
        <w:rPr>
          <w:lang w:val="en-GB"/>
        </w:rPr>
        <w:t xml:space="preserve">, S., &amp; Martín-Belloso, O. (2010). Recent approaches using chemical treatments to preserve quality of fresh-cut fruit: A review. Postharvest Biology and Technology, 57(3), 139–148. </w:t>
      </w:r>
      <w:commentRangeStart w:id="172"/>
      <w:r w:rsidRPr="008F37D3">
        <w:rPr>
          <w:lang w:val="en-GB"/>
        </w:rPr>
        <w:t>https://doi.org/10.1016/j.postharvbio.2010.04.001</w:t>
      </w:r>
      <w:commentRangeEnd w:id="172"/>
      <w:r w:rsidR="00183B31">
        <w:rPr>
          <w:rStyle w:val="CommentReference"/>
        </w:rPr>
        <w:commentReference w:id="172"/>
      </w:r>
    </w:p>
    <w:p w14:paraId="377E9DDF" w14:textId="77777777" w:rsidR="002A0601" w:rsidRPr="008F37D3" w:rsidRDefault="00ED3E58">
      <w:pPr>
        <w:spacing w:after="120" w:line="360" w:lineRule="auto"/>
        <w:ind w:left="720" w:hanging="720"/>
        <w:jc w:val="both"/>
        <w:rPr>
          <w:lang w:val="en-GB"/>
        </w:rPr>
      </w:pPr>
      <w:r w:rsidRPr="008F37D3">
        <w:rPr>
          <w:lang w:val="en-GB"/>
        </w:rPr>
        <w:t xml:space="preserve">Pombo, M. A., Dotto, M. C., Martínez, G. A., &amp; Civello, P. M. (2009). UV-C irradiation delays strawberry fruit softening and modifies the expression of genes involved in cell wall degradation. Postharvest Biology and Technology, 51(2), 141–148. </w:t>
      </w:r>
      <w:commentRangeStart w:id="173"/>
      <w:r w:rsidRPr="008F37D3">
        <w:rPr>
          <w:lang w:val="en-GB"/>
        </w:rPr>
        <w:t>https://doi.org/10.1016/j.postharvbio.2008.07.007</w:t>
      </w:r>
      <w:commentRangeEnd w:id="173"/>
      <w:r w:rsidR="00183B31">
        <w:rPr>
          <w:rStyle w:val="CommentReference"/>
        </w:rPr>
        <w:commentReference w:id="173"/>
      </w:r>
    </w:p>
    <w:p w14:paraId="0F7B4A2F" w14:textId="77777777" w:rsidR="002A0601" w:rsidRPr="008F37D3" w:rsidRDefault="00ED3E58">
      <w:pPr>
        <w:spacing w:after="120" w:line="360" w:lineRule="auto"/>
        <w:ind w:left="720" w:hanging="720"/>
        <w:jc w:val="both"/>
        <w:rPr>
          <w:lang w:val="en-GB"/>
        </w:rPr>
      </w:pPr>
      <w:proofErr w:type="spellStart"/>
      <w:r w:rsidRPr="008F37D3">
        <w:rPr>
          <w:lang w:val="en-GB"/>
        </w:rPr>
        <w:t>Rendueles</w:t>
      </w:r>
      <w:proofErr w:type="spellEnd"/>
      <w:r w:rsidRPr="008F37D3">
        <w:rPr>
          <w:lang w:val="en-GB"/>
        </w:rPr>
        <w:t xml:space="preserve">, E., Omer, M. K., </w:t>
      </w:r>
      <w:proofErr w:type="spellStart"/>
      <w:r w:rsidRPr="008F37D3">
        <w:rPr>
          <w:lang w:val="en-GB"/>
        </w:rPr>
        <w:t>Alvseike</w:t>
      </w:r>
      <w:proofErr w:type="spellEnd"/>
      <w:r w:rsidRPr="008F37D3">
        <w:rPr>
          <w:lang w:val="en-GB"/>
        </w:rPr>
        <w:t xml:space="preserve">, O., Alonso-Calleja, C., Capita, R., &amp; Prieto, M. (2011). Microbiological food safety assessment of high hydrostatic pressure processing: A review. LWT – Food Science and Technology, 44(5), 1251–1260. </w:t>
      </w:r>
      <w:commentRangeStart w:id="174"/>
      <w:r w:rsidRPr="008F37D3">
        <w:rPr>
          <w:lang w:val="en-GB"/>
        </w:rPr>
        <w:t>https://doi.org/10.1016/j.lwt.2010.11.001</w:t>
      </w:r>
      <w:commentRangeEnd w:id="174"/>
      <w:r w:rsidR="00183B31">
        <w:rPr>
          <w:rStyle w:val="CommentReference"/>
        </w:rPr>
        <w:commentReference w:id="174"/>
      </w:r>
    </w:p>
    <w:p w14:paraId="07D99C35" w14:textId="77777777" w:rsidR="002A0601" w:rsidRPr="008F37D3" w:rsidRDefault="00ED3E58">
      <w:pPr>
        <w:spacing w:after="120" w:line="360" w:lineRule="auto"/>
        <w:ind w:left="720" w:hanging="720"/>
        <w:jc w:val="both"/>
        <w:rPr>
          <w:lang w:val="en-GB"/>
        </w:rPr>
      </w:pPr>
      <w:r w:rsidRPr="008F37D3">
        <w:rPr>
          <w:lang w:val="en-GB"/>
        </w:rPr>
        <w:t xml:space="preserve">Ruiz-Garcia, L., &amp; </w:t>
      </w:r>
      <w:proofErr w:type="spellStart"/>
      <w:r w:rsidRPr="008F37D3">
        <w:rPr>
          <w:lang w:val="en-GB"/>
        </w:rPr>
        <w:t>Lunadei</w:t>
      </w:r>
      <w:proofErr w:type="spellEnd"/>
      <w:r w:rsidRPr="008F37D3">
        <w:rPr>
          <w:lang w:val="en-GB"/>
        </w:rPr>
        <w:t xml:space="preserve">, L. (2011). The role of RFID in agriculture: Applications, limitations and challenges. Computers and Electronics in Agriculture, 79(1), 42–50. </w:t>
      </w:r>
      <w:commentRangeStart w:id="175"/>
      <w:r w:rsidRPr="008F37D3">
        <w:rPr>
          <w:lang w:val="en-GB"/>
        </w:rPr>
        <w:t>https://doi.org/10.1016/j.compag.2011.08.010</w:t>
      </w:r>
      <w:commentRangeEnd w:id="175"/>
      <w:r w:rsidR="00183B31">
        <w:rPr>
          <w:rStyle w:val="CommentReference"/>
        </w:rPr>
        <w:commentReference w:id="175"/>
      </w:r>
    </w:p>
    <w:p w14:paraId="424A5A65" w14:textId="77777777" w:rsidR="002A0601" w:rsidRPr="008F37D3" w:rsidRDefault="00ED3E58">
      <w:pPr>
        <w:spacing w:after="120" w:line="360" w:lineRule="auto"/>
        <w:ind w:left="720" w:hanging="720"/>
        <w:jc w:val="both"/>
        <w:rPr>
          <w:lang w:val="en-GB"/>
        </w:rPr>
      </w:pPr>
      <w:r w:rsidRPr="008F37D3">
        <w:rPr>
          <w:lang w:val="en-GB"/>
        </w:rPr>
        <w:t xml:space="preserve">Sandhya. (2010). Modified atmosphere packaging of fresh produce: Current status and future needs. LWT – Food Science and Technology, 43(3), 381–392. </w:t>
      </w:r>
      <w:commentRangeStart w:id="176"/>
      <w:r w:rsidRPr="008F37D3">
        <w:rPr>
          <w:lang w:val="en-GB"/>
        </w:rPr>
        <w:t>https://doi.org/10.1016/j.lwt.2009.05.018</w:t>
      </w:r>
      <w:commentRangeEnd w:id="176"/>
      <w:r w:rsidR="00183B31">
        <w:rPr>
          <w:rStyle w:val="CommentReference"/>
        </w:rPr>
        <w:commentReference w:id="176"/>
      </w:r>
    </w:p>
    <w:p w14:paraId="397AB6EC" w14:textId="77777777" w:rsidR="002A0601" w:rsidRPr="008F37D3" w:rsidRDefault="00ED3E58">
      <w:pPr>
        <w:spacing w:after="120" w:line="360" w:lineRule="auto"/>
        <w:ind w:left="720" w:hanging="720"/>
        <w:jc w:val="both"/>
        <w:rPr>
          <w:lang w:val="en-GB"/>
        </w:rPr>
      </w:pPr>
      <w:r w:rsidRPr="008F37D3">
        <w:rPr>
          <w:lang w:val="en-GB"/>
        </w:rPr>
        <w:t xml:space="preserve">Sharma, R. R., Singh, D., &amp; Singh, R. (2009). Biological control of postharvest diseases of fruits and vegetables by microbial antagonists: A review. Biological Control, 50(3), 205–221. </w:t>
      </w:r>
      <w:commentRangeStart w:id="177"/>
      <w:r w:rsidRPr="008F37D3">
        <w:rPr>
          <w:lang w:val="en-GB"/>
        </w:rPr>
        <w:t>https://doi.org/10.1016/j.biocontrol.2009.05.001</w:t>
      </w:r>
      <w:commentRangeEnd w:id="177"/>
      <w:r w:rsidR="00183B31">
        <w:rPr>
          <w:rStyle w:val="CommentReference"/>
        </w:rPr>
        <w:commentReference w:id="177"/>
      </w:r>
    </w:p>
    <w:p w14:paraId="33C85A98" w14:textId="77777777" w:rsidR="002A0601" w:rsidRPr="008F37D3" w:rsidRDefault="00ED3E58">
      <w:pPr>
        <w:spacing w:after="120" w:line="360" w:lineRule="auto"/>
        <w:ind w:left="720" w:hanging="720"/>
        <w:jc w:val="both"/>
        <w:rPr>
          <w:lang w:val="en-GB"/>
        </w:rPr>
      </w:pPr>
      <w:r w:rsidRPr="008F37D3">
        <w:rPr>
          <w:lang w:val="en-GB"/>
        </w:rPr>
        <w:lastRenderedPageBreak/>
        <w:t xml:space="preserve">Silvestre, C., Duraccio, D., &amp; Cimmino, S. (2011). Food packaging based on polymer nanomaterials. Progress in Polymer Science, 36(12), 1766–1782. </w:t>
      </w:r>
      <w:commentRangeStart w:id="178"/>
      <w:r w:rsidRPr="008F37D3">
        <w:rPr>
          <w:lang w:val="en-GB"/>
        </w:rPr>
        <w:t>https://doi.org/10.1016/j.progpolymsci.2011.02.003</w:t>
      </w:r>
      <w:commentRangeEnd w:id="178"/>
      <w:r w:rsidR="00183B31">
        <w:rPr>
          <w:rStyle w:val="CommentReference"/>
        </w:rPr>
        <w:commentReference w:id="178"/>
      </w:r>
    </w:p>
    <w:p w14:paraId="28485169" w14:textId="77777777" w:rsidR="002A0601" w:rsidRPr="008F37D3" w:rsidRDefault="00ED3E58">
      <w:pPr>
        <w:spacing w:after="120" w:line="360" w:lineRule="auto"/>
        <w:ind w:left="720" w:hanging="720"/>
        <w:jc w:val="both"/>
        <w:rPr>
          <w:lang w:val="en-GB"/>
        </w:rPr>
      </w:pPr>
      <w:r w:rsidRPr="008F37D3">
        <w:rPr>
          <w:lang w:val="en-GB"/>
        </w:rPr>
        <w:t xml:space="preserve">Sivakumar, D., &amp; Bautista-Baños, S. (2014). A review on the use of essential oils for postharvest decay control and maintenance of fruit quality during storage. Crop Protection, 64, 27–37. </w:t>
      </w:r>
      <w:commentRangeStart w:id="179"/>
      <w:r w:rsidRPr="008F37D3">
        <w:rPr>
          <w:lang w:val="en-GB"/>
        </w:rPr>
        <w:t>https://doi.org/10.1016/j.cropro.2014.05.012</w:t>
      </w:r>
      <w:commentRangeEnd w:id="179"/>
      <w:r w:rsidR="00183B31">
        <w:rPr>
          <w:rStyle w:val="CommentReference"/>
        </w:rPr>
        <w:commentReference w:id="179"/>
      </w:r>
    </w:p>
    <w:p w14:paraId="7967FAF7" w14:textId="77777777" w:rsidR="002A0601" w:rsidRPr="008F37D3" w:rsidRDefault="00ED3E58">
      <w:pPr>
        <w:spacing w:after="120" w:line="360" w:lineRule="auto"/>
        <w:ind w:left="720" w:hanging="720"/>
        <w:jc w:val="both"/>
        <w:rPr>
          <w:lang w:val="en-GB"/>
        </w:rPr>
      </w:pPr>
      <w:r w:rsidRPr="008F37D3">
        <w:rPr>
          <w:lang w:val="en-GB"/>
        </w:rPr>
        <w:t xml:space="preserve">Tiwari, B. K., Brennan, C. S., Curran, T., Gallagher, E., Cullen, P. J., &amp; O'Donnell, C. P. (2010). Application of ozone in grain processing. Journal of Cereal Science, 51(3), 248–255. </w:t>
      </w:r>
      <w:commentRangeStart w:id="180"/>
      <w:r w:rsidRPr="008F37D3">
        <w:rPr>
          <w:lang w:val="en-GB"/>
        </w:rPr>
        <w:t>https://doi.org/10.1016/j.jcs.2010.01.007</w:t>
      </w:r>
      <w:commentRangeEnd w:id="180"/>
      <w:r w:rsidR="00183B31">
        <w:rPr>
          <w:rStyle w:val="CommentReference"/>
        </w:rPr>
        <w:commentReference w:id="180"/>
      </w:r>
    </w:p>
    <w:p w14:paraId="2513BD0F" w14:textId="77777777" w:rsidR="002A0601" w:rsidRPr="008F37D3" w:rsidRDefault="00ED3E58">
      <w:pPr>
        <w:spacing w:after="120" w:line="360" w:lineRule="auto"/>
        <w:ind w:left="720" w:hanging="720"/>
        <w:jc w:val="both"/>
        <w:rPr>
          <w:lang w:val="en-GB"/>
        </w:rPr>
      </w:pPr>
      <w:r w:rsidRPr="008F37D3">
        <w:rPr>
          <w:lang w:val="en-GB"/>
        </w:rPr>
        <w:t xml:space="preserve">Tzortzakis, N., Borland, A., Singleton, I., &amp; Barnes, J. (2007). Impact of atmospheric ozone-enrichment on quality-related attributes of tomato fruit. Postharvest Biology and Technology, 45(3), 317–325. </w:t>
      </w:r>
      <w:commentRangeStart w:id="181"/>
      <w:r w:rsidRPr="008F37D3">
        <w:rPr>
          <w:lang w:val="en-GB"/>
        </w:rPr>
        <w:t>https://doi.org/10.1016/j.postharvbio.2007.03.004</w:t>
      </w:r>
      <w:commentRangeEnd w:id="181"/>
      <w:r w:rsidR="00183B31">
        <w:rPr>
          <w:rStyle w:val="CommentReference"/>
        </w:rPr>
        <w:commentReference w:id="181"/>
      </w:r>
    </w:p>
    <w:p w14:paraId="0148AE83" w14:textId="77777777" w:rsidR="002A0601" w:rsidRPr="008F37D3" w:rsidRDefault="00ED3E58">
      <w:pPr>
        <w:spacing w:after="120" w:line="360" w:lineRule="auto"/>
        <w:ind w:left="720" w:hanging="720"/>
        <w:jc w:val="both"/>
        <w:rPr>
          <w:lang w:val="en-GB"/>
        </w:rPr>
      </w:pPr>
      <w:r w:rsidRPr="008F37D3">
        <w:rPr>
          <w:lang w:val="en-GB"/>
        </w:rPr>
        <w:t xml:space="preserve">Tzounis, A., </w:t>
      </w:r>
      <w:proofErr w:type="spellStart"/>
      <w:r w:rsidRPr="008F37D3">
        <w:rPr>
          <w:lang w:val="en-GB"/>
        </w:rPr>
        <w:t>Katsoulas</w:t>
      </w:r>
      <w:proofErr w:type="spellEnd"/>
      <w:r w:rsidRPr="008F37D3">
        <w:rPr>
          <w:lang w:val="en-GB"/>
        </w:rPr>
        <w:t xml:space="preserve">, N., </w:t>
      </w:r>
      <w:proofErr w:type="spellStart"/>
      <w:r w:rsidRPr="008F37D3">
        <w:rPr>
          <w:lang w:val="en-GB"/>
        </w:rPr>
        <w:t>Bartzanas</w:t>
      </w:r>
      <w:proofErr w:type="spellEnd"/>
      <w:r w:rsidRPr="008F37D3">
        <w:rPr>
          <w:lang w:val="en-GB"/>
        </w:rPr>
        <w:t xml:space="preserve">, T., &amp; </w:t>
      </w:r>
      <w:proofErr w:type="spellStart"/>
      <w:r w:rsidRPr="008F37D3">
        <w:rPr>
          <w:lang w:val="en-GB"/>
        </w:rPr>
        <w:t>Kittas</w:t>
      </w:r>
      <w:proofErr w:type="spellEnd"/>
      <w:r w:rsidRPr="008F37D3">
        <w:rPr>
          <w:lang w:val="en-GB"/>
        </w:rPr>
        <w:t xml:space="preserve">, C. (2017). Internet of Things in agriculture, recent advances and future challenges. Biosystems Engineering, 164, 31–48. </w:t>
      </w:r>
      <w:commentRangeStart w:id="182"/>
      <w:r w:rsidRPr="008F37D3">
        <w:rPr>
          <w:lang w:val="en-GB"/>
        </w:rPr>
        <w:t>https://doi.org/10.1016/j.biosystemseng.2017.09.007</w:t>
      </w:r>
      <w:commentRangeEnd w:id="182"/>
      <w:r w:rsidR="00183B31">
        <w:rPr>
          <w:rStyle w:val="CommentReference"/>
        </w:rPr>
        <w:commentReference w:id="182"/>
      </w:r>
    </w:p>
    <w:p w14:paraId="5C5B84B2" w14:textId="77777777" w:rsidR="002A0601" w:rsidRPr="008F37D3" w:rsidRDefault="00ED3E58">
      <w:pPr>
        <w:spacing w:after="120" w:line="360" w:lineRule="auto"/>
        <w:ind w:left="720" w:hanging="720"/>
        <w:jc w:val="both"/>
        <w:rPr>
          <w:lang w:val="en-GB"/>
        </w:rPr>
      </w:pPr>
      <w:r w:rsidRPr="008F37D3">
        <w:rPr>
          <w:lang w:val="en-GB"/>
        </w:rPr>
        <w:t xml:space="preserve">UNEP. (2021). UNEP Food Waste Index Report 2021. United Nations Environment Programme. </w:t>
      </w:r>
      <w:hyperlink r:id="rId12" w:history="1">
        <w:r w:rsidR="00DD5A24" w:rsidRPr="00330504">
          <w:rPr>
            <w:rStyle w:val="Hyperlink"/>
            <w:lang w:val="en-GB"/>
          </w:rPr>
          <w:t>https://www.unep.org/resources/report/unep-food-waste-index-report-2021</w:t>
        </w:r>
      </w:hyperlink>
      <w:r w:rsidR="00DD5A24">
        <w:rPr>
          <w:lang w:val="en-GB"/>
        </w:rPr>
        <w:t xml:space="preserve"> </w:t>
      </w:r>
    </w:p>
    <w:p w14:paraId="3DFE87D8" w14:textId="77777777" w:rsidR="002A0601" w:rsidRPr="008F37D3" w:rsidRDefault="00ED3E58">
      <w:pPr>
        <w:spacing w:after="120" w:line="360" w:lineRule="auto"/>
        <w:ind w:left="720" w:hanging="720"/>
        <w:jc w:val="both"/>
        <w:rPr>
          <w:lang w:val="en-GB"/>
        </w:rPr>
      </w:pPr>
      <w:r w:rsidRPr="008F37D3">
        <w:rPr>
          <w:lang w:val="en-GB"/>
        </w:rPr>
        <w:t xml:space="preserve">Watkins, C. B. (2006). The use of 1-methylcyclopropene (1-MCP) on fruits and vegetables. Biotechnology Advances, 24(4), 389–409. </w:t>
      </w:r>
      <w:commentRangeStart w:id="183"/>
      <w:r w:rsidRPr="008F37D3">
        <w:rPr>
          <w:lang w:val="en-GB"/>
        </w:rPr>
        <w:t>https://doi.org/10.1016/j.biotechadv.2006.01.005</w:t>
      </w:r>
      <w:commentRangeEnd w:id="183"/>
      <w:r w:rsidR="00183B31">
        <w:rPr>
          <w:rStyle w:val="CommentReference"/>
        </w:rPr>
        <w:commentReference w:id="183"/>
      </w:r>
    </w:p>
    <w:p w14:paraId="68AE2CFA" w14:textId="77777777" w:rsidR="002A0601" w:rsidRPr="008F37D3" w:rsidRDefault="00ED3E58">
      <w:pPr>
        <w:spacing w:after="120" w:line="360" w:lineRule="auto"/>
        <w:ind w:left="720" w:hanging="720"/>
        <w:jc w:val="both"/>
        <w:rPr>
          <w:lang w:val="en-GB"/>
        </w:rPr>
      </w:pPr>
      <w:r w:rsidRPr="008F37D3">
        <w:rPr>
          <w:lang w:val="en-GB"/>
        </w:rPr>
        <w:t xml:space="preserve">Yildirim, S., Röcker, B., Pettersen, M. K., Nilsen-Nygaard, J., Ayhan, Z., </w:t>
      </w:r>
      <w:proofErr w:type="spellStart"/>
      <w:r w:rsidRPr="008F37D3">
        <w:rPr>
          <w:lang w:val="en-GB"/>
        </w:rPr>
        <w:t>Rutkaite</w:t>
      </w:r>
      <w:proofErr w:type="spellEnd"/>
      <w:r w:rsidRPr="008F37D3">
        <w:rPr>
          <w:lang w:val="en-GB"/>
        </w:rPr>
        <w:t xml:space="preserve">, R., </w:t>
      </w:r>
      <w:proofErr w:type="spellStart"/>
      <w:r w:rsidRPr="008F37D3">
        <w:rPr>
          <w:lang w:val="en-GB"/>
        </w:rPr>
        <w:t>Radusin</w:t>
      </w:r>
      <w:proofErr w:type="spellEnd"/>
      <w:r w:rsidRPr="008F37D3">
        <w:rPr>
          <w:lang w:val="en-GB"/>
        </w:rPr>
        <w:t xml:space="preserve">, T., Buffa, M., Burfoot, D., &amp; Coma, V. (2018). Active packaging applications for food. Comprehensive Reviews in Food Science and Food Safety, 17(1), 165–199. </w:t>
      </w:r>
      <w:commentRangeStart w:id="184"/>
      <w:r w:rsidR="00900B1F">
        <w:fldChar w:fldCharType="begin"/>
      </w:r>
      <w:r w:rsidR="00900B1F">
        <w:instrText xml:space="preserve"> HYPERLINK "https://doi.org/10.1111/1541-4337.12322" </w:instrText>
      </w:r>
      <w:r w:rsidR="00900B1F">
        <w:fldChar w:fldCharType="separate"/>
      </w:r>
      <w:r w:rsidR="00DD5A24" w:rsidRPr="00330504">
        <w:rPr>
          <w:rStyle w:val="Hyperlink"/>
          <w:lang w:val="en-GB"/>
        </w:rPr>
        <w:t>https://doi.org/10.1111/1541-4337.12322</w:t>
      </w:r>
      <w:r w:rsidR="00900B1F">
        <w:rPr>
          <w:rStyle w:val="Hyperlink"/>
          <w:lang w:val="en-GB"/>
        </w:rPr>
        <w:fldChar w:fldCharType="end"/>
      </w:r>
      <w:commentRangeEnd w:id="184"/>
      <w:r w:rsidR="00183B31">
        <w:rPr>
          <w:rStyle w:val="CommentReference"/>
        </w:rPr>
        <w:commentReference w:id="184"/>
      </w:r>
      <w:r w:rsidR="00DD5A24">
        <w:rPr>
          <w:lang w:val="en-GB"/>
        </w:rPr>
        <w:t xml:space="preserve"> </w:t>
      </w:r>
    </w:p>
    <w:sectPr w:rsidR="002A0601" w:rsidRPr="008F37D3" w:rsidSect="002A06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6-04-20T22:24:00Z" w:initials="a">
    <w:p w14:paraId="66B92A94" w14:textId="00287BB9" w:rsidR="006330FD" w:rsidRDefault="006330FD">
      <w:pPr>
        <w:pStyle w:val="CommentText"/>
      </w:pPr>
      <w:r>
        <w:rPr>
          <w:rStyle w:val="CommentReference"/>
        </w:rPr>
        <w:annotationRef/>
      </w:r>
      <w:r w:rsidR="004F7B0A">
        <w:rPr>
          <w:rStyle w:val="rynqvb"/>
          <w:lang w:val="en"/>
        </w:rPr>
        <w:t>Starting</w:t>
      </w:r>
      <w:r w:rsidR="004F7B0A">
        <w:rPr>
          <w:rStyle w:val="rynqvb"/>
          <w:lang w:val="en"/>
        </w:rPr>
        <w:t xml:space="preserve"> distance of paragraph</w:t>
      </w:r>
    </w:p>
  </w:comment>
  <w:comment w:id="2" w:author="ahmed" w:date="2026-04-20T17:50:00Z" w:initials="a">
    <w:p w14:paraId="4E68D1EF" w14:textId="0D5110AD" w:rsidR="00B2613D" w:rsidRDefault="00B2613D">
      <w:pPr>
        <w:pStyle w:val="CommentText"/>
      </w:pPr>
      <w:r>
        <w:rPr>
          <w:rStyle w:val="CommentReference"/>
        </w:rPr>
        <w:annotationRef/>
      </w:r>
      <w:r>
        <w:t>Bold</w:t>
      </w:r>
    </w:p>
  </w:comment>
  <w:comment w:id="4" w:author="ahmed" w:date="2026-04-20T17:51:00Z" w:initials="a">
    <w:p w14:paraId="1771FD7C" w14:textId="6D235719" w:rsidR="00B2613D" w:rsidRDefault="00B2613D">
      <w:pPr>
        <w:pStyle w:val="CommentText"/>
      </w:pPr>
      <w:r>
        <w:rPr>
          <w:rStyle w:val="CommentReference"/>
        </w:rPr>
        <w:annotationRef/>
      </w:r>
      <w:r>
        <w:t>Italic</w:t>
      </w:r>
    </w:p>
  </w:comment>
  <w:comment w:id="3" w:author="ahmed" w:date="2026-04-20T17:51:00Z" w:initials="a">
    <w:p w14:paraId="79F97364" w14:textId="58CEFAA2" w:rsidR="00B2613D" w:rsidRDefault="00B2613D">
      <w:pPr>
        <w:pStyle w:val="CommentText"/>
      </w:pPr>
      <w:r>
        <w:rPr>
          <w:rStyle w:val="CommentReference"/>
        </w:rPr>
        <w:annotationRef/>
      </w:r>
      <w:r>
        <w:t>Bold</w:t>
      </w:r>
    </w:p>
  </w:comment>
  <w:comment w:id="6" w:author="ahmed" w:date="2026-04-20T17:51:00Z" w:initials="a">
    <w:p w14:paraId="68C781A4" w14:textId="579050D4" w:rsidR="00B2613D" w:rsidRDefault="00B2613D">
      <w:pPr>
        <w:pStyle w:val="CommentText"/>
      </w:pPr>
      <w:r>
        <w:rPr>
          <w:rStyle w:val="CommentReference"/>
        </w:rPr>
        <w:annotationRef/>
      </w:r>
      <w:r>
        <w:t>Italic</w:t>
      </w:r>
    </w:p>
  </w:comment>
  <w:comment w:id="5" w:author="ahmed" w:date="2026-04-20T17:51:00Z" w:initials="a">
    <w:p w14:paraId="7FD15E41" w14:textId="5EE74178" w:rsidR="00B2613D" w:rsidRDefault="00B2613D">
      <w:pPr>
        <w:pStyle w:val="CommentText"/>
      </w:pPr>
      <w:r>
        <w:rPr>
          <w:rStyle w:val="CommentReference"/>
        </w:rPr>
        <w:annotationRef/>
      </w:r>
      <w:r>
        <w:t>Bold</w:t>
      </w:r>
    </w:p>
  </w:comment>
  <w:comment w:id="7" w:author="ahmed" w:date="2026-04-20T17:52:00Z" w:initials="a">
    <w:p w14:paraId="5679C8EE" w14:textId="359377C6" w:rsidR="00B2613D" w:rsidRDefault="00B2613D">
      <w:pPr>
        <w:pStyle w:val="CommentText"/>
      </w:pPr>
      <w:r>
        <w:rPr>
          <w:rStyle w:val="CommentReference"/>
        </w:rPr>
        <w:annotationRef/>
      </w:r>
      <w:r>
        <w:t>Bold</w:t>
      </w:r>
    </w:p>
  </w:comment>
  <w:comment w:id="9" w:author="ahmed" w:date="2026-04-20T17:52:00Z" w:initials="a">
    <w:p w14:paraId="27C62142" w14:textId="7044AE4C" w:rsidR="00B2613D" w:rsidRDefault="00B2613D">
      <w:pPr>
        <w:pStyle w:val="CommentText"/>
      </w:pPr>
      <w:r>
        <w:rPr>
          <w:rStyle w:val="CommentReference"/>
        </w:rPr>
        <w:annotationRef/>
      </w:r>
      <w:r>
        <w:t>Italic</w:t>
      </w:r>
    </w:p>
  </w:comment>
  <w:comment w:id="8" w:author="ahmed" w:date="2026-04-20T17:52:00Z" w:initials="a">
    <w:p w14:paraId="7566C470" w14:textId="27489D45" w:rsidR="00B2613D" w:rsidRDefault="00B2613D">
      <w:pPr>
        <w:pStyle w:val="CommentText"/>
      </w:pPr>
      <w:r>
        <w:rPr>
          <w:rStyle w:val="CommentReference"/>
        </w:rPr>
        <w:annotationRef/>
      </w:r>
      <w:r>
        <w:t>Bold</w:t>
      </w:r>
    </w:p>
  </w:comment>
  <w:comment w:id="10" w:author="ahmed" w:date="2026-04-20T17:53:00Z" w:initials="a">
    <w:p w14:paraId="15DF86EF" w14:textId="5BD5849C" w:rsidR="00B2613D" w:rsidRDefault="00B2613D">
      <w:pPr>
        <w:pStyle w:val="CommentText"/>
      </w:pPr>
      <w:r>
        <w:rPr>
          <w:rStyle w:val="CommentReference"/>
        </w:rPr>
        <w:annotationRef/>
      </w:r>
      <w:r>
        <w:t>Bold</w:t>
      </w:r>
    </w:p>
  </w:comment>
  <w:comment w:id="11" w:author="ahmed" w:date="2026-04-20T17:53:00Z" w:initials="a">
    <w:p w14:paraId="294D3375" w14:textId="6FA91583" w:rsidR="00B2613D" w:rsidRDefault="00B2613D">
      <w:pPr>
        <w:pStyle w:val="CommentText"/>
      </w:pPr>
      <w:r>
        <w:rPr>
          <w:rStyle w:val="CommentReference"/>
        </w:rPr>
        <w:annotationRef/>
      </w:r>
      <w:r>
        <w:t>Bold</w:t>
      </w:r>
    </w:p>
  </w:comment>
  <w:comment w:id="12" w:author="ahmed" w:date="2026-04-20T17:54:00Z" w:initials="a">
    <w:p w14:paraId="44AB298B" w14:textId="526537D9" w:rsidR="00B2613D" w:rsidRDefault="00B2613D">
      <w:pPr>
        <w:pStyle w:val="CommentText"/>
      </w:pPr>
      <w:r>
        <w:rPr>
          <w:rStyle w:val="CommentReference"/>
        </w:rPr>
        <w:annotationRef/>
      </w:r>
      <w:r>
        <w:t>?????</w:t>
      </w:r>
    </w:p>
  </w:comment>
  <w:comment w:id="13" w:author="ahmed" w:date="2026-04-20T17:54:00Z" w:initials="a">
    <w:p w14:paraId="101C612B" w14:textId="41204DFD" w:rsidR="00B2613D" w:rsidRDefault="00B2613D">
      <w:pPr>
        <w:pStyle w:val="CommentText"/>
      </w:pPr>
      <w:r>
        <w:rPr>
          <w:rStyle w:val="CommentReference"/>
        </w:rPr>
        <w:annotationRef/>
      </w:r>
      <w:r>
        <w:t>Bold</w:t>
      </w:r>
    </w:p>
  </w:comment>
  <w:comment w:id="14" w:author="ahmed" w:date="2026-04-20T17:55:00Z" w:initials="a">
    <w:p w14:paraId="0F5CB03D" w14:textId="01EA99A4" w:rsidR="00B2613D" w:rsidRDefault="00B2613D">
      <w:pPr>
        <w:pStyle w:val="CommentText"/>
      </w:pPr>
      <w:r>
        <w:rPr>
          <w:rStyle w:val="CommentReference"/>
        </w:rPr>
        <w:annotationRef/>
      </w:r>
      <w:r>
        <w:t>Bold</w:t>
      </w:r>
    </w:p>
  </w:comment>
  <w:comment w:id="15" w:author="ahmed" w:date="2026-04-20T17:55:00Z" w:initials="a">
    <w:p w14:paraId="2014E892" w14:textId="533431CC" w:rsidR="00B2613D" w:rsidRDefault="00B2613D">
      <w:pPr>
        <w:pStyle w:val="CommentText"/>
      </w:pPr>
      <w:r>
        <w:rPr>
          <w:rStyle w:val="CommentReference"/>
        </w:rPr>
        <w:annotationRef/>
      </w:r>
      <w:r>
        <w:t>Bold</w:t>
      </w:r>
    </w:p>
  </w:comment>
  <w:comment w:id="17" w:author="ahmed" w:date="2026-04-20T17:55:00Z" w:initials="a">
    <w:p w14:paraId="5668519E" w14:textId="2FFC841B" w:rsidR="00B2613D" w:rsidRDefault="00B2613D">
      <w:pPr>
        <w:pStyle w:val="CommentText"/>
      </w:pPr>
      <w:r>
        <w:rPr>
          <w:rStyle w:val="CommentReference"/>
        </w:rPr>
        <w:annotationRef/>
      </w:r>
      <w:r>
        <w:t>Italic</w:t>
      </w:r>
    </w:p>
  </w:comment>
  <w:comment w:id="16" w:author="ahmed" w:date="2026-04-20T17:55:00Z" w:initials="a">
    <w:p w14:paraId="14674B29" w14:textId="790F2E18" w:rsidR="00B2613D" w:rsidRDefault="00B2613D">
      <w:pPr>
        <w:pStyle w:val="CommentText"/>
      </w:pPr>
      <w:r>
        <w:rPr>
          <w:rStyle w:val="CommentReference"/>
        </w:rPr>
        <w:annotationRef/>
      </w:r>
      <w:r>
        <w:t>Bold</w:t>
      </w:r>
    </w:p>
  </w:comment>
  <w:comment w:id="19" w:author="ahmed" w:date="2026-04-20T17:56:00Z" w:initials="a">
    <w:p w14:paraId="0AA8662B" w14:textId="15340A4F" w:rsidR="00B2613D" w:rsidRDefault="00B2613D">
      <w:pPr>
        <w:pStyle w:val="CommentText"/>
      </w:pPr>
      <w:r>
        <w:rPr>
          <w:rStyle w:val="CommentReference"/>
        </w:rPr>
        <w:annotationRef/>
      </w:r>
      <w:r>
        <w:t>Italic</w:t>
      </w:r>
    </w:p>
  </w:comment>
  <w:comment w:id="18" w:author="ahmed" w:date="2026-04-20T17:56:00Z" w:initials="a">
    <w:p w14:paraId="0564D78E" w14:textId="17D96946" w:rsidR="00B2613D" w:rsidRDefault="00B2613D">
      <w:pPr>
        <w:pStyle w:val="CommentText"/>
      </w:pPr>
      <w:r>
        <w:rPr>
          <w:rStyle w:val="CommentReference"/>
        </w:rPr>
        <w:annotationRef/>
      </w:r>
      <w:r>
        <w:t>Bold</w:t>
      </w:r>
    </w:p>
  </w:comment>
  <w:comment w:id="21" w:author="ahmed" w:date="2026-04-20T18:00:00Z" w:initials="a">
    <w:p w14:paraId="0D2275DF" w14:textId="6163F1D1" w:rsidR="008144AE" w:rsidRDefault="008144AE">
      <w:pPr>
        <w:pStyle w:val="CommentText"/>
      </w:pPr>
      <w:r>
        <w:rPr>
          <w:rStyle w:val="CommentReference"/>
        </w:rPr>
        <w:annotationRef/>
      </w:r>
      <w:r>
        <w:t>Italic</w:t>
      </w:r>
    </w:p>
  </w:comment>
  <w:comment w:id="20" w:author="ahmed" w:date="2026-04-20T18:00:00Z" w:initials="a">
    <w:p w14:paraId="14C9EDAA" w14:textId="5AB92DE4" w:rsidR="008144AE" w:rsidRDefault="008144AE">
      <w:pPr>
        <w:pStyle w:val="CommentText"/>
      </w:pPr>
      <w:r>
        <w:rPr>
          <w:rStyle w:val="CommentReference"/>
        </w:rPr>
        <w:annotationRef/>
      </w:r>
      <w:r>
        <w:t>Bold</w:t>
      </w:r>
    </w:p>
  </w:comment>
  <w:comment w:id="22" w:author="ahmed" w:date="2026-04-20T18:00:00Z" w:initials="a">
    <w:p w14:paraId="5240D96F" w14:textId="3136AB18" w:rsidR="008144AE" w:rsidRDefault="008144AE">
      <w:pPr>
        <w:pStyle w:val="CommentText"/>
      </w:pPr>
      <w:r>
        <w:rPr>
          <w:rStyle w:val="CommentReference"/>
        </w:rPr>
        <w:annotationRef/>
      </w:r>
      <w:r>
        <w:t>Bold</w:t>
      </w:r>
    </w:p>
  </w:comment>
  <w:comment w:id="24" w:author="ahmed" w:date="2026-04-20T18:01:00Z" w:initials="a">
    <w:p w14:paraId="176F96E2" w14:textId="178C8B54" w:rsidR="008144AE" w:rsidRDefault="008144AE">
      <w:pPr>
        <w:pStyle w:val="CommentText"/>
      </w:pPr>
      <w:r>
        <w:rPr>
          <w:rStyle w:val="CommentReference"/>
        </w:rPr>
        <w:annotationRef/>
      </w:r>
      <w:r>
        <w:t>Italic</w:t>
      </w:r>
    </w:p>
  </w:comment>
  <w:comment w:id="23" w:author="ahmed" w:date="2026-04-20T18:01:00Z" w:initials="a">
    <w:p w14:paraId="194E8FD6" w14:textId="3258E5AB" w:rsidR="008144AE" w:rsidRDefault="008144AE">
      <w:pPr>
        <w:pStyle w:val="CommentText"/>
      </w:pPr>
      <w:r>
        <w:rPr>
          <w:rStyle w:val="CommentReference"/>
        </w:rPr>
        <w:annotationRef/>
      </w:r>
      <w:r>
        <w:t>Bold</w:t>
      </w:r>
    </w:p>
  </w:comment>
  <w:comment w:id="26" w:author="ahmed" w:date="2026-04-20T18:01:00Z" w:initials="a">
    <w:p w14:paraId="30B770E0" w14:textId="1BCD2731" w:rsidR="008144AE" w:rsidRDefault="008144AE">
      <w:pPr>
        <w:pStyle w:val="CommentText"/>
      </w:pPr>
      <w:r>
        <w:rPr>
          <w:rStyle w:val="CommentReference"/>
        </w:rPr>
        <w:annotationRef/>
      </w:r>
      <w:r>
        <w:t>Italic</w:t>
      </w:r>
    </w:p>
  </w:comment>
  <w:comment w:id="25" w:author="ahmed" w:date="2026-04-20T18:01:00Z" w:initials="a">
    <w:p w14:paraId="05C9CC11" w14:textId="6F6FD7D1" w:rsidR="008144AE" w:rsidRDefault="008144AE">
      <w:pPr>
        <w:pStyle w:val="CommentText"/>
      </w:pPr>
      <w:r>
        <w:rPr>
          <w:rStyle w:val="CommentReference"/>
        </w:rPr>
        <w:annotationRef/>
      </w:r>
      <w:r>
        <w:t>Bold</w:t>
      </w:r>
    </w:p>
  </w:comment>
  <w:comment w:id="27" w:author="ahmed" w:date="2026-04-20T18:01:00Z" w:initials="a">
    <w:p w14:paraId="28653947" w14:textId="6358213F" w:rsidR="008144AE" w:rsidRDefault="008144AE">
      <w:pPr>
        <w:pStyle w:val="CommentText"/>
      </w:pPr>
      <w:r>
        <w:rPr>
          <w:rStyle w:val="CommentReference"/>
        </w:rPr>
        <w:annotationRef/>
      </w:r>
      <w:r>
        <w:t>Italic</w:t>
      </w:r>
    </w:p>
  </w:comment>
  <w:comment w:id="28" w:author="ahmed" w:date="2026-04-20T18:02:00Z" w:initials="a">
    <w:p w14:paraId="47004B19" w14:textId="5227CCFE" w:rsidR="008144AE" w:rsidRDefault="008144AE">
      <w:pPr>
        <w:pStyle w:val="CommentText"/>
      </w:pPr>
      <w:r>
        <w:rPr>
          <w:rStyle w:val="CommentReference"/>
        </w:rPr>
        <w:annotationRef/>
      </w:r>
      <w:r>
        <w:t>Italic</w:t>
      </w:r>
    </w:p>
  </w:comment>
  <w:comment w:id="29" w:author="ahmed" w:date="2026-04-20T18:02:00Z" w:initials="a">
    <w:p w14:paraId="5BF00B82" w14:textId="5E3D8AC5" w:rsidR="008144AE" w:rsidRDefault="008144AE">
      <w:pPr>
        <w:pStyle w:val="CommentText"/>
      </w:pPr>
      <w:r>
        <w:rPr>
          <w:rStyle w:val="CommentReference"/>
        </w:rPr>
        <w:annotationRef/>
      </w:r>
      <w:r>
        <w:t>Italic</w:t>
      </w:r>
    </w:p>
  </w:comment>
  <w:comment w:id="30" w:author="ahmed" w:date="2026-04-20T18:02:00Z" w:initials="a">
    <w:p w14:paraId="7A0190C3" w14:textId="2087BB31" w:rsidR="008144AE" w:rsidRDefault="008144AE">
      <w:pPr>
        <w:pStyle w:val="CommentText"/>
      </w:pPr>
      <w:r>
        <w:rPr>
          <w:rStyle w:val="CommentReference"/>
        </w:rPr>
        <w:annotationRef/>
      </w:r>
      <w:r>
        <w:t>Italic</w:t>
      </w:r>
    </w:p>
  </w:comment>
  <w:comment w:id="31" w:author="ahmed" w:date="2026-04-20T18:02:00Z" w:initials="a">
    <w:p w14:paraId="12251C13" w14:textId="45A9064F" w:rsidR="008144AE" w:rsidRDefault="008144AE">
      <w:pPr>
        <w:pStyle w:val="CommentText"/>
      </w:pPr>
      <w:r>
        <w:rPr>
          <w:rStyle w:val="CommentReference"/>
        </w:rPr>
        <w:annotationRef/>
      </w:r>
      <w:r>
        <w:t>Bold</w:t>
      </w:r>
    </w:p>
  </w:comment>
  <w:comment w:id="33" w:author="ahmed" w:date="2026-04-20T18:04:00Z" w:initials="a">
    <w:p w14:paraId="4D28FE2D" w14:textId="344F6AEC" w:rsidR="00BA627F" w:rsidRDefault="00BA627F">
      <w:pPr>
        <w:pStyle w:val="CommentText"/>
      </w:pPr>
      <w:r>
        <w:rPr>
          <w:rStyle w:val="CommentReference"/>
        </w:rPr>
        <w:annotationRef/>
      </w:r>
      <w:r>
        <w:t>Italic</w:t>
      </w:r>
    </w:p>
  </w:comment>
  <w:comment w:id="32" w:author="ahmed" w:date="2026-04-20T18:04:00Z" w:initials="a">
    <w:p w14:paraId="5BC0B598" w14:textId="1E736CFE" w:rsidR="00BA627F" w:rsidRDefault="00BA627F">
      <w:pPr>
        <w:pStyle w:val="CommentText"/>
      </w:pPr>
      <w:r>
        <w:rPr>
          <w:rStyle w:val="CommentReference"/>
        </w:rPr>
        <w:annotationRef/>
      </w:r>
      <w:r>
        <w:t>Bold</w:t>
      </w:r>
    </w:p>
  </w:comment>
  <w:comment w:id="35" w:author="ahmed" w:date="2026-04-20T18:06:00Z" w:initials="a">
    <w:p w14:paraId="4AAC3EC0" w14:textId="36BEC26C" w:rsidR="00BA627F" w:rsidRDefault="00BA627F">
      <w:pPr>
        <w:pStyle w:val="CommentText"/>
      </w:pPr>
      <w:r>
        <w:rPr>
          <w:rStyle w:val="CommentReference"/>
        </w:rPr>
        <w:annotationRef/>
      </w:r>
      <w:r>
        <w:t>Italic</w:t>
      </w:r>
    </w:p>
  </w:comment>
  <w:comment w:id="34" w:author="ahmed" w:date="2026-04-20T18:06:00Z" w:initials="a">
    <w:p w14:paraId="65C5A617" w14:textId="0C3E3CB9" w:rsidR="00BA627F" w:rsidRDefault="00BA627F">
      <w:pPr>
        <w:pStyle w:val="CommentText"/>
      </w:pPr>
      <w:r>
        <w:rPr>
          <w:rStyle w:val="CommentReference"/>
        </w:rPr>
        <w:annotationRef/>
      </w:r>
      <w:r>
        <w:t>Bold</w:t>
      </w:r>
    </w:p>
  </w:comment>
  <w:comment w:id="37" w:author="ahmed" w:date="2026-04-20T18:09:00Z" w:initials="a">
    <w:p w14:paraId="19305866" w14:textId="3D3344F9" w:rsidR="00BA627F" w:rsidRDefault="00BA627F">
      <w:pPr>
        <w:pStyle w:val="CommentText"/>
      </w:pPr>
      <w:r>
        <w:rPr>
          <w:rStyle w:val="CommentReference"/>
        </w:rPr>
        <w:annotationRef/>
      </w:r>
      <w:r>
        <w:t>Italic</w:t>
      </w:r>
    </w:p>
  </w:comment>
  <w:comment w:id="36" w:author="ahmed" w:date="2026-04-20T18:08:00Z" w:initials="a">
    <w:p w14:paraId="282E9CA3" w14:textId="54D20C57" w:rsidR="00BA627F" w:rsidRDefault="00BA627F">
      <w:pPr>
        <w:pStyle w:val="CommentText"/>
      </w:pPr>
      <w:r>
        <w:rPr>
          <w:rStyle w:val="CommentReference"/>
        </w:rPr>
        <w:annotationRef/>
      </w:r>
      <w:r>
        <w:t>Bold</w:t>
      </w:r>
    </w:p>
  </w:comment>
  <w:comment w:id="38" w:author="ahmed" w:date="2026-04-20T18:11:00Z" w:initials="a">
    <w:p w14:paraId="0D0114A9" w14:textId="08825594" w:rsidR="0050239A" w:rsidRDefault="0050239A">
      <w:pPr>
        <w:pStyle w:val="CommentText"/>
      </w:pPr>
      <w:r>
        <w:rPr>
          <w:rStyle w:val="CommentReference"/>
        </w:rPr>
        <w:annotationRef/>
      </w:r>
      <w:r>
        <w:t>Bold</w:t>
      </w:r>
    </w:p>
  </w:comment>
  <w:comment w:id="40" w:author="ahmed" w:date="2026-04-20T18:12:00Z" w:initials="a">
    <w:p w14:paraId="3521174B" w14:textId="5211401B" w:rsidR="0050239A" w:rsidRDefault="0050239A">
      <w:pPr>
        <w:pStyle w:val="CommentText"/>
      </w:pPr>
      <w:r>
        <w:rPr>
          <w:rStyle w:val="CommentReference"/>
        </w:rPr>
        <w:annotationRef/>
      </w:r>
      <w:r>
        <w:t>Italic</w:t>
      </w:r>
    </w:p>
  </w:comment>
  <w:comment w:id="39" w:author="ahmed" w:date="2026-04-20T18:12:00Z" w:initials="a">
    <w:p w14:paraId="0B19C265" w14:textId="1044A957" w:rsidR="0050239A" w:rsidRDefault="0050239A">
      <w:pPr>
        <w:pStyle w:val="CommentText"/>
      </w:pPr>
      <w:r>
        <w:rPr>
          <w:rStyle w:val="CommentReference"/>
        </w:rPr>
        <w:annotationRef/>
      </w:r>
      <w:r>
        <w:t>Bold</w:t>
      </w:r>
    </w:p>
  </w:comment>
  <w:comment w:id="41" w:author="ahmed" w:date="2026-04-20T18:14:00Z" w:initials="a">
    <w:p w14:paraId="7D0035EC" w14:textId="7FFAF905" w:rsidR="0050239A" w:rsidRDefault="0050239A">
      <w:pPr>
        <w:pStyle w:val="CommentText"/>
      </w:pPr>
      <w:r>
        <w:rPr>
          <w:rStyle w:val="CommentReference"/>
        </w:rPr>
        <w:annotationRef/>
      </w:r>
      <w:r>
        <w:t>Italic</w:t>
      </w:r>
    </w:p>
  </w:comment>
  <w:comment w:id="42" w:author="ahmed" w:date="2026-04-20T18:14:00Z" w:initials="a">
    <w:p w14:paraId="5A3023B6" w14:textId="6304520E" w:rsidR="0050239A" w:rsidRDefault="0050239A">
      <w:pPr>
        <w:pStyle w:val="CommentText"/>
      </w:pPr>
      <w:r>
        <w:rPr>
          <w:rStyle w:val="CommentReference"/>
        </w:rPr>
        <w:annotationRef/>
      </w:r>
      <w:r>
        <w:t>Italic</w:t>
      </w:r>
    </w:p>
  </w:comment>
  <w:comment w:id="43" w:author="ahmed" w:date="2026-04-20T18:13:00Z" w:initials="a">
    <w:p w14:paraId="7AD530CF" w14:textId="27D04BFF" w:rsidR="0050239A" w:rsidRDefault="0050239A">
      <w:pPr>
        <w:pStyle w:val="CommentText"/>
      </w:pPr>
      <w:r>
        <w:rPr>
          <w:rStyle w:val="CommentReference"/>
        </w:rPr>
        <w:annotationRef/>
      </w:r>
      <w:r>
        <w:t>Bold</w:t>
      </w:r>
    </w:p>
  </w:comment>
  <w:comment w:id="45" w:author="ahmed" w:date="2026-04-20T18:16:00Z" w:initials="a">
    <w:p w14:paraId="4F2F6D76" w14:textId="7FC332D2" w:rsidR="00FF535D" w:rsidRDefault="00FF535D">
      <w:pPr>
        <w:pStyle w:val="CommentText"/>
      </w:pPr>
      <w:r>
        <w:rPr>
          <w:rStyle w:val="CommentReference"/>
        </w:rPr>
        <w:annotationRef/>
      </w:r>
      <w:r>
        <w:t>Italic</w:t>
      </w:r>
    </w:p>
  </w:comment>
  <w:comment w:id="44" w:author="ahmed" w:date="2026-04-20T18:15:00Z" w:initials="a">
    <w:p w14:paraId="6BE0346E" w14:textId="5790202E" w:rsidR="00FF535D" w:rsidRDefault="00FF535D">
      <w:pPr>
        <w:pStyle w:val="CommentText"/>
      </w:pPr>
      <w:r>
        <w:rPr>
          <w:rStyle w:val="CommentReference"/>
        </w:rPr>
        <w:annotationRef/>
      </w:r>
      <w:r>
        <w:t>Bold</w:t>
      </w:r>
    </w:p>
  </w:comment>
  <w:comment w:id="47" w:author="ahmed" w:date="2026-04-20T18:34:00Z" w:initials="a">
    <w:p w14:paraId="2D064716" w14:textId="482F0C17" w:rsidR="00CA1D01" w:rsidRDefault="00CA1D01">
      <w:pPr>
        <w:pStyle w:val="CommentText"/>
      </w:pPr>
      <w:r>
        <w:rPr>
          <w:rStyle w:val="CommentReference"/>
        </w:rPr>
        <w:annotationRef/>
      </w:r>
      <w:r>
        <w:t>Italic</w:t>
      </w:r>
    </w:p>
  </w:comment>
  <w:comment w:id="46" w:author="ahmed" w:date="2026-04-20T18:34:00Z" w:initials="a">
    <w:p w14:paraId="7B8C835F" w14:textId="79EDA600" w:rsidR="00CA1D01" w:rsidRDefault="00CA1D01">
      <w:pPr>
        <w:pStyle w:val="CommentText"/>
      </w:pPr>
      <w:r>
        <w:rPr>
          <w:rStyle w:val="CommentReference"/>
        </w:rPr>
        <w:annotationRef/>
      </w:r>
      <w:r>
        <w:t>Bold</w:t>
      </w:r>
    </w:p>
  </w:comment>
  <w:comment w:id="48" w:author="ahmed" w:date="2026-04-20T18:34:00Z" w:initials="a">
    <w:p w14:paraId="4FEF9F5A" w14:textId="2B05B709" w:rsidR="00CA1D01" w:rsidRDefault="00CA1D01">
      <w:pPr>
        <w:pStyle w:val="CommentText"/>
      </w:pPr>
      <w:r>
        <w:rPr>
          <w:rStyle w:val="CommentReference"/>
        </w:rPr>
        <w:annotationRef/>
      </w:r>
      <w:r>
        <w:t>Bold</w:t>
      </w:r>
    </w:p>
  </w:comment>
  <w:comment w:id="50" w:author="ahmed" w:date="2026-04-20T18:35:00Z" w:initials="a">
    <w:p w14:paraId="314C82E7" w14:textId="363DE6BB" w:rsidR="00CA1D01" w:rsidRDefault="00CA1D01">
      <w:pPr>
        <w:pStyle w:val="CommentText"/>
      </w:pPr>
      <w:r>
        <w:rPr>
          <w:rStyle w:val="CommentReference"/>
        </w:rPr>
        <w:annotationRef/>
      </w:r>
      <w:r>
        <w:t>Italic</w:t>
      </w:r>
    </w:p>
  </w:comment>
  <w:comment w:id="49" w:author="ahmed" w:date="2026-04-20T18:35:00Z" w:initials="a">
    <w:p w14:paraId="154B9CA7" w14:textId="02988C56" w:rsidR="00CA1D01" w:rsidRDefault="00CA1D01">
      <w:pPr>
        <w:pStyle w:val="CommentText"/>
      </w:pPr>
      <w:r>
        <w:rPr>
          <w:rStyle w:val="CommentReference"/>
        </w:rPr>
        <w:annotationRef/>
      </w:r>
      <w:r>
        <w:t>Bold</w:t>
      </w:r>
    </w:p>
  </w:comment>
  <w:comment w:id="52" w:author="ahmed" w:date="2026-04-20T18:38:00Z" w:initials="a">
    <w:p w14:paraId="6C487F17" w14:textId="2AFE9FF3" w:rsidR="003B09A0" w:rsidRDefault="003B09A0">
      <w:pPr>
        <w:pStyle w:val="CommentText"/>
      </w:pPr>
      <w:r>
        <w:rPr>
          <w:rStyle w:val="CommentReference"/>
        </w:rPr>
        <w:annotationRef/>
      </w:r>
      <w:r>
        <w:t>Italic</w:t>
      </w:r>
    </w:p>
  </w:comment>
  <w:comment w:id="51" w:author="ahmed" w:date="2026-04-20T18:38:00Z" w:initials="a">
    <w:p w14:paraId="360E02DA" w14:textId="01A9DB23" w:rsidR="003B09A0" w:rsidRDefault="003B09A0">
      <w:pPr>
        <w:pStyle w:val="CommentText"/>
      </w:pPr>
      <w:r>
        <w:rPr>
          <w:rStyle w:val="CommentReference"/>
        </w:rPr>
        <w:annotationRef/>
      </w:r>
      <w:r>
        <w:t>Bold</w:t>
      </w:r>
    </w:p>
  </w:comment>
  <w:comment w:id="54" w:author="ahmed" w:date="2026-04-20T18:38:00Z" w:initials="a">
    <w:p w14:paraId="58D10088" w14:textId="6E00D1AF" w:rsidR="003B09A0" w:rsidRDefault="003B09A0">
      <w:pPr>
        <w:pStyle w:val="CommentText"/>
      </w:pPr>
      <w:r>
        <w:rPr>
          <w:rStyle w:val="CommentReference"/>
        </w:rPr>
        <w:annotationRef/>
      </w:r>
      <w:r>
        <w:t>Italic</w:t>
      </w:r>
    </w:p>
  </w:comment>
  <w:comment w:id="53" w:author="ahmed" w:date="2026-04-20T18:38:00Z" w:initials="a">
    <w:p w14:paraId="054AEFF8" w14:textId="2C627937" w:rsidR="003B09A0" w:rsidRDefault="003B09A0">
      <w:pPr>
        <w:pStyle w:val="CommentText"/>
      </w:pPr>
      <w:r>
        <w:rPr>
          <w:rStyle w:val="CommentReference"/>
        </w:rPr>
        <w:annotationRef/>
      </w:r>
      <w:r>
        <w:t>Bold</w:t>
      </w:r>
    </w:p>
  </w:comment>
  <w:comment w:id="55" w:author="ahmed" w:date="2026-04-20T18:38:00Z" w:initials="a">
    <w:p w14:paraId="30792A73" w14:textId="43882EC3" w:rsidR="003B09A0" w:rsidRDefault="003B09A0">
      <w:pPr>
        <w:pStyle w:val="CommentText"/>
      </w:pPr>
      <w:r>
        <w:rPr>
          <w:rStyle w:val="CommentReference"/>
        </w:rPr>
        <w:annotationRef/>
      </w:r>
      <w:r>
        <w:t>Italic</w:t>
      </w:r>
    </w:p>
  </w:comment>
  <w:comment w:id="56" w:author="ahmed" w:date="2026-04-20T18:39:00Z" w:initials="a">
    <w:p w14:paraId="5A76CF6C" w14:textId="73D3CDA6" w:rsidR="003B09A0" w:rsidRDefault="003B09A0">
      <w:pPr>
        <w:pStyle w:val="CommentText"/>
      </w:pPr>
      <w:r>
        <w:rPr>
          <w:rStyle w:val="CommentReference"/>
        </w:rPr>
        <w:annotationRef/>
      </w:r>
      <w:r>
        <w:t>Italic</w:t>
      </w:r>
    </w:p>
  </w:comment>
  <w:comment w:id="57" w:author="ahmed" w:date="2026-04-20T18:39:00Z" w:initials="a">
    <w:p w14:paraId="1F854940" w14:textId="60F0CB69" w:rsidR="003B09A0" w:rsidRDefault="003B09A0">
      <w:pPr>
        <w:pStyle w:val="CommentText"/>
      </w:pPr>
      <w:r>
        <w:rPr>
          <w:rStyle w:val="CommentReference"/>
        </w:rPr>
        <w:annotationRef/>
      </w:r>
      <w:r>
        <w:t>Italic</w:t>
      </w:r>
    </w:p>
  </w:comment>
  <w:comment w:id="59" w:author="ahmed" w:date="2026-04-20T18:42:00Z" w:initials="a">
    <w:p w14:paraId="6D520A3C" w14:textId="10005A84" w:rsidR="003B09A0" w:rsidRDefault="003B09A0">
      <w:pPr>
        <w:pStyle w:val="CommentText"/>
      </w:pPr>
      <w:r>
        <w:rPr>
          <w:rStyle w:val="CommentReference"/>
        </w:rPr>
        <w:annotationRef/>
      </w:r>
      <w:r>
        <w:t>Italic</w:t>
      </w:r>
    </w:p>
  </w:comment>
  <w:comment w:id="58" w:author="ahmed" w:date="2026-04-20T18:39:00Z" w:initials="a">
    <w:p w14:paraId="10B862EC" w14:textId="007A4267" w:rsidR="003B09A0" w:rsidRDefault="003B09A0">
      <w:pPr>
        <w:pStyle w:val="CommentText"/>
      </w:pPr>
      <w:r>
        <w:rPr>
          <w:rStyle w:val="CommentReference"/>
        </w:rPr>
        <w:annotationRef/>
      </w:r>
      <w:r>
        <w:t>Bold</w:t>
      </w:r>
    </w:p>
  </w:comment>
  <w:comment w:id="61" w:author="ahmed" w:date="2026-04-20T19:00:00Z" w:initials="a">
    <w:p w14:paraId="069643FA" w14:textId="094F37A5" w:rsidR="00F24F52" w:rsidRDefault="00F24F52">
      <w:pPr>
        <w:pStyle w:val="CommentText"/>
      </w:pPr>
      <w:r>
        <w:rPr>
          <w:rStyle w:val="CommentReference"/>
        </w:rPr>
        <w:annotationRef/>
      </w:r>
      <w:r>
        <w:t>Italic</w:t>
      </w:r>
    </w:p>
  </w:comment>
  <w:comment w:id="60" w:author="ahmed" w:date="2026-04-20T18:59:00Z" w:initials="a">
    <w:p w14:paraId="43220C85" w14:textId="1D9F6299" w:rsidR="00F24F52" w:rsidRDefault="00F24F52">
      <w:pPr>
        <w:pStyle w:val="CommentText"/>
      </w:pPr>
      <w:r>
        <w:rPr>
          <w:rStyle w:val="CommentReference"/>
        </w:rPr>
        <w:annotationRef/>
      </w:r>
      <w:r>
        <w:t>Bold</w:t>
      </w:r>
    </w:p>
  </w:comment>
  <w:comment w:id="63" w:author="ahmed" w:date="2026-04-20T19:01:00Z" w:initials="a">
    <w:p w14:paraId="39EB4F17" w14:textId="00C062CE" w:rsidR="00F24F52" w:rsidRDefault="00F24F52">
      <w:pPr>
        <w:pStyle w:val="CommentText"/>
      </w:pPr>
      <w:r>
        <w:rPr>
          <w:rStyle w:val="CommentReference"/>
        </w:rPr>
        <w:annotationRef/>
      </w:r>
      <w:r>
        <w:t>Italic</w:t>
      </w:r>
    </w:p>
  </w:comment>
  <w:comment w:id="62" w:author="ahmed" w:date="2026-04-20T19:00:00Z" w:initials="a">
    <w:p w14:paraId="3F166306" w14:textId="648ABFC2" w:rsidR="00F24F52" w:rsidRDefault="00F24F52">
      <w:pPr>
        <w:pStyle w:val="CommentText"/>
      </w:pPr>
      <w:r>
        <w:rPr>
          <w:rStyle w:val="CommentReference"/>
        </w:rPr>
        <w:annotationRef/>
      </w:r>
      <w:r>
        <w:t>Bold</w:t>
      </w:r>
    </w:p>
  </w:comment>
  <w:comment w:id="65" w:author="ahmed" w:date="2026-04-20T19:02:00Z" w:initials="a">
    <w:p w14:paraId="55D102C6" w14:textId="7AEE8C32" w:rsidR="00F24F52" w:rsidRDefault="00F24F52">
      <w:pPr>
        <w:pStyle w:val="CommentText"/>
      </w:pPr>
      <w:r>
        <w:rPr>
          <w:rStyle w:val="CommentReference"/>
        </w:rPr>
        <w:annotationRef/>
      </w:r>
      <w:r>
        <w:t>Italic</w:t>
      </w:r>
    </w:p>
  </w:comment>
  <w:comment w:id="64" w:author="ahmed" w:date="2026-04-20T19:02:00Z" w:initials="a">
    <w:p w14:paraId="6F9B1F92" w14:textId="6B4F21CF" w:rsidR="00F24F52" w:rsidRDefault="00F24F52">
      <w:pPr>
        <w:pStyle w:val="CommentText"/>
      </w:pPr>
      <w:r>
        <w:rPr>
          <w:rStyle w:val="CommentReference"/>
        </w:rPr>
        <w:annotationRef/>
      </w:r>
      <w:r>
        <w:t>Bold</w:t>
      </w:r>
    </w:p>
  </w:comment>
  <w:comment w:id="67" w:author="ahmed" w:date="2026-04-20T19:03:00Z" w:initials="a">
    <w:p w14:paraId="08611EF9" w14:textId="0FC48F11" w:rsidR="00F24F52" w:rsidRDefault="00F24F52">
      <w:pPr>
        <w:pStyle w:val="CommentText"/>
      </w:pPr>
      <w:r>
        <w:rPr>
          <w:rStyle w:val="CommentReference"/>
        </w:rPr>
        <w:annotationRef/>
      </w:r>
      <w:r>
        <w:t>Italic</w:t>
      </w:r>
    </w:p>
  </w:comment>
  <w:comment w:id="66" w:author="ahmed" w:date="2026-04-20T19:03:00Z" w:initials="a">
    <w:p w14:paraId="2C8550A1" w14:textId="00A300C4" w:rsidR="00F24F52" w:rsidRDefault="00F24F52">
      <w:pPr>
        <w:pStyle w:val="CommentText"/>
      </w:pPr>
      <w:r>
        <w:rPr>
          <w:rStyle w:val="CommentReference"/>
        </w:rPr>
        <w:annotationRef/>
      </w:r>
      <w:r>
        <w:t>Bold</w:t>
      </w:r>
    </w:p>
  </w:comment>
  <w:comment w:id="69" w:author="ahmed" w:date="2026-04-20T19:07:00Z" w:initials="a">
    <w:p w14:paraId="0B9D8EAE" w14:textId="1B1A89E6" w:rsidR="00F24F52" w:rsidRDefault="00F24F52">
      <w:pPr>
        <w:pStyle w:val="CommentText"/>
      </w:pPr>
      <w:r>
        <w:rPr>
          <w:rStyle w:val="CommentReference"/>
        </w:rPr>
        <w:annotationRef/>
      </w:r>
      <w:r>
        <w:t>Italic</w:t>
      </w:r>
    </w:p>
  </w:comment>
  <w:comment w:id="68" w:author="ahmed" w:date="2026-04-20T19:06:00Z" w:initials="a">
    <w:p w14:paraId="02B12668" w14:textId="64FAFBDF" w:rsidR="00F24F52" w:rsidRDefault="00F24F52">
      <w:pPr>
        <w:pStyle w:val="CommentText"/>
      </w:pPr>
      <w:r>
        <w:rPr>
          <w:rStyle w:val="CommentReference"/>
        </w:rPr>
        <w:annotationRef/>
      </w:r>
      <w:r>
        <w:t>Bold</w:t>
      </w:r>
    </w:p>
  </w:comment>
  <w:comment w:id="71" w:author="ahmed" w:date="2026-04-20T19:21:00Z" w:initials="a">
    <w:p w14:paraId="2E9E2989" w14:textId="5C9CC8B1" w:rsidR="00142302" w:rsidRDefault="00142302">
      <w:pPr>
        <w:pStyle w:val="CommentText"/>
      </w:pPr>
      <w:r>
        <w:rPr>
          <w:rStyle w:val="CommentReference"/>
        </w:rPr>
        <w:annotationRef/>
      </w:r>
      <w:r>
        <w:t>Italic</w:t>
      </w:r>
    </w:p>
  </w:comment>
  <w:comment w:id="70" w:author="ahmed" w:date="2026-04-20T19:20:00Z" w:initials="a">
    <w:p w14:paraId="6FB5A6F6" w14:textId="0B0DE1DA" w:rsidR="00142302" w:rsidRDefault="00142302">
      <w:pPr>
        <w:pStyle w:val="CommentText"/>
      </w:pPr>
      <w:r>
        <w:rPr>
          <w:rStyle w:val="CommentReference"/>
        </w:rPr>
        <w:annotationRef/>
      </w:r>
      <w:r>
        <w:t>Bold</w:t>
      </w:r>
    </w:p>
  </w:comment>
  <w:comment w:id="73" w:author="ahmed" w:date="2026-04-20T19:21:00Z" w:initials="a">
    <w:p w14:paraId="121A589F" w14:textId="3836B45D" w:rsidR="00142302" w:rsidRDefault="00142302">
      <w:pPr>
        <w:pStyle w:val="CommentText"/>
      </w:pPr>
      <w:r>
        <w:rPr>
          <w:rStyle w:val="CommentReference"/>
        </w:rPr>
        <w:annotationRef/>
      </w:r>
      <w:r>
        <w:t>Italic</w:t>
      </w:r>
    </w:p>
  </w:comment>
  <w:comment w:id="72" w:author="ahmed" w:date="2026-04-20T19:21:00Z" w:initials="a">
    <w:p w14:paraId="05CC1B7A" w14:textId="6EDC3CEE" w:rsidR="00142302" w:rsidRDefault="00142302">
      <w:pPr>
        <w:pStyle w:val="CommentText"/>
      </w:pPr>
      <w:r>
        <w:rPr>
          <w:rStyle w:val="CommentReference"/>
        </w:rPr>
        <w:annotationRef/>
      </w:r>
      <w:r>
        <w:t>Bold</w:t>
      </w:r>
    </w:p>
  </w:comment>
  <w:comment w:id="75" w:author="ahmed" w:date="2026-04-20T19:20:00Z" w:initials="a">
    <w:p w14:paraId="2C640ADF" w14:textId="013F2D33" w:rsidR="00142302" w:rsidRDefault="00142302">
      <w:pPr>
        <w:pStyle w:val="CommentText"/>
      </w:pPr>
      <w:r>
        <w:rPr>
          <w:rStyle w:val="CommentReference"/>
        </w:rPr>
        <w:annotationRef/>
      </w:r>
      <w:r>
        <w:t>Italic</w:t>
      </w:r>
    </w:p>
  </w:comment>
  <w:comment w:id="74" w:author="ahmed" w:date="2026-04-20T19:20:00Z" w:initials="a">
    <w:p w14:paraId="04F95ECB" w14:textId="02C721B0" w:rsidR="00142302" w:rsidRDefault="00142302">
      <w:pPr>
        <w:pStyle w:val="CommentText"/>
      </w:pPr>
      <w:r>
        <w:rPr>
          <w:rStyle w:val="CommentReference"/>
        </w:rPr>
        <w:annotationRef/>
      </w:r>
      <w:r>
        <w:t>Bold</w:t>
      </w:r>
    </w:p>
  </w:comment>
  <w:comment w:id="77" w:author="ahmed" w:date="2026-04-20T19:20:00Z" w:initials="a">
    <w:p w14:paraId="336EE8DA" w14:textId="18D6D6C1" w:rsidR="00142302" w:rsidRDefault="00142302">
      <w:pPr>
        <w:pStyle w:val="CommentText"/>
      </w:pPr>
      <w:r>
        <w:rPr>
          <w:rStyle w:val="CommentReference"/>
        </w:rPr>
        <w:annotationRef/>
      </w:r>
      <w:r>
        <w:t>Italic</w:t>
      </w:r>
    </w:p>
  </w:comment>
  <w:comment w:id="76" w:author="ahmed" w:date="2026-04-20T19:19:00Z" w:initials="a">
    <w:p w14:paraId="1E9049AE" w14:textId="3A86BA4B" w:rsidR="00B80454" w:rsidRDefault="00B80454">
      <w:pPr>
        <w:pStyle w:val="CommentText"/>
      </w:pPr>
      <w:r>
        <w:rPr>
          <w:rStyle w:val="CommentReference"/>
        </w:rPr>
        <w:annotationRef/>
      </w:r>
      <w:r>
        <w:t>Bold</w:t>
      </w:r>
    </w:p>
  </w:comment>
  <w:comment w:id="79" w:author="ahmed" w:date="2026-04-20T19:18:00Z" w:initials="a">
    <w:p w14:paraId="5AC7CE1A" w14:textId="6824D2AA" w:rsidR="00B80454" w:rsidRDefault="00B80454">
      <w:pPr>
        <w:pStyle w:val="CommentText"/>
      </w:pPr>
      <w:r>
        <w:rPr>
          <w:rStyle w:val="CommentReference"/>
        </w:rPr>
        <w:annotationRef/>
      </w:r>
      <w:r>
        <w:t>Italic</w:t>
      </w:r>
    </w:p>
  </w:comment>
  <w:comment w:id="78" w:author="ahmed" w:date="2026-04-20T19:18:00Z" w:initials="a">
    <w:p w14:paraId="5D17EDE2" w14:textId="017403F0" w:rsidR="00B80454" w:rsidRDefault="00B80454">
      <w:pPr>
        <w:pStyle w:val="CommentText"/>
      </w:pPr>
      <w:r>
        <w:rPr>
          <w:rStyle w:val="CommentReference"/>
        </w:rPr>
        <w:annotationRef/>
      </w:r>
      <w:r>
        <w:t>Bold</w:t>
      </w:r>
    </w:p>
  </w:comment>
  <w:comment w:id="81" w:author="ahmed" w:date="2026-04-20T19:19:00Z" w:initials="a">
    <w:p w14:paraId="319662F2" w14:textId="56D0DA69" w:rsidR="00B80454" w:rsidRDefault="00B80454">
      <w:pPr>
        <w:pStyle w:val="CommentText"/>
      </w:pPr>
      <w:r>
        <w:rPr>
          <w:rStyle w:val="CommentReference"/>
        </w:rPr>
        <w:annotationRef/>
      </w:r>
      <w:r>
        <w:t>Italic</w:t>
      </w:r>
    </w:p>
  </w:comment>
  <w:comment w:id="80" w:author="ahmed" w:date="2026-04-20T19:19:00Z" w:initials="a">
    <w:p w14:paraId="67B2A1CA" w14:textId="50FA68E1" w:rsidR="00B80454" w:rsidRDefault="00B80454">
      <w:pPr>
        <w:pStyle w:val="CommentText"/>
      </w:pPr>
      <w:r>
        <w:rPr>
          <w:rStyle w:val="CommentReference"/>
        </w:rPr>
        <w:annotationRef/>
      </w:r>
      <w:r>
        <w:t>Bold</w:t>
      </w:r>
    </w:p>
  </w:comment>
  <w:comment w:id="82" w:author="ahmed" w:date="2026-04-20T19:19:00Z" w:initials="a">
    <w:p w14:paraId="2557C4FD" w14:textId="5C69121B" w:rsidR="00B80454" w:rsidRDefault="00B80454">
      <w:pPr>
        <w:pStyle w:val="CommentText"/>
      </w:pPr>
      <w:r>
        <w:rPr>
          <w:rStyle w:val="CommentReference"/>
        </w:rPr>
        <w:annotationRef/>
      </w:r>
      <w:r>
        <w:t>Italic</w:t>
      </w:r>
    </w:p>
  </w:comment>
  <w:comment w:id="83" w:author="ahmed" w:date="2026-04-20T19:19:00Z" w:initials="a">
    <w:p w14:paraId="45E87B69" w14:textId="7FCAB50A" w:rsidR="00B80454" w:rsidRDefault="00B80454">
      <w:pPr>
        <w:pStyle w:val="CommentText"/>
      </w:pPr>
      <w:r>
        <w:rPr>
          <w:rStyle w:val="CommentReference"/>
        </w:rPr>
        <w:annotationRef/>
      </w:r>
      <w:r>
        <w:t>Italic</w:t>
      </w:r>
    </w:p>
  </w:comment>
  <w:comment w:id="84" w:author="ahmed" w:date="2026-04-20T19:24:00Z" w:initials="a">
    <w:p w14:paraId="2140ECBA" w14:textId="2014EB87" w:rsidR="00142302" w:rsidRDefault="00142302">
      <w:pPr>
        <w:pStyle w:val="CommentText"/>
      </w:pPr>
      <w:r>
        <w:rPr>
          <w:rStyle w:val="CommentReference"/>
        </w:rPr>
        <w:annotationRef/>
      </w:r>
      <w:r>
        <w:t>Bold</w:t>
      </w:r>
    </w:p>
  </w:comment>
  <w:comment w:id="85" w:author="ahmed" w:date="2026-04-20T19:24:00Z" w:initials="a">
    <w:p w14:paraId="5D9C6D96" w14:textId="07BCA482" w:rsidR="00142302" w:rsidRDefault="00142302">
      <w:pPr>
        <w:pStyle w:val="CommentText"/>
      </w:pPr>
      <w:r>
        <w:rPr>
          <w:rStyle w:val="CommentReference"/>
        </w:rPr>
        <w:annotationRef/>
      </w:r>
      <w:r>
        <w:t>Bold</w:t>
      </w:r>
    </w:p>
  </w:comment>
  <w:comment w:id="86" w:author="ahmed" w:date="2026-04-20T21:02:00Z" w:initials="a">
    <w:p w14:paraId="13C55A25" w14:textId="040E68B2" w:rsidR="00B17F10" w:rsidRDefault="00B17F10">
      <w:pPr>
        <w:pStyle w:val="CommentText"/>
      </w:pPr>
      <w:r>
        <w:rPr>
          <w:rStyle w:val="CommentReference"/>
        </w:rPr>
        <w:annotationRef/>
      </w:r>
      <w:r>
        <w:t>Bold</w:t>
      </w:r>
    </w:p>
  </w:comment>
  <w:comment w:id="87" w:author="ahmed" w:date="2026-04-20T21:02:00Z" w:initials="a">
    <w:p w14:paraId="37D3279E" w14:textId="3230BFE8" w:rsidR="00B17F10" w:rsidRDefault="00B17F10">
      <w:pPr>
        <w:pStyle w:val="CommentText"/>
      </w:pPr>
      <w:r>
        <w:rPr>
          <w:rStyle w:val="CommentReference"/>
        </w:rPr>
        <w:annotationRef/>
      </w:r>
      <w:r>
        <w:t>Bold</w:t>
      </w:r>
    </w:p>
  </w:comment>
  <w:comment w:id="89" w:author="ahmed" w:date="2026-04-20T21:03:00Z" w:initials="a">
    <w:p w14:paraId="5D31F2C1" w14:textId="47F5845F" w:rsidR="00B17F10" w:rsidRDefault="00B17F10">
      <w:pPr>
        <w:pStyle w:val="CommentText"/>
      </w:pPr>
      <w:r>
        <w:rPr>
          <w:rStyle w:val="CommentReference"/>
        </w:rPr>
        <w:annotationRef/>
      </w:r>
      <w:r>
        <w:t>Italic</w:t>
      </w:r>
    </w:p>
  </w:comment>
  <w:comment w:id="88" w:author="ahmed" w:date="2026-04-20T21:02:00Z" w:initials="a">
    <w:p w14:paraId="133EF2E3" w14:textId="0EFEB9FE" w:rsidR="00B17F10" w:rsidRDefault="00B17F10">
      <w:pPr>
        <w:pStyle w:val="CommentText"/>
      </w:pPr>
      <w:r>
        <w:rPr>
          <w:rStyle w:val="CommentReference"/>
        </w:rPr>
        <w:annotationRef/>
      </w:r>
      <w:r>
        <w:t>Bold</w:t>
      </w:r>
    </w:p>
  </w:comment>
  <w:comment w:id="91" w:author="ahmed" w:date="2026-04-20T21:03:00Z" w:initials="a">
    <w:p w14:paraId="251446A4" w14:textId="52126559" w:rsidR="00B17F10" w:rsidRDefault="00B17F10">
      <w:pPr>
        <w:pStyle w:val="CommentText"/>
      </w:pPr>
      <w:r>
        <w:rPr>
          <w:rStyle w:val="CommentReference"/>
        </w:rPr>
        <w:annotationRef/>
      </w:r>
      <w:r>
        <w:t>Italic</w:t>
      </w:r>
    </w:p>
  </w:comment>
  <w:comment w:id="90" w:author="ahmed" w:date="2026-04-20T21:03:00Z" w:initials="a">
    <w:p w14:paraId="30E40721" w14:textId="09D7563E" w:rsidR="00B17F10" w:rsidRDefault="00B17F10">
      <w:pPr>
        <w:pStyle w:val="CommentText"/>
      </w:pPr>
      <w:r>
        <w:rPr>
          <w:rStyle w:val="CommentReference"/>
        </w:rPr>
        <w:annotationRef/>
      </w:r>
      <w:r>
        <w:t>Bold</w:t>
      </w:r>
    </w:p>
  </w:comment>
  <w:comment w:id="93" w:author="ahmed" w:date="2026-04-20T21:03:00Z" w:initials="a">
    <w:p w14:paraId="2D0F7A2E" w14:textId="31EED796" w:rsidR="00B17F10" w:rsidRDefault="00B17F10">
      <w:pPr>
        <w:pStyle w:val="CommentText"/>
      </w:pPr>
      <w:r>
        <w:rPr>
          <w:rStyle w:val="CommentReference"/>
        </w:rPr>
        <w:annotationRef/>
      </w:r>
      <w:r>
        <w:t>Italic</w:t>
      </w:r>
    </w:p>
  </w:comment>
  <w:comment w:id="94" w:author="ahmed" w:date="2026-04-20T21:04:00Z" w:initials="a">
    <w:p w14:paraId="32D17613" w14:textId="59A2F1C5" w:rsidR="00B17F10" w:rsidRDefault="00B17F10">
      <w:pPr>
        <w:pStyle w:val="CommentText"/>
      </w:pPr>
      <w:r>
        <w:rPr>
          <w:rStyle w:val="CommentReference"/>
        </w:rPr>
        <w:annotationRef/>
      </w:r>
      <w:r>
        <w:t>Italic</w:t>
      </w:r>
    </w:p>
  </w:comment>
  <w:comment w:id="92" w:author="ahmed" w:date="2026-04-20T21:03:00Z" w:initials="a">
    <w:p w14:paraId="26C6E465" w14:textId="7DE09DB7" w:rsidR="00B17F10" w:rsidRDefault="00B17F10">
      <w:pPr>
        <w:pStyle w:val="CommentText"/>
      </w:pPr>
      <w:r>
        <w:rPr>
          <w:rStyle w:val="CommentReference"/>
        </w:rPr>
        <w:annotationRef/>
      </w:r>
      <w:r>
        <w:t>Bold</w:t>
      </w:r>
    </w:p>
  </w:comment>
  <w:comment w:id="95" w:author="ahmed" w:date="2026-04-20T21:05:00Z" w:initials="a">
    <w:p w14:paraId="21218DC2" w14:textId="2D146E60" w:rsidR="00C56BB7" w:rsidRDefault="00C56BB7">
      <w:pPr>
        <w:pStyle w:val="CommentText"/>
      </w:pPr>
      <w:r>
        <w:rPr>
          <w:rStyle w:val="CommentReference"/>
        </w:rPr>
        <w:annotationRef/>
      </w:r>
      <w:r>
        <w:t>Bold</w:t>
      </w:r>
    </w:p>
  </w:comment>
  <w:comment w:id="96" w:author="ahmed" w:date="2026-04-20T21:06:00Z" w:initials="a">
    <w:p w14:paraId="03DB2D79" w14:textId="73A88535" w:rsidR="00C56BB7" w:rsidRDefault="00C56BB7">
      <w:pPr>
        <w:pStyle w:val="CommentText"/>
      </w:pPr>
      <w:r>
        <w:rPr>
          <w:rStyle w:val="CommentReference"/>
        </w:rPr>
        <w:annotationRef/>
      </w:r>
      <w:r>
        <w:t>Bold</w:t>
      </w:r>
    </w:p>
  </w:comment>
  <w:comment w:id="98" w:author="ahmed" w:date="2026-04-20T21:08:00Z" w:initials="a">
    <w:p w14:paraId="0762F518" w14:textId="7F9C06B7" w:rsidR="00C56BB7" w:rsidRDefault="00C56BB7">
      <w:pPr>
        <w:pStyle w:val="CommentText"/>
      </w:pPr>
      <w:r>
        <w:rPr>
          <w:rStyle w:val="CommentReference"/>
        </w:rPr>
        <w:annotationRef/>
      </w:r>
      <w:r>
        <w:t>Italic</w:t>
      </w:r>
    </w:p>
  </w:comment>
  <w:comment w:id="97" w:author="ahmed" w:date="2026-04-20T21:08:00Z" w:initials="a">
    <w:p w14:paraId="230B42FC" w14:textId="0BF9C0B7" w:rsidR="00C56BB7" w:rsidRDefault="00C56BB7">
      <w:pPr>
        <w:pStyle w:val="CommentText"/>
      </w:pPr>
      <w:r>
        <w:rPr>
          <w:rStyle w:val="CommentReference"/>
        </w:rPr>
        <w:annotationRef/>
      </w:r>
      <w:r>
        <w:t>Bold</w:t>
      </w:r>
    </w:p>
  </w:comment>
  <w:comment w:id="100" w:author="ahmed" w:date="2026-04-20T21:09:00Z" w:initials="a">
    <w:p w14:paraId="51285AC3" w14:textId="6030C4E9" w:rsidR="00C56BB7" w:rsidRDefault="00C56BB7">
      <w:pPr>
        <w:pStyle w:val="CommentText"/>
      </w:pPr>
      <w:r>
        <w:rPr>
          <w:rStyle w:val="CommentReference"/>
        </w:rPr>
        <w:annotationRef/>
      </w:r>
      <w:r>
        <w:t>Italic</w:t>
      </w:r>
    </w:p>
  </w:comment>
  <w:comment w:id="99" w:author="ahmed" w:date="2026-04-20T21:09:00Z" w:initials="a">
    <w:p w14:paraId="1FBA8BD9" w14:textId="0CA92CCD" w:rsidR="00C56BB7" w:rsidRDefault="00C56BB7">
      <w:pPr>
        <w:pStyle w:val="CommentText"/>
      </w:pPr>
      <w:r>
        <w:rPr>
          <w:rStyle w:val="CommentReference"/>
        </w:rPr>
        <w:annotationRef/>
      </w:r>
      <w:r>
        <w:t>Bold</w:t>
      </w:r>
    </w:p>
  </w:comment>
  <w:comment w:id="101" w:author="ahmed" w:date="2026-04-20T21:10:00Z" w:initials="a">
    <w:p w14:paraId="49FEF7A9" w14:textId="3FF6A570" w:rsidR="00C56BB7" w:rsidRDefault="00C56BB7">
      <w:pPr>
        <w:pStyle w:val="CommentText"/>
      </w:pPr>
      <w:r>
        <w:rPr>
          <w:rStyle w:val="CommentReference"/>
        </w:rPr>
        <w:annotationRef/>
      </w:r>
      <w:r>
        <w:t>Italic</w:t>
      </w:r>
    </w:p>
  </w:comment>
  <w:comment w:id="102" w:author="ahmed" w:date="2026-04-20T21:10:00Z" w:initials="a">
    <w:p w14:paraId="743583CA" w14:textId="60C62FD4" w:rsidR="00C56BB7" w:rsidRDefault="00C56BB7">
      <w:pPr>
        <w:pStyle w:val="CommentText"/>
      </w:pPr>
      <w:r>
        <w:rPr>
          <w:rStyle w:val="CommentReference"/>
        </w:rPr>
        <w:annotationRef/>
      </w:r>
      <w:r>
        <w:t>Italic</w:t>
      </w:r>
    </w:p>
  </w:comment>
  <w:comment w:id="103" w:author="ahmed" w:date="2026-04-20T21:10:00Z" w:initials="a">
    <w:p w14:paraId="2E25CAA8" w14:textId="742BCAA1" w:rsidR="00C56BB7" w:rsidRDefault="00C56BB7">
      <w:pPr>
        <w:pStyle w:val="CommentText"/>
      </w:pPr>
      <w:r>
        <w:rPr>
          <w:rStyle w:val="CommentReference"/>
        </w:rPr>
        <w:annotationRef/>
      </w:r>
      <w:r>
        <w:t>Italic</w:t>
      </w:r>
    </w:p>
  </w:comment>
  <w:comment w:id="105" w:author="ahmed" w:date="2026-04-20T21:11:00Z" w:initials="a">
    <w:p w14:paraId="4AE533A6" w14:textId="22B15D9B" w:rsidR="00C56BB7" w:rsidRDefault="00C56BB7">
      <w:pPr>
        <w:pStyle w:val="CommentText"/>
      </w:pPr>
      <w:r>
        <w:rPr>
          <w:rStyle w:val="CommentReference"/>
        </w:rPr>
        <w:annotationRef/>
      </w:r>
      <w:r>
        <w:t>Italic</w:t>
      </w:r>
    </w:p>
  </w:comment>
  <w:comment w:id="104" w:author="ahmed" w:date="2026-04-20T21:11:00Z" w:initials="a">
    <w:p w14:paraId="4F097FFE" w14:textId="5EF3D2A7" w:rsidR="00C56BB7" w:rsidRDefault="00C56BB7">
      <w:pPr>
        <w:pStyle w:val="CommentText"/>
      </w:pPr>
      <w:r>
        <w:rPr>
          <w:rStyle w:val="CommentReference"/>
        </w:rPr>
        <w:annotationRef/>
      </w:r>
      <w:r>
        <w:t>Bold</w:t>
      </w:r>
    </w:p>
  </w:comment>
  <w:comment w:id="107" w:author="ahmed" w:date="2026-04-20T21:13:00Z" w:initials="a">
    <w:p w14:paraId="042B61CA" w14:textId="057FB385" w:rsidR="00C56BB7" w:rsidRDefault="00C56BB7">
      <w:pPr>
        <w:pStyle w:val="CommentText"/>
      </w:pPr>
      <w:r>
        <w:rPr>
          <w:rStyle w:val="CommentReference"/>
        </w:rPr>
        <w:annotationRef/>
      </w:r>
      <w:r>
        <w:t>Italic</w:t>
      </w:r>
    </w:p>
  </w:comment>
  <w:comment w:id="106" w:author="ahmed" w:date="2026-04-20T21:13:00Z" w:initials="a">
    <w:p w14:paraId="0960D8E1" w14:textId="65D3A9F1" w:rsidR="00C56BB7" w:rsidRDefault="00C56BB7">
      <w:pPr>
        <w:pStyle w:val="CommentText"/>
      </w:pPr>
      <w:r>
        <w:rPr>
          <w:rStyle w:val="CommentReference"/>
        </w:rPr>
        <w:annotationRef/>
      </w:r>
      <w:r>
        <w:t>Bold</w:t>
      </w:r>
    </w:p>
  </w:comment>
  <w:comment w:id="108" w:author="ahmed" w:date="2026-04-20T21:15:00Z" w:initials="a">
    <w:p w14:paraId="048954A4" w14:textId="1C43090F" w:rsidR="009236A5" w:rsidRDefault="009236A5">
      <w:pPr>
        <w:pStyle w:val="CommentText"/>
      </w:pPr>
      <w:r>
        <w:rPr>
          <w:rStyle w:val="CommentReference"/>
        </w:rPr>
        <w:annotationRef/>
      </w:r>
      <w:r>
        <w:t>Bold</w:t>
      </w:r>
    </w:p>
  </w:comment>
  <w:comment w:id="109" w:author="ahmed" w:date="2026-04-20T21:18:00Z" w:initials="a">
    <w:p w14:paraId="52BF3753" w14:textId="62E11FD4" w:rsidR="009236A5" w:rsidRDefault="009236A5">
      <w:pPr>
        <w:pStyle w:val="CommentText"/>
      </w:pPr>
      <w:r>
        <w:rPr>
          <w:rStyle w:val="CommentReference"/>
        </w:rPr>
        <w:annotationRef/>
      </w:r>
      <w:r>
        <w:t>Bold</w:t>
      </w:r>
    </w:p>
  </w:comment>
  <w:comment w:id="111" w:author="ahmed" w:date="2026-04-20T21:20:00Z" w:initials="a">
    <w:p w14:paraId="2F6DED07" w14:textId="34470A4C" w:rsidR="009236A5" w:rsidRDefault="009236A5">
      <w:pPr>
        <w:pStyle w:val="CommentText"/>
      </w:pPr>
      <w:r>
        <w:rPr>
          <w:rStyle w:val="CommentReference"/>
        </w:rPr>
        <w:annotationRef/>
      </w:r>
      <w:r>
        <w:t>Italic</w:t>
      </w:r>
    </w:p>
  </w:comment>
  <w:comment w:id="110" w:author="ahmed" w:date="2026-04-20T21:19:00Z" w:initials="a">
    <w:p w14:paraId="718EF99B" w14:textId="5258B03D" w:rsidR="009236A5" w:rsidRDefault="009236A5">
      <w:pPr>
        <w:pStyle w:val="CommentText"/>
      </w:pPr>
      <w:r>
        <w:rPr>
          <w:rStyle w:val="CommentReference"/>
        </w:rPr>
        <w:annotationRef/>
      </w:r>
      <w:r>
        <w:t>Bold</w:t>
      </w:r>
    </w:p>
  </w:comment>
  <w:comment w:id="113" w:author="ahmed" w:date="2026-04-20T21:23:00Z" w:initials="a">
    <w:p w14:paraId="04E18451" w14:textId="728C30F1" w:rsidR="009236A5" w:rsidRDefault="009236A5">
      <w:pPr>
        <w:pStyle w:val="CommentText"/>
      </w:pPr>
      <w:r>
        <w:rPr>
          <w:rStyle w:val="CommentReference"/>
        </w:rPr>
        <w:annotationRef/>
      </w:r>
      <w:r>
        <w:t>Italic</w:t>
      </w:r>
    </w:p>
  </w:comment>
  <w:comment w:id="112" w:author="ahmed" w:date="2026-04-20T21:23:00Z" w:initials="a">
    <w:p w14:paraId="2462CEF7" w14:textId="17B7E539" w:rsidR="009236A5" w:rsidRDefault="009236A5">
      <w:pPr>
        <w:pStyle w:val="CommentText"/>
      </w:pPr>
      <w:r>
        <w:rPr>
          <w:rStyle w:val="CommentReference"/>
        </w:rPr>
        <w:annotationRef/>
      </w:r>
      <w:r>
        <w:t>Bold</w:t>
      </w:r>
    </w:p>
  </w:comment>
  <w:comment w:id="114" w:author="ahmed" w:date="2026-04-20T21:23:00Z" w:initials="a">
    <w:p w14:paraId="073E78B4" w14:textId="3153DAE0" w:rsidR="009236A5" w:rsidRDefault="009236A5">
      <w:pPr>
        <w:pStyle w:val="CommentText"/>
      </w:pPr>
      <w:r>
        <w:rPr>
          <w:rStyle w:val="CommentReference"/>
        </w:rPr>
        <w:annotationRef/>
      </w:r>
      <w:r>
        <w:t>Bold</w:t>
      </w:r>
    </w:p>
  </w:comment>
  <w:comment w:id="116" w:author="ahmed" w:date="2026-04-20T21:24:00Z" w:initials="a">
    <w:p w14:paraId="5ADA26CE" w14:textId="397135B0" w:rsidR="009236A5" w:rsidRDefault="009236A5">
      <w:pPr>
        <w:pStyle w:val="CommentText"/>
      </w:pPr>
      <w:r>
        <w:rPr>
          <w:rStyle w:val="CommentReference"/>
        </w:rPr>
        <w:annotationRef/>
      </w:r>
      <w:r>
        <w:t>Italic</w:t>
      </w:r>
    </w:p>
  </w:comment>
  <w:comment w:id="115" w:author="ahmed" w:date="2026-04-20T21:24:00Z" w:initials="a">
    <w:p w14:paraId="7900932C" w14:textId="7501A314" w:rsidR="009236A5" w:rsidRDefault="009236A5">
      <w:pPr>
        <w:pStyle w:val="CommentText"/>
      </w:pPr>
      <w:r>
        <w:rPr>
          <w:rStyle w:val="CommentReference"/>
        </w:rPr>
        <w:annotationRef/>
      </w:r>
      <w:r>
        <w:t>Bold</w:t>
      </w:r>
    </w:p>
  </w:comment>
  <w:comment w:id="118" w:author="ahmed" w:date="2026-04-20T21:25:00Z" w:initials="a">
    <w:p w14:paraId="5F301FE7" w14:textId="6BC197FC" w:rsidR="009236A5" w:rsidRDefault="009236A5">
      <w:pPr>
        <w:pStyle w:val="CommentText"/>
      </w:pPr>
      <w:r>
        <w:rPr>
          <w:rStyle w:val="CommentReference"/>
        </w:rPr>
        <w:annotationRef/>
      </w:r>
      <w:r>
        <w:t>Italic</w:t>
      </w:r>
    </w:p>
  </w:comment>
  <w:comment w:id="117" w:author="ahmed" w:date="2026-04-20T21:25:00Z" w:initials="a">
    <w:p w14:paraId="4725657F" w14:textId="0542652D" w:rsidR="009236A5" w:rsidRDefault="009236A5">
      <w:pPr>
        <w:pStyle w:val="CommentText"/>
      </w:pPr>
      <w:r>
        <w:rPr>
          <w:rStyle w:val="CommentReference"/>
        </w:rPr>
        <w:annotationRef/>
      </w:r>
      <w:r>
        <w:t>Bold</w:t>
      </w:r>
    </w:p>
  </w:comment>
  <w:comment w:id="120" w:author="ahmed" w:date="2026-04-20T21:28:00Z" w:initials="a">
    <w:p w14:paraId="7C04FFF1" w14:textId="196CE79E" w:rsidR="005416D8" w:rsidRDefault="005416D8">
      <w:pPr>
        <w:pStyle w:val="CommentText"/>
      </w:pPr>
      <w:r>
        <w:rPr>
          <w:rStyle w:val="CommentReference"/>
        </w:rPr>
        <w:annotationRef/>
      </w:r>
      <w:r>
        <w:t>Italic</w:t>
      </w:r>
    </w:p>
  </w:comment>
  <w:comment w:id="119" w:author="ahmed" w:date="2026-04-20T21:27:00Z" w:initials="a">
    <w:p w14:paraId="1151D8D9" w14:textId="5E263D28" w:rsidR="005416D8" w:rsidRDefault="005416D8">
      <w:pPr>
        <w:pStyle w:val="CommentText"/>
      </w:pPr>
      <w:r>
        <w:rPr>
          <w:rStyle w:val="CommentReference"/>
        </w:rPr>
        <w:annotationRef/>
      </w:r>
      <w:r>
        <w:t>Bold</w:t>
      </w:r>
    </w:p>
  </w:comment>
  <w:comment w:id="122" w:author="ahmed" w:date="2026-04-20T21:29:00Z" w:initials="a">
    <w:p w14:paraId="27DF05F6" w14:textId="0C00779A" w:rsidR="005416D8" w:rsidRDefault="005416D8">
      <w:pPr>
        <w:pStyle w:val="CommentText"/>
      </w:pPr>
      <w:r>
        <w:rPr>
          <w:rStyle w:val="CommentReference"/>
        </w:rPr>
        <w:annotationRef/>
      </w:r>
      <w:r>
        <w:t>Italic</w:t>
      </w:r>
    </w:p>
  </w:comment>
  <w:comment w:id="121" w:author="ahmed" w:date="2026-04-20T21:29:00Z" w:initials="a">
    <w:p w14:paraId="01FE667A" w14:textId="0C4756F1" w:rsidR="005416D8" w:rsidRDefault="005416D8">
      <w:pPr>
        <w:pStyle w:val="CommentText"/>
      </w:pPr>
      <w:r>
        <w:rPr>
          <w:rStyle w:val="CommentReference"/>
        </w:rPr>
        <w:annotationRef/>
      </w:r>
      <w:r>
        <w:t>Bold</w:t>
      </w:r>
    </w:p>
  </w:comment>
  <w:comment w:id="124" w:author="ahmed" w:date="2026-04-20T21:31:00Z" w:initials="a">
    <w:p w14:paraId="02A55D3E" w14:textId="4487824B" w:rsidR="005416D8" w:rsidRDefault="005416D8">
      <w:pPr>
        <w:pStyle w:val="CommentText"/>
      </w:pPr>
      <w:r>
        <w:rPr>
          <w:rStyle w:val="CommentReference"/>
        </w:rPr>
        <w:annotationRef/>
      </w:r>
      <w:r>
        <w:t>Italic</w:t>
      </w:r>
    </w:p>
  </w:comment>
  <w:comment w:id="123" w:author="ahmed" w:date="2026-04-20T21:31:00Z" w:initials="a">
    <w:p w14:paraId="08F91635" w14:textId="5B5262CE" w:rsidR="005416D8" w:rsidRDefault="005416D8">
      <w:pPr>
        <w:pStyle w:val="CommentText"/>
      </w:pPr>
      <w:r>
        <w:rPr>
          <w:rStyle w:val="CommentReference"/>
        </w:rPr>
        <w:annotationRef/>
      </w:r>
      <w:r>
        <w:t>Bold</w:t>
      </w:r>
    </w:p>
  </w:comment>
  <w:comment w:id="126" w:author="ahmed" w:date="2026-04-20T21:32:00Z" w:initials="a">
    <w:p w14:paraId="4FF7AF2B" w14:textId="04BA68DF" w:rsidR="005416D8" w:rsidRDefault="005416D8">
      <w:pPr>
        <w:pStyle w:val="CommentText"/>
      </w:pPr>
      <w:r>
        <w:rPr>
          <w:rStyle w:val="CommentReference"/>
        </w:rPr>
        <w:annotationRef/>
      </w:r>
      <w:r>
        <w:t>Italic</w:t>
      </w:r>
    </w:p>
  </w:comment>
  <w:comment w:id="125" w:author="ahmed" w:date="2026-04-20T21:31:00Z" w:initials="a">
    <w:p w14:paraId="1D9E4493" w14:textId="767A6167" w:rsidR="005416D8" w:rsidRDefault="005416D8">
      <w:pPr>
        <w:pStyle w:val="CommentText"/>
      </w:pPr>
      <w:r>
        <w:rPr>
          <w:rStyle w:val="CommentReference"/>
        </w:rPr>
        <w:annotationRef/>
      </w:r>
      <w:r>
        <w:t>Bold</w:t>
      </w:r>
    </w:p>
  </w:comment>
  <w:comment w:id="128" w:author="ahmed" w:date="2026-04-20T21:34:00Z" w:initials="a">
    <w:p w14:paraId="3B0C9BAC" w14:textId="04BA4EE1" w:rsidR="005416D8" w:rsidRDefault="005416D8">
      <w:pPr>
        <w:pStyle w:val="CommentText"/>
      </w:pPr>
      <w:r>
        <w:rPr>
          <w:rStyle w:val="CommentReference"/>
        </w:rPr>
        <w:annotationRef/>
      </w:r>
      <w:r>
        <w:t>Italic</w:t>
      </w:r>
    </w:p>
  </w:comment>
  <w:comment w:id="127" w:author="ahmed" w:date="2026-04-20T21:33:00Z" w:initials="a">
    <w:p w14:paraId="7E55E37D" w14:textId="1FB3428B" w:rsidR="005416D8" w:rsidRDefault="005416D8">
      <w:pPr>
        <w:pStyle w:val="CommentText"/>
      </w:pPr>
      <w:r>
        <w:rPr>
          <w:rStyle w:val="CommentReference"/>
        </w:rPr>
        <w:annotationRef/>
      </w:r>
      <w:r>
        <w:t>Bold</w:t>
      </w:r>
    </w:p>
  </w:comment>
  <w:comment w:id="129" w:author="ahmed" w:date="2026-04-20T21:35:00Z" w:initials="a">
    <w:p w14:paraId="7A70C302" w14:textId="48A4C995" w:rsidR="005416D8" w:rsidRDefault="005416D8">
      <w:pPr>
        <w:pStyle w:val="CommentText"/>
      </w:pPr>
      <w:r>
        <w:rPr>
          <w:rStyle w:val="CommentReference"/>
        </w:rPr>
        <w:annotationRef/>
      </w:r>
      <w:r>
        <w:t>Bold</w:t>
      </w:r>
    </w:p>
  </w:comment>
  <w:comment w:id="131" w:author="ahmed" w:date="2026-04-20T21:36:00Z" w:initials="a">
    <w:p w14:paraId="1D383F4D" w14:textId="0997748D" w:rsidR="00B25748" w:rsidRDefault="00B25748">
      <w:pPr>
        <w:pStyle w:val="CommentText"/>
      </w:pPr>
      <w:r>
        <w:rPr>
          <w:rStyle w:val="CommentReference"/>
        </w:rPr>
        <w:annotationRef/>
      </w:r>
      <w:r>
        <w:t>Italic</w:t>
      </w:r>
    </w:p>
  </w:comment>
  <w:comment w:id="130" w:author="ahmed" w:date="2026-04-20T21:36:00Z" w:initials="a">
    <w:p w14:paraId="2700E8EE" w14:textId="0DE4CA79" w:rsidR="00B25748" w:rsidRDefault="00B25748">
      <w:pPr>
        <w:pStyle w:val="CommentText"/>
      </w:pPr>
      <w:r>
        <w:rPr>
          <w:rStyle w:val="CommentReference"/>
        </w:rPr>
        <w:annotationRef/>
      </w:r>
      <w:r>
        <w:t>Bold</w:t>
      </w:r>
    </w:p>
  </w:comment>
  <w:comment w:id="133" w:author="ahmed" w:date="2026-04-20T21:38:00Z" w:initials="a">
    <w:p w14:paraId="6F88724D" w14:textId="71DC8A14" w:rsidR="00B25748" w:rsidRDefault="00B25748">
      <w:pPr>
        <w:pStyle w:val="CommentText"/>
      </w:pPr>
      <w:r>
        <w:rPr>
          <w:rStyle w:val="CommentReference"/>
        </w:rPr>
        <w:annotationRef/>
      </w:r>
      <w:r>
        <w:t>Italic</w:t>
      </w:r>
    </w:p>
  </w:comment>
  <w:comment w:id="132" w:author="ahmed" w:date="2026-04-20T21:38:00Z" w:initials="a">
    <w:p w14:paraId="125EEE10" w14:textId="41803BF1" w:rsidR="00B25748" w:rsidRDefault="00B25748">
      <w:pPr>
        <w:pStyle w:val="CommentText"/>
      </w:pPr>
      <w:r>
        <w:rPr>
          <w:rStyle w:val="CommentReference"/>
        </w:rPr>
        <w:annotationRef/>
      </w:r>
      <w:r>
        <w:t>Bold</w:t>
      </w:r>
    </w:p>
  </w:comment>
  <w:comment w:id="135" w:author="ahmed" w:date="2026-04-20T21:40:00Z" w:initials="a">
    <w:p w14:paraId="3DCE7817" w14:textId="574FD71B" w:rsidR="00B25748" w:rsidRDefault="00B25748">
      <w:pPr>
        <w:pStyle w:val="CommentText"/>
      </w:pPr>
      <w:r>
        <w:rPr>
          <w:rStyle w:val="CommentReference"/>
        </w:rPr>
        <w:annotationRef/>
      </w:r>
      <w:r>
        <w:t>Italic</w:t>
      </w:r>
    </w:p>
  </w:comment>
  <w:comment w:id="134" w:author="ahmed" w:date="2026-04-20T21:39:00Z" w:initials="a">
    <w:p w14:paraId="34AA0BAA" w14:textId="409C0DE9" w:rsidR="00B25748" w:rsidRDefault="00B25748">
      <w:pPr>
        <w:pStyle w:val="CommentText"/>
      </w:pPr>
      <w:r>
        <w:rPr>
          <w:rStyle w:val="CommentReference"/>
        </w:rPr>
        <w:annotationRef/>
      </w:r>
      <w:r>
        <w:t>Bold</w:t>
      </w:r>
    </w:p>
  </w:comment>
  <w:comment w:id="137" w:author="ahmed" w:date="2026-04-20T21:40:00Z" w:initials="a">
    <w:p w14:paraId="5E87FE3C" w14:textId="50C3ADF7" w:rsidR="00B25748" w:rsidRDefault="00B25748">
      <w:pPr>
        <w:pStyle w:val="CommentText"/>
      </w:pPr>
      <w:r>
        <w:rPr>
          <w:rStyle w:val="CommentReference"/>
        </w:rPr>
        <w:annotationRef/>
      </w:r>
      <w:r>
        <w:t>Italic</w:t>
      </w:r>
    </w:p>
  </w:comment>
  <w:comment w:id="136" w:author="ahmed" w:date="2026-04-20T21:40:00Z" w:initials="a">
    <w:p w14:paraId="2CFC006D" w14:textId="23325F8A" w:rsidR="00B25748" w:rsidRDefault="00B25748">
      <w:pPr>
        <w:pStyle w:val="CommentText"/>
      </w:pPr>
      <w:r>
        <w:rPr>
          <w:rStyle w:val="CommentReference"/>
        </w:rPr>
        <w:annotationRef/>
      </w:r>
      <w:r>
        <w:t>Bold</w:t>
      </w:r>
    </w:p>
  </w:comment>
  <w:comment w:id="139" w:author="ahmed" w:date="2026-04-20T21:57:00Z" w:initials="a">
    <w:p w14:paraId="3E2C8D49" w14:textId="603F4F94" w:rsidR="00B53A5D" w:rsidRDefault="00B53A5D">
      <w:pPr>
        <w:pStyle w:val="CommentText"/>
      </w:pPr>
      <w:r>
        <w:rPr>
          <w:rStyle w:val="CommentReference"/>
        </w:rPr>
        <w:annotationRef/>
      </w:r>
      <w:r>
        <w:t>Italic</w:t>
      </w:r>
    </w:p>
  </w:comment>
  <w:comment w:id="138" w:author="ahmed" w:date="2026-04-20T21:57:00Z" w:initials="a">
    <w:p w14:paraId="363841C3" w14:textId="4FF32703" w:rsidR="00B53A5D" w:rsidRDefault="00B53A5D">
      <w:pPr>
        <w:pStyle w:val="CommentText"/>
      </w:pPr>
      <w:r>
        <w:rPr>
          <w:rStyle w:val="CommentReference"/>
        </w:rPr>
        <w:annotationRef/>
      </w:r>
      <w:r>
        <w:t>Bold</w:t>
      </w:r>
    </w:p>
  </w:comment>
  <w:comment w:id="141" w:author="ahmed" w:date="2026-04-20T21:59:00Z" w:initials="a">
    <w:p w14:paraId="5C5C0A95" w14:textId="1EA33F61" w:rsidR="00B53A5D" w:rsidRDefault="00B53A5D">
      <w:pPr>
        <w:pStyle w:val="CommentText"/>
      </w:pPr>
      <w:r>
        <w:rPr>
          <w:rStyle w:val="CommentReference"/>
        </w:rPr>
        <w:annotationRef/>
      </w:r>
      <w:r>
        <w:t>Italic</w:t>
      </w:r>
    </w:p>
  </w:comment>
  <w:comment w:id="140" w:author="ahmed" w:date="2026-04-20T21:59:00Z" w:initials="a">
    <w:p w14:paraId="77DCCD09" w14:textId="203640AE" w:rsidR="00B53A5D" w:rsidRDefault="00B53A5D">
      <w:pPr>
        <w:pStyle w:val="CommentText"/>
      </w:pPr>
      <w:r>
        <w:rPr>
          <w:rStyle w:val="CommentReference"/>
        </w:rPr>
        <w:annotationRef/>
      </w:r>
      <w:r>
        <w:t>Bold</w:t>
      </w:r>
    </w:p>
  </w:comment>
  <w:comment w:id="143" w:author="ahmed" w:date="2026-04-20T22:01:00Z" w:initials="a">
    <w:p w14:paraId="2FE89756" w14:textId="42EA76CD" w:rsidR="00B53A5D" w:rsidRDefault="00B53A5D">
      <w:pPr>
        <w:pStyle w:val="CommentText"/>
      </w:pPr>
      <w:r>
        <w:rPr>
          <w:rStyle w:val="CommentReference"/>
        </w:rPr>
        <w:annotationRef/>
      </w:r>
      <w:r>
        <w:t>Italic</w:t>
      </w:r>
    </w:p>
  </w:comment>
  <w:comment w:id="142" w:author="ahmed" w:date="2026-04-20T22:00:00Z" w:initials="a">
    <w:p w14:paraId="77C32794" w14:textId="63DCFD26" w:rsidR="00B53A5D" w:rsidRDefault="00B53A5D">
      <w:pPr>
        <w:pStyle w:val="CommentText"/>
      </w:pPr>
      <w:r>
        <w:rPr>
          <w:rStyle w:val="CommentReference"/>
        </w:rPr>
        <w:annotationRef/>
      </w:r>
      <w:r>
        <w:t>Bold</w:t>
      </w:r>
    </w:p>
  </w:comment>
  <w:comment w:id="145" w:author="ahmed" w:date="2026-04-20T22:03:00Z" w:initials="a">
    <w:p w14:paraId="688D03DF" w14:textId="4A07F497" w:rsidR="00B53A5D" w:rsidRDefault="00B53A5D">
      <w:pPr>
        <w:pStyle w:val="CommentText"/>
      </w:pPr>
      <w:r>
        <w:rPr>
          <w:rStyle w:val="CommentReference"/>
        </w:rPr>
        <w:annotationRef/>
      </w:r>
      <w:r>
        <w:t>Italic</w:t>
      </w:r>
    </w:p>
  </w:comment>
  <w:comment w:id="144" w:author="ahmed" w:date="2026-04-20T22:02:00Z" w:initials="a">
    <w:p w14:paraId="37DC78B4" w14:textId="0B521F72" w:rsidR="00B53A5D" w:rsidRDefault="00B53A5D">
      <w:pPr>
        <w:pStyle w:val="CommentText"/>
      </w:pPr>
      <w:r>
        <w:rPr>
          <w:rStyle w:val="CommentReference"/>
        </w:rPr>
        <w:annotationRef/>
      </w:r>
      <w:r>
        <w:t>Bold</w:t>
      </w:r>
    </w:p>
  </w:comment>
  <w:comment w:id="147" w:author="ahmed" w:date="2026-04-20T22:04:00Z" w:initials="a">
    <w:p w14:paraId="695496F5" w14:textId="6A962508" w:rsidR="00BF75F3" w:rsidRDefault="00BF75F3">
      <w:pPr>
        <w:pStyle w:val="CommentText"/>
      </w:pPr>
      <w:r>
        <w:rPr>
          <w:rStyle w:val="CommentReference"/>
        </w:rPr>
        <w:annotationRef/>
      </w:r>
      <w:r>
        <w:t>Italic</w:t>
      </w:r>
    </w:p>
  </w:comment>
  <w:comment w:id="146" w:author="ahmed" w:date="2026-04-20T22:04:00Z" w:initials="a">
    <w:p w14:paraId="43006D08" w14:textId="41C979DB" w:rsidR="00BF75F3" w:rsidRDefault="00BF75F3">
      <w:pPr>
        <w:pStyle w:val="CommentText"/>
      </w:pPr>
      <w:r>
        <w:rPr>
          <w:rStyle w:val="CommentReference"/>
        </w:rPr>
        <w:annotationRef/>
      </w:r>
      <w:r>
        <w:t>Bold</w:t>
      </w:r>
    </w:p>
  </w:comment>
  <w:comment w:id="149" w:author="ahmed" w:date="2026-04-20T22:06:00Z" w:initials="a">
    <w:p w14:paraId="196BDB6E" w14:textId="47EF7F40" w:rsidR="00BF75F3" w:rsidRDefault="00BF75F3">
      <w:pPr>
        <w:pStyle w:val="CommentText"/>
      </w:pPr>
      <w:r>
        <w:rPr>
          <w:rStyle w:val="CommentReference"/>
        </w:rPr>
        <w:annotationRef/>
      </w:r>
      <w:r>
        <w:t>Italic</w:t>
      </w:r>
    </w:p>
  </w:comment>
  <w:comment w:id="148" w:author="ahmed" w:date="2026-04-20T22:06:00Z" w:initials="a">
    <w:p w14:paraId="1D1790A1" w14:textId="1EED874A" w:rsidR="00BF75F3" w:rsidRDefault="00BF75F3">
      <w:pPr>
        <w:pStyle w:val="CommentText"/>
      </w:pPr>
      <w:r>
        <w:rPr>
          <w:rStyle w:val="CommentReference"/>
        </w:rPr>
        <w:annotationRef/>
      </w:r>
      <w:r>
        <w:t>Bold</w:t>
      </w:r>
    </w:p>
  </w:comment>
  <w:comment w:id="150" w:author="ahmed" w:date="2026-04-20T22:06:00Z" w:initials="a">
    <w:p w14:paraId="49F1A6D2" w14:textId="5FC33699" w:rsidR="00BF75F3" w:rsidRDefault="00BF75F3">
      <w:pPr>
        <w:pStyle w:val="CommentText"/>
      </w:pPr>
      <w:r>
        <w:rPr>
          <w:rStyle w:val="CommentReference"/>
        </w:rPr>
        <w:annotationRef/>
      </w:r>
      <w:r>
        <w:t>Bold</w:t>
      </w:r>
    </w:p>
  </w:comment>
  <w:comment w:id="152" w:author="ahmed" w:date="2026-04-20T22:08:00Z" w:initials="a">
    <w:p w14:paraId="22F3D51C" w14:textId="53A69837" w:rsidR="00BF75F3" w:rsidRDefault="00BF75F3">
      <w:pPr>
        <w:pStyle w:val="CommentText"/>
      </w:pPr>
      <w:r>
        <w:rPr>
          <w:rStyle w:val="CommentReference"/>
        </w:rPr>
        <w:annotationRef/>
      </w:r>
      <w:r>
        <w:t>Italic</w:t>
      </w:r>
    </w:p>
  </w:comment>
  <w:comment w:id="151" w:author="ahmed" w:date="2026-04-20T22:08:00Z" w:initials="a">
    <w:p w14:paraId="5F126ABD" w14:textId="6D4248E8" w:rsidR="00BF75F3" w:rsidRDefault="00BF75F3">
      <w:pPr>
        <w:pStyle w:val="CommentText"/>
      </w:pPr>
      <w:r>
        <w:rPr>
          <w:rStyle w:val="CommentReference"/>
        </w:rPr>
        <w:annotationRef/>
      </w:r>
      <w:r>
        <w:t>Bold</w:t>
      </w:r>
    </w:p>
  </w:comment>
  <w:comment w:id="154" w:author="ahmed" w:date="2026-04-20T22:10:00Z" w:initials="a">
    <w:p w14:paraId="3FEA937A" w14:textId="1EBB4039" w:rsidR="00BF75F3" w:rsidRDefault="00BF75F3">
      <w:pPr>
        <w:pStyle w:val="CommentText"/>
      </w:pPr>
      <w:r>
        <w:rPr>
          <w:rStyle w:val="CommentReference"/>
        </w:rPr>
        <w:annotationRef/>
      </w:r>
      <w:r>
        <w:t>Italic</w:t>
      </w:r>
    </w:p>
  </w:comment>
  <w:comment w:id="153" w:author="ahmed" w:date="2026-04-20T22:10:00Z" w:initials="a">
    <w:p w14:paraId="392A64CD" w14:textId="39AD1425" w:rsidR="00BF75F3" w:rsidRDefault="00BF75F3">
      <w:pPr>
        <w:pStyle w:val="CommentText"/>
      </w:pPr>
      <w:r>
        <w:rPr>
          <w:rStyle w:val="CommentReference"/>
        </w:rPr>
        <w:annotationRef/>
      </w:r>
      <w:r>
        <w:t>Bold</w:t>
      </w:r>
    </w:p>
  </w:comment>
  <w:comment w:id="155" w:author="ahmed" w:date="2026-04-20T22:12:00Z" w:initials="a">
    <w:p w14:paraId="18EF852B" w14:textId="6C871178" w:rsidR="00183B31" w:rsidRDefault="00183B31">
      <w:pPr>
        <w:pStyle w:val="CommentText"/>
      </w:pPr>
      <w:r>
        <w:rPr>
          <w:rStyle w:val="CommentReference"/>
        </w:rPr>
        <w:annotationRef/>
      </w:r>
      <w:r>
        <w:t>Delete</w:t>
      </w:r>
    </w:p>
  </w:comment>
  <w:comment w:id="156" w:author="ahmed" w:date="2026-04-20T22:13:00Z" w:initials="a">
    <w:p w14:paraId="14B60BCD" w14:textId="4CBB1D5C" w:rsidR="00183B31" w:rsidRDefault="00183B31">
      <w:pPr>
        <w:pStyle w:val="CommentText"/>
      </w:pPr>
      <w:r>
        <w:rPr>
          <w:rStyle w:val="CommentReference"/>
        </w:rPr>
        <w:annotationRef/>
      </w:r>
      <w:r>
        <w:t>Delete</w:t>
      </w:r>
    </w:p>
  </w:comment>
  <w:comment w:id="157" w:author="ahmed" w:date="2026-04-20T22:13:00Z" w:initials="a">
    <w:p w14:paraId="4162291D" w14:textId="64066512" w:rsidR="00183B31" w:rsidRDefault="00183B31">
      <w:pPr>
        <w:pStyle w:val="CommentText"/>
      </w:pPr>
      <w:r>
        <w:rPr>
          <w:rStyle w:val="CommentReference"/>
        </w:rPr>
        <w:annotationRef/>
      </w:r>
      <w:r>
        <w:t>Delete</w:t>
      </w:r>
    </w:p>
  </w:comment>
  <w:comment w:id="158" w:author="ahmed" w:date="2026-04-20T22:13:00Z" w:initials="a">
    <w:p w14:paraId="64604877" w14:textId="23C992DB" w:rsidR="00183B31" w:rsidRDefault="00183B31">
      <w:pPr>
        <w:pStyle w:val="CommentText"/>
      </w:pPr>
      <w:r>
        <w:rPr>
          <w:rStyle w:val="CommentReference"/>
        </w:rPr>
        <w:annotationRef/>
      </w:r>
      <w:r>
        <w:t>Delete</w:t>
      </w:r>
    </w:p>
  </w:comment>
  <w:comment w:id="159" w:author="ahmed" w:date="2026-04-20T22:14:00Z" w:initials="a">
    <w:p w14:paraId="07139482" w14:textId="2B94B1F6" w:rsidR="00183B31" w:rsidRDefault="00183B31">
      <w:pPr>
        <w:pStyle w:val="CommentText"/>
      </w:pPr>
      <w:r>
        <w:rPr>
          <w:rStyle w:val="CommentReference"/>
        </w:rPr>
        <w:annotationRef/>
      </w:r>
      <w:r>
        <w:t>Delete</w:t>
      </w:r>
    </w:p>
  </w:comment>
  <w:comment w:id="160" w:author="ahmed" w:date="2026-04-20T22:14:00Z" w:initials="a">
    <w:p w14:paraId="027BED95" w14:textId="6DC91082" w:rsidR="00183B31" w:rsidRDefault="00183B31">
      <w:pPr>
        <w:pStyle w:val="CommentText"/>
      </w:pPr>
      <w:r>
        <w:rPr>
          <w:rStyle w:val="CommentReference"/>
        </w:rPr>
        <w:annotationRef/>
      </w:r>
      <w:r>
        <w:t>Delete</w:t>
      </w:r>
    </w:p>
  </w:comment>
  <w:comment w:id="161" w:author="ahmed" w:date="2026-04-20T22:14:00Z" w:initials="a">
    <w:p w14:paraId="558B3267" w14:textId="6419B4A1" w:rsidR="00183B31" w:rsidRDefault="00183B31">
      <w:pPr>
        <w:pStyle w:val="CommentText"/>
      </w:pPr>
      <w:r>
        <w:rPr>
          <w:rStyle w:val="CommentReference"/>
        </w:rPr>
        <w:annotationRef/>
      </w:r>
      <w:r>
        <w:t>Delete</w:t>
      </w:r>
    </w:p>
  </w:comment>
  <w:comment w:id="162" w:author="ahmed" w:date="2026-04-20T22:14:00Z" w:initials="a">
    <w:p w14:paraId="49336AEA" w14:textId="1EAF1E76" w:rsidR="00183B31" w:rsidRDefault="00183B31">
      <w:pPr>
        <w:pStyle w:val="CommentText"/>
      </w:pPr>
      <w:r>
        <w:rPr>
          <w:rStyle w:val="CommentReference"/>
        </w:rPr>
        <w:annotationRef/>
      </w:r>
      <w:r>
        <w:t>Delete</w:t>
      </w:r>
    </w:p>
  </w:comment>
  <w:comment w:id="163" w:author="ahmed" w:date="2026-04-20T22:15:00Z" w:initials="a">
    <w:p w14:paraId="3F30554E" w14:textId="4F63E10D" w:rsidR="00183B31" w:rsidRDefault="00183B31">
      <w:pPr>
        <w:pStyle w:val="CommentText"/>
      </w:pPr>
      <w:r>
        <w:rPr>
          <w:rStyle w:val="CommentReference"/>
        </w:rPr>
        <w:annotationRef/>
      </w:r>
      <w:r>
        <w:t>Delete</w:t>
      </w:r>
    </w:p>
  </w:comment>
  <w:comment w:id="164" w:author="ahmed" w:date="2026-04-20T22:15:00Z" w:initials="a">
    <w:p w14:paraId="45BD9866" w14:textId="431AC54A" w:rsidR="00183B31" w:rsidRDefault="00183B31">
      <w:pPr>
        <w:pStyle w:val="CommentText"/>
      </w:pPr>
      <w:r>
        <w:rPr>
          <w:rStyle w:val="CommentReference"/>
        </w:rPr>
        <w:annotationRef/>
      </w:r>
      <w:r>
        <w:t>Delete</w:t>
      </w:r>
    </w:p>
  </w:comment>
  <w:comment w:id="165" w:author="ahmed" w:date="2026-04-20T22:15:00Z" w:initials="a">
    <w:p w14:paraId="750F738F" w14:textId="2DD1CEDE" w:rsidR="00183B31" w:rsidRDefault="00183B31">
      <w:pPr>
        <w:pStyle w:val="CommentText"/>
      </w:pPr>
      <w:r>
        <w:rPr>
          <w:rStyle w:val="CommentReference"/>
        </w:rPr>
        <w:annotationRef/>
      </w:r>
      <w:r>
        <w:t>Delete</w:t>
      </w:r>
    </w:p>
  </w:comment>
  <w:comment w:id="166" w:author="ahmed" w:date="2026-04-20T22:16:00Z" w:initials="a">
    <w:p w14:paraId="64F9F5D6" w14:textId="42CC3E0D" w:rsidR="00183B31" w:rsidRDefault="00183B31">
      <w:pPr>
        <w:pStyle w:val="CommentText"/>
      </w:pPr>
      <w:r>
        <w:rPr>
          <w:rStyle w:val="CommentReference"/>
        </w:rPr>
        <w:annotationRef/>
      </w:r>
      <w:r>
        <w:t>Delete</w:t>
      </w:r>
    </w:p>
  </w:comment>
  <w:comment w:id="167" w:author="ahmed" w:date="2026-04-20T22:16:00Z" w:initials="a">
    <w:p w14:paraId="30754DB1" w14:textId="6975CD0B" w:rsidR="00183B31" w:rsidRDefault="00183B31">
      <w:pPr>
        <w:pStyle w:val="CommentText"/>
      </w:pPr>
      <w:r>
        <w:rPr>
          <w:rStyle w:val="CommentReference"/>
        </w:rPr>
        <w:annotationRef/>
      </w:r>
      <w:r>
        <w:t>Delete</w:t>
      </w:r>
    </w:p>
  </w:comment>
  <w:comment w:id="168" w:author="ahmed" w:date="2026-04-20T22:16:00Z" w:initials="a">
    <w:p w14:paraId="6747FB3B" w14:textId="2E842766" w:rsidR="00183B31" w:rsidRDefault="00183B31">
      <w:pPr>
        <w:pStyle w:val="CommentText"/>
      </w:pPr>
      <w:r>
        <w:rPr>
          <w:rStyle w:val="CommentReference"/>
        </w:rPr>
        <w:annotationRef/>
      </w:r>
      <w:r>
        <w:t>Delete</w:t>
      </w:r>
    </w:p>
  </w:comment>
  <w:comment w:id="169" w:author="ahmed" w:date="2026-04-20T22:17:00Z" w:initials="a">
    <w:p w14:paraId="1EE84E45" w14:textId="59F6D820" w:rsidR="00183B31" w:rsidRDefault="00183B31">
      <w:pPr>
        <w:pStyle w:val="CommentText"/>
      </w:pPr>
      <w:r>
        <w:rPr>
          <w:rStyle w:val="CommentReference"/>
        </w:rPr>
        <w:annotationRef/>
      </w:r>
      <w:r>
        <w:t>Delete</w:t>
      </w:r>
    </w:p>
  </w:comment>
  <w:comment w:id="170" w:author="ahmed" w:date="2026-04-20T22:17:00Z" w:initials="a">
    <w:p w14:paraId="6DCE3A16" w14:textId="14458C8B" w:rsidR="00183B31" w:rsidRDefault="00183B31">
      <w:pPr>
        <w:pStyle w:val="CommentText"/>
      </w:pPr>
      <w:r>
        <w:rPr>
          <w:rStyle w:val="CommentReference"/>
        </w:rPr>
        <w:annotationRef/>
      </w:r>
      <w:r>
        <w:t>Delete</w:t>
      </w:r>
    </w:p>
  </w:comment>
  <w:comment w:id="171" w:author="ahmed" w:date="2026-04-20T22:17:00Z" w:initials="a">
    <w:p w14:paraId="4B2D7461" w14:textId="294A766F" w:rsidR="00183B31" w:rsidRDefault="00183B31">
      <w:pPr>
        <w:pStyle w:val="CommentText"/>
      </w:pPr>
      <w:r>
        <w:rPr>
          <w:rStyle w:val="CommentReference"/>
        </w:rPr>
        <w:annotationRef/>
      </w:r>
      <w:r>
        <w:t>Delete</w:t>
      </w:r>
    </w:p>
  </w:comment>
  <w:comment w:id="172" w:author="ahmed" w:date="2026-04-20T22:18:00Z" w:initials="a">
    <w:p w14:paraId="28AE53DF" w14:textId="67859B08" w:rsidR="00183B31" w:rsidRDefault="00183B31">
      <w:pPr>
        <w:pStyle w:val="CommentText"/>
      </w:pPr>
      <w:r>
        <w:rPr>
          <w:rStyle w:val="CommentReference"/>
        </w:rPr>
        <w:annotationRef/>
      </w:r>
      <w:r>
        <w:t>Delete</w:t>
      </w:r>
    </w:p>
  </w:comment>
  <w:comment w:id="173" w:author="ahmed" w:date="2026-04-20T22:18:00Z" w:initials="a">
    <w:p w14:paraId="0B997D64" w14:textId="41FA51BF" w:rsidR="00183B31" w:rsidRDefault="00183B31">
      <w:pPr>
        <w:pStyle w:val="CommentText"/>
      </w:pPr>
      <w:r>
        <w:rPr>
          <w:rStyle w:val="CommentReference"/>
        </w:rPr>
        <w:annotationRef/>
      </w:r>
      <w:r>
        <w:t>Delete</w:t>
      </w:r>
    </w:p>
  </w:comment>
  <w:comment w:id="174" w:author="ahmed" w:date="2026-04-20T22:18:00Z" w:initials="a">
    <w:p w14:paraId="3B1EE960" w14:textId="0FE381D3" w:rsidR="00183B31" w:rsidRDefault="00183B31">
      <w:pPr>
        <w:pStyle w:val="CommentText"/>
      </w:pPr>
      <w:r>
        <w:rPr>
          <w:rStyle w:val="CommentReference"/>
        </w:rPr>
        <w:annotationRef/>
      </w:r>
      <w:r>
        <w:t>Delete</w:t>
      </w:r>
    </w:p>
  </w:comment>
  <w:comment w:id="175" w:author="ahmed" w:date="2026-04-20T22:18:00Z" w:initials="a">
    <w:p w14:paraId="25F83340" w14:textId="603CAAC5" w:rsidR="00183B31" w:rsidRDefault="00183B31">
      <w:pPr>
        <w:pStyle w:val="CommentText"/>
      </w:pPr>
      <w:r>
        <w:rPr>
          <w:rStyle w:val="CommentReference"/>
        </w:rPr>
        <w:annotationRef/>
      </w:r>
      <w:r>
        <w:t>Delete</w:t>
      </w:r>
    </w:p>
  </w:comment>
  <w:comment w:id="176" w:author="ahmed" w:date="2026-04-20T22:18:00Z" w:initials="a">
    <w:p w14:paraId="12702A66" w14:textId="3E223269" w:rsidR="00183B31" w:rsidRDefault="00183B31">
      <w:pPr>
        <w:pStyle w:val="CommentText"/>
      </w:pPr>
      <w:r>
        <w:rPr>
          <w:rStyle w:val="CommentReference"/>
        </w:rPr>
        <w:annotationRef/>
      </w:r>
      <w:r>
        <w:t>Delete</w:t>
      </w:r>
    </w:p>
  </w:comment>
  <w:comment w:id="177" w:author="ahmed" w:date="2026-04-20T22:19:00Z" w:initials="a">
    <w:p w14:paraId="40F4BB0A" w14:textId="429908F3" w:rsidR="00183B31" w:rsidRDefault="00183B31">
      <w:pPr>
        <w:pStyle w:val="CommentText"/>
      </w:pPr>
      <w:r>
        <w:rPr>
          <w:rStyle w:val="CommentReference"/>
        </w:rPr>
        <w:annotationRef/>
      </w:r>
      <w:r>
        <w:t>Delete</w:t>
      </w:r>
    </w:p>
  </w:comment>
  <w:comment w:id="178" w:author="ahmed" w:date="2026-04-20T22:19:00Z" w:initials="a">
    <w:p w14:paraId="03F92E25" w14:textId="0BD9817B" w:rsidR="00183B31" w:rsidRDefault="00183B31">
      <w:pPr>
        <w:pStyle w:val="CommentText"/>
      </w:pPr>
      <w:r>
        <w:rPr>
          <w:rStyle w:val="CommentReference"/>
        </w:rPr>
        <w:annotationRef/>
      </w:r>
      <w:r>
        <w:t>Delete</w:t>
      </w:r>
    </w:p>
  </w:comment>
  <w:comment w:id="179" w:author="ahmed" w:date="2026-04-20T22:19:00Z" w:initials="a">
    <w:p w14:paraId="3248FDA9" w14:textId="449CE341" w:rsidR="00183B31" w:rsidRDefault="00183B31">
      <w:pPr>
        <w:pStyle w:val="CommentText"/>
      </w:pPr>
      <w:r>
        <w:rPr>
          <w:rStyle w:val="CommentReference"/>
        </w:rPr>
        <w:annotationRef/>
      </w:r>
      <w:r>
        <w:t>Delete</w:t>
      </w:r>
    </w:p>
  </w:comment>
  <w:comment w:id="180" w:author="ahmed" w:date="2026-04-20T22:19:00Z" w:initials="a">
    <w:p w14:paraId="51C6FB58" w14:textId="35330FD5" w:rsidR="00183B31" w:rsidRDefault="00183B31">
      <w:pPr>
        <w:pStyle w:val="CommentText"/>
      </w:pPr>
      <w:r>
        <w:rPr>
          <w:rStyle w:val="CommentReference"/>
        </w:rPr>
        <w:annotationRef/>
      </w:r>
      <w:r>
        <w:t>Delete</w:t>
      </w:r>
    </w:p>
  </w:comment>
  <w:comment w:id="181" w:author="ahmed" w:date="2026-04-20T22:20:00Z" w:initials="a">
    <w:p w14:paraId="02F3402A" w14:textId="6A3CE141" w:rsidR="00183B31" w:rsidRDefault="00183B31">
      <w:pPr>
        <w:pStyle w:val="CommentText"/>
      </w:pPr>
      <w:r>
        <w:rPr>
          <w:rStyle w:val="CommentReference"/>
        </w:rPr>
        <w:annotationRef/>
      </w:r>
      <w:r>
        <w:t>Delete</w:t>
      </w:r>
    </w:p>
  </w:comment>
  <w:comment w:id="182" w:author="ahmed" w:date="2026-04-20T22:20:00Z" w:initials="a">
    <w:p w14:paraId="3C9A6131" w14:textId="5CA8D15D" w:rsidR="00183B31" w:rsidRDefault="00183B31">
      <w:pPr>
        <w:pStyle w:val="CommentText"/>
      </w:pPr>
      <w:r>
        <w:rPr>
          <w:rStyle w:val="CommentReference"/>
        </w:rPr>
        <w:annotationRef/>
      </w:r>
      <w:r>
        <w:t>Delete</w:t>
      </w:r>
    </w:p>
  </w:comment>
  <w:comment w:id="183" w:author="ahmed" w:date="2026-04-20T22:20:00Z" w:initials="a">
    <w:p w14:paraId="5374C456" w14:textId="3D01C27E" w:rsidR="00183B31" w:rsidRDefault="00183B31">
      <w:pPr>
        <w:pStyle w:val="CommentText"/>
      </w:pPr>
      <w:r>
        <w:rPr>
          <w:rStyle w:val="CommentReference"/>
        </w:rPr>
        <w:annotationRef/>
      </w:r>
      <w:r>
        <w:t>Delete</w:t>
      </w:r>
    </w:p>
  </w:comment>
  <w:comment w:id="184" w:author="ahmed" w:date="2026-04-20T22:21:00Z" w:initials="a">
    <w:p w14:paraId="078F21D6" w14:textId="58605B02" w:rsidR="00183B31" w:rsidRDefault="00183B31">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A4B25" w14:textId="77777777" w:rsidR="00B359D6" w:rsidRDefault="00B359D6" w:rsidP="001F5B3A">
      <w:r>
        <w:separator/>
      </w:r>
    </w:p>
  </w:endnote>
  <w:endnote w:type="continuationSeparator" w:id="0">
    <w:p w14:paraId="5FDD6EF0" w14:textId="77777777" w:rsidR="00B359D6" w:rsidRDefault="00B359D6" w:rsidP="001F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B5485" w14:textId="77777777" w:rsidR="001F5B3A" w:rsidRDefault="001F5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8C59C" w14:textId="77777777" w:rsidR="001F5B3A" w:rsidRDefault="001F5B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0919A" w14:textId="77777777" w:rsidR="001F5B3A" w:rsidRDefault="001F5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46F83" w14:textId="77777777" w:rsidR="00B359D6" w:rsidRDefault="00B359D6" w:rsidP="001F5B3A">
      <w:r>
        <w:separator/>
      </w:r>
    </w:p>
  </w:footnote>
  <w:footnote w:type="continuationSeparator" w:id="0">
    <w:p w14:paraId="00F1FC27" w14:textId="77777777" w:rsidR="00B359D6" w:rsidRDefault="00B359D6" w:rsidP="001F5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4D46" w14:textId="6F7EDEDB" w:rsidR="001F5B3A" w:rsidRDefault="00B359D6">
    <w:pPr>
      <w:pStyle w:val="Header"/>
    </w:pPr>
    <w:r>
      <w:rPr>
        <w:noProof/>
      </w:rPr>
      <w:pict w14:anchorId="7FFB8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6338" w14:textId="4DBBB2ED" w:rsidR="001F5B3A" w:rsidRDefault="00B359D6">
    <w:pPr>
      <w:pStyle w:val="Header"/>
    </w:pPr>
    <w:r>
      <w:rPr>
        <w:noProof/>
      </w:rPr>
      <w:pict w14:anchorId="249A4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2B13" w14:textId="006FEF19" w:rsidR="001F5B3A" w:rsidRDefault="00B359D6">
    <w:pPr>
      <w:pStyle w:val="Header"/>
    </w:pPr>
    <w:r>
      <w:rPr>
        <w:noProof/>
      </w:rPr>
      <w:pict w14:anchorId="08FD8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845EB"/>
    <w:multiLevelType w:val="hybridMultilevel"/>
    <w:tmpl w:val="193EC96C"/>
    <w:lvl w:ilvl="0" w:tplc="E9982A94">
      <w:start w:val="1"/>
      <w:numFmt w:val="bullet"/>
      <w:lvlText w:val="●"/>
      <w:lvlJc w:val="left"/>
      <w:pPr>
        <w:ind w:left="720" w:hanging="360"/>
      </w:pPr>
    </w:lvl>
    <w:lvl w:ilvl="1" w:tplc="BDA4C88A">
      <w:start w:val="1"/>
      <w:numFmt w:val="bullet"/>
      <w:lvlText w:val="○"/>
      <w:lvlJc w:val="left"/>
      <w:pPr>
        <w:ind w:left="1440" w:hanging="360"/>
      </w:pPr>
    </w:lvl>
    <w:lvl w:ilvl="2" w:tplc="FD96E642">
      <w:start w:val="1"/>
      <w:numFmt w:val="bullet"/>
      <w:lvlText w:val="■"/>
      <w:lvlJc w:val="left"/>
      <w:pPr>
        <w:ind w:left="2160" w:hanging="360"/>
      </w:pPr>
    </w:lvl>
    <w:lvl w:ilvl="3" w:tplc="02002B66">
      <w:start w:val="1"/>
      <w:numFmt w:val="bullet"/>
      <w:lvlText w:val="●"/>
      <w:lvlJc w:val="left"/>
      <w:pPr>
        <w:ind w:left="2880" w:hanging="360"/>
      </w:pPr>
    </w:lvl>
    <w:lvl w:ilvl="4" w:tplc="4A20FC36">
      <w:start w:val="1"/>
      <w:numFmt w:val="bullet"/>
      <w:lvlText w:val="○"/>
      <w:lvlJc w:val="left"/>
      <w:pPr>
        <w:ind w:left="3600" w:hanging="360"/>
      </w:pPr>
    </w:lvl>
    <w:lvl w:ilvl="5" w:tplc="66206F6C">
      <w:start w:val="1"/>
      <w:numFmt w:val="bullet"/>
      <w:lvlText w:val="■"/>
      <w:lvlJc w:val="left"/>
      <w:pPr>
        <w:ind w:left="4320" w:hanging="360"/>
      </w:pPr>
    </w:lvl>
    <w:lvl w:ilvl="6" w:tplc="1CD444B2">
      <w:start w:val="1"/>
      <w:numFmt w:val="bullet"/>
      <w:lvlText w:val="●"/>
      <w:lvlJc w:val="left"/>
      <w:pPr>
        <w:ind w:left="5040" w:hanging="360"/>
      </w:pPr>
    </w:lvl>
    <w:lvl w:ilvl="7" w:tplc="D79034F6">
      <w:start w:val="1"/>
      <w:numFmt w:val="bullet"/>
      <w:lvlText w:val="●"/>
      <w:lvlJc w:val="left"/>
      <w:pPr>
        <w:ind w:left="5760" w:hanging="360"/>
      </w:pPr>
    </w:lvl>
    <w:lvl w:ilvl="8" w:tplc="2124D8B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0601"/>
    <w:rsid w:val="00056D2D"/>
    <w:rsid w:val="00142302"/>
    <w:rsid w:val="00183B31"/>
    <w:rsid w:val="001F5B3A"/>
    <w:rsid w:val="00297E54"/>
    <w:rsid w:val="002A0601"/>
    <w:rsid w:val="00322A31"/>
    <w:rsid w:val="003B09A0"/>
    <w:rsid w:val="003E468E"/>
    <w:rsid w:val="004F7B0A"/>
    <w:rsid w:val="0050239A"/>
    <w:rsid w:val="005173C7"/>
    <w:rsid w:val="005416D8"/>
    <w:rsid w:val="005E57B7"/>
    <w:rsid w:val="006330FD"/>
    <w:rsid w:val="008144AE"/>
    <w:rsid w:val="008B5ED8"/>
    <w:rsid w:val="008F37D3"/>
    <w:rsid w:val="00900B1F"/>
    <w:rsid w:val="00921E50"/>
    <w:rsid w:val="009236A5"/>
    <w:rsid w:val="00B17F10"/>
    <w:rsid w:val="00B25748"/>
    <w:rsid w:val="00B2613D"/>
    <w:rsid w:val="00B359D6"/>
    <w:rsid w:val="00B53A5D"/>
    <w:rsid w:val="00B80454"/>
    <w:rsid w:val="00BA627F"/>
    <w:rsid w:val="00BF75F3"/>
    <w:rsid w:val="00C27823"/>
    <w:rsid w:val="00C56BB7"/>
    <w:rsid w:val="00CA1D01"/>
    <w:rsid w:val="00DD5A24"/>
    <w:rsid w:val="00ED3E58"/>
    <w:rsid w:val="00F24F52"/>
    <w:rsid w:val="00FF5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6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2A0601"/>
    <w:pPr>
      <w:spacing w:before="400" w:after="160"/>
      <w:outlineLvl w:val="0"/>
    </w:pPr>
    <w:rPr>
      <w:b/>
      <w:bCs/>
      <w:color w:val="000000"/>
      <w:sz w:val="28"/>
      <w:szCs w:val="28"/>
    </w:rPr>
  </w:style>
  <w:style w:type="paragraph" w:styleId="Heading2">
    <w:name w:val="heading 2"/>
    <w:qFormat/>
    <w:rsid w:val="002A0601"/>
    <w:pPr>
      <w:spacing w:before="280" w:after="100"/>
      <w:outlineLvl w:val="1"/>
    </w:pPr>
    <w:rPr>
      <w:b/>
      <w:bCs/>
      <w:i/>
      <w:iCs/>
      <w:color w:val="000000"/>
    </w:rPr>
  </w:style>
  <w:style w:type="paragraph" w:styleId="Heading3">
    <w:name w:val="heading 3"/>
    <w:qFormat/>
    <w:rsid w:val="002A0601"/>
    <w:pPr>
      <w:outlineLvl w:val="2"/>
    </w:pPr>
    <w:rPr>
      <w:color w:val="1F4D78"/>
    </w:rPr>
  </w:style>
  <w:style w:type="paragraph" w:styleId="Heading4">
    <w:name w:val="heading 4"/>
    <w:qFormat/>
    <w:rsid w:val="002A0601"/>
    <w:pPr>
      <w:outlineLvl w:val="3"/>
    </w:pPr>
    <w:rPr>
      <w:i/>
      <w:iCs/>
      <w:color w:val="2E74B5"/>
    </w:rPr>
  </w:style>
  <w:style w:type="paragraph" w:styleId="Heading5">
    <w:name w:val="heading 5"/>
    <w:qFormat/>
    <w:rsid w:val="002A0601"/>
    <w:pPr>
      <w:outlineLvl w:val="4"/>
    </w:pPr>
    <w:rPr>
      <w:color w:val="2E74B5"/>
    </w:rPr>
  </w:style>
  <w:style w:type="paragraph" w:styleId="Heading6">
    <w:name w:val="heading 6"/>
    <w:qFormat/>
    <w:rsid w:val="002A060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A0601"/>
    <w:rPr>
      <w:sz w:val="56"/>
      <w:szCs w:val="56"/>
    </w:rPr>
  </w:style>
  <w:style w:type="paragraph" w:customStyle="1" w:styleId="Strong1">
    <w:name w:val="Strong1"/>
    <w:qFormat/>
    <w:rsid w:val="002A0601"/>
    <w:rPr>
      <w:b/>
      <w:bCs/>
    </w:rPr>
  </w:style>
  <w:style w:type="paragraph" w:styleId="ListParagraph">
    <w:name w:val="List Paragraph"/>
    <w:qFormat/>
    <w:rsid w:val="002A0601"/>
  </w:style>
  <w:style w:type="character" w:styleId="Hyperlink">
    <w:name w:val="Hyperlink"/>
    <w:uiPriority w:val="99"/>
    <w:unhideWhenUsed/>
    <w:rsid w:val="002A0601"/>
    <w:rPr>
      <w:color w:val="0563C1"/>
      <w:u w:val="single"/>
    </w:rPr>
  </w:style>
  <w:style w:type="character" w:styleId="FootnoteReference">
    <w:name w:val="footnote reference"/>
    <w:uiPriority w:val="99"/>
    <w:semiHidden/>
    <w:unhideWhenUsed/>
    <w:rsid w:val="002A0601"/>
    <w:rPr>
      <w:vertAlign w:val="superscript"/>
    </w:rPr>
  </w:style>
  <w:style w:type="paragraph" w:styleId="FootnoteText">
    <w:name w:val="footnote text"/>
    <w:link w:val="FootnoteTextChar"/>
    <w:uiPriority w:val="99"/>
    <w:semiHidden/>
    <w:unhideWhenUsed/>
    <w:rsid w:val="002A0601"/>
    <w:rPr>
      <w:sz w:val="20"/>
      <w:szCs w:val="20"/>
    </w:rPr>
  </w:style>
  <w:style w:type="character" w:customStyle="1" w:styleId="FootnoteTextChar">
    <w:name w:val="Footnote Text Char"/>
    <w:link w:val="FootnoteText"/>
    <w:uiPriority w:val="99"/>
    <w:semiHidden/>
    <w:unhideWhenUsed/>
    <w:rsid w:val="002A0601"/>
    <w:rPr>
      <w:sz w:val="20"/>
      <w:szCs w:val="20"/>
    </w:rPr>
  </w:style>
  <w:style w:type="character" w:styleId="EndnoteReference">
    <w:name w:val="endnote reference"/>
    <w:uiPriority w:val="99"/>
    <w:semiHidden/>
    <w:unhideWhenUsed/>
    <w:rsid w:val="002A0601"/>
    <w:rPr>
      <w:vertAlign w:val="superscript"/>
    </w:rPr>
  </w:style>
  <w:style w:type="paragraph" w:styleId="EndnoteText">
    <w:name w:val="endnote text"/>
    <w:link w:val="EndnoteTextChar"/>
    <w:uiPriority w:val="99"/>
    <w:semiHidden/>
    <w:unhideWhenUsed/>
    <w:rsid w:val="002A0601"/>
    <w:rPr>
      <w:sz w:val="20"/>
      <w:szCs w:val="20"/>
    </w:rPr>
  </w:style>
  <w:style w:type="character" w:customStyle="1" w:styleId="EndnoteTextChar">
    <w:name w:val="Endnote Text Char"/>
    <w:link w:val="EndnoteText"/>
    <w:uiPriority w:val="99"/>
    <w:semiHidden/>
    <w:unhideWhenUsed/>
    <w:rsid w:val="002A0601"/>
    <w:rPr>
      <w:sz w:val="20"/>
      <w:szCs w:val="20"/>
    </w:rPr>
  </w:style>
  <w:style w:type="paragraph" w:styleId="Header">
    <w:name w:val="header"/>
    <w:basedOn w:val="Normal"/>
    <w:link w:val="HeaderChar"/>
    <w:uiPriority w:val="99"/>
    <w:unhideWhenUsed/>
    <w:rsid w:val="001F5B3A"/>
    <w:pPr>
      <w:tabs>
        <w:tab w:val="center" w:pos="4680"/>
        <w:tab w:val="right" w:pos="9360"/>
      </w:tabs>
    </w:pPr>
  </w:style>
  <w:style w:type="character" w:customStyle="1" w:styleId="HeaderChar">
    <w:name w:val="Header Char"/>
    <w:basedOn w:val="DefaultParagraphFont"/>
    <w:link w:val="Header"/>
    <w:uiPriority w:val="99"/>
    <w:rsid w:val="001F5B3A"/>
  </w:style>
  <w:style w:type="paragraph" w:styleId="Footer">
    <w:name w:val="footer"/>
    <w:basedOn w:val="Normal"/>
    <w:link w:val="FooterChar"/>
    <w:uiPriority w:val="99"/>
    <w:unhideWhenUsed/>
    <w:rsid w:val="001F5B3A"/>
    <w:pPr>
      <w:tabs>
        <w:tab w:val="center" w:pos="4680"/>
        <w:tab w:val="right" w:pos="9360"/>
      </w:tabs>
    </w:pPr>
  </w:style>
  <w:style w:type="character" w:customStyle="1" w:styleId="FooterChar">
    <w:name w:val="Footer Char"/>
    <w:basedOn w:val="DefaultParagraphFont"/>
    <w:link w:val="Footer"/>
    <w:uiPriority w:val="99"/>
    <w:rsid w:val="001F5B3A"/>
  </w:style>
  <w:style w:type="character" w:styleId="CommentReference">
    <w:name w:val="annotation reference"/>
    <w:basedOn w:val="DefaultParagraphFont"/>
    <w:uiPriority w:val="99"/>
    <w:semiHidden/>
    <w:unhideWhenUsed/>
    <w:rsid w:val="006330FD"/>
    <w:rPr>
      <w:sz w:val="16"/>
      <w:szCs w:val="16"/>
    </w:rPr>
  </w:style>
  <w:style w:type="paragraph" w:styleId="CommentText">
    <w:name w:val="annotation text"/>
    <w:basedOn w:val="Normal"/>
    <w:link w:val="CommentTextChar"/>
    <w:uiPriority w:val="99"/>
    <w:semiHidden/>
    <w:unhideWhenUsed/>
    <w:rsid w:val="006330FD"/>
    <w:rPr>
      <w:sz w:val="20"/>
      <w:szCs w:val="20"/>
    </w:rPr>
  </w:style>
  <w:style w:type="character" w:customStyle="1" w:styleId="CommentTextChar">
    <w:name w:val="Comment Text Char"/>
    <w:basedOn w:val="DefaultParagraphFont"/>
    <w:link w:val="CommentText"/>
    <w:uiPriority w:val="99"/>
    <w:semiHidden/>
    <w:rsid w:val="006330FD"/>
    <w:rPr>
      <w:sz w:val="20"/>
      <w:szCs w:val="20"/>
    </w:rPr>
  </w:style>
  <w:style w:type="paragraph" w:styleId="CommentSubject">
    <w:name w:val="annotation subject"/>
    <w:basedOn w:val="CommentText"/>
    <w:next w:val="CommentText"/>
    <w:link w:val="CommentSubjectChar"/>
    <w:uiPriority w:val="99"/>
    <w:semiHidden/>
    <w:unhideWhenUsed/>
    <w:rsid w:val="006330FD"/>
    <w:rPr>
      <w:b/>
      <w:bCs/>
    </w:rPr>
  </w:style>
  <w:style w:type="character" w:customStyle="1" w:styleId="CommentSubjectChar">
    <w:name w:val="Comment Subject Char"/>
    <w:basedOn w:val="CommentTextChar"/>
    <w:link w:val="CommentSubject"/>
    <w:uiPriority w:val="99"/>
    <w:semiHidden/>
    <w:rsid w:val="006330FD"/>
    <w:rPr>
      <w:b/>
      <w:bCs/>
      <w:sz w:val="20"/>
      <w:szCs w:val="20"/>
    </w:rPr>
  </w:style>
  <w:style w:type="paragraph" w:styleId="BalloonText">
    <w:name w:val="Balloon Text"/>
    <w:basedOn w:val="Normal"/>
    <w:link w:val="BalloonTextChar"/>
    <w:uiPriority w:val="99"/>
    <w:semiHidden/>
    <w:unhideWhenUsed/>
    <w:rsid w:val="006330FD"/>
    <w:rPr>
      <w:rFonts w:ascii="Tahoma" w:hAnsi="Tahoma" w:cs="Tahoma"/>
      <w:sz w:val="16"/>
      <w:szCs w:val="16"/>
    </w:rPr>
  </w:style>
  <w:style w:type="character" w:customStyle="1" w:styleId="BalloonTextChar">
    <w:name w:val="Balloon Text Char"/>
    <w:basedOn w:val="DefaultParagraphFont"/>
    <w:link w:val="BalloonText"/>
    <w:uiPriority w:val="99"/>
    <w:semiHidden/>
    <w:rsid w:val="006330FD"/>
    <w:rPr>
      <w:rFonts w:ascii="Tahoma" w:hAnsi="Tahoma" w:cs="Tahoma"/>
      <w:sz w:val="16"/>
      <w:szCs w:val="16"/>
    </w:rPr>
  </w:style>
  <w:style w:type="character" w:customStyle="1" w:styleId="rynqvb">
    <w:name w:val="rynqvb"/>
    <w:basedOn w:val="DefaultParagraphFont"/>
    <w:rsid w:val="004F7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ep.org/resources/report/unep-food-waste-index-report-202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knowledge.fao.org/items/ba08937f-4a41-4ff5-a4e7-e495e5f5f5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4060/ca6030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o.org/3/mb060e/mb060e00.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35</Pages>
  <Words>10845</Words>
  <Characters>61819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ahmed</cp:lastModifiedBy>
  <cp:revision>26</cp:revision>
  <dcterms:created xsi:type="dcterms:W3CDTF">2026-04-18T18:35:00Z</dcterms:created>
  <dcterms:modified xsi:type="dcterms:W3CDTF">2026-04-20T20:24:00Z</dcterms:modified>
</cp:coreProperties>
</file>