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518F4" w14:textId="2B7E3F77" w:rsidR="00E41770" w:rsidRDefault="002B08FF" w:rsidP="00E41770">
      <w:pPr>
        <w:pStyle w:val="NormalWeb"/>
        <w:jc w:val="both"/>
        <w:rPr>
          <w:rStyle w:val="Strong"/>
          <w:rFonts w:eastAsiaTheme="majorEastAsia"/>
          <w:lang w:val="en-IN"/>
        </w:rPr>
      </w:pPr>
      <w:r w:rsidRPr="002B08FF">
        <w:rPr>
          <w:rStyle w:val="Strong"/>
          <w:rFonts w:eastAsiaTheme="majorEastAsia"/>
        </w:rPr>
        <w:t>Original Research Article</w:t>
      </w:r>
    </w:p>
    <w:p w14:paraId="599EAA16" w14:textId="77777777" w:rsidR="002B08FF" w:rsidRPr="002B08FF" w:rsidRDefault="002B08FF" w:rsidP="00E41770">
      <w:pPr>
        <w:pStyle w:val="NormalWeb"/>
        <w:jc w:val="both"/>
        <w:rPr>
          <w:rStyle w:val="Strong"/>
          <w:rFonts w:eastAsiaTheme="majorEastAsia"/>
          <w:lang w:val="en-IN"/>
        </w:rPr>
      </w:pPr>
    </w:p>
    <w:p w14:paraId="74BB3595" w14:textId="77777777" w:rsidR="00E41770" w:rsidRDefault="00E41770" w:rsidP="00E41770">
      <w:pPr>
        <w:pStyle w:val="NormalWeb"/>
        <w:jc w:val="both"/>
        <w:rPr>
          <w:rStyle w:val="Strong"/>
          <w:rFonts w:eastAsiaTheme="majorEastAsia"/>
        </w:rPr>
      </w:pPr>
    </w:p>
    <w:p w14:paraId="1E1FE8A5" w14:textId="77777777" w:rsidR="00E41770" w:rsidRDefault="00E41770" w:rsidP="00E4177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Biodegradation of Petroleum Hydrocarbons in Soil Microcosms by Indigenous Microbial Communities</w:t>
      </w:r>
    </w:p>
    <w:p w14:paraId="11542150" w14:textId="77777777" w:rsidR="002B08FF" w:rsidRDefault="002B08FF" w:rsidP="00E41770">
      <w:pPr>
        <w:spacing w:after="0" w:line="240" w:lineRule="auto"/>
        <w:jc w:val="both"/>
        <w:rPr>
          <w:rFonts w:ascii="Times New Roman" w:hAnsi="Times New Roman" w:cs="Times New Roman"/>
          <w:b/>
          <w:bCs/>
          <w:sz w:val="24"/>
          <w:szCs w:val="24"/>
        </w:rPr>
      </w:pPr>
    </w:p>
    <w:p w14:paraId="492CC394" w14:textId="77777777" w:rsidR="00096BDD" w:rsidRDefault="00096BDD" w:rsidP="00096BDD">
      <w:pPr>
        <w:jc w:val="both"/>
        <w:rPr>
          <w:rFonts w:ascii="Times New Roman" w:hAnsi="Times New Roman" w:cs="Times New Roman"/>
          <w:sz w:val="24"/>
          <w:szCs w:val="24"/>
        </w:rPr>
      </w:pPr>
    </w:p>
    <w:p w14:paraId="5557E319" w14:textId="77777777" w:rsidR="00096BDD" w:rsidRPr="00096BDD" w:rsidRDefault="00096BDD" w:rsidP="00096BDD">
      <w:pPr>
        <w:spacing w:after="0"/>
        <w:jc w:val="both"/>
        <w:rPr>
          <w:rFonts w:ascii="Times New Roman" w:hAnsi="Times New Roman" w:cs="Times New Roman"/>
          <w:b/>
          <w:bCs/>
          <w:sz w:val="24"/>
          <w:szCs w:val="24"/>
          <w:cs/>
          <w:lang w:bidi="th-TH"/>
        </w:rPr>
      </w:pPr>
      <w:r w:rsidRPr="00096BDD">
        <w:rPr>
          <w:rFonts w:ascii="Times New Roman" w:hAnsi="Times New Roman" w:cs="Times New Roman"/>
          <w:b/>
          <w:bCs/>
          <w:sz w:val="24"/>
          <w:szCs w:val="24"/>
        </w:rPr>
        <w:t xml:space="preserve">Abstract </w:t>
      </w:r>
    </w:p>
    <w:p w14:paraId="27B02A39" w14:textId="77777777" w:rsidR="00096BDD" w:rsidRPr="009A3100" w:rsidRDefault="00096BDD" w:rsidP="00096BDD">
      <w:pPr>
        <w:spacing w:after="100" w:afterAutospacing="1" w:line="240" w:lineRule="auto"/>
        <w:jc w:val="both"/>
        <w:rPr>
          <w:rFonts w:ascii="Times New Roman" w:eastAsia="Times New Roman" w:hAnsi="Times New Roman" w:cs="Times New Roman"/>
          <w:kern w:val="0"/>
          <w:sz w:val="24"/>
          <w:szCs w:val="24"/>
          <w14:ligatures w14:val="none"/>
        </w:rPr>
      </w:pPr>
      <w:r w:rsidRPr="009A3100">
        <w:rPr>
          <w:rFonts w:ascii="Times New Roman" w:eastAsia="Times New Roman" w:hAnsi="Times New Roman" w:cs="Times New Roman"/>
          <w:kern w:val="0"/>
          <w:sz w:val="24"/>
          <w:szCs w:val="24"/>
          <w14:ligatures w14:val="none"/>
        </w:rPr>
        <w:t>Crude oil pollution remains a persistent environmental challenge in Ubeji, a suburb of the Niger Delta region of Nigeria located adjacent to the Warri Refining and Petrochemical Company (WRPC). Continuous contamination necessitates regular assessment and sustainable remediation strategies. This study evaluated petroleum hydrocarbon concentrations in crude oil–impacted soils from Ubeji and assessed the intrinsic biodegradation potential of autochthonous soil microorganisms. Petroleum hydrocarbon fractions were quantified using Gas Chromatography with Flame Ionization Detection (GC-FID). Contaminated soils were incubated for six months at ambient temperature without nutrient amendment to determine the natural attenuation capacity of native microbial communities.</w:t>
      </w:r>
      <w:r>
        <w:rPr>
          <w:rFonts w:ascii="Times New Roman" w:eastAsia="Times New Roman" w:hAnsi="Times New Roman" w:cs="Times New Roman"/>
          <w:kern w:val="0"/>
          <w:sz w:val="24"/>
          <w:szCs w:val="24"/>
          <w14:ligatures w14:val="none"/>
        </w:rPr>
        <w:t xml:space="preserve"> </w:t>
      </w:r>
      <w:r w:rsidRPr="009A3100">
        <w:rPr>
          <w:rFonts w:ascii="Times New Roman" w:eastAsia="Times New Roman" w:hAnsi="Times New Roman" w:cs="Times New Roman"/>
          <w:kern w:val="0"/>
          <w:sz w:val="24"/>
          <w:szCs w:val="24"/>
          <w14:ligatures w14:val="none"/>
        </w:rPr>
        <w:t xml:space="preserve">Initial polycyclic aromatic hydrocarbon (PAH) concentrations ranged </w:t>
      </w:r>
      <w:r w:rsidRPr="00EA23B1">
        <w:rPr>
          <w:rFonts w:ascii="Times New Roman" w:eastAsia="Times New Roman" w:hAnsi="Times New Roman" w:cs="Times New Roman"/>
          <w:kern w:val="0"/>
          <w:sz w:val="24"/>
          <w:szCs w:val="24"/>
          <w14:ligatures w14:val="none"/>
        </w:rPr>
        <w:t>from &lt;0.001 mg/kg to 86 mg/kg. After six months of incubation, PAH levels decreased by over 90%, reaching &lt;0.001 mg/kg to 2.75 mg/kg. Total aliphatic hydrocarbons (TAH) initially ranged from 3.86 mg/kg to 3662.11 mg/kg and were reduced to &lt;0.001 mg/kg to 22.20 mg/kg, representing more than 95% degradation. Similarly, total petroleum hydrocarbons (TPH) declined by</w:t>
      </w:r>
      <w:r w:rsidRPr="009A3100">
        <w:rPr>
          <w:rFonts w:ascii="Times New Roman" w:eastAsia="Times New Roman" w:hAnsi="Times New Roman" w:cs="Times New Roman"/>
          <w:kern w:val="0"/>
          <w:sz w:val="24"/>
          <w:szCs w:val="24"/>
          <w14:ligatures w14:val="none"/>
        </w:rPr>
        <w:t xml:space="preserve"> over 95%, from 3.83 mg/kg–3740.40 mg/kg to &lt;0.001 mg/kg–24.42 mg/kg.</w:t>
      </w:r>
      <w:r>
        <w:rPr>
          <w:rFonts w:ascii="Times New Roman" w:eastAsia="Times New Roman" w:hAnsi="Times New Roman" w:cs="Times New Roman"/>
          <w:kern w:val="0"/>
          <w:sz w:val="24"/>
          <w:szCs w:val="24"/>
          <w14:ligatures w14:val="none"/>
        </w:rPr>
        <w:t xml:space="preserve"> </w:t>
      </w:r>
      <w:r w:rsidRPr="009A3100">
        <w:rPr>
          <w:rFonts w:ascii="Times New Roman" w:eastAsia="Times New Roman" w:hAnsi="Times New Roman" w:cs="Times New Roman"/>
          <w:kern w:val="0"/>
          <w:sz w:val="24"/>
          <w:szCs w:val="24"/>
          <w14:ligatures w14:val="none"/>
        </w:rPr>
        <w:t>The substantial reduction in petroleum hydrocarbon concentrations demonstrates that indigenous microorganisms in the Niger Delta wetlands possess significant intrinsic biodegradation capability under favourable abiotic conditions. These findings support the potential application of natural attenuation as a cost</w:t>
      </w:r>
      <w:r>
        <w:rPr>
          <w:rFonts w:ascii="Times New Roman" w:eastAsia="Times New Roman" w:hAnsi="Times New Roman" w:cs="Times New Roman"/>
          <w:kern w:val="0"/>
          <w:sz w:val="24"/>
          <w:szCs w:val="24"/>
          <w14:ligatures w14:val="none"/>
        </w:rPr>
        <w:t xml:space="preserve"> </w:t>
      </w:r>
      <w:r w:rsidRPr="009A3100">
        <w:rPr>
          <w:rFonts w:ascii="Times New Roman" w:eastAsia="Times New Roman" w:hAnsi="Times New Roman" w:cs="Times New Roman"/>
          <w:kern w:val="0"/>
          <w:sz w:val="24"/>
          <w:szCs w:val="24"/>
          <w14:ligatures w14:val="none"/>
        </w:rPr>
        <w:t>effective remediation strategy for crude oil</w:t>
      </w:r>
      <w:r>
        <w:rPr>
          <w:rFonts w:ascii="Times New Roman" w:eastAsia="Times New Roman" w:hAnsi="Times New Roman" w:cs="Times New Roman"/>
          <w:kern w:val="0"/>
          <w:sz w:val="24"/>
          <w:szCs w:val="24"/>
          <w14:ligatures w14:val="none"/>
        </w:rPr>
        <w:t xml:space="preserve"> </w:t>
      </w:r>
      <w:r w:rsidRPr="009A3100">
        <w:rPr>
          <w:rFonts w:ascii="Times New Roman" w:eastAsia="Times New Roman" w:hAnsi="Times New Roman" w:cs="Times New Roman"/>
          <w:kern w:val="0"/>
          <w:sz w:val="24"/>
          <w:szCs w:val="24"/>
          <w14:ligatures w14:val="none"/>
        </w:rPr>
        <w:t>contaminated soils in the region.</w:t>
      </w:r>
    </w:p>
    <w:p w14:paraId="2C509504" w14:textId="77777777" w:rsidR="00096BDD" w:rsidRDefault="00096BDD" w:rsidP="00E41770">
      <w:pPr>
        <w:pStyle w:val="NormalWeb"/>
        <w:jc w:val="both"/>
        <w:rPr>
          <w:rStyle w:val="Strong"/>
          <w:rFonts w:eastAsiaTheme="majorEastAsia"/>
        </w:rPr>
      </w:pPr>
    </w:p>
    <w:p w14:paraId="2A7178CC" w14:textId="77777777" w:rsidR="00E41770" w:rsidRDefault="00E41770" w:rsidP="00096BDD">
      <w:pPr>
        <w:pStyle w:val="NormalWeb"/>
        <w:spacing w:after="0" w:afterAutospacing="0"/>
        <w:jc w:val="both"/>
      </w:pPr>
      <w:r>
        <w:rPr>
          <w:rStyle w:val="Strong"/>
          <w:rFonts w:eastAsiaTheme="majorEastAsia"/>
        </w:rPr>
        <w:t>Introduction</w:t>
      </w:r>
    </w:p>
    <w:p w14:paraId="5E33E261" w14:textId="77777777" w:rsidR="00E41770" w:rsidRDefault="00E41770" w:rsidP="00096BDD">
      <w:pPr>
        <w:pStyle w:val="NormalWeb"/>
        <w:spacing w:before="0" w:beforeAutospacing="0"/>
        <w:jc w:val="both"/>
      </w:pPr>
      <w:r>
        <w:t xml:space="preserve">Soil is a fundamental natural resource that is essential for social, economic, and ecological well-being. It supports plant growth, regulates water, cycles nutrients, and provides habitats for countless organisms (Li </w:t>
      </w:r>
      <w:r w:rsidRPr="00E41770">
        <w:rPr>
          <w:i/>
          <w:iCs/>
        </w:rPr>
        <w:t>et al</w:t>
      </w:r>
      <w:r>
        <w:t xml:space="preserve">., 2022; Hosseini </w:t>
      </w:r>
      <w:r w:rsidRPr="00E41770">
        <w:rPr>
          <w:i/>
          <w:iCs/>
        </w:rPr>
        <w:t>et al</w:t>
      </w:r>
      <w:r>
        <w:t xml:space="preserve">., 2025). Maintaining soil health is therefore critical for sustaining current and future generations. In the Niger Delta, one of the world’s most oil-rich regions, soil faces extensive degradation due to crude oil pollution. Oil spills disrupt soil physicochemical and biological properties, impairing its capacity to sustain productivity, maintain environmental quality, and support plant and animal health (Hosseini </w:t>
      </w:r>
      <w:r w:rsidRPr="00E41770">
        <w:rPr>
          <w:i/>
          <w:iCs/>
        </w:rPr>
        <w:t>et al</w:t>
      </w:r>
      <w:r>
        <w:t xml:space="preserve">., 2025). Left untreated, natural recovery of contaminated soils may take over a century, highlighting the urgent need for effective remediation strategies </w:t>
      </w:r>
      <w:r w:rsidRPr="00E41770">
        <w:t>(</w:t>
      </w:r>
      <w:r w:rsidRPr="00E41770">
        <w:rPr>
          <w:color w:val="222222"/>
          <w:shd w:val="clear" w:color="auto" w:fill="FFFFFF"/>
        </w:rPr>
        <w:t xml:space="preserve">Verardo </w:t>
      </w:r>
      <w:r w:rsidRPr="00E41770">
        <w:rPr>
          <w:i/>
          <w:iCs/>
          <w:color w:val="222222"/>
          <w:shd w:val="clear" w:color="auto" w:fill="FFFFFF"/>
        </w:rPr>
        <w:t>et al</w:t>
      </w:r>
      <w:r w:rsidRPr="00E41770">
        <w:rPr>
          <w:color w:val="222222"/>
          <w:shd w:val="clear" w:color="auto" w:fill="FFFFFF"/>
        </w:rPr>
        <w:t>., 2025</w:t>
      </w:r>
      <w:r w:rsidRPr="00E41770">
        <w:t>).</w:t>
      </w:r>
    </w:p>
    <w:p w14:paraId="07808CE4" w14:textId="77777777" w:rsidR="00E41770" w:rsidRPr="00DA5ED4" w:rsidRDefault="00E41770" w:rsidP="00E41770">
      <w:pPr>
        <w:spacing w:after="0" w:line="240" w:lineRule="auto"/>
        <w:jc w:val="both"/>
        <w:rPr>
          <w:rFonts w:ascii="Times New Roman" w:hAnsi="Times New Roman" w:cs="Times New Roman"/>
          <w:sz w:val="24"/>
          <w:szCs w:val="24"/>
        </w:rPr>
      </w:pPr>
      <w:r w:rsidRPr="00DA5ED4">
        <w:rPr>
          <w:rFonts w:ascii="Times New Roman" w:hAnsi="Times New Roman" w:cs="Times New Roman"/>
          <w:sz w:val="24"/>
          <w:szCs w:val="24"/>
        </w:rPr>
        <w:t xml:space="preserve">Crude oil exploration, while economically significant for Nigeria and critical to global energy supply, is a primary driver of this environmental degradation. Annually, roughly 300 spills release approximately 240,000 barrels of crude oil into the Niger Delta, making it one of the most heavily polluted regions worldwide </w:t>
      </w:r>
      <w:r w:rsidRPr="00800CD7">
        <w:rPr>
          <w:rFonts w:ascii="Times New Roman" w:hAnsi="Times New Roman" w:cs="Times New Roman"/>
          <w:sz w:val="24"/>
          <w:szCs w:val="24"/>
          <w:highlight w:val="green"/>
        </w:rPr>
        <w:t>(Chinyelu, 2019</w:t>
      </w:r>
      <w:r>
        <w:rPr>
          <w:rFonts w:ascii="Times New Roman" w:hAnsi="Times New Roman" w:cs="Times New Roman"/>
          <w:sz w:val="24"/>
          <w:szCs w:val="24"/>
        </w:rPr>
        <w:t>; Ismail, 2022</w:t>
      </w:r>
      <w:r w:rsidRPr="00DA5ED4">
        <w:rPr>
          <w:rFonts w:ascii="Times New Roman" w:hAnsi="Times New Roman" w:cs="Times New Roman"/>
          <w:sz w:val="24"/>
          <w:szCs w:val="24"/>
        </w:rPr>
        <w:t xml:space="preserve">). Many spills go unreported, particularly in remote areas, with the National Oil Spill Detection and Response </w:t>
      </w:r>
      <w:r w:rsidRPr="00DA5ED4">
        <w:rPr>
          <w:rFonts w:ascii="Times New Roman" w:hAnsi="Times New Roman" w:cs="Times New Roman"/>
          <w:sz w:val="24"/>
          <w:szCs w:val="24"/>
        </w:rPr>
        <w:lastRenderedPageBreak/>
        <w:t>Agency (NOSDRA) estimating that most petroleum hydrocarbon contaminated sites in rural regions remain unremediated (</w:t>
      </w:r>
      <w:r w:rsidRPr="00E40A72">
        <w:rPr>
          <w:rFonts w:ascii="Times New Roman" w:hAnsi="Times New Roman" w:cs="Times New Roman"/>
          <w:sz w:val="24"/>
          <w:szCs w:val="24"/>
        </w:rPr>
        <w:t>Adeniran</w:t>
      </w:r>
      <w:r>
        <w:rPr>
          <w:rFonts w:ascii="Times New Roman" w:hAnsi="Times New Roman" w:cs="Times New Roman"/>
          <w:sz w:val="24"/>
          <w:szCs w:val="24"/>
        </w:rPr>
        <w:t xml:space="preserve"> </w:t>
      </w:r>
      <w:r w:rsidRPr="00E41770">
        <w:rPr>
          <w:rFonts w:ascii="Times New Roman" w:hAnsi="Times New Roman" w:cs="Times New Roman"/>
          <w:i/>
          <w:iCs/>
          <w:sz w:val="24"/>
          <w:szCs w:val="24"/>
        </w:rPr>
        <w:t>et al</w:t>
      </w:r>
      <w:r>
        <w:rPr>
          <w:rFonts w:ascii="Times New Roman" w:hAnsi="Times New Roman" w:cs="Times New Roman"/>
          <w:sz w:val="24"/>
          <w:szCs w:val="24"/>
        </w:rPr>
        <w:t>., 2023</w:t>
      </w:r>
      <w:r w:rsidRPr="00DA5ED4">
        <w:rPr>
          <w:rFonts w:ascii="Times New Roman" w:hAnsi="Times New Roman" w:cs="Times New Roman"/>
          <w:sz w:val="24"/>
          <w:szCs w:val="24"/>
        </w:rPr>
        <w:t>). Soil contamination from oil spills not only limits agricultural potential but also threatens long-term environmental sustainability and reduces the resilience of local communities to ecological shocks. Petroleum hydrocarbons decrease the microbiome diversity of the soil which are important for plant growth and recycling nutrients (</w:t>
      </w:r>
      <w:r w:rsidRPr="00E40A72">
        <w:rPr>
          <w:rFonts w:ascii="Times New Roman" w:hAnsi="Times New Roman" w:cs="Times New Roman"/>
          <w:sz w:val="24"/>
          <w:szCs w:val="24"/>
        </w:rPr>
        <w:t>García-García</w:t>
      </w:r>
      <w:r>
        <w:rPr>
          <w:rFonts w:ascii="Times New Roman" w:hAnsi="Times New Roman" w:cs="Times New Roman"/>
          <w:sz w:val="24"/>
          <w:szCs w:val="24"/>
        </w:rPr>
        <w:t xml:space="preserve"> </w:t>
      </w:r>
      <w:r w:rsidRPr="00E41770">
        <w:rPr>
          <w:rFonts w:ascii="Times New Roman" w:hAnsi="Times New Roman" w:cs="Times New Roman"/>
          <w:i/>
          <w:iCs/>
          <w:sz w:val="24"/>
          <w:szCs w:val="24"/>
        </w:rPr>
        <w:t>et al</w:t>
      </w:r>
      <w:r>
        <w:rPr>
          <w:rFonts w:ascii="Times New Roman" w:hAnsi="Times New Roman" w:cs="Times New Roman"/>
          <w:sz w:val="24"/>
          <w:szCs w:val="24"/>
        </w:rPr>
        <w:t>., 2023</w:t>
      </w:r>
      <w:r w:rsidRPr="00DA5ED4">
        <w:rPr>
          <w:rFonts w:ascii="Times New Roman" w:hAnsi="Times New Roman" w:cs="Times New Roman"/>
          <w:sz w:val="24"/>
          <w:szCs w:val="24"/>
        </w:rPr>
        <w:t>). A metagenomic study revealed as much as 92% decline in the microbial community as only crude oil degrading microbes increased in abundance (</w:t>
      </w:r>
      <w:r>
        <w:rPr>
          <w:rFonts w:ascii="Times New Roman" w:hAnsi="Times New Roman" w:cs="Times New Roman"/>
          <w:sz w:val="24"/>
          <w:szCs w:val="24"/>
        </w:rPr>
        <w:t xml:space="preserve">Chikere </w:t>
      </w:r>
      <w:r w:rsidRPr="00E41770">
        <w:rPr>
          <w:rFonts w:ascii="Times New Roman" w:hAnsi="Times New Roman" w:cs="Times New Roman"/>
          <w:i/>
          <w:iCs/>
          <w:sz w:val="24"/>
          <w:szCs w:val="24"/>
        </w:rPr>
        <w:t>et al</w:t>
      </w:r>
      <w:r>
        <w:rPr>
          <w:rFonts w:ascii="Times New Roman" w:hAnsi="Times New Roman" w:cs="Times New Roman"/>
          <w:sz w:val="24"/>
          <w:szCs w:val="24"/>
        </w:rPr>
        <w:t>., 2019</w:t>
      </w:r>
      <w:r w:rsidRPr="00DA5ED4">
        <w:rPr>
          <w:rFonts w:ascii="Times New Roman" w:hAnsi="Times New Roman" w:cs="Times New Roman"/>
          <w:sz w:val="24"/>
          <w:szCs w:val="24"/>
        </w:rPr>
        <w:t xml:space="preserve">). Coastal communities in the Niger Delta are disproportionately affected by spills, sometimes being forced to relocate, resulting in socioeconomic disruption and loss of cultural heritage </w:t>
      </w:r>
      <w:r w:rsidRPr="00800CD7">
        <w:rPr>
          <w:rFonts w:ascii="Times New Roman" w:hAnsi="Times New Roman" w:cs="Times New Roman"/>
          <w:sz w:val="24"/>
          <w:szCs w:val="24"/>
          <w:highlight w:val="green"/>
        </w:rPr>
        <w:t>(Andrea and Reddy, 2014).</w:t>
      </w:r>
    </w:p>
    <w:p w14:paraId="69A9BEA6" w14:textId="77777777" w:rsidR="00E41770" w:rsidRDefault="00E41770" w:rsidP="00E41770">
      <w:pPr>
        <w:pStyle w:val="NormalWeb"/>
        <w:jc w:val="both"/>
      </w:pPr>
      <w:r w:rsidRPr="00B408BD">
        <w:t>Total petroleum hydrocarbons (TPHs) present in soil are broadly categorized into aliphatic and aromatic fractions, among which polycyclic aromatic hydrocarbons (PAHs) constitute a major class of environmentally significant contaminants. PAHs are aromatic organic compounds composed of two or more fused benzene rings that are released into the environment through petroleum products, incomplete combustion, and related anthropogenic activities</w:t>
      </w:r>
      <w:r>
        <w:t xml:space="preserve"> (Kumar </w:t>
      </w:r>
      <w:r w:rsidRPr="00E41770">
        <w:rPr>
          <w:i/>
          <w:iCs/>
        </w:rPr>
        <w:t>et al</w:t>
      </w:r>
      <w:r>
        <w:t>., 20</w:t>
      </w:r>
      <w:r w:rsidR="00A6063A">
        <w:t>20</w:t>
      </w:r>
      <w:r>
        <w:t>)</w:t>
      </w:r>
      <w:r w:rsidRPr="00B408BD">
        <w:t>. These compounds are of particular concern because of their persistence, hydrophobicity, and toxicity, exhibiting mutagenic, carcinogenic, immunogenic, and teratogenic effects (</w:t>
      </w:r>
      <w:r>
        <w:t xml:space="preserve">Nriagu </w:t>
      </w:r>
      <w:r w:rsidRPr="00E41770">
        <w:rPr>
          <w:i/>
          <w:iCs/>
        </w:rPr>
        <w:t>et al</w:t>
      </w:r>
      <w:r>
        <w:t xml:space="preserve">., 2016; Patel </w:t>
      </w:r>
      <w:r w:rsidRPr="00E41770">
        <w:rPr>
          <w:i/>
          <w:iCs/>
        </w:rPr>
        <w:t>et al</w:t>
      </w:r>
      <w:r>
        <w:t>., 2020</w:t>
      </w:r>
      <w:r w:rsidRPr="00B408BD">
        <w:t xml:space="preserve">). Their low aqueous solubility and strong sorption to soil organic matter reduce immediate bioavailability while enhancing long-term environmental persistence. The sixteen PAHs designated as priority pollutants by the U.S. Environmental Protection Agency </w:t>
      </w:r>
      <w:r>
        <w:t xml:space="preserve">(USEPA) </w:t>
      </w:r>
      <w:r w:rsidRPr="00B408BD">
        <w:t>are commonly grouped according to molecular weight, which influences transport, degradation, and toxicological behaviour (</w:t>
      </w:r>
      <w:r>
        <w:t>USEPA, 2015</w:t>
      </w:r>
      <w:r w:rsidRPr="00B408BD">
        <w:t>). Low</w:t>
      </w:r>
      <w:r>
        <w:t xml:space="preserve"> </w:t>
      </w:r>
      <w:r w:rsidRPr="00B408BD">
        <w:t>molecular</w:t>
      </w:r>
      <w:r>
        <w:t xml:space="preserve"> </w:t>
      </w:r>
      <w:r w:rsidRPr="00B408BD">
        <w:t>weight (LMW) PAHs containing two to three aromatic rings, namely naphthalene (NAP), acenaphthylene (ACY), acenaphthene (ACE), fluorene (FLU), phenanthrene (PHE), and anthracene (ANT), are relatively more volatile, soluble, mobile, and susceptible to biodegradation. Medium</w:t>
      </w:r>
      <w:r>
        <w:t xml:space="preserve"> </w:t>
      </w:r>
      <w:r w:rsidRPr="00B408BD">
        <w:t>molecular</w:t>
      </w:r>
      <w:r>
        <w:t xml:space="preserve"> </w:t>
      </w:r>
      <w:r w:rsidRPr="00B408BD">
        <w:t>weight (MMW) PAHs with four rings, including fluoranthene (FLT), pyrene (PYR), benzo[a]anthracene (BaA), and chrysene (CHR), exhibit intermediate persistence and hydrophobicity. High</w:t>
      </w:r>
      <w:r>
        <w:t xml:space="preserve"> </w:t>
      </w:r>
      <w:r w:rsidRPr="00B408BD">
        <w:t>molecular</w:t>
      </w:r>
      <w:r>
        <w:t xml:space="preserve"> </w:t>
      </w:r>
      <w:r w:rsidRPr="00B408BD">
        <w:t>weight (HMW) PAHs comprising five to six rings, including benzo[b]fluoranthene (BbF), benzo[k]fluoranthene (BkF), benzo[a]pyrene (BaP), dibenzo[</w:t>
      </w:r>
      <w:proofErr w:type="gramStart"/>
      <w:r w:rsidRPr="00B408BD">
        <w:t>a,h</w:t>
      </w:r>
      <w:proofErr w:type="gramEnd"/>
      <w:r w:rsidRPr="00B408BD">
        <w:t>]anthracene (DBA), benzo[g,h,i]perylene (BghiP), and indeno[1,2,3-cd]pyrene (IndP), are strongly particle bound, recalcitrant, bioaccumulative, and of greater toxicological concern. From a health perspective, benzo[a]pyrene is classified as a Group 1 human carcinogen, while dibenzo[</w:t>
      </w:r>
      <w:proofErr w:type="gramStart"/>
      <w:r w:rsidRPr="00B408BD">
        <w:t>a,h</w:t>
      </w:r>
      <w:proofErr w:type="gramEnd"/>
      <w:r w:rsidRPr="00B408BD">
        <w:t>]anthracene is carcinogenic in experimental animals (Group 2A). Compounds such as benzo[a]anthracene, naphthalene, chrysene, benzo[b]fluoranthene, benzo[k]fluoranthene, and indeno[1,2,3-</w:t>
      </w:r>
      <w:proofErr w:type="gramStart"/>
      <w:r w:rsidRPr="00B408BD">
        <w:t>cd]pyrene</w:t>
      </w:r>
      <w:proofErr w:type="gramEnd"/>
      <w:r w:rsidRPr="00B408BD">
        <w:t xml:space="preserve"> are categorized as possible carcinogens (Group 2B) (</w:t>
      </w:r>
      <w:r>
        <w:t>USEPA, 2015</w:t>
      </w:r>
      <w:r w:rsidRPr="00B408BD">
        <w:t>). Differences in environmental behaviour across molecular</w:t>
      </w:r>
      <w:r>
        <w:t xml:space="preserve"> </w:t>
      </w:r>
      <w:r w:rsidRPr="00B408BD">
        <w:t>weight classes, including greater mobility and biodegradability of LMW PAHs and the persistence, bioaccumulation potential, and resistance to microbial degradation of HMW PAHs, make remediation complex but essential for protecting soil quality, ecosystem stability, and human health</w:t>
      </w:r>
    </w:p>
    <w:p w14:paraId="3003CC82" w14:textId="77777777" w:rsidR="00E41770" w:rsidRDefault="00E41770" w:rsidP="00E41770">
      <w:pPr>
        <w:pStyle w:val="NormalWeb"/>
        <w:jc w:val="both"/>
      </w:pPr>
      <w:r>
        <w:t>Bioremediation has emerged as a sustainable and cost-effective approach for restoring hydrocarbon-contaminated soils. In situ strategies, such as bioaugmentation, introduce hydrocarbon-degrading microbes, whereas biostimulation enhances microbial growth through nutrient addition. However, remediation success is variable in field conditions, depending on hydrocarbon concentration, composition, and environmental factors (</w:t>
      </w:r>
      <w:r w:rsidR="003039E2">
        <w:t>Adams</w:t>
      </w:r>
      <w:r>
        <w:t xml:space="preserve"> </w:t>
      </w:r>
      <w:r w:rsidRPr="00E41770">
        <w:rPr>
          <w:i/>
          <w:iCs/>
        </w:rPr>
        <w:t>et al</w:t>
      </w:r>
      <w:r>
        <w:t xml:space="preserve">., 2020). Ex situ approaches, including biopiling and landfarming, can be more effective but are costly and often impractical for large or remote areas (Cai </w:t>
      </w:r>
      <w:r w:rsidRPr="00E41770">
        <w:rPr>
          <w:i/>
          <w:iCs/>
        </w:rPr>
        <w:t>et al</w:t>
      </w:r>
      <w:r>
        <w:t xml:space="preserve">., 2020). The chemical diversity of petroleum products further complicates remediation, emphasizing the need to understand the </w:t>
      </w:r>
      <w:r>
        <w:lastRenderedPageBreak/>
        <w:t>interactions between native microbial communities and their environment (</w:t>
      </w:r>
      <w:r w:rsidR="003039E2">
        <w:t>Adams</w:t>
      </w:r>
      <w:r w:rsidR="005210CE">
        <w:t xml:space="preserve"> </w:t>
      </w:r>
      <w:r w:rsidR="005210CE" w:rsidRPr="00E41770">
        <w:rPr>
          <w:i/>
          <w:iCs/>
        </w:rPr>
        <w:t>et al</w:t>
      </w:r>
      <w:r w:rsidR="005210CE">
        <w:t xml:space="preserve">., 2020; Cai </w:t>
      </w:r>
      <w:r w:rsidR="005210CE" w:rsidRPr="00E41770">
        <w:rPr>
          <w:i/>
          <w:iCs/>
        </w:rPr>
        <w:t>et al</w:t>
      </w:r>
      <w:r w:rsidR="005210CE">
        <w:t>., 2020</w:t>
      </w:r>
      <w:r>
        <w:t>).</w:t>
      </w:r>
    </w:p>
    <w:p w14:paraId="1CC967C7" w14:textId="77777777" w:rsidR="00E41770" w:rsidRDefault="00E41770" w:rsidP="00E41770">
      <w:pPr>
        <w:pStyle w:val="NormalWeb"/>
        <w:jc w:val="both"/>
      </w:pPr>
      <w:r>
        <w:t>In this study, we characterize petroleum hydrocarbons in crude oil–contaminated soil microcosms under limited nutrient conditions to elucidate the role of autochthonous hydrocarbon-degrading bacteria in the degradation process. Insights from this work are essential for designing effective, long-term bioremediation strategies that can restore ecosystem function and support sustainable livelihoods in hydrocarbon-impacted regions.</w:t>
      </w:r>
    </w:p>
    <w:p w14:paraId="759EFAE2" w14:textId="77777777" w:rsidR="00E41770" w:rsidRPr="005D48FC" w:rsidRDefault="00E41770" w:rsidP="00E41770">
      <w:pPr>
        <w:pStyle w:val="NormalWeb"/>
        <w:spacing w:before="0" w:beforeAutospacing="0" w:after="0" w:afterAutospacing="0"/>
        <w:rPr>
          <w:b/>
          <w:bCs/>
        </w:rPr>
      </w:pPr>
      <w:bookmarkStart w:id="0" w:name="_Hlk221447880"/>
      <w:r w:rsidRPr="005D48FC">
        <w:rPr>
          <w:b/>
          <w:bCs/>
        </w:rPr>
        <w:t>Materials and Method</w:t>
      </w:r>
    </w:p>
    <w:p w14:paraId="6F0B95C7" w14:textId="77777777" w:rsidR="00E41770" w:rsidRPr="005D48FC" w:rsidRDefault="00E41770" w:rsidP="00E41770">
      <w:pPr>
        <w:pStyle w:val="NormalWeb"/>
        <w:spacing w:before="0" w:beforeAutospacing="0" w:after="0" w:afterAutospacing="0"/>
        <w:rPr>
          <w:b/>
          <w:bCs/>
        </w:rPr>
      </w:pPr>
      <w:r w:rsidRPr="005D48FC">
        <w:rPr>
          <w:b/>
          <w:bCs/>
        </w:rPr>
        <w:t xml:space="preserve">Study Area and sampling </w:t>
      </w:r>
    </w:p>
    <w:p w14:paraId="2A7DDFDE" w14:textId="77777777" w:rsidR="00E41770" w:rsidRDefault="00E41770" w:rsidP="00E41770">
      <w:pPr>
        <w:jc w:val="both"/>
        <w:rPr>
          <w:rFonts w:ascii="Times New Roman" w:hAnsi="Times New Roman" w:cs="Times New Roman"/>
          <w:sz w:val="24"/>
          <w:szCs w:val="24"/>
        </w:rPr>
      </w:pPr>
      <w:r>
        <w:rPr>
          <w:rFonts w:ascii="Times New Roman" w:hAnsi="Times New Roman" w:cs="Times New Roman"/>
          <w:sz w:val="24"/>
          <w:szCs w:val="24"/>
        </w:rPr>
        <w:t>S</w:t>
      </w:r>
      <w:r w:rsidRPr="005F088E">
        <w:rPr>
          <w:rFonts w:ascii="Times New Roman" w:hAnsi="Times New Roman" w:cs="Times New Roman"/>
          <w:sz w:val="24"/>
          <w:szCs w:val="24"/>
        </w:rPr>
        <w:t>oil samples were collected from Ubeji, a costal suburb in the Niger Delta</w:t>
      </w:r>
      <w:r>
        <w:rPr>
          <w:rFonts w:ascii="Times New Roman" w:hAnsi="Times New Roman" w:cs="Times New Roman"/>
          <w:sz w:val="24"/>
          <w:szCs w:val="24"/>
        </w:rPr>
        <w:t>, Nigeria, located</w:t>
      </w:r>
      <w:r w:rsidRPr="005F088E">
        <w:rPr>
          <w:rFonts w:ascii="Times New Roman" w:hAnsi="Times New Roman" w:cs="Times New Roman"/>
          <w:sz w:val="24"/>
          <w:szCs w:val="24"/>
        </w:rPr>
        <w:t xml:space="preserve"> adjacent to the Warri Refinery and Petrochemical Company (WRPC). </w:t>
      </w:r>
      <w:r>
        <w:rPr>
          <w:rFonts w:ascii="Times New Roman" w:hAnsi="Times New Roman" w:cs="Times New Roman"/>
          <w:sz w:val="24"/>
          <w:szCs w:val="24"/>
        </w:rPr>
        <w:t>Proximity to the refinery exposes</w:t>
      </w:r>
      <w:r w:rsidRPr="005F088E">
        <w:rPr>
          <w:rFonts w:ascii="Times New Roman" w:hAnsi="Times New Roman" w:cs="Times New Roman"/>
          <w:sz w:val="24"/>
          <w:szCs w:val="24"/>
        </w:rPr>
        <w:t xml:space="preserve"> </w:t>
      </w:r>
      <w:r>
        <w:rPr>
          <w:rFonts w:ascii="Times New Roman" w:hAnsi="Times New Roman" w:cs="Times New Roman"/>
          <w:sz w:val="24"/>
          <w:szCs w:val="24"/>
        </w:rPr>
        <w:t>the area</w:t>
      </w:r>
      <w:r w:rsidRPr="005F088E">
        <w:rPr>
          <w:rFonts w:ascii="Times New Roman" w:hAnsi="Times New Roman" w:cs="Times New Roman"/>
          <w:sz w:val="24"/>
          <w:szCs w:val="24"/>
        </w:rPr>
        <w:t xml:space="preserve"> to </w:t>
      </w:r>
      <w:r>
        <w:rPr>
          <w:rFonts w:ascii="Times New Roman" w:hAnsi="Times New Roman" w:cs="Times New Roman"/>
          <w:sz w:val="24"/>
          <w:szCs w:val="24"/>
        </w:rPr>
        <w:t>persis</w:t>
      </w:r>
      <w:r w:rsidRPr="005F088E">
        <w:rPr>
          <w:rFonts w:ascii="Times New Roman" w:hAnsi="Times New Roman" w:cs="Times New Roman"/>
          <w:sz w:val="24"/>
          <w:szCs w:val="24"/>
        </w:rPr>
        <w:t>t</w:t>
      </w:r>
      <w:r>
        <w:rPr>
          <w:rFonts w:ascii="Times New Roman" w:hAnsi="Times New Roman" w:cs="Times New Roman"/>
          <w:sz w:val="24"/>
          <w:szCs w:val="24"/>
        </w:rPr>
        <w:t>ent</w:t>
      </w:r>
      <w:r w:rsidRPr="005F088E">
        <w:rPr>
          <w:rFonts w:ascii="Times New Roman" w:hAnsi="Times New Roman" w:cs="Times New Roman"/>
          <w:sz w:val="24"/>
          <w:szCs w:val="24"/>
        </w:rPr>
        <w:t xml:space="preserve"> environmental pollution</w:t>
      </w:r>
      <w:r>
        <w:rPr>
          <w:rFonts w:ascii="Times New Roman" w:hAnsi="Times New Roman" w:cs="Times New Roman"/>
          <w:sz w:val="24"/>
          <w:szCs w:val="24"/>
        </w:rPr>
        <w:t xml:space="preserve"> associated with chronic hydrocarbon exposure, industrial emissions and effluent discharges.</w:t>
      </w:r>
      <w:r w:rsidRPr="005F088E">
        <w:rPr>
          <w:rFonts w:ascii="Times New Roman" w:hAnsi="Times New Roman" w:cs="Times New Roman"/>
          <w:sz w:val="24"/>
          <w:szCs w:val="24"/>
        </w:rPr>
        <w:t xml:space="preserve"> </w:t>
      </w:r>
      <w:r>
        <w:rPr>
          <w:rFonts w:ascii="Times New Roman" w:hAnsi="Times New Roman" w:cs="Times New Roman"/>
          <w:sz w:val="24"/>
          <w:szCs w:val="24"/>
        </w:rPr>
        <w:t>The climate is Ubeji is characteristic of a tropical monsoon region with distinct wet and dry seasons, a mean annual rainfall exceeding 2,700 -3,000 mm and mean annual temperature ranging from 26 °C to 32 °C (</w:t>
      </w:r>
      <w:r w:rsidR="005210CE">
        <w:rPr>
          <w:rFonts w:ascii="Times New Roman" w:hAnsi="Times New Roman" w:cs="Times New Roman"/>
          <w:sz w:val="24"/>
          <w:szCs w:val="24"/>
        </w:rPr>
        <w:t xml:space="preserve">Oyebade and Babatunde, 2024; </w:t>
      </w:r>
      <w:r w:rsidR="00C51748">
        <w:rPr>
          <w:rFonts w:ascii="Times New Roman" w:hAnsi="Times New Roman" w:cs="Times New Roman"/>
          <w:sz w:val="24"/>
          <w:szCs w:val="24"/>
        </w:rPr>
        <w:t>Oyegun</w:t>
      </w:r>
      <w:r w:rsidR="005210CE">
        <w:rPr>
          <w:rFonts w:ascii="Times New Roman" w:hAnsi="Times New Roman" w:cs="Times New Roman"/>
          <w:sz w:val="24"/>
          <w:szCs w:val="24"/>
        </w:rPr>
        <w:t xml:space="preserve"> </w:t>
      </w:r>
      <w:r w:rsidR="005210CE" w:rsidRPr="005210CE">
        <w:rPr>
          <w:rFonts w:ascii="Times New Roman" w:hAnsi="Times New Roman" w:cs="Times New Roman"/>
          <w:i/>
          <w:iCs/>
          <w:sz w:val="24"/>
          <w:szCs w:val="24"/>
        </w:rPr>
        <w:t>et al</w:t>
      </w:r>
      <w:r w:rsidR="005210CE">
        <w:rPr>
          <w:rFonts w:ascii="Times New Roman" w:hAnsi="Times New Roman" w:cs="Times New Roman"/>
          <w:sz w:val="24"/>
          <w:szCs w:val="24"/>
        </w:rPr>
        <w:t>., 2023</w:t>
      </w:r>
      <w:r>
        <w:rPr>
          <w:rFonts w:ascii="Times New Roman" w:hAnsi="Times New Roman" w:cs="Times New Roman"/>
          <w:sz w:val="24"/>
          <w:szCs w:val="24"/>
        </w:rPr>
        <w:t xml:space="preserve">). </w:t>
      </w:r>
      <w:r w:rsidRPr="00F7530A">
        <w:rPr>
          <w:rFonts w:ascii="Times New Roman" w:eastAsia="Times New Roman" w:hAnsi="Times New Roman" w:cs="Times New Roman"/>
          <w:kern w:val="0"/>
          <w:sz w:val="24"/>
          <w:szCs w:val="24"/>
          <w14:ligatures w14:val="none"/>
        </w:rPr>
        <w:t xml:space="preserve">Coastal </w:t>
      </w:r>
      <w:r>
        <w:rPr>
          <w:rFonts w:ascii="Times New Roman" w:eastAsia="Times New Roman" w:hAnsi="Times New Roman" w:cs="Times New Roman"/>
          <w:kern w:val="0"/>
          <w:sz w:val="24"/>
          <w:szCs w:val="24"/>
          <w14:ligatures w14:val="none"/>
        </w:rPr>
        <w:t>regions</w:t>
      </w:r>
      <w:r w:rsidRPr="00F7530A">
        <w:rPr>
          <w:rFonts w:ascii="Times New Roman" w:eastAsia="Times New Roman" w:hAnsi="Times New Roman" w:cs="Times New Roman"/>
          <w:kern w:val="0"/>
          <w:sz w:val="24"/>
          <w:szCs w:val="24"/>
          <w14:ligatures w14:val="none"/>
        </w:rPr>
        <w:t xml:space="preserve"> in the Niger Delta are among the wettest regions in Nigeria, frequently recording prolonged rainy seasons.</w:t>
      </w:r>
    </w:p>
    <w:p w14:paraId="3A0202C4" w14:textId="77777777" w:rsidR="00E41770" w:rsidRDefault="00E41770" w:rsidP="00E41770">
      <w:pPr>
        <w:jc w:val="both"/>
        <w:rPr>
          <w:rStyle w:val="Strong"/>
        </w:rPr>
      </w:pPr>
      <w:r w:rsidRPr="00894405">
        <w:rPr>
          <w:rFonts w:ascii="Times New Roman" w:hAnsi="Times New Roman" w:cs="Times New Roman"/>
          <w:sz w:val="24"/>
          <w:szCs w:val="24"/>
        </w:rPr>
        <w:t>Soil samples were collected in November 2023 from three locations within the geographical boundaries of Ubeji. Two sites were adjacent to the Escravos River (U1: 5.57279° N, 5.77278° E; U3: 5.57238° N, 5.72207° E), while the third was near the Forcados River (U2: 5.56224° N, 5.68365° E). At each location, three sampling points were selected within a 200 m radius. Approximately 500 g of subsurface soil was collected from each point. Extraneous materials, including stones and plant debris, were removed manually, and the soil was homogenized to generate a composite sample for each site. Samples were placed in clean, dark polyethylene bags and transported to the laboratory. An aliquot (~100 g) of each composite sample was analyzed immediately, while the remaining ~400 g was reserved for soil microcosm incubation and stored in the laboratory for six months prior to analysis.</w:t>
      </w:r>
      <w:r>
        <w:rPr>
          <w:rFonts w:ascii="Times New Roman" w:hAnsi="Times New Roman" w:cs="Times New Roman"/>
          <w:sz w:val="24"/>
          <w:szCs w:val="24"/>
        </w:rPr>
        <w:t xml:space="preserve"> The microcosms were maintained in an unsealed polythene bag at room temperature, to allow passive aeration while restricting nutrient input.</w:t>
      </w:r>
    </w:p>
    <w:p w14:paraId="7A30FF1A" w14:textId="77777777" w:rsidR="00E41770" w:rsidRDefault="00E41770" w:rsidP="00E41770">
      <w:pPr>
        <w:jc w:val="both"/>
        <w:rPr>
          <w:rFonts w:ascii="Times New Roman" w:hAnsi="Times New Roman" w:cs="Times New Roman"/>
          <w:sz w:val="24"/>
          <w:szCs w:val="24"/>
        </w:rPr>
      </w:pPr>
    </w:p>
    <w:p w14:paraId="44B789D9" w14:textId="77777777" w:rsidR="00E41770" w:rsidRDefault="00E41770" w:rsidP="00E41770">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25F03E" wp14:editId="277E1859">
            <wp:extent cx="5694698" cy="3583172"/>
            <wp:effectExtent l="0" t="0" r="1270" b="0"/>
            <wp:docPr id="59206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6832" name="Picture 59206832"/>
                    <pic:cNvPicPr/>
                  </pic:nvPicPr>
                  <pic:blipFill rotWithShape="1">
                    <a:blip r:embed="rId7" cstate="print">
                      <a:extLst>
                        <a:ext uri="{28A0092B-C50C-407E-A947-70E740481C1C}">
                          <a14:useLocalDpi xmlns:a14="http://schemas.microsoft.com/office/drawing/2010/main" val="0"/>
                        </a:ext>
                      </a:extLst>
                    </a:blip>
                    <a:srcRect l="4638" t="10575" r="4245" b="3423"/>
                    <a:stretch>
                      <a:fillRect/>
                    </a:stretch>
                  </pic:blipFill>
                  <pic:spPr bwMode="auto">
                    <a:xfrm>
                      <a:off x="0" y="0"/>
                      <a:ext cx="5706292" cy="3590467"/>
                    </a:xfrm>
                    <a:prstGeom prst="rect">
                      <a:avLst/>
                    </a:prstGeom>
                    <a:ln>
                      <a:noFill/>
                    </a:ln>
                    <a:extLst>
                      <a:ext uri="{53640926-AAD7-44D8-BBD7-CCE9431645EC}">
                        <a14:shadowObscured xmlns:a14="http://schemas.microsoft.com/office/drawing/2010/main"/>
                      </a:ext>
                    </a:extLst>
                  </pic:spPr>
                </pic:pic>
              </a:graphicData>
            </a:graphic>
          </wp:inline>
        </w:drawing>
      </w:r>
    </w:p>
    <w:p w14:paraId="503017FB" w14:textId="77777777" w:rsidR="00E41770" w:rsidRPr="005F088E" w:rsidRDefault="00E41770" w:rsidP="00E41770">
      <w:pPr>
        <w:jc w:val="center"/>
        <w:rPr>
          <w:rFonts w:ascii="Times New Roman" w:hAnsi="Times New Roman" w:cs="Times New Roman"/>
          <w:sz w:val="24"/>
          <w:szCs w:val="24"/>
        </w:rPr>
      </w:pPr>
      <w:r>
        <w:rPr>
          <w:rFonts w:ascii="Times New Roman" w:hAnsi="Times New Roman" w:cs="Times New Roman"/>
          <w:sz w:val="24"/>
          <w:szCs w:val="24"/>
        </w:rPr>
        <w:t>Figure 1. Map showing sample collection sites in Ubeji, Nigeria</w:t>
      </w:r>
    </w:p>
    <w:p w14:paraId="6014E354" w14:textId="77777777" w:rsidR="00E41770" w:rsidRDefault="00E41770" w:rsidP="00E41770">
      <w:pPr>
        <w:pStyle w:val="NormalWeb"/>
        <w:rPr>
          <w:b/>
          <w:bCs/>
        </w:rPr>
      </w:pPr>
    </w:p>
    <w:p w14:paraId="1C6203FB" w14:textId="77777777" w:rsidR="00E41770" w:rsidRDefault="00E41770" w:rsidP="00E41770">
      <w:pPr>
        <w:pStyle w:val="NormalWeb"/>
        <w:rPr>
          <w:b/>
          <w:bCs/>
        </w:rPr>
      </w:pPr>
    </w:p>
    <w:p w14:paraId="773F6E53" w14:textId="77777777" w:rsidR="00E41770" w:rsidRDefault="00E41770" w:rsidP="00E41770">
      <w:pPr>
        <w:pStyle w:val="NormalWeb"/>
        <w:spacing w:after="0" w:afterAutospacing="0"/>
        <w:rPr>
          <w:b/>
          <w:bCs/>
        </w:rPr>
      </w:pPr>
      <w:r>
        <w:rPr>
          <w:b/>
          <w:bCs/>
        </w:rPr>
        <w:t xml:space="preserve">Incubation of Soil Microcosms </w:t>
      </w:r>
    </w:p>
    <w:p w14:paraId="5778648E" w14:textId="77777777" w:rsidR="00E41770" w:rsidRPr="009C5719" w:rsidRDefault="00E41770" w:rsidP="00E41770">
      <w:pPr>
        <w:pStyle w:val="NormalWeb"/>
        <w:spacing w:before="0" w:beforeAutospacing="0" w:after="0" w:afterAutospacing="0"/>
        <w:jc w:val="both"/>
      </w:pPr>
      <w:r>
        <w:t>Soil microcosms were incubated for six months under static, unamended, passive aerobic conditions at ambient laboratory temperature in unsealed dark polyethylene bags. Following incubation, the petroleum hydrocarbon content of the soil was analysed.</w:t>
      </w:r>
      <w:r w:rsidRPr="009C5719">
        <w:t xml:space="preserve"> </w:t>
      </w:r>
    </w:p>
    <w:p w14:paraId="40B685E9" w14:textId="77777777" w:rsidR="00E41770" w:rsidRPr="00734AF3" w:rsidRDefault="00E41770" w:rsidP="00E41770">
      <w:pPr>
        <w:pStyle w:val="NormalWeb"/>
        <w:spacing w:after="0" w:afterAutospacing="0"/>
        <w:rPr>
          <w:b/>
          <w:bCs/>
        </w:rPr>
      </w:pPr>
      <w:r w:rsidRPr="00734AF3">
        <w:rPr>
          <w:b/>
          <w:bCs/>
        </w:rPr>
        <w:t xml:space="preserve">Analysis of Petroleum Hydrocarbons </w:t>
      </w:r>
    </w:p>
    <w:p w14:paraId="353C0BD2" w14:textId="77777777" w:rsidR="00E41770" w:rsidRDefault="00E41770" w:rsidP="00E41770">
      <w:pPr>
        <w:pStyle w:val="NormalWeb"/>
        <w:spacing w:before="0" w:beforeAutospacing="0"/>
        <w:jc w:val="both"/>
      </w:pPr>
      <w:r>
        <w:t>Petroleum hydrocarbons were extracted using a modified USEPA SW-846 method 8015B, a standardised procedure for the extraction of non-volatile and semi-volatile organic compounds from soil matrices (</w:t>
      </w:r>
      <w:r w:rsidR="005210CE">
        <w:t xml:space="preserve">Arinze </w:t>
      </w:r>
      <w:r w:rsidR="005210CE" w:rsidRPr="005210CE">
        <w:rPr>
          <w:i/>
          <w:iCs/>
        </w:rPr>
        <w:t>et al</w:t>
      </w:r>
      <w:r w:rsidR="005210CE">
        <w:t>., 2023</w:t>
      </w:r>
      <w:r>
        <w:t>).  To remove residual moisture, ~10 g of air-dried, homogenised soil was mixed with anhydrous sodium sulphate and extracted with dichloromethane (DCM) using an ultrasonic bath. The extraction was performed in replicate cycles and the combined extracts were concentrated using a rotary evaporator, followed by solvent exchanged to hexane. Then, the extracts were fractionated by column chromatography using activated silica gel and anhydrous sodium sulphate to separate aromatic (PAHs) and aliphatic (TAH) fractions. The aliphatic fraction was eluted with hexane, while the aromatic fraction was eluted using a hexane – dichloromethane mixture. Eluents were concentrated to a final volume of 1 mL under a gentle nitrogen stream. Subsequently, PAH and TAH concentrations were determined using gas chromatography with flame ionisation detection (GC-FID). TAH was quantified using an aliphatic hydrocarbon standard mixture (C10 – C40), while PAHs were identified based on retention times compared to certified standard references, Results expressed as mg kg</w:t>
      </w:r>
      <w:r w:rsidRPr="00E513DD">
        <w:rPr>
          <w:vertAlign w:val="superscript"/>
        </w:rPr>
        <w:t>-1</w:t>
      </w:r>
      <w:r>
        <w:t xml:space="preserve">. Total PAH was calculated as the sum of the individual PAH compounds, and total petroleum hydrocarbons (TPH) were computed as the sum of PAH and TAH fractions in the soil. </w:t>
      </w:r>
    </w:p>
    <w:p w14:paraId="5B9E3867" w14:textId="77777777" w:rsidR="00E41770" w:rsidRDefault="00E41770" w:rsidP="00E41770">
      <w:pPr>
        <w:pStyle w:val="NormalWeb"/>
        <w:jc w:val="both"/>
      </w:pPr>
      <w:r>
        <w:lastRenderedPageBreak/>
        <w:t xml:space="preserve">Analytical determination of polycyclic aromatic hydrocarbons (PAHs) and aliphatic hydrocarbons in soil samples was conducted under strict QA/QC protocols, including multi-level calibration, continuing calibration verification, procedural blanks, laboratory control samples, matrix spike recovery tests, and duplicate analyses. Five-point calibration curves were prepared using certified standards of the sixteen priority PAHs and n-alkane mixtures for aliphatic hydrocarbons, with correlation coefficients (r²) ≥ 0.995. PAHs were identified by matching retention times to standards, and all extracts were analyzed in duplicate, with mean values used for quantification. Matrix spike recoveries ranged 72–102% for PAHs and 70–120% for aliphatic hydrocarbons. Method detection limits (LOD) and quantification limits (LOQ) were based on signal-to-noise ratios of 3:1 and 10:1, respectively, with typical LODs of 0.01–Evaluation of Carcinogenic 0.05 mg kg⁻¹ for PAHs and 0.05–0.1 mg kg⁻¹ for aliphatic hydrocarbons. </w:t>
      </w:r>
    </w:p>
    <w:p w14:paraId="5FE69B56" w14:textId="77777777" w:rsidR="00E41770" w:rsidRPr="00813137" w:rsidRDefault="00E41770" w:rsidP="00E41770">
      <w:pPr>
        <w:pStyle w:val="NormalWeb"/>
        <w:spacing w:after="0" w:afterAutospacing="0"/>
        <w:jc w:val="both"/>
        <w:rPr>
          <w:b/>
          <w:bCs/>
        </w:rPr>
      </w:pPr>
      <w:r w:rsidRPr="00813137">
        <w:rPr>
          <w:b/>
          <w:bCs/>
        </w:rPr>
        <w:t xml:space="preserve">Evaluation of Carcinogenic PAH </w:t>
      </w:r>
    </w:p>
    <w:p w14:paraId="2CE21CDE" w14:textId="77777777" w:rsidR="00E41770" w:rsidRDefault="00E41770" w:rsidP="00E41770">
      <w:pPr>
        <w:pStyle w:val="NormalWeb"/>
        <w:spacing w:before="0" w:beforeAutospacing="0" w:after="0" w:afterAutospacing="0"/>
        <w:jc w:val="both"/>
      </w:pPr>
      <w:r>
        <w:t>The carcinogenic potency of U1 and U2 pre and post incubation were evaluated using the Benzo(a) pyrene Toxic Eqivalency (BaP -TEQ) method (10)</w:t>
      </w:r>
    </w:p>
    <w:p w14:paraId="797A3654" w14:textId="77777777" w:rsidR="00E41770" w:rsidRDefault="00E41770" w:rsidP="00E41770">
      <w:pPr>
        <w:pStyle w:val="NormalWeb"/>
        <w:spacing w:before="0" w:beforeAutospacing="0" w:after="0" w:afterAutospacing="0"/>
        <w:jc w:val="both"/>
        <w:rPr>
          <w:i/>
        </w:rPr>
      </w:pPr>
      <m:oMathPara>
        <m:oMath>
          <m:r>
            <m:rPr>
              <m:nor/>
            </m:rPr>
            <m:t>BaP-TEQ</m:t>
          </m:r>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i</m:t>
              </m:r>
            </m:sub>
          </m:sSub>
          <m:r>
            <w:rPr>
              <w:rFonts w:ascii="Cambria Math" w:hAnsi="Cambria Math"/>
            </w:rPr>
            <m:t>×TE</m:t>
          </m:r>
          <m:sSub>
            <m:sSubPr>
              <m:ctrlPr>
                <w:rPr>
                  <w:rFonts w:ascii="Cambria Math" w:hAnsi="Cambria Math"/>
                </w:rPr>
              </m:ctrlPr>
            </m:sSubPr>
            <m:e>
              <m:r>
                <w:rPr>
                  <w:rFonts w:ascii="Cambria Math" w:hAnsi="Cambria Math"/>
                </w:rPr>
                <m:t>F</m:t>
              </m:r>
            </m:e>
            <m:sub>
              <m:r>
                <w:rPr>
                  <w:rFonts w:ascii="Cambria Math" w:hAnsi="Cambria Math"/>
                </w:rPr>
                <m:t>i</m:t>
              </m:r>
            </m:sub>
          </m:sSub>
          <m:r>
            <w:rPr>
              <w:rFonts w:ascii="Cambria Math" w:hAnsi="Cambria Math"/>
            </w:rPr>
            <m:t>)</m:t>
          </m:r>
        </m:oMath>
      </m:oMathPara>
    </w:p>
    <w:p w14:paraId="608331DE" w14:textId="77777777" w:rsidR="00E41770" w:rsidRDefault="00E41770" w:rsidP="00E41770">
      <w:pPr>
        <w:pStyle w:val="NormalWeb"/>
        <w:spacing w:before="0" w:beforeAutospacing="0"/>
        <w:jc w:val="both"/>
      </w:pPr>
      <w:r>
        <w:t xml:space="preserve"> </w:t>
      </w:r>
      <w:r w:rsidRPr="00F66963">
        <w:t xml:space="preserve">where </w:t>
      </w:r>
      <m:oMath>
        <m:sSub>
          <m:sSubPr>
            <m:ctrlPr>
              <w:rPr>
                <w:rFonts w:ascii="Cambria Math" w:hAnsi="Cambria Math"/>
              </w:rPr>
            </m:ctrlPr>
          </m:sSubPr>
          <m:e>
            <m:r>
              <w:rPr>
                <w:rFonts w:ascii="Cambria Math" w:hAnsi="Cambria Math"/>
              </w:rPr>
              <m:t>C</m:t>
            </m:r>
          </m:e>
          <m:sub>
            <m:r>
              <w:rPr>
                <w:rFonts w:ascii="Cambria Math" w:hAnsi="Cambria Math"/>
              </w:rPr>
              <m:t>i</m:t>
            </m:r>
          </m:sub>
        </m:sSub>
      </m:oMath>
      <w:r w:rsidRPr="00F66963">
        <w:t xml:space="preserve">is the concentration (mg kg⁻¹) of each carcinogenic PAH and </w:t>
      </w:r>
      <m:oMath>
        <m:r>
          <w:rPr>
            <w:rFonts w:ascii="Cambria Math" w:hAnsi="Cambria Math"/>
          </w:rPr>
          <m:t>TE</m:t>
        </m:r>
        <m:sSub>
          <m:sSubPr>
            <m:ctrlPr>
              <w:rPr>
                <w:rFonts w:ascii="Cambria Math" w:hAnsi="Cambria Math"/>
              </w:rPr>
            </m:ctrlPr>
          </m:sSubPr>
          <m:e>
            <m:r>
              <w:rPr>
                <w:rFonts w:ascii="Cambria Math" w:hAnsi="Cambria Math"/>
              </w:rPr>
              <m:t>F</m:t>
            </m:r>
          </m:e>
          <m:sub>
            <m:r>
              <w:rPr>
                <w:rFonts w:ascii="Cambria Math" w:hAnsi="Cambria Math"/>
              </w:rPr>
              <m:t>i</m:t>
            </m:r>
          </m:sub>
        </m:sSub>
      </m:oMath>
      <w:r w:rsidRPr="00F66963">
        <w:t>is its Toxic Equivalency Factor.</w:t>
      </w:r>
    </w:p>
    <w:p w14:paraId="241D0D82" w14:textId="77777777" w:rsidR="00E41770" w:rsidRPr="00B420E4" w:rsidRDefault="00E41770" w:rsidP="00E41770">
      <w:pPr>
        <w:pStyle w:val="NormalWeb"/>
        <w:spacing w:after="0" w:afterAutospacing="0"/>
        <w:rPr>
          <w:b/>
          <w:bCs/>
        </w:rPr>
      </w:pPr>
      <w:r w:rsidRPr="00B420E4">
        <w:rPr>
          <w:b/>
          <w:bCs/>
        </w:rPr>
        <w:t xml:space="preserve">Statistical Analysis </w:t>
      </w:r>
    </w:p>
    <w:p w14:paraId="099BF15F" w14:textId="77777777" w:rsidR="00E41770" w:rsidRDefault="00E41770" w:rsidP="00E41770">
      <w:pPr>
        <w:pStyle w:val="NormalWeb"/>
        <w:spacing w:before="0" w:beforeAutospacing="0" w:after="0" w:afterAutospacing="0"/>
        <w:jc w:val="both"/>
      </w:pPr>
      <w:r>
        <w:t>Microsoft Excel and R software were used for data analysis and graphical presentation. PAH values below detection limits were excluded from the calculations</w:t>
      </w:r>
      <w:bookmarkEnd w:id="0"/>
      <w:r>
        <w:t>.</w:t>
      </w:r>
    </w:p>
    <w:p w14:paraId="3E878561" w14:textId="77777777" w:rsidR="00E41770" w:rsidRDefault="00E41770" w:rsidP="00E41770">
      <w:pPr>
        <w:pStyle w:val="NormalWeb"/>
        <w:spacing w:before="0" w:beforeAutospacing="0" w:after="0" w:afterAutospacing="0"/>
        <w:jc w:val="both"/>
      </w:pPr>
    </w:p>
    <w:p w14:paraId="7014B918" w14:textId="77777777" w:rsidR="00E41770" w:rsidRPr="00A8106A" w:rsidRDefault="00E41770" w:rsidP="00E41770">
      <w:pPr>
        <w:pStyle w:val="NormalWeb"/>
        <w:spacing w:before="0" w:beforeAutospacing="0" w:after="0" w:afterAutospacing="0"/>
        <w:jc w:val="both"/>
      </w:pPr>
      <w:r w:rsidRPr="00A8106A">
        <w:rPr>
          <w:b/>
          <w:bCs/>
        </w:rPr>
        <w:t>Results</w:t>
      </w:r>
    </w:p>
    <w:p w14:paraId="660DCC45" w14:textId="77777777" w:rsidR="00E41770" w:rsidRDefault="00E41770" w:rsidP="00E41770">
      <w:pPr>
        <w:rPr>
          <w:rFonts w:ascii="Times New Roman" w:hAnsi="Times New Roman" w:cs="Times New Roman"/>
          <w:b/>
          <w:bCs/>
          <w:sz w:val="24"/>
          <w:szCs w:val="24"/>
        </w:rPr>
      </w:pPr>
      <w:r w:rsidRPr="00A8106A">
        <w:rPr>
          <w:rFonts w:ascii="Times New Roman" w:hAnsi="Times New Roman" w:cs="Times New Roman"/>
          <w:b/>
          <w:bCs/>
          <w:sz w:val="24"/>
          <w:szCs w:val="24"/>
        </w:rPr>
        <w:t>PAH concentration</w:t>
      </w:r>
    </w:p>
    <w:p w14:paraId="3A626B54" w14:textId="77777777" w:rsidR="00E41770" w:rsidRDefault="00E41770" w:rsidP="00E41770">
      <w:pPr>
        <w:jc w:val="both"/>
        <w:rPr>
          <w:rFonts w:ascii="Times New Roman" w:hAnsi="Times New Roman" w:cs="Times New Roman"/>
          <w:b/>
          <w:bCs/>
          <w:sz w:val="24"/>
          <w:szCs w:val="24"/>
        </w:rPr>
      </w:pPr>
      <w:r>
        <w:rPr>
          <w:rFonts w:ascii="Times New Roman" w:hAnsi="Times New Roman" w:cs="Times New Roman"/>
          <w:sz w:val="24"/>
          <w:szCs w:val="24"/>
        </w:rPr>
        <w:t xml:space="preserve">The concentrations of the priority PAHs in the soil samples are presented in Fig. 2. Total PAH concentration varied considerably across the sampling locations. U1 and U2 exhibited elevated contamination levels of 86.67 </w:t>
      </w:r>
      <w:bookmarkStart w:id="1" w:name="_Hlk221708174"/>
      <w:r>
        <w:rPr>
          <w:rFonts w:ascii="Times New Roman" w:hAnsi="Times New Roman" w:cs="Times New Roman"/>
          <w:sz w:val="24"/>
          <w:szCs w:val="24"/>
        </w:rPr>
        <w:t>mg kg</w:t>
      </w:r>
      <w:r w:rsidRPr="005F3BC6">
        <w:rPr>
          <w:rFonts w:ascii="Times New Roman" w:hAnsi="Times New Roman" w:cs="Times New Roman"/>
          <w:sz w:val="24"/>
          <w:szCs w:val="24"/>
          <w:vertAlign w:val="superscript"/>
        </w:rPr>
        <w:t>-1</w:t>
      </w:r>
      <w:bookmarkEnd w:id="1"/>
      <w:r>
        <w:rPr>
          <w:rFonts w:ascii="Times New Roman" w:hAnsi="Times New Roman" w:cs="Times New Roman"/>
          <w:sz w:val="24"/>
          <w:szCs w:val="24"/>
        </w:rPr>
        <w:t xml:space="preserve"> and 78.29 </w:t>
      </w:r>
      <w:bookmarkStart w:id="2" w:name="_Hlk221708937"/>
      <w:r>
        <w:rPr>
          <w:rFonts w:ascii="Times New Roman" w:hAnsi="Times New Roman" w:cs="Times New Roman"/>
          <w:sz w:val="24"/>
          <w:szCs w:val="24"/>
        </w:rPr>
        <w:t>mg kg</w:t>
      </w:r>
      <w:r w:rsidRPr="005F3BC6">
        <w:rPr>
          <w:rFonts w:ascii="Times New Roman" w:hAnsi="Times New Roman" w:cs="Times New Roman"/>
          <w:sz w:val="24"/>
          <w:szCs w:val="24"/>
          <w:vertAlign w:val="superscript"/>
        </w:rPr>
        <w:t>-1</w:t>
      </w:r>
      <w:bookmarkEnd w:id="2"/>
      <w:r>
        <w:rPr>
          <w:rFonts w:ascii="Times New Roman" w:hAnsi="Times New Roman" w:cs="Times New Roman"/>
          <w:sz w:val="24"/>
          <w:szCs w:val="24"/>
        </w:rPr>
        <w:t xml:space="preserve">, respectively, whereas U3 remained below the detection limit (&lt;0.001 </w:t>
      </w:r>
      <w:bookmarkStart w:id="3" w:name="_Hlk221716783"/>
      <w:r>
        <w:rPr>
          <w:rFonts w:ascii="Times New Roman" w:hAnsi="Times New Roman" w:cs="Times New Roman"/>
          <w:sz w:val="24"/>
          <w:szCs w:val="24"/>
        </w:rPr>
        <w:t>mg kg</w:t>
      </w:r>
      <w:r w:rsidRPr="005F3BC6">
        <w:rPr>
          <w:rFonts w:ascii="Times New Roman" w:hAnsi="Times New Roman" w:cs="Times New Roman"/>
          <w:sz w:val="24"/>
          <w:szCs w:val="24"/>
          <w:vertAlign w:val="superscript"/>
        </w:rPr>
        <w:t>-1</w:t>
      </w:r>
      <w:bookmarkEnd w:id="3"/>
      <w:r>
        <w:rPr>
          <w:rFonts w:ascii="Times New Roman" w:hAnsi="Times New Roman" w:cs="Times New Roman"/>
          <w:sz w:val="24"/>
          <w:szCs w:val="24"/>
        </w:rPr>
        <w:t xml:space="preserve">). Molecular weight distribution analysis showed clear compositional differences between U1 and U2. In U1, LMW PAHs were predominant accounting for ~54% of the total PAH concentration. MMW PAHs contributed ~42% (36.21 mg </w:t>
      </w:r>
      <w:bookmarkStart w:id="4" w:name="_Hlk221709112"/>
      <w:r>
        <w:rPr>
          <w:rFonts w:ascii="Times New Roman" w:hAnsi="Times New Roman" w:cs="Times New Roman"/>
          <w:sz w:val="24"/>
          <w:szCs w:val="24"/>
        </w:rPr>
        <w:t>kg</w:t>
      </w:r>
      <w:r w:rsidRPr="005F3BC6">
        <w:rPr>
          <w:rFonts w:ascii="Times New Roman" w:hAnsi="Times New Roman" w:cs="Times New Roman"/>
          <w:sz w:val="24"/>
          <w:szCs w:val="24"/>
          <w:vertAlign w:val="superscript"/>
        </w:rPr>
        <w:t>-1</w:t>
      </w:r>
      <w:bookmarkEnd w:id="4"/>
      <w:r>
        <w:rPr>
          <w:rFonts w:ascii="Times New Roman" w:hAnsi="Times New Roman" w:cs="Times New Roman"/>
          <w:sz w:val="24"/>
          <w:szCs w:val="24"/>
        </w:rPr>
        <w:t xml:space="preserve">), while HMW PAHs represented only 4% (3.46 </w:t>
      </w:r>
      <w:bookmarkStart w:id="5" w:name="_Hlk221709235"/>
      <w:r>
        <w:rPr>
          <w:rFonts w:ascii="Times New Roman" w:hAnsi="Times New Roman" w:cs="Times New Roman"/>
          <w:sz w:val="24"/>
          <w:szCs w:val="24"/>
        </w:rPr>
        <w:t>mg</w:t>
      </w:r>
      <w:r w:rsidRPr="00F442CC">
        <w:rPr>
          <w:rFonts w:ascii="Times New Roman" w:hAnsi="Times New Roman" w:cs="Times New Roman"/>
          <w:sz w:val="24"/>
          <w:szCs w:val="24"/>
        </w:rPr>
        <w:t xml:space="preserve"> </w:t>
      </w:r>
      <w:r>
        <w:rPr>
          <w:rFonts w:ascii="Times New Roman" w:hAnsi="Times New Roman" w:cs="Times New Roman"/>
          <w:sz w:val="24"/>
          <w:szCs w:val="24"/>
        </w:rPr>
        <w:t>kg</w:t>
      </w:r>
      <w:r w:rsidRPr="005F3BC6">
        <w:rPr>
          <w:rFonts w:ascii="Times New Roman" w:hAnsi="Times New Roman" w:cs="Times New Roman"/>
          <w:sz w:val="24"/>
          <w:szCs w:val="24"/>
          <w:vertAlign w:val="superscript"/>
        </w:rPr>
        <w:t>-1</w:t>
      </w:r>
      <w:bookmarkEnd w:id="5"/>
      <w:r>
        <w:rPr>
          <w:rFonts w:ascii="Times New Roman" w:hAnsi="Times New Roman" w:cs="Times New Roman"/>
          <w:sz w:val="24"/>
          <w:szCs w:val="24"/>
        </w:rPr>
        <w:t>) of the total PAH burden. In contrast, U2 was characterised by the prevalence of MMW PAHs, which accounted for 47% (37.07 mg</w:t>
      </w:r>
      <w:r w:rsidRPr="00F442CC">
        <w:rPr>
          <w:rFonts w:ascii="Times New Roman" w:hAnsi="Times New Roman" w:cs="Times New Roman"/>
          <w:sz w:val="24"/>
          <w:szCs w:val="24"/>
        </w:rPr>
        <w:t xml:space="preserve"> </w:t>
      </w:r>
      <w:r>
        <w:rPr>
          <w:rFonts w:ascii="Times New Roman" w:hAnsi="Times New Roman" w:cs="Times New Roman"/>
          <w:sz w:val="24"/>
          <w:szCs w:val="24"/>
        </w:rPr>
        <w:t>kg</w:t>
      </w:r>
      <w:r w:rsidRPr="005F3BC6">
        <w:rPr>
          <w:rFonts w:ascii="Times New Roman" w:hAnsi="Times New Roman" w:cs="Times New Roman"/>
          <w:sz w:val="24"/>
          <w:szCs w:val="24"/>
          <w:vertAlign w:val="superscript"/>
        </w:rPr>
        <w:t>-1</w:t>
      </w:r>
      <w:r>
        <w:rPr>
          <w:rFonts w:ascii="Times New Roman" w:hAnsi="Times New Roman" w:cs="Times New Roman"/>
          <w:sz w:val="24"/>
          <w:szCs w:val="24"/>
        </w:rPr>
        <w:t>) of the total concentration, followed by LMW PAHs at 41% (32.15 mg</w:t>
      </w:r>
      <w:r w:rsidRPr="00F442CC">
        <w:rPr>
          <w:rFonts w:ascii="Times New Roman" w:hAnsi="Times New Roman" w:cs="Times New Roman"/>
          <w:sz w:val="24"/>
          <w:szCs w:val="24"/>
        </w:rPr>
        <w:t xml:space="preserve"> </w:t>
      </w:r>
      <w:r>
        <w:rPr>
          <w:rFonts w:ascii="Times New Roman" w:hAnsi="Times New Roman" w:cs="Times New Roman"/>
          <w:sz w:val="24"/>
          <w:szCs w:val="24"/>
        </w:rPr>
        <w:t>kg</w:t>
      </w:r>
      <w:r w:rsidRPr="005F3BC6">
        <w:rPr>
          <w:rFonts w:ascii="Times New Roman" w:hAnsi="Times New Roman" w:cs="Times New Roman"/>
          <w:sz w:val="24"/>
          <w:szCs w:val="24"/>
          <w:vertAlign w:val="superscript"/>
        </w:rPr>
        <w:t>-1</w:t>
      </w:r>
      <w:r>
        <w:rPr>
          <w:rFonts w:ascii="Times New Roman" w:hAnsi="Times New Roman" w:cs="Times New Roman"/>
          <w:sz w:val="24"/>
          <w:szCs w:val="24"/>
        </w:rPr>
        <w:t>) and a comparatively higher proportion of HMW PAHs at 12% (9.07 mg</w:t>
      </w:r>
      <w:r w:rsidRPr="00F442CC">
        <w:rPr>
          <w:rFonts w:ascii="Times New Roman" w:hAnsi="Times New Roman" w:cs="Times New Roman"/>
          <w:sz w:val="24"/>
          <w:szCs w:val="24"/>
        </w:rPr>
        <w:t xml:space="preserve"> </w:t>
      </w:r>
      <w:r>
        <w:rPr>
          <w:rFonts w:ascii="Times New Roman" w:hAnsi="Times New Roman" w:cs="Times New Roman"/>
          <w:sz w:val="24"/>
          <w:szCs w:val="24"/>
        </w:rPr>
        <w:t>kg</w:t>
      </w:r>
      <w:r w:rsidRPr="005F3BC6">
        <w:rPr>
          <w:rFonts w:ascii="Times New Roman" w:hAnsi="Times New Roman" w:cs="Times New Roman"/>
          <w:sz w:val="24"/>
          <w:szCs w:val="24"/>
          <w:vertAlign w:val="superscript"/>
        </w:rPr>
        <w:t>-1</w:t>
      </w:r>
      <w:r>
        <w:rPr>
          <w:rFonts w:ascii="Times New Roman" w:hAnsi="Times New Roman" w:cs="Times New Roman"/>
          <w:sz w:val="24"/>
          <w:szCs w:val="24"/>
        </w:rPr>
        <w:t>). BaA was the dominant hydrocarbon in U1 and U2, while NAP was present in the lowest concentration in the contaminated samples. The carcinogenic PAHs, BaP and BkF, were detected in U2 but were absent in U1.</w:t>
      </w:r>
      <w:r w:rsidRPr="0075583D">
        <w:rPr>
          <w:rFonts w:ascii="Times New Roman" w:eastAsia="Times New Roman" w:hAnsi="Times New Roman" w:cs="Times New Roman"/>
          <w:b/>
          <w:bCs/>
          <w:kern w:val="0"/>
          <w:sz w:val="24"/>
          <w:szCs w:val="24"/>
          <w14:ligatures w14:val="none"/>
        </w:rPr>
        <w:t xml:space="preserve"> </w:t>
      </w:r>
      <w:r w:rsidRPr="009A68A0">
        <w:rPr>
          <w:rFonts w:ascii="Times New Roman" w:eastAsia="Times New Roman" w:hAnsi="Times New Roman" w:cs="Times New Roman"/>
          <w:kern w:val="0"/>
          <w:sz w:val="24"/>
          <w:szCs w:val="24"/>
          <w14:ligatures w14:val="none"/>
        </w:rPr>
        <w:t>IcdP, DahA, and BghiP were</w:t>
      </w:r>
      <w:r w:rsidRPr="009A68A0">
        <w:rPr>
          <w:rFonts w:ascii="Times New Roman" w:hAnsi="Times New Roman" w:cs="Times New Roman"/>
          <w:sz w:val="24"/>
          <w:szCs w:val="24"/>
        </w:rPr>
        <w:t xml:space="preserve"> not detected in any of the soil samples</w:t>
      </w:r>
      <w:r>
        <w:rPr>
          <w:rFonts w:ascii="Times New Roman" w:hAnsi="Times New Roman" w:cs="Times New Roman"/>
          <w:b/>
          <w:bCs/>
          <w:sz w:val="24"/>
          <w:szCs w:val="24"/>
        </w:rPr>
        <w:t>.</w:t>
      </w:r>
    </w:p>
    <w:p w14:paraId="6CBC3D72" w14:textId="77777777" w:rsidR="00E41770" w:rsidRPr="00A8106A" w:rsidRDefault="00E41770" w:rsidP="00E41770">
      <w:pPr>
        <w:rPr>
          <w:rFonts w:ascii="Times New Roman" w:hAnsi="Times New Roman" w:cs="Times New Roman"/>
          <w:b/>
          <w:bCs/>
          <w:sz w:val="24"/>
          <w:szCs w:val="24"/>
        </w:rPr>
      </w:pPr>
    </w:p>
    <w:p w14:paraId="0C8E26A5" w14:textId="77777777" w:rsidR="00E41770" w:rsidRPr="0015423B" w:rsidRDefault="000A55CF" w:rsidP="00E41770">
      <w:pPr>
        <w:spacing w:after="0"/>
        <w:jc w:val="center"/>
        <w:rPr>
          <w:rFonts w:ascii="Times New Roman" w:hAnsi="Times New Roman" w:cs="Times New Roman"/>
          <w:sz w:val="24"/>
          <w:szCs w:val="24"/>
        </w:rPr>
      </w:pPr>
      <w:r w:rsidRPr="000A55CF">
        <w:rPr>
          <w:rFonts w:ascii="Times New Roman" w:hAnsi="Times New Roman" w:cs="Times New Roman"/>
          <w:noProof/>
          <w:sz w:val="24"/>
          <w:szCs w:val="24"/>
        </w:rPr>
        <w:object w:dxaOrig="4770" w:dyaOrig="4139" w14:anchorId="2B78C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368.95pt;height:319.75pt;mso-width-percent:0;mso-height-percent:0;mso-width-percent:0;mso-height-percent:0" o:ole="">
            <v:imagedata r:id="rId8" o:title=""/>
          </v:shape>
          <o:OLEObject Type="Embed" ProgID="Acrobat.Document.DC" ShapeID="_x0000_i1027" DrawAspect="Content" ObjectID="_1836204883" r:id="rId9"/>
        </w:object>
      </w:r>
    </w:p>
    <w:p w14:paraId="446D2E88" w14:textId="77777777" w:rsidR="00E41770" w:rsidRPr="0015423B" w:rsidRDefault="00E41770" w:rsidP="00E41770">
      <w:pPr>
        <w:jc w:val="center"/>
        <w:rPr>
          <w:rFonts w:ascii="Times New Roman" w:hAnsi="Times New Roman" w:cs="Times New Roman"/>
          <w:sz w:val="24"/>
          <w:szCs w:val="24"/>
        </w:rPr>
      </w:pPr>
      <w:r w:rsidRPr="0015423B">
        <w:rPr>
          <w:rFonts w:ascii="Times New Roman" w:hAnsi="Times New Roman" w:cs="Times New Roman"/>
          <w:sz w:val="24"/>
          <w:szCs w:val="24"/>
        </w:rPr>
        <w:t xml:space="preserve">Figure </w:t>
      </w:r>
      <w:r>
        <w:rPr>
          <w:rFonts w:ascii="Times New Roman" w:hAnsi="Times New Roman" w:cs="Times New Roman"/>
          <w:sz w:val="24"/>
          <w:szCs w:val="24"/>
        </w:rPr>
        <w:t>2</w:t>
      </w:r>
      <w:r w:rsidRPr="0015423B">
        <w:rPr>
          <w:rFonts w:ascii="Times New Roman" w:hAnsi="Times New Roman" w:cs="Times New Roman"/>
          <w:sz w:val="24"/>
          <w:szCs w:val="24"/>
        </w:rPr>
        <w:t xml:space="preserve"> Concentration of PAHs in soil samples</w:t>
      </w:r>
    </w:p>
    <w:p w14:paraId="2B9EDFCA" w14:textId="77777777" w:rsidR="00E41770" w:rsidRDefault="00E41770" w:rsidP="00E41770">
      <w:pPr>
        <w:jc w:val="both"/>
        <w:rPr>
          <w:rFonts w:ascii="Times New Roman" w:hAnsi="Times New Roman" w:cs="Times New Roman"/>
          <w:sz w:val="24"/>
          <w:szCs w:val="24"/>
        </w:rPr>
      </w:pPr>
    </w:p>
    <w:p w14:paraId="08FC0DB2" w14:textId="77777777" w:rsidR="00E41770" w:rsidRDefault="00E41770" w:rsidP="00E41770">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5F2BF9" wp14:editId="6226D326">
            <wp:extent cx="4762732" cy="3114675"/>
            <wp:effectExtent l="0" t="0" r="0" b="0"/>
            <wp:docPr id="2102173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5957" b="6383"/>
                    <a:stretch>
                      <a:fillRect/>
                    </a:stretch>
                  </pic:blipFill>
                  <pic:spPr bwMode="auto">
                    <a:xfrm>
                      <a:off x="0" y="0"/>
                      <a:ext cx="4769536" cy="3119125"/>
                    </a:xfrm>
                    <a:prstGeom prst="rect">
                      <a:avLst/>
                    </a:prstGeom>
                    <a:noFill/>
                    <a:ln>
                      <a:noFill/>
                    </a:ln>
                    <a:extLst>
                      <a:ext uri="{53640926-AAD7-44D8-BBD7-CCE9431645EC}">
                        <a14:shadowObscured xmlns:a14="http://schemas.microsoft.com/office/drawing/2010/main"/>
                      </a:ext>
                    </a:extLst>
                  </pic:spPr>
                </pic:pic>
              </a:graphicData>
            </a:graphic>
          </wp:inline>
        </w:drawing>
      </w:r>
    </w:p>
    <w:p w14:paraId="48A619D0" w14:textId="77777777" w:rsidR="00E41770" w:rsidRDefault="00E41770" w:rsidP="00E41770">
      <w:pPr>
        <w:jc w:val="center"/>
        <w:rPr>
          <w:rFonts w:ascii="Times New Roman" w:hAnsi="Times New Roman" w:cs="Times New Roman"/>
          <w:sz w:val="24"/>
          <w:szCs w:val="24"/>
        </w:rPr>
      </w:pPr>
      <w:r>
        <w:rPr>
          <w:rFonts w:ascii="Times New Roman" w:hAnsi="Times New Roman" w:cs="Times New Roman"/>
          <w:sz w:val="24"/>
          <w:szCs w:val="24"/>
        </w:rPr>
        <w:t>Figure 3. Comparison of PAH concentrations in U1 and U2</w:t>
      </w:r>
    </w:p>
    <w:p w14:paraId="27392A96" w14:textId="77777777" w:rsidR="00E41770" w:rsidRPr="0075583D" w:rsidRDefault="00E41770" w:rsidP="00E41770">
      <w:pPr>
        <w:jc w:val="both"/>
        <w:rPr>
          <w:rFonts w:ascii="Times New Roman" w:hAnsi="Times New Roman" w:cs="Times New Roman"/>
          <w:sz w:val="24"/>
          <w:szCs w:val="24"/>
        </w:rPr>
      </w:pPr>
      <w:r>
        <w:rPr>
          <w:rFonts w:ascii="Times New Roman" w:hAnsi="Times New Roman" w:cs="Times New Roman"/>
          <w:sz w:val="24"/>
          <w:szCs w:val="24"/>
        </w:rPr>
        <w:t xml:space="preserve">Effect of Natural Attenuation on PAH concentrations </w:t>
      </w:r>
    </w:p>
    <w:p w14:paraId="57239728" w14:textId="77777777" w:rsidR="00E41770" w:rsidRPr="0015423B" w:rsidRDefault="00E41770" w:rsidP="00E41770">
      <w:pPr>
        <w:jc w:val="both"/>
        <w:rPr>
          <w:rFonts w:ascii="Times New Roman" w:hAnsi="Times New Roman" w:cs="Times New Roman"/>
          <w:sz w:val="24"/>
          <w:szCs w:val="24"/>
        </w:rPr>
      </w:pPr>
    </w:p>
    <w:p w14:paraId="0B6AAB22" w14:textId="77777777" w:rsidR="00E41770" w:rsidRPr="0015423B" w:rsidRDefault="000A55CF" w:rsidP="00E41770">
      <w:pPr>
        <w:jc w:val="center"/>
        <w:rPr>
          <w:rFonts w:ascii="Times New Roman" w:hAnsi="Times New Roman" w:cs="Times New Roman"/>
          <w:sz w:val="24"/>
          <w:szCs w:val="24"/>
        </w:rPr>
      </w:pPr>
      <w:r w:rsidRPr="000A55CF">
        <w:rPr>
          <w:rFonts w:ascii="Times New Roman" w:hAnsi="Times New Roman" w:cs="Times New Roman"/>
          <w:noProof/>
          <w:sz w:val="24"/>
          <w:szCs w:val="24"/>
        </w:rPr>
        <w:object w:dxaOrig="4770" w:dyaOrig="4139" w14:anchorId="067F3951">
          <v:shape id="_x0000_i1026" type="#_x0000_t75" alt="" style="width:399.8pt;height:347.95pt;mso-width-percent:0;mso-height-percent:0;mso-width-percent:0;mso-height-percent:0" o:ole="">
            <v:imagedata r:id="rId11" o:title=""/>
          </v:shape>
          <o:OLEObject Type="Embed" ProgID="Acrobat.Document.DC" ShapeID="_x0000_i1026" DrawAspect="Content" ObjectID="_1836204884" r:id="rId12"/>
        </w:object>
      </w:r>
    </w:p>
    <w:p w14:paraId="1633E36A" w14:textId="77777777" w:rsidR="00E41770" w:rsidRDefault="00E41770" w:rsidP="00E41770">
      <w:pPr>
        <w:jc w:val="center"/>
        <w:rPr>
          <w:rFonts w:ascii="Times New Roman" w:hAnsi="Times New Roman" w:cs="Times New Roman"/>
          <w:sz w:val="24"/>
          <w:szCs w:val="24"/>
        </w:rPr>
      </w:pPr>
      <w:r w:rsidRPr="0015423B">
        <w:rPr>
          <w:rFonts w:ascii="Times New Roman" w:hAnsi="Times New Roman" w:cs="Times New Roman"/>
          <w:sz w:val="24"/>
          <w:szCs w:val="24"/>
        </w:rPr>
        <w:t xml:space="preserve">Figure </w:t>
      </w:r>
      <w:r>
        <w:rPr>
          <w:rFonts w:ascii="Times New Roman" w:hAnsi="Times New Roman" w:cs="Times New Roman"/>
          <w:sz w:val="24"/>
          <w:szCs w:val="24"/>
        </w:rPr>
        <w:t>4</w:t>
      </w:r>
      <w:r w:rsidRPr="0015423B">
        <w:rPr>
          <w:rFonts w:ascii="Times New Roman" w:hAnsi="Times New Roman" w:cs="Times New Roman"/>
          <w:sz w:val="24"/>
          <w:szCs w:val="24"/>
        </w:rPr>
        <w:t>: Effect of Natural attenuation an PAH concentration in soil microcosms</w:t>
      </w:r>
    </w:p>
    <w:p w14:paraId="5FA8057D" w14:textId="77777777" w:rsidR="00E41770" w:rsidRPr="009977EF" w:rsidRDefault="00E41770" w:rsidP="00E41770">
      <w:pPr>
        <w:jc w:val="both"/>
        <w:rPr>
          <w:rFonts w:ascii="Times New Roman" w:hAnsi="Times New Roman" w:cs="Times New Roman"/>
          <w:sz w:val="24"/>
          <w:szCs w:val="24"/>
        </w:rPr>
      </w:pPr>
      <w:r w:rsidRPr="009977EF">
        <w:rPr>
          <w:rFonts w:ascii="Times New Roman" w:hAnsi="Times New Roman" w:cs="Times New Roman"/>
          <w:sz w:val="24"/>
          <w:szCs w:val="24"/>
        </w:rPr>
        <w:t xml:space="preserve">The effect of natural attenuation on PAH concentrations following six months of incubation is shown in Fig. </w:t>
      </w:r>
      <w:r>
        <w:rPr>
          <w:rFonts w:ascii="Times New Roman" w:hAnsi="Times New Roman" w:cs="Times New Roman"/>
          <w:sz w:val="24"/>
          <w:szCs w:val="24"/>
        </w:rPr>
        <w:t>4</w:t>
      </w:r>
      <w:r w:rsidRPr="009977EF">
        <w:rPr>
          <w:rFonts w:ascii="Times New Roman" w:hAnsi="Times New Roman" w:cs="Times New Roman"/>
          <w:sz w:val="24"/>
          <w:szCs w:val="24"/>
        </w:rPr>
        <w:t>. PAH concentrations were measured before incubation (UC) and after incubation (UD). Substantial reductions were observed across all PAH groups in U1 and U2. The total concentration of LMW PAHs (ACE, ACY, ANT, FLU, NAP, PHE) decreased from 39.58 mg kg⁻¹ to 1.89 mg kg⁻¹, corresponding to an overall reduction of 95%. MMW PAHs (BaA, CHR, FLT, PYR) decreased from 36.64 mg kg⁻¹ to 0.29 mg kg⁻¹ after incubation, representing an overall reduction of approximately 99%. HMW</w:t>
      </w:r>
      <w:r>
        <w:rPr>
          <w:rFonts w:ascii="Times New Roman" w:hAnsi="Times New Roman" w:cs="Times New Roman"/>
          <w:sz w:val="24"/>
          <w:szCs w:val="24"/>
        </w:rPr>
        <w:t xml:space="preserve"> </w:t>
      </w:r>
      <w:r w:rsidRPr="009977EF">
        <w:rPr>
          <w:rFonts w:ascii="Times New Roman" w:hAnsi="Times New Roman" w:cs="Times New Roman"/>
          <w:sz w:val="24"/>
          <w:szCs w:val="24"/>
        </w:rPr>
        <w:t>PAHs (BbF, BaP, BkF) were initially present at lower concentrations than LMW and MMW compounds. Total HMW PAHs declined from 6.27 mg kg⁻¹ to 0.31 mg kg⁻¹, corresponding to a 95% reduction.</w:t>
      </w:r>
      <w:r w:rsidRPr="0061123D">
        <w:rPr>
          <w:rFonts w:ascii="Times New Roman" w:hAnsi="Times New Roman" w:cs="Times New Roman"/>
          <w:sz w:val="24"/>
          <w:szCs w:val="24"/>
        </w:rPr>
        <w:t xml:space="preserve"> </w:t>
      </w:r>
      <w:r w:rsidRPr="009977EF">
        <w:rPr>
          <w:rFonts w:ascii="Times New Roman" w:hAnsi="Times New Roman" w:cs="Times New Roman"/>
          <w:sz w:val="24"/>
          <w:szCs w:val="24"/>
        </w:rPr>
        <w:t>Throughout the experimental period, PAH concentrations in U3 remained below detection limits both before and after incubation, indicating that the incubation conditions did not affect PAH levels in this sample.</w:t>
      </w:r>
      <w:r>
        <w:rPr>
          <w:rFonts w:ascii="Times New Roman" w:hAnsi="Times New Roman" w:cs="Times New Roman"/>
          <w:sz w:val="24"/>
          <w:szCs w:val="24"/>
        </w:rPr>
        <w:t xml:space="preserve"> </w:t>
      </w:r>
    </w:p>
    <w:p w14:paraId="4BE77E27" w14:textId="77777777" w:rsidR="00E41770" w:rsidRPr="00034601" w:rsidRDefault="00E41770" w:rsidP="00E41770">
      <w:pPr>
        <w:jc w:val="both"/>
        <w:rPr>
          <w:rFonts w:ascii="Times New Roman" w:hAnsi="Times New Roman" w:cs="Times New Roman"/>
          <w:b/>
          <w:bCs/>
          <w:sz w:val="24"/>
          <w:szCs w:val="24"/>
        </w:rPr>
      </w:pPr>
      <w:r w:rsidRPr="00034601">
        <w:rPr>
          <w:rFonts w:ascii="Times New Roman" w:hAnsi="Times New Roman" w:cs="Times New Roman"/>
          <w:b/>
          <w:bCs/>
          <w:sz w:val="24"/>
          <w:szCs w:val="24"/>
        </w:rPr>
        <w:t>Carcinogenic Toxicity</w:t>
      </w:r>
    </w:p>
    <w:p w14:paraId="0ADF6DAC" w14:textId="77777777" w:rsidR="00E41770" w:rsidRDefault="00E41770" w:rsidP="00E41770">
      <w:pPr>
        <w:jc w:val="both"/>
        <w:rPr>
          <w:rFonts w:ascii="Times New Roman" w:hAnsi="Times New Roman" w:cs="Times New Roman"/>
          <w:sz w:val="24"/>
          <w:szCs w:val="24"/>
        </w:rPr>
      </w:pPr>
      <w:r>
        <w:rPr>
          <w:rFonts w:ascii="Times New Roman" w:hAnsi="Times New Roman" w:cs="Times New Roman"/>
          <w:sz w:val="24"/>
          <w:szCs w:val="24"/>
        </w:rPr>
        <w:t>BaP-TEQ calculations demonstrate that six months incubating the crude oil contaminated soil led to an ~95.7% reduction in the carcinogenic potency. U1 and U2 had a preincubation BaP-TEQ of 2.77 mg/kg and 5.53 mg/kg, after incubation the values fall to 0.275 mg/kg and 0.081 mg/kg respectively. for U1 carcinogenic potency reduced by 90.1% while for U2 it reduced by 98.5%.</w:t>
      </w:r>
    </w:p>
    <w:p w14:paraId="387F083F" w14:textId="77777777" w:rsidR="00E41770" w:rsidRDefault="00E41770" w:rsidP="00E41770">
      <w:pPr>
        <w:jc w:val="both"/>
        <w:rPr>
          <w:rFonts w:ascii="Times New Roman" w:hAnsi="Times New Roman" w:cs="Times New Roman"/>
          <w:sz w:val="24"/>
          <w:szCs w:val="24"/>
        </w:rPr>
      </w:pPr>
    </w:p>
    <w:p w14:paraId="7C6C2B87" w14:textId="77777777" w:rsidR="00E41770" w:rsidRPr="0015423B" w:rsidRDefault="00E41770" w:rsidP="00E41770">
      <w:pPr>
        <w:jc w:val="both"/>
        <w:rPr>
          <w:rFonts w:ascii="Times New Roman" w:hAnsi="Times New Roman" w:cs="Times New Roman"/>
          <w:sz w:val="24"/>
          <w:szCs w:val="24"/>
        </w:rPr>
      </w:pPr>
    </w:p>
    <w:p w14:paraId="5CCEE7A8" w14:textId="77777777" w:rsidR="00E41770" w:rsidRPr="0015423B" w:rsidRDefault="000A55CF" w:rsidP="00E41770">
      <w:pPr>
        <w:jc w:val="center"/>
        <w:rPr>
          <w:rFonts w:ascii="Times New Roman" w:hAnsi="Times New Roman" w:cs="Times New Roman"/>
          <w:sz w:val="24"/>
          <w:szCs w:val="24"/>
        </w:rPr>
      </w:pPr>
      <w:r w:rsidRPr="000A55CF">
        <w:rPr>
          <w:rFonts w:ascii="Times New Roman" w:hAnsi="Times New Roman" w:cs="Times New Roman"/>
          <w:noProof/>
          <w:sz w:val="24"/>
          <w:szCs w:val="24"/>
        </w:rPr>
        <w:object w:dxaOrig="4770" w:dyaOrig="4139" w14:anchorId="59C68A1A">
          <v:shape id="_x0000_i1025" type="#_x0000_t75" alt="" style="width:345.25pt;height:299.2pt;mso-width-percent:0;mso-height-percent:0;mso-width-percent:0;mso-height-percent:0" o:ole="">
            <v:imagedata r:id="rId13" o:title=""/>
          </v:shape>
          <o:OLEObject Type="Embed" ProgID="Acrobat.Document.DC" ShapeID="_x0000_i1025" DrawAspect="Content" ObjectID="_1836204885" r:id="rId14"/>
        </w:object>
      </w:r>
    </w:p>
    <w:p w14:paraId="0899FD90" w14:textId="77777777" w:rsidR="00E41770" w:rsidRPr="0015423B" w:rsidRDefault="00E41770" w:rsidP="00E41770">
      <w:pPr>
        <w:jc w:val="center"/>
        <w:rPr>
          <w:rFonts w:ascii="Times New Roman" w:hAnsi="Times New Roman" w:cs="Times New Roman"/>
          <w:sz w:val="24"/>
          <w:szCs w:val="24"/>
        </w:rPr>
      </w:pPr>
      <w:r w:rsidRPr="0015423B">
        <w:rPr>
          <w:rFonts w:ascii="Times New Roman" w:hAnsi="Times New Roman" w:cs="Times New Roman"/>
          <w:sz w:val="24"/>
          <w:szCs w:val="24"/>
        </w:rPr>
        <w:t xml:space="preserve">Figure </w:t>
      </w:r>
      <w:r>
        <w:rPr>
          <w:rFonts w:ascii="Times New Roman" w:hAnsi="Times New Roman" w:cs="Times New Roman"/>
          <w:sz w:val="24"/>
          <w:szCs w:val="24"/>
        </w:rPr>
        <w:t>5</w:t>
      </w:r>
      <w:r w:rsidRPr="0015423B">
        <w:rPr>
          <w:rFonts w:ascii="Times New Roman" w:hAnsi="Times New Roman" w:cs="Times New Roman"/>
          <w:sz w:val="24"/>
          <w:szCs w:val="24"/>
        </w:rPr>
        <w:t xml:space="preserve">: Effect of natural attenuation on the concentration of petroleum hydrocarbon in soil microcosms. </w:t>
      </w:r>
    </w:p>
    <w:p w14:paraId="16A13583" w14:textId="77777777" w:rsidR="00E41770"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9977EF">
        <w:rPr>
          <w:rFonts w:ascii="Times New Roman" w:eastAsia="Times New Roman" w:hAnsi="Times New Roman" w:cs="Times New Roman"/>
          <w:kern w:val="0"/>
          <w:sz w:val="24"/>
          <w:szCs w:val="24"/>
          <w14:ligatures w14:val="none"/>
        </w:rPr>
        <w:t xml:space="preserve">Changes in petroleum hydrocarbon fractions following incubation are presented in Fig. </w:t>
      </w:r>
      <w:r>
        <w:rPr>
          <w:rFonts w:ascii="Times New Roman" w:eastAsia="Times New Roman" w:hAnsi="Times New Roman" w:cs="Times New Roman"/>
          <w:kern w:val="0"/>
          <w:sz w:val="24"/>
          <w:szCs w:val="24"/>
          <w14:ligatures w14:val="none"/>
        </w:rPr>
        <w:t>5</w:t>
      </w:r>
      <w:r w:rsidRPr="009977EF">
        <w:rPr>
          <w:rFonts w:ascii="Times New Roman" w:eastAsia="Times New Roman" w:hAnsi="Times New Roman" w:cs="Times New Roman"/>
          <w:kern w:val="0"/>
          <w:sz w:val="24"/>
          <w:szCs w:val="24"/>
          <w14:ligatures w14:val="none"/>
        </w:rPr>
        <w:t>. Total aliphatic hydrocarbons (TAH) decreased by 98.5% in U1, from 1287.55 mg kg⁻¹ to 19.54 mg kg⁻¹, and by 99.4% in U2, from 3662.11 mg kg⁻¹ to 22.20 mg kg⁻¹. Total polycyclic aromatic hydrocarbons (PAHs) were reduced by 96.8%, from 86.67 mg kg⁻¹ to 2.75 mg kg⁻¹ in U1, and by 97.2%, from 78.29 mg kg⁻¹ to 2.22 mg kg⁻¹ in U2. Total petroleum hydrocarbons (TPH) also showed substantial declines, decreasing by 98.4% from 1374.22 mg kg⁻¹ to 22.30 mg kg⁻¹ in U1 and by 99.3% from 3740.40 mg kg⁻¹ to 24.42 mg kg⁻¹ in U2. In U3, PAHs remained below detection limits throughout the study period, while TAH decreased from 3.82 mg kg⁻¹ to below detection after six months of incubation. Overall, the mean concentrations of petroleum hydrocarbon fractions in U1 and U2 indicate that incubation resulted in reductions of approximately 99% for TAH and TPH and 97% for total PAHs.</w:t>
      </w:r>
    </w:p>
    <w:p w14:paraId="418E9EE8" w14:textId="77777777" w:rsidR="00E41770" w:rsidRPr="00A8106A" w:rsidRDefault="00E41770" w:rsidP="00E41770">
      <w:pPr>
        <w:spacing w:before="100" w:beforeAutospacing="1" w:after="0" w:line="240" w:lineRule="auto"/>
        <w:jc w:val="both"/>
        <w:rPr>
          <w:rFonts w:ascii="Times New Roman" w:eastAsia="Times New Roman" w:hAnsi="Times New Roman" w:cs="Times New Roman"/>
          <w:b/>
          <w:bCs/>
          <w:kern w:val="0"/>
          <w:sz w:val="24"/>
          <w:szCs w:val="24"/>
          <w14:ligatures w14:val="none"/>
        </w:rPr>
      </w:pPr>
      <w:r w:rsidRPr="00A8106A">
        <w:rPr>
          <w:rFonts w:ascii="Times New Roman" w:eastAsia="Times New Roman" w:hAnsi="Times New Roman" w:cs="Times New Roman"/>
          <w:b/>
          <w:bCs/>
          <w:kern w:val="0"/>
          <w:sz w:val="24"/>
          <w:szCs w:val="24"/>
          <w14:ligatures w14:val="none"/>
        </w:rPr>
        <w:t>Discussion</w:t>
      </w:r>
    </w:p>
    <w:p w14:paraId="17730C97" w14:textId="77777777" w:rsidR="00E41770" w:rsidRPr="007F7912" w:rsidRDefault="00E41770" w:rsidP="00E41770">
      <w:pPr>
        <w:spacing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The 16</w:t>
      </w:r>
      <w:r w:rsidRPr="007F7912">
        <w:rPr>
          <w:rFonts w:ascii="Times New Roman" w:eastAsia="Times New Roman" w:hAnsi="Times New Roman" w:cs="Times New Roman"/>
          <w:kern w:val="0"/>
          <w:sz w:val="24"/>
          <w:szCs w:val="24"/>
          <w14:ligatures w14:val="none"/>
        </w:rPr>
        <w:t xml:space="preserve"> priority </w:t>
      </w:r>
      <w:r w:rsidRPr="00A00AFA">
        <w:rPr>
          <w:rFonts w:ascii="Times New Roman" w:eastAsia="Times New Roman" w:hAnsi="Times New Roman" w:cs="Times New Roman"/>
          <w:kern w:val="0"/>
          <w:sz w:val="24"/>
          <w:szCs w:val="24"/>
          <w14:ligatures w14:val="none"/>
        </w:rPr>
        <w:t>PAHs distribution varied across the study sites, with U1 exhibiting the highest total PAH concentration (86.67 mg/kg), whereas U3 was below detection limits. Previous studies across the Niger Delta wetlands have reported similarly variable contamination levels. For instance, maximum PAH concentrations of 12.29 mg/kg were reported in the Ibaa community (</w:t>
      </w:r>
      <w:r w:rsidR="005210CE">
        <w:rPr>
          <w:rFonts w:ascii="Times New Roman" w:eastAsia="Times New Roman" w:hAnsi="Times New Roman" w:cs="Times New Roman"/>
          <w:kern w:val="0"/>
          <w:sz w:val="24"/>
          <w:szCs w:val="24"/>
          <w14:ligatures w14:val="none"/>
        </w:rPr>
        <w:t xml:space="preserve">Akinpelumi </w:t>
      </w:r>
      <w:r w:rsidR="005210CE" w:rsidRPr="005210CE">
        <w:rPr>
          <w:rFonts w:ascii="Times New Roman" w:eastAsia="Times New Roman" w:hAnsi="Times New Roman" w:cs="Times New Roman"/>
          <w:i/>
          <w:iCs/>
          <w:kern w:val="0"/>
          <w:sz w:val="24"/>
          <w:szCs w:val="24"/>
          <w14:ligatures w14:val="none"/>
        </w:rPr>
        <w:t>et al</w:t>
      </w:r>
      <w:r w:rsidR="005210CE">
        <w:rPr>
          <w:rFonts w:ascii="Times New Roman" w:eastAsia="Times New Roman" w:hAnsi="Times New Roman" w:cs="Times New Roman"/>
          <w:kern w:val="0"/>
          <w:sz w:val="24"/>
          <w:szCs w:val="24"/>
          <w14:ligatures w14:val="none"/>
        </w:rPr>
        <w:t>., 2025</w:t>
      </w:r>
      <w:r w:rsidRPr="00A00AFA">
        <w:rPr>
          <w:rFonts w:ascii="Times New Roman" w:eastAsia="Times New Roman" w:hAnsi="Times New Roman" w:cs="Times New Roman"/>
          <w:kern w:val="0"/>
          <w:sz w:val="24"/>
          <w:szCs w:val="24"/>
          <w14:ligatures w14:val="none"/>
        </w:rPr>
        <w:t>), while 83.54 mg/kg was documented in the Esaba community (</w:t>
      </w:r>
      <w:r w:rsidR="005210CE">
        <w:rPr>
          <w:rFonts w:ascii="Times New Roman" w:eastAsia="Times New Roman" w:hAnsi="Times New Roman" w:cs="Times New Roman"/>
          <w:kern w:val="0"/>
          <w:sz w:val="24"/>
          <w:szCs w:val="24"/>
          <w14:ligatures w14:val="none"/>
        </w:rPr>
        <w:t xml:space="preserve">Ogana </w:t>
      </w:r>
      <w:r w:rsidR="005210CE" w:rsidRPr="005210CE">
        <w:rPr>
          <w:rFonts w:ascii="Times New Roman" w:eastAsia="Times New Roman" w:hAnsi="Times New Roman" w:cs="Times New Roman"/>
          <w:i/>
          <w:iCs/>
          <w:kern w:val="0"/>
          <w:sz w:val="24"/>
          <w:szCs w:val="24"/>
          <w14:ligatures w14:val="none"/>
        </w:rPr>
        <w:t>et al</w:t>
      </w:r>
      <w:r w:rsidR="005210CE">
        <w:rPr>
          <w:rFonts w:ascii="Times New Roman" w:eastAsia="Times New Roman" w:hAnsi="Times New Roman" w:cs="Times New Roman"/>
          <w:kern w:val="0"/>
          <w:sz w:val="24"/>
          <w:szCs w:val="24"/>
          <w14:ligatures w14:val="none"/>
        </w:rPr>
        <w:t>., 2025</w:t>
      </w:r>
      <w:r w:rsidRPr="00A00AFA">
        <w:rPr>
          <w:rFonts w:ascii="Times New Roman" w:eastAsia="Times New Roman" w:hAnsi="Times New Roman" w:cs="Times New Roman"/>
          <w:kern w:val="0"/>
          <w:sz w:val="24"/>
          <w:szCs w:val="24"/>
          <w14:ligatures w14:val="none"/>
        </w:rPr>
        <w:t>). In contrast, areas located near gas flaring sites have shown substantially higher contamination levels, ranging from 278.50 to 389 mg/kg (</w:t>
      </w:r>
      <w:r w:rsidR="005210CE" w:rsidRPr="007F7912">
        <w:rPr>
          <w:rFonts w:ascii="Times New Roman" w:hAnsi="Times New Roman" w:cs="Times New Roman"/>
          <w:sz w:val="24"/>
          <w:szCs w:val="24"/>
        </w:rPr>
        <w:t>Omoruwou</w:t>
      </w:r>
      <w:r w:rsidR="005210CE">
        <w:rPr>
          <w:rFonts w:ascii="Times New Roman" w:eastAsia="Times New Roman" w:hAnsi="Times New Roman" w:cs="Times New Roman"/>
          <w:kern w:val="0"/>
          <w:sz w:val="24"/>
          <w:szCs w:val="24"/>
          <w14:ligatures w14:val="none"/>
        </w:rPr>
        <w:t xml:space="preserve">, 2024; Odali </w:t>
      </w:r>
      <w:r w:rsidR="005210CE" w:rsidRPr="005210CE">
        <w:rPr>
          <w:rFonts w:ascii="Times New Roman" w:eastAsia="Times New Roman" w:hAnsi="Times New Roman" w:cs="Times New Roman"/>
          <w:i/>
          <w:iCs/>
          <w:kern w:val="0"/>
          <w:sz w:val="24"/>
          <w:szCs w:val="24"/>
          <w14:ligatures w14:val="none"/>
        </w:rPr>
        <w:t>et al</w:t>
      </w:r>
      <w:r w:rsidR="005210CE">
        <w:rPr>
          <w:rFonts w:ascii="Times New Roman" w:eastAsia="Times New Roman" w:hAnsi="Times New Roman" w:cs="Times New Roman"/>
          <w:kern w:val="0"/>
          <w:sz w:val="24"/>
          <w:szCs w:val="24"/>
          <w14:ligatures w14:val="none"/>
        </w:rPr>
        <w:t>., 2024)</w:t>
      </w:r>
      <w:r w:rsidRPr="00A00AFA">
        <w:rPr>
          <w:rFonts w:ascii="Times New Roman" w:eastAsia="Times New Roman" w:hAnsi="Times New Roman" w:cs="Times New Roman"/>
          <w:kern w:val="0"/>
          <w:sz w:val="24"/>
          <w:szCs w:val="24"/>
          <w14:ligatures w14:val="none"/>
        </w:rPr>
        <w:t>.</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The PAH distribution observed in this study is ecologically significant</w:t>
      </w:r>
      <w:r>
        <w:rPr>
          <w:rFonts w:ascii="Times New Roman" w:eastAsia="Times New Roman" w:hAnsi="Times New Roman" w:cs="Times New Roman"/>
          <w:kern w:val="0"/>
          <w:sz w:val="24"/>
          <w:szCs w:val="24"/>
          <w14:ligatures w14:val="none"/>
        </w:rPr>
        <w:t xml:space="preserve">, </w:t>
      </w:r>
      <w:r w:rsidRPr="007F7912">
        <w:rPr>
          <w:rFonts w:ascii="Times New Roman" w:eastAsia="Times New Roman" w:hAnsi="Times New Roman" w:cs="Times New Roman"/>
          <w:kern w:val="0"/>
          <w:sz w:val="24"/>
          <w:szCs w:val="24"/>
          <w14:ligatures w14:val="none"/>
        </w:rPr>
        <w:t xml:space="preserve">it is above the 40 mg/kg recommended by the Department of Petroleum Resources </w:t>
      </w:r>
      <w:r w:rsidRPr="007F7912">
        <w:rPr>
          <w:rFonts w:ascii="Times New Roman" w:eastAsia="Times New Roman" w:hAnsi="Times New Roman" w:cs="Times New Roman"/>
          <w:kern w:val="0"/>
          <w:sz w:val="24"/>
          <w:szCs w:val="24"/>
          <w14:ligatures w14:val="none"/>
        </w:rPr>
        <w:lastRenderedPageBreak/>
        <w:t>(</w:t>
      </w:r>
      <w:r w:rsidR="005210CE">
        <w:rPr>
          <w:rFonts w:ascii="Times New Roman" w:eastAsia="Times New Roman" w:hAnsi="Times New Roman" w:cs="Times New Roman"/>
          <w:kern w:val="0"/>
          <w:sz w:val="24"/>
          <w:szCs w:val="24"/>
          <w14:ligatures w14:val="none"/>
        </w:rPr>
        <w:t>DPR, 2002</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and warrants regulatory attention, as elevated PAH concentrations adversely affect soil quality and ecosystem health.</w:t>
      </w:r>
    </w:p>
    <w:p w14:paraId="33B6BC52" w14:textId="77777777"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Assessment based on molecular weight distribution revealed distinct contamination profiles between U1 and U2. U1 contained a higher concentration of low molecular weight (LMW) PAHs, particularly acenaphthylene, fluorene, and acenaphthene. This pattern suggests a predominantly petrogenic origin, likely associated with petroleum handling activities and the site's proximity to the WRPC refinery.</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In contrast, U2 exhibited higher concentrations of high molecular weight (HMW) PAHs. The exclusive detection of benzo(a)pyrene and benzo(k)fluoranthene in U2 strongly supports a pyrogenic source, likely related to refinery emissions, gas flaring, or other combustion-driven industrial activities. Studies on crude oil–polluted soils in the Niger Delta frequently report elevated LMW PAH concentrations (</w:t>
      </w:r>
      <w:r w:rsidR="005210CE">
        <w:rPr>
          <w:rFonts w:ascii="Times New Roman" w:eastAsia="Times New Roman" w:hAnsi="Times New Roman" w:cs="Times New Roman"/>
          <w:kern w:val="0"/>
          <w:sz w:val="24"/>
          <w:szCs w:val="24"/>
          <w14:ligatures w14:val="none"/>
        </w:rPr>
        <w:t xml:space="preserve">Ogana </w:t>
      </w:r>
      <w:r w:rsidR="005210CE" w:rsidRPr="005210CE">
        <w:rPr>
          <w:rFonts w:ascii="Times New Roman" w:eastAsia="Times New Roman" w:hAnsi="Times New Roman" w:cs="Times New Roman"/>
          <w:i/>
          <w:iCs/>
          <w:kern w:val="0"/>
          <w:sz w:val="24"/>
          <w:szCs w:val="24"/>
          <w14:ligatures w14:val="none"/>
        </w:rPr>
        <w:t>et al</w:t>
      </w:r>
      <w:r w:rsidR="005210CE">
        <w:rPr>
          <w:rFonts w:ascii="Times New Roman" w:eastAsia="Times New Roman" w:hAnsi="Times New Roman" w:cs="Times New Roman"/>
          <w:kern w:val="0"/>
          <w:sz w:val="24"/>
          <w:szCs w:val="24"/>
          <w14:ligatures w14:val="none"/>
        </w:rPr>
        <w:t xml:space="preserve">., 2024; Faboya </w:t>
      </w:r>
      <w:r w:rsidR="005210CE" w:rsidRPr="005210CE">
        <w:rPr>
          <w:rFonts w:ascii="Times New Roman" w:eastAsia="Times New Roman" w:hAnsi="Times New Roman" w:cs="Times New Roman"/>
          <w:i/>
          <w:iCs/>
          <w:kern w:val="0"/>
          <w:sz w:val="24"/>
          <w:szCs w:val="24"/>
          <w14:ligatures w14:val="none"/>
        </w:rPr>
        <w:t>et al</w:t>
      </w:r>
      <w:r w:rsidR="005210CE">
        <w:rPr>
          <w:rFonts w:ascii="Times New Roman" w:eastAsia="Times New Roman" w:hAnsi="Times New Roman" w:cs="Times New Roman"/>
          <w:kern w:val="0"/>
          <w:sz w:val="24"/>
          <w:szCs w:val="24"/>
          <w14:ligatures w14:val="none"/>
        </w:rPr>
        <w:t>., 2023</w:t>
      </w:r>
      <w:r w:rsidRPr="00A00AFA">
        <w:rPr>
          <w:rFonts w:ascii="Times New Roman" w:eastAsia="Times New Roman" w:hAnsi="Times New Roman" w:cs="Times New Roman"/>
          <w:kern w:val="0"/>
          <w:sz w:val="24"/>
          <w:szCs w:val="24"/>
          <w14:ligatures w14:val="none"/>
        </w:rPr>
        <w:t>).</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HMW PAHs are chemically more stable, less biodegradable, and more persistent in soils (</w:t>
      </w:r>
      <w:r w:rsidR="005210CE">
        <w:rPr>
          <w:rFonts w:ascii="Times New Roman" w:eastAsia="Times New Roman" w:hAnsi="Times New Roman" w:cs="Times New Roman"/>
          <w:kern w:val="0"/>
          <w:sz w:val="24"/>
          <w:szCs w:val="24"/>
          <w14:ligatures w14:val="none"/>
        </w:rPr>
        <w:t>Lawal</w:t>
      </w:r>
      <w:r w:rsidRPr="00A00AFA">
        <w:rPr>
          <w:rFonts w:ascii="Times New Roman" w:eastAsia="Times New Roman" w:hAnsi="Times New Roman" w:cs="Times New Roman"/>
          <w:kern w:val="0"/>
          <w:sz w:val="24"/>
          <w:szCs w:val="24"/>
          <w14:ligatures w14:val="none"/>
        </w:rPr>
        <w:t>,</w:t>
      </w:r>
      <w:r w:rsidR="005210CE">
        <w:rPr>
          <w:rFonts w:ascii="Times New Roman" w:eastAsia="Times New Roman" w:hAnsi="Times New Roman" w:cs="Times New Roman"/>
          <w:kern w:val="0"/>
          <w:sz w:val="24"/>
          <w:szCs w:val="24"/>
          <w14:ligatures w14:val="none"/>
        </w:rPr>
        <w:t xml:space="preserve"> 2017; </w:t>
      </w:r>
      <w:r w:rsidR="005210CE" w:rsidRPr="007F7912">
        <w:rPr>
          <w:rFonts w:ascii="Times New Roman" w:hAnsi="Times New Roman" w:cs="Times New Roman"/>
          <w:sz w:val="24"/>
          <w:szCs w:val="24"/>
        </w:rPr>
        <w:t>Kariyawasam</w:t>
      </w:r>
      <w:r w:rsidR="005210CE">
        <w:rPr>
          <w:rFonts w:ascii="Times New Roman" w:hAnsi="Times New Roman" w:cs="Times New Roman"/>
          <w:sz w:val="24"/>
          <w:szCs w:val="24"/>
        </w:rPr>
        <w:t xml:space="preserve"> </w:t>
      </w:r>
      <w:r w:rsidR="005210CE" w:rsidRPr="005210CE">
        <w:rPr>
          <w:rFonts w:ascii="Times New Roman" w:hAnsi="Times New Roman" w:cs="Times New Roman"/>
          <w:i/>
          <w:iCs/>
          <w:sz w:val="24"/>
          <w:szCs w:val="24"/>
        </w:rPr>
        <w:t>et al</w:t>
      </w:r>
      <w:r w:rsidR="005210CE">
        <w:rPr>
          <w:rFonts w:ascii="Times New Roman" w:hAnsi="Times New Roman" w:cs="Times New Roman"/>
          <w:sz w:val="24"/>
          <w:szCs w:val="24"/>
        </w:rPr>
        <w:t>., 2022</w:t>
      </w:r>
      <w:r w:rsidRPr="00A00AFA">
        <w:rPr>
          <w:rFonts w:ascii="Times New Roman" w:eastAsia="Times New Roman" w:hAnsi="Times New Roman" w:cs="Times New Roman"/>
          <w:kern w:val="0"/>
          <w:sz w:val="24"/>
          <w:szCs w:val="24"/>
          <w14:ligatures w14:val="none"/>
        </w:rPr>
        <w:t>). Consequently, contamination at U2 may pose a longer-term environmental burden compared to U1. Notably, the concentration of benzo(a)pyrene in U2 (2.63 mg/kg) exceeded the residential soil reference concentration of 0.7 mg/kg recommended by the Canadian Council of Ministers for the Environment (CCME) (</w:t>
      </w:r>
      <w:r w:rsidR="005210CE">
        <w:rPr>
          <w:rFonts w:ascii="Times New Roman" w:eastAsia="Times New Roman" w:hAnsi="Times New Roman" w:cs="Times New Roman"/>
          <w:kern w:val="0"/>
          <w:sz w:val="24"/>
          <w:szCs w:val="24"/>
          <w14:ligatures w14:val="none"/>
        </w:rPr>
        <w:t>CCME, 2010)</w:t>
      </w:r>
      <w:r w:rsidRPr="00A00AFA">
        <w:rPr>
          <w:rFonts w:ascii="Times New Roman" w:eastAsia="Times New Roman" w:hAnsi="Times New Roman" w:cs="Times New Roman"/>
          <w:kern w:val="0"/>
          <w:sz w:val="24"/>
          <w:szCs w:val="24"/>
          <w14:ligatures w14:val="none"/>
        </w:rPr>
        <w:t>. This exceedance indicates potential carcinogenic risk to exposed individuals through ingestion, dermal contact, or food chain transfer.</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PAH contamination disrupts soil functionality by altering microbial community structure, reducing enzymatic activity, inhibiting plant growth, and promoting bioaccumulation in higher trophic organisms (</w:t>
      </w:r>
      <w:r w:rsidR="00147A22">
        <w:rPr>
          <w:rFonts w:ascii="Times New Roman" w:eastAsia="Times New Roman" w:hAnsi="Times New Roman" w:cs="Times New Roman"/>
          <w:kern w:val="0"/>
          <w:sz w:val="24"/>
          <w:szCs w:val="24"/>
          <w14:ligatures w14:val="none"/>
        </w:rPr>
        <w:t>Patel., 2020</w:t>
      </w:r>
      <w:r w:rsidRPr="00A00AFA">
        <w:rPr>
          <w:rFonts w:ascii="Times New Roman" w:eastAsia="Times New Roman" w:hAnsi="Times New Roman" w:cs="Times New Roman"/>
          <w:kern w:val="0"/>
          <w:sz w:val="24"/>
          <w:szCs w:val="24"/>
          <w14:ligatures w14:val="none"/>
        </w:rPr>
        <w:t xml:space="preserve">, </w:t>
      </w:r>
      <w:r w:rsidR="00147A22">
        <w:rPr>
          <w:rFonts w:ascii="Times New Roman" w:eastAsia="Times New Roman" w:hAnsi="Times New Roman" w:cs="Times New Roman"/>
          <w:kern w:val="0"/>
          <w:sz w:val="24"/>
          <w:szCs w:val="24"/>
          <w14:ligatures w14:val="none"/>
        </w:rPr>
        <w:t xml:space="preserve">Wang </w:t>
      </w:r>
      <w:r w:rsidR="00147A22" w:rsidRPr="00147A22">
        <w:rPr>
          <w:rFonts w:ascii="Times New Roman" w:eastAsia="Times New Roman" w:hAnsi="Times New Roman" w:cs="Times New Roman"/>
          <w:i/>
          <w:iCs/>
          <w:kern w:val="0"/>
          <w:sz w:val="24"/>
          <w:szCs w:val="24"/>
          <w14:ligatures w14:val="none"/>
        </w:rPr>
        <w:t>et al</w:t>
      </w:r>
      <w:r w:rsidR="00147A22">
        <w:rPr>
          <w:rFonts w:ascii="Times New Roman" w:eastAsia="Times New Roman" w:hAnsi="Times New Roman" w:cs="Times New Roman"/>
          <w:kern w:val="0"/>
          <w:sz w:val="24"/>
          <w:szCs w:val="24"/>
          <w14:ligatures w14:val="none"/>
        </w:rPr>
        <w:t>., 2024</w:t>
      </w:r>
      <w:r w:rsidRPr="00A00AFA">
        <w:rPr>
          <w:rFonts w:ascii="Times New Roman" w:eastAsia="Times New Roman" w:hAnsi="Times New Roman" w:cs="Times New Roman"/>
          <w:kern w:val="0"/>
          <w:sz w:val="24"/>
          <w:szCs w:val="24"/>
          <w14:ligatures w14:val="none"/>
        </w:rPr>
        <w:t>). Conversely, the predominance of LMW PAHs in U1 suggests greater volatility and potentially higher biodegradation potential.</w:t>
      </w:r>
    </w:p>
    <w:p w14:paraId="046369DD" w14:textId="20DDA45B"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Incubation of the unamended petroleum hydrocarbon–contaminated soils resulted in an approximately 97% decline in total PAH concentration. This substantial reduction demonstrates that indigenous microbial communities can effectively mineralise petroleum hydrocarbons without nutrient amendment under favourable environmental conditions.</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Previous studies have reported lower natural attenuation efficiencies. A four-month study documented 24% degradation (</w:t>
      </w:r>
      <w:r w:rsidR="00147A22">
        <w:rPr>
          <w:rFonts w:ascii="Times New Roman" w:eastAsia="Times New Roman" w:hAnsi="Times New Roman" w:cs="Times New Roman"/>
          <w:kern w:val="0"/>
          <w:sz w:val="24"/>
          <w:szCs w:val="24"/>
          <w14:ligatures w14:val="none"/>
        </w:rPr>
        <w:t>Ighovie and Ikechukwu, 2014</w:t>
      </w:r>
      <w:r w:rsidRPr="00A00AFA">
        <w:rPr>
          <w:rFonts w:ascii="Times New Roman" w:eastAsia="Times New Roman" w:hAnsi="Times New Roman" w:cs="Times New Roman"/>
          <w:kern w:val="0"/>
          <w:sz w:val="24"/>
          <w:szCs w:val="24"/>
          <w14:ligatures w14:val="none"/>
        </w:rPr>
        <w:t xml:space="preserve">), a six-month study reported 42% </w:t>
      </w:r>
      <w:r w:rsidRPr="009628F6">
        <w:rPr>
          <w:rFonts w:ascii="Times New Roman" w:eastAsia="Times New Roman" w:hAnsi="Times New Roman" w:cs="Times New Roman"/>
          <w:kern w:val="0"/>
          <w:sz w:val="24"/>
          <w:szCs w:val="24"/>
          <w:highlight w:val="green"/>
          <w14:ligatures w14:val="none"/>
        </w:rPr>
        <w:t>(</w:t>
      </w:r>
      <w:r w:rsidR="00147A22" w:rsidRPr="009628F6">
        <w:rPr>
          <w:rFonts w:ascii="Times New Roman" w:hAnsi="Times New Roman" w:cs="Times New Roman"/>
          <w:sz w:val="24"/>
          <w:szCs w:val="24"/>
          <w:highlight w:val="green"/>
        </w:rPr>
        <w:t>García-Sánchez</w:t>
      </w:r>
      <w:r w:rsidR="009628F6">
        <w:rPr>
          <w:rFonts w:ascii="Times New Roman" w:hAnsi="Times New Roman" w:cs="Times New Roman"/>
          <w:sz w:val="24"/>
          <w:szCs w:val="24"/>
          <w:highlight w:val="green"/>
        </w:rPr>
        <w:t xml:space="preserve"> </w:t>
      </w:r>
      <w:r w:rsidR="009628F6">
        <w:rPr>
          <w:rFonts w:ascii="Times New Roman" w:hAnsi="Times New Roman" w:cs="Times New Roman"/>
          <w:color w:val="FF0000"/>
          <w:sz w:val="24"/>
          <w:szCs w:val="24"/>
          <w:highlight w:val="green"/>
        </w:rPr>
        <w:t>et al.</w:t>
      </w:r>
      <w:r w:rsidR="00147A22" w:rsidRPr="009628F6">
        <w:rPr>
          <w:rFonts w:ascii="Times New Roman" w:hAnsi="Times New Roman" w:cs="Times New Roman"/>
          <w:sz w:val="24"/>
          <w:szCs w:val="24"/>
          <w:highlight w:val="green"/>
        </w:rPr>
        <w:t>, 201</w:t>
      </w:r>
      <w:r w:rsidR="00921CF5" w:rsidRPr="009628F6">
        <w:rPr>
          <w:rFonts w:ascii="Times New Roman" w:hAnsi="Times New Roman" w:cs="Times New Roman"/>
          <w:sz w:val="24"/>
          <w:szCs w:val="24"/>
          <w:highlight w:val="green"/>
        </w:rPr>
        <w:t>7</w:t>
      </w:r>
      <w:r w:rsidRPr="009628F6">
        <w:rPr>
          <w:rFonts w:ascii="Times New Roman" w:eastAsia="Times New Roman" w:hAnsi="Times New Roman" w:cs="Times New Roman"/>
          <w:kern w:val="0"/>
          <w:sz w:val="24"/>
          <w:szCs w:val="24"/>
          <w:highlight w:val="green"/>
          <w14:ligatures w14:val="none"/>
        </w:rPr>
        <w:t>)</w:t>
      </w:r>
      <w:r w:rsidRPr="00A00AFA">
        <w:rPr>
          <w:rFonts w:ascii="Times New Roman" w:eastAsia="Times New Roman" w:hAnsi="Times New Roman" w:cs="Times New Roman"/>
          <w:kern w:val="0"/>
          <w:sz w:val="24"/>
          <w:szCs w:val="24"/>
          <w14:ligatures w14:val="none"/>
        </w:rPr>
        <w:t>, and an eight-month study reported 36% (</w:t>
      </w:r>
      <w:r w:rsidR="002F2E63">
        <w:rPr>
          <w:rFonts w:ascii="Times New Roman" w:hAnsi="Times New Roman" w:cs="Times New Roman"/>
          <w:sz w:val="24"/>
          <w:szCs w:val="24"/>
        </w:rPr>
        <w:t>Veignie and Rafin</w:t>
      </w:r>
      <w:r w:rsidR="00147A22" w:rsidRPr="007F7912">
        <w:rPr>
          <w:rFonts w:ascii="Times New Roman" w:hAnsi="Times New Roman" w:cs="Times New Roman"/>
          <w:sz w:val="24"/>
          <w:szCs w:val="24"/>
        </w:rPr>
        <w:t>,</w:t>
      </w:r>
      <w:r w:rsidR="00147A22">
        <w:rPr>
          <w:rFonts w:ascii="Times New Roman" w:hAnsi="Times New Roman" w:cs="Times New Roman"/>
          <w:sz w:val="24"/>
          <w:szCs w:val="24"/>
        </w:rPr>
        <w:t xml:space="preserve"> 202</w:t>
      </w:r>
      <w:r w:rsidR="002F2E63">
        <w:rPr>
          <w:rFonts w:ascii="Times New Roman" w:hAnsi="Times New Roman" w:cs="Times New Roman"/>
          <w:sz w:val="24"/>
          <w:szCs w:val="24"/>
        </w:rPr>
        <w:t>2</w:t>
      </w:r>
      <w:r w:rsidRPr="00A00AFA">
        <w:rPr>
          <w:rFonts w:ascii="Times New Roman" w:eastAsia="Times New Roman" w:hAnsi="Times New Roman" w:cs="Times New Roman"/>
          <w:kern w:val="0"/>
          <w:sz w:val="24"/>
          <w:szCs w:val="24"/>
          <w14:ligatures w14:val="none"/>
        </w:rPr>
        <w:t>). A five-year study, however, observed an 84% reduction in total PAHs (</w:t>
      </w:r>
      <w:r w:rsidR="00147A22">
        <w:rPr>
          <w:rFonts w:ascii="Times New Roman" w:eastAsia="Times New Roman" w:hAnsi="Times New Roman" w:cs="Times New Roman"/>
          <w:kern w:val="0"/>
          <w:sz w:val="24"/>
          <w:szCs w:val="24"/>
          <w14:ligatures w14:val="none"/>
        </w:rPr>
        <w:t>Telesinski and Kiepas-Kokot, 2021</w:t>
      </w:r>
      <w:r w:rsidRPr="00A00AFA">
        <w:rPr>
          <w:rFonts w:ascii="Times New Roman" w:eastAsia="Times New Roman" w:hAnsi="Times New Roman" w:cs="Times New Roman"/>
          <w:kern w:val="0"/>
          <w:sz w:val="24"/>
          <w:szCs w:val="24"/>
          <w14:ligatures w14:val="none"/>
        </w:rPr>
        <w:t>). Across these studies, LMW PAHs consistently exhibited higher degradation rates. These findings indicate that in situ biological processes can progressively degrade PAHs over extended periods, though efficiency depends on the composition and metabolic capability of the autochthonous microbial community.</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Hydrocarbon-degrading bacteria isolated from heavily contaminated soils in the Niger Delta demonstrated a 25% reduction in total petroleum hydrocarbons (TPH) within 48 hours (</w:t>
      </w:r>
      <w:r w:rsidR="00147A22" w:rsidRPr="00147A22">
        <w:rPr>
          <w:rFonts w:ascii="Times New Roman" w:eastAsia="Times New Roman" w:hAnsi="Times New Roman" w:cs="Times New Roman"/>
          <w:kern w:val="0"/>
          <w:sz w:val="24"/>
          <w:szCs w:val="24"/>
          <w14:ligatures w14:val="none"/>
        </w:rPr>
        <w:t xml:space="preserve">Okafor </w:t>
      </w:r>
      <w:r w:rsidR="00147A22" w:rsidRPr="00147A22">
        <w:rPr>
          <w:rFonts w:ascii="Times New Roman" w:eastAsia="Times New Roman" w:hAnsi="Times New Roman" w:cs="Times New Roman"/>
          <w:i/>
          <w:iCs/>
          <w:kern w:val="0"/>
          <w:sz w:val="24"/>
          <w:szCs w:val="24"/>
          <w14:ligatures w14:val="none"/>
        </w:rPr>
        <w:t>et al</w:t>
      </w:r>
      <w:r w:rsidR="00147A22" w:rsidRPr="00147A22">
        <w:rPr>
          <w:rFonts w:ascii="Times New Roman" w:eastAsia="Times New Roman" w:hAnsi="Times New Roman" w:cs="Times New Roman"/>
          <w:kern w:val="0"/>
          <w:sz w:val="24"/>
          <w:szCs w:val="24"/>
          <w14:ligatures w14:val="none"/>
        </w:rPr>
        <w:t>., 202</w:t>
      </w:r>
      <w:r w:rsidR="002F2E63">
        <w:rPr>
          <w:rFonts w:ascii="Times New Roman" w:eastAsia="Times New Roman" w:hAnsi="Times New Roman" w:cs="Times New Roman"/>
          <w:kern w:val="0"/>
          <w:sz w:val="24"/>
          <w:szCs w:val="24"/>
          <w14:ligatures w14:val="none"/>
        </w:rPr>
        <w:t>0</w:t>
      </w:r>
      <w:r w:rsidRPr="00A00AFA">
        <w:rPr>
          <w:rFonts w:ascii="Times New Roman" w:eastAsia="Times New Roman" w:hAnsi="Times New Roman" w:cs="Times New Roman"/>
          <w:kern w:val="0"/>
          <w:sz w:val="24"/>
          <w:szCs w:val="24"/>
          <w14:ligatures w14:val="none"/>
        </w:rPr>
        <w:t>), highlighting their significant degradative potential. In the present study, PAHs across all molecular weight classes were substantially removed. Although HMW PAHs were initially present in lower quantities and generally degrade more slowly than LMW compounds, their measurable reduction underscores the effectiveness of natural attenuation under optimised incubation conditions.</w:t>
      </w:r>
    </w:p>
    <w:p w14:paraId="74E0EF1E" w14:textId="77777777"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Benzo(a)pyrene (BaP), a recalcitrant and carcinogenic HMW PAH, was below detection limits in U3 both before and after incubation. In U2, BaP declined markedly from 2.625 mg/kg to 0.071 mg/kg, indicating the intrinsic capacity of indigenous microbes to degrade structurally complex hydrocarbons.</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 xml:space="preserve">Interestingly, BaP was below detection limits in U1 prior to incubation but became detectable (0.246 mg/kg) post-incubation. This apparent increase does not signify new contamination; rather, it likely reflects changes in soil physicochemical properties during </w:t>
      </w:r>
      <w:r w:rsidRPr="00A00AFA">
        <w:rPr>
          <w:rFonts w:ascii="Times New Roman" w:eastAsia="Times New Roman" w:hAnsi="Times New Roman" w:cs="Times New Roman"/>
          <w:kern w:val="0"/>
          <w:sz w:val="24"/>
          <w:szCs w:val="24"/>
          <w14:ligatures w14:val="none"/>
        </w:rPr>
        <w:lastRenderedPageBreak/>
        <w:t>incubation that enhanced hydrocarbon bioavailability and analytical detectability (</w:t>
      </w:r>
      <w:r w:rsidR="00147A22">
        <w:rPr>
          <w:rFonts w:ascii="Times New Roman" w:eastAsia="Times New Roman" w:hAnsi="Times New Roman" w:cs="Times New Roman"/>
          <w:kern w:val="0"/>
          <w:sz w:val="24"/>
          <w:szCs w:val="24"/>
          <w14:ligatures w14:val="none"/>
        </w:rPr>
        <w:t>Mekonnem et al., 2024: Koshlaf and Ball, 2017</w:t>
      </w:r>
      <w:r w:rsidRPr="00A00AFA">
        <w:rPr>
          <w:rFonts w:ascii="Times New Roman" w:eastAsia="Times New Roman" w:hAnsi="Times New Roman" w:cs="Times New Roman"/>
          <w:kern w:val="0"/>
          <w:sz w:val="24"/>
          <w:szCs w:val="24"/>
          <w14:ligatures w14:val="none"/>
        </w:rPr>
        <w:t>).</w:t>
      </w:r>
    </w:p>
    <w:p w14:paraId="744235B3" w14:textId="77777777"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The high attenuation efficiency observed emphasises the importance of environmental parameters in regulating biodegradation kinetics. Natural attenuation is influenced by soil moisture, temperature, aeration, and related abiotic factors (</w:t>
      </w:r>
      <w:r w:rsidR="00147A22">
        <w:rPr>
          <w:rFonts w:ascii="Times New Roman" w:eastAsia="Times New Roman" w:hAnsi="Times New Roman" w:cs="Times New Roman"/>
          <w:kern w:val="0"/>
          <w:sz w:val="24"/>
          <w:szCs w:val="24"/>
          <w14:ligatures w14:val="none"/>
        </w:rPr>
        <w:t>Koshlaf and Ball, 2017</w:t>
      </w:r>
      <w:r w:rsidRPr="00A00AFA">
        <w:rPr>
          <w:rFonts w:ascii="Times New Roman" w:eastAsia="Times New Roman" w:hAnsi="Times New Roman" w:cs="Times New Roman"/>
          <w:kern w:val="0"/>
          <w:sz w:val="24"/>
          <w:szCs w:val="24"/>
          <w14:ligatures w14:val="none"/>
        </w:rPr>
        <w:t>)</w:t>
      </w:r>
      <w:r w:rsidRPr="007F7912">
        <w:rPr>
          <w:rFonts w:ascii="Times New Roman" w:eastAsia="Times New Roman" w:hAnsi="Times New Roman" w:cs="Times New Roman"/>
          <w:kern w:val="0"/>
          <w:sz w:val="24"/>
          <w:szCs w:val="24"/>
          <w14:ligatures w14:val="none"/>
        </w:rPr>
        <w:t xml:space="preserve"> therefore, d</w:t>
      </w:r>
      <w:r w:rsidRPr="00A00AFA">
        <w:rPr>
          <w:rFonts w:ascii="Times New Roman" w:eastAsia="Times New Roman" w:hAnsi="Times New Roman" w:cs="Times New Roman"/>
          <w:kern w:val="0"/>
          <w:sz w:val="24"/>
          <w:szCs w:val="24"/>
          <w14:ligatures w14:val="none"/>
        </w:rPr>
        <w:t>egradation rates in soil microcosms often differ substantially from field conditions (</w:t>
      </w:r>
      <w:r w:rsidR="00147A22">
        <w:rPr>
          <w:rFonts w:ascii="Times New Roman" w:eastAsia="Times New Roman" w:hAnsi="Times New Roman" w:cs="Times New Roman"/>
          <w:kern w:val="0"/>
          <w:sz w:val="24"/>
          <w:szCs w:val="24"/>
          <w14:ligatures w14:val="none"/>
        </w:rPr>
        <w:t xml:space="preserve">Mekonnem </w:t>
      </w:r>
      <w:r w:rsidR="00147A22" w:rsidRPr="00147A22">
        <w:rPr>
          <w:rFonts w:ascii="Times New Roman" w:eastAsia="Times New Roman" w:hAnsi="Times New Roman" w:cs="Times New Roman"/>
          <w:i/>
          <w:iCs/>
          <w:kern w:val="0"/>
          <w:sz w:val="24"/>
          <w:szCs w:val="24"/>
          <w14:ligatures w14:val="none"/>
        </w:rPr>
        <w:t>et al</w:t>
      </w:r>
      <w:r w:rsidR="00147A22">
        <w:rPr>
          <w:rFonts w:ascii="Times New Roman" w:eastAsia="Times New Roman" w:hAnsi="Times New Roman" w:cs="Times New Roman"/>
          <w:kern w:val="0"/>
          <w:sz w:val="24"/>
          <w:szCs w:val="24"/>
          <w14:ligatures w14:val="none"/>
        </w:rPr>
        <w:t>., 2024</w:t>
      </w:r>
      <w:r w:rsidRPr="00A00AFA">
        <w:rPr>
          <w:rFonts w:ascii="Times New Roman" w:eastAsia="Times New Roman" w:hAnsi="Times New Roman" w:cs="Times New Roman"/>
          <w:kern w:val="0"/>
          <w:sz w:val="24"/>
          <w:szCs w:val="24"/>
          <w14:ligatures w14:val="none"/>
        </w:rPr>
        <w:t>).</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In the Niger Delta wetlands, rainfall patterns may limit oxygen diffusion and microbial metabolism, thereby slowing field-scale attenuation. Conversely, drier periods improve aeration and stimulate microbial activity, enhancing degradation of both LMW and HMW PAHs. LMW compounds may volatilise more readily at elevated temperatures, whereas persistent HMW PAHs degrade more slowly and accumulate under oxygen-limited conditions. Several studies have documented such seasonal variability in degradation rates.</w:t>
      </w:r>
    </w:p>
    <w:p w14:paraId="2B131222" w14:textId="77777777"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The attenuation profile observed here is comparable to those reported in laboratory-scale bioremediation studies. Biostimulation approaches, typically involving nutrient amendment with NPK fertilisers or compost, often report moderate, site-dependent improvements in PAH degradation within six months compared to untreated controls (</w:t>
      </w:r>
      <w:r w:rsidR="00147A22">
        <w:rPr>
          <w:rFonts w:ascii="Times New Roman" w:eastAsia="Times New Roman" w:hAnsi="Times New Roman" w:cs="Times New Roman"/>
          <w:kern w:val="0"/>
          <w:sz w:val="24"/>
          <w:szCs w:val="24"/>
          <w14:ligatures w14:val="none"/>
        </w:rPr>
        <w:t xml:space="preserve">Ugoma </w:t>
      </w:r>
      <w:r w:rsidR="00147A22" w:rsidRPr="00147A22">
        <w:rPr>
          <w:rFonts w:ascii="Times New Roman" w:eastAsia="Times New Roman" w:hAnsi="Times New Roman" w:cs="Times New Roman"/>
          <w:i/>
          <w:iCs/>
          <w:kern w:val="0"/>
          <w:sz w:val="24"/>
          <w:szCs w:val="24"/>
          <w14:ligatures w14:val="none"/>
        </w:rPr>
        <w:t>et al</w:t>
      </w:r>
      <w:r w:rsidR="00147A22">
        <w:rPr>
          <w:rFonts w:ascii="Times New Roman" w:eastAsia="Times New Roman" w:hAnsi="Times New Roman" w:cs="Times New Roman"/>
          <w:kern w:val="0"/>
          <w:sz w:val="24"/>
          <w:szCs w:val="24"/>
          <w14:ligatures w14:val="none"/>
        </w:rPr>
        <w:t>., 202</w:t>
      </w:r>
      <w:r w:rsidR="00CA7974">
        <w:rPr>
          <w:rFonts w:ascii="Times New Roman" w:eastAsia="Times New Roman" w:hAnsi="Times New Roman" w:cs="Times New Roman"/>
          <w:kern w:val="0"/>
          <w:sz w:val="24"/>
          <w:szCs w:val="24"/>
          <w14:ligatures w14:val="none"/>
        </w:rPr>
        <w:t>4</w:t>
      </w:r>
      <w:r w:rsidR="00147A22">
        <w:rPr>
          <w:rFonts w:ascii="Times New Roman" w:eastAsia="Times New Roman" w:hAnsi="Times New Roman" w:cs="Times New Roman"/>
          <w:kern w:val="0"/>
          <w:sz w:val="24"/>
          <w:szCs w:val="24"/>
          <w14:ligatures w14:val="none"/>
        </w:rPr>
        <w:t>; Osadebe and Nkoro, 2024)</w:t>
      </w:r>
      <w:r w:rsidRPr="00A00AFA">
        <w:rPr>
          <w:rFonts w:ascii="Times New Roman" w:eastAsia="Times New Roman" w:hAnsi="Times New Roman" w:cs="Times New Roman"/>
          <w:kern w:val="0"/>
          <w:sz w:val="24"/>
          <w:szCs w:val="24"/>
          <w14:ligatures w14:val="none"/>
        </w:rPr>
        <w:t>. Similarly, bioaugmentation enhances microbial diversity and degradation kinetics, although outcomes remain influenced by environmental constraints (</w:t>
      </w:r>
      <w:r w:rsidR="006441AE">
        <w:rPr>
          <w:rFonts w:ascii="Times New Roman" w:eastAsia="Times New Roman" w:hAnsi="Times New Roman" w:cs="Times New Roman"/>
          <w:kern w:val="0"/>
          <w:sz w:val="24"/>
          <w:szCs w:val="24"/>
          <w14:ligatures w14:val="none"/>
        </w:rPr>
        <w:t xml:space="preserve">Ugoma </w:t>
      </w:r>
      <w:r w:rsidR="006441AE" w:rsidRPr="00147A22">
        <w:rPr>
          <w:rFonts w:ascii="Times New Roman" w:eastAsia="Times New Roman" w:hAnsi="Times New Roman" w:cs="Times New Roman"/>
          <w:i/>
          <w:iCs/>
          <w:kern w:val="0"/>
          <w:sz w:val="24"/>
          <w:szCs w:val="24"/>
          <w14:ligatures w14:val="none"/>
        </w:rPr>
        <w:t>et al</w:t>
      </w:r>
      <w:r w:rsidR="006441AE">
        <w:rPr>
          <w:rFonts w:ascii="Times New Roman" w:eastAsia="Times New Roman" w:hAnsi="Times New Roman" w:cs="Times New Roman"/>
          <w:kern w:val="0"/>
          <w:sz w:val="24"/>
          <w:szCs w:val="24"/>
          <w14:ligatures w14:val="none"/>
        </w:rPr>
        <w:t>., 202</w:t>
      </w:r>
      <w:r w:rsidR="00CA7974">
        <w:rPr>
          <w:rFonts w:ascii="Times New Roman" w:eastAsia="Times New Roman" w:hAnsi="Times New Roman" w:cs="Times New Roman"/>
          <w:kern w:val="0"/>
          <w:sz w:val="24"/>
          <w:szCs w:val="24"/>
          <w14:ligatures w14:val="none"/>
        </w:rPr>
        <w:t>4</w:t>
      </w:r>
      <w:r w:rsidR="006441AE">
        <w:rPr>
          <w:rFonts w:ascii="Times New Roman" w:eastAsia="Times New Roman" w:hAnsi="Times New Roman" w:cs="Times New Roman"/>
          <w:kern w:val="0"/>
          <w:sz w:val="24"/>
          <w:szCs w:val="24"/>
          <w14:ligatures w14:val="none"/>
        </w:rPr>
        <w:t xml:space="preserve">; Ule </w:t>
      </w:r>
      <w:r w:rsidR="006441AE" w:rsidRPr="006441AE">
        <w:rPr>
          <w:rFonts w:ascii="Times New Roman" w:eastAsia="Times New Roman" w:hAnsi="Times New Roman" w:cs="Times New Roman"/>
          <w:i/>
          <w:iCs/>
          <w:kern w:val="0"/>
          <w:sz w:val="24"/>
          <w:szCs w:val="24"/>
          <w14:ligatures w14:val="none"/>
        </w:rPr>
        <w:t>et al</w:t>
      </w:r>
      <w:r w:rsidR="006441AE">
        <w:rPr>
          <w:rFonts w:ascii="Times New Roman" w:eastAsia="Times New Roman" w:hAnsi="Times New Roman" w:cs="Times New Roman"/>
          <w:kern w:val="0"/>
          <w:sz w:val="24"/>
          <w:szCs w:val="24"/>
          <w14:ligatures w14:val="none"/>
        </w:rPr>
        <w:t xml:space="preserve">, </w:t>
      </w:r>
      <w:r w:rsidR="006441AE" w:rsidRPr="006441AE">
        <w:rPr>
          <w:rFonts w:ascii="Times New Roman" w:eastAsia="Times New Roman" w:hAnsi="Times New Roman" w:cs="Times New Roman"/>
          <w:kern w:val="0"/>
          <w:sz w:val="24"/>
          <w:szCs w:val="24"/>
          <w14:ligatures w14:val="none"/>
        </w:rPr>
        <w:t>2021</w:t>
      </w:r>
      <w:r w:rsidRPr="00A00AFA">
        <w:rPr>
          <w:rFonts w:ascii="Times New Roman" w:eastAsia="Times New Roman" w:hAnsi="Times New Roman" w:cs="Times New Roman"/>
          <w:kern w:val="0"/>
          <w:sz w:val="24"/>
          <w:szCs w:val="24"/>
          <w14:ligatures w14:val="none"/>
        </w:rPr>
        <w:t>).</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 xml:space="preserve">These findings suggest that under optimised </w:t>
      </w:r>
      <w:r w:rsidRPr="007F7912">
        <w:rPr>
          <w:rFonts w:ascii="Times New Roman" w:eastAsia="Times New Roman" w:hAnsi="Times New Roman" w:cs="Times New Roman"/>
          <w:kern w:val="0"/>
          <w:sz w:val="24"/>
          <w:szCs w:val="24"/>
          <w14:ligatures w14:val="none"/>
        </w:rPr>
        <w:t>environmental</w:t>
      </w:r>
      <w:r w:rsidRPr="00A00AFA">
        <w:rPr>
          <w:rFonts w:ascii="Times New Roman" w:eastAsia="Times New Roman" w:hAnsi="Times New Roman" w:cs="Times New Roman"/>
          <w:kern w:val="0"/>
          <w:sz w:val="24"/>
          <w:szCs w:val="24"/>
          <w14:ligatures w14:val="none"/>
        </w:rPr>
        <w:t xml:space="preserve"> conditions, natural attenuation can achieve comparable or even superior long-term reductions in PAH concentrations. Petroleum hydrocarbon</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 xml:space="preserve">contaminated soils are frequently </w:t>
      </w:r>
      <w:r w:rsidRPr="00140C58">
        <w:rPr>
          <w:rFonts w:ascii="Times New Roman" w:eastAsia="Times New Roman" w:hAnsi="Times New Roman" w:cs="Times New Roman"/>
          <w:kern w:val="0"/>
          <w:sz w:val="24"/>
          <w:szCs w:val="24"/>
          <w14:ligatures w14:val="none"/>
        </w:rPr>
        <w:t>enriched with hydrocarbonoclastic bacteria, supporting their inherent self-purification capacity.</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Nevertheless, field-scale conditions may impose nutrient limitations, aeration constraints, and contaminant heterogeneity that restrict intrinsic degradation rates. Therefore, selection between monitored natural attenuation and active bioremediation strategies should consider contaminant load, soil physicochemical characteristics, ecological risk, and remediation timelines—particularly in high-impact regions such as the Niger Delta, where accelerated risk mitigation may be necessary.</w:t>
      </w:r>
    </w:p>
    <w:p w14:paraId="15AB70CE" w14:textId="77777777"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Assessment of carcinogenic risk using BaP toxic equivalency (BaP-TEQ) indicated that attenuation reduced carcinogenic toxicity by approximately 90% in U1 and 98% in U2. The observed difference is likely attributable to increased bioavailability of carcinogenic PAHs in U1 under incubation conditions, facilitating both improved detectability and enhanced degradation.</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Post-incubation BaP-TEQ values were below international residential screening thresholds recommended by CCME (</w:t>
      </w:r>
      <w:r w:rsidR="006441AE">
        <w:rPr>
          <w:rFonts w:ascii="Times New Roman" w:eastAsia="Times New Roman" w:hAnsi="Times New Roman" w:cs="Times New Roman"/>
          <w:kern w:val="0"/>
          <w:sz w:val="24"/>
          <w:szCs w:val="24"/>
          <w14:ligatures w14:val="none"/>
        </w:rPr>
        <w:t>CCME, 2010</w:t>
      </w:r>
      <w:r w:rsidRPr="00A00AFA">
        <w:rPr>
          <w:rFonts w:ascii="Times New Roman" w:eastAsia="Times New Roman" w:hAnsi="Times New Roman" w:cs="Times New Roman"/>
          <w:kern w:val="0"/>
          <w:sz w:val="24"/>
          <w:szCs w:val="24"/>
          <w14:ligatures w14:val="none"/>
        </w:rPr>
        <w:t>), indicating a significant toxicological shift. Natural attenuation effectively transformed the soils from a high carcinogenic risk state to a substantially lower risk condition.</w:t>
      </w:r>
    </w:p>
    <w:p w14:paraId="6D134921" w14:textId="77777777"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Under attenuation conditions, both aliphatic and aromatic hydrocarbon fractions were effectively removed. On average, TPH and total aromatic hydrocarbons (TAH) declined by approximately 98%, while PAHs decreased by approximately 97%.</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Comparative field studies in the Niger Delta have reported TPH reductions of 15–18% over six months (</w:t>
      </w:r>
      <w:r w:rsidR="00EF72F5">
        <w:rPr>
          <w:rFonts w:ascii="Times New Roman" w:eastAsia="Times New Roman" w:hAnsi="Times New Roman" w:cs="Times New Roman"/>
          <w:kern w:val="0"/>
          <w:sz w:val="24"/>
          <w:szCs w:val="24"/>
          <w14:ligatures w14:val="none"/>
        </w:rPr>
        <w:t xml:space="preserve">Ubani </w:t>
      </w:r>
      <w:r w:rsidR="00EF72F5" w:rsidRPr="00EF72F5">
        <w:rPr>
          <w:rFonts w:ascii="Times New Roman" w:eastAsia="Times New Roman" w:hAnsi="Times New Roman" w:cs="Times New Roman"/>
          <w:i/>
          <w:iCs/>
          <w:kern w:val="0"/>
          <w:sz w:val="24"/>
          <w:szCs w:val="24"/>
          <w14:ligatures w14:val="none"/>
        </w:rPr>
        <w:t>et al</w:t>
      </w:r>
      <w:r w:rsidR="00EF72F5">
        <w:rPr>
          <w:rFonts w:ascii="Times New Roman" w:eastAsia="Times New Roman" w:hAnsi="Times New Roman" w:cs="Times New Roman"/>
          <w:kern w:val="0"/>
          <w:sz w:val="24"/>
          <w:szCs w:val="24"/>
          <w14:ligatures w14:val="none"/>
        </w:rPr>
        <w:t xml:space="preserve">., 2024; </w:t>
      </w:r>
      <w:r w:rsidR="006441AE">
        <w:rPr>
          <w:rFonts w:ascii="Times New Roman" w:eastAsia="Times New Roman" w:hAnsi="Times New Roman" w:cs="Times New Roman"/>
          <w:kern w:val="0"/>
          <w:sz w:val="24"/>
          <w:szCs w:val="24"/>
          <w14:ligatures w14:val="none"/>
        </w:rPr>
        <w:t xml:space="preserve">Ebuehi </w:t>
      </w:r>
      <w:r w:rsidR="006441AE" w:rsidRPr="006441AE">
        <w:rPr>
          <w:rFonts w:ascii="Times New Roman" w:eastAsia="Times New Roman" w:hAnsi="Times New Roman" w:cs="Times New Roman"/>
          <w:i/>
          <w:iCs/>
          <w:kern w:val="0"/>
          <w:sz w:val="24"/>
          <w:szCs w:val="24"/>
          <w14:ligatures w14:val="none"/>
        </w:rPr>
        <w:t>et al</w:t>
      </w:r>
      <w:r w:rsidR="006441AE">
        <w:rPr>
          <w:rFonts w:ascii="Times New Roman" w:eastAsia="Times New Roman" w:hAnsi="Times New Roman" w:cs="Times New Roman"/>
          <w:kern w:val="0"/>
          <w:sz w:val="24"/>
          <w:szCs w:val="24"/>
          <w14:ligatures w14:val="none"/>
        </w:rPr>
        <w:t>., 2005</w:t>
      </w:r>
      <w:r w:rsidRPr="00A00AFA">
        <w:rPr>
          <w:rFonts w:ascii="Times New Roman" w:eastAsia="Times New Roman" w:hAnsi="Times New Roman" w:cs="Times New Roman"/>
          <w:kern w:val="0"/>
          <w:sz w:val="24"/>
          <w:szCs w:val="24"/>
          <w14:ligatures w14:val="none"/>
        </w:rPr>
        <w:t xml:space="preserve">), whereas a soil microcosm study documented a 25% decline within 40 days </w:t>
      </w:r>
      <w:r w:rsidRPr="00E42984">
        <w:rPr>
          <w:rFonts w:ascii="Times New Roman" w:eastAsia="Times New Roman" w:hAnsi="Times New Roman" w:cs="Times New Roman"/>
          <w:kern w:val="0"/>
          <w:sz w:val="24"/>
          <w:szCs w:val="24"/>
          <w:highlight w:val="green"/>
          <w14:ligatures w14:val="none"/>
        </w:rPr>
        <w:t>(</w:t>
      </w:r>
      <w:r w:rsidR="006441AE" w:rsidRPr="00E42984">
        <w:rPr>
          <w:rFonts w:ascii="Times New Roman" w:eastAsia="Times New Roman" w:hAnsi="Times New Roman" w:cs="Times New Roman"/>
          <w:kern w:val="0"/>
          <w:sz w:val="24"/>
          <w:szCs w:val="24"/>
          <w:highlight w:val="green"/>
          <w14:ligatures w14:val="none"/>
        </w:rPr>
        <w:t xml:space="preserve">Bidja </w:t>
      </w:r>
      <w:r w:rsidR="006441AE" w:rsidRPr="00E42984">
        <w:rPr>
          <w:rFonts w:ascii="Times New Roman" w:eastAsia="Times New Roman" w:hAnsi="Times New Roman" w:cs="Times New Roman"/>
          <w:i/>
          <w:iCs/>
          <w:kern w:val="0"/>
          <w:sz w:val="24"/>
          <w:szCs w:val="24"/>
          <w:highlight w:val="green"/>
          <w14:ligatures w14:val="none"/>
        </w:rPr>
        <w:t>et al</w:t>
      </w:r>
      <w:r w:rsidR="006441AE" w:rsidRPr="00E42984">
        <w:rPr>
          <w:rFonts w:ascii="Times New Roman" w:eastAsia="Times New Roman" w:hAnsi="Times New Roman" w:cs="Times New Roman"/>
          <w:kern w:val="0"/>
          <w:sz w:val="24"/>
          <w:szCs w:val="24"/>
          <w:highlight w:val="green"/>
          <w14:ligatures w14:val="none"/>
        </w:rPr>
        <w:t>., 2019</w:t>
      </w:r>
      <w:r w:rsidRPr="00E42984">
        <w:rPr>
          <w:rFonts w:ascii="Times New Roman" w:eastAsia="Times New Roman" w:hAnsi="Times New Roman" w:cs="Times New Roman"/>
          <w:kern w:val="0"/>
          <w:sz w:val="24"/>
          <w:szCs w:val="24"/>
          <w:highlight w:val="green"/>
          <w14:ligatures w14:val="none"/>
        </w:rPr>
        <w:t>)</w:t>
      </w:r>
      <w:r w:rsidRPr="00A00AFA">
        <w:rPr>
          <w:rFonts w:ascii="Times New Roman" w:eastAsia="Times New Roman" w:hAnsi="Times New Roman" w:cs="Times New Roman"/>
          <w:kern w:val="0"/>
          <w:sz w:val="24"/>
          <w:szCs w:val="24"/>
          <w14:ligatures w14:val="none"/>
        </w:rPr>
        <w:t>. These comparisons reinforce the conclusion that degradation rates are strongly dependent on environmental and experimental conditions.</w:t>
      </w:r>
    </w:p>
    <w:p w14:paraId="17E95CF8" w14:textId="77777777" w:rsidR="00E41770"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lastRenderedPageBreak/>
        <w:t>This study demonstrates that anthropogenic influences contributed to the distinct PAH profiles observed in U1 and U2. Furthermore, favourable incubation conditions relying solely on indigenous microbial communities resulted in substantial hydrocarbon degradation and a marked reduction in carcinogenic risk.</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Overall, the findings highlight the inherent bioremediation potential of indigenous soil microbiomes under optimised environmental conditions and support the use of monitored natural attenuation as a cost-effective remediation strategy. Future research should focus on determining optimal physicochemical conditions that enhance intrinsic hydrocarbon degradation at contaminated sites and evaluating their comparative cost-effectiveness relative to active bioremediation strategies.</w:t>
      </w:r>
    </w:p>
    <w:p w14:paraId="6EA051CF" w14:textId="77777777" w:rsidR="00E41770" w:rsidRDefault="00E41770" w:rsidP="00E4177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References </w:t>
      </w:r>
    </w:p>
    <w:p w14:paraId="176F697D" w14:textId="77777777" w:rsidR="00C51D3C" w:rsidRDefault="00C51D3C" w:rsidP="00C51D3C">
      <w:pPr>
        <w:pStyle w:val="NormalWeb"/>
        <w:spacing w:before="0" w:beforeAutospacing="0" w:after="240" w:afterAutospacing="0"/>
        <w:ind w:left="720" w:hanging="720"/>
        <w:jc w:val="both"/>
      </w:pPr>
      <w:r w:rsidRPr="00E42984">
        <w:rPr>
          <w:highlight w:val="green"/>
        </w:rPr>
        <w:t xml:space="preserve">Abena, M. T. B., Li, T., Shah, M. N., &amp; Zhong, W. (2019). Biodegradation of total petroleum hydrocarbons (TPH) in highly contaminated soils by natural attenuation and bioaugmentation. </w:t>
      </w:r>
      <w:r w:rsidRPr="00E42984">
        <w:rPr>
          <w:i/>
          <w:iCs/>
          <w:highlight w:val="green"/>
        </w:rPr>
        <w:t>Chemosphere</w:t>
      </w:r>
      <w:r w:rsidRPr="00E42984">
        <w:rPr>
          <w:highlight w:val="green"/>
        </w:rPr>
        <w:t xml:space="preserve">, </w:t>
      </w:r>
      <w:r w:rsidRPr="00E42984">
        <w:rPr>
          <w:i/>
          <w:iCs/>
          <w:highlight w:val="green"/>
        </w:rPr>
        <w:t>234</w:t>
      </w:r>
      <w:r w:rsidRPr="00E42984">
        <w:rPr>
          <w:highlight w:val="green"/>
        </w:rPr>
        <w:t xml:space="preserve">, 864–874. </w:t>
      </w:r>
      <w:r w:rsidRPr="00E42984">
        <w:rPr>
          <w:rStyle w:val="url"/>
          <w:rFonts w:eastAsiaTheme="majorEastAsia"/>
          <w:highlight w:val="green"/>
        </w:rPr>
        <w:t>https://doi.org/10.1016/j.chemosphere.2019.06.111</w:t>
      </w:r>
    </w:p>
    <w:p w14:paraId="282E9A7B" w14:textId="77777777" w:rsidR="00C51D3C" w:rsidRDefault="00C51D3C" w:rsidP="00C51D3C">
      <w:pPr>
        <w:spacing w:after="240" w:line="240" w:lineRule="auto"/>
        <w:ind w:left="720" w:hanging="720"/>
        <w:jc w:val="both"/>
        <w:rPr>
          <w:rFonts w:ascii="Times New Roman" w:hAnsi="Times New Roman" w:cs="Times New Roman"/>
          <w:sz w:val="24"/>
          <w:szCs w:val="24"/>
        </w:rPr>
      </w:pPr>
      <w:r w:rsidRPr="002C361E">
        <w:rPr>
          <w:rFonts w:ascii="Times New Roman" w:hAnsi="Times New Roman" w:cs="Times New Roman"/>
          <w:sz w:val="24"/>
          <w:szCs w:val="24"/>
        </w:rPr>
        <w:t>Adams, G. O., Fufeyin, P. T., Okoro, S. E., &amp; Ehinomen, I. (2015). Bioremediation, biostimulation and bioaugmention: a review. </w:t>
      </w:r>
      <w:r w:rsidRPr="002C361E">
        <w:rPr>
          <w:rFonts w:ascii="Times New Roman" w:hAnsi="Times New Roman" w:cs="Times New Roman"/>
          <w:i/>
          <w:iCs/>
          <w:sz w:val="24"/>
          <w:szCs w:val="24"/>
        </w:rPr>
        <w:t>International Journal of Environmental Bioremediation &amp; Biodegradation</w:t>
      </w:r>
      <w:r w:rsidRPr="002C361E">
        <w:rPr>
          <w:rFonts w:ascii="Times New Roman" w:hAnsi="Times New Roman" w:cs="Times New Roman"/>
          <w:sz w:val="24"/>
          <w:szCs w:val="24"/>
        </w:rPr>
        <w:t>, </w:t>
      </w:r>
      <w:r w:rsidRPr="002C361E">
        <w:rPr>
          <w:rFonts w:ascii="Times New Roman" w:hAnsi="Times New Roman" w:cs="Times New Roman"/>
          <w:i/>
          <w:iCs/>
          <w:sz w:val="24"/>
          <w:szCs w:val="24"/>
        </w:rPr>
        <w:t>3</w:t>
      </w:r>
      <w:r w:rsidRPr="002C361E">
        <w:rPr>
          <w:rFonts w:ascii="Times New Roman" w:hAnsi="Times New Roman" w:cs="Times New Roman"/>
          <w:sz w:val="24"/>
          <w:szCs w:val="24"/>
        </w:rPr>
        <w:t>(1), 28-39</w:t>
      </w:r>
      <w:r>
        <w:rPr>
          <w:rFonts w:ascii="Times New Roman" w:hAnsi="Times New Roman" w:cs="Times New Roman"/>
          <w:sz w:val="24"/>
          <w:szCs w:val="24"/>
        </w:rPr>
        <w:t xml:space="preserve">. </w:t>
      </w:r>
      <w:hyperlink r:id="rId15" w:history="1">
        <w:r w:rsidRPr="002C361E">
          <w:rPr>
            <w:rStyle w:val="Hyperlink"/>
            <w:rFonts w:ascii="Times New Roman" w:hAnsi="Times New Roman" w:cs="Times New Roman"/>
            <w:sz w:val="24"/>
            <w:szCs w:val="24"/>
          </w:rPr>
          <w:t>https://api.semanticscholar.org/CorpusID:59137678</w:t>
        </w:r>
      </w:hyperlink>
      <w:r>
        <w:rPr>
          <w:rFonts w:ascii="Times New Roman" w:hAnsi="Times New Roman" w:cs="Times New Roman"/>
          <w:sz w:val="24"/>
          <w:szCs w:val="24"/>
        </w:rPr>
        <w:t xml:space="preserve"> </w:t>
      </w:r>
    </w:p>
    <w:p w14:paraId="1EE931C2"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Adeniran, M. A., Oladunjoye, M. A., &amp; Doro, K. O. (2023). Soil and groundwater contamination by crude oil spillage: A review and implications for remediation projects in Nigeria. </w:t>
      </w:r>
      <w:r>
        <w:rPr>
          <w:i/>
          <w:iCs/>
        </w:rPr>
        <w:t>Frontiers in Environmental Science</w:t>
      </w:r>
      <w:r>
        <w:t xml:space="preserve">, </w:t>
      </w:r>
      <w:r>
        <w:rPr>
          <w:i/>
          <w:iCs/>
        </w:rPr>
        <w:t>11</w:t>
      </w:r>
      <w:r>
        <w:t xml:space="preserve">. </w:t>
      </w:r>
      <w:hyperlink r:id="rId16" w:history="1">
        <w:r w:rsidRPr="00550969">
          <w:rPr>
            <w:rStyle w:val="Hyperlink"/>
            <w:rFonts w:eastAsiaTheme="majorEastAsia"/>
          </w:rPr>
          <w:t>https://doi.org/10.3389/fenvs.2023.1137496</w:t>
        </w:r>
      </w:hyperlink>
    </w:p>
    <w:p w14:paraId="7326A77B"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Akinkpelumi, V. K., Onyena, A. P., Abdulai, P. M., Ossai, C. M., Frazzoli, C., &amp; Orisakwe, O. E. (2025). Seasonality and ecological risks of polycyclic aromatic hydrocarbons PAHS in environmental media and food crops of Ibaa, Niger Delta, Nigeria. </w:t>
      </w:r>
      <w:r>
        <w:rPr>
          <w:i/>
          <w:iCs/>
        </w:rPr>
        <w:t>Environmental Sciences Europe</w:t>
      </w:r>
      <w:r>
        <w:t xml:space="preserve">, </w:t>
      </w:r>
      <w:r>
        <w:rPr>
          <w:i/>
          <w:iCs/>
        </w:rPr>
        <w:t>37</w:t>
      </w:r>
      <w:r>
        <w:t xml:space="preserve">(1). </w:t>
      </w:r>
      <w:hyperlink r:id="rId17" w:history="1">
        <w:r w:rsidRPr="00550969">
          <w:rPr>
            <w:rStyle w:val="Hyperlink"/>
            <w:rFonts w:eastAsiaTheme="majorEastAsia"/>
          </w:rPr>
          <w:t>https://doi.org/10.1186/s12302-025-01266-8</w:t>
        </w:r>
      </w:hyperlink>
    </w:p>
    <w:p w14:paraId="2CF408E1"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Arinze, E. E., Ekwueme, B. N., &amp; Ekeleme, A. C. (2022). The effect of soil particle sizes on bioremediation efficiency of petroleum contaminated soils. </w:t>
      </w:r>
      <w:r>
        <w:rPr>
          <w:i/>
          <w:iCs/>
        </w:rPr>
        <w:t>Soil and Sediment Contamination an International Journal</w:t>
      </w:r>
      <w:r>
        <w:t xml:space="preserve">, </w:t>
      </w:r>
      <w:r>
        <w:rPr>
          <w:i/>
          <w:iCs/>
        </w:rPr>
        <w:t>32</w:t>
      </w:r>
      <w:r>
        <w:t xml:space="preserve">(3), 274–286. </w:t>
      </w:r>
      <w:hyperlink r:id="rId18" w:history="1">
        <w:r w:rsidRPr="00550969">
          <w:rPr>
            <w:rStyle w:val="Hyperlink"/>
            <w:rFonts w:eastAsiaTheme="majorEastAsia"/>
          </w:rPr>
          <w:t>https://doi.org/10.1080/15320383.2022.2079609</w:t>
        </w:r>
      </w:hyperlink>
    </w:p>
    <w:p w14:paraId="2905687F"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Cai, P., Ning, Z., Liu, Y., He, Z., Shi, J., &amp; Niu, M. (2020). Diagnosing bioremediation of crude oil-contaminated soil and related geochemical processes at the field scale through microbial community and functional genes. </w:t>
      </w:r>
      <w:r>
        <w:rPr>
          <w:i/>
          <w:iCs/>
        </w:rPr>
        <w:t>Annals of Microbiology</w:t>
      </w:r>
      <w:r>
        <w:t xml:space="preserve">, </w:t>
      </w:r>
      <w:r>
        <w:rPr>
          <w:i/>
          <w:iCs/>
        </w:rPr>
        <w:t>70</w:t>
      </w:r>
      <w:r>
        <w:t xml:space="preserve">(1). </w:t>
      </w:r>
      <w:hyperlink r:id="rId19" w:history="1">
        <w:r w:rsidRPr="00550969">
          <w:rPr>
            <w:rStyle w:val="Hyperlink"/>
            <w:rFonts w:eastAsiaTheme="majorEastAsia"/>
          </w:rPr>
          <w:t>https://doi.org/10.1186/s13213-020-01580-x</w:t>
        </w:r>
      </w:hyperlink>
    </w:p>
    <w:p w14:paraId="4F8691EC" w14:textId="77777777" w:rsidR="00C51D3C" w:rsidRDefault="00C51D3C" w:rsidP="00C51D3C">
      <w:pPr>
        <w:pStyle w:val="NormalWeb"/>
        <w:spacing w:before="0" w:beforeAutospacing="0" w:after="240" w:afterAutospacing="0"/>
        <w:ind w:left="720" w:hanging="720"/>
        <w:jc w:val="both"/>
      </w:pPr>
      <w:r w:rsidRPr="004A4252">
        <w:t xml:space="preserve">Canadian Council of Ministers of the Environment. (2010). </w:t>
      </w:r>
      <w:r w:rsidRPr="004A4252">
        <w:rPr>
          <w:rStyle w:val="Emphasis"/>
        </w:rPr>
        <w:t>Canadian Soil Quality Guidelines for Carcinogenic and Other Polycyclic Aromatic Hydrocarbons</w:t>
      </w:r>
      <w:r w:rsidRPr="004A4252">
        <w:t xml:space="preserve"> (Environmental and Human Health Effects). </w:t>
      </w:r>
      <w:hyperlink r:id="rId20" w:tgtFrame="_new" w:history="1">
        <w:r w:rsidRPr="004A4252">
          <w:rPr>
            <w:rStyle w:val="Hyperlink"/>
          </w:rPr>
          <w:t>https://ccme.ca/en/res/polycyclic-aromatic-hydrocarbons-2010-canadian-soil-quality-guidelines-for-the-protection-of-environmental-and-human-health-en.pdf</w:t>
        </w:r>
      </w:hyperlink>
    </w:p>
    <w:p w14:paraId="7898F701"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Chikere, C. B., Mordi, I. J., Chikere, B. O., Selvarajan, R., Ashafa, T. O., &amp; Obieze, C. C. (2019). Comparative metagenomics and functional profiling of crude oil-polluted soils </w:t>
      </w:r>
      <w:r>
        <w:lastRenderedPageBreak/>
        <w:t xml:space="preserve">in Bodo West Community, Ogoni, with other sites of varying pollution history. </w:t>
      </w:r>
      <w:r>
        <w:rPr>
          <w:i/>
          <w:iCs/>
        </w:rPr>
        <w:t>Annals of Microbiology</w:t>
      </w:r>
      <w:r>
        <w:t xml:space="preserve">, </w:t>
      </w:r>
      <w:r>
        <w:rPr>
          <w:i/>
          <w:iCs/>
        </w:rPr>
        <w:t>69</w:t>
      </w:r>
      <w:r>
        <w:t xml:space="preserve">(5), 495–513. </w:t>
      </w:r>
      <w:hyperlink r:id="rId21" w:history="1">
        <w:r w:rsidRPr="00550969">
          <w:rPr>
            <w:rStyle w:val="Hyperlink"/>
            <w:rFonts w:eastAsiaTheme="majorEastAsia"/>
          </w:rPr>
          <w:t>https://doi.org/10.1007/s13213-019-1438-3</w:t>
        </w:r>
      </w:hyperlink>
    </w:p>
    <w:p w14:paraId="1F48CD43" w14:textId="77777777" w:rsidR="00C51D3C" w:rsidRDefault="00C51D3C" w:rsidP="00C51D3C">
      <w:pPr>
        <w:pStyle w:val="NormalWeb"/>
        <w:spacing w:before="0" w:beforeAutospacing="0" w:after="240" w:afterAutospacing="0"/>
        <w:ind w:left="720" w:hanging="720"/>
        <w:jc w:val="both"/>
        <w:rPr>
          <w:rStyle w:val="url"/>
          <w:rFonts w:eastAsiaTheme="majorEastAsia"/>
        </w:rPr>
      </w:pPr>
      <w:r w:rsidRPr="00E42984">
        <w:rPr>
          <w:highlight w:val="green"/>
        </w:rPr>
        <w:t xml:space="preserve">D’Andrea, M. A., &amp; Reddy, G. K. (2014). Crude oil spill exposure and human health risks. </w:t>
      </w:r>
      <w:r w:rsidRPr="00E42984">
        <w:rPr>
          <w:i/>
          <w:iCs/>
          <w:highlight w:val="green"/>
        </w:rPr>
        <w:t>Journal of Occupational and Environmental Medicine</w:t>
      </w:r>
      <w:r w:rsidRPr="00E42984">
        <w:rPr>
          <w:highlight w:val="green"/>
        </w:rPr>
        <w:t xml:space="preserve">, </w:t>
      </w:r>
      <w:r w:rsidRPr="00E42984">
        <w:rPr>
          <w:i/>
          <w:iCs/>
          <w:highlight w:val="green"/>
        </w:rPr>
        <w:t>56</w:t>
      </w:r>
      <w:r w:rsidRPr="00E42984">
        <w:rPr>
          <w:highlight w:val="green"/>
        </w:rPr>
        <w:t xml:space="preserve">(10), 1029–1041. </w:t>
      </w:r>
      <w:hyperlink r:id="rId22" w:history="1">
        <w:r w:rsidRPr="00E42984">
          <w:rPr>
            <w:rStyle w:val="Hyperlink"/>
            <w:rFonts w:eastAsiaTheme="majorEastAsia"/>
            <w:highlight w:val="green"/>
          </w:rPr>
          <w:t>https://doi.org/10.1097/jom.0000000000000217</w:t>
        </w:r>
      </w:hyperlink>
    </w:p>
    <w:p w14:paraId="46F74C65" w14:textId="77777777" w:rsidR="00C51D3C" w:rsidRDefault="00C51D3C" w:rsidP="00C51D3C">
      <w:pPr>
        <w:pStyle w:val="NormalWeb"/>
        <w:spacing w:before="0" w:beforeAutospacing="0" w:after="240" w:afterAutospacing="0"/>
        <w:ind w:left="720" w:hanging="720"/>
        <w:jc w:val="both"/>
        <w:rPr>
          <w:rStyle w:val="url"/>
          <w:rFonts w:eastAsiaTheme="majorEastAsia"/>
          <w:color w:val="05103E"/>
          <w:sz w:val="27"/>
          <w:szCs w:val="27"/>
          <w:bdr w:val="single" w:sz="2" w:space="0" w:color="ECEDEE" w:frame="1"/>
        </w:rPr>
      </w:pPr>
      <w:r w:rsidRPr="006C381E">
        <w:t>Department of Petroleum Resources. (20</w:t>
      </w:r>
      <w:r>
        <w:t>18</w:t>
      </w:r>
      <w:r w:rsidRPr="006C381E">
        <w:t xml:space="preserve">). </w:t>
      </w:r>
      <w:r w:rsidRPr="006C381E">
        <w:rPr>
          <w:rStyle w:val="Emphasis"/>
        </w:rPr>
        <w:t>Environmental Guidelines and Standards for the Petroleum Industry in Nigeria (EGASPIN)</w:t>
      </w:r>
      <w:r w:rsidRPr="006C381E">
        <w:t xml:space="preserve"> (Revised ed.). Federal Republic of Nigeria.</w:t>
      </w:r>
      <w:r>
        <w:t xml:space="preserve"> </w:t>
      </w:r>
      <w:r>
        <w:rPr>
          <w:color w:val="05103E"/>
          <w:sz w:val="27"/>
          <w:szCs w:val="27"/>
        </w:rPr>
        <w:t> </w:t>
      </w:r>
      <w:hyperlink r:id="rId23" w:history="1">
        <w:r w:rsidRPr="00550969">
          <w:rPr>
            <w:rStyle w:val="Hyperlink"/>
            <w:rFonts w:eastAsiaTheme="majorEastAsia"/>
            <w:sz w:val="27"/>
            <w:szCs w:val="27"/>
            <w:bdr w:val="single" w:sz="2" w:space="0" w:color="ECEDEE" w:frame="1"/>
          </w:rPr>
          <w:t>https://scribd.com/document/533874232/DPR-EGASPIN-2018</w:t>
        </w:r>
      </w:hyperlink>
    </w:p>
    <w:p w14:paraId="183A9C5B"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Ebuehi, O. a. T., Abibo, I. B., Shekwolo, P. D., Sigismund, K. I., Adoki, A., &amp; Okoro, I. C. (2005). Remediation of crude oil contaminated soil by enhanced natural attenuation technique. </w:t>
      </w:r>
      <w:r>
        <w:rPr>
          <w:i/>
          <w:iCs/>
        </w:rPr>
        <w:t>SHILAP Revista De Lepidopterología</w:t>
      </w:r>
      <w:r>
        <w:t xml:space="preserve">, </w:t>
      </w:r>
      <w:r>
        <w:rPr>
          <w:i/>
          <w:iCs/>
        </w:rPr>
        <w:t>9</w:t>
      </w:r>
      <w:r>
        <w:t xml:space="preserve">(1). </w:t>
      </w:r>
      <w:hyperlink r:id="rId24" w:history="1">
        <w:r w:rsidRPr="00550969">
          <w:rPr>
            <w:rStyle w:val="Hyperlink"/>
            <w:rFonts w:eastAsiaTheme="majorEastAsia"/>
          </w:rPr>
          <w:t>https://doi.org/10.4314/jasem.v9i1.17265</w:t>
        </w:r>
      </w:hyperlink>
    </w:p>
    <w:p w14:paraId="1B8D047C" w14:textId="77777777" w:rsidR="00C51D3C" w:rsidRPr="004A4252" w:rsidRDefault="00C51D3C" w:rsidP="00C51D3C">
      <w:pPr>
        <w:pStyle w:val="NormalWeb"/>
        <w:spacing w:before="0" w:beforeAutospacing="0" w:after="240" w:afterAutospacing="0"/>
        <w:ind w:left="720" w:hanging="720"/>
        <w:jc w:val="both"/>
        <w:rPr>
          <w:rStyle w:val="url"/>
          <w:rFonts w:eastAsiaTheme="majorEastAsia"/>
          <w:color w:val="05103E"/>
          <w:sz w:val="27"/>
          <w:szCs w:val="27"/>
          <w:bdr w:val="single" w:sz="2" w:space="0" w:color="ECEDEE" w:frame="1"/>
        </w:rPr>
      </w:pPr>
      <w:r>
        <w:t xml:space="preserve">Faboya, O. L., Sojinu, S. O., &amp; Otugboyega, J. O. (2023). Preliminary investigation of polycyclic aromatic hydrocarbons (PAHs) concentration, compositional pattern, and ecological risk in crude oil-impacted soil from Niger delta, Nigeria. </w:t>
      </w:r>
      <w:r>
        <w:rPr>
          <w:i/>
          <w:iCs/>
        </w:rPr>
        <w:t>Heliyon</w:t>
      </w:r>
      <w:r>
        <w:t xml:space="preserve">, </w:t>
      </w:r>
      <w:r>
        <w:rPr>
          <w:i/>
          <w:iCs/>
        </w:rPr>
        <w:t>9</w:t>
      </w:r>
      <w:r>
        <w:t xml:space="preserve">(4), e15508. </w:t>
      </w:r>
      <w:hyperlink r:id="rId25" w:history="1">
        <w:r w:rsidRPr="00550969">
          <w:rPr>
            <w:rStyle w:val="Hyperlink"/>
            <w:rFonts w:eastAsiaTheme="majorEastAsia"/>
          </w:rPr>
          <w:t>https://doi.org/10.1016/j.heliyon.2023.e15508</w:t>
        </w:r>
      </w:hyperlink>
    </w:p>
    <w:p w14:paraId="0BF1D015"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García-García, R., Bocanegra-García, V., Vital-López, L., García-Mena, J., Zamora-Antuñano, M. A., Cruz-Hernández, M. A., Rodríguez-Reséndiz, J., &amp; Mendoza-Herrera, A. (2023). Assessment of the Microbial Communities in Soil Contaminated with Petroleum Using Next-Generation Sequencing Tools. </w:t>
      </w:r>
      <w:r>
        <w:rPr>
          <w:i/>
          <w:iCs/>
        </w:rPr>
        <w:t>Applied Sciences</w:t>
      </w:r>
      <w:r>
        <w:t xml:space="preserve">, </w:t>
      </w:r>
      <w:r>
        <w:rPr>
          <w:i/>
          <w:iCs/>
        </w:rPr>
        <w:t>13</w:t>
      </w:r>
      <w:r>
        <w:t xml:space="preserve">(12), 6922. </w:t>
      </w:r>
      <w:hyperlink r:id="rId26" w:history="1">
        <w:r w:rsidRPr="00550969">
          <w:rPr>
            <w:rStyle w:val="Hyperlink"/>
            <w:rFonts w:eastAsiaTheme="majorEastAsia"/>
          </w:rPr>
          <w:t>https://doi.org/10.3390/app13126922</w:t>
        </w:r>
      </w:hyperlink>
    </w:p>
    <w:p w14:paraId="56C87099"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García-Sánchez, M., Košnář, Z., Mercl, F., Aranda, E., &amp; Tlustoš, P. (2017). A comparative study to evaluate natural attenuation, mycoaugmentation, phytoremediation, and microbial-assisted phytoremediation strategies for the bioremediation of an aged PAH-polluted soil. </w:t>
      </w:r>
      <w:r>
        <w:rPr>
          <w:i/>
          <w:iCs/>
        </w:rPr>
        <w:t>Ecotoxicology and Environmental Safety</w:t>
      </w:r>
      <w:r>
        <w:t xml:space="preserve">, </w:t>
      </w:r>
      <w:r>
        <w:rPr>
          <w:i/>
          <w:iCs/>
        </w:rPr>
        <w:t>147</w:t>
      </w:r>
      <w:r>
        <w:t xml:space="preserve">, 165–174. </w:t>
      </w:r>
      <w:hyperlink r:id="rId27" w:history="1">
        <w:r w:rsidRPr="00550969">
          <w:rPr>
            <w:rStyle w:val="Hyperlink"/>
            <w:rFonts w:eastAsiaTheme="majorEastAsia"/>
          </w:rPr>
          <w:t>https://doi.org/10.1016/j.ecoenv.2017.08.012</w:t>
        </w:r>
      </w:hyperlink>
    </w:p>
    <w:p w14:paraId="6294758C"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Hosseini, S., Sharifi, R., &amp; Habibi, A. (2025). Efficient bioremediation of crude oil contaminated soil by a consortium of in-situ biosurfactant producing hydrocarbon-degraders. </w:t>
      </w:r>
      <w:r>
        <w:rPr>
          <w:i/>
          <w:iCs/>
        </w:rPr>
        <w:t>Scientific Reports</w:t>
      </w:r>
      <w:r>
        <w:t xml:space="preserve">, </w:t>
      </w:r>
      <w:r>
        <w:rPr>
          <w:i/>
          <w:iCs/>
        </w:rPr>
        <w:t>15</w:t>
      </w:r>
      <w:r>
        <w:t xml:space="preserve">(1), 19852. </w:t>
      </w:r>
      <w:hyperlink r:id="rId28" w:history="1">
        <w:r w:rsidRPr="00550969">
          <w:rPr>
            <w:rStyle w:val="Hyperlink"/>
            <w:rFonts w:eastAsiaTheme="majorEastAsia"/>
          </w:rPr>
          <w:t>https://doi.org/10.1038/s41598-025-05035-8</w:t>
        </w:r>
      </w:hyperlink>
    </w:p>
    <w:p w14:paraId="746E5F23"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Ighovie, E. S., &amp; Ikechukwu, E. E. (2014). Phytoremediation of Crude Oil Contaminated Soil with &amp;lt;i&amp;gt;Axonopus compressus&amp;lt;/i&amp;gt; in the Niger Delta Region of Nigeria. </w:t>
      </w:r>
      <w:r>
        <w:rPr>
          <w:i/>
          <w:iCs/>
        </w:rPr>
        <w:t>Natural Resources</w:t>
      </w:r>
      <w:r>
        <w:t xml:space="preserve">, </w:t>
      </w:r>
      <w:r>
        <w:rPr>
          <w:i/>
          <w:iCs/>
        </w:rPr>
        <w:t>05</w:t>
      </w:r>
      <w:r>
        <w:t xml:space="preserve">(02), 59–67. </w:t>
      </w:r>
      <w:hyperlink r:id="rId29" w:history="1">
        <w:r w:rsidRPr="00550969">
          <w:rPr>
            <w:rStyle w:val="Hyperlink"/>
            <w:rFonts w:eastAsiaTheme="majorEastAsia"/>
          </w:rPr>
          <w:t>https://doi.org/10.4236/nr.2014.52006</w:t>
        </w:r>
      </w:hyperlink>
    </w:p>
    <w:p w14:paraId="4944B567" w14:textId="77777777" w:rsidR="00C51D3C" w:rsidRDefault="00C51D3C" w:rsidP="00C51D3C">
      <w:pPr>
        <w:pStyle w:val="NormalWeb"/>
        <w:spacing w:before="0" w:beforeAutospacing="0" w:after="240" w:afterAutospacing="0"/>
        <w:ind w:left="720" w:hanging="720"/>
        <w:jc w:val="both"/>
        <w:rPr>
          <w:rStyle w:val="url"/>
          <w:rFonts w:eastAsiaTheme="majorEastAsia"/>
        </w:rPr>
      </w:pPr>
      <w:r w:rsidRPr="00E74CE2">
        <w:t xml:space="preserve">Ismail, H. (2022). </w:t>
      </w:r>
      <w:r>
        <w:t xml:space="preserve">Petroleum hydrocarbon contamination: Its effects and treatment approaches. (2024). </w:t>
      </w:r>
      <w:r>
        <w:rPr>
          <w:i/>
          <w:iCs/>
        </w:rPr>
        <w:t>Arid-zone Journal of Basic &amp; Applied Research</w:t>
      </w:r>
      <w:r>
        <w:t xml:space="preserve">, </w:t>
      </w:r>
      <w:r>
        <w:rPr>
          <w:i/>
          <w:iCs/>
        </w:rPr>
        <w:t>4</w:t>
      </w:r>
      <w:r>
        <w:t xml:space="preserve">(1). </w:t>
      </w:r>
      <w:hyperlink r:id="rId30" w:history="1">
        <w:r w:rsidRPr="00550969">
          <w:rPr>
            <w:rStyle w:val="Hyperlink"/>
            <w:rFonts w:eastAsiaTheme="majorEastAsia"/>
          </w:rPr>
          <w:t>https://doi.org/10.55639/njpbr.1111.4444.0.1</w:t>
        </w:r>
      </w:hyperlink>
    </w:p>
    <w:p w14:paraId="6BF01BA3"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Kariyawasam, T., Doran, G. S., Howitt, J. A., &amp; Prenzler, P. D. (2021). Polycyclic aromatic hydrocarbon contamination in soils and sediments: Sustainable approaches for extraction and remediation. </w:t>
      </w:r>
      <w:r>
        <w:rPr>
          <w:i/>
          <w:iCs/>
        </w:rPr>
        <w:t>Chemosphere</w:t>
      </w:r>
      <w:r>
        <w:t xml:space="preserve">, </w:t>
      </w:r>
      <w:r>
        <w:rPr>
          <w:i/>
          <w:iCs/>
        </w:rPr>
        <w:t>291</w:t>
      </w:r>
      <w:r>
        <w:t xml:space="preserve">(Pt 3), 132981. </w:t>
      </w:r>
      <w:hyperlink r:id="rId31" w:history="1">
        <w:r w:rsidRPr="00550969">
          <w:rPr>
            <w:rStyle w:val="Hyperlink"/>
            <w:rFonts w:eastAsiaTheme="majorEastAsia"/>
          </w:rPr>
          <w:t>https://doi.org/10.1016/j.chemosphere.2021.132981</w:t>
        </w:r>
      </w:hyperlink>
    </w:p>
    <w:p w14:paraId="756139A4" w14:textId="77777777" w:rsidR="00C51D3C" w:rsidRDefault="00C51D3C" w:rsidP="00C51D3C">
      <w:pPr>
        <w:pStyle w:val="NormalWeb"/>
        <w:spacing w:before="0" w:beforeAutospacing="0" w:after="240" w:afterAutospacing="0"/>
        <w:ind w:left="720" w:hanging="720"/>
        <w:jc w:val="both"/>
        <w:rPr>
          <w:rStyle w:val="url"/>
          <w:rFonts w:eastAsiaTheme="majorEastAsia"/>
        </w:rPr>
      </w:pPr>
      <w:r>
        <w:lastRenderedPageBreak/>
        <w:t xml:space="preserve">Koshlaf, E., &amp; Ball, A. S. (2017). Soil bioremediation approaches for petroleum hydrocarbon polluted environments. </w:t>
      </w:r>
      <w:r>
        <w:rPr>
          <w:i/>
          <w:iCs/>
        </w:rPr>
        <w:t>AIMS Microbiology</w:t>
      </w:r>
      <w:r>
        <w:t xml:space="preserve">, </w:t>
      </w:r>
      <w:r>
        <w:rPr>
          <w:i/>
          <w:iCs/>
        </w:rPr>
        <w:t>3</w:t>
      </w:r>
      <w:r>
        <w:t xml:space="preserve">(1), 25–49. </w:t>
      </w:r>
      <w:hyperlink r:id="rId32" w:history="1">
        <w:r w:rsidRPr="00550969">
          <w:rPr>
            <w:rStyle w:val="Hyperlink"/>
            <w:rFonts w:eastAsiaTheme="majorEastAsia"/>
          </w:rPr>
          <w:t>https://doi.org/10.3934/microbiol.2017.1.25</w:t>
        </w:r>
      </w:hyperlink>
    </w:p>
    <w:p w14:paraId="2DED4B7B"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Kumar, B., Verma, V. K., Joshi, D., Kumar, S., &amp; Gargava, P. (2020). Polycyclic aromatic hydrocarbons in urban and rural residential soils, levels, composition profiles, source identification and health risk &amp; hazard. </w:t>
      </w:r>
      <w:r>
        <w:rPr>
          <w:i/>
          <w:iCs/>
        </w:rPr>
        <w:t>SN Applied Sciences</w:t>
      </w:r>
      <w:r>
        <w:t xml:space="preserve">, </w:t>
      </w:r>
      <w:r>
        <w:rPr>
          <w:i/>
          <w:iCs/>
        </w:rPr>
        <w:t>2</w:t>
      </w:r>
      <w:r>
        <w:t xml:space="preserve">(12). </w:t>
      </w:r>
      <w:hyperlink r:id="rId33" w:history="1">
        <w:r w:rsidRPr="00550969">
          <w:rPr>
            <w:rStyle w:val="Hyperlink"/>
            <w:rFonts w:eastAsiaTheme="majorEastAsia"/>
          </w:rPr>
          <w:t>https://doi.org/10.1007/s42452-020-03769-w</w:t>
        </w:r>
      </w:hyperlink>
    </w:p>
    <w:p w14:paraId="03756DC0"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Lawal, A. T. (2017). Polycyclic aromatic hydrocarbons. A review. </w:t>
      </w:r>
      <w:r>
        <w:rPr>
          <w:i/>
          <w:iCs/>
        </w:rPr>
        <w:t>Sustainable Environment</w:t>
      </w:r>
      <w:r>
        <w:t xml:space="preserve">, </w:t>
      </w:r>
      <w:r>
        <w:rPr>
          <w:i/>
          <w:iCs/>
        </w:rPr>
        <w:t>3</w:t>
      </w:r>
      <w:r>
        <w:t xml:space="preserve">(1), 1339841. </w:t>
      </w:r>
      <w:hyperlink r:id="rId34" w:history="1">
        <w:r w:rsidRPr="00550969">
          <w:rPr>
            <w:rStyle w:val="Hyperlink"/>
            <w:rFonts w:eastAsiaTheme="majorEastAsia"/>
          </w:rPr>
          <w:t>https://doi.org/10.1080/23311843.2017.1339841</w:t>
        </w:r>
      </w:hyperlink>
    </w:p>
    <w:p w14:paraId="4B001DD7"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Li, Y., Li, C., Xin, Y., Huang, T., &amp; Liu, J. (2022). Petroleum pollution affects soil chemistry and reshapes the diversity and networks of microbial communities. </w:t>
      </w:r>
      <w:r>
        <w:rPr>
          <w:i/>
          <w:iCs/>
        </w:rPr>
        <w:t>Ecotoxicology and Environmental Safety</w:t>
      </w:r>
      <w:r>
        <w:t xml:space="preserve">, </w:t>
      </w:r>
      <w:r>
        <w:rPr>
          <w:i/>
          <w:iCs/>
        </w:rPr>
        <w:t>246</w:t>
      </w:r>
      <w:r>
        <w:t xml:space="preserve">, 114129. </w:t>
      </w:r>
      <w:hyperlink r:id="rId35" w:history="1">
        <w:r w:rsidRPr="00550969">
          <w:rPr>
            <w:rStyle w:val="Hyperlink"/>
            <w:rFonts w:eastAsiaTheme="majorEastAsia"/>
          </w:rPr>
          <w:t>https://doi.org/10.1016/j.ecoenv.2022.114129</w:t>
        </w:r>
      </w:hyperlink>
    </w:p>
    <w:p w14:paraId="5E8598B2"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Mekonnen, B. A., Aragaw, T. A., &amp; Genet, M. B. (2024). Bioremediation of petroleum hydrocarbon contaminated soil: a review on principles, degradation mechanisms, and advancements. </w:t>
      </w:r>
      <w:r>
        <w:rPr>
          <w:i/>
          <w:iCs/>
        </w:rPr>
        <w:t>Frontiers in Environmental Science</w:t>
      </w:r>
      <w:r>
        <w:t xml:space="preserve">, </w:t>
      </w:r>
      <w:r>
        <w:rPr>
          <w:i/>
          <w:iCs/>
        </w:rPr>
        <w:t>12</w:t>
      </w:r>
      <w:r>
        <w:t xml:space="preserve">. </w:t>
      </w:r>
      <w:hyperlink r:id="rId36" w:history="1">
        <w:r w:rsidRPr="00550969">
          <w:rPr>
            <w:rStyle w:val="Hyperlink"/>
            <w:rFonts w:eastAsiaTheme="majorEastAsia"/>
          </w:rPr>
          <w:t>https://doi.org/10.3389/fenvs.2024.1354422</w:t>
        </w:r>
      </w:hyperlink>
    </w:p>
    <w:p w14:paraId="463FCB77" w14:textId="77777777" w:rsidR="00C51D3C" w:rsidRDefault="00C51D3C" w:rsidP="00C51D3C">
      <w:pPr>
        <w:pStyle w:val="NormalWeb"/>
        <w:spacing w:before="0" w:beforeAutospacing="0" w:after="240" w:afterAutospacing="0"/>
        <w:ind w:left="720" w:hanging="720"/>
        <w:jc w:val="both"/>
        <w:rPr>
          <w:rStyle w:val="url"/>
          <w:rFonts w:eastAsiaTheme="majorEastAsia"/>
        </w:rPr>
      </w:pPr>
      <w:r w:rsidRPr="00E42984">
        <w:rPr>
          <w:highlight w:val="green"/>
        </w:rPr>
        <w:t xml:space="preserve">Nkiru, U. C. (2019). Biodegradation of Crude Oil-Polluted Soil by Bacterial Isolates from Nigeria. </w:t>
      </w:r>
      <w:r w:rsidRPr="00E42984">
        <w:rPr>
          <w:i/>
          <w:iCs/>
          <w:highlight w:val="green"/>
        </w:rPr>
        <w:t>Frontiers in Environmental Microbiology</w:t>
      </w:r>
      <w:r w:rsidRPr="00E42984">
        <w:rPr>
          <w:highlight w:val="green"/>
        </w:rPr>
        <w:t xml:space="preserve">, </w:t>
      </w:r>
      <w:r w:rsidRPr="00E42984">
        <w:rPr>
          <w:i/>
          <w:iCs/>
          <w:highlight w:val="green"/>
        </w:rPr>
        <w:t>5</w:t>
      </w:r>
      <w:r w:rsidRPr="00E42984">
        <w:rPr>
          <w:highlight w:val="green"/>
        </w:rPr>
        <w:t xml:space="preserve">(1), 14. </w:t>
      </w:r>
      <w:hyperlink r:id="rId37" w:history="1">
        <w:r w:rsidRPr="00E42984">
          <w:rPr>
            <w:rStyle w:val="Hyperlink"/>
            <w:rFonts w:eastAsiaTheme="majorEastAsia"/>
            <w:highlight w:val="green"/>
          </w:rPr>
          <w:t>https://doi.org/10.11648/j.fem.20190501.13</w:t>
        </w:r>
      </w:hyperlink>
    </w:p>
    <w:p w14:paraId="186D762A"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Nriagu, J., Udofia, E., Ekong, I., &amp; Ebuk, G. (2016). Health Risks Associated with Oil Pollution in the Niger Delta, Nigeria. </w:t>
      </w:r>
      <w:r>
        <w:rPr>
          <w:i/>
          <w:iCs/>
        </w:rPr>
        <w:t>International Journal of Environmental Research and Public Health</w:t>
      </w:r>
      <w:r>
        <w:t xml:space="preserve">, </w:t>
      </w:r>
      <w:r>
        <w:rPr>
          <w:i/>
          <w:iCs/>
        </w:rPr>
        <w:t>13</w:t>
      </w:r>
      <w:r>
        <w:t xml:space="preserve">(3), 346. </w:t>
      </w:r>
      <w:hyperlink r:id="rId38" w:history="1">
        <w:r w:rsidRPr="00550969">
          <w:rPr>
            <w:rStyle w:val="Hyperlink"/>
            <w:rFonts w:eastAsiaTheme="majorEastAsia"/>
          </w:rPr>
          <w:t>https://doi.org/10.3390/ijerph13030346</w:t>
        </w:r>
      </w:hyperlink>
    </w:p>
    <w:p w14:paraId="3A5AEC3F"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Odali, E. W., Iwegbue, C. M. A., Egobueze, F. E., Nwajei, G. E., &amp; Martincigh, B. S. (2023). Distribution, sources, and risk of polycyclic aromatic hydrocarbons in soils from rural communities around gas flaring points in the Niger Delta of Nigeria. </w:t>
      </w:r>
      <w:r>
        <w:rPr>
          <w:i/>
          <w:iCs/>
        </w:rPr>
        <w:t>Environmental Science Processes &amp; Impacts</w:t>
      </w:r>
      <w:r>
        <w:t xml:space="preserve">, </w:t>
      </w:r>
      <w:r>
        <w:rPr>
          <w:i/>
          <w:iCs/>
        </w:rPr>
        <w:t>26</w:t>
      </w:r>
      <w:r>
        <w:t xml:space="preserve">(4), 721–733. </w:t>
      </w:r>
      <w:hyperlink r:id="rId39" w:history="1">
        <w:r w:rsidRPr="00550969">
          <w:rPr>
            <w:rStyle w:val="Hyperlink"/>
            <w:rFonts w:eastAsiaTheme="majorEastAsia"/>
          </w:rPr>
          <w:t>https://doi.org/10.1039/d3em00067b</w:t>
        </w:r>
      </w:hyperlink>
    </w:p>
    <w:p w14:paraId="4D25EF33"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Ogana, J., Nworji, O. F., Orji, C. E., Ogbodo, U. C., Ngwu, O. R., &amp; Iloanya, E. L. (2025). Determination of Polycyclic Aromatic Hydrocarbons and Total Petroleum Hydrocarbons in Crude Polluted Soil from Esaba, Ughelli South, Delta Nigeria. </w:t>
      </w:r>
      <w:r>
        <w:rPr>
          <w:i/>
          <w:iCs/>
        </w:rPr>
        <w:t>International Journal of Research and Innovation in Applied Science</w:t>
      </w:r>
      <w:r>
        <w:t xml:space="preserve">, </w:t>
      </w:r>
      <w:r>
        <w:rPr>
          <w:i/>
          <w:iCs/>
        </w:rPr>
        <w:t>10</w:t>
      </w:r>
      <w:r>
        <w:t xml:space="preserve">(10), 591–601. </w:t>
      </w:r>
      <w:hyperlink r:id="rId40" w:history="1">
        <w:r w:rsidRPr="00550969">
          <w:rPr>
            <w:rStyle w:val="Hyperlink"/>
            <w:rFonts w:eastAsiaTheme="majorEastAsia"/>
          </w:rPr>
          <w:t>https://doi.org/10.51584/ijrias.2025.1010000046</w:t>
        </w:r>
      </w:hyperlink>
    </w:p>
    <w:p w14:paraId="435647DA"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Okafor, C. P., Udemang, N. L., Chikere, C. B., Akaranta, O., &amp; Ntushelo, K. (2020). Indigenous microbial strains as bioresource for remediation of chronically polluted Niger Delta soils. </w:t>
      </w:r>
      <w:r>
        <w:rPr>
          <w:i/>
          <w:iCs/>
        </w:rPr>
        <w:t>Scientific African</w:t>
      </w:r>
      <w:r>
        <w:t xml:space="preserve">, </w:t>
      </w:r>
      <w:r>
        <w:rPr>
          <w:i/>
          <w:iCs/>
        </w:rPr>
        <w:t>11</w:t>
      </w:r>
      <w:r>
        <w:t xml:space="preserve">, e00682. </w:t>
      </w:r>
      <w:hyperlink r:id="rId41" w:history="1">
        <w:r w:rsidRPr="00550969">
          <w:rPr>
            <w:rStyle w:val="Hyperlink"/>
            <w:rFonts w:eastAsiaTheme="majorEastAsia"/>
          </w:rPr>
          <w:t>https://doi.org/10.1016/j.sciaf.2020.e00682</w:t>
        </w:r>
      </w:hyperlink>
    </w:p>
    <w:p w14:paraId="600F453E" w14:textId="77777777" w:rsidR="00C51D3C" w:rsidRDefault="00C51D3C" w:rsidP="00C51D3C">
      <w:pPr>
        <w:pStyle w:val="NormalWeb"/>
        <w:spacing w:before="0" w:beforeAutospacing="0" w:after="240" w:afterAutospacing="0"/>
        <w:ind w:left="720" w:hanging="720"/>
        <w:jc w:val="both"/>
        <w:rPr>
          <w:rFonts w:eastAsiaTheme="majorEastAsia"/>
        </w:rPr>
      </w:pPr>
      <w:r w:rsidRPr="006C381E">
        <w:rPr>
          <w:rFonts w:eastAsiaTheme="majorEastAsia"/>
        </w:rPr>
        <w:t>OMORUWOU, F., &amp; OBIRE, M. (2024). Quantification of Polycyclic Aromatic Hydrocarbons (PAHs) in Soil Adjacent to the Ogini Flow Station Associated Gas Flare, Delta State, Nigeria. </w:t>
      </w:r>
      <w:r w:rsidRPr="006C381E">
        <w:rPr>
          <w:rFonts w:eastAsiaTheme="majorEastAsia"/>
          <w:i/>
          <w:iCs/>
        </w:rPr>
        <w:t>FUPRE Journal of Scientific &amp; Industrial Research</w:t>
      </w:r>
      <w:r w:rsidRPr="006C381E">
        <w:rPr>
          <w:rFonts w:eastAsiaTheme="majorEastAsia"/>
        </w:rPr>
        <w:t>, </w:t>
      </w:r>
      <w:r w:rsidRPr="006C381E">
        <w:rPr>
          <w:rFonts w:eastAsiaTheme="majorEastAsia"/>
          <w:i/>
          <w:iCs/>
        </w:rPr>
        <w:t>8</w:t>
      </w:r>
      <w:r w:rsidRPr="006C381E">
        <w:rPr>
          <w:rFonts w:eastAsiaTheme="majorEastAsia"/>
        </w:rPr>
        <w:t>(4).</w:t>
      </w:r>
    </w:p>
    <w:p w14:paraId="44E04D90"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Osadebe, A. U., &amp; Nkoro, B. Q. (2024). Bioremediation of Petroleum-Impacted soil using poultry manure. </w:t>
      </w:r>
      <w:r>
        <w:rPr>
          <w:i/>
          <w:iCs/>
        </w:rPr>
        <w:t>Journal of Environmental Microbiology and Toxicology</w:t>
      </w:r>
      <w:r>
        <w:t xml:space="preserve">, </w:t>
      </w:r>
      <w:r>
        <w:rPr>
          <w:i/>
          <w:iCs/>
        </w:rPr>
        <w:t>12</w:t>
      </w:r>
      <w:r>
        <w:t xml:space="preserve">(2), 7–12. </w:t>
      </w:r>
      <w:hyperlink r:id="rId42" w:history="1">
        <w:r w:rsidRPr="00550969">
          <w:rPr>
            <w:rStyle w:val="Hyperlink"/>
            <w:rFonts w:eastAsiaTheme="majorEastAsia"/>
          </w:rPr>
          <w:t>https://doi.org/10.54987/jemat.v12i2.1003</w:t>
        </w:r>
      </w:hyperlink>
    </w:p>
    <w:p w14:paraId="6C0C78AF" w14:textId="77777777" w:rsidR="00C51D3C" w:rsidRDefault="00C51D3C" w:rsidP="00C51D3C">
      <w:pPr>
        <w:pStyle w:val="NormalWeb"/>
        <w:spacing w:before="0" w:beforeAutospacing="0" w:after="240" w:afterAutospacing="0"/>
        <w:ind w:left="720" w:hanging="720"/>
        <w:jc w:val="both"/>
        <w:rPr>
          <w:rStyle w:val="url"/>
          <w:rFonts w:eastAsiaTheme="majorEastAsia"/>
        </w:rPr>
      </w:pPr>
      <w:r>
        <w:lastRenderedPageBreak/>
        <w:t xml:space="preserve">Oyebade, T., &amp; Babatunde, S. (2024, December 31). </w:t>
      </w:r>
      <w:r>
        <w:rPr>
          <w:i/>
          <w:iCs/>
        </w:rPr>
        <w:t>Assessment of Heavy Metal and Hydrocarbon Contamination in Wastewater from Warri Refinery and Petrochemical Company, Delta State, Nigeria, and the Remediation Potential of Kaolinite-Based Nanomaterials</w:t>
      </w:r>
      <w:r>
        <w:t xml:space="preserve">. </w:t>
      </w:r>
      <w:hyperlink r:id="rId43" w:history="1">
        <w:r w:rsidRPr="00550969">
          <w:rPr>
            <w:rStyle w:val="Hyperlink"/>
            <w:rFonts w:eastAsiaTheme="majorEastAsia"/>
          </w:rPr>
          <w:t>https://cemrj.com/index.php/volumes/article/view/66</w:t>
        </w:r>
      </w:hyperlink>
    </w:p>
    <w:p w14:paraId="357EB694"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Oyegun, C. U., Lawal, O., &amp; Ogoro, M. (2023). The Niger Delta region. In </w:t>
      </w:r>
      <w:r>
        <w:rPr>
          <w:i/>
          <w:iCs/>
        </w:rPr>
        <w:t>World geomorphological landscapes</w:t>
      </w:r>
      <w:r>
        <w:t xml:space="preserve"> (pp. 107–121). </w:t>
      </w:r>
      <w:hyperlink r:id="rId44" w:history="1">
        <w:r w:rsidRPr="00550969">
          <w:rPr>
            <w:rStyle w:val="Hyperlink"/>
            <w:rFonts w:eastAsiaTheme="majorEastAsia"/>
          </w:rPr>
          <w:t>https://doi.org/10.1007/978-3-031-17972-3_7</w:t>
        </w:r>
      </w:hyperlink>
    </w:p>
    <w:p w14:paraId="592F1FE9"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Patel, A. B., Shaikh, S., Jain, K. R., Desai, C., &amp; Madamwar, D. (2020). Polycyclic Aromatic hydrocarbons: sources, toxicity, and remediation approaches. </w:t>
      </w:r>
      <w:r>
        <w:rPr>
          <w:i/>
          <w:iCs/>
        </w:rPr>
        <w:t>Frontiers in Microbiology</w:t>
      </w:r>
      <w:r>
        <w:t xml:space="preserve">, </w:t>
      </w:r>
      <w:r>
        <w:rPr>
          <w:i/>
          <w:iCs/>
        </w:rPr>
        <w:t>11</w:t>
      </w:r>
      <w:r>
        <w:t xml:space="preserve">, 562813. </w:t>
      </w:r>
      <w:hyperlink r:id="rId45" w:history="1">
        <w:r w:rsidRPr="00550969">
          <w:rPr>
            <w:rStyle w:val="Hyperlink"/>
            <w:rFonts w:eastAsiaTheme="majorEastAsia"/>
          </w:rPr>
          <w:t>https://doi.org/10.3389/fmicb.2020.562813</w:t>
        </w:r>
      </w:hyperlink>
    </w:p>
    <w:p w14:paraId="7FE806CE"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Patel, A. B., Shaikh, S., Jain, K. R., Desai, C., &amp; Madamwar, D. (2020b). Polycyclic Aromatic hydrocarbons: sources, toxicity, and remediation approaches. </w:t>
      </w:r>
      <w:r>
        <w:rPr>
          <w:i/>
          <w:iCs/>
        </w:rPr>
        <w:t>Frontiers in Microbiology</w:t>
      </w:r>
      <w:r>
        <w:t xml:space="preserve">, </w:t>
      </w:r>
      <w:r>
        <w:rPr>
          <w:i/>
          <w:iCs/>
        </w:rPr>
        <w:t>11</w:t>
      </w:r>
      <w:r>
        <w:t xml:space="preserve">, 562813. </w:t>
      </w:r>
      <w:hyperlink r:id="rId46" w:history="1">
        <w:r w:rsidRPr="00550969">
          <w:rPr>
            <w:rStyle w:val="Hyperlink"/>
            <w:rFonts w:eastAsiaTheme="majorEastAsia"/>
          </w:rPr>
          <w:t>https://doi.org/10.3389/fmicb.2020.562813</w:t>
        </w:r>
      </w:hyperlink>
    </w:p>
    <w:p w14:paraId="035A12E3"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Telesiński, A., &amp; Kiepas-Kokot, A. (2021). Five-Year enhanced natural attenuation of historically Coal-Tar-Contaminated soil: analysis of polycyclic aromatic hydrocarbon and phenol contents. </w:t>
      </w:r>
      <w:r>
        <w:rPr>
          <w:i/>
          <w:iCs/>
        </w:rPr>
        <w:t>International Journal of Environmental Research and Public Health</w:t>
      </w:r>
      <w:r>
        <w:t xml:space="preserve">, </w:t>
      </w:r>
      <w:r>
        <w:rPr>
          <w:i/>
          <w:iCs/>
        </w:rPr>
        <w:t>18</w:t>
      </w:r>
      <w:r>
        <w:t xml:space="preserve">(5), 2265. </w:t>
      </w:r>
      <w:hyperlink r:id="rId47" w:history="1">
        <w:r w:rsidRPr="00550969">
          <w:rPr>
            <w:rStyle w:val="Hyperlink"/>
            <w:rFonts w:eastAsiaTheme="majorEastAsia"/>
          </w:rPr>
          <w:t>https://doi.org/10.3390/ijerph18052265</w:t>
        </w:r>
      </w:hyperlink>
    </w:p>
    <w:p w14:paraId="3193404B"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Ubani, R. A., Chigbu, O. L., &amp; Chukunedum, O. M. (2024). Effects of natural attenuation on the nutrient stability of simulated oil spill contaminated soils. </w:t>
      </w:r>
      <w:r>
        <w:rPr>
          <w:i/>
          <w:iCs/>
        </w:rPr>
        <w:t>Asian Journal of Environment &amp; Ecology</w:t>
      </w:r>
      <w:r>
        <w:t xml:space="preserve">, </w:t>
      </w:r>
      <w:r>
        <w:rPr>
          <w:i/>
          <w:iCs/>
        </w:rPr>
        <w:t>23</w:t>
      </w:r>
      <w:r>
        <w:t xml:space="preserve">(12), 199–210. </w:t>
      </w:r>
      <w:hyperlink r:id="rId48" w:history="1">
        <w:r w:rsidRPr="00550969">
          <w:rPr>
            <w:rStyle w:val="Hyperlink"/>
            <w:rFonts w:eastAsiaTheme="majorEastAsia"/>
          </w:rPr>
          <w:t>https://doi.org/10.9734/ajee/2024/v23i12642</w:t>
        </w:r>
      </w:hyperlink>
    </w:p>
    <w:p w14:paraId="79164F11"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Ugoma, F., Ijah, U., Abioye, O., &amp; Musa, I. (2024). Remediation of crude oil contaminated soil with locally formulated bioremediation agent. </w:t>
      </w:r>
      <w:r>
        <w:rPr>
          <w:i/>
          <w:iCs/>
        </w:rPr>
        <w:t>Science World Journal</w:t>
      </w:r>
      <w:r>
        <w:t xml:space="preserve">, </w:t>
      </w:r>
      <w:r>
        <w:rPr>
          <w:i/>
          <w:iCs/>
        </w:rPr>
        <w:t>18</w:t>
      </w:r>
      <w:r>
        <w:t xml:space="preserve">(4), 575–583. </w:t>
      </w:r>
      <w:hyperlink r:id="rId49" w:history="1">
        <w:r w:rsidRPr="00550969">
          <w:rPr>
            <w:rStyle w:val="Hyperlink"/>
            <w:rFonts w:eastAsiaTheme="majorEastAsia"/>
          </w:rPr>
          <w:t>https://doi.org/10.4314/swj.v18i4.6</w:t>
        </w:r>
      </w:hyperlink>
    </w:p>
    <w:p w14:paraId="67E42680"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Ule, O., Ogbonna, D. N., Okparanma, R. N., &amp; Nrior, R. R. (2021). Myco-enhanced Bioremediation in Open Field Crude Oil Contaminated Soil Using Mucor racemosus and Aspergillus niger. </w:t>
      </w:r>
      <w:r>
        <w:rPr>
          <w:i/>
          <w:iCs/>
        </w:rPr>
        <w:t>Current Journal of Applied Science and Technology</w:t>
      </w:r>
      <w:r>
        <w:t xml:space="preserve">, 119–141. </w:t>
      </w:r>
      <w:hyperlink r:id="rId50" w:history="1">
        <w:r w:rsidRPr="00550969">
          <w:rPr>
            <w:rStyle w:val="Hyperlink"/>
            <w:rFonts w:eastAsiaTheme="majorEastAsia"/>
          </w:rPr>
          <w:t>https://doi.org/10.9734/cjast/2021/v40i131241</w:t>
        </w:r>
      </w:hyperlink>
    </w:p>
    <w:p w14:paraId="36A5E8EC" w14:textId="77777777" w:rsidR="00C51D3C" w:rsidRDefault="00C51D3C" w:rsidP="00C51D3C">
      <w:pPr>
        <w:spacing w:after="240" w:line="240" w:lineRule="auto"/>
        <w:ind w:left="720" w:hanging="720"/>
        <w:jc w:val="both"/>
        <w:rPr>
          <w:rFonts w:ascii="Times New Roman" w:hAnsi="Times New Roman" w:cs="Times New Roman"/>
          <w:sz w:val="24"/>
          <w:szCs w:val="24"/>
        </w:rPr>
      </w:pPr>
      <w:r w:rsidRPr="004A4252">
        <w:rPr>
          <w:rFonts w:ascii="Times New Roman" w:hAnsi="Times New Roman" w:cs="Times New Roman"/>
          <w:sz w:val="24"/>
          <w:szCs w:val="24"/>
        </w:rPr>
        <w:t>USEPA (2015) U.S. Environmental Protection Agency (EPA) International Decontamination Research and Development Conference. EPA/600/R-15/283. U.S. Environmental Protection Agency, Washington DC.</w:t>
      </w:r>
    </w:p>
    <w:p w14:paraId="15E57935"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Veignie, E., &amp; Rafin, C. (2022). Efficiency of Penicillium canescens in Dissipating PAH in Industrial Aged Contaminated Soil Microcosms and Its Impact on Soil Organic Matter and Ecotoxicity. </w:t>
      </w:r>
      <w:r>
        <w:rPr>
          <w:i/>
          <w:iCs/>
        </w:rPr>
        <w:t>Processes</w:t>
      </w:r>
      <w:r>
        <w:t xml:space="preserve">, </w:t>
      </w:r>
      <w:r>
        <w:rPr>
          <w:i/>
          <w:iCs/>
        </w:rPr>
        <w:t>10</w:t>
      </w:r>
      <w:r>
        <w:t xml:space="preserve">(3), 532. </w:t>
      </w:r>
      <w:hyperlink r:id="rId51" w:history="1">
        <w:r w:rsidRPr="00550969">
          <w:rPr>
            <w:rStyle w:val="Hyperlink"/>
            <w:rFonts w:eastAsiaTheme="majorEastAsia"/>
          </w:rPr>
          <w:t>https://doi.org/10.3390/pr10030532</w:t>
        </w:r>
      </w:hyperlink>
    </w:p>
    <w:p w14:paraId="1F67A712"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Verardo, E., Atteia, O., Rouvreau, L., Siade, A., &amp; Prommer, H. (2020). Identifying remedial solutions through optimal bioremediation design under real-world field conditions. </w:t>
      </w:r>
      <w:r>
        <w:rPr>
          <w:i/>
          <w:iCs/>
        </w:rPr>
        <w:t>Journal of Contaminant Hydrology</w:t>
      </w:r>
      <w:r>
        <w:t xml:space="preserve">, </w:t>
      </w:r>
      <w:r>
        <w:rPr>
          <w:i/>
          <w:iCs/>
        </w:rPr>
        <w:t>237</w:t>
      </w:r>
      <w:r>
        <w:t xml:space="preserve">, 103751. </w:t>
      </w:r>
      <w:hyperlink r:id="rId52" w:history="1">
        <w:r w:rsidRPr="00550969">
          <w:rPr>
            <w:rStyle w:val="Hyperlink"/>
            <w:rFonts w:eastAsiaTheme="majorEastAsia"/>
          </w:rPr>
          <w:t>https://doi.org/10.1016/j.jconhyd.2020.103751</w:t>
        </w:r>
      </w:hyperlink>
    </w:p>
    <w:p w14:paraId="66811595"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Wang, C., Wu, H., Zhao, W., Zhu, B., &amp; Yang, J. (2024). Effects of polycyclic aromatic hydrocarbons on soil bacterial and fungal communities in soils. </w:t>
      </w:r>
      <w:r>
        <w:rPr>
          <w:i/>
          <w:iCs/>
        </w:rPr>
        <w:t>Diversity</w:t>
      </w:r>
      <w:r>
        <w:t xml:space="preserve">, </w:t>
      </w:r>
      <w:r>
        <w:rPr>
          <w:i/>
          <w:iCs/>
        </w:rPr>
        <w:t>16</w:t>
      </w:r>
      <w:r>
        <w:t xml:space="preserve">(11), 675. </w:t>
      </w:r>
      <w:hyperlink r:id="rId53" w:history="1">
        <w:r w:rsidRPr="00550969">
          <w:rPr>
            <w:rStyle w:val="Hyperlink"/>
            <w:rFonts w:eastAsiaTheme="majorEastAsia"/>
          </w:rPr>
          <w:t>https://doi.org/10.3390/d16110675</w:t>
        </w:r>
      </w:hyperlink>
    </w:p>
    <w:sectPr w:rsidR="00C51D3C">
      <w:headerReference w:type="even" r:id="rId54"/>
      <w:headerReference w:type="default" r:id="rId55"/>
      <w:footerReference w:type="even" r:id="rId56"/>
      <w:footerReference w:type="default" r:id="rId57"/>
      <w:headerReference w:type="first" r:id="rId58"/>
      <w:footerReference w:type="firs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97964" w14:textId="77777777" w:rsidR="000A55CF" w:rsidRDefault="000A55CF" w:rsidP="004D13F4">
      <w:pPr>
        <w:spacing w:after="0" w:line="240" w:lineRule="auto"/>
      </w:pPr>
      <w:r>
        <w:separator/>
      </w:r>
    </w:p>
  </w:endnote>
  <w:endnote w:type="continuationSeparator" w:id="0">
    <w:p w14:paraId="00FF5F86" w14:textId="77777777" w:rsidR="000A55CF" w:rsidRDefault="000A55CF" w:rsidP="004D1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8538B" w14:textId="77777777" w:rsidR="004D13F4" w:rsidRDefault="004D13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B850C" w14:textId="77777777" w:rsidR="004D13F4" w:rsidRDefault="004D13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92DAF" w14:textId="77777777" w:rsidR="004D13F4" w:rsidRDefault="004D1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7C43F" w14:textId="77777777" w:rsidR="000A55CF" w:rsidRDefault="000A55CF" w:rsidP="004D13F4">
      <w:pPr>
        <w:spacing w:after="0" w:line="240" w:lineRule="auto"/>
      </w:pPr>
      <w:r>
        <w:separator/>
      </w:r>
    </w:p>
  </w:footnote>
  <w:footnote w:type="continuationSeparator" w:id="0">
    <w:p w14:paraId="1A45B123" w14:textId="77777777" w:rsidR="000A55CF" w:rsidRDefault="000A55CF" w:rsidP="004D13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2ECC8" w14:textId="0BF876BE" w:rsidR="004D13F4" w:rsidRDefault="000A55CF">
    <w:pPr>
      <w:pStyle w:val="Header"/>
    </w:pPr>
    <w:r>
      <w:rPr>
        <w:noProof/>
      </w:rPr>
      <w:pict w14:anchorId="53F8D4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162438" o:spid="_x0000_s1027" type="#_x0000_t136" alt="" style="position:absolute;margin-left:0;margin-top:0;width:535.3pt;height:100.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59F75" w14:textId="38A8EB1E" w:rsidR="004D13F4" w:rsidRDefault="000A55CF">
    <w:pPr>
      <w:pStyle w:val="Header"/>
    </w:pPr>
    <w:r>
      <w:rPr>
        <w:noProof/>
      </w:rPr>
      <w:pict w14:anchorId="06384B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162439" o:spid="_x0000_s1026" type="#_x0000_t136" alt="" style="position:absolute;margin-left:0;margin-top:0;width:535.3pt;height:10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32710" w14:textId="008AE7B9" w:rsidR="004D13F4" w:rsidRDefault="000A55CF">
    <w:pPr>
      <w:pStyle w:val="Header"/>
    </w:pPr>
    <w:r>
      <w:rPr>
        <w:noProof/>
      </w:rPr>
      <w:pict w14:anchorId="761E39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162437" o:spid="_x0000_s1025" type="#_x0000_t136" alt="" style="position:absolute;margin-left:0;margin-top:0;width:535.3pt;height:100.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4E00FB"/>
    <w:multiLevelType w:val="hybridMultilevel"/>
    <w:tmpl w:val="904A02F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4"/>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770"/>
    <w:rsid w:val="00096BDD"/>
    <w:rsid w:val="000A206E"/>
    <w:rsid w:val="000A55CF"/>
    <w:rsid w:val="00147A22"/>
    <w:rsid w:val="00224041"/>
    <w:rsid w:val="00281E10"/>
    <w:rsid w:val="002B08FF"/>
    <w:rsid w:val="002F2E63"/>
    <w:rsid w:val="003039E2"/>
    <w:rsid w:val="004C239F"/>
    <w:rsid w:val="004D13F4"/>
    <w:rsid w:val="005210CE"/>
    <w:rsid w:val="006441AE"/>
    <w:rsid w:val="006D0641"/>
    <w:rsid w:val="006D4DC6"/>
    <w:rsid w:val="006F1CA3"/>
    <w:rsid w:val="00800CD7"/>
    <w:rsid w:val="00921CF5"/>
    <w:rsid w:val="009252A6"/>
    <w:rsid w:val="009628F6"/>
    <w:rsid w:val="00A21409"/>
    <w:rsid w:val="00A6063A"/>
    <w:rsid w:val="00BD643A"/>
    <w:rsid w:val="00C51748"/>
    <w:rsid w:val="00C51D3C"/>
    <w:rsid w:val="00CA7974"/>
    <w:rsid w:val="00E27570"/>
    <w:rsid w:val="00E41770"/>
    <w:rsid w:val="00E42984"/>
    <w:rsid w:val="00EA23B1"/>
    <w:rsid w:val="00EF72F5"/>
    <w:rsid w:val="00F45E9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02466F"/>
  <w15:chartTrackingRefBased/>
  <w15:docId w15:val="{1EDFEAAA-2E7E-4704-9846-8257D9E6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770"/>
    <w:rPr>
      <w:lang w:val="en-GB"/>
    </w:rPr>
  </w:style>
  <w:style w:type="paragraph" w:styleId="Heading1">
    <w:name w:val="heading 1"/>
    <w:basedOn w:val="Normal"/>
    <w:next w:val="Normal"/>
    <w:link w:val="Heading1Char"/>
    <w:uiPriority w:val="9"/>
    <w:qFormat/>
    <w:rsid w:val="00E417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417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4177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4177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4177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417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17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17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17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1770"/>
    <w:rPr>
      <w:rFonts w:asciiTheme="majorHAnsi" w:eastAsiaTheme="majorEastAsia" w:hAnsiTheme="majorHAnsi" w:cstheme="majorBidi"/>
      <w:color w:val="2F5496" w:themeColor="accent1" w:themeShade="BF"/>
      <w:sz w:val="40"/>
      <w:szCs w:val="40"/>
      <w:lang w:val="en-GB"/>
    </w:rPr>
  </w:style>
  <w:style w:type="character" w:customStyle="1" w:styleId="Heading2Char">
    <w:name w:val="Heading 2 Char"/>
    <w:basedOn w:val="DefaultParagraphFont"/>
    <w:link w:val="Heading2"/>
    <w:uiPriority w:val="9"/>
    <w:semiHidden/>
    <w:rsid w:val="00E41770"/>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semiHidden/>
    <w:rsid w:val="00E41770"/>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E41770"/>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E41770"/>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E41770"/>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E41770"/>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E41770"/>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E41770"/>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E417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1770"/>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E417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1770"/>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E41770"/>
    <w:pPr>
      <w:spacing w:before="160"/>
      <w:jc w:val="center"/>
    </w:pPr>
    <w:rPr>
      <w:i/>
      <w:iCs/>
      <w:color w:val="404040" w:themeColor="text1" w:themeTint="BF"/>
    </w:rPr>
  </w:style>
  <w:style w:type="character" w:customStyle="1" w:styleId="QuoteChar">
    <w:name w:val="Quote Char"/>
    <w:basedOn w:val="DefaultParagraphFont"/>
    <w:link w:val="Quote"/>
    <w:uiPriority w:val="29"/>
    <w:rsid w:val="00E41770"/>
    <w:rPr>
      <w:i/>
      <w:iCs/>
      <w:color w:val="404040" w:themeColor="text1" w:themeTint="BF"/>
      <w:lang w:val="en-GB"/>
    </w:rPr>
  </w:style>
  <w:style w:type="paragraph" w:styleId="ListParagraph">
    <w:name w:val="List Paragraph"/>
    <w:basedOn w:val="Normal"/>
    <w:uiPriority w:val="34"/>
    <w:qFormat/>
    <w:rsid w:val="00E41770"/>
    <w:pPr>
      <w:ind w:left="720"/>
      <w:contextualSpacing/>
    </w:pPr>
  </w:style>
  <w:style w:type="character" w:styleId="IntenseEmphasis">
    <w:name w:val="Intense Emphasis"/>
    <w:basedOn w:val="DefaultParagraphFont"/>
    <w:uiPriority w:val="21"/>
    <w:qFormat/>
    <w:rsid w:val="00E41770"/>
    <w:rPr>
      <w:i/>
      <w:iCs/>
      <w:color w:val="2F5496" w:themeColor="accent1" w:themeShade="BF"/>
    </w:rPr>
  </w:style>
  <w:style w:type="paragraph" w:styleId="IntenseQuote">
    <w:name w:val="Intense Quote"/>
    <w:basedOn w:val="Normal"/>
    <w:next w:val="Normal"/>
    <w:link w:val="IntenseQuoteChar"/>
    <w:uiPriority w:val="30"/>
    <w:qFormat/>
    <w:rsid w:val="00E417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41770"/>
    <w:rPr>
      <w:i/>
      <w:iCs/>
      <w:color w:val="2F5496" w:themeColor="accent1" w:themeShade="BF"/>
      <w:lang w:val="en-GB"/>
    </w:rPr>
  </w:style>
  <w:style w:type="character" w:styleId="IntenseReference">
    <w:name w:val="Intense Reference"/>
    <w:basedOn w:val="DefaultParagraphFont"/>
    <w:uiPriority w:val="32"/>
    <w:qFormat/>
    <w:rsid w:val="00E41770"/>
    <w:rPr>
      <w:b/>
      <w:bCs/>
      <w:smallCaps/>
      <w:color w:val="2F5496" w:themeColor="accent1" w:themeShade="BF"/>
      <w:spacing w:val="5"/>
    </w:rPr>
  </w:style>
  <w:style w:type="paragraph" w:styleId="NormalWeb">
    <w:name w:val="Normal (Web)"/>
    <w:basedOn w:val="Normal"/>
    <w:uiPriority w:val="99"/>
    <w:unhideWhenUsed/>
    <w:rsid w:val="00E4177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41770"/>
    <w:rPr>
      <w:b/>
      <w:bCs/>
    </w:rPr>
  </w:style>
  <w:style w:type="character" w:styleId="Emphasis">
    <w:name w:val="Emphasis"/>
    <w:basedOn w:val="DefaultParagraphFont"/>
    <w:uiPriority w:val="20"/>
    <w:qFormat/>
    <w:rsid w:val="00E41770"/>
    <w:rPr>
      <w:i/>
      <w:iCs/>
    </w:rPr>
  </w:style>
  <w:style w:type="character" w:styleId="Hyperlink">
    <w:name w:val="Hyperlink"/>
    <w:basedOn w:val="DefaultParagraphFont"/>
    <w:uiPriority w:val="99"/>
    <w:unhideWhenUsed/>
    <w:rsid w:val="00E41770"/>
    <w:rPr>
      <w:color w:val="0000FF"/>
      <w:u w:val="single"/>
    </w:rPr>
  </w:style>
  <w:style w:type="character" w:customStyle="1" w:styleId="url">
    <w:name w:val="url"/>
    <w:basedOn w:val="DefaultParagraphFont"/>
    <w:rsid w:val="00C51D3C"/>
  </w:style>
  <w:style w:type="table" w:styleId="TableGrid">
    <w:name w:val="Table Grid"/>
    <w:basedOn w:val="TableNormal"/>
    <w:uiPriority w:val="39"/>
    <w:rsid w:val="002B08FF"/>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B08FF"/>
    <w:rPr>
      <w:color w:val="605E5C"/>
      <w:shd w:val="clear" w:color="auto" w:fill="E1DFDD"/>
    </w:rPr>
  </w:style>
  <w:style w:type="paragraph" w:styleId="Header">
    <w:name w:val="header"/>
    <w:basedOn w:val="Normal"/>
    <w:link w:val="HeaderChar"/>
    <w:uiPriority w:val="99"/>
    <w:unhideWhenUsed/>
    <w:rsid w:val="004D13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3F4"/>
    <w:rPr>
      <w:lang w:val="en-GB"/>
    </w:rPr>
  </w:style>
  <w:style w:type="paragraph" w:styleId="Footer">
    <w:name w:val="footer"/>
    <w:basedOn w:val="Normal"/>
    <w:link w:val="FooterChar"/>
    <w:uiPriority w:val="99"/>
    <w:unhideWhenUsed/>
    <w:rsid w:val="004D13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3F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s://doi.org/10.1080/15320383.2022.2079609" TargetMode="External"/><Relationship Id="rId26" Type="http://schemas.openxmlformats.org/officeDocument/2006/relationships/hyperlink" Target="https://doi.org/10.3390/app13126922" TargetMode="External"/><Relationship Id="rId39" Type="http://schemas.openxmlformats.org/officeDocument/2006/relationships/hyperlink" Target="https://doi.org/10.1039/d3em00067b" TargetMode="External"/><Relationship Id="rId21" Type="http://schemas.openxmlformats.org/officeDocument/2006/relationships/hyperlink" Target="https://doi.org/10.1007/s13213-019-1438-3" TargetMode="External"/><Relationship Id="rId34" Type="http://schemas.openxmlformats.org/officeDocument/2006/relationships/hyperlink" Target="https://doi.org/10.1080/23311843.2017.1339841" TargetMode="External"/><Relationship Id="rId42" Type="http://schemas.openxmlformats.org/officeDocument/2006/relationships/hyperlink" Target="https://doi.org/10.54987/jemat.v12i2.1003" TargetMode="External"/><Relationship Id="rId47" Type="http://schemas.openxmlformats.org/officeDocument/2006/relationships/hyperlink" Target="https://doi.org/10.3390/ijerph18052265" TargetMode="External"/><Relationship Id="rId50" Type="http://schemas.openxmlformats.org/officeDocument/2006/relationships/hyperlink" Target="https://doi.org/10.9734/cjast/2021/v40i131241" TargetMode="External"/><Relationship Id="rId55"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3389/fenvs.2023.1137496" TargetMode="External"/><Relationship Id="rId29" Type="http://schemas.openxmlformats.org/officeDocument/2006/relationships/hyperlink" Target="https://doi.org/10.4236/nr.2014.52006" TargetMode="External"/><Relationship Id="rId11" Type="http://schemas.openxmlformats.org/officeDocument/2006/relationships/image" Target="media/image4.emf"/><Relationship Id="rId24" Type="http://schemas.openxmlformats.org/officeDocument/2006/relationships/hyperlink" Target="https://doi.org/10.4314/jasem.v9i1.17265" TargetMode="External"/><Relationship Id="rId32" Type="http://schemas.openxmlformats.org/officeDocument/2006/relationships/hyperlink" Target="https://doi.org/10.3934/microbiol.2017.1.25" TargetMode="External"/><Relationship Id="rId37" Type="http://schemas.openxmlformats.org/officeDocument/2006/relationships/hyperlink" Target="https://doi.org/10.11648/j.fem.20190501.13" TargetMode="External"/><Relationship Id="rId40" Type="http://schemas.openxmlformats.org/officeDocument/2006/relationships/hyperlink" Target="https://doi.org/10.51584/ijrias.2025.1010000046" TargetMode="External"/><Relationship Id="rId45" Type="http://schemas.openxmlformats.org/officeDocument/2006/relationships/hyperlink" Target="https://doi.org/10.3389/fmicb.2020.562813" TargetMode="External"/><Relationship Id="rId53" Type="http://schemas.openxmlformats.org/officeDocument/2006/relationships/hyperlink" Target="https://doi.org/10.3390/d16110675" TargetMode="External"/><Relationship Id="rId58"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doi.org/10.1186/s13213-020-01580-x" TargetMode="External"/><Relationship Id="rId14" Type="http://schemas.openxmlformats.org/officeDocument/2006/relationships/oleObject" Target="embeddings/oleObject3.bin"/><Relationship Id="rId22" Type="http://schemas.openxmlformats.org/officeDocument/2006/relationships/hyperlink" Target="https://doi.org/10.1097/jom.0000000000000217" TargetMode="External"/><Relationship Id="rId27" Type="http://schemas.openxmlformats.org/officeDocument/2006/relationships/hyperlink" Target="https://doi.org/10.1016/j.ecoenv.2017.08.012" TargetMode="External"/><Relationship Id="rId30" Type="http://schemas.openxmlformats.org/officeDocument/2006/relationships/hyperlink" Target="https://doi.org/10.55639/njpbr.1111.4444.0.1" TargetMode="External"/><Relationship Id="rId35" Type="http://schemas.openxmlformats.org/officeDocument/2006/relationships/hyperlink" Target="https://doi.org/10.1016/j.ecoenv.2022.114129" TargetMode="External"/><Relationship Id="rId43" Type="http://schemas.openxmlformats.org/officeDocument/2006/relationships/hyperlink" Target="https://cemrj.com/index.php/volumes/article/view/66" TargetMode="External"/><Relationship Id="rId48" Type="http://schemas.openxmlformats.org/officeDocument/2006/relationships/hyperlink" Target="https://doi.org/10.9734/ajee/2024/v23i12642" TargetMode="External"/><Relationship Id="rId56" Type="http://schemas.openxmlformats.org/officeDocument/2006/relationships/footer" Target="footer1.xml"/><Relationship Id="rId8" Type="http://schemas.openxmlformats.org/officeDocument/2006/relationships/image" Target="media/image2.emf"/><Relationship Id="rId51" Type="http://schemas.openxmlformats.org/officeDocument/2006/relationships/hyperlink" Target="https://doi.org/10.3390/pr10030532" TargetMode="Externa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hyperlink" Target="https://doi.org/10.1186/s12302-025-01266-8" TargetMode="External"/><Relationship Id="rId25" Type="http://schemas.openxmlformats.org/officeDocument/2006/relationships/hyperlink" Target="https://doi.org/10.1016/j.heliyon.2023.e15508" TargetMode="External"/><Relationship Id="rId33" Type="http://schemas.openxmlformats.org/officeDocument/2006/relationships/hyperlink" Target="https://doi.org/10.1007/s42452-020-03769-w" TargetMode="External"/><Relationship Id="rId38" Type="http://schemas.openxmlformats.org/officeDocument/2006/relationships/hyperlink" Target="https://doi.org/10.3390/ijerph13030346" TargetMode="External"/><Relationship Id="rId46" Type="http://schemas.openxmlformats.org/officeDocument/2006/relationships/hyperlink" Target="https://doi.org/10.3389/fmicb.2020.562813" TargetMode="External"/><Relationship Id="rId59" Type="http://schemas.openxmlformats.org/officeDocument/2006/relationships/footer" Target="footer3.xml"/><Relationship Id="rId20" Type="http://schemas.openxmlformats.org/officeDocument/2006/relationships/hyperlink" Target="https://ccme.ca/en/res/polycyclic-aromatic-hydrocarbons-2010-canadian-soil-quality-guidelines-for-the-protection-of-environmental-and-human-health-en.pdf?utm_source=chatgpt.com" TargetMode="External"/><Relationship Id="rId41" Type="http://schemas.openxmlformats.org/officeDocument/2006/relationships/hyperlink" Target="https://doi.org/10.1016/j.sciaf.2020.e00682"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pi.semanticscholar.org/CorpusID:59137678" TargetMode="External"/><Relationship Id="rId23" Type="http://schemas.openxmlformats.org/officeDocument/2006/relationships/hyperlink" Target="https://scribd.com/document/533874232/DPR-EGASPIN-2018" TargetMode="External"/><Relationship Id="rId28" Type="http://schemas.openxmlformats.org/officeDocument/2006/relationships/hyperlink" Target="https://doi.org/10.1038/s41598-025-05035-8" TargetMode="External"/><Relationship Id="rId36" Type="http://schemas.openxmlformats.org/officeDocument/2006/relationships/hyperlink" Target="https://doi.org/10.3389/fenvs.2024.1354422" TargetMode="External"/><Relationship Id="rId49" Type="http://schemas.openxmlformats.org/officeDocument/2006/relationships/hyperlink" Target="https://doi.org/10.4314/swj.v18i4.6" TargetMode="External"/><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hyperlink" Target="https://doi.org/10.1016/j.chemosphere.2021.132981" TargetMode="External"/><Relationship Id="rId44" Type="http://schemas.openxmlformats.org/officeDocument/2006/relationships/hyperlink" Target="https://doi.org/10.1007/978-3-031-17972-3_7" TargetMode="External"/><Relationship Id="rId52" Type="http://schemas.openxmlformats.org/officeDocument/2006/relationships/hyperlink" Target="https://doi.org/10.1016/j.jconhyd.2020.103751"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14</Pages>
  <Words>5943</Words>
  <Characters>33878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Mr.Jakkapan Potipat</cp:lastModifiedBy>
  <cp:revision>9</cp:revision>
  <dcterms:created xsi:type="dcterms:W3CDTF">2026-03-04T03:14:00Z</dcterms:created>
  <dcterms:modified xsi:type="dcterms:W3CDTF">2026-03-28T05:08:00Z</dcterms:modified>
</cp:coreProperties>
</file>