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DDCF3" w14:textId="77777777" w:rsidR="00016B48" w:rsidRPr="00016B48" w:rsidRDefault="00016B48" w:rsidP="00016B48">
      <w:pPr>
        <w:spacing w:after="200"/>
        <w:jc w:val="center"/>
        <w:rPr>
          <w:b/>
          <w:bCs/>
          <w:i/>
          <w:iCs/>
          <w:sz w:val="32"/>
          <w:szCs w:val="32"/>
          <w:u w:val="single"/>
        </w:rPr>
      </w:pPr>
      <w:r w:rsidRPr="00016B48">
        <w:rPr>
          <w:b/>
          <w:bCs/>
          <w:i/>
          <w:iCs/>
          <w:sz w:val="32"/>
          <w:szCs w:val="32"/>
          <w:u w:val="single"/>
        </w:rPr>
        <w:t>Review Article</w:t>
      </w:r>
    </w:p>
    <w:p w14:paraId="02FE6A04" w14:textId="6DB6251C" w:rsidR="00CE6649" w:rsidRDefault="00CE6649">
      <w:pPr>
        <w:spacing w:after="200"/>
        <w:jc w:val="center"/>
        <w:rPr>
          <w:b/>
          <w:bCs/>
          <w:sz w:val="32"/>
          <w:szCs w:val="32"/>
        </w:rPr>
      </w:pPr>
      <w:r w:rsidRPr="00CE6649">
        <w:rPr>
          <w:b/>
          <w:bCs/>
          <w:sz w:val="32"/>
          <w:szCs w:val="32"/>
        </w:rPr>
        <w:t xml:space="preserve">Biological Control and Host Plant Resistance as Pillars of Integrated Pest Management in </w:t>
      </w:r>
      <w:commentRangeStart w:id="0"/>
      <w:proofErr w:type="gramStart"/>
      <w:r w:rsidRPr="00CE6649">
        <w:rPr>
          <w:b/>
          <w:bCs/>
          <w:sz w:val="32"/>
          <w:szCs w:val="32"/>
        </w:rPr>
        <w:t>Cabbage</w:t>
      </w:r>
      <w:commentRangeEnd w:id="0"/>
      <w:proofErr w:type="gramEnd"/>
      <w:r w:rsidR="003206F7">
        <w:rPr>
          <w:rStyle w:val="CommentReference"/>
        </w:rPr>
        <w:commentReference w:id="0"/>
      </w:r>
      <w:r w:rsidR="003206F7" w:rsidRPr="003206F7">
        <w:rPr>
          <w:b/>
          <w:bCs/>
          <w:color w:val="FF0000"/>
          <w:sz w:val="32"/>
          <w:szCs w:val="32"/>
        </w:rPr>
        <w:t>(</w:t>
      </w:r>
      <w:r w:rsidR="003206F7">
        <w:rPr>
          <w:b/>
          <w:bCs/>
          <w:color w:val="FF0000"/>
          <w:sz w:val="32"/>
          <w:szCs w:val="32"/>
        </w:rPr>
        <w:t>……………………….</w:t>
      </w:r>
      <w:r w:rsidR="003206F7" w:rsidRPr="003206F7">
        <w:rPr>
          <w:b/>
          <w:bCs/>
          <w:color w:val="FF0000"/>
          <w:sz w:val="32"/>
          <w:szCs w:val="32"/>
        </w:rPr>
        <w:t>)</w:t>
      </w:r>
      <w:r w:rsidRPr="00CE6649">
        <w:rPr>
          <w:b/>
          <w:bCs/>
          <w:sz w:val="32"/>
          <w:szCs w:val="32"/>
        </w:rPr>
        <w:t xml:space="preserve"> — A Global Review</w:t>
      </w:r>
    </w:p>
    <w:p w14:paraId="7535CC4E" w14:textId="77777777" w:rsidR="00BB3F4E" w:rsidRDefault="00BB3F4E"/>
    <w:p w14:paraId="2BEBB6AA" w14:textId="77777777" w:rsidR="00CE6649" w:rsidRDefault="00CE6649"/>
    <w:p w14:paraId="0CCB5893" w14:textId="77777777" w:rsidR="00BB3F4E" w:rsidRDefault="007B5E95">
      <w:pPr>
        <w:spacing w:before="80" w:after="80"/>
        <w:jc w:val="center"/>
      </w:pPr>
      <w:r>
        <w:rPr>
          <w:b/>
          <w:bCs/>
          <w:sz w:val="26"/>
          <w:szCs w:val="26"/>
        </w:rPr>
        <w:t>Abstract</w:t>
      </w:r>
    </w:p>
    <w:p w14:paraId="7011B772" w14:textId="77777777" w:rsidR="00BB3F4E" w:rsidRDefault="007B5E95">
      <w:pPr>
        <w:spacing w:after="160" w:line="480" w:lineRule="auto"/>
        <w:jc w:val="both"/>
      </w:pPr>
      <w:r>
        <w:t xml:space="preserve">Cabbage </w:t>
      </w:r>
      <w:r w:rsidRPr="003206F7">
        <w:rPr>
          <w:strike/>
          <w:color w:val="FF0000"/>
        </w:rPr>
        <w:t>(</w:t>
      </w:r>
      <w:r w:rsidRPr="003206F7">
        <w:rPr>
          <w:i/>
          <w:iCs/>
          <w:strike/>
          <w:color w:val="FF0000"/>
        </w:rPr>
        <w:t>Brassica oleracea</w:t>
      </w:r>
      <w:r w:rsidRPr="003206F7">
        <w:rPr>
          <w:strike/>
          <w:color w:val="FF0000"/>
        </w:rPr>
        <w:t xml:space="preserve"> var. </w:t>
      </w:r>
      <w:r w:rsidRPr="003206F7">
        <w:rPr>
          <w:i/>
          <w:iCs/>
          <w:strike/>
          <w:color w:val="FF0000"/>
        </w:rPr>
        <w:t>capitata</w:t>
      </w:r>
      <w:r w:rsidRPr="003206F7">
        <w:rPr>
          <w:strike/>
          <w:color w:val="FF0000"/>
        </w:rPr>
        <w:t>)</w:t>
      </w:r>
      <w:r>
        <w:t xml:space="preserve"> and allied brassicaceous crops are among the most economically important vegetables cultivated globally, yet they are subjected to severe yield losses caused by a diverse assemblage of insect pests. Conventional chemical control, whilst effective in the short term, has engendered widespread insecticide resistance, environmental degradation, and negative consequences for non-target organisms and human health. Against this backdrop, biological control strategies and the deployment of resistant plant varieties have emerged as pivotal components of sustainable pest management. This review </w:t>
      </w:r>
      <w:proofErr w:type="spellStart"/>
      <w:r>
        <w:t>synthesises</w:t>
      </w:r>
      <w:proofErr w:type="spellEnd"/>
      <w:r>
        <w:t xml:space="preserve"> evidence from peer-reviewed literature on (i) the major insect pest species threatening cabbage production worldwide, (ii) the efficacy and limitations of biological control agents including parasitoids, predators, entomopathogenic microorganisms, and botanical biopesticides, and (iii) the mechanisms and applications of host plant resistance in </w:t>
      </w:r>
      <w:r>
        <w:rPr>
          <w:i/>
          <w:iCs/>
        </w:rPr>
        <w:t>Brassica</w:t>
      </w:r>
      <w:r>
        <w:t xml:space="preserve"> species. Special attention is given to the </w:t>
      </w:r>
      <w:proofErr w:type="spellStart"/>
      <w:r>
        <w:t>glucosinolate</w:t>
      </w:r>
      <w:proofErr w:type="spellEnd"/>
      <w:r>
        <w:t>–</w:t>
      </w:r>
      <w:proofErr w:type="spellStart"/>
      <w:r>
        <w:t>myrosinase</w:t>
      </w:r>
      <w:proofErr w:type="spellEnd"/>
      <w:r>
        <w:t xml:space="preserve"> </w:t>
      </w:r>
      <w:proofErr w:type="spellStart"/>
      <w:r>
        <w:t>defence</w:t>
      </w:r>
      <w:proofErr w:type="spellEnd"/>
      <w:r>
        <w:t xml:space="preserve"> system, the role of physical plant traits, and advances in molecular and biotechnological breeding. The review further discusses the integration of biological control and resistant varieties within comprehensive integrated pest management (IPM) frameworks, including trap cropping, habitat manipulation, and pheromone-based monitoring. Key findings indicate that whilst substantial progress has been made in individual biological control tactics, the greatest sustainable gains are achieved through multi-component </w:t>
      </w:r>
      <w:proofErr w:type="spellStart"/>
      <w:r>
        <w:t>IPM</w:t>
      </w:r>
      <w:proofErr w:type="spellEnd"/>
      <w:r>
        <w:t xml:space="preserve"> </w:t>
      </w:r>
      <w:proofErr w:type="spellStart"/>
      <w:r>
        <w:t>programmes</w:t>
      </w:r>
      <w:proofErr w:type="spellEnd"/>
      <w:r>
        <w:t xml:space="preserve"> that harness the complementarity of diverse pest management </w:t>
      </w:r>
      <w:r>
        <w:lastRenderedPageBreak/>
        <w:t xml:space="preserve">tools. Critical challenges persist regarding the inconsistent field performance of biopesticides under varying environmental conditions, the potential for resistance evolution to plant-derived </w:t>
      </w:r>
      <w:proofErr w:type="spellStart"/>
      <w:r>
        <w:t>defences</w:t>
      </w:r>
      <w:proofErr w:type="spellEnd"/>
      <w:r>
        <w:t xml:space="preserve">, and the limited adoption of IPM in smallholder farming systems. </w:t>
      </w:r>
      <w:r w:rsidRPr="003206F7">
        <w:rPr>
          <w:strike/>
          <w:color w:val="FF0000"/>
        </w:rPr>
        <w:t>The review concludes with a discussion of future research priorities including RNA interference (RNAi)-mediated resistance, CRISPR-based crop improvement, and the need for socio-economic assessments of novel pest management technologies.</w:t>
      </w:r>
    </w:p>
    <w:p w14:paraId="72B78B85" w14:textId="77777777" w:rsidR="00BB3F4E" w:rsidRDefault="00BB3F4E"/>
    <w:p w14:paraId="067057F1" w14:textId="77777777" w:rsidR="00BB3F4E" w:rsidRPr="001E487A" w:rsidRDefault="007B5E95">
      <w:pPr>
        <w:spacing w:after="160" w:line="480" w:lineRule="auto"/>
        <w:jc w:val="both"/>
        <w:rPr>
          <w:color w:val="FF0000"/>
        </w:rPr>
      </w:pPr>
      <w:r w:rsidRPr="001E487A">
        <w:rPr>
          <w:b/>
          <w:bCs/>
          <w:color w:val="FF0000"/>
        </w:rPr>
        <w:t xml:space="preserve">Keywords: </w:t>
      </w:r>
      <w:commentRangeStart w:id="1"/>
      <w:proofErr w:type="spellStart"/>
      <w:r w:rsidRPr="001E487A">
        <w:rPr>
          <w:color w:val="FF0000"/>
        </w:rPr>
        <w:t>Plutella</w:t>
      </w:r>
      <w:proofErr w:type="spellEnd"/>
      <w:r w:rsidRPr="001E487A">
        <w:rPr>
          <w:color w:val="FF0000"/>
        </w:rPr>
        <w:t xml:space="preserve"> </w:t>
      </w:r>
      <w:proofErr w:type="spellStart"/>
      <w:r w:rsidRPr="001E487A">
        <w:rPr>
          <w:color w:val="FF0000"/>
        </w:rPr>
        <w:t>xylostella</w:t>
      </w:r>
      <w:proofErr w:type="spellEnd"/>
      <w:r w:rsidRPr="001E487A">
        <w:rPr>
          <w:color w:val="FF0000"/>
        </w:rPr>
        <w:t xml:space="preserve">; </w:t>
      </w:r>
      <w:bookmarkStart w:id="2" w:name="_GoBack"/>
      <w:bookmarkEnd w:id="2"/>
      <w:r w:rsidRPr="001E487A">
        <w:rPr>
          <w:color w:val="FF0000"/>
        </w:rPr>
        <w:t xml:space="preserve">Brassica </w:t>
      </w:r>
      <w:proofErr w:type="spellStart"/>
      <w:r w:rsidRPr="001E487A">
        <w:rPr>
          <w:color w:val="FF0000"/>
        </w:rPr>
        <w:t>oleracea</w:t>
      </w:r>
      <w:commentRangeEnd w:id="1"/>
      <w:proofErr w:type="spellEnd"/>
      <w:r w:rsidR="003206F7" w:rsidRPr="001E487A">
        <w:rPr>
          <w:rStyle w:val="CommentReference"/>
          <w:color w:val="FF0000"/>
        </w:rPr>
        <w:commentReference w:id="1"/>
      </w:r>
      <w:r w:rsidRPr="001E487A">
        <w:rPr>
          <w:color w:val="FF0000"/>
        </w:rPr>
        <w:t>; biological control; host plant resistance; integrated pest management; Bacillus thuringiensis; glucosinolates; entomopathogenic fungi; parasitoids; sustainable agriculture</w:t>
      </w:r>
    </w:p>
    <w:p w14:paraId="1EEA7E50" w14:textId="77777777" w:rsidR="00BB3F4E" w:rsidRDefault="00BB3F4E"/>
    <w:p w14:paraId="24FC7AA9" w14:textId="77777777" w:rsidR="00BB3F4E" w:rsidRDefault="007B5E95">
      <w:pPr>
        <w:pStyle w:val="Heading1"/>
      </w:pPr>
      <w:r>
        <w:t>1. Introduction</w:t>
      </w:r>
    </w:p>
    <w:p w14:paraId="04FA76B2" w14:textId="77777777" w:rsidR="00BB3F4E" w:rsidRDefault="007B5E95">
      <w:pPr>
        <w:spacing w:after="160" w:line="480" w:lineRule="auto"/>
        <w:ind w:firstLine="720"/>
        <w:jc w:val="both"/>
      </w:pPr>
      <w:r>
        <w:t>Cabbage (</w:t>
      </w:r>
      <w:r>
        <w:rPr>
          <w:i/>
          <w:iCs/>
        </w:rPr>
        <w:t>Brassica oleracea</w:t>
      </w:r>
      <w:r>
        <w:t xml:space="preserve"> var. </w:t>
      </w:r>
      <w:r>
        <w:rPr>
          <w:i/>
          <w:iCs/>
        </w:rPr>
        <w:t>capitata</w:t>
      </w:r>
      <w:r>
        <w:t xml:space="preserve">) and its Brassicaceae relatives, including broccoli, cauliflower, Brussels sprouts, and Chinese cabbage, collectively represent one of the most widely produced and consumed vegetable groups on the planet. According to Food and Agriculture Organization of the United Nations (FAO) statistics, global production of cabbages and other brassicas exceeded 71 million </w:t>
      </w:r>
      <w:proofErr w:type="spellStart"/>
      <w:r>
        <w:t>tonnes</w:t>
      </w:r>
      <w:proofErr w:type="spellEnd"/>
      <w:r>
        <w:t xml:space="preserve"> annually in recent years, with China, India, Russia, and the Republic of Korea ranking among the principal producing nations (FAO, 2023). The nutritional and economic significance of these crops is profound; they provide essential vitamins, minerals, and phytochemicals for populations across Asia, Europe, Africa, and the Americas, whilst generating substantial income for smallholder and commercial farmers alike.</w:t>
      </w:r>
    </w:p>
    <w:p w14:paraId="17A84137" w14:textId="77777777" w:rsidR="00BB3F4E" w:rsidRDefault="007B5E95">
      <w:pPr>
        <w:spacing w:after="160" w:line="480" w:lineRule="auto"/>
        <w:ind w:firstLine="720"/>
        <w:jc w:val="both"/>
      </w:pPr>
      <w:r>
        <w:t xml:space="preserve">Despite their importance, brassica crops are notoriously susceptible to a broad spectrum of insect pests that cause substantial yield and quality losses throughout the production cycle. </w:t>
      </w:r>
      <w:r>
        <w:lastRenderedPageBreak/>
        <w:t xml:space="preserve">Among the most damaging are the </w:t>
      </w:r>
      <w:r w:rsidRPr="003206F7">
        <w:rPr>
          <w:strike/>
          <w:color w:val="FF0000"/>
        </w:rPr>
        <w:t>diamondback moth (</w:t>
      </w:r>
      <w:proofErr w:type="spellStart"/>
      <w:r>
        <w:rPr>
          <w:i/>
          <w:iCs/>
        </w:rPr>
        <w:t>Plutella</w:t>
      </w:r>
      <w:proofErr w:type="spellEnd"/>
      <w:r>
        <w:rPr>
          <w:i/>
          <w:iCs/>
        </w:rPr>
        <w:t xml:space="preserve"> </w:t>
      </w:r>
      <w:proofErr w:type="spellStart"/>
      <w:r>
        <w:rPr>
          <w:i/>
          <w:iCs/>
        </w:rPr>
        <w:t>xylostella</w:t>
      </w:r>
      <w:proofErr w:type="spellEnd"/>
      <w:r>
        <w:t xml:space="preserve"> L.</w:t>
      </w:r>
      <w:r w:rsidRPr="003206F7">
        <w:rPr>
          <w:strike/>
          <w:color w:val="FF0000"/>
        </w:rPr>
        <w:t>)</w:t>
      </w:r>
      <w:r>
        <w:t xml:space="preserve">, </w:t>
      </w:r>
      <w:r w:rsidRPr="003206F7">
        <w:rPr>
          <w:strike/>
          <w:color w:val="FF0000"/>
        </w:rPr>
        <w:t>cabbage aphids (</w:t>
      </w:r>
      <w:proofErr w:type="spellStart"/>
      <w:r>
        <w:rPr>
          <w:i/>
          <w:iCs/>
        </w:rPr>
        <w:t>Brevicoryne</w:t>
      </w:r>
      <w:proofErr w:type="spellEnd"/>
      <w:r>
        <w:rPr>
          <w:i/>
          <w:iCs/>
        </w:rPr>
        <w:t xml:space="preserve"> </w:t>
      </w:r>
      <w:proofErr w:type="spellStart"/>
      <w:r>
        <w:rPr>
          <w:i/>
          <w:iCs/>
        </w:rPr>
        <w:t>brassicae</w:t>
      </w:r>
      <w:proofErr w:type="spellEnd"/>
      <w:r>
        <w:t xml:space="preserve"> L.</w:t>
      </w:r>
      <w:r w:rsidRPr="003206F7">
        <w:rPr>
          <w:strike/>
          <w:color w:val="FF0000"/>
        </w:rPr>
        <w:t>)</w:t>
      </w:r>
      <w:r>
        <w:t xml:space="preserve">, imported </w:t>
      </w:r>
      <w:r w:rsidRPr="003206F7">
        <w:rPr>
          <w:strike/>
          <w:color w:val="FF0000"/>
        </w:rPr>
        <w:t>cabbageworm (</w:t>
      </w:r>
      <w:r>
        <w:rPr>
          <w:i/>
          <w:iCs/>
        </w:rPr>
        <w:t>Pieris rapae</w:t>
      </w:r>
      <w:r>
        <w:t xml:space="preserve"> L.</w:t>
      </w:r>
      <w:r w:rsidRPr="003206F7">
        <w:rPr>
          <w:strike/>
          <w:color w:val="FF0000"/>
        </w:rPr>
        <w:t>)</w:t>
      </w:r>
      <w:r>
        <w:t xml:space="preserve">, </w:t>
      </w:r>
      <w:r w:rsidRPr="003206F7">
        <w:rPr>
          <w:strike/>
          <w:color w:val="FF0000"/>
        </w:rPr>
        <w:t xml:space="preserve">cabbage </w:t>
      </w:r>
      <w:proofErr w:type="spellStart"/>
      <w:r w:rsidRPr="003206F7">
        <w:rPr>
          <w:strike/>
          <w:color w:val="FF0000"/>
        </w:rPr>
        <w:t>looper</w:t>
      </w:r>
      <w:proofErr w:type="spellEnd"/>
      <w:r w:rsidRPr="003206F7">
        <w:rPr>
          <w:strike/>
          <w:color w:val="FF0000"/>
        </w:rPr>
        <w:t xml:space="preserve"> (</w:t>
      </w:r>
      <w:proofErr w:type="spellStart"/>
      <w:r>
        <w:rPr>
          <w:i/>
          <w:iCs/>
        </w:rPr>
        <w:t>Trichoplusia</w:t>
      </w:r>
      <w:proofErr w:type="spellEnd"/>
      <w:r>
        <w:rPr>
          <w:i/>
          <w:iCs/>
        </w:rPr>
        <w:t xml:space="preserve"> </w:t>
      </w:r>
      <w:proofErr w:type="spellStart"/>
      <w:proofErr w:type="gramStart"/>
      <w:r>
        <w:rPr>
          <w:i/>
          <w:iCs/>
        </w:rPr>
        <w:t>ni</w:t>
      </w:r>
      <w:proofErr w:type="spellEnd"/>
      <w:proofErr w:type="gramEnd"/>
      <w:r>
        <w:t xml:space="preserve"> </w:t>
      </w:r>
      <w:proofErr w:type="spellStart"/>
      <w:r>
        <w:t>Hübner</w:t>
      </w:r>
      <w:proofErr w:type="spellEnd"/>
      <w:r w:rsidRPr="003206F7">
        <w:rPr>
          <w:strike/>
          <w:color w:val="FF0000"/>
        </w:rPr>
        <w:t>)</w:t>
      </w:r>
      <w:r>
        <w:t xml:space="preserve">, and </w:t>
      </w:r>
      <w:r w:rsidRPr="003206F7">
        <w:rPr>
          <w:strike/>
          <w:color w:val="FF0000"/>
        </w:rPr>
        <w:t>beet armyworm (</w:t>
      </w:r>
      <w:r>
        <w:rPr>
          <w:i/>
          <w:iCs/>
        </w:rPr>
        <w:t>Spodoptera exigua</w:t>
      </w:r>
      <w:r>
        <w:t xml:space="preserve"> Hübner</w:t>
      </w:r>
      <w:r w:rsidRPr="003206F7">
        <w:rPr>
          <w:strike/>
          <w:color w:val="FF0000"/>
        </w:rPr>
        <w:t>)</w:t>
      </w:r>
      <w:r>
        <w:t xml:space="preserve">. Globally, </w:t>
      </w:r>
      <w:r>
        <w:rPr>
          <w:i/>
          <w:iCs/>
        </w:rPr>
        <w:t xml:space="preserve">P. </w:t>
      </w:r>
      <w:proofErr w:type="spellStart"/>
      <w:r>
        <w:rPr>
          <w:i/>
          <w:iCs/>
        </w:rPr>
        <w:t>xylostella</w:t>
      </w:r>
      <w:proofErr w:type="spellEnd"/>
      <w:r>
        <w:t xml:space="preserve"> alone has been estimated to cause economic losses and management expenditures exceeding USD 4–5 billion annually, making it one of the costliest insect pests of any crop (Zalucki </w:t>
      </w:r>
      <w:r w:rsidRPr="003206F7">
        <w:rPr>
          <w:color w:val="FF0000"/>
          <w:highlight w:val="yellow"/>
        </w:rPr>
        <w:t>et al.,</w:t>
      </w:r>
      <w:r>
        <w:t xml:space="preserve"> 2012). Crop losses attributable to insect pests across all food crops can reach 10–16% of potential production even in the presence of pesticide applications, and losses to </w:t>
      </w:r>
      <w:r>
        <w:rPr>
          <w:i/>
          <w:iCs/>
        </w:rPr>
        <w:t>Brassica</w:t>
      </w:r>
      <w:r>
        <w:t xml:space="preserve"> crops may substantially exceed this average (Oerke, 2006).</w:t>
      </w:r>
    </w:p>
    <w:p w14:paraId="2CDA9773" w14:textId="77777777" w:rsidR="00BB3F4E" w:rsidRDefault="007B5E95">
      <w:pPr>
        <w:spacing w:after="160" w:line="480" w:lineRule="auto"/>
        <w:ind w:firstLine="720"/>
        <w:jc w:val="both"/>
      </w:pPr>
      <w:r>
        <w:t xml:space="preserve">The historical response to these losses has been heavy reliance on synthetic insecticides. However, the intensive and often indiscriminate use of chemical pesticides has produced a cascade of unintended consequences: the development of widespread resistance in </w:t>
      </w:r>
      <w:r>
        <w:rPr>
          <w:i/>
          <w:iCs/>
        </w:rPr>
        <w:t xml:space="preserve">P. </w:t>
      </w:r>
      <w:proofErr w:type="spellStart"/>
      <w:r>
        <w:rPr>
          <w:i/>
          <w:iCs/>
        </w:rPr>
        <w:t>xylostella</w:t>
      </w:r>
      <w:proofErr w:type="spellEnd"/>
      <w:r>
        <w:t xml:space="preserve"> to virtually every class of commercially available insecticide represents perhaps the most dramatic illustration of this problem (</w:t>
      </w:r>
      <w:proofErr w:type="spellStart"/>
      <w:r>
        <w:t>Talekar</w:t>
      </w:r>
      <w:proofErr w:type="spellEnd"/>
      <w:r>
        <w:t xml:space="preserve"> &amp; Shelton, 1993; Furlong </w:t>
      </w:r>
      <w:r w:rsidRPr="003206F7">
        <w:rPr>
          <w:color w:val="FF0000"/>
          <w:highlight w:val="yellow"/>
        </w:rPr>
        <w:t>et al.,</w:t>
      </w:r>
      <w:r>
        <w:t xml:space="preserve"> 2013). Insecticide use also disrupts natural enemy populations, creating secondary pest outbreaks, contaminates produce with residues hazardous to human health, and imposes substantial environmental costs on soil and aquatic ecosystems (</w:t>
      </w:r>
      <w:proofErr w:type="spellStart"/>
      <w:r>
        <w:t>Desneux</w:t>
      </w:r>
      <w:proofErr w:type="spellEnd"/>
      <w:r>
        <w:t xml:space="preserve"> </w:t>
      </w:r>
      <w:r w:rsidRPr="003206F7">
        <w:rPr>
          <w:color w:val="FF0000"/>
        </w:rPr>
        <w:t>et al., 2007</w:t>
      </w:r>
      <w:r>
        <w:t xml:space="preserve">). These multifaceted challenges have </w:t>
      </w:r>
      <w:proofErr w:type="spellStart"/>
      <w:r w:rsidRPr="003206F7">
        <w:rPr>
          <w:color w:val="FF0000"/>
        </w:rPr>
        <w:t>catalysed</w:t>
      </w:r>
      <w:proofErr w:type="spellEnd"/>
      <w:r>
        <w:t xml:space="preserve"> an international scientific and policy consensus </w:t>
      </w:r>
      <w:proofErr w:type="spellStart"/>
      <w:r>
        <w:t>favouring</w:t>
      </w:r>
      <w:proofErr w:type="spellEnd"/>
      <w:r>
        <w:t xml:space="preserve"> the development and deployment of more sustainable pest management strategies.</w:t>
      </w:r>
    </w:p>
    <w:p w14:paraId="58F0E0A8" w14:textId="77777777" w:rsidR="00BB3F4E" w:rsidRDefault="007B5E95">
      <w:pPr>
        <w:spacing w:after="160" w:line="480" w:lineRule="auto"/>
        <w:ind w:firstLine="720"/>
        <w:jc w:val="both"/>
      </w:pPr>
      <w:r>
        <w:t xml:space="preserve">Biological control, broadly defined as the use of living organisms or their products to suppress pest populations, and host plant resistance, the exploitation of genetically encoded plant </w:t>
      </w:r>
      <w:proofErr w:type="spellStart"/>
      <w:r>
        <w:t>defences</w:t>
      </w:r>
      <w:proofErr w:type="spellEnd"/>
      <w:r>
        <w:t xml:space="preserve"> to reduce pest </w:t>
      </w:r>
      <w:proofErr w:type="spellStart"/>
      <w:r w:rsidRPr="003206F7">
        <w:rPr>
          <w:color w:val="FF0000"/>
        </w:rPr>
        <w:t>colonisation</w:t>
      </w:r>
      <w:proofErr w:type="spellEnd"/>
      <w:r>
        <w:t xml:space="preserve"> and damage, together constitute two foundational pillars of sustainable agriculture. Both approaches offer prospects for environmentally benign, economically viable, and durable pest management, particularly when integrated within broader </w:t>
      </w:r>
      <w:r>
        <w:lastRenderedPageBreak/>
        <w:t xml:space="preserve">IPM frameworks (Ehler, 2006). The efficacy of individual biocontrol agents such as the larval parasitoid </w:t>
      </w:r>
      <w:proofErr w:type="spellStart"/>
      <w:r>
        <w:rPr>
          <w:i/>
          <w:iCs/>
        </w:rPr>
        <w:t>Cotesia</w:t>
      </w:r>
      <w:proofErr w:type="spellEnd"/>
      <w:r>
        <w:rPr>
          <w:i/>
          <w:iCs/>
        </w:rPr>
        <w:t xml:space="preserve"> </w:t>
      </w:r>
      <w:proofErr w:type="spellStart"/>
      <w:r>
        <w:rPr>
          <w:i/>
          <w:iCs/>
        </w:rPr>
        <w:t>vestalis</w:t>
      </w:r>
      <w:proofErr w:type="spellEnd"/>
      <w:r>
        <w:t xml:space="preserve"> (</w:t>
      </w:r>
      <w:proofErr w:type="spellStart"/>
      <w:r>
        <w:t>Haliday</w:t>
      </w:r>
      <w:proofErr w:type="spellEnd"/>
      <w:r>
        <w:t xml:space="preserve">) and the entomopathogenic bacterium </w:t>
      </w:r>
      <w:r>
        <w:rPr>
          <w:i/>
          <w:iCs/>
        </w:rPr>
        <w:t>Bacillus thuringiensis</w:t>
      </w:r>
      <w:r>
        <w:t xml:space="preserve"> Berliner has been extensively documented against major brassica pests (</w:t>
      </w:r>
      <w:r w:rsidRPr="003206F7">
        <w:rPr>
          <w:color w:val="FF0000"/>
        </w:rPr>
        <w:t>Lacey et al., 2015</w:t>
      </w:r>
      <w:r>
        <w:t xml:space="preserve">; </w:t>
      </w:r>
      <w:proofErr w:type="spellStart"/>
      <w:r w:rsidRPr="003206F7">
        <w:rPr>
          <w:color w:val="FF0000"/>
        </w:rPr>
        <w:t>Sanahuja</w:t>
      </w:r>
      <w:proofErr w:type="spellEnd"/>
      <w:r w:rsidRPr="003206F7">
        <w:rPr>
          <w:color w:val="FF0000"/>
        </w:rPr>
        <w:t xml:space="preserve"> et al.,</w:t>
      </w:r>
      <w:r>
        <w:t xml:space="preserve"> 2011). Similarly, </w:t>
      </w:r>
      <w:r>
        <w:rPr>
          <w:i/>
          <w:iCs/>
        </w:rPr>
        <w:t>Brassica</w:t>
      </w:r>
      <w:r>
        <w:t xml:space="preserve"> </w:t>
      </w:r>
      <w:proofErr w:type="spellStart"/>
      <w:r>
        <w:t>germplasm</w:t>
      </w:r>
      <w:proofErr w:type="spellEnd"/>
      <w:r>
        <w:t xml:space="preserve"> </w:t>
      </w:r>
      <w:proofErr w:type="spellStart"/>
      <w:r>
        <w:t>harbouring</w:t>
      </w:r>
      <w:proofErr w:type="spellEnd"/>
      <w:r>
        <w:t xml:space="preserve"> elevated concentrations of glucosinolates, trichome densities, and other defensive traits has demonstrated measurable deterrent effects against a range of herbivorous insects (</w:t>
      </w:r>
      <w:r w:rsidRPr="003206F7">
        <w:rPr>
          <w:color w:val="FF0000"/>
        </w:rPr>
        <w:t>Hopkins et al., 2009; Ahuja et al., 2010</w:t>
      </w:r>
      <w:r>
        <w:t>).</w:t>
      </w:r>
    </w:p>
    <w:p w14:paraId="2BE76A9E" w14:textId="77777777" w:rsidR="00BB3F4E" w:rsidRDefault="007B5E95">
      <w:pPr>
        <w:spacing w:after="160" w:line="480" w:lineRule="auto"/>
        <w:ind w:firstLine="720"/>
        <w:jc w:val="both"/>
      </w:pPr>
      <w:r>
        <w:t xml:space="preserve">Despite substantial advances in individual control tactics, several knowledge gaps and practical challenges continue to constrain their widespread adoption. The consistency of biocontrol efficacy under diverse field conditions remains variable, resistant cultivars may inadvertently affect non-target or beneficial insects, and the integration of multiple complementary control tactics into coherent, farmer-accessible </w:t>
      </w:r>
      <w:proofErr w:type="spellStart"/>
      <w:r>
        <w:t>IPM</w:t>
      </w:r>
      <w:proofErr w:type="spellEnd"/>
      <w:r>
        <w:t xml:space="preserve"> </w:t>
      </w:r>
      <w:proofErr w:type="spellStart"/>
      <w:r>
        <w:t>programmes</w:t>
      </w:r>
      <w:proofErr w:type="spellEnd"/>
      <w:r>
        <w:t xml:space="preserve"> remains underdeveloped in many regions. These gaps justify a comprehensive, updated review that </w:t>
      </w:r>
      <w:proofErr w:type="spellStart"/>
      <w:r>
        <w:t>synthesises</w:t>
      </w:r>
      <w:proofErr w:type="spellEnd"/>
      <w:r>
        <w:t xml:space="preserve"> the global literature across these interconnected domains.</w:t>
      </w:r>
    </w:p>
    <w:p w14:paraId="67F20437" w14:textId="77777777" w:rsidR="00BB3F4E" w:rsidRDefault="007B5E95">
      <w:pPr>
        <w:pStyle w:val="Heading2"/>
      </w:pPr>
      <w:r>
        <w:t>1.1 Scope and Objectives</w:t>
      </w:r>
    </w:p>
    <w:p w14:paraId="4A98A37F" w14:textId="77777777" w:rsidR="00BB3F4E" w:rsidRDefault="007B5E95">
      <w:pPr>
        <w:spacing w:after="160" w:line="480" w:lineRule="auto"/>
        <w:ind w:firstLine="720"/>
        <w:jc w:val="both"/>
      </w:pPr>
      <w:r>
        <w:t xml:space="preserve">This review aims to provide a comprehensive synthesis of current knowledge on biological control strategies and host plant resistance as components of sustainable management of cabbage insect pests. Specifically, the article: (i) </w:t>
      </w:r>
      <w:proofErr w:type="spellStart"/>
      <w:r w:rsidRPr="003206F7">
        <w:rPr>
          <w:color w:val="FF0000"/>
        </w:rPr>
        <w:t>characterises</w:t>
      </w:r>
      <w:proofErr w:type="spellEnd"/>
      <w:r>
        <w:t xml:space="preserve"> the major insect pest species affecting global cabbage production and their economic significance; (ii) reviews the taxonomy, biology, and efficacy of biological control agents including parasitoids, predatory arthropods, entomopathogenic bacteria, fungi, nematodes, and botanical biopesticides; (iii) examines the mechanisms and application of host plant resistance in Brassica species, including biochemical, physical, and molecular dimensions; (iv) evaluates the prospects for integrating biological control and resistant varieties within IPM systems; and (v) identifies key challenges and </w:t>
      </w:r>
      <w:r>
        <w:lastRenderedPageBreak/>
        <w:t>priorities for future research and practice. The review draws on global evidence but pays particular attention to contexts in Asia, Africa, and Europe where the economic and ecological impacts of brassica insect pests are especially pronounced.</w:t>
      </w:r>
    </w:p>
    <w:p w14:paraId="5CC52018" w14:textId="77777777" w:rsidR="00BB3F4E" w:rsidRDefault="007B5E95">
      <w:pPr>
        <w:pStyle w:val="Heading1"/>
      </w:pPr>
      <w:r>
        <w:t>2. Methods for Literature Selection</w:t>
      </w:r>
    </w:p>
    <w:p w14:paraId="116D1436" w14:textId="77777777" w:rsidR="00BB3F4E" w:rsidRDefault="007B5E95">
      <w:pPr>
        <w:spacing w:after="160" w:line="480" w:lineRule="auto"/>
        <w:ind w:firstLine="720"/>
        <w:jc w:val="both"/>
      </w:pPr>
      <w:r>
        <w:t xml:space="preserve">This article is constructed as a narrative review rather than a systematic review. The decision to adopt a narrative rather than a systematic review methodology reflects the broad, conceptually integrative scope of the topic, which spans entomology, plant biochemistry, molecular biology, and agricultural systems science. A systematic review with full meta-analytical treatment would be constrained by the heterogeneity of experimental designs, pest species, crop varieties, and geographic contexts represented in the literature. The narrative review format affords greater flexibility to </w:t>
      </w:r>
      <w:proofErr w:type="spellStart"/>
      <w:r>
        <w:t>synthesise</w:t>
      </w:r>
      <w:proofErr w:type="spellEnd"/>
      <w:r>
        <w:t xml:space="preserve"> diverse evidence streams, identify conceptual patterns, and </w:t>
      </w:r>
      <w:proofErr w:type="spellStart"/>
      <w:r>
        <w:t>contextualise</w:t>
      </w:r>
      <w:proofErr w:type="spellEnd"/>
      <w:r>
        <w:t xml:space="preserve"> findings within agricultural practice, as articulated by </w:t>
      </w:r>
      <w:r w:rsidRPr="003206F7">
        <w:rPr>
          <w:color w:val="FF0000"/>
        </w:rPr>
        <w:t>Greenhalgh et al. (2018) and in line with established guidance for conducting and reporting</w:t>
      </w:r>
      <w:r>
        <w:t xml:space="preserve"> narrative reviews in the biological sciences (Snyder, 2019; </w:t>
      </w:r>
      <w:proofErr w:type="spellStart"/>
      <w:r>
        <w:t>Pautasso</w:t>
      </w:r>
      <w:proofErr w:type="spellEnd"/>
      <w:r>
        <w:t>, 2013).</w:t>
      </w:r>
    </w:p>
    <w:p w14:paraId="20AD06C7" w14:textId="77777777" w:rsidR="00BB3F4E" w:rsidRDefault="007B5E95">
      <w:pPr>
        <w:spacing w:after="160" w:line="480" w:lineRule="auto"/>
        <w:ind w:firstLine="720"/>
        <w:jc w:val="both"/>
      </w:pPr>
      <w:r>
        <w:t>Literature was retrieved primarily from the following academic search databases: Web of Science, Scopus, PubMed, and Google Scholar. In recognition of the applied and agricultural character of the subject matter, additional searches were conducted in the AGRIS database (maintained by the FAO), CAB Abstracts, the Centre for Agriculture and Bioscience International (CABI) database, and the AGRICOLA database maintained by the United States National Agricultural Library, all of which hold substantial holdings in entomology, crop protection, and tropical agriculture. These additional resources provided complementary coverage of research published in regional and specialist journals less consistently indexed in the primary databases.</w:t>
      </w:r>
    </w:p>
    <w:p w14:paraId="28E9CBBF" w14:textId="77777777" w:rsidR="00BB3F4E" w:rsidRPr="003206F7" w:rsidRDefault="007B5E95">
      <w:pPr>
        <w:spacing w:after="160" w:line="480" w:lineRule="auto"/>
        <w:ind w:firstLine="720"/>
        <w:jc w:val="both"/>
        <w:rPr>
          <w:color w:val="FF0000"/>
        </w:rPr>
      </w:pPr>
      <w:r w:rsidRPr="003206F7">
        <w:rPr>
          <w:color w:val="FF0000"/>
        </w:rPr>
        <w:lastRenderedPageBreak/>
        <w:t>Search strings were constructed around the following core terms and their Boolean combinations: ("cabbage" OR "Brassica oleracea" OR "brassica") AND ("insect pest" OR "diamondback moth" OR "</w:t>
      </w:r>
      <w:proofErr w:type="spellStart"/>
      <w:r w:rsidRPr="003206F7">
        <w:rPr>
          <w:color w:val="FF0000"/>
        </w:rPr>
        <w:t>Plutella</w:t>
      </w:r>
      <w:proofErr w:type="spellEnd"/>
      <w:r w:rsidRPr="003206F7">
        <w:rPr>
          <w:color w:val="FF0000"/>
        </w:rPr>
        <w:t xml:space="preserve"> </w:t>
      </w:r>
      <w:proofErr w:type="spellStart"/>
      <w:r w:rsidRPr="003206F7">
        <w:rPr>
          <w:color w:val="FF0000"/>
        </w:rPr>
        <w:t>xylostella</w:t>
      </w:r>
      <w:proofErr w:type="spellEnd"/>
      <w:r w:rsidRPr="003206F7">
        <w:rPr>
          <w:color w:val="FF0000"/>
        </w:rPr>
        <w:t>" OR "cabbage aphid" OR "</w:t>
      </w:r>
      <w:proofErr w:type="spellStart"/>
      <w:r w:rsidRPr="003206F7">
        <w:rPr>
          <w:color w:val="FF0000"/>
        </w:rPr>
        <w:t>Brevicoryne</w:t>
      </w:r>
      <w:proofErr w:type="spellEnd"/>
      <w:r w:rsidRPr="003206F7">
        <w:rPr>
          <w:color w:val="FF0000"/>
        </w:rPr>
        <w:t xml:space="preserve"> </w:t>
      </w:r>
      <w:proofErr w:type="spellStart"/>
      <w:r w:rsidRPr="003206F7">
        <w:rPr>
          <w:color w:val="FF0000"/>
        </w:rPr>
        <w:t>brassicae</w:t>
      </w:r>
      <w:proofErr w:type="spellEnd"/>
      <w:r w:rsidRPr="003206F7">
        <w:rPr>
          <w:color w:val="FF0000"/>
        </w:rPr>
        <w:t>"); combined further with ("biological control" OR "biocontrol" OR "parasitoid" OR "entomopathogenic" OR "Bacillus thuringiensis"); and ("host plant resistance" OR "resistant variety" OR "</w:t>
      </w:r>
      <w:proofErr w:type="spellStart"/>
      <w:r w:rsidRPr="003206F7">
        <w:rPr>
          <w:color w:val="FF0000"/>
        </w:rPr>
        <w:t>glucosinolate</w:t>
      </w:r>
      <w:proofErr w:type="spellEnd"/>
      <w:r w:rsidRPr="003206F7">
        <w:rPr>
          <w:color w:val="FF0000"/>
        </w:rPr>
        <w:t xml:space="preserve">" OR "plant </w:t>
      </w:r>
      <w:proofErr w:type="spellStart"/>
      <w:r w:rsidRPr="003206F7">
        <w:rPr>
          <w:color w:val="FF0000"/>
        </w:rPr>
        <w:t>defence</w:t>
      </w:r>
      <w:proofErr w:type="spellEnd"/>
      <w:r w:rsidRPr="003206F7">
        <w:rPr>
          <w:color w:val="FF0000"/>
        </w:rPr>
        <w:t>"); and ("integrated pest management" OR "IPM"). The date range for primary retrieval was 1996–2026, ensuring coverage of both recent advances and foundational studies within the modern insecticide-resistance era. Seminal classic studies published prior to 1996 were selectively included when they represented foundational contributions that remain widely cited and influential.</w:t>
      </w:r>
    </w:p>
    <w:p w14:paraId="2C3A34DB" w14:textId="77777777" w:rsidR="00BB3F4E" w:rsidRDefault="007B5E95">
      <w:pPr>
        <w:spacing w:after="160" w:line="480" w:lineRule="auto"/>
        <w:ind w:firstLine="720"/>
        <w:jc w:val="both"/>
      </w:pPr>
      <w:r>
        <w:t xml:space="preserve">Publications were included if they were original research articles or peer-reviewed review articles published in academic journals, or verifiable reports from intergovernmental </w:t>
      </w:r>
      <w:proofErr w:type="spellStart"/>
      <w:r>
        <w:t>organisations</w:t>
      </w:r>
      <w:proofErr w:type="spellEnd"/>
      <w:r>
        <w:t xml:space="preserve"> such as the FAO. Books, conference papers, theses, extension bulletins, and other grey literature were excluded to maintain scholarly </w:t>
      </w:r>
      <w:proofErr w:type="spellStart"/>
      <w:r>
        <w:t>rigour</w:t>
      </w:r>
      <w:proofErr w:type="spellEnd"/>
      <w:r>
        <w:t>. Only English-language publications were included in the primary synthesis. Duplicate records retrieved across databases were removed manually by comparing author names, titles, journal names, and publication years. Where multiple studies addressed the same finding, priority was given to more recent publications, studies conducted under field conditions, and those with larger geographical scope. Influential studies were identified on the basis of high citation counts relative to their year of publication, publication in journals with high impact factors in their subject category, and explicit identification as landmark contributions by subsequent reviews in the field.</w:t>
      </w:r>
    </w:p>
    <w:p w14:paraId="2A5B8A9E" w14:textId="77777777" w:rsidR="003206F7" w:rsidRDefault="003206F7">
      <w:pPr>
        <w:pStyle w:val="Heading1"/>
      </w:pPr>
    </w:p>
    <w:p w14:paraId="500A8090" w14:textId="77777777" w:rsidR="00BB3F4E" w:rsidRDefault="007B5E95">
      <w:pPr>
        <w:pStyle w:val="Heading1"/>
      </w:pPr>
      <w:r>
        <w:lastRenderedPageBreak/>
        <w:t>3. Global Importance of Cabbage and Economic Impact of Insect Pests</w:t>
      </w:r>
    </w:p>
    <w:p w14:paraId="3DF2E755" w14:textId="77777777" w:rsidR="00BB3F4E" w:rsidRDefault="007B5E95">
      <w:pPr>
        <w:spacing w:after="160" w:line="480" w:lineRule="auto"/>
        <w:ind w:firstLine="720"/>
        <w:jc w:val="both"/>
      </w:pPr>
      <w:r>
        <w:t xml:space="preserve">The economic significance of </w:t>
      </w:r>
      <w:r>
        <w:rPr>
          <w:i/>
          <w:iCs/>
        </w:rPr>
        <w:t>Brassica oleracea</w:t>
      </w:r>
      <w:r>
        <w:t xml:space="preserve"> and its cultivar groups is well established at both global and regional levels. FAO data indicate that global harvested area of cabbages and other brassica vegetables consistently exceeds 2.5 million hectares, with production concentrated in East and South-East Asia, South Asia, and Europe (FAO, 2023). In China alone, brassica vegetables constitute a staple component of daily dietary intake, and the country accounts for more than 40% of global production. In South and South-East Asia, smallholder production of cabbage is a critical source of cash income for rural households, whilst in sub-Saharan Africa and Latin America, rapid expansion of brassica cultivation is occurring in response to </w:t>
      </w:r>
      <w:proofErr w:type="spellStart"/>
      <w:r>
        <w:t>urbanisation</w:t>
      </w:r>
      <w:proofErr w:type="spellEnd"/>
      <w:r>
        <w:t xml:space="preserve"> and growing consumer demand for vegetables.</w:t>
      </w:r>
    </w:p>
    <w:p w14:paraId="2AA18B9C" w14:textId="77777777" w:rsidR="00BB3F4E" w:rsidRPr="003206F7" w:rsidRDefault="007B5E95">
      <w:pPr>
        <w:spacing w:after="160" w:line="480" w:lineRule="auto"/>
        <w:ind w:firstLine="720"/>
        <w:jc w:val="both"/>
        <w:rPr>
          <w:color w:val="FF0000"/>
        </w:rPr>
      </w:pPr>
      <w:r>
        <w:t xml:space="preserve">The economic losses caused by insect pests to brassica crops are substantial and multidimensional, encompassing direct reductions in marketable yield, the costs of pest surveillance and management, and indirect costs arising from food safety concerns associated with excessive pesticide residues. Oerke (2006) estimated that attainable yield losses to animal pests (principally insects) in vegetables can reach 15–30% even under managed conditions, whilst actual losses in developing countries where pest management resources are limited may be considerably higher. The economic threshold for initiating management interventions is frequently exceeded during peak pest pressure periods, particularly when </w:t>
      </w:r>
      <w:r w:rsidRPr="005F4D71">
        <w:rPr>
          <w:color w:val="FF0000"/>
        </w:rPr>
        <w:t xml:space="preserve">P. </w:t>
      </w:r>
      <w:proofErr w:type="spellStart"/>
      <w:r w:rsidRPr="005F4D71">
        <w:rPr>
          <w:color w:val="FF0000"/>
        </w:rPr>
        <w:t>xylostella</w:t>
      </w:r>
      <w:proofErr w:type="spellEnd"/>
      <w:r w:rsidRPr="005F4D71">
        <w:rPr>
          <w:color w:val="FF0000"/>
        </w:rPr>
        <w:t>, B.</w:t>
      </w:r>
      <w:r>
        <w:t xml:space="preserve"> </w:t>
      </w:r>
      <w:r w:rsidRPr="003206F7">
        <w:rPr>
          <w:color w:val="FF0000"/>
        </w:rPr>
        <w:t>brassicae, and caterpillar pests co-occur (Furlong et al., 2013).</w:t>
      </w:r>
    </w:p>
    <w:p w14:paraId="1275B073" w14:textId="77777777" w:rsidR="00BB3F4E" w:rsidRDefault="007B5E95">
      <w:pPr>
        <w:spacing w:after="160" w:line="480" w:lineRule="auto"/>
        <w:ind w:firstLine="720"/>
        <w:jc w:val="both"/>
      </w:pPr>
      <w:r w:rsidRPr="003206F7">
        <w:rPr>
          <w:color w:val="FF0000"/>
        </w:rPr>
        <w:t>Zalucki et al. (2012) conducted a comprehensive global assessment of economic losses</w:t>
      </w:r>
      <w:r>
        <w:t xml:space="preserve"> attributable to </w:t>
      </w:r>
      <w:r>
        <w:rPr>
          <w:i/>
          <w:iCs/>
        </w:rPr>
        <w:t xml:space="preserve">P. </w:t>
      </w:r>
      <w:proofErr w:type="spellStart"/>
      <w:r>
        <w:rPr>
          <w:i/>
          <w:iCs/>
        </w:rPr>
        <w:t>xylostella</w:t>
      </w:r>
      <w:proofErr w:type="spellEnd"/>
      <w:r>
        <w:t xml:space="preserve"> and estimated that direct crop losses and management expenditures combined could exceed USD 4–5 billion per year worldwide. This figure is particularly notable given that it encompasses only one species among approximately eight to twelve economically </w:t>
      </w:r>
      <w:r>
        <w:lastRenderedPageBreak/>
        <w:t xml:space="preserve">important pests that attack brassica crops simultaneously. The diamondback moth is present on every continent where brassicas are cultivated and has developed confirmed resistance to more than 100 chemical compounds spanning virtually all major insecticide classes </w:t>
      </w:r>
      <w:r w:rsidRPr="005F4D71">
        <w:rPr>
          <w:color w:val="FF0000"/>
        </w:rPr>
        <w:t xml:space="preserve">(Furlong et al., 2013). </w:t>
      </w:r>
      <w:r>
        <w:t xml:space="preserve">The compound nature of multi-pest infestations, the evolution of pesticide resistance, and the environmental and human health costs of current chemical-intensive management practices collectively underscore the urgent need for sustainable, science-based alternatives </w:t>
      </w:r>
      <w:r w:rsidRPr="005F4D71">
        <w:rPr>
          <w:color w:val="FF0000"/>
        </w:rPr>
        <w:t>(Grzywacz et al., 2010).</w:t>
      </w:r>
    </w:p>
    <w:p w14:paraId="47FED7E9" w14:textId="77777777" w:rsidR="00BB3F4E" w:rsidRDefault="007B5E95">
      <w:pPr>
        <w:pStyle w:val="Heading1"/>
      </w:pPr>
      <w:r>
        <w:t>4. Major Insect Pests of Cabbage: Biology and Distribution</w:t>
      </w:r>
    </w:p>
    <w:p w14:paraId="16ADDEF6" w14:textId="77777777" w:rsidR="00BB3F4E" w:rsidRDefault="007B5E95">
      <w:pPr>
        <w:pStyle w:val="Heading2"/>
      </w:pPr>
      <w:r>
        <w:t>4.1 Diamondback Moth (</w:t>
      </w:r>
      <w:proofErr w:type="spellStart"/>
      <w:r>
        <w:t>Plutella</w:t>
      </w:r>
      <w:proofErr w:type="spellEnd"/>
      <w:r>
        <w:t xml:space="preserve"> </w:t>
      </w:r>
      <w:proofErr w:type="spellStart"/>
      <w:r>
        <w:t>xylostella</w:t>
      </w:r>
      <w:proofErr w:type="spellEnd"/>
      <w:r>
        <w:t>)</w:t>
      </w:r>
    </w:p>
    <w:p w14:paraId="274F4AA0" w14:textId="77777777" w:rsidR="00BB3F4E" w:rsidRPr="005F4D71" w:rsidRDefault="007B5E95">
      <w:pPr>
        <w:spacing w:after="160" w:line="480" w:lineRule="auto"/>
        <w:ind w:firstLine="720"/>
        <w:jc w:val="both"/>
        <w:rPr>
          <w:color w:val="FF0000"/>
        </w:rPr>
      </w:pPr>
      <w:proofErr w:type="spellStart"/>
      <w:r>
        <w:rPr>
          <w:i/>
          <w:iCs/>
        </w:rPr>
        <w:t>Plutella</w:t>
      </w:r>
      <w:proofErr w:type="spellEnd"/>
      <w:r>
        <w:rPr>
          <w:i/>
          <w:iCs/>
        </w:rPr>
        <w:t xml:space="preserve"> </w:t>
      </w:r>
      <w:proofErr w:type="spellStart"/>
      <w:r>
        <w:rPr>
          <w:i/>
          <w:iCs/>
        </w:rPr>
        <w:t>xylostella</w:t>
      </w:r>
      <w:proofErr w:type="spellEnd"/>
      <w:r>
        <w:t xml:space="preserve"> (Lepidoptera: </w:t>
      </w:r>
      <w:proofErr w:type="spellStart"/>
      <w:r>
        <w:t>Plutellidae</w:t>
      </w:r>
      <w:proofErr w:type="spellEnd"/>
      <w:r>
        <w:t xml:space="preserve">) is widely </w:t>
      </w:r>
      <w:proofErr w:type="spellStart"/>
      <w:r>
        <w:t>recognised</w:t>
      </w:r>
      <w:proofErr w:type="spellEnd"/>
      <w:r>
        <w:t xml:space="preserve"> as the most destructive insect pest of cruciferous crops globally. First described in Europe, the species is now distributed across all continents except Antarctica, having spread via the movement of infested plant material and as a highly mobile adult capable of long-distance migration on wind currents (</w:t>
      </w:r>
      <w:proofErr w:type="spellStart"/>
      <w:r>
        <w:t>Talekar</w:t>
      </w:r>
      <w:proofErr w:type="spellEnd"/>
      <w:r>
        <w:t xml:space="preserve"> &amp; Shelton, 1993). The biology of </w:t>
      </w:r>
      <w:r>
        <w:rPr>
          <w:i/>
          <w:iCs/>
        </w:rPr>
        <w:t xml:space="preserve">P. </w:t>
      </w:r>
      <w:proofErr w:type="spellStart"/>
      <w:r>
        <w:rPr>
          <w:i/>
          <w:iCs/>
        </w:rPr>
        <w:t>xylostella</w:t>
      </w:r>
      <w:proofErr w:type="spellEnd"/>
      <w:r>
        <w:t xml:space="preserve"> has been extensively </w:t>
      </w:r>
      <w:proofErr w:type="spellStart"/>
      <w:r>
        <w:t>characterised</w:t>
      </w:r>
      <w:proofErr w:type="spellEnd"/>
      <w:r>
        <w:t>: females oviposit small, yellowish-green eggs singly or in small groups on leaf surfaces; larvae pass through four instars over approximately one to two weeks under warm conditions; pupation occurs in silken cocoons attached to the leaf surface; and adult lifespan is typically seven to ten days, during which females may lay 150–300 eggs (</w:t>
      </w:r>
      <w:r w:rsidRPr="005F4D71">
        <w:rPr>
          <w:color w:val="FF0000"/>
        </w:rPr>
        <w:t>Furlong et al., 2013).</w:t>
      </w:r>
    </w:p>
    <w:p w14:paraId="27EEAC00" w14:textId="77777777" w:rsidR="00BB3F4E" w:rsidRDefault="007B5E95">
      <w:pPr>
        <w:spacing w:after="160" w:line="480" w:lineRule="auto"/>
        <w:ind w:firstLine="720"/>
        <w:jc w:val="both"/>
      </w:pPr>
      <w:r>
        <w:t xml:space="preserve">The short generation time (as few as 14 days under optimal temperatures) and high reproductive potential enable rapid population build-up across multiple overlapping generations per year in tropical and subtropical regions. Larval feeding damage is </w:t>
      </w:r>
      <w:proofErr w:type="spellStart"/>
      <w:r w:rsidRPr="005F4D71">
        <w:rPr>
          <w:color w:val="FF0000"/>
        </w:rPr>
        <w:t>characterised</w:t>
      </w:r>
      <w:proofErr w:type="spellEnd"/>
      <w:r>
        <w:t xml:space="preserve"> by leaf window-</w:t>
      </w:r>
      <w:proofErr w:type="spellStart"/>
      <w:r>
        <w:t>paning</w:t>
      </w:r>
      <w:proofErr w:type="spellEnd"/>
      <w:r>
        <w:t xml:space="preserve"> where the epidermis is consumed but the cuticle remains, progressing to complete leaf perforation at higher densities. Severe infestations can lead to total defoliation of </w:t>
      </w:r>
      <w:r>
        <w:lastRenderedPageBreak/>
        <w:t xml:space="preserve">young plants, resulting in direct crop failure. The relationship between </w:t>
      </w:r>
      <w:r>
        <w:rPr>
          <w:i/>
          <w:iCs/>
        </w:rPr>
        <w:t xml:space="preserve">P. </w:t>
      </w:r>
      <w:proofErr w:type="spellStart"/>
      <w:r>
        <w:rPr>
          <w:i/>
          <w:iCs/>
        </w:rPr>
        <w:t>xylostella</w:t>
      </w:r>
      <w:proofErr w:type="spellEnd"/>
      <w:r>
        <w:t xml:space="preserve"> and its </w:t>
      </w:r>
      <w:r>
        <w:rPr>
          <w:i/>
          <w:iCs/>
        </w:rPr>
        <w:t>Brassica</w:t>
      </w:r>
      <w:r>
        <w:t xml:space="preserve"> hosts is mediated by glucosinolates—secondary plant metabolites that serve simultaneously as phagostimulants and oviposition stimulants for the moth—a dual role that complicates resistance breeding strategies (Sarfraz </w:t>
      </w:r>
      <w:r w:rsidRPr="005F4D71">
        <w:rPr>
          <w:color w:val="FF0000"/>
        </w:rPr>
        <w:t>et al., 2006; Hopkins et al., 2009</w:t>
      </w:r>
      <w:r>
        <w:t>).</w:t>
      </w:r>
    </w:p>
    <w:p w14:paraId="0A49479B" w14:textId="77777777" w:rsidR="00BB3F4E" w:rsidRDefault="007B5E95">
      <w:pPr>
        <w:pStyle w:val="Heading2"/>
      </w:pPr>
      <w:r>
        <w:t>4.2 Cabbage Aphids and Other Aphid Species</w:t>
      </w:r>
    </w:p>
    <w:p w14:paraId="384CC35A" w14:textId="77777777" w:rsidR="00BB3F4E" w:rsidRDefault="007B5E95">
      <w:pPr>
        <w:spacing w:after="160" w:line="480" w:lineRule="auto"/>
        <w:ind w:firstLine="720"/>
        <w:jc w:val="both"/>
      </w:pPr>
      <w:proofErr w:type="spellStart"/>
      <w:r>
        <w:rPr>
          <w:i/>
          <w:iCs/>
        </w:rPr>
        <w:t>Brevicoryne</w:t>
      </w:r>
      <w:proofErr w:type="spellEnd"/>
      <w:r>
        <w:rPr>
          <w:i/>
          <w:iCs/>
        </w:rPr>
        <w:t xml:space="preserve"> </w:t>
      </w:r>
      <w:proofErr w:type="spellStart"/>
      <w:r>
        <w:rPr>
          <w:i/>
          <w:iCs/>
        </w:rPr>
        <w:t>brassicae</w:t>
      </w:r>
      <w:proofErr w:type="spellEnd"/>
      <w:r>
        <w:t xml:space="preserve"> (L.) (Hemiptera: Aphididae), the cabbage aphid, and </w:t>
      </w:r>
      <w:proofErr w:type="spellStart"/>
      <w:r>
        <w:rPr>
          <w:i/>
          <w:iCs/>
        </w:rPr>
        <w:t>Myzus</w:t>
      </w:r>
      <w:proofErr w:type="spellEnd"/>
      <w:r>
        <w:rPr>
          <w:i/>
          <w:iCs/>
        </w:rPr>
        <w:t xml:space="preserve"> </w:t>
      </w:r>
      <w:proofErr w:type="spellStart"/>
      <w:r>
        <w:rPr>
          <w:i/>
          <w:iCs/>
        </w:rPr>
        <w:t>persicae</w:t>
      </w:r>
      <w:proofErr w:type="spellEnd"/>
      <w:r>
        <w:t xml:space="preserve"> (</w:t>
      </w:r>
      <w:proofErr w:type="spellStart"/>
      <w:r>
        <w:t>Sulzer</w:t>
      </w:r>
      <w:proofErr w:type="spellEnd"/>
      <w:r>
        <w:t xml:space="preserve">), the green peach aphid, are among the most economically important hemipteran pests of brassica crops globally. </w:t>
      </w:r>
      <w:proofErr w:type="spellStart"/>
      <w:r>
        <w:rPr>
          <w:i/>
          <w:iCs/>
        </w:rPr>
        <w:t>Brevicoryne</w:t>
      </w:r>
      <w:proofErr w:type="spellEnd"/>
      <w:r>
        <w:rPr>
          <w:i/>
          <w:iCs/>
        </w:rPr>
        <w:t xml:space="preserve"> </w:t>
      </w:r>
      <w:proofErr w:type="spellStart"/>
      <w:r>
        <w:rPr>
          <w:i/>
          <w:iCs/>
        </w:rPr>
        <w:t>brassicae</w:t>
      </w:r>
      <w:proofErr w:type="spellEnd"/>
      <w:r>
        <w:t xml:space="preserve"> is an obligate </w:t>
      </w:r>
      <w:proofErr w:type="spellStart"/>
      <w:r>
        <w:t>brassicoid</w:t>
      </w:r>
      <w:proofErr w:type="spellEnd"/>
      <w:r>
        <w:t xml:space="preserve"> specialist whose grey-green waxy appearance renders it readily identifiable on its host plants, whilst </w:t>
      </w:r>
      <w:r>
        <w:rPr>
          <w:i/>
          <w:iCs/>
        </w:rPr>
        <w:t xml:space="preserve">M. </w:t>
      </w:r>
      <w:proofErr w:type="spellStart"/>
      <w:r>
        <w:rPr>
          <w:i/>
          <w:iCs/>
        </w:rPr>
        <w:t>persicae</w:t>
      </w:r>
      <w:proofErr w:type="spellEnd"/>
      <w:r>
        <w:t xml:space="preserve"> is a generalist with an extensive host range and a demonstrated capacity for rapid development of resistance to insecticides. Both species reproduce parthenogenetically through much of the growing season, enabling exponential population growth under </w:t>
      </w:r>
      <w:proofErr w:type="spellStart"/>
      <w:r>
        <w:t>favourable</w:t>
      </w:r>
      <w:proofErr w:type="spellEnd"/>
      <w:r>
        <w:t xml:space="preserve"> conditions. Aphid feeding removes phloem sap, causing leaf curling, stunted plant growth, and premature senescence; additionally, both species serve as vectors of multiple plant viruses including Turnip mosaic virus and Cauliflower mosaic virus, which can cause damage exceeding that attributable to direct feeding alone.</w:t>
      </w:r>
    </w:p>
    <w:p w14:paraId="73EF1674" w14:textId="77777777" w:rsidR="00BB3F4E" w:rsidRDefault="007B5E95">
      <w:pPr>
        <w:spacing w:after="160" w:line="480" w:lineRule="auto"/>
        <w:ind w:firstLine="720"/>
        <w:jc w:val="both"/>
      </w:pPr>
      <w:r>
        <w:t xml:space="preserve">The specialist relationship of </w:t>
      </w:r>
      <w:r>
        <w:rPr>
          <w:i/>
          <w:iCs/>
        </w:rPr>
        <w:t>B. brassicae</w:t>
      </w:r>
      <w:r>
        <w:t xml:space="preserve"> with its glucosinolate-containing hosts is noteworthy: unlike most herbivores, which detoxify or excrete glucosinolates, </w:t>
      </w:r>
      <w:r>
        <w:rPr>
          <w:i/>
          <w:iCs/>
        </w:rPr>
        <w:t>B. brassicae</w:t>
      </w:r>
      <w:r>
        <w:t xml:space="preserve"> sequesters these compounds and has evolved the capacity to deploy them as chemical </w:t>
      </w:r>
      <w:proofErr w:type="spellStart"/>
      <w:r>
        <w:t>defences</w:t>
      </w:r>
      <w:proofErr w:type="spellEnd"/>
      <w:r>
        <w:t xml:space="preserve"> against predators—a strategy termed glucosinolate sequestration that has significant implications for the </w:t>
      </w:r>
      <w:proofErr w:type="spellStart"/>
      <w:r>
        <w:t>tritrophic</w:t>
      </w:r>
      <w:proofErr w:type="spellEnd"/>
      <w:r>
        <w:t xml:space="preserve"> interactions between plant, pest, and natural enemy (Cole, 1997). This chemical ecology means that changes in glucosinolate profiles introduced through resistance breeding may have complex cascading effects on aphid populations and their natural enemies.</w:t>
      </w:r>
    </w:p>
    <w:p w14:paraId="363D5A46" w14:textId="77777777" w:rsidR="00BB3F4E" w:rsidRDefault="007B5E95">
      <w:pPr>
        <w:pStyle w:val="Heading2"/>
      </w:pPr>
      <w:r>
        <w:lastRenderedPageBreak/>
        <w:t xml:space="preserve">4.3 Caterpillar Pests: </w:t>
      </w:r>
      <w:proofErr w:type="spellStart"/>
      <w:r w:rsidRPr="005F4D71">
        <w:rPr>
          <w:color w:val="FF0000"/>
        </w:rPr>
        <w:t>Pieris</w:t>
      </w:r>
      <w:proofErr w:type="spellEnd"/>
      <w:r w:rsidRPr="005F4D71">
        <w:rPr>
          <w:color w:val="FF0000"/>
        </w:rPr>
        <w:t xml:space="preserve"> </w:t>
      </w:r>
      <w:proofErr w:type="spellStart"/>
      <w:r w:rsidRPr="005F4D71">
        <w:rPr>
          <w:color w:val="FF0000"/>
        </w:rPr>
        <w:t>rapae</w:t>
      </w:r>
      <w:proofErr w:type="spellEnd"/>
      <w:r w:rsidRPr="005F4D71">
        <w:rPr>
          <w:color w:val="FF0000"/>
        </w:rPr>
        <w:t xml:space="preserve">, </w:t>
      </w:r>
      <w:proofErr w:type="spellStart"/>
      <w:r w:rsidRPr="005F4D71">
        <w:rPr>
          <w:color w:val="FF0000"/>
        </w:rPr>
        <w:t>Trichoplusia</w:t>
      </w:r>
      <w:proofErr w:type="spellEnd"/>
      <w:r w:rsidRPr="005F4D71">
        <w:rPr>
          <w:color w:val="FF0000"/>
        </w:rPr>
        <w:t xml:space="preserve"> </w:t>
      </w:r>
      <w:proofErr w:type="spellStart"/>
      <w:proofErr w:type="gramStart"/>
      <w:r w:rsidRPr="005F4D71">
        <w:rPr>
          <w:color w:val="FF0000"/>
        </w:rPr>
        <w:t>ni</w:t>
      </w:r>
      <w:proofErr w:type="spellEnd"/>
      <w:proofErr w:type="gramEnd"/>
      <w:r w:rsidRPr="005F4D71">
        <w:rPr>
          <w:color w:val="FF0000"/>
        </w:rPr>
        <w:t xml:space="preserve"> and </w:t>
      </w:r>
      <w:proofErr w:type="spellStart"/>
      <w:r w:rsidRPr="005F4D71">
        <w:rPr>
          <w:color w:val="FF0000"/>
        </w:rPr>
        <w:t>Mamestra</w:t>
      </w:r>
      <w:proofErr w:type="spellEnd"/>
      <w:r w:rsidRPr="005F4D71">
        <w:rPr>
          <w:color w:val="FF0000"/>
        </w:rPr>
        <w:t xml:space="preserve"> </w:t>
      </w:r>
      <w:proofErr w:type="spellStart"/>
      <w:r w:rsidRPr="005F4D71">
        <w:rPr>
          <w:color w:val="FF0000"/>
        </w:rPr>
        <w:t>brassicae</w:t>
      </w:r>
      <w:proofErr w:type="spellEnd"/>
    </w:p>
    <w:p w14:paraId="6ABD0C43" w14:textId="77777777" w:rsidR="00BB3F4E" w:rsidRDefault="007B5E95">
      <w:pPr>
        <w:spacing w:after="160" w:line="480" w:lineRule="auto"/>
        <w:ind w:firstLine="720"/>
        <w:jc w:val="both"/>
      </w:pPr>
      <w:r>
        <w:rPr>
          <w:i/>
          <w:iCs/>
        </w:rPr>
        <w:t>Pieris rapae</w:t>
      </w:r>
      <w:r>
        <w:t xml:space="preserve"> L. (Lepidoptera: </w:t>
      </w:r>
      <w:proofErr w:type="spellStart"/>
      <w:r>
        <w:t>Pieridae</w:t>
      </w:r>
      <w:proofErr w:type="spellEnd"/>
      <w:r>
        <w:t xml:space="preserve">), the imported cabbageworm or small white butterfly, is a cosmopolitan pest accidentally introduced from Europe to North America and Australia, where it has become firmly established. The butterfly lays pale yellow, torpedo-shaped eggs singly on the lower leaf surface, and larvae feed on leaf tissues, leaving characteristic irregular holes. Although </w:t>
      </w:r>
      <w:r>
        <w:rPr>
          <w:i/>
          <w:iCs/>
        </w:rPr>
        <w:t>P. rapae</w:t>
      </w:r>
      <w:r>
        <w:t xml:space="preserve"> is also a </w:t>
      </w:r>
      <w:proofErr w:type="spellStart"/>
      <w:r>
        <w:t>glucosinolate</w:t>
      </w:r>
      <w:proofErr w:type="spellEnd"/>
      <w:r>
        <w:t xml:space="preserve"> specialist, it </w:t>
      </w:r>
      <w:proofErr w:type="spellStart"/>
      <w:r>
        <w:t>metabolises</w:t>
      </w:r>
      <w:proofErr w:type="spellEnd"/>
      <w:r>
        <w:t xml:space="preserve"> these compounds via a nitrile-specifier protein that diverts hydrolysis away from the toxic isothiocyanate products—an elegant biochemical adaptation that has attracted considerable research attention (Ahuja et al., 2010).</w:t>
      </w:r>
    </w:p>
    <w:p w14:paraId="718C6890" w14:textId="77777777" w:rsidR="00BB3F4E" w:rsidRDefault="007B5E95">
      <w:pPr>
        <w:spacing w:after="160" w:line="480" w:lineRule="auto"/>
        <w:ind w:firstLine="720"/>
        <w:jc w:val="both"/>
      </w:pPr>
      <w:proofErr w:type="spellStart"/>
      <w:r>
        <w:rPr>
          <w:i/>
          <w:iCs/>
        </w:rPr>
        <w:t>Trichoplusia</w:t>
      </w:r>
      <w:proofErr w:type="spellEnd"/>
      <w:r>
        <w:rPr>
          <w:i/>
          <w:iCs/>
        </w:rPr>
        <w:t xml:space="preserve"> </w:t>
      </w:r>
      <w:proofErr w:type="spellStart"/>
      <w:r>
        <w:rPr>
          <w:i/>
          <w:iCs/>
        </w:rPr>
        <w:t>ni</w:t>
      </w:r>
      <w:proofErr w:type="spellEnd"/>
      <w:r>
        <w:t xml:space="preserve"> (</w:t>
      </w:r>
      <w:proofErr w:type="spellStart"/>
      <w:r>
        <w:t>Hübner</w:t>
      </w:r>
      <w:proofErr w:type="spellEnd"/>
      <w:r>
        <w:t xml:space="preserve">) (Lepidoptera: </w:t>
      </w:r>
      <w:proofErr w:type="spellStart"/>
      <w:r>
        <w:t>Noctuidae</w:t>
      </w:r>
      <w:proofErr w:type="spellEnd"/>
      <w:r>
        <w:t xml:space="preserve">), the cabbage </w:t>
      </w:r>
      <w:proofErr w:type="spellStart"/>
      <w:r>
        <w:t>looper</w:t>
      </w:r>
      <w:proofErr w:type="spellEnd"/>
      <w:r>
        <w:t xml:space="preserve">, is a polyphagous pest with a broad host range encompassing numerous cultivated plant families. Unlike </w:t>
      </w:r>
      <w:r>
        <w:rPr>
          <w:i/>
          <w:iCs/>
        </w:rPr>
        <w:t>P. rapae</w:t>
      </w:r>
      <w:r>
        <w:t xml:space="preserve">, </w:t>
      </w:r>
      <w:r>
        <w:rPr>
          <w:i/>
          <w:iCs/>
        </w:rPr>
        <w:t xml:space="preserve">T. </w:t>
      </w:r>
      <w:proofErr w:type="spellStart"/>
      <w:r>
        <w:rPr>
          <w:i/>
          <w:iCs/>
        </w:rPr>
        <w:t>ni</w:t>
      </w:r>
      <w:proofErr w:type="spellEnd"/>
      <w:r>
        <w:t xml:space="preserve"> is a </w:t>
      </w:r>
      <w:proofErr w:type="spellStart"/>
      <w:r>
        <w:t>glucosinolate</w:t>
      </w:r>
      <w:proofErr w:type="spellEnd"/>
      <w:r>
        <w:t xml:space="preserve">-sensitive generalist, and its population dynamics on brassica crops are substantially influenced by host plant chemistry and the availability of alternative hosts. </w:t>
      </w:r>
      <w:proofErr w:type="spellStart"/>
      <w:r>
        <w:rPr>
          <w:i/>
          <w:iCs/>
        </w:rPr>
        <w:t>Mamestra</w:t>
      </w:r>
      <w:proofErr w:type="spellEnd"/>
      <w:r>
        <w:rPr>
          <w:i/>
          <w:iCs/>
        </w:rPr>
        <w:t xml:space="preserve"> </w:t>
      </w:r>
      <w:proofErr w:type="spellStart"/>
      <w:r>
        <w:rPr>
          <w:i/>
          <w:iCs/>
        </w:rPr>
        <w:t>brassicae</w:t>
      </w:r>
      <w:proofErr w:type="spellEnd"/>
      <w:r>
        <w:t xml:space="preserve"> L. (Lepidoptera: </w:t>
      </w:r>
      <w:proofErr w:type="spellStart"/>
      <w:r>
        <w:t>Noctuidae</w:t>
      </w:r>
      <w:proofErr w:type="spellEnd"/>
      <w:r>
        <w:t xml:space="preserve">), the cabbage moth, is a significant pest in temperate Europe and Asia; its larvae bore into cabbage heads, causing internal contamination that renders produce unmarketable. The complex of </w:t>
      </w:r>
      <w:r>
        <w:rPr>
          <w:i/>
          <w:iCs/>
        </w:rPr>
        <w:t>Spodoptera</w:t>
      </w:r>
      <w:r>
        <w:t xml:space="preserve"> species, including </w:t>
      </w:r>
      <w:r>
        <w:rPr>
          <w:i/>
          <w:iCs/>
        </w:rPr>
        <w:t>S. exigua</w:t>
      </w:r>
      <w:r>
        <w:t xml:space="preserve"> and the invasive </w:t>
      </w:r>
      <w:r>
        <w:rPr>
          <w:i/>
          <w:iCs/>
        </w:rPr>
        <w:t xml:space="preserve">S. </w:t>
      </w:r>
      <w:proofErr w:type="spellStart"/>
      <w:r>
        <w:rPr>
          <w:i/>
          <w:iCs/>
        </w:rPr>
        <w:t>frugiperda</w:t>
      </w:r>
      <w:proofErr w:type="spellEnd"/>
      <w:r>
        <w:t>, have also been recorded causing significant damage to brassica crops in tropical and subtropical regions (</w:t>
      </w:r>
      <w:r w:rsidRPr="005F4D71">
        <w:rPr>
          <w:color w:val="FF0000"/>
        </w:rPr>
        <w:t>Grzywacz et al., 2010</w:t>
      </w:r>
      <w:r>
        <w:t>).</w:t>
      </w:r>
    </w:p>
    <w:p w14:paraId="329450AD" w14:textId="77777777" w:rsidR="00BB3F4E" w:rsidRDefault="007B5E95">
      <w:pPr>
        <w:pStyle w:val="Heading2"/>
      </w:pPr>
      <w:r>
        <w:t>4.4 Other Key Pests</w:t>
      </w:r>
    </w:p>
    <w:p w14:paraId="7EE7DA21" w14:textId="77777777" w:rsidR="00BB3F4E" w:rsidRDefault="007B5E95">
      <w:pPr>
        <w:spacing w:after="160" w:line="480" w:lineRule="auto"/>
        <w:ind w:firstLine="720"/>
        <w:jc w:val="both"/>
      </w:pPr>
      <w:r>
        <w:t>In addition to the above, several other insect groups merit attention. Flea beetles (</w:t>
      </w:r>
      <w:proofErr w:type="spellStart"/>
      <w:r>
        <w:rPr>
          <w:i/>
          <w:iCs/>
        </w:rPr>
        <w:t>Phyllotreta</w:t>
      </w:r>
      <w:proofErr w:type="spellEnd"/>
      <w:r>
        <w:t xml:space="preserve"> spp.) (</w:t>
      </w:r>
      <w:proofErr w:type="spellStart"/>
      <w:r>
        <w:t>Coleoptera</w:t>
      </w:r>
      <w:proofErr w:type="spellEnd"/>
      <w:r>
        <w:t xml:space="preserve">: </w:t>
      </w:r>
      <w:proofErr w:type="spellStart"/>
      <w:r>
        <w:t>Chrysomelidae</w:t>
      </w:r>
      <w:proofErr w:type="spellEnd"/>
      <w:r>
        <w:t>) are particularly damaging to seedlings and transplants in temperate regions, their adult feeding producing characteristic 'shothole' symptoms and larval mining of roots and stems. Harlequin bug (</w:t>
      </w:r>
      <w:proofErr w:type="spellStart"/>
      <w:r>
        <w:rPr>
          <w:i/>
          <w:iCs/>
        </w:rPr>
        <w:t>Murgantia</w:t>
      </w:r>
      <w:proofErr w:type="spellEnd"/>
      <w:r>
        <w:rPr>
          <w:i/>
          <w:iCs/>
        </w:rPr>
        <w:t xml:space="preserve"> </w:t>
      </w:r>
      <w:proofErr w:type="spellStart"/>
      <w:r>
        <w:rPr>
          <w:i/>
          <w:iCs/>
        </w:rPr>
        <w:t>histrionica</w:t>
      </w:r>
      <w:proofErr w:type="spellEnd"/>
      <w:r>
        <w:t xml:space="preserve"> Hahn) (</w:t>
      </w:r>
      <w:proofErr w:type="spellStart"/>
      <w:r>
        <w:t>Hemiptera</w:t>
      </w:r>
      <w:proofErr w:type="spellEnd"/>
      <w:r>
        <w:t xml:space="preserve">: </w:t>
      </w:r>
      <w:r>
        <w:lastRenderedPageBreak/>
        <w:t xml:space="preserve">Pentatomidae) is a significant pest in North America and parts of Asia, causing wilting and plant death through extraction of phloem sap. </w:t>
      </w:r>
      <w:proofErr w:type="spellStart"/>
      <w:r>
        <w:t>Thrips</w:t>
      </w:r>
      <w:proofErr w:type="spellEnd"/>
      <w:r>
        <w:t xml:space="preserve"> species (</w:t>
      </w:r>
      <w:proofErr w:type="spellStart"/>
      <w:r>
        <w:t>Thysanoptera</w:t>
      </w:r>
      <w:proofErr w:type="spellEnd"/>
      <w:r>
        <w:t xml:space="preserve">: </w:t>
      </w:r>
      <w:proofErr w:type="spellStart"/>
      <w:r>
        <w:t>Thripidae</w:t>
      </w:r>
      <w:proofErr w:type="spellEnd"/>
      <w:r>
        <w:t xml:space="preserve">), particularly </w:t>
      </w:r>
      <w:proofErr w:type="spellStart"/>
      <w:r>
        <w:rPr>
          <w:i/>
          <w:iCs/>
        </w:rPr>
        <w:t>Thrips</w:t>
      </w:r>
      <w:proofErr w:type="spellEnd"/>
      <w:r>
        <w:rPr>
          <w:i/>
          <w:iCs/>
        </w:rPr>
        <w:t xml:space="preserve"> </w:t>
      </w:r>
      <w:proofErr w:type="spellStart"/>
      <w:r>
        <w:rPr>
          <w:i/>
          <w:iCs/>
        </w:rPr>
        <w:t>tabaci</w:t>
      </w:r>
      <w:proofErr w:type="spellEnd"/>
      <w:r>
        <w:t xml:space="preserve"> Lindeman, damage brassica plants by rasping epidermal cells and transmitting </w:t>
      </w:r>
      <w:proofErr w:type="spellStart"/>
      <w:r>
        <w:t>tospoviruses</w:t>
      </w:r>
      <w:proofErr w:type="spellEnd"/>
      <w:r>
        <w:t xml:space="preserve">. </w:t>
      </w:r>
      <w:r w:rsidRPr="005F4D71">
        <w:rPr>
          <w:strike/>
          <w:color w:val="FF0000"/>
          <w:u w:val="single"/>
        </w:rPr>
        <w:t>Cabbage root fly (</w:t>
      </w:r>
      <w:r>
        <w:rPr>
          <w:i/>
          <w:iCs/>
        </w:rPr>
        <w:t xml:space="preserve">Delia </w:t>
      </w:r>
      <w:proofErr w:type="spellStart"/>
      <w:r>
        <w:rPr>
          <w:i/>
          <w:iCs/>
        </w:rPr>
        <w:t>radicum</w:t>
      </w:r>
      <w:proofErr w:type="spellEnd"/>
      <w:r>
        <w:t xml:space="preserve"> L.) (Diptera: Anthomyiidae) attacks roots of transplanted brassicas in European and North American systems, causing severe growth suppression or plant death, and its subterranean biology makes above-ground control interventions largely ineffective (Hooks &amp; Johnson, 2003).</w:t>
      </w:r>
    </w:p>
    <w:p w14:paraId="1FA829AA" w14:textId="77777777" w:rsidR="00BB3F4E" w:rsidRDefault="007B5E95">
      <w:pPr>
        <w:pStyle w:val="Heading1"/>
      </w:pPr>
      <w:r>
        <w:t>5. Biological Control Strategies</w:t>
      </w:r>
    </w:p>
    <w:p w14:paraId="11531409" w14:textId="77777777" w:rsidR="00BB3F4E" w:rsidRDefault="007B5E95">
      <w:pPr>
        <w:pStyle w:val="Heading2"/>
      </w:pPr>
      <w:r>
        <w:t>5.1 Parasitoids and Predatory Arthropods</w:t>
      </w:r>
    </w:p>
    <w:p w14:paraId="3B34565E" w14:textId="77777777" w:rsidR="00BB3F4E" w:rsidRDefault="007B5E95">
      <w:pPr>
        <w:spacing w:after="160" w:line="480" w:lineRule="auto"/>
        <w:ind w:firstLine="720"/>
        <w:jc w:val="both"/>
      </w:pPr>
      <w:r>
        <w:t xml:space="preserve">Parasitoids—organisms whose larvae develop within or upon a host insect, ultimately killing it—constitute perhaps the most important component of natural biological regulation of brassica insect pests under undisturbed ecological conditions. For </w:t>
      </w:r>
      <w:r>
        <w:rPr>
          <w:i/>
          <w:iCs/>
        </w:rPr>
        <w:t xml:space="preserve">P. </w:t>
      </w:r>
      <w:proofErr w:type="spellStart"/>
      <w:r>
        <w:rPr>
          <w:i/>
          <w:iCs/>
        </w:rPr>
        <w:t>xylostella</w:t>
      </w:r>
      <w:proofErr w:type="spellEnd"/>
      <w:r>
        <w:t xml:space="preserve">, the parasitoid complex is particularly well documented and includes larval </w:t>
      </w:r>
      <w:proofErr w:type="spellStart"/>
      <w:r>
        <w:t>endoparasitoids</w:t>
      </w:r>
      <w:proofErr w:type="spellEnd"/>
      <w:r>
        <w:t xml:space="preserve"> such as </w:t>
      </w:r>
      <w:proofErr w:type="spellStart"/>
      <w:r>
        <w:rPr>
          <w:i/>
          <w:iCs/>
        </w:rPr>
        <w:t>Cotesia</w:t>
      </w:r>
      <w:proofErr w:type="spellEnd"/>
      <w:r>
        <w:rPr>
          <w:i/>
          <w:iCs/>
        </w:rPr>
        <w:t xml:space="preserve"> </w:t>
      </w:r>
      <w:proofErr w:type="spellStart"/>
      <w:r>
        <w:rPr>
          <w:i/>
          <w:iCs/>
        </w:rPr>
        <w:t>vestalis</w:t>
      </w:r>
      <w:proofErr w:type="spellEnd"/>
      <w:r>
        <w:t xml:space="preserve"> (</w:t>
      </w:r>
      <w:proofErr w:type="spellStart"/>
      <w:r>
        <w:t>Haliday</w:t>
      </w:r>
      <w:proofErr w:type="spellEnd"/>
      <w:r>
        <w:t xml:space="preserve">) [= </w:t>
      </w:r>
      <w:proofErr w:type="spellStart"/>
      <w:r>
        <w:rPr>
          <w:i/>
          <w:iCs/>
        </w:rPr>
        <w:t>Cotesia</w:t>
      </w:r>
      <w:proofErr w:type="spellEnd"/>
      <w:r>
        <w:rPr>
          <w:i/>
          <w:iCs/>
        </w:rPr>
        <w:t xml:space="preserve"> </w:t>
      </w:r>
      <w:proofErr w:type="spellStart"/>
      <w:r>
        <w:rPr>
          <w:i/>
          <w:iCs/>
        </w:rPr>
        <w:t>plutellae</w:t>
      </w:r>
      <w:proofErr w:type="spellEnd"/>
      <w:r>
        <w:t xml:space="preserve"> (</w:t>
      </w:r>
      <w:proofErr w:type="spellStart"/>
      <w:r>
        <w:t>Kurdj</w:t>
      </w:r>
      <w:proofErr w:type="spellEnd"/>
      <w:r>
        <w:t xml:space="preserve">.)] (Hymenoptera: </w:t>
      </w:r>
      <w:proofErr w:type="spellStart"/>
      <w:r>
        <w:t>Braconidae</w:t>
      </w:r>
      <w:proofErr w:type="spellEnd"/>
      <w:r>
        <w:t xml:space="preserve">) and </w:t>
      </w:r>
      <w:proofErr w:type="spellStart"/>
      <w:r>
        <w:rPr>
          <w:i/>
          <w:iCs/>
        </w:rPr>
        <w:t>Diadegma</w:t>
      </w:r>
      <w:proofErr w:type="spellEnd"/>
      <w:r>
        <w:rPr>
          <w:i/>
          <w:iCs/>
        </w:rPr>
        <w:t xml:space="preserve"> </w:t>
      </w:r>
      <w:proofErr w:type="spellStart"/>
      <w:r>
        <w:rPr>
          <w:i/>
          <w:iCs/>
        </w:rPr>
        <w:t>semiclausum</w:t>
      </w:r>
      <w:proofErr w:type="spellEnd"/>
      <w:r>
        <w:t xml:space="preserve"> </w:t>
      </w:r>
      <w:proofErr w:type="spellStart"/>
      <w:r>
        <w:t>Hellén</w:t>
      </w:r>
      <w:proofErr w:type="spellEnd"/>
      <w:r>
        <w:t xml:space="preserve"> (Hymenoptera: </w:t>
      </w:r>
      <w:proofErr w:type="spellStart"/>
      <w:r>
        <w:t>Ichneumonidae</w:t>
      </w:r>
      <w:proofErr w:type="spellEnd"/>
      <w:r>
        <w:t xml:space="preserve">), </w:t>
      </w:r>
      <w:proofErr w:type="spellStart"/>
      <w:r>
        <w:t>pupal</w:t>
      </w:r>
      <w:proofErr w:type="spellEnd"/>
      <w:r>
        <w:t xml:space="preserve"> </w:t>
      </w:r>
      <w:proofErr w:type="spellStart"/>
      <w:r>
        <w:t>ectoparasitoids</w:t>
      </w:r>
      <w:proofErr w:type="spellEnd"/>
      <w:r>
        <w:t xml:space="preserve"> such as </w:t>
      </w:r>
      <w:proofErr w:type="spellStart"/>
      <w:r>
        <w:rPr>
          <w:i/>
          <w:iCs/>
        </w:rPr>
        <w:t>Conura</w:t>
      </w:r>
      <w:proofErr w:type="spellEnd"/>
      <w:r>
        <w:rPr>
          <w:i/>
          <w:iCs/>
        </w:rPr>
        <w:t xml:space="preserve"> </w:t>
      </w:r>
      <w:proofErr w:type="spellStart"/>
      <w:r>
        <w:rPr>
          <w:i/>
          <w:iCs/>
        </w:rPr>
        <w:t>albifrons</w:t>
      </w:r>
      <w:proofErr w:type="spellEnd"/>
      <w:r>
        <w:t xml:space="preserve"> (Walsh) (Hymenoptera: </w:t>
      </w:r>
      <w:proofErr w:type="spellStart"/>
      <w:r>
        <w:t>Chalcididae</w:t>
      </w:r>
      <w:proofErr w:type="spellEnd"/>
      <w:r>
        <w:t xml:space="preserve">), and egg-larval parasitoids such as </w:t>
      </w:r>
      <w:proofErr w:type="spellStart"/>
      <w:r>
        <w:rPr>
          <w:i/>
          <w:iCs/>
        </w:rPr>
        <w:t>Oomyzus</w:t>
      </w:r>
      <w:proofErr w:type="spellEnd"/>
      <w:r>
        <w:rPr>
          <w:i/>
          <w:iCs/>
        </w:rPr>
        <w:t xml:space="preserve"> </w:t>
      </w:r>
      <w:proofErr w:type="spellStart"/>
      <w:r>
        <w:rPr>
          <w:i/>
          <w:iCs/>
        </w:rPr>
        <w:t>sokolowskii</w:t>
      </w:r>
      <w:proofErr w:type="spellEnd"/>
      <w:r>
        <w:t xml:space="preserve"> (</w:t>
      </w:r>
      <w:proofErr w:type="spellStart"/>
      <w:r>
        <w:t>Kurdjumov</w:t>
      </w:r>
      <w:proofErr w:type="spellEnd"/>
      <w:r>
        <w:t xml:space="preserve">) (Hymenoptera: </w:t>
      </w:r>
      <w:proofErr w:type="spellStart"/>
      <w:r>
        <w:t>Eulophidae</w:t>
      </w:r>
      <w:proofErr w:type="spellEnd"/>
      <w:r>
        <w:t xml:space="preserve">). </w:t>
      </w:r>
      <w:proofErr w:type="spellStart"/>
      <w:r>
        <w:t>Verkerk</w:t>
      </w:r>
      <w:proofErr w:type="spellEnd"/>
      <w:r>
        <w:t xml:space="preserve"> &amp; Wright (1996) provided an early comprehensive review of the multitrophic interactions governing these parasitoid–host relationships and </w:t>
      </w:r>
      <w:proofErr w:type="spellStart"/>
      <w:r>
        <w:t>emphasised</w:t>
      </w:r>
      <w:proofErr w:type="spellEnd"/>
      <w:r>
        <w:t xml:space="preserve"> that insecticide applications were among the most significant disruptive factors undermining naturally occurring parasitism rates.</w:t>
      </w:r>
    </w:p>
    <w:p w14:paraId="61E2175B" w14:textId="77777777" w:rsidR="00BB3F4E" w:rsidRDefault="007B5E95">
      <w:pPr>
        <w:spacing w:after="160" w:line="480" w:lineRule="auto"/>
        <w:ind w:firstLine="720"/>
        <w:jc w:val="both"/>
      </w:pPr>
      <w:proofErr w:type="spellStart"/>
      <w:r>
        <w:rPr>
          <w:i/>
          <w:iCs/>
        </w:rPr>
        <w:t>Cotesia</w:t>
      </w:r>
      <w:proofErr w:type="spellEnd"/>
      <w:r>
        <w:rPr>
          <w:i/>
          <w:iCs/>
        </w:rPr>
        <w:t xml:space="preserve"> </w:t>
      </w:r>
      <w:proofErr w:type="spellStart"/>
      <w:r>
        <w:rPr>
          <w:i/>
          <w:iCs/>
        </w:rPr>
        <w:t>vestalis</w:t>
      </w:r>
      <w:proofErr w:type="spellEnd"/>
      <w:r>
        <w:t xml:space="preserve"> is an </w:t>
      </w:r>
      <w:proofErr w:type="spellStart"/>
      <w:r>
        <w:t>idiobiont</w:t>
      </w:r>
      <w:proofErr w:type="spellEnd"/>
      <w:r>
        <w:t xml:space="preserve"> larval </w:t>
      </w:r>
      <w:proofErr w:type="spellStart"/>
      <w:r>
        <w:t>endoparasitoid</w:t>
      </w:r>
      <w:proofErr w:type="spellEnd"/>
      <w:r>
        <w:t xml:space="preserve"> distributed throughout Asia, Africa, and Europe and has been the subject of classical biological control introductions in several countries. Inoculative releases of </w:t>
      </w:r>
      <w:r>
        <w:rPr>
          <w:i/>
          <w:iCs/>
        </w:rPr>
        <w:t xml:space="preserve">C. </w:t>
      </w:r>
      <w:proofErr w:type="spellStart"/>
      <w:r>
        <w:rPr>
          <w:i/>
          <w:iCs/>
        </w:rPr>
        <w:t>vestalis</w:t>
      </w:r>
      <w:proofErr w:type="spellEnd"/>
      <w:r>
        <w:t xml:space="preserve"> have achieved parasitism rates of 30–70% in field </w:t>
      </w:r>
      <w:r>
        <w:lastRenderedPageBreak/>
        <w:t xml:space="preserve">trials in South and South-East Asia, though efficacy varies considerably with temperature, host density, and the availability of floral resources for adult parasitoid nutrition (Furlong et al., 2013). </w:t>
      </w:r>
      <w:proofErr w:type="spellStart"/>
      <w:r>
        <w:rPr>
          <w:i/>
          <w:iCs/>
        </w:rPr>
        <w:t>Diadegma</w:t>
      </w:r>
      <w:proofErr w:type="spellEnd"/>
      <w:r>
        <w:rPr>
          <w:i/>
          <w:iCs/>
        </w:rPr>
        <w:t xml:space="preserve"> </w:t>
      </w:r>
      <w:proofErr w:type="spellStart"/>
      <w:r>
        <w:rPr>
          <w:i/>
          <w:iCs/>
        </w:rPr>
        <w:t>semiclausum</w:t>
      </w:r>
      <w:proofErr w:type="spellEnd"/>
      <w:r>
        <w:t xml:space="preserve"> performs particularly well in cooler highland environments, and its classical introduction from Europe to Indonesia and Kenya has achieved documented reductions in </w:t>
      </w:r>
      <w:r>
        <w:rPr>
          <w:i/>
          <w:iCs/>
        </w:rPr>
        <w:t xml:space="preserve">P. </w:t>
      </w:r>
      <w:proofErr w:type="spellStart"/>
      <w:r>
        <w:rPr>
          <w:i/>
          <w:iCs/>
        </w:rPr>
        <w:t>xylostella</w:t>
      </w:r>
      <w:proofErr w:type="spellEnd"/>
      <w:r>
        <w:t xml:space="preserve"> populations, representing one of the more successful classical biocontrol interventions for any vegetable crop pest (Grzywacz et al., 2010).</w:t>
      </w:r>
    </w:p>
    <w:p w14:paraId="39A6FBA4" w14:textId="77777777" w:rsidR="00BB3F4E" w:rsidRDefault="007B5E95">
      <w:pPr>
        <w:spacing w:after="160" w:line="480" w:lineRule="auto"/>
        <w:ind w:firstLine="720"/>
        <w:jc w:val="both"/>
      </w:pPr>
      <w:r>
        <w:t xml:space="preserve">The disruption of parasitoid activity by insecticide applications has been extensively documented. </w:t>
      </w:r>
      <w:proofErr w:type="spellStart"/>
      <w:r>
        <w:t>Desneux</w:t>
      </w:r>
      <w:proofErr w:type="spellEnd"/>
      <w:r>
        <w:t xml:space="preserve"> et al. (2007) reviewed the sublethal effects of pesticides on beneficial arthropods and documented reductions in parasitoid fecundity, host-finding efficiency, and adult longevity following sub-lethal insecticide exposures. This relationship creates a well-documented 'pesticide treadmill' in which insecticide disruption of natural enemies necessitates further applications, reinforcing pest resurgence and accelerating resistance evolution (</w:t>
      </w:r>
      <w:proofErr w:type="spellStart"/>
      <w:r>
        <w:t>Verkerk</w:t>
      </w:r>
      <w:proofErr w:type="spellEnd"/>
      <w:r>
        <w:t xml:space="preserve"> &amp; Wright, 1996).</w:t>
      </w:r>
    </w:p>
    <w:p w14:paraId="56108689" w14:textId="77777777" w:rsidR="00BB3F4E" w:rsidRDefault="007B5E95">
      <w:pPr>
        <w:spacing w:after="160" w:line="480" w:lineRule="auto"/>
        <w:ind w:firstLine="720"/>
        <w:jc w:val="both"/>
      </w:pPr>
      <w:r>
        <w:t xml:space="preserve">For aphid pests, the parasitoid fauna includes </w:t>
      </w:r>
      <w:proofErr w:type="spellStart"/>
      <w:r>
        <w:rPr>
          <w:i/>
          <w:iCs/>
        </w:rPr>
        <w:t>Diaeretiella</w:t>
      </w:r>
      <w:proofErr w:type="spellEnd"/>
      <w:r>
        <w:rPr>
          <w:i/>
          <w:iCs/>
        </w:rPr>
        <w:t xml:space="preserve"> </w:t>
      </w:r>
      <w:proofErr w:type="spellStart"/>
      <w:r>
        <w:rPr>
          <w:i/>
          <w:iCs/>
        </w:rPr>
        <w:t>rapae</w:t>
      </w:r>
      <w:proofErr w:type="spellEnd"/>
      <w:r>
        <w:t xml:space="preserve"> (McIntosh) (Hymenoptera: Braconidae), a specialist parasitoid of </w:t>
      </w:r>
      <w:r>
        <w:rPr>
          <w:i/>
          <w:iCs/>
        </w:rPr>
        <w:t>B. brassicae</w:t>
      </w:r>
      <w:r>
        <w:t xml:space="preserve"> that can achieve high parasitism rates in naturally undisturbed populations. Predatory arthropods including coccinellid beetles (e.g., </w:t>
      </w:r>
      <w:proofErr w:type="spellStart"/>
      <w:r>
        <w:rPr>
          <w:i/>
          <w:iCs/>
        </w:rPr>
        <w:t>Coccinella</w:t>
      </w:r>
      <w:proofErr w:type="spellEnd"/>
      <w:r>
        <w:rPr>
          <w:i/>
          <w:iCs/>
        </w:rPr>
        <w:t xml:space="preserve"> </w:t>
      </w:r>
      <w:proofErr w:type="spellStart"/>
      <w:r>
        <w:rPr>
          <w:i/>
          <w:iCs/>
        </w:rPr>
        <w:t>septempunctata</w:t>
      </w:r>
      <w:proofErr w:type="spellEnd"/>
      <w:r>
        <w:t xml:space="preserve"> L.), hoverfly larvae (Syrphidae), lacewing larvae (Chrysopidae), and general predatory bugs play an important role in suppressing aphid outbreaks, though their impact is contingent on landscape diversity and the availability of non-crop habitats that support alternative prey and overwintering refugia (Landis et al., 2000). The creation and maintenance of flowering field margins and insectary strips to support populations of parasitoids and aphid predators represents a well-established conservation biocontrol </w:t>
      </w:r>
      <w:r>
        <w:lastRenderedPageBreak/>
        <w:t>technique whose efficacy has been demonstrated in temperate European agricultural landscapes (Gurr et al., 2003).</w:t>
      </w:r>
    </w:p>
    <w:p w14:paraId="53062C4E" w14:textId="77777777" w:rsidR="00BB3F4E" w:rsidRDefault="007B5E95">
      <w:pPr>
        <w:spacing w:after="160" w:line="480" w:lineRule="auto"/>
        <w:ind w:firstLine="720"/>
        <w:jc w:val="both"/>
      </w:pPr>
      <w:r>
        <w:t xml:space="preserve">The commercial augmentative biological control market has expanded substantially over recent decades, with products based on mass-reared natural enemies now available for numerous pest situations. Van </w:t>
      </w:r>
      <w:proofErr w:type="spellStart"/>
      <w:r>
        <w:t>Lenteren</w:t>
      </w:r>
      <w:proofErr w:type="spellEnd"/>
      <w:r>
        <w:t xml:space="preserve"> et al. (2018) documented the rapid diversification of commercially produced biocontrol agents and reported that almost 350 natural enemy species were in use globally by 2016. However, van </w:t>
      </w:r>
      <w:proofErr w:type="spellStart"/>
      <w:r>
        <w:t>Lenteren</w:t>
      </w:r>
      <w:proofErr w:type="spellEnd"/>
      <w:r>
        <w:t xml:space="preserve"> (2012) noted a persistent gap between the availability of natural enemy products and their actual uptake by farmers, attributable to inconsistent efficacy, lack of awareness, and absence of economic incentive structures that </w:t>
      </w:r>
      <w:proofErr w:type="spellStart"/>
      <w:r>
        <w:t>favour</w:t>
      </w:r>
      <w:proofErr w:type="spellEnd"/>
      <w:r>
        <w:t xml:space="preserve"> long-term investment in biological control.</w:t>
      </w:r>
    </w:p>
    <w:p w14:paraId="2EDE93D0" w14:textId="77777777" w:rsidR="00BB3F4E" w:rsidRDefault="007B5E95">
      <w:pPr>
        <w:pStyle w:val="Heading2"/>
      </w:pPr>
      <w:r>
        <w:t>5.2 Entomopathogenic Bacteria: Bacillus thuringiensis</w:t>
      </w:r>
    </w:p>
    <w:p w14:paraId="2BD9667C" w14:textId="77777777" w:rsidR="00BB3F4E" w:rsidRDefault="007B5E95">
      <w:pPr>
        <w:spacing w:after="160" w:line="480" w:lineRule="auto"/>
        <w:ind w:firstLine="720"/>
        <w:jc w:val="both"/>
      </w:pPr>
      <w:r>
        <w:rPr>
          <w:i/>
          <w:iCs/>
        </w:rPr>
        <w:t xml:space="preserve">Bacillus </w:t>
      </w:r>
      <w:proofErr w:type="spellStart"/>
      <w:r>
        <w:rPr>
          <w:i/>
          <w:iCs/>
        </w:rPr>
        <w:t>thuringiensis</w:t>
      </w:r>
      <w:proofErr w:type="spellEnd"/>
      <w:r>
        <w:t xml:space="preserve"> (</w:t>
      </w:r>
      <w:proofErr w:type="spellStart"/>
      <w:r>
        <w:t>Bt</w:t>
      </w:r>
      <w:proofErr w:type="spellEnd"/>
      <w:r>
        <w:t xml:space="preserve">) Berliner is a gram-positive, spore-forming soil bacterium that produces proteinaceous crystal inclusions—delta-endotoxins or Cry proteins—with potent and specific insecticidal activity against lepidopteran, dipteran, and coleopteran larvae. Bt is the best-documented and most widely applied microbial insecticide in the world, and its </w:t>
      </w:r>
      <w:proofErr w:type="spellStart"/>
      <w:r>
        <w:t>commercialisation</w:t>
      </w:r>
      <w:proofErr w:type="spellEnd"/>
      <w:r>
        <w:t xml:space="preserve"> represents one of the most significant contributions of microbiology to sustainable pest management (</w:t>
      </w:r>
      <w:proofErr w:type="spellStart"/>
      <w:r>
        <w:t>Sanahuja</w:t>
      </w:r>
      <w:proofErr w:type="spellEnd"/>
      <w:r>
        <w:t xml:space="preserve"> et al., 2011; Palma et al., 2014). In cabbage pest management, formulations based on Bt subsp. </w:t>
      </w:r>
      <w:proofErr w:type="spellStart"/>
      <w:r>
        <w:rPr>
          <w:i/>
          <w:iCs/>
        </w:rPr>
        <w:t>kurstaki</w:t>
      </w:r>
      <w:proofErr w:type="spellEnd"/>
      <w:r>
        <w:t xml:space="preserve"> (</w:t>
      </w:r>
      <w:proofErr w:type="spellStart"/>
      <w:r>
        <w:t>Btk</w:t>
      </w:r>
      <w:proofErr w:type="spellEnd"/>
      <w:r>
        <w:t xml:space="preserve">) expressing </w:t>
      </w:r>
      <w:proofErr w:type="spellStart"/>
      <w:r>
        <w:t>Cry1A</w:t>
      </w:r>
      <w:proofErr w:type="spellEnd"/>
      <w:r>
        <w:t xml:space="preserve"> proteins are most commonly deployed, targeting </w:t>
      </w:r>
      <w:r>
        <w:rPr>
          <w:i/>
          <w:iCs/>
        </w:rPr>
        <w:t xml:space="preserve">P. </w:t>
      </w:r>
      <w:proofErr w:type="spellStart"/>
      <w:r>
        <w:rPr>
          <w:i/>
          <w:iCs/>
        </w:rPr>
        <w:t>xylostella</w:t>
      </w:r>
      <w:proofErr w:type="spellEnd"/>
      <w:r>
        <w:t xml:space="preserve">, </w:t>
      </w:r>
      <w:r>
        <w:rPr>
          <w:i/>
          <w:iCs/>
        </w:rPr>
        <w:t>P. rapae</w:t>
      </w:r>
      <w:r>
        <w:t xml:space="preserve">, and </w:t>
      </w:r>
      <w:r>
        <w:rPr>
          <w:i/>
          <w:iCs/>
        </w:rPr>
        <w:t xml:space="preserve">T. </w:t>
      </w:r>
      <w:proofErr w:type="spellStart"/>
      <w:r>
        <w:rPr>
          <w:i/>
          <w:iCs/>
        </w:rPr>
        <w:t>ni</w:t>
      </w:r>
      <w:proofErr w:type="spellEnd"/>
      <w:r>
        <w:t xml:space="preserve"> larvae with high efficacy when applied at appropriate crop growth stages and under suitable environmental conditions.</w:t>
      </w:r>
    </w:p>
    <w:p w14:paraId="4E3D674E" w14:textId="77777777" w:rsidR="00BB3F4E" w:rsidRDefault="007B5E95">
      <w:pPr>
        <w:spacing w:after="160" w:line="480" w:lineRule="auto"/>
        <w:ind w:firstLine="720"/>
        <w:jc w:val="both"/>
      </w:pPr>
      <w:r>
        <w:t xml:space="preserve">The mode of action of Bt Cry toxins is well </w:t>
      </w:r>
      <w:proofErr w:type="spellStart"/>
      <w:r>
        <w:t>characterised</w:t>
      </w:r>
      <w:proofErr w:type="spellEnd"/>
      <w:r>
        <w:t xml:space="preserve">: upon ingestion, the </w:t>
      </w:r>
      <w:proofErr w:type="spellStart"/>
      <w:r>
        <w:t>protoxin</w:t>
      </w:r>
      <w:proofErr w:type="spellEnd"/>
      <w:r>
        <w:t xml:space="preserve"> is </w:t>
      </w:r>
      <w:proofErr w:type="spellStart"/>
      <w:r>
        <w:t>solubilised</w:t>
      </w:r>
      <w:proofErr w:type="spellEnd"/>
      <w:r>
        <w:t xml:space="preserve"> and </w:t>
      </w:r>
      <w:proofErr w:type="spellStart"/>
      <w:r>
        <w:t>proteolytically</w:t>
      </w:r>
      <w:proofErr w:type="spellEnd"/>
      <w:r>
        <w:t xml:space="preserve"> activated in the alkaline midgut environment of susceptible larvae, where it binds to specific receptors in midgut epithelial cells, forming pores that disrupt osmotic </w:t>
      </w:r>
      <w:r>
        <w:lastRenderedPageBreak/>
        <w:t xml:space="preserve">balance and cause rapid larval death. The high specificity of </w:t>
      </w:r>
      <w:proofErr w:type="spellStart"/>
      <w:r>
        <w:t>Bt</w:t>
      </w:r>
      <w:proofErr w:type="spellEnd"/>
      <w:r>
        <w:t xml:space="preserve"> toxins for </w:t>
      </w:r>
      <w:proofErr w:type="spellStart"/>
      <w:r>
        <w:t>lepidopteran</w:t>
      </w:r>
      <w:proofErr w:type="spellEnd"/>
      <w:r>
        <w:t xml:space="preserve"> larvae, combined with their biodegradability and safety for non-target organisms including humans, make them particularly appropriate for use in integrated management systems where preservation of natural enemies is a priority (Lacey et al., 2015). Shelton et al. (2002) highlighted the ecological and food safety advantages of Bt-based management within broader discussions of transgenic Bt plant deployment.</w:t>
      </w:r>
    </w:p>
    <w:p w14:paraId="24B10762" w14:textId="77777777" w:rsidR="00BB3F4E" w:rsidRDefault="007B5E95">
      <w:pPr>
        <w:spacing w:after="160" w:line="480" w:lineRule="auto"/>
        <w:ind w:firstLine="720"/>
        <w:jc w:val="both"/>
      </w:pPr>
      <w:r>
        <w:t xml:space="preserve">Despite these advantages, the development of resistance to Bt formulations in </w:t>
      </w:r>
      <w:r>
        <w:rPr>
          <w:i/>
          <w:iCs/>
        </w:rPr>
        <w:t xml:space="preserve">P. </w:t>
      </w:r>
      <w:proofErr w:type="spellStart"/>
      <w:r>
        <w:rPr>
          <w:i/>
          <w:iCs/>
        </w:rPr>
        <w:t>xylostella</w:t>
      </w:r>
      <w:proofErr w:type="spellEnd"/>
      <w:r>
        <w:t xml:space="preserve"> populations is a major concern. Field-evolved resistance to Bt Cry1A toxins has been documented in populations on several continents, and monitoring </w:t>
      </w:r>
      <w:proofErr w:type="spellStart"/>
      <w:r>
        <w:t>programmes</w:t>
      </w:r>
      <w:proofErr w:type="spellEnd"/>
      <w:r>
        <w:t xml:space="preserve"> have documented the progressive erosion of susceptibility in regions of intensive Bt application (Furlong et al., 2013). Resistance management strategies, including rotational use of different Cry protein types, the use of refuge areas sown with non-Bt plants, and rotation with other classes of biopesticide, are therefore essential components of responsible Bt deployment (Zhao et al., 2003). The deployment of transgenic </w:t>
      </w:r>
      <w:proofErr w:type="spellStart"/>
      <w:r>
        <w:t>Bt</w:t>
      </w:r>
      <w:proofErr w:type="spellEnd"/>
      <w:r>
        <w:t xml:space="preserve"> brassica cultivars expressing two Bt toxins simultaneously has been proposed and evaluated as a pyramided resistance management strategy, with experimental evidence suggesting that dual-toxin plants can substantially delay resistance evolution in laboratory and semi-field conditions (Zhao et al., 2003). Zhao et al. (2002) also demonstrated that resistance to </w:t>
      </w:r>
      <w:proofErr w:type="spellStart"/>
      <w:r>
        <w:t>spinosad</w:t>
      </w:r>
      <w:proofErr w:type="spellEnd"/>
      <w:r>
        <w:t xml:space="preserve">, a naturally derived fermentation product with a distinct mode of action from Bt, evolved rapidly in </w:t>
      </w:r>
      <w:r>
        <w:rPr>
          <w:i/>
          <w:iCs/>
        </w:rPr>
        <w:t xml:space="preserve">P. </w:t>
      </w:r>
      <w:proofErr w:type="spellStart"/>
      <w:r>
        <w:rPr>
          <w:i/>
          <w:iCs/>
        </w:rPr>
        <w:t>xylostella</w:t>
      </w:r>
      <w:proofErr w:type="spellEnd"/>
      <w:r>
        <w:t xml:space="preserve"> populations where it was intensively applied, underscoring the universal need for rotational and diversified management approaches.</w:t>
      </w:r>
    </w:p>
    <w:p w14:paraId="36751198" w14:textId="77777777" w:rsidR="00BB3F4E" w:rsidRDefault="007B5E95">
      <w:pPr>
        <w:pStyle w:val="Heading2"/>
      </w:pPr>
      <w:r>
        <w:t>5.3 Entomopathogenic Fungi</w:t>
      </w:r>
    </w:p>
    <w:p w14:paraId="4430C9A3" w14:textId="77777777" w:rsidR="00BB3F4E" w:rsidRDefault="007B5E95">
      <w:pPr>
        <w:spacing w:after="160" w:line="480" w:lineRule="auto"/>
        <w:ind w:firstLine="720"/>
        <w:jc w:val="both"/>
      </w:pPr>
      <w:r>
        <w:t xml:space="preserve">Entomopathogenic fungi (EPF) constitute a taxonomically diverse group of ascomycete and basidiomycete fungi that infect insects via active penetration of the cuticle, distinguishing </w:t>
      </w:r>
      <w:r>
        <w:lastRenderedPageBreak/>
        <w:t xml:space="preserve">them mechanistically from orally ingested pathogens such as Bt. The genera most extensively investigated for biocontrol of brassica pests include </w:t>
      </w:r>
      <w:proofErr w:type="spellStart"/>
      <w:r>
        <w:rPr>
          <w:i/>
          <w:iCs/>
        </w:rPr>
        <w:t>Beauveria</w:t>
      </w:r>
      <w:proofErr w:type="spellEnd"/>
      <w:r>
        <w:rPr>
          <w:i/>
          <w:iCs/>
        </w:rPr>
        <w:t xml:space="preserve"> </w:t>
      </w:r>
      <w:proofErr w:type="spellStart"/>
      <w:r>
        <w:rPr>
          <w:i/>
          <w:iCs/>
        </w:rPr>
        <w:t>bassiana</w:t>
      </w:r>
      <w:proofErr w:type="spellEnd"/>
      <w:r>
        <w:t xml:space="preserve"> (</w:t>
      </w:r>
      <w:proofErr w:type="spellStart"/>
      <w:r>
        <w:t>Bals</w:t>
      </w:r>
      <w:proofErr w:type="spellEnd"/>
      <w:r>
        <w:t>.-</w:t>
      </w:r>
      <w:proofErr w:type="spellStart"/>
      <w:r>
        <w:t>Criv</w:t>
      </w:r>
      <w:proofErr w:type="spellEnd"/>
      <w:r>
        <w:t xml:space="preserve">.) </w:t>
      </w:r>
      <w:proofErr w:type="spellStart"/>
      <w:r>
        <w:t>Vuill</w:t>
      </w:r>
      <w:proofErr w:type="spellEnd"/>
      <w:r>
        <w:t xml:space="preserve">., </w:t>
      </w:r>
      <w:proofErr w:type="spellStart"/>
      <w:r>
        <w:rPr>
          <w:i/>
          <w:iCs/>
        </w:rPr>
        <w:t>Metarhizium</w:t>
      </w:r>
      <w:proofErr w:type="spellEnd"/>
      <w:r>
        <w:rPr>
          <w:i/>
          <w:iCs/>
        </w:rPr>
        <w:t xml:space="preserve"> </w:t>
      </w:r>
      <w:proofErr w:type="spellStart"/>
      <w:r>
        <w:rPr>
          <w:i/>
          <w:iCs/>
        </w:rPr>
        <w:t>anisopliae</w:t>
      </w:r>
      <w:proofErr w:type="spellEnd"/>
      <w:r>
        <w:t xml:space="preserve"> (</w:t>
      </w:r>
      <w:proofErr w:type="spellStart"/>
      <w:r>
        <w:t>Metschn</w:t>
      </w:r>
      <w:proofErr w:type="spellEnd"/>
      <w:r>
        <w:t xml:space="preserve">.) Sorokin, and </w:t>
      </w:r>
      <w:proofErr w:type="spellStart"/>
      <w:r>
        <w:rPr>
          <w:i/>
          <w:iCs/>
        </w:rPr>
        <w:t>Isaria</w:t>
      </w:r>
      <w:proofErr w:type="spellEnd"/>
      <w:r>
        <w:rPr>
          <w:i/>
          <w:iCs/>
        </w:rPr>
        <w:t xml:space="preserve"> </w:t>
      </w:r>
      <w:proofErr w:type="spellStart"/>
      <w:r>
        <w:rPr>
          <w:i/>
          <w:iCs/>
        </w:rPr>
        <w:t>fumosorosea</w:t>
      </w:r>
      <w:proofErr w:type="spellEnd"/>
      <w:r>
        <w:t xml:space="preserve"> </w:t>
      </w:r>
      <w:proofErr w:type="spellStart"/>
      <w:r>
        <w:t>Wize</w:t>
      </w:r>
      <w:proofErr w:type="spellEnd"/>
      <w:r>
        <w:t>. Following conidial attachment to the insect cuticle, germination and appressorial formation initiate mechanical and enzymatic penetration of the integument; hyphal proliferation within the haemocoel leads to host death within several days to two weeks, after which sporulation from the cadaver produces secondary inoculum capable of infecting additional hosts (Shah &amp; Pell, 2003; Lacey et al., 2015).</w:t>
      </w:r>
    </w:p>
    <w:p w14:paraId="1EB44EC1" w14:textId="77777777" w:rsidR="00BB3F4E" w:rsidRDefault="007B5E95">
      <w:pPr>
        <w:spacing w:after="160" w:line="480" w:lineRule="auto"/>
        <w:ind w:firstLine="720"/>
        <w:jc w:val="both"/>
      </w:pPr>
      <w:r>
        <w:t xml:space="preserve">Shah &amp; Pell (2003) reviewed the potential and limitations of entomopathogenic fungi as biological control agents and </w:t>
      </w:r>
      <w:proofErr w:type="spellStart"/>
      <w:r>
        <w:t>emphasised</w:t>
      </w:r>
      <w:proofErr w:type="spellEnd"/>
      <w:r>
        <w:t xml:space="preserve"> their advantages in targeting insects that are not susceptible to Bt (particularly sucking pests) and their capacity to establish epizootics in dense insect populations under high-humidity conditions. </w:t>
      </w:r>
      <w:r>
        <w:rPr>
          <w:i/>
          <w:iCs/>
        </w:rPr>
        <w:t>Beauveria bassiana</w:t>
      </w:r>
      <w:r>
        <w:t xml:space="preserve"> isolates have been evaluated against </w:t>
      </w:r>
      <w:r>
        <w:rPr>
          <w:i/>
          <w:iCs/>
        </w:rPr>
        <w:t xml:space="preserve">P. </w:t>
      </w:r>
      <w:proofErr w:type="spellStart"/>
      <w:r>
        <w:rPr>
          <w:i/>
          <w:iCs/>
        </w:rPr>
        <w:t>xylostella</w:t>
      </w:r>
      <w:proofErr w:type="spellEnd"/>
      <w:r>
        <w:t xml:space="preserve">, </w:t>
      </w:r>
      <w:r>
        <w:rPr>
          <w:i/>
          <w:iCs/>
        </w:rPr>
        <w:t>B. brassicae</w:t>
      </w:r>
      <w:r>
        <w:t>, and flea beetles (</w:t>
      </w:r>
      <w:proofErr w:type="spellStart"/>
      <w:r>
        <w:rPr>
          <w:i/>
          <w:iCs/>
        </w:rPr>
        <w:t>Phyllotreta</w:t>
      </w:r>
      <w:proofErr w:type="spellEnd"/>
      <w:r>
        <w:t xml:space="preserve"> spp.) in multiple studies, with LC50 values varying substantially across isolates, pest species, and environmental conditions. Field application of EPF is constrained by the sensitivity of conidia to ultraviolet radiation and desiccation—both of which are common under field conditions in open-canopy vegetable crops—necessitating the development of UV-protective formulations and </w:t>
      </w:r>
      <w:proofErr w:type="spellStart"/>
      <w:r>
        <w:t>optimised</w:t>
      </w:r>
      <w:proofErr w:type="spellEnd"/>
      <w:r>
        <w:t xml:space="preserve"> application timing, typically towards evening or during overcast conditions (Lacey &amp; Shapiro-Ilan, 2008).</w:t>
      </w:r>
    </w:p>
    <w:p w14:paraId="063E021B" w14:textId="77777777" w:rsidR="00BB3F4E" w:rsidRDefault="007B5E95">
      <w:pPr>
        <w:spacing w:after="160" w:line="480" w:lineRule="auto"/>
        <w:ind w:firstLine="720"/>
        <w:jc w:val="both"/>
      </w:pPr>
      <w:r>
        <w:t xml:space="preserve">The discovery of </w:t>
      </w:r>
      <w:proofErr w:type="spellStart"/>
      <w:r>
        <w:t>endophytic</w:t>
      </w:r>
      <w:proofErr w:type="spellEnd"/>
      <w:r>
        <w:t xml:space="preserve"> </w:t>
      </w:r>
      <w:proofErr w:type="spellStart"/>
      <w:r>
        <w:t>colonisation</w:t>
      </w:r>
      <w:proofErr w:type="spellEnd"/>
      <w:r>
        <w:t xml:space="preserve"> by </w:t>
      </w:r>
      <w:proofErr w:type="spellStart"/>
      <w:r>
        <w:t>entomopathogenic</w:t>
      </w:r>
      <w:proofErr w:type="spellEnd"/>
      <w:r>
        <w:t xml:space="preserve"> fungi—their capacity to reside within plant tissues without causing disease—has opened a novel avenue for brassica pest management. Endophytic </w:t>
      </w:r>
      <w:r>
        <w:rPr>
          <w:i/>
          <w:iCs/>
        </w:rPr>
        <w:t>Beauveria bassiana</w:t>
      </w:r>
      <w:r>
        <w:t xml:space="preserve"> inoculated into brassica seedlings has been shown to confer systemic deterrence against aphids and possibly other pests through fungal metabolites </w:t>
      </w:r>
      <w:r>
        <w:lastRenderedPageBreak/>
        <w:t xml:space="preserve">that affect insect </w:t>
      </w:r>
      <w:proofErr w:type="spellStart"/>
      <w:r>
        <w:t>behaviour</w:t>
      </w:r>
      <w:proofErr w:type="spellEnd"/>
      <w:r>
        <w:t xml:space="preserve"> and physiology, though this area remains at an early stage of development and further field validation is required (Lacey et al., 2015).</w:t>
      </w:r>
    </w:p>
    <w:p w14:paraId="13E37DEF" w14:textId="77777777" w:rsidR="00BB3F4E" w:rsidRDefault="007B5E95">
      <w:pPr>
        <w:pStyle w:val="Heading2"/>
      </w:pPr>
      <w:r>
        <w:t>5.4 Entomopathogenic Nematodes</w:t>
      </w:r>
    </w:p>
    <w:p w14:paraId="1962EF2D" w14:textId="77777777" w:rsidR="00BB3F4E" w:rsidRDefault="007B5E95">
      <w:pPr>
        <w:spacing w:after="160" w:line="480" w:lineRule="auto"/>
        <w:ind w:firstLine="720"/>
        <w:jc w:val="both"/>
      </w:pPr>
      <w:r>
        <w:t xml:space="preserve">Entomopathogenic nematodes (EPNs) of the families </w:t>
      </w:r>
      <w:proofErr w:type="spellStart"/>
      <w:r>
        <w:t>Steinernematidae</w:t>
      </w:r>
      <w:proofErr w:type="spellEnd"/>
      <w:r>
        <w:t xml:space="preserve"> and </w:t>
      </w:r>
      <w:proofErr w:type="spellStart"/>
      <w:r>
        <w:t>Heterorhabditidae</w:t>
      </w:r>
      <w:proofErr w:type="spellEnd"/>
      <w:r>
        <w:t xml:space="preserve"> are obligate insect pathogens that kill their hosts in combination with symbiotic bacteria of the genera </w:t>
      </w:r>
      <w:proofErr w:type="spellStart"/>
      <w:r>
        <w:t>Xenorhabdus</w:t>
      </w:r>
      <w:proofErr w:type="spellEnd"/>
      <w:r>
        <w:t xml:space="preserve"> and </w:t>
      </w:r>
      <w:proofErr w:type="spellStart"/>
      <w:r>
        <w:t>Photorhabdus</w:t>
      </w:r>
      <w:proofErr w:type="spellEnd"/>
      <w:r>
        <w:t>, respectively. The infective juvenile stage of EPNs penetrates host insects via natural body openings or directly through the cuticle, enters the haemocoel, releases its bacterial symbiont, and death of the host insect occurs within 24–72 hours. EPNs have a broad host range encompassing many soil-dwelling insects and have also been investigated against foliar pests when applied as foliar sprays under conditions that maintain moisture on leaf surfaces.</w:t>
      </w:r>
    </w:p>
    <w:p w14:paraId="037E516A" w14:textId="77777777" w:rsidR="00BB3F4E" w:rsidRDefault="007B5E95">
      <w:pPr>
        <w:spacing w:after="160" w:line="480" w:lineRule="auto"/>
        <w:ind w:firstLine="720"/>
        <w:jc w:val="both"/>
      </w:pPr>
      <w:r>
        <w:t xml:space="preserve">Schroer &amp; Ehlers (2005) evaluated the efficacy of </w:t>
      </w:r>
      <w:proofErr w:type="spellStart"/>
      <w:r>
        <w:rPr>
          <w:i/>
          <w:iCs/>
        </w:rPr>
        <w:t>Steinernema</w:t>
      </w:r>
      <w:proofErr w:type="spellEnd"/>
      <w:r>
        <w:rPr>
          <w:i/>
          <w:iCs/>
        </w:rPr>
        <w:t xml:space="preserve"> </w:t>
      </w:r>
      <w:proofErr w:type="spellStart"/>
      <w:r>
        <w:rPr>
          <w:i/>
          <w:iCs/>
        </w:rPr>
        <w:t>carpocapsae</w:t>
      </w:r>
      <w:proofErr w:type="spellEnd"/>
      <w:r>
        <w:t xml:space="preserve"> (Weiser) applied as a foliar spray against </w:t>
      </w:r>
      <w:r>
        <w:rPr>
          <w:i/>
          <w:iCs/>
        </w:rPr>
        <w:t xml:space="preserve">P. </w:t>
      </w:r>
      <w:proofErr w:type="spellStart"/>
      <w:r>
        <w:rPr>
          <w:i/>
          <w:iCs/>
        </w:rPr>
        <w:t>xylostella</w:t>
      </w:r>
      <w:proofErr w:type="spellEnd"/>
      <w:r>
        <w:t xml:space="preserve"> larvae on cabbage under glasshouse and field conditions, finding that high concentrations of adjuvant and careful attention to moisture retention were critical for adequate efficacy. Mortality rates in glasshouse trials were considerably higher than those achieved under field conditions, reflecting the challenge of maintaining adequate humidity for EPN survival during field application. The application of anti-desiccant formulations and surfactants to EPN sprays is an active area of product development that seeks to extend the window of efficacy under field conditions (Lacey &amp; Shapiro-Ilan, 2008). Against soil-dwelling brassica pests such as cabbage root fly (</w:t>
      </w:r>
      <w:r>
        <w:rPr>
          <w:i/>
          <w:iCs/>
        </w:rPr>
        <w:t xml:space="preserve">D. </w:t>
      </w:r>
      <w:proofErr w:type="spellStart"/>
      <w:r>
        <w:rPr>
          <w:i/>
          <w:iCs/>
        </w:rPr>
        <w:t>radicum</w:t>
      </w:r>
      <w:proofErr w:type="spellEnd"/>
      <w:r>
        <w:t xml:space="preserve">), </w:t>
      </w:r>
      <w:proofErr w:type="spellStart"/>
      <w:r>
        <w:t>EPN</w:t>
      </w:r>
      <w:proofErr w:type="spellEnd"/>
      <w:r>
        <w:t xml:space="preserve"> soil drenches have shown considerable promise, with </w:t>
      </w:r>
      <w:proofErr w:type="spellStart"/>
      <w:r>
        <w:rPr>
          <w:i/>
          <w:iCs/>
        </w:rPr>
        <w:t>Steinernema</w:t>
      </w:r>
      <w:proofErr w:type="spellEnd"/>
      <w:r>
        <w:rPr>
          <w:i/>
          <w:iCs/>
        </w:rPr>
        <w:t xml:space="preserve"> </w:t>
      </w:r>
      <w:proofErr w:type="spellStart"/>
      <w:r>
        <w:rPr>
          <w:i/>
          <w:iCs/>
        </w:rPr>
        <w:t>feltiae</w:t>
      </w:r>
      <w:proofErr w:type="spellEnd"/>
      <w:r>
        <w:t xml:space="preserve"> (</w:t>
      </w:r>
      <w:proofErr w:type="spellStart"/>
      <w:r>
        <w:t>Filipjev</w:t>
      </w:r>
      <w:proofErr w:type="spellEnd"/>
      <w:r>
        <w:t>) demonstrating efficacy against larval populations in field trials, though results have been variable across studies and geographic contexts.</w:t>
      </w:r>
    </w:p>
    <w:p w14:paraId="20060E9A" w14:textId="77777777" w:rsidR="00BB3F4E" w:rsidRDefault="007B5E95">
      <w:pPr>
        <w:pStyle w:val="Heading2"/>
      </w:pPr>
      <w:r>
        <w:lastRenderedPageBreak/>
        <w:t>5.5 Botanical Biopesticides</w:t>
      </w:r>
    </w:p>
    <w:p w14:paraId="236ADB2D" w14:textId="77777777" w:rsidR="00BB3F4E" w:rsidRDefault="007B5E95">
      <w:pPr>
        <w:spacing w:after="160" w:line="480" w:lineRule="auto"/>
        <w:ind w:firstLine="720"/>
        <w:jc w:val="both"/>
      </w:pPr>
      <w:r>
        <w:t xml:space="preserve">Botanical insecticides represent a category of pest management inputs derived from plant extracts and secondary metabolites. Their attractiveness lies in their natural origin, frequent biodegradability, and safety profiles relative to many synthetic insecticides, although their efficacy is often more modest and more environmentally labile. Isman (2006) reviewed the global landscape of botanical insecticides and noted that despite the richness of bioactive plant chemistry—which includes alkaloids, terpenoids, pyrethrins, rotenoids, and essential oils—only a small number of compounds have achieved commercial scale, with </w:t>
      </w:r>
      <w:proofErr w:type="spellStart"/>
      <w:r>
        <w:t>azadirachtin</w:t>
      </w:r>
      <w:proofErr w:type="spellEnd"/>
      <w:r>
        <w:t xml:space="preserve"> derived from </w:t>
      </w:r>
      <w:proofErr w:type="spellStart"/>
      <w:r>
        <w:t>neem</w:t>
      </w:r>
      <w:proofErr w:type="spellEnd"/>
      <w:r>
        <w:t xml:space="preserve"> (</w:t>
      </w:r>
      <w:proofErr w:type="spellStart"/>
      <w:r>
        <w:rPr>
          <w:i/>
          <w:iCs/>
        </w:rPr>
        <w:t>Azadirachta</w:t>
      </w:r>
      <w:proofErr w:type="spellEnd"/>
      <w:r>
        <w:rPr>
          <w:i/>
          <w:iCs/>
        </w:rPr>
        <w:t xml:space="preserve"> </w:t>
      </w:r>
      <w:proofErr w:type="spellStart"/>
      <w:r>
        <w:rPr>
          <w:i/>
          <w:iCs/>
        </w:rPr>
        <w:t>indica</w:t>
      </w:r>
      <w:proofErr w:type="spellEnd"/>
      <w:r>
        <w:t xml:space="preserve"> A. Juss.) and </w:t>
      </w:r>
      <w:proofErr w:type="spellStart"/>
      <w:r>
        <w:t>pyrethrin</w:t>
      </w:r>
      <w:proofErr w:type="spellEnd"/>
      <w:r>
        <w:t xml:space="preserve"> from </w:t>
      </w:r>
      <w:r>
        <w:rPr>
          <w:i/>
          <w:iCs/>
        </w:rPr>
        <w:t xml:space="preserve">Chrysanthemum </w:t>
      </w:r>
      <w:proofErr w:type="spellStart"/>
      <w:r>
        <w:rPr>
          <w:i/>
          <w:iCs/>
        </w:rPr>
        <w:t>cinerariifolium</w:t>
      </w:r>
      <w:proofErr w:type="spellEnd"/>
      <w:r>
        <w:t xml:space="preserve"> </w:t>
      </w:r>
      <w:proofErr w:type="spellStart"/>
      <w:r>
        <w:t>Treviranus</w:t>
      </w:r>
      <w:proofErr w:type="spellEnd"/>
      <w:r>
        <w:t xml:space="preserve"> representing the most commercially significant examples.</w:t>
      </w:r>
    </w:p>
    <w:p w14:paraId="55670DC9" w14:textId="77777777" w:rsidR="00BB3F4E" w:rsidRDefault="007B5E95">
      <w:pPr>
        <w:spacing w:after="160" w:line="480" w:lineRule="auto"/>
        <w:ind w:firstLine="720"/>
        <w:jc w:val="both"/>
      </w:pPr>
      <w:r>
        <w:t xml:space="preserve">Azadirachtin, the principal active compound in neem seed extracts, functions primarily as an insect growth regulator and </w:t>
      </w:r>
      <w:proofErr w:type="spellStart"/>
      <w:r>
        <w:t>antifeedant</w:t>
      </w:r>
      <w:proofErr w:type="spellEnd"/>
      <w:r>
        <w:t xml:space="preserve">, disrupting </w:t>
      </w:r>
      <w:proofErr w:type="spellStart"/>
      <w:r>
        <w:t>moulting</w:t>
      </w:r>
      <w:proofErr w:type="spellEnd"/>
      <w:r>
        <w:t xml:space="preserve"> hormone cascades and deterring oviposition and feeding. Field applications of neem-based formulations have demonstrated moderate efficacy against </w:t>
      </w:r>
      <w:r>
        <w:rPr>
          <w:i/>
          <w:iCs/>
        </w:rPr>
        <w:t xml:space="preserve">P. </w:t>
      </w:r>
      <w:proofErr w:type="spellStart"/>
      <w:r>
        <w:rPr>
          <w:i/>
          <w:iCs/>
        </w:rPr>
        <w:t>xylostella</w:t>
      </w:r>
      <w:proofErr w:type="spellEnd"/>
      <w:r>
        <w:t xml:space="preserve"> larvae and </w:t>
      </w:r>
      <w:r>
        <w:rPr>
          <w:i/>
          <w:iCs/>
        </w:rPr>
        <w:t>B. brassicae</w:t>
      </w:r>
      <w:r>
        <w:t>, with the advantage that sublethal concentrations that reduce pest fecundity are achievable without causing significant mortality to natural enemies (Isman, 2006). Regnault-Roger et al. (2012) reviewed the utility of essential oils in insect control and concluded that whilst laboratory studies consistently demonstrate toxicity of diverse essential oils towards insect pests, the translation to robust field performance requires advances in encapsulation and formulation technology to address volatility and degradation under ambient conditions. Botanical insecticides are particularly appropriate for integration with biological control tactics, given their generally narrow spectrum of activity and lower impact on non-target natural enemies compared with broad-spectrum synthetic insecticides.</w:t>
      </w:r>
    </w:p>
    <w:p w14:paraId="6D88B9F3" w14:textId="77777777" w:rsidR="00BB3F4E" w:rsidRDefault="007B5E95">
      <w:pPr>
        <w:pStyle w:val="Heading2"/>
      </w:pPr>
      <w:r>
        <w:t>5.6 Conservation and Augmentative Biological Control</w:t>
      </w:r>
    </w:p>
    <w:p w14:paraId="315288A1" w14:textId="77777777" w:rsidR="00BB3F4E" w:rsidRDefault="007B5E95">
      <w:pPr>
        <w:spacing w:after="160" w:line="480" w:lineRule="auto"/>
        <w:ind w:firstLine="720"/>
        <w:jc w:val="both"/>
      </w:pPr>
      <w:r>
        <w:lastRenderedPageBreak/>
        <w:t xml:space="preserve">Conservation biological control—the modification of the environment or existing practices to protect and enhance the efficacy of naturally occurring natural enemies—is a conceptually compelling and practically important complement to classical and augmentative biocontrol. Landis et al. (2000) provided a seminal review of habitat management strategies for conserving natural enemies in agricultural landscapes and demonstrated that relatively modest alterations to field margins, crop diversity, and surrounding land use can substantially increase natural enemy abundance and pest suppression services. In brassica cropping systems specifically, the incorporation of floral diversity within and around crop fields—through insectary strip plantings of flowering species such as </w:t>
      </w:r>
      <w:proofErr w:type="spellStart"/>
      <w:r>
        <w:t>Phacelia</w:t>
      </w:r>
      <w:proofErr w:type="spellEnd"/>
      <w:r>
        <w:t xml:space="preserve"> </w:t>
      </w:r>
      <w:proofErr w:type="spellStart"/>
      <w:r>
        <w:t>tanacetifolia</w:t>
      </w:r>
      <w:proofErr w:type="spellEnd"/>
      <w:r>
        <w:t xml:space="preserve"> </w:t>
      </w:r>
      <w:proofErr w:type="spellStart"/>
      <w:r>
        <w:t>Benth</w:t>
      </w:r>
      <w:proofErr w:type="spellEnd"/>
      <w:r>
        <w:t xml:space="preserve">., alyssum, and buckwheat—has been shown to support adult parasitoid populations and enhance parasitism rates of P. </w:t>
      </w:r>
      <w:proofErr w:type="spellStart"/>
      <w:r>
        <w:t>xylostella</w:t>
      </w:r>
      <w:proofErr w:type="spellEnd"/>
      <w:r>
        <w:t xml:space="preserve"> larvae (</w:t>
      </w:r>
      <w:proofErr w:type="spellStart"/>
      <w:r>
        <w:t>Gurr</w:t>
      </w:r>
      <w:proofErr w:type="spellEnd"/>
      <w:r>
        <w:t xml:space="preserve"> et al., 2003; Landis et al., 2000).</w:t>
      </w:r>
    </w:p>
    <w:p w14:paraId="46504AF3" w14:textId="77777777" w:rsidR="00BB3F4E" w:rsidRDefault="007B5E95">
      <w:pPr>
        <w:spacing w:after="160" w:line="480" w:lineRule="auto"/>
        <w:ind w:firstLine="720"/>
        <w:jc w:val="both"/>
      </w:pPr>
      <w:r>
        <w:t xml:space="preserve">The role of agricultural biodiversity in supporting multiple natural enemy guilds has been reviewed by Hooks &amp; Johnson (2003), who documented that diversified brassica cropping systems </w:t>
      </w:r>
      <w:proofErr w:type="spellStart"/>
      <w:r>
        <w:t>harbouring</w:t>
      </w:r>
      <w:proofErr w:type="spellEnd"/>
      <w:r>
        <w:t xml:space="preserve"> intercropped non-host plants, cover crops, and hedgerow habitats hosted significantly greater natural enemy assemblages and lower pest densities than monoculture cabbage fields. Intercropping brassica crops with non-host aromatic plants such as </w:t>
      </w:r>
      <w:proofErr w:type="spellStart"/>
      <w:r>
        <w:rPr>
          <w:i/>
          <w:iCs/>
        </w:rPr>
        <w:t>Ocimum</w:t>
      </w:r>
      <w:proofErr w:type="spellEnd"/>
      <w:r>
        <w:rPr>
          <w:i/>
          <w:iCs/>
        </w:rPr>
        <w:t xml:space="preserve"> </w:t>
      </w:r>
      <w:proofErr w:type="spellStart"/>
      <w:r>
        <w:rPr>
          <w:i/>
          <w:iCs/>
        </w:rPr>
        <w:t>basilicum</w:t>
      </w:r>
      <w:proofErr w:type="spellEnd"/>
      <w:r>
        <w:t xml:space="preserve"> L. (basil) and </w:t>
      </w:r>
      <w:proofErr w:type="spellStart"/>
      <w:r>
        <w:rPr>
          <w:i/>
          <w:iCs/>
        </w:rPr>
        <w:t>Tagetes</w:t>
      </w:r>
      <w:proofErr w:type="spellEnd"/>
      <w:r>
        <w:rPr>
          <w:i/>
          <w:iCs/>
        </w:rPr>
        <w:t xml:space="preserve"> </w:t>
      </w:r>
      <w:proofErr w:type="spellStart"/>
      <w:r>
        <w:rPr>
          <w:i/>
          <w:iCs/>
        </w:rPr>
        <w:t>patula</w:t>
      </w:r>
      <w:proofErr w:type="spellEnd"/>
      <w:r>
        <w:t xml:space="preserve"> L. (French marigold) has been explored as a means of reducing pest </w:t>
      </w:r>
      <w:proofErr w:type="spellStart"/>
      <w:r>
        <w:t>colonisation</w:t>
      </w:r>
      <w:proofErr w:type="spellEnd"/>
      <w:r>
        <w:t xml:space="preserve"> through olfactory masking of host-plant volatiles, though the consistency of effects across environments warrants further investigation. Shelton &amp; </w:t>
      </w:r>
      <w:proofErr w:type="spellStart"/>
      <w:r>
        <w:t>Badenes</w:t>
      </w:r>
      <w:proofErr w:type="spellEnd"/>
      <w:r>
        <w:t>-Perez (2006) reviewed trap cropping strategies and found that trap crops planted adjacent to cabbage fields—particularly Indian mustard (</w:t>
      </w:r>
      <w:r>
        <w:rPr>
          <w:i/>
          <w:iCs/>
        </w:rPr>
        <w:t>Brassica juncea</w:t>
      </w:r>
      <w:r>
        <w:t xml:space="preserve"> L. </w:t>
      </w:r>
      <w:proofErr w:type="spellStart"/>
      <w:r>
        <w:t>Czern</w:t>
      </w:r>
      <w:proofErr w:type="spellEnd"/>
      <w:r>
        <w:t>.) and Chinese kale (</w:t>
      </w:r>
      <w:r>
        <w:rPr>
          <w:i/>
          <w:iCs/>
        </w:rPr>
        <w:t>B. oleracea</w:t>
      </w:r>
      <w:r>
        <w:t xml:space="preserve"> var. </w:t>
      </w:r>
      <w:proofErr w:type="spellStart"/>
      <w:r>
        <w:rPr>
          <w:i/>
          <w:iCs/>
        </w:rPr>
        <w:t>alboglabra</w:t>
      </w:r>
      <w:proofErr w:type="spellEnd"/>
      <w:r>
        <w:t xml:space="preserve">)—can concentrate </w:t>
      </w:r>
      <w:r>
        <w:rPr>
          <w:i/>
          <w:iCs/>
        </w:rPr>
        <w:t xml:space="preserve">P. </w:t>
      </w:r>
      <w:proofErr w:type="spellStart"/>
      <w:r>
        <w:rPr>
          <w:i/>
          <w:iCs/>
        </w:rPr>
        <w:t>xylostella</w:t>
      </w:r>
      <w:proofErr w:type="spellEnd"/>
      <w:r>
        <w:t xml:space="preserve"> populations and facilitate targeted </w:t>
      </w:r>
      <w:r>
        <w:lastRenderedPageBreak/>
        <w:t>application of insecticides or biocontrol agents to a smaller area, substantially reducing overall pesticide use whilst maintaining acceptable levels of crop protection.</w:t>
      </w:r>
    </w:p>
    <w:p w14:paraId="11582A8A" w14:textId="77777777" w:rsidR="00BB3F4E" w:rsidRDefault="007B5E95">
      <w:pPr>
        <w:pStyle w:val="Heading1"/>
      </w:pPr>
      <w:r>
        <w:t>6. Host Plant Resistance</w:t>
      </w:r>
    </w:p>
    <w:p w14:paraId="7E64B6F0" w14:textId="77777777" w:rsidR="00BB3F4E" w:rsidRDefault="007B5E95">
      <w:pPr>
        <w:pStyle w:val="Heading2"/>
      </w:pPr>
      <w:r>
        <w:t>6.1 Mechanisms of Resistance in Brassica Species</w:t>
      </w:r>
    </w:p>
    <w:p w14:paraId="78CB07F9" w14:textId="77777777" w:rsidR="00BB3F4E" w:rsidRDefault="007B5E95">
      <w:pPr>
        <w:spacing w:after="160" w:line="480" w:lineRule="auto"/>
        <w:ind w:firstLine="720"/>
        <w:jc w:val="both"/>
      </w:pPr>
      <w:r>
        <w:t xml:space="preserve">Host plant resistance (HPR) encompasses all heritable attributes of a plant cultivar that lead to a reduction in pest damage relative to susceptible cultivars under comparable pest pressure. The classical framework which </w:t>
      </w:r>
      <w:proofErr w:type="spellStart"/>
      <w:r>
        <w:t>categorises</w:t>
      </w:r>
      <w:proofErr w:type="spellEnd"/>
      <w:r>
        <w:t xml:space="preserve"> resistance mechanisms as </w:t>
      </w:r>
      <w:proofErr w:type="spellStart"/>
      <w:r>
        <w:t>antixenosis</w:t>
      </w:r>
      <w:proofErr w:type="spellEnd"/>
      <w:r>
        <w:t xml:space="preserve"> (non-preference), antibiosis, and tolerance remains a useful </w:t>
      </w:r>
      <w:proofErr w:type="spellStart"/>
      <w:r>
        <w:t>organising</w:t>
      </w:r>
      <w:proofErr w:type="spellEnd"/>
      <w:r>
        <w:t xml:space="preserve"> framework, though advances in molecular biology have substantially enriched understanding of the biochemical and genetic bases of each component. In </w:t>
      </w:r>
      <w:r>
        <w:rPr>
          <w:i/>
          <w:iCs/>
        </w:rPr>
        <w:t>Brassica</w:t>
      </w:r>
      <w:r>
        <w:t xml:space="preserve"> species, both chemical and physical resistance mechanisms operate against the diverse suite of insect pests encountered in commercial production, and it is increasingly </w:t>
      </w:r>
      <w:proofErr w:type="spellStart"/>
      <w:r>
        <w:t>recognised</w:t>
      </w:r>
      <w:proofErr w:type="spellEnd"/>
      <w:r>
        <w:t xml:space="preserve"> that these mechanisms interact in complex ways with the </w:t>
      </w:r>
      <w:proofErr w:type="spellStart"/>
      <w:r>
        <w:t>tritrophic</w:t>
      </w:r>
      <w:proofErr w:type="spellEnd"/>
      <w:r>
        <w:t xml:space="preserve"> community of natural enemies (Ahuja et al., 2010; </w:t>
      </w:r>
      <w:proofErr w:type="spellStart"/>
      <w:r>
        <w:t>Mithofer</w:t>
      </w:r>
      <w:proofErr w:type="spellEnd"/>
      <w:r>
        <w:t xml:space="preserve"> &amp; Boland, 2012).</w:t>
      </w:r>
    </w:p>
    <w:p w14:paraId="1FFDE627" w14:textId="77777777" w:rsidR="00BB3F4E" w:rsidRDefault="007B5E95">
      <w:pPr>
        <w:spacing w:after="160" w:line="480" w:lineRule="auto"/>
        <w:ind w:firstLine="720"/>
        <w:jc w:val="both"/>
      </w:pPr>
      <w:proofErr w:type="spellStart"/>
      <w:r>
        <w:t>Antixenosis</w:t>
      </w:r>
      <w:proofErr w:type="spellEnd"/>
      <w:r>
        <w:t xml:space="preserve"> encompasses plant traits that deter insect </w:t>
      </w:r>
      <w:proofErr w:type="spellStart"/>
      <w:r>
        <w:t>colonisation</w:t>
      </w:r>
      <w:proofErr w:type="spellEnd"/>
      <w:r>
        <w:t xml:space="preserve">, </w:t>
      </w:r>
      <w:proofErr w:type="spellStart"/>
      <w:r>
        <w:t>oviposition</w:t>
      </w:r>
      <w:proofErr w:type="spellEnd"/>
      <w:r>
        <w:t xml:space="preserve">, or feeding without causing mortality. Physical surface properties such as leaf waxiness, trichome density, and surface texture have been implicated in </w:t>
      </w:r>
      <w:proofErr w:type="spellStart"/>
      <w:r>
        <w:t>antixenotic</w:t>
      </w:r>
      <w:proofErr w:type="spellEnd"/>
      <w:r>
        <w:t xml:space="preserve"> resistance to multiple brassica pests. Antibiosis encompasses traits that negatively affect insect survival, development, or reproduction following host acceptance, and is mediated primarily by the secondary metabolite chemistry of </w:t>
      </w:r>
      <w:r>
        <w:rPr>
          <w:i/>
          <w:iCs/>
        </w:rPr>
        <w:t>Brassica</w:t>
      </w:r>
      <w:r>
        <w:t xml:space="preserve"> tissues. Tolerance refers to the capacity of a plant to sustain or compensate for insect damage without proportional yield loss, a mechanism less commonly exploited in formal breeding </w:t>
      </w:r>
      <w:proofErr w:type="spellStart"/>
      <w:r>
        <w:t>programmes</w:t>
      </w:r>
      <w:proofErr w:type="spellEnd"/>
      <w:r>
        <w:t xml:space="preserve"> but of considerable practical importance in field settings (</w:t>
      </w:r>
      <w:proofErr w:type="spellStart"/>
      <w:r>
        <w:t>Eigenbrode</w:t>
      </w:r>
      <w:proofErr w:type="spellEnd"/>
      <w:r>
        <w:t xml:space="preserve"> &amp; </w:t>
      </w:r>
      <w:proofErr w:type="spellStart"/>
      <w:r>
        <w:t>Espelie</w:t>
      </w:r>
      <w:proofErr w:type="spellEnd"/>
      <w:r>
        <w:t>, 1995).</w:t>
      </w:r>
    </w:p>
    <w:p w14:paraId="6A732209" w14:textId="77777777" w:rsidR="00BB3F4E" w:rsidRDefault="007B5E95">
      <w:pPr>
        <w:pStyle w:val="Heading2"/>
      </w:pPr>
      <w:r>
        <w:lastRenderedPageBreak/>
        <w:t xml:space="preserve">6.2 </w:t>
      </w:r>
      <w:proofErr w:type="spellStart"/>
      <w:r>
        <w:t>Glucosinolates</w:t>
      </w:r>
      <w:proofErr w:type="spellEnd"/>
      <w:r>
        <w:t xml:space="preserve"> and the </w:t>
      </w:r>
      <w:proofErr w:type="spellStart"/>
      <w:r>
        <w:t>Glucosinolate</w:t>
      </w:r>
      <w:proofErr w:type="spellEnd"/>
      <w:r>
        <w:t>–</w:t>
      </w:r>
      <w:proofErr w:type="spellStart"/>
      <w:r>
        <w:t>Myrosinase</w:t>
      </w:r>
      <w:proofErr w:type="spellEnd"/>
      <w:r>
        <w:t xml:space="preserve"> System</w:t>
      </w:r>
    </w:p>
    <w:p w14:paraId="5DED9221" w14:textId="77777777" w:rsidR="00BB3F4E" w:rsidRDefault="007B5E95">
      <w:pPr>
        <w:spacing w:after="160" w:line="480" w:lineRule="auto"/>
        <w:ind w:firstLine="720"/>
        <w:jc w:val="both"/>
      </w:pPr>
      <w:r>
        <w:t xml:space="preserve">The </w:t>
      </w:r>
      <w:proofErr w:type="spellStart"/>
      <w:r>
        <w:t>glucosinolate</w:t>
      </w:r>
      <w:proofErr w:type="spellEnd"/>
      <w:r>
        <w:t>–</w:t>
      </w:r>
      <w:proofErr w:type="spellStart"/>
      <w:r>
        <w:t>myrosinase</w:t>
      </w:r>
      <w:proofErr w:type="spellEnd"/>
      <w:r>
        <w:t xml:space="preserve"> system is arguably the most important and best </w:t>
      </w:r>
      <w:proofErr w:type="spellStart"/>
      <w:r>
        <w:t>characterised</w:t>
      </w:r>
      <w:proofErr w:type="spellEnd"/>
      <w:r>
        <w:t xml:space="preserve"> chemical </w:t>
      </w:r>
      <w:proofErr w:type="spellStart"/>
      <w:r>
        <w:t>defence</w:t>
      </w:r>
      <w:proofErr w:type="spellEnd"/>
      <w:r>
        <w:t xml:space="preserve"> mechanism in Brassicaceae. </w:t>
      </w:r>
      <w:proofErr w:type="spellStart"/>
      <w:r>
        <w:t>Glucosinolates</w:t>
      </w:r>
      <w:proofErr w:type="spellEnd"/>
      <w:r>
        <w:t xml:space="preserve"> (</w:t>
      </w:r>
      <w:proofErr w:type="spellStart"/>
      <w:r>
        <w:t>GSLs</w:t>
      </w:r>
      <w:proofErr w:type="spellEnd"/>
      <w:r>
        <w:t xml:space="preserve">) are </w:t>
      </w:r>
      <w:proofErr w:type="spellStart"/>
      <w:r>
        <w:t>sulphur</w:t>
      </w:r>
      <w:proofErr w:type="spellEnd"/>
      <w:r>
        <w:t xml:space="preserve">-containing secondary metabolites present in all tissues of Brassica plants; upon tissue disruption, the enzyme </w:t>
      </w:r>
      <w:proofErr w:type="spellStart"/>
      <w:r>
        <w:t>myrosinase</w:t>
      </w:r>
      <w:proofErr w:type="spellEnd"/>
      <w:r>
        <w:t xml:space="preserve"> (β-</w:t>
      </w:r>
      <w:proofErr w:type="spellStart"/>
      <w:r>
        <w:t>thioglucoside</w:t>
      </w:r>
      <w:proofErr w:type="spellEnd"/>
      <w:r>
        <w:t xml:space="preserve"> </w:t>
      </w:r>
      <w:proofErr w:type="spellStart"/>
      <w:r>
        <w:t>glucohydrolase</w:t>
      </w:r>
      <w:proofErr w:type="spellEnd"/>
      <w:r>
        <w:t xml:space="preserve">) </w:t>
      </w:r>
      <w:proofErr w:type="spellStart"/>
      <w:r>
        <w:t>catalyses</w:t>
      </w:r>
      <w:proofErr w:type="spellEnd"/>
      <w:r>
        <w:t xml:space="preserve"> their hydrolysis to a variety of biologically active products including </w:t>
      </w:r>
      <w:proofErr w:type="spellStart"/>
      <w:r>
        <w:t>isothiocyanates</w:t>
      </w:r>
      <w:proofErr w:type="spellEnd"/>
      <w:r>
        <w:t xml:space="preserve">, nitriles, </w:t>
      </w:r>
      <w:proofErr w:type="spellStart"/>
      <w:r>
        <w:t>epithionitriles</w:t>
      </w:r>
      <w:proofErr w:type="spellEnd"/>
      <w:r>
        <w:t xml:space="preserve">, and </w:t>
      </w:r>
      <w:proofErr w:type="spellStart"/>
      <w:r>
        <w:t>thiocyanates</w:t>
      </w:r>
      <w:proofErr w:type="spellEnd"/>
      <w:r>
        <w:t xml:space="preserve">. </w:t>
      </w:r>
      <w:proofErr w:type="spellStart"/>
      <w:r>
        <w:t>Halkier</w:t>
      </w:r>
      <w:proofErr w:type="spellEnd"/>
      <w:r>
        <w:t xml:space="preserve"> &amp; </w:t>
      </w:r>
      <w:proofErr w:type="spellStart"/>
      <w:r>
        <w:t>Gershenzon</w:t>
      </w:r>
      <w:proofErr w:type="spellEnd"/>
      <w:r>
        <w:t xml:space="preserve"> (2006) reviewed the biochemistry and biology of glucosinolates in detail and described how the specific hydrolysis products generated depend on the chemical structure of the GSL side chain and the presence of additional modifying proteins such as nitrile-</w:t>
      </w:r>
      <w:proofErr w:type="spellStart"/>
      <w:r>
        <w:t>specifier</w:t>
      </w:r>
      <w:proofErr w:type="spellEnd"/>
      <w:r>
        <w:t xml:space="preserve"> protein (</w:t>
      </w:r>
      <w:proofErr w:type="spellStart"/>
      <w:r>
        <w:t>NSP</w:t>
      </w:r>
      <w:proofErr w:type="spellEnd"/>
      <w:r>
        <w:t xml:space="preserve">) and </w:t>
      </w:r>
      <w:proofErr w:type="spellStart"/>
      <w:r>
        <w:t>epithiospecifier</w:t>
      </w:r>
      <w:proofErr w:type="spellEnd"/>
      <w:r>
        <w:t xml:space="preserve"> protein (ESP).</w:t>
      </w:r>
    </w:p>
    <w:p w14:paraId="7E0BD42D" w14:textId="77777777" w:rsidR="00BB3F4E" w:rsidRDefault="007B5E95">
      <w:pPr>
        <w:spacing w:after="160" w:line="480" w:lineRule="auto"/>
        <w:ind w:firstLine="720"/>
        <w:jc w:val="both"/>
      </w:pPr>
      <w:r>
        <w:t xml:space="preserve">The roles of glucosinolates in insect–plant interactions are complex and context-dependent. For glucosinolate-adapted specialist herbivores such as </w:t>
      </w:r>
      <w:r>
        <w:rPr>
          <w:i/>
          <w:iCs/>
        </w:rPr>
        <w:t xml:space="preserve">P. </w:t>
      </w:r>
      <w:proofErr w:type="spellStart"/>
      <w:r>
        <w:rPr>
          <w:i/>
          <w:iCs/>
        </w:rPr>
        <w:t>xylostella</w:t>
      </w:r>
      <w:proofErr w:type="spellEnd"/>
      <w:r>
        <w:t xml:space="preserve"> and </w:t>
      </w:r>
      <w:r>
        <w:rPr>
          <w:i/>
          <w:iCs/>
        </w:rPr>
        <w:t>B. brassicae</w:t>
      </w:r>
      <w:r>
        <w:t xml:space="preserve">, GSLs serve as phagostimulants and host-recognition cues, meaning that elevated GSL levels may paradoxically increase rather than decrease pest </w:t>
      </w:r>
      <w:proofErr w:type="spellStart"/>
      <w:r>
        <w:t>colonisation</w:t>
      </w:r>
      <w:proofErr w:type="spellEnd"/>
      <w:r>
        <w:t xml:space="preserve"> (</w:t>
      </w:r>
      <w:proofErr w:type="spellStart"/>
      <w:r>
        <w:t>Sarfraz</w:t>
      </w:r>
      <w:proofErr w:type="spellEnd"/>
      <w:r>
        <w:t xml:space="preserve"> et al., 2006; Cole, 1997). In contrast, generalist herbivores such as </w:t>
      </w:r>
      <w:r>
        <w:rPr>
          <w:i/>
          <w:iCs/>
        </w:rPr>
        <w:t xml:space="preserve">T. </w:t>
      </w:r>
      <w:proofErr w:type="spellStart"/>
      <w:r>
        <w:rPr>
          <w:i/>
          <w:iCs/>
        </w:rPr>
        <w:t>ni</w:t>
      </w:r>
      <w:proofErr w:type="spellEnd"/>
      <w:r>
        <w:t xml:space="preserve"> and </w:t>
      </w:r>
      <w:proofErr w:type="spellStart"/>
      <w:r>
        <w:rPr>
          <w:i/>
          <w:iCs/>
        </w:rPr>
        <w:t>Spodoptera</w:t>
      </w:r>
      <w:proofErr w:type="spellEnd"/>
      <w:r>
        <w:t xml:space="preserve"> species are typically deterred or physiologically harmed by GSL hydrolysis products, particularly isothiocyanates, making elevated GSL concentration a viable antibiotic resistance mechanism against generalist pests (Hopkins et al., 2009). Wittstock &amp; Halkier (2002) discussed the evolutionary arms race between </w:t>
      </w:r>
      <w:r>
        <w:rPr>
          <w:i/>
          <w:iCs/>
        </w:rPr>
        <w:t>Brassica</w:t>
      </w:r>
      <w:r>
        <w:t xml:space="preserve"> plants and their specialist herbivores and noted that adaptation to GSL chemistry has evolved independently in multiple herbivore lineages, reflecting the strong selective pressure exerted by the glucosinolate system.</w:t>
      </w:r>
    </w:p>
    <w:p w14:paraId="26D7BA89" w14:textId="77777777" w:rsidR="00BB3F4E" w:rsidRDefault="007B5E95">
      <w:pPr>
        <w:spacing w:after="160" w:line="480" w:lineRule="auto"/>
        <w:ind w:firstLine="720"/>
        <w:jc w:val="both"/>
      </w:pPr>
      <w:r>
        <w:t xml:space="preserve">This duality—GSLs as attractants for specialists and deterrents for generalists—has fundamental implications for resistance breeding. The development of cultivars with altered GSL </w:t>
      </w:r>
      <w:r>
        <w:lastRenderedPageBreak/>
        <w:t>profiles designed to deter specialists whilst retaining deterrence of generalists requires a nuanced understanding of the specific GSL compounds and concentrations effective against each pest species, as well as their effects on the natural enemy community. Müller et al. (2010) investigated the differential effects of indole and aliphatic glucosinolates on lepidopteran herbivores and demonstrated that the type and concentration of individual GSL classes differentially affected the performance of different herbivore species, confirming that targeted manipulation of the GSL portfolio may be feasible for pest management.</w:t>
      </w:r>
    </w:p>
    <w:p w14:paraId="3D1BDABC" w14:textId="77777777" w:rsidR="00BB3F4E" w:rsidRDefault="007B5E95">
      <w:pPr>
        <w:pStyle w:val="Heading2"/>
      </w:pPr>
      <w:r>
        <w:t xml:space="preserve">6.3 Physical and Morphological </w:t>
      </w:r>
      <w:proofErr w:type="spellStart"/>
      <w:r>
        <w:t>Defences</w:t>
      </w:r>
      <w:proofErr w:type="spellEnd"/>
    </w:p>
    <w:p w14:paraId="70A32447" w14:textId="77777777" w:rsidR="00BB3F4E" w:rsidRDefault="007B5E95">
      <w:pPr>
        <w:spacing w:after="160" w:line="480" w:lineRule="auto"/>
        <w:ind w:firstLine="720"/>
        <w:jc w:val="both"/>
      </w:pPr>
      <w:r>
        <w:t xml:space="preserve">In addition to chemical </w:t>
      </w:r>
      <w:proofErr w:type="spellStart"/>
      <w:r>
        <w:t>defences</w:t>
      </w:r>
      <w:proofErr w:type="spellEnd"/>
      <w:r>
        <w:t xml:space="preserve">, physical attributes of the plant surface profoundly influence insect </w:t>
      </w:r>
      <w:proofErr w:type="spellStart"/>
      <w:r>
        <w:t>behaviour</w:t>
      </w:r>
      <w:proofErr w:type="spellEnd"/>
      <w:r>
        <w:t xml:space="preserve"> and performance. Trichomes (leaf hairs) of various morphological types—including glandular trichomes that secrete sticky or toxic substances and non-glandular trichomes that impede insect movement—have been associated with reduced pest </w:t>
      </w:r>
      <w:proofErr w:type="spellStart"/>
      <w:r>
        <w:t>colonisation</w:t>
      </w:r>
      <w:proofErr w:type="spellEnd"/>
      <w:r>
        <w:t xml:space="preserve"> across multiple crop species. In wild Brassica accessions, high trichome densities have been correlated with reduced aphid </w:t>
      </w:r>
      <w:proofErr w:type="spellStart"/>
      <w:r>
        <w:t>colonisation</w:t>
      </w:r>
      <w:proofErr w:type="spellEnd"/>
      <w:r>
        <w:t xml:space="preserve"> and flea beetle feeding damage, though many commercial cabbage cultivars have been inadvertently selected for reduced trichome density during domestication and breeding for market appearance (</w:t>
      </w:r>
      <w:proofErr w:type="spellStart"/>
      <w:r>
        <w:t>Eigenbrode</w:t>
      </w:r>
      <w:proofErr w:type="spellEnd"/>
      <w:r>
        <w:t xml:space="preserve"> &amp; </w:t>
      </w:r>
      <w:proofErr w:type="spellStart"/>
      <w:r>
        <w:t>Espelie</w:t>
      </w:r>
      <w:proofErr w:type="spellEnd"/>
      <w:r>
        <w:t>, 1995).</w:t>
      </w:r>
    </w:p>
    <w:p w14:paraId="3DB3AAA9" w14:textId="77777777" w:rsidR="00BB3F4E" w:rsidRDefault="007B5E95">
      <w:pPr>
        <w:spacing w:after="160" w:line="480" w:lineRule="auto"/>
        <w:ind w:firstLine="720"/>
        <w:jc w:val="both"/>
      </w:pPr>
      <w:r>
        <w:t xml:space="preserve">Leaf epicuticular wax constitutes another important physical barrier affecting insect </w:t>
      </w:r>
      <w:proofErr w:type="spellStart"/>
      <w:r>
        <w:t>behaviour</w:t>
      </w:r>
      <w:proofErr w:type="spellEnd"/>
      <w:r>
        <w:t xml:space="preserve">. The chemistry and surface ultrastructure of the wax layer influence the adhesion and locomotion of insects on the leaf surface; glaucous (wax-dense, bluish) accessions of Brassica have been associated with reduced landing and oviposition by P. rapae and reduced feeding by flea beetles compared with glossy (wax-reduced) phenotypes. </w:t>
      </w:r>
      <w:proofErr w:type="spellStart"/>
      <w:r>
        <w:t>Eigenbrode</w:t>
      </w:r>
      <w:proofErr w:type="spellEnd"/>
      <w:r>
        <w:t xml:space="preserve"> &amp; </w:t>
      </w:r>
      <w:proofErr w:type="spellStart"/>
      <w:r>
        <w:t>Espelie</w:t>
      </w:r>
      <w:proofErr w:type="spellEnd"/>
      <w:r>
        <w:t xml:space="preserve"> (1995) reviewed the broader literature on effects of plant epicuticular lipids on insect herbivores and concluded that wax chemistry, rather than quantity alone, determines much of the differential </w:t>
      </w:r>
      <w:r>
        <w:lastRenderedPageBreak/>
        <w:t xml:space="preserve">impact on insect </w:t>
      </w:r>
      <w:proofErr w:type="spellStart"/>
      <w:r>
        <w:t>behaviour</w:t>
      </w:r>
      <w:proofErr w:type="spellEnd"/>
      <w:r>
        <w:t xml:space="preserve">. The relationship between surface wax properties and natural enemy performance on the crop surface adds a further layer of complexity; excessively waxy surfaces may impede the locomotion of predatory arthropods and parasitoids, potentially offsetting gains in </w:t>
      </w:r>
      <w:proofErr w:type="spellStart"/>
      <w:r>
        <w:t>antixenotic</w:t>
      </w:r>
      <w:proofErr w:type="spellEnd"/>
      <w:r>
        <w:t xml:space="preserve"> resistance against pests (Ahuja et al., 2010).</w:t>
      </w:r>
    </w:p>
    <w:p w14:paraId="30A6DA68" w14:textId="77777777" w:rsidR="00BB3F4E" w:rsidRDefault="007B5E95">
      <w:pPr>
        <w:pStyle w:val="Heading2"/>
      </w:pPr>
      <w:r>
        <w:t>6.4 Conventional Plant Breeding for Resistance</w:t>
      </w:r>
    </w:p>
    <w:p w14:paraId="0C15866D" w14:textId="77777777" w:rsidR="00BB3F4E" w:rsidRDefault="007B5E95">
      <w:pPr>
        <w:spacing w:after="160" w:line="480" w:lineRule="auto"/>
        <w:ind w:firstLine="720"/>
        <w:jc w:val="both"/>
      </w:pPr>
      <w:r>
        <w:t xml:space="preserve">The systematic exploitation of host plant resistance to insect pests in </w:t>
      </w:r>
      <w:r>
        <w:rPr>
          <w:i/>
          <w:iCs/>
        </w:rPr>
        <w:t>Brassica</w:t>
      </w:r>
      <w:r>
        <w:t xml:space="preserve"> crops through formal breeding </w:t>
      </w:r>
      <w:proofErr w:type="spellStart"/>
      <w:r>
        <w:t>programmes</w:t>
      </w:r>
      <w:proofErr w:type="spellEnd"/>
      <w:r>
        <w:t xml:space="preserve"> has made measurable but incremental progress. Wild </w:t>
      </w:r>
      <w:r>
        <w:rPr>
          <w:i/>
          <w:iCs/>
        </w:rPr>
        <w:t>Brassica</w:t>
      </w:r>
      <w:r>
        <w:t xml:space="preserve"> species and traditional landraces represent important reservoirs of genetic diversity for resistance traits, and screening of germplasm collections has identified accessions with elevated resistance to </w:t>
      </w:r>
      <w:r>
        <w:rPr>
          <w:i/>
          <w:iCs/>
        </w:rPr>
        <w:t xml:space="preserve">P. </w:t>
      </w:r>
      <w:proofErr w:type="spellStart"/>
      <w:r>
        <w:rPr>
          <w:i/>
          <w:iCs/>
        </w:rPr>
        <w:t>xylostella</w:t>
      </w:r>
      <w:proofErr w:type="spellEnd"/>
      <w:r>
        <w:t xml:space="preserve">, </w:t>
      </w:r>
      <w:r>
        <w:rPr>
          <w:i/>
          <w:iCs/>
        </w:rPr>
        <w:t>B. brassicae</w:t>
      </w:r>
      <w:r>
        <w:t>, flea beetles, and caterpillar pests. Conventional introgression of resistance traits from wild relatives into commercial cabbage backgrounds through backcross breeding is constrained by the frequent linkage of resistance loci to undesirable agronomic traits, the low heritability of quantitative resistance characters, and the challenges of phenotypic screening for resistance across the full range of pest species (Ahuja et al., 2010; Hopkins et al., 2009).</w:t>
      </w:r>
    </w:p>
    <w:p w14:paraId="30D2B161" w14:textId="77777777" w:rsidR="00BB3F4E" w:rsidRDefault="007B5E95">
      <w:pPr>
        <w:spacing w:after="160" w:line="480" w:lineRule="auto"/>
        <w:ind w:firstLine="720"/>
        <w:jc w:val="both"/>
      </w:pPr>
      <w:r>
        <w:t xml:space="preserve">Grzywacz et al. (2010) reviewed breeding progress for brassica pest resistance in the context of developing countries and noted that whilst promising resistance sources have been identified in </w:t>
      </w:r>
      <w:r>
        <w:rPr>
          <w:i/>
          <w:iCs/>
        </w:rPr>
        <w:t>Brassica</w:t>
      </w:r>
      <w:r>
        <w:t xml:space="preserve"> germplasm, the translation of laboratory bioassay results into commercially acceptable cultivars with durable field resistance remains challenging. The partial resistance observed in many improved lines may be adequate to reduce pest pressure sufficiently to achieve acceptable yields in combination with biological control and other management inputs, even if it does not provide complete protection. The concept of adequate resistance rather </w:t>
      </w:r>
      <w:r>
        <w:lastRenderedPageBreak/>
        <w:t xml:space="preserve">than perfect immunity as an IPM component is increasingly </w:t>
      </w:r>
      <w:proofErr w:type="spellStart"/>
      <w:r>
        <w:t>recognised</w:t>
      </w:r>
      <w:proofErr w:type="spellEnd"/>
      <w:r>
        <w:t xml:space="preserve"> as an ecologically realistic and practically valuable breeding target (Shelton et al., 2002).</w:t>
      </w:r>
    </w:p>
    <w:p w14:paraId="1DEBAF68" w14:textId="77777777" w:rsidR="00BB3F4E" w:rsidRDefault="007B5E95">
      <w:pPr>
        <w:pStyle w:val="Heading2"/>
      </w:pPr>
      <w:r>
        <w:t>6.5 Molecular and Biotechnological Approaches</w:t>
      </w:r>
    </w:p>
    <w:p w14:paraId="75B4E219" w14:textId="77777777" w:rsidR="00BB3F4E" w:rsidRDefault="007B5E95">
      <w:pPr>
        <w:spacing w:after="160" w:line="480" w:lineRule="auto"/>
        <w:ind w:firstLine="720"/>
        <w:jc w:val="both"/>
      </w:pPr>
      <w:r>
        <w:t xml:space="preserve">Advances in genomics, transcriptomics, and gene editing are substantially expanding the toolkit available for engineering insect resistance in </w:t>
      </w:r>
      <w:r>
        <w:rPr>
          <w:i/>
          <w:iCs/>
        </w:rPr>
        <w:t>Brassica</w:t>
      </w:r>
      <w:r>
        <w:t xml:space="preserve"> crops. The sequencing of the </w:t>
      </w:r>
      <w:r>
        <w:rPr>
          <w:i/>
          <w:iCs/>
        </w:rPr>
        <w:t>Brassica oleracea</w:t>
      </w:r>
      <w:r>
        <w:t xml:space="preserve"> genome has provided a foundational resource for identifying and </w:t>
      </w:r>
      <w:proofErr w:type="spellStart"/>
      <w:r>
        <w:t>characterising</w:t>
      </w:r>
      <w:proofErr w:type="spellEnd"/>
      <w:r>
        <w:t xml:space="preserve"> resistance-related genes, including those encoding glucosinolate biosynthetic enzymes, protease inhibitors, lectins, and pathogenesis-related proteins (Ahuja et al., 2010; </w:t>
      </w:r>
      <w:proofErr w:type="spellStart"/>
      <w:r>
        <w:t>Mithofer</w:t>
      </w:r>
      <w:proofErr w:type="spellEnd"/>
      <w:r>
        <w:t xml:space="preserve"> &amp; Boland, 2012).</w:t>
      </w:r>
    </w:p>
    <w:p w14:paraId="3752D790" w14:textId="77777777" w:rsidR="00BB3F4E" w:rsidRDefault="007B5E95">
      <w:pPr>
        <w:spacing w:after="160" w:line="480" w:lineRule="auto"/>
        <w:ind w:firstLine="720"/>
        <w:jc w:val="both"/>
      </w:pPr>
      <w:r>
        <w:t xml:space="preserve">Transgenic approaches have been extensively explored. The deployment of transgenic </w:t>
      </w:r>
      <w:proofErr w:type="spellStart"/>
      <w:r>
        <w:t>Bt</w:t>
      </w:r>
      <w:proofErr w:type="spellEnd"/>
      <w:r>
        <w:t xml:space="preserve">-expressing brassica lines has achieved proof-of-concept in field trials, with high-level Cry protein expression conferring near-complete resistance to </w:t>
      </w:r>
      <w:r>
        <w:rPr>
          <w:i/>
          <w:iCs/>
        </w:rPr>
        <w:t xml:space="preserve">P. </w:t>
      </w:r>
      <w:proofErr w:type="spellStart"/>
      <w:r>
        <w:rPr>
          <w:i/>
          <w:iCs/>
        </w:rPr>
        <w:t>xylostella</w:t>
      </w:r>
      <w:proofErr w:type="spellEnd"/>
      <w:r>
        <w:t xml:space="preserve"> larvae in multiple experimental systems (Zhao et al., 2003). Shelton et al. (2002) reviewed the ecological and regulatory dimensions of </w:t>
      </w:r>
      <w:proofErr w:type="spellStart"/>
      <w:r>
        <w:t>Bt</w:t>
      </w:r>
      <w:proofErr w:type="spellEnd"/>
      <w:r>
        <w:t xml:space="preserve"> brassica deployment and outlined the conditions under which such crops could contribute to sustainable pest management whilst </w:t>
      </w:r>
      <w:proofErr w:type="spellStart"/>
      <w:r>
        <w:t>minimising</w:t>
      </w:r>
      <w:proofErr w:type="spellEnd"/>
      <w:r>
        <w:t xml:space="preserve"> risks of resistance evolution and impacts on non-target organisms, including the specific importance of structured refuge requirements. However, the regulatory landscape for transgenic crops, particularly in Europe and parts of Asia and Africa, continues to limit the commercial deployment of </w:t>
      </w:r>
      <w:proofErr w:type="spellStart"/>
      <w:r>
        <w:t>Bt</w:t>
      </w:r>
      <w:proofErr w:type="spellEnd"/>
      <w:r>
        <w:t xml:space="preserve"> brassicas despite their technical feasibility.</w:t>
      </w:r>
    </w:p>
    <w:p w14:paraId="00247A2C" w14:textId="77777777" w:rsidR="00BB3F4E" w:rsidRDefault="007B5E95">
      <w:pPr>
        <w:spacing w:after="160" w:line="480" w:lineRule="auto"/>
        <w:ind w:firstLine="720"/>
        <w:jc w:val="both"/>
      </w:pPr>
      <w:r>
        <w:t xml:space="preserve">RNA interference (RNAi) has emerged as a potentially powerful approach for engineering insect resistance. In RNAi-based resistance, plants are transformed to express double-stranded RNA complementary to essential insect genes; ingestion of plant tissue containing these </w:t>
      </w:r>
      <w:proofErr w:type="spellStart"/>
      <w:r>
        <w:t>dsRNAs</w:t>
      </w:r>
      <w:proofErr w:type="spellEnd"/>
      <w:r>
        <w:t xml:space="preserve"> by target insects triggers silencing of the cognate gene, resulting in </w:t>
      </w:r>
      <w:r>
        <w:lastRenderedPageBreak/>
        <w:t xml:space="preserve">disrupted insect physiology and death. Zhu &amp; Palli (2020) reviewed the mechanisms, applications, and challenges of RNAi in insects and noted that whilst proof-of-concept has been demonstrated for several crop pest systems, the efficiency of RNAi-based resistance in plants can be variable due to differences in RNA uptake efficiency among insect species, the presence of RNase activity in the insect gut, and the stability of dsRNA within plant tissues. The specificity of </w:t>
      </w:r>
      <w:proofErr w:type="spellStart"/>
      <w:r>
        <w:t>RNAi</w:t>
      </w:r>
      <w:proofErr w:type="spellEnd"/>
      <w:r>
        <w:t xml:space="preserve"> targeting </w:t>
      </w:r>
      <w:proofErr w:type="spellStart"/>
      <w:r>
        <w:t>minimises</w:t>
      </w:r>
      <w:proofErr w:type="spellEnd"/>
      <w:r>
        <w:t xml:space="preserve"> risks of effects on non-target species, making it a conceptually attractive tool for managing key brassica pests whilst preserving natural enemies. CRISPR/Cas9-based genome editing offers yet another avenue for modifying the glucosinolate biosynthetic pathway to create novel combinations of resistance compounds, though this technology remains at an early stage of application to insect resistance in Brassica (</w:t>
      </w:r>
      <w:proofErr w:type="spellStart"/>
      <w:r>
        <w:t>Mithofer</w:t>
      </w:r>
      <w:proofErr w:type="spellEnd"/>
      <w:r>
        <w:t xml:space="preserve"> &amp; Boland, 2012).</w:t>
      </w:r>
    </w:p>
    <w:p w14:paraId="126F88B5" w14:textId="77777777" w:rsidR="00BB3F4E" w:rsidRDefault="007B5E95">
      <w:pPr>
        <w:spacing w:after="160" w:line="480" w:lineRule="auto"/>
        <w:ind w:firstLine="720"/>
        <w:jc w:val="both"/>
      </w:pPr>
      <w:r>
        <w:t xml:space="preserve">Marker-assisted selection (MAS) represents the most immediately applicable molecular technology for accelerating conventional resistance breeding in Brassica. The identification of quantitative trait loci (QTL) associated with resistance to P. </w:t>
      </w:r>
      <w:proofErr w:type="spellStart"/>
      <w:r>
        <w:t>xylostella</w:t>
      </w:r>
      <w:proofErr w:type="spellEnd"/>
      <w:r>
        <w:t>, B. brassicae, and flea beetles in mapping populations has provided markers that can be used to screen breeding material for resistance alleles without the need for insect bioassays, substantially reducing the time and resources required for phenotypic selection (Hopkins et al., 2009).</w:t>
      </w:r>
    </w:p>
    <w:p w14:paraId="5BDC4D5D" w14:textId="77777777" w:rsidR="00BB3F4E" w:rsidRDefault="007B5E95">
      <w:pPr>
        <w:pStyle w:val="Heading1"/>
      </w:pPr>
      <w:r>
        <w:t>7. Integration of Biological Control and Resistant Varieties in IPM</w:t>
      </w:r>
    </w:p>
    <w:p w14:paraId="2D90C72D" w14:textId="77777777" w:rsidR="00BB3F4E" w:rsidRDefault="007B5E95">
      <w:pPr>
        <w:pStyle w:val="Heading2"/>
      </w:pPr>
      <w:r>
        <w:t>7.1 Compatibility of Biological Control Agents with Resistant Varieties</w:t>
      </w:r>
    </w:p>
    <w:p w14:paraId="2635E5F6" w14:textId="77777777" w:rsidR="00BB3F4E" w:rsidRDefault="007B5E95">
      <w:pPr>
        <w:spacing w:after="160" w:line="480" w:lineRule="auto"/>
        <w:ind w:firstLine="720"/>
        <w:jc w:val="both"/>
      </w:pPr>
      <w:r>
        <w:t xml:space="preserve">The integration of host plant resistance with biological control represents a particularly compelling IPM combination because the two approaches may act synergistically: resistant cultivars reduce pest population density, creating less-abundant but more concentrated pest populations that can be effectively targeted by biological control agents; whilst natural enemies reduce pest populations below economic thresholds even when resistance is partial (Shelton et </w:t>
      </w:r>
      <w:r>
        <w:lastRenderedPageBreak/>
        <w:t>al., 2002; Ahuja et al., 2010). IPM as a conceptual framework explicitly encourages the use of multiple complementary pest management tactics, and the combination of biological control and plant resistance represents one of the most ecologically coherent expressions of this principle (Ehler, 2006). However, compatibility is not guaranteed, and a growing body of literature cautions that resistance traits may have unintended consequences for the performance of natural enemies.</w:t>
      </w:r>
    </w:p>
    <w:p w14:paraId="7CC3D552" w14:textId="77777777" w:rsidR="00BB3F4E" w:rsidRDefault="007B5E95">
      <w:pPr>
        <w:spacing w:after="160" w:line="480" w:lineRule="auto"/>
        <w:ind w:firstLine="720"/>
        <w:jc w:val="both"/>
      </w:pPr>
      <w:r>
        <w:t xml:space="preserve">The </w:t>
      </w:r>
      <w:proofErr w:type="spellStart"/>
      <w:r>
        <w:t>tritrophic</w:t>
      </w:r>
      <w:proofErr w:type="spellEnd"/>
      <w:r>
        <w:t xml:space="preserve"> interaction effects of glucosinolates are particularly well documented in this regard. Certain GSL hydrolysis products sequestered by specialist aphids such as </w:t>
      </w:r>
      <w:r>
        <w:rPr>
          <w:i/>
          <w:iCs/>
        </w:rPr>
        <w:t>B. brassicae</w:t>
      </w:r>
      <w:r>
        <w:t xml:space="preserve"> are potentially deterrent or toxic to their predators and parasitoids, implying that elevating GSL content as an antibiotic resistance strategy against generalist pests may inadvertently compromise the third trophic level's effectiveness against </w:t>
      </w:r>
      <w:r>
        <w:rPr>
          <w:i/>
          <w:iCs/>
        </w:rPr>
        <w:t>B. brassicae</w:t>
      </w:r>
      <w:r>
        <w:t xml:space="preserve"> (Cole, 1997; Hopkins et al., 2009). Similarly, </w:t>
      </w:r>
      <w:proofErr w:type="spellStart"/>
      <w:r>
        <w:t>trichome</w:t>
      </w:r>
      <w:proofErr w:type="spellEnd"/>
      <w:r>
        <w:t xml:space="preserve">-mediated </w:t>
      </w:r>
      <w:proofErr w:type="spellStart"/>
      <w:r>
        <w:t>antixenosis</w:t>
      </w:r>
      <w:proofErr w:type="spellEnd"/>
      <w:r>
        <w:t xml:space="preserve"> against pest insects can also impede the movement of predatory mites and parasitoid wasps on the leaf surface, reducing their foraging efficiency and potentially undermining the integrated system. These interactions reinforce the importance of evaluating novel resistant cultivars in multitrophic glasshouse and field bioassay systems before large-scale deployment (</w:t>
      </w:r>
      <w:proofErr w:type="spellStart"/>
      <w:r>
        <w:t>Verkerk</w:t>
      </w:r>
      <w:proofErr w:type="spellEnd"/>
      <w:r>
        <w:t xml:space="preserve"> &amp; Wright, 1996; Ahuja et al., 2010).</w:t>
      </w:r>
    </w:p>
    <w:p w14:paraId="7FDBAB83" w14:textId="77777777" w:rsidR="00BB3F4E" w:rsidRDefault="007B5E95">
      <w:pPr>
        <w:spacing w:after="160" w:line="480" w:lineRule="auto"/>
        <w:ind w:firstLine="720"/>
        <w:jc w:val="both"/>
      </w:pPr>
      <w:r>
        <w:t xml:space="preserve">From a more optimistic perspective, several studies have demonstrated positive synergies between moderate plant resistance and biological control. Poveda et al. (2010) documented that herbivore-induced plant responses—the up-regulation of plant </w:t>
      </w:r>
      <w:proofErr w:type="spellStart"/>
      <w:r>
        <w:t>defences</w:t>
      </w:r>
      <w:proofErr w:type="spellEnd"/>
      <w:r>
        <w:t xml:space="preserve"> following initial insect attack—could paradoxically increase the attractiveness of damaged plants to parasitoids through the emission of herbivore-induced plant volatiles (HIPVs), creating a chemical signal that recruits natural enemies to sites of pest infestation. This naturally occurring mechanism suggests </w:t>
      </w:r>
      <w:r>
        <w:lastRenderedPageBreak/>
        <w:t>that cultivars engineered to emit elevated quantities of specific HIPVs following herbivore attack could serve as parasitoid attractors, enhancing the efficiency of biological control in commercial crop settings.</w:t>
      </w:r>
    </w:p>
    <w:p w14:paraId="294FC331" w14:textId="77777777" w:rsidR="00BB3F4E" w:rsidRDefault="007B5E95">
      <w:pPr>
        <w:pStyle w:val="Heading2"/>
      </w:pPr>
      <w:r>
        <w:t>7.2 Trap Cropping and Habitat Manipulation</w:t>
      </w:r>
    </w:p>
    <w:p w14:paraId="73FFF95A" w14:textId="77777777" w:rsidR="00BB3F4E" w:rsidRDefault="007B5E95">
      <w:pPr>
        <w:spacing w:after="160" w:line="480" w:lineRule="auto"/>
        <w:ind w:firstLine="720"/>
        <w:jc w:val="both"/>
      </w:pPr>
      <w:r>
        <w:t xml:space="preserve">Trap cropping—the strategic deployment of highly attractive companion plants to concentrate pest populations and facilitate their targeted management—represents an important tool for brassica IPM that explicitly leverages plant resistance differentials. Shelton &amp; </w:t>
      </w:r>
      <w:proofErr w:type="spellStart"/>
      <w:r>
        <w:t>Badenes</w:t>
      </w:r>
      <w:proofErr w:type="spellEnd"/>
      <w:r>
        <w:t>-Perez (2006) reviewed trap cropping concepts and applications extensively, documenting that Indian mustard (</w:t>
      </w:r>
      <w:r>
        <w:rPr>
          <w:i/>
          <w:iCs/>
        </w:rPr>
        <w:t>B. juncea</w:t>
      </w:r>
      <w:r>
        <w:t>) and Chinese kale (</w:t>
      </w:r>
      <w:r>
        <w:rPr>
          <w:i/>
          <w:iCs/>
        </w:rPr>
        <w:t>B. oleracea</w:t>
      </w:r>
      <w:r>
        <w:t xml:space="preserve"> var. </w:t>
      </w:r>
      <w:proofErr w:type="spellStart"/>
      <w:r>
        <w:rPr>
          <w:i/>
          <w:iCs/>
        </w:rPr>
        <w:t>alboglabra</w:t>
      </w:r>
      <w:proofErr w:type="spellEnd"/>
      <w:r>
        <w:t xml:space="preserve">) attract </w:t>
      </w:r>
      <w:r>
        <w:rPr>
          <w:i/>
          <w:iCs/>
        </w:rPr>
        <w:t xml:space="preserve">P. </w:t>
      </w:r>
      <w:proofErr w:type="spellStart"/>
      <w:r>
        <w:rPr>
          <w:i/>
          <w:iCs/>
        </w:rPr>
        <w:t>xylostella</w:t>
      </w:r>
      <w:proofErr w:type="spellEnd"/>
      <w:r>
        <w:t xml:space="preserve"> females preferentially for oviposition relative to commercial cabbage varieties, and that strategic placement of these species at field margins can intercept a substantial proportion of </w:t>
      </w:r>
      <w:proofErr w:type="spellStart"/>
      <w:r>
        <w:t>colonising</w:t>
      </w:r>
      <w:proofErr w:type="spellEnd"/>
      <w:r>
        <w:t xml:space="preserve"> populations. When trap crops are combined with targeted insecticide or biocontrol agent application to the trap crop strip—as opposed to whole-field treatment—overall pesticide use can be substantially reduced whilst maintaining acceptable pest control (Shelton &amp; </w:t>
      </w:r>
      <w:proofErr w:type="spellStart"/>
      <w:r>
        <w:t>Badenes</w:t>
      </w:r>
      <w:proofErr w:type="spellEnd"/>
      <w:r>
        <w:t>-Perez, 2006).</w:t>
      </w:r>
    </w:p>
    <w:p w14:paraId="3E0DE7A2" w14:textId="77777777" w:rsidR="00BB3F4E" w:rsidRDefault="007B5E95">
      <w:pPr>
        <w:spacing w:after="160" w:line="480" w:lineRule="auto"/>
        <w:ind w:firstLine="720"/>
        <w:jc w:val="both"/>
      </w:pPr>
      <w:r>
        <w:t xml:space="preserve">Companion planting and intercropping strategies can complement both biological control and plant resistance by altering the crop environment in ways that reduce pest </w:t>
      </w:r>
      <w:proofErr w:type="spellStart"/>
      <w:r>
        <w:t>colonisation</w:t>
      </w:r>
      <w:proofErr w:type="spellEnd"/>
      <w:r>
        <w:t xml:space="preserve"> and enhance natural enemy abundance. Hooks &amp; Johnson (2003) investigated the impact of agricultural diversification on insect communities of cruciferous crops and found that intercropped systems supported significantly more diverse natural enemy assemblages and exhibited lower aphid and caterpillar densities than monoculture cabbage fields. However, the authors cautioned that results were highly context-specific and that the degree of benefit from </w:t>
      </w:r>
      <w:r>
        <w:lastRenderedPageBreak/>
        <w:t>diversification depended on surrounding landscape composition, regional natural enemy fauna, and the specific crops included in the intercropping system.</w:t>
      </w:r>
    </w:p>
    <w:p w14:paraId="367C0818" w14:textId="77777777" w:rsidR="00BB3F4E" w:rsidRDefault="007B5E95">
      <w:pPr>
        <w:pStyle w:val="Heading2"/>
      </w:pPr>
      <w:r>
        <w:t>7.3 Pheromone-Based Monitoring and Control</w:t>
      </w:r>
    </w:p>
    <w:p w14:paraId="4F4F5D2E" w14:textId="77777777" w:rsidR="00BB3F4E" w:rsidRDefault="007B5E95">
      <w:pPr>
        <w:spacing w:after="160" w:line="480" w:lineRule="auto"/>
        <w:ind w:firstLine="720"/>
        <w:jc w:val="both"/>
      </w:pPr>
      <w:r>
        <w:t xml:space="preserve">Sex pheromone-based monitoring and mass trapping represent important IPM tools for several brassica pests, particularly </w:t>
      </w:r>
      <w:r>
        <w:rPr>
          <w:i/>
          <w:iCs/>
        </w:rPr>
        <w:t xml:space="preserve">P. </w:t>
      </w:r>
      <w:proofErr w:type="spellStart"/>
      <w:r>
        <w:rPr>
          <w:i/>
          <w:iCs/>
        </w:rPr>
        <w:t>xylostella</w:t>
      </w:r>
      <w:proofErr w:type="spellEnd"/>
      <w:r>
        <w:t xml:space="preserve">. The sex pheromone of </w:t>
      </w:r>
      <w:r>
        <w:rPr>
          <w:i/>
          <w:iCs/>
        </w:rPr>
        <w:t xml:space="preserve">P. </w:t>
      </w:r>
      <w:proofErr w:type="spellStart"/>
      <w:r>
        <w:rPr>
          <w:i/>
          <w:iCs/>
        </w:rPr>
        <w:t>xylostella</w:t>
      </w:r>
      <w:proofErr w:type="spellEnd"/>
      <w:r>
        <w:t>, (Z)-11-</w:t>
      </w:r>
      <w:proofErr w:type="spellStart"/>
      <w:r>
        <w:t>hexadecenal</w:t>
      </w:r>
      <w:proofErr w:type="spellEnd"/>
      <w:r>
        <w:t xml:space="preserve">, has been </w:t>
      </w:r>
      <w:proofErr w:type="spellStart"/>
      <w:r>
        <w:t>characterised</w:t>
      </w:r>
      <w:proofErr w:type="spellEnd"/>
      <w:r>
        <w:t xml:space="preserve"> and </w:t>
      </w:r>
      <w:proofErr w:type="spellStart"/>
      <w:r>
        <w:t>synthesised</w:t>
      </w:r>
      <w:proofErr w:type="spellEnd"/>
      <w:r>
        <w:t xml:space="preserve"> commercially; pheromone-baited delta and water traps are widely used in </w:t>
      </w:r>
      <w:proofErr w:type="spellStart"/>
      <w:r>
        <w:t>IPM</w:t>
      </w:r>
      <w:proofErr w:type="spellEnd"/>
      <w:r>
        <w:t xml:space="preserve"> </w:t>
      </w:r>
      <w:proofErr w:type="spellStart"/>
      <w:r>
        <w:t>programmes</w:t>
      </w:r>
      <w:proofErr w:type="spellEnd"/>
      <w:r>
        <w:t xml:space="preserve"> for monitoring adult moth population dynamics and guiding spray timing decisions. Witzgall et al. (2010) reviewed sex pheromones and their impact on pest management across crop systems and concluded that pheromone-based monitoring substantially improves the precision and efficiency of pest management by enabling evidence-based intervention timing rather than calendar-based prophylactic spray schedules. Mating disruption using synthetic sex pheromones—the permeation of the crop environment with pheromone to disrupt mate-finding—has been evaluated for </w:t>
      </w:r>
      <w:r>
        <w:rPr>
          <w:i/>
          <w:iCs/>
        </w:rPr>
        <w:t xml:space="preserve">P. </w:t>
      </w:r>
      <w:proofErr w:type="spellStart"/>
      <w:r>
        <w:rPr>
          <w:i/>
          <w:iCs/>
        </w:rPr>
        <w:t>xylostella</w:t>
      </w:r>
      <w:proofErr w:type="spellEnd"/>
      <w:r>
        <w:t xml:space="preserve"> but has shown limited commercial feasibility due to the high pheromone concentrations required over large areas and the highly mobile nature of adult moths migrating from outside treated fields (Witzgall et al., 2010).</w:t>
      </w:r>
    </w:p>
    <w:p w14:paraId="32B68D19" w14:textId="77777777" w:rsidR="00BB3F4E" w:rsidRDefault="007B5E95">
      <w:pPr>
        <w:pStyle w:val="Heading1"/>
      </w:pPr>
      <w:r>
        <w:t>8. Challenges and Future Directions</w:t>
      </w:r>
    </w:p>
    <w:p w14:paraId="204FB454" w14:textId="77777777" w:rsidR="00BB3F4E" w:rsidRDefault="007B5E95">
      <w:pPr>
        <w:spacing w:after="160" w:line="480" w:lineRule="auto"/>
        <w:ind w:firstLine="720"/>
        <w:jc w:val="both"/>
      </w:pPr>
      <w:r>
        <w:t xml:space="preserve">Despite the substantial advances reviewed above, several overarching challenges continue to constrain the widespread adoption of biological control and resistant varieties in sustainable cabbage pest management. The issue of resistance evolution is particularly pressing. The documented capacity of </w:t>
      </w:r>
      <w:r>
        <w:rPr>
          <w:i/>
          <w:iCs/>
        </w:rPr>
        <w:t xml:space="preserve">P. </w:t>
      </w:r>
      <w:proofErr w:type="spellStart"/>
      <w:r>
        <w:rPr>
          <w:i/>
          <w:iCs/>
        </w:rPr>
        <w:t>xylostella</w:t>
      </w:r>
      <w:proofErr w:type="spellEnd"/>
      <w:r>
        <w:t xml:space="preserve"> to evolve resistance to diverse insecticidal compounds—from </w:t>
      </w:r>
      <w:proofErr w:type="spellStart"/>
      <w:r>
        <w:t>pyrethroids</w:t>
      </w:r>
      <w:proofErr w:type="spellEnd"/>
      <w:r>
        <w:t xml:space="preserve"> to </w:t>
      </w:r>
      <w:proofErr w:type="spellStart"/>
      <w:r>
        <w:t>Bt</w:t>
      </w:r>
      <w:proofErr w:type="spellEnd"/>
      <w:r>
        <w:t xml:space="preserve"> toxins—raises legitimate concerns that intensified use of </w:t>
      </w:r>
      <w:proofErr w:type="spellStart"/>
      <w:r>
        <w:t>biopesticides</w:t>
      </w:r>
      <w:proofErr w:type="spellEnd"/>
      <w:r>
        <w:t xml:space="preserve"> such as </w:t>
      </w:r>
      <w:proofErr w:type="spellStart"/>
      <w:r>
        <w:t>spinosad</w:t>
      </w:r>
      <w:proofErr w:type="spellEnd"/>
      <w:r>
        <w:t xml:space="preserve"> or specific </w:t>
      </w:r>
      <w:proofErr w:type="spellStart"/>
      <w:r>
        <w:t>Bt</w:t>
      </w:r>
      <w:proofErr w:type="spellEnd"/>
      <w:r>
        <w:t xml:space="preserve"> subspecies may follow a similar trajectory of </w:t>
      </w:r>
      <w:r>
        <w:lastRenderedPageBreak/>
        <w:t xml:space="preserve">progressive resistance evolution unless carefully managed through resistance-management strategies (Zhao et al., 2002; Furlong et al., 2013). Similarly, the potential for pest populations to overcome plant-based resistance through counter-adaptation is well </w:t>
      </w:r>
      <w:proofErr w:type="spellStart"/>
      <w:r>
        <w:t>recognised</w:t>
      </w:r>
      <w:proofErr w:type="spellEnd"/>
      <w:r>
        <w:t xml:space="preserve"> in the evolutionary biology literature, and the durability of any single resistance mechanism deployed across large areas of commercial production may be inherently limited (Hopkins et al., 2009).</w:t>
      </w:r>
    </w:p>
    <w:p w14:paraId="2CC5AF7E" w14:textId="77777777" w:rsidR="00BB3F4E" w:rsidRDefault="007B5E95">
      <w:pPr>
        <w:spacing w:after="160" w:line="480" w:lineRule="auto"/>
        <w:ind w:firstLine="720"/>
        <w:jc w:val="both"/>
      </w:pPr>
      <w:r>
        <w:t>The agroecological complexity of farming systems presents a further challenge. Biological control efficacy is inherently context-dependent, varying with temperature, humidity, crop phenology, surrounding land use, and the diversity of the natural enemy community. This variability makes it difficult to provide farmers with reliable predictions of biological control outcomes, reducing grower confidence in biological alternatives to chemical insecticides. The inconsistent performance of EPF under field conditions due to UV sensitivity and desiccation exemplifies this challenge, and advances in formulation science are essential to bridging the gap between laboratory efficacy and field reliability (Lacey &amp; Shapiro-Ilan, 2008; Shah &amp; Pell, 2003).</w:t>
      </w:r>
    </w:p>
    <w:p w14:paraId="36EA385C" w14:textId="77777777" w:rsidR="00BB3F4E" w:rsidRDefault="007B5E95">
      <w:pPr>
        <w:spacing w:after="160" w:line="480" w:lineRule="auto"/>
        <w:ind w:firstLine="720"/>
        <w:jc w:val="both"/>
      </w:pPr>
      <w:r>
        <w:t xml:space="preserve">The socio-economic context of technology adoption deserves particular attention in the context of smallholder farming systems in Asia, Africa, and Latin America, where the majority of global cabbage production is concentrated. Grzywacz et al. (2010) </w:t>
      </w:r>
      <w:proofErr w:type="spellStart"/>
      <w:r>
        <w:t>emphasised</w:t>
      </w:r>
      <w:proofErr w:type="spellEnd"/>
      <w:r>
        <w:t xml:space="preserve"> that the deployment of improved management technologies in these settings is constrained not only by technical limitations but also by institutional factors including access to quality seed of improved resistant cultivars, extension service capacity, availability of commercial biocontrol products, and market incentive structures that reward chemical-free or reduced-pesticide produce. Addressing these systemic barriers requires coordinated investment in agricultural extension, </w:t>
      </w:r>
      <w:r>
        <w:lastRenderedPageBreak/>
        <w:t>regulatory frameworks for biopesticide registration, and value chains that enable smallholders to capture premiums associated with sustainably produced vegetables.</w:t>
      </w:r>
    </w:p>
    <w:p w14:paraId="5280F51E" w14:textId="77777777" w:rsidR="00BB3F4E" w:rsidRDefault="007B5E95">
      <w:pPr>
        <w:spacing w:after="160" w:line="480" w:lineRule="auto"/>
        <w:ind w:firstLine="720"/>
        <w:jc w:val="both"/>
      </w:pPr>
      <w:r>
        <w:t>Future research priorities identified by this review include the following. First, the development of RNAi-based transgenic and spray-induced resistance targeting key brassica pests requires substantial further investment in understanding dsRNA stability, uptake efficiency across pest species, and potential non-target effects before regulatory approval can be considered (Zhu &amp; Palli, 2020). Second, CRISPR-based editing of the glucosinolate biosynthetic pathway to create cultivars with novel, pest-targeted GSL profiles offers considerable promise but requires multitrophic evaluation to assess compatibility with natural enemies before commercial deployment. Third, landscape-scale studies examining the relationship between agricultural biodiversity, natural enemy communities, and pest suppression services are needed to inform habitat management guidelines relevant to the major brassica-producing regions of the world. Fourth, the integration of decision support systems, pheromone monitoring data, and predictive modelling into digital farmer advisory platforms offers a pathway for delivering IPM recommendations to smallholder farmers at scale, leveraging mobile communications infrastructure now widely available across developing regions.</w:t>
      </w:r>
    </w:p>
    <w:p w14:paraId="3848559E" w14:textId="77777777" w:rsidR="00BB3F4E" w:rsidRDefault="007B5E95">
      <w:pPr>
        <w:pStyle w:val="Heading1"/>
      </w:pPr>
      <w:r>
        <w:t>9. Conclusions</w:t>
      </w:r>
    </w:p>
    <w:p w14:paraId="4A096072" w14:textId="77777777" w:rsidR="00BB3F4E" w:rsidRDefault="007B5E95">
      <w:pPr>
        <w:spacing w:after="160" w:line="480" w:lineRule="auto"/>
        <w:ind w:firstLine="720"/>
        <w:jc w:val="both"/>
      </w:pPr>
      <w:r>
        <w:t xml:space="preserve">This review has </w:t>
      </w:r>
      <w:proofErr w:type="spellStart"/>
      <w:r>
        <w:t>synthesised</w:t>
      </w:r>
      <w:proofErr w:type="spellEnd"/>
      <w:r>
        <w:t xml:space="preserve"> global evidence on biological control strategies and host plant resistance as cornerstones of sustainable management of insect pests affecting cabbage and related Brassica crops. The evidence overwhelmingly indicates that no single tactic—whether parasitoid augmentation, Bt application, EPF deployment, or resistant variety—is sufficient in isolation to provide consistently adequate pest control across the full range of pest species and production environments encountered in global cabbage cultivation. Rather, the greatest and </w:t>
      </w:r>
      <w:r>
        <w:lastRenderedPageBreak/>
        <w:t>most durable gains in pest management sustainability are achieved through the deliberate, knowledge-based integration of multiple complementary tactics within coherent IPM frameworks tailored to specific production systems and regional pest complexes.</w:t>
      </w:r>
    </w:p>
    <w:p w14:paraId="64C5CB48" w14:textId="77777777" w:rsidR="00BB3F4E" w:rsidRDefault="007B5E95">
      <w:pPr>
        <w:spacing w:after="160" w:line="480" w:lineRule="auto"/>
        <w:ind w:firstLine="720"/>
        <w:jc w:val="both"/>
      </w:pPr>
      <w:r>
        <w:t xml:space="preserve">Biological control agents, particularly larval parasitoids of P. </w:t>
      </w:r>
      <w:proofErr w:type="spellStart"/>
      <w:r>
        <w:t>xylostella</w:t>
      </w:r>
      <w:proofErr w:type="spellEnd"/>
      <w:r>
        <w:t xml:space="preserve">, </w:t>
      </w:r>
      <w:proofErr w:type="spellStart"/>
      <w:r>
        <w:t>Bt</w:t>
      </w:r>
      <w:proofErr w:type="spellEnd"/>
      <w:r>
        <w:t xml:space="preserve">-based </w:t>
      </w:r>
      <w:proofErr w:type="spellStart"/>
      <w:r>
        <w:t>biopesticides</w:t>
      </w:r>
      <w:proofErr w:type="spellEnd"/>
      <w:r>
        <w:t xml:space="preserve">, and entomopathogenic fungi, have demonstrated substantial efficacy under </w:t>
      </w:r>
      <w:proofErr w:type="spellStart"/>
      <w:r>
        <w:t>favourable</w:t>
      </w:r>
      <w:proofErr w:type="spellEnd"/>
      <w:r>
        <w:t xml:space="preserve"> conditions and represent viable, commercially available components of </w:t>
      </w:r>
      <w:proofErr w:type="spellStart"/>
      <w:r>
        <w:t>IPM</w:t>
      </w:r>
      <w:proofErr w:type="spellEnd"/>
      <w:r>
        <w:t xml:space="preserve"> </w:t>
      </w:r>
      <w:proofErr w:type="spellStart"/>
      <w:r>
        <w:t>programmes</w:t>
      </w:r>
      <w:proofErr w:type="spellEnd"/>
      <w:r>
        <w:t xml:space="preserve">. Host plant resistance in Brassica species, mediated primarily through the </w:t>
      </w:r>
      <w:proofErr w:type="spellStart"/>
      <w:r>
        <w:t>glucosinolate</w:t>
      </w:r>
      <w:proofErr w:type="spellEnd"/>
      <w:r>
        <w:t>–</w:t>
      </w:r>
      <w:proofErr w:type="spellStart"/>
      <w:r>
        <w:t>myrosinase</w:t>
      </w:r>
      <w:proofErr w:type="spellEnd"/>
      <w:r>
        <w:t xml:space="preserve"> system and surface morphological traits, operates primarily against generalist pests while presenting complex dynamics with specialist pests adapted to host chemistry. Molecular and biotechnological tools, including transgenic </w:t>
      </w:r>
      <w:proofErr w:type="spellStart"/>
      <w:r>
        <w:t>Bt</w:t>
      </w:r>
      <w:proofErr w:type="spellEnd"/>
      <w:r>
        <w:t xml:space="preserve"> brassicas, </w:t>
      </w:r>
      <w:proofErr w:type="spellStart"/>
      <w:r>
        <w:t>RNAi</w:t>
      </w:r>
      <w:proofErr w:type="spellEnd"/>
      <w:r>
        <w:t>-mediated resistance, and CRISPR-based breeding, offer substantial future potential but require careful regulatory evaluation and multitrophic compatibility assessment before widespread deployment.</w:t>
      </w:r>
    </w:p>
    <w:p w14:paraId="13146924" w14:textId="77777777" w:rsidR="00BB3F4E" w:rsidRDefault="007B5E95">
      <w:pPr>
        <w:spacing w:after="160" w:line="480" w:lineRule="auto"/>
        <w:ind w:firstLine="720"/>
        <w:jc w:val="both"/>
      </w:pPr>
      <w:r>
        <w:t xml:space="preserve">The integration of biological control and resistant varieties is most productive when the specific interactions between plant defensive chemistry, pest biology, and natural enemy community ecology are explicitly considered in system design. Conservation biological control practices—including habitat management for natural enemies, trap cropping, and companion planting—represent low-input strategies with significant co-benefits for biodiversity and ecosystem services that merit broader incorporation into standard cabbage production practice. Overcoming the socio-economic, regulatory, and knowledge barriers that currently constrain technology adoption in smallholder farming systems is essential to </w:t>
      </w:r>
      <w:proofErr w:type="spellStart"/>
      <w:r>
        <w:t>realising</w:t>
      </w:r>
      <w:proofErr w:type="spellEnd"/>
      <w:r>
        <w:t xml:space="preserve"> the full potential of these advances in global cabbage pest management and contributing to the broader goals of sustainable food systems.</w:t>
      </w:r>
    </w:p>
    <w:p w14:paraId="111257B5" w14:textId="77777777" w:rsidR="00BB3F4E" w:rsidRDefault="007B5E95">
      <w:pPr>
        <w:pStyle w:val="Heading1"/>
      </w:pPr>
      <w:r>
        <w:lastRenderedPageBreak/>
        <w:t>10. Limitations</w:t>
      </w:r>
    </w:p>
    <w:p w14:paraId="07BB7520" w14:textId="77777777" w:rsidR="00BB3F4E" w:rsidRDefault="007B5E95">
      <w:pPr>
        <w:spacing w:after="160" w:line="480" w:lineRule="auto"/>
        <w:ind w:firstLine="720"/>
        <w:jc w:val="both"/>
      </w:pPr>
      <w:r>
        <w:t xml:space="preserve">This review is subject to several limitations that should be considered when interpreting its findings. As a narrative review, it does not employ formal systematic search protocols, and the selection of included studies—whilst guided by explicit search procedures described in Section 2—remains subject to the judgements of the authors regarding relevance, quality, and representativeness. Publication bias is a potential concern, as studies reporting positive or significant results of biological control interventions may be more likely to reach publication than those reporting null or negative outcomes, potentially leading to an overestimation of efficacy in the </w:t>
      </w:r>
      <w:proofErr w:type="spellStart"/>
      <w:r>
        <w:t>synthesised</w:t>
      </w:r>
      <w:proofErr w:type="spellEnd"/>
      <w:r>
        <w:t xml:space="preserve"> literature.</w:t>
      </w:r>
    </w:p>
    <w:p w14:paraId="3D891335" w14:textId="77777777" w:rsidR="00BB3F4E" w:rsidRDefault="007B5E95">
      <w:pPr>
        <w:spacing w:after="160" w:line="480" w:lineRule="auto"/>
        <w:ind w:firstLine="720"/>
        <w:jc w:val="both"/>
      </w:pPr>
      <w:r>
        <w:t>The review is restricted to English-language publications, which may introduce geographic bias, given that substantial research on brassica pest management is conducted and published in Chinese, Japanese, Korean, Spanish, and Portuguese, particularly in Asia and Latin America where brassica production is concentrated. The rapid pace of development in molecular and biotechnological resistance breeding means that some recent advances published in 2024–2026 may not be fully captured in the present synthesis.</w:t>
      </w:r>
    </w:p>
    <w:p w14:paraId="4EB2B623" w14:textId="77777777" w:rsidR="00BB3F4E" w:rsidRDefault="007B5E95">
      <w:pPr>
        <w:spacing w:after="160" w:line="480" w:lineRule="auto"/>
        <w:ind w:firstLine="720"/>
        <w:jc w:val="both"/>
      </w:pPr>
      <w:r>
        <w:t xml:space="preserve">The heterogeneity of experimental designs, pest species, Brassica cultivars, geographic contexts, and measurement endpoints across included studies precludes formal meta-analysis and limits the precision with which quantitative conclusions about treatment efficacy can be drawn. Readers are therefore encouraged to consult primary sources for quantitative efficacy data relevant to their specific pest management contexts, and to treat </w:t>
      </w:r>
      <w:proofErr w:type="spellStart"/>
      <w:r>
        <w:t>synthesised</w:t>
      </w:r>
      <w:proofErr w:type="spellEnd"/>
      <w:r>
        <w:t xml:space="preserve"> conclusions in this review as indicative of broad trends rather than precise effect size estimates.</w:t>
      </w:r>
    </w:p>
    <w:p w14:paraId="39024D68" w14:textId="77777777" w:rsidR="00BB3F4E" w:rsidRDefault="007B5E95">
      <w:pPr>
        <w:pStyle w:val="Heading1"/>
      </w:pPr>
      <w:r>
        <w:t>References</w:t>
      </w:r>
    </w:p>
    <w:p w14:paraId="28606FD1" w14:textId="77777777" w:rsidR="00BB3F4E" w:rsidRDefault="007B5E95">
      <w:pPr>
        <w:spacing w:after="120" w:line="480" w:lineRule="auto"/>
        <w:ind w:left="720" w:hanging="720"/>
        <w:jc w:val="both"/>
      </w:pPr>
      <w:r>
        <w:rPr>
          <w:sz w:val="22"/>
          <w:szCs w:val="22"/>
        </w:rPr>
        <w:lastRenderedPageBreak/>
        <w:t xml:space="preserve">Ahuja, I., Rohloff, J., &amp; Bones, A. M. (2010). </w:t>
      </w:r>
      <w:proofErr w:type="spellStart"/>
      <w:r>
        <w:rPr>
          <w:sz w:val="22"/>
          <w:szCs w:val="22"/>
        </w:rPr>
        <w:t>Defence</w:t>
      </w:r>
      <w:proofErr w:type="spellEnd"/>
      <w:r>
        <w:rPr>
          <w:sz w:val="22"/>
          <w:szCs w:val="22"/>
        </w:rPr>
        <w:t xml:space="preserve"> mechanisms of </w:t>
      </w:r>
      <w:proofErr w:type="spellStart"/>
      <w:r>
        <w:rPr>
          <w:sz w:val="22"/>
          <w:szCs w:val="22"/>
        </w:rPr>
        <w:t>Brassicaceae</w:t>
      </w:r>
      <w:proofErr w:type="spellEnd"/>
      <w:r>
        <w:rPr>
          <w:sz w:val="22"/>
          <w:szCs w:val="22"/>
        </w:rPr>
        <w:t xml:space="preserve">: implications for plant-insect interactions and potential for integrated pest management. </w:t>
      </w:r>
      <w:r>
        <w:rPr>
          <w:i/>
          <w:iCs/>
          <w:sz w:val="22"/>
          <w:szCs w:val="22"/>
        </w:rPr>
        <w:t>Agronomy for Sustainable Development</w:t>
      </w:r>
      <w:r>
        <w:rPr>
          <w:sz w:val="22"/>
          <w:szCs w:val="22"/>
        </w:rPr>
        <w:t>, 30(2), 311–348. https://doi.org/10.1051/agro/2009025</w:t>
      </w:r>
    </w:p>
    <w:p w14:paraId="16AE6105" w14:textId="77777777" w:rsidR="00BB3F4E" w:rsidRDefault="007B5E95">
      <w:pPr>
        <w:spacing w:after="120" w:line="480" w:lineRule="auto"/>
        <w:ind w:left="720" w:hanging="720"/>
        <w:jc w:val="both"/>
      </w:pPr>
      <w:r>
        <w:rPr>
          <w:sz w:val="22"/>
          <w:szCs w:val="22"/>
        </w:rPr>
        <w:t xml:space="preserve">Cole, R. A. (1997). The relative importance of glucosinolates and amino acids to the development of two aphid pests </w:t>
      </w:r>
      <w:proofErr w:type="spellStart"/>
      <w:r>
        <w:rPr>
          <w:i/>
          <w:iCs/>
          <w:sz w:val="22"/>
          <w:szCs w:val="22"/>
        </w:rPr>
        <w:t>Brevicoryne</w:t>
      </w:r>
      <w:proofErr w:type="spellEnd"/>
      <w:r>
        <w:rPr>
          <w:i/>
          <w:iCs/>
          <w:sz w:val="22"/>
          <w:szCs w:val="22"/>
        </w:rPr>
        <w:t xml:space="preserve"> </w:t>
      </w:r>
      <w:proofErr w:type="spellStart"/>
      <w:r>
        <w:rPr>
          <w:i/>
          <w:iCs/>
          <w:sz w:val="22"/>
          <w:szCs w:val="22"/>
        </w:rPr>
        <w:t>brassicae</w:t>
      </w:r>
      <w:proofErr w:type="spellEnd"/>
      <w:r>
        <w:rPr>
          <w:sz w:val="22"/>
          <w:szCs w:val="22"/>
        </w:rPr>
        <w:t xml:space="preserve"> and </w:t>
      </w:r>
      <w:proofErr w:type="spellStart"/>
      <w:r>
        <w:rPr>
          <w:i/>
          <w:iCs/>
          <w:sz w:val="22"/>
          <w:szCs w:val="22"/>
        </w:rPr>
        <w:t>Myzus</w:t>
      </w:r>
      <w:proofErr w:type="spellEnd"/>
      <w:r>
        <w:rPr>
          <w:i/>
          <w:iCs/>
          <w:sz w:val="22"/>
          <w:szCs w:val="22"/>
        </w:rPr>
        <w:t xml:space="preserve"> </w:t>
      </w:r>
      <w:proofErr w:type="spellStart"/>
      <w:r>
        <w:rPr>
          <w:i/>
          <w:iCs/>
          <w:sz w:val="22"/>
          <w:szCs w:val="22"/>
        </w:rPr>
        <w:t>persicae</w:t>
      </w:r>
      <w:proofErr w:type="spellEnd"/>
      <w:r>
        <w:rPr>
          <w:sz w:val="22"/>
          <w:szCs w:val="22"/>
        </w:rPr>
        <w:t xml:space="preserve"> on wild and cultivated brassica species. </w:t>
      </w:r>
      <w:proofErr w:type="spellStart"/>
      <w:r>
        <w:rPr>
          <w:i/>
          <w:iCs/>
          <w:sz w:val="22"/>
          <w:szCs w:val="22"/>
        </w:rPr>
        <w:t>Entomologia</w:t>
      </w:r>
      <w:proofErr w:type="spellEnd"/>
      <w:r>
        <w:rPr>
          <w:i/>
          <w:iCs/>
          <w:sz w:val="22"/>
          <w:szCs w:val="22"/>
        </w:rPr>
        <w:t xml:space="preserve"> </w:t>
      </w:r>
      <w:proofErr w:type="spellStart"/>
      <w:r>
        <w:rPr>
          <w:i/>
          <w:iCs/>
          <w:sz w:val="22"/>
          <w:szCs w:val="22"/>
        </w:rPr>
        <w:t>Experimentalis</w:t>
      </w:r>
      <w:proofErr w:type="spellEnd"/>
      <w:r>
        <w:rPr>
          <w:i/>
          <w:iCs/>
          <w:sz w:val="22"/>
          <w:szCs w:val="22"/>
        </w:rPr>
        <w:t xml:space="preserve"> et </w:t>
      </w:r>
      <w:proofErr w:type="spellStart"/>
      <w:r>
        <w:rPr>
          <w:i/>
          <w:iCs/>
          <w:sz w:val="22"/>
          <w:szCs w:val="22"/>
        </w:rPr>
        <w:t>Applicata</w:t>
      </w:r>
      <w:proofErr w:type="spellEnd"/>
      <w:r>
        <w:rPr>
          <w:sz w:val="22"/>
          <w:szCs w:val="22"/>
        </w:rPr>
        <w:t>, 85(2), 121–133. https://doi.org/10.1046/j.1570-7458.1997.00242.x</w:t>
      </w:r>
    </w:p>
    <w:p w14:paraId="3ACCCA38" w14:textId="77777777" w:rsidR="00BB3F4E" w:rsidRDefault="007B5E95">
      <w:pPr>
        <w:spacing w:after="120" w:line="480" w:lineRule="auto"/>
        <w:ind w:left="720" w:hanging="720"/>
        <w:jc w:val="both"/>
      </w:pPr>
      <w:proofErr w:type="spellStart"/>
      <w:r>
        <w:rPr>
          <w:sz w:val="22"/>
          <w:szCs w:val="22"/>
        </w:rPr>
        <w:t>Desneux</w:t>
      </w:r>
      <w:proofErr w:type="spellEnd"/>
      <w:r>
        <w:rPr>
          <w:sz w:val="22"/>
          <w:szCs w:val="22"/>
        </w:rPr>
        <w:t xml:space="preserve">, N., </w:t>
      </w:r>
      <w:proofErr w:type="spellStart"/>
      <w:r>
        <w:rPr>
          <w:sz w:val="22"/>
          <w:szCs w:val="22"/>
        </w:rPr>
        <w:t>Decourtye</w:t>
      </w:r>
      <w:proofErr w:type="spellEnd"/>
      <w:r>
        <w:rPr>
          <w:sz w:val="22"/>
          <w:szCs w:val="22"/>
        </w:rPr>
        <w:t xml:space="preserve">, A., &amp; </w:t>
      </w:r>
      <w:proofErr w:type="spellStart"/>
      <w:r>
        <w:rPr>
          <w:sz w:val="22"/>
          <w:szCs w:val="22"/>
        </w:rPr>
        <w:t>Delpuech</w:t>
      </w:r>
      <w:proofErr w:type="spellEnd"/>
      <w:r>
        <w:rPr>
          <w:sz w:val="22"/>
          <w:szCs w:val="22"/>
        </w:rPr>
        <w:t xml:space="preserve">, J.-M. (2007). The sublethal effects of pesticides on beneficial arthropods. </w:t>
      </w:r>
      <w:r>
        <w:rPr>
          <w:i/>
          <w:iCs/>
          <w:sz w:val="22"/>
          <w:szCs w:val="22"/>
        </w:rPr>
        <w:t>Annual Review of Entomology</w:t>
      </w:r>
      <w:r>
        <w:rPr>
          <w:sz w:val="22"/>
          <w:szCs w:val="22"/>
        </w:rPr>
        <w:t>, 52, 81–106. https://doi.org/10.1146/annurev.ento.52.110405.091440</w:t>
      </w:r>
    </w:p>
    <w:p w14:paraId="5D76922B" w14:textId="77777777" w:rsidR="00BB3F4E" w:rsidRDefault="007B5E95">
      <w:pPr>
        <w:spacing w:after="120" w:line="480" w:lineRule="auto"/>
        <w:ind w:left="720" w:hanging="720"/>
        <w:jc w:val="both"/>
      </w:pPr>
      <w:r>
        <w:rPr>
          <w:sz w:val="22"/>
          <w:szCs w:val="22"/>
        </w:rPr>
        <w:t xml:space="preserve">Ehler, L. E. (2006). Integrated pest management (IPM): definition, historical development and implementation, and the other IPM. </w:t>
      </w:r>
      <w:r>
        <w:rPr>
          <w:i/>
          <w:iCs/>
          <w:sz w:val="22"/>
          <w:szCs w:val="22"/>
        </w:rPr>
        <w:t>Pest Management Science</w:t>
      </w:r>
      <w:r>
        <w:rPr>
          <w:sz w:val="22"/>
          <w:szCs w:val="22"/>
        </w:rPr>
        <w:t>, 62(9), 787–789. https://doi.org/10.1002/ps.1247</w:t>
      </w:r>
    </w:p>
    <w:p w14:paraId="28D274EF" w14:textId="77777777" w:rsidR="00BB3F4E" w:rsidRDefault="007B5E95">
      <w:pPr>
        <w:spacing w:after="120" w:line="480" w:lineRule="auto"/>
        <w:ind w:left="720" w:hanging="720"/>
        <w:jc w:val="both"/>
      </w:pPr>
      <w:r>
        <w:rPr>
          <w:sz w:val="22"/>
          <w:szCs w:val="22"/>
        </w:rPr>
        <w:t xml:space="preserve">Eigenbrode, S. D., &amp; </w:t>
      </w:r>
      <w:proofErr w:type="spellStart"/>
      <w:r>
        <w:rPr>
          <w:sz w:val="22"/>
          <w:szCs w:val="22"/>
        </w:rPr>
        <w:t>Espelie</w:t>
      </w:r>
      <w:proofErr w:type="spellEnd"/>
      <w:r>
        <w:rPr>
          <w:sz w:val="22"/>
          <w:szCs w:val="22"/>
        </w:rPr>
        <w:t xml:space="preserve">, K. E. (1995). Effects of plant epicuticular lipids on insect herbivores. </w:t>
      </w:r>
      <w:r>
        <w:rPr>
          <w:i/>
          <w:iCs/>
          <w:sz w:val="22"/>
          <w:szCs w:val="22"/>
        </w:rPr>
        <w:t>Annual Review of Entomology</w:t>
      </w:r>
      <w:r>
        <w:rPr>
          <w:sz w:val="22"/>
          <w:szCs w:val="22"/>
        </w:rPr>
        <w:t>, 40(1), 171–194. https://doi.org/10.1146/annurev.en.40.010195.001131</w:t>
      </w:r>
    </w:p>
    <w:p w14:paraId="2CDCAB39" w14:textId="77777777" w:rsidR="00BB3F4E" w:rsidRDefault="007B5E95">
      <w:pPr>
        <w:spacing w:after="120" w:line="480" w:lineRule="auto"/>
        <w:ind w:left="720" w:hanging="720"/>
        <w:jc w:val="both"/>
      </w:pPr>
      <w:r>
        <w:rPr>
          <w:sz w:val="22"/>
          <w:szCs w:val="22"/>
        </w:rPr>
        <w:t xml:space="preserve">Food and Agriculture Organization of the United Nations. (2023). </w:t>
      </w:r>
      <w:r>
        <w:rPr>
          <w:i/>
          <w:iCs/>
          <w:sz w:val="22"/>
          <w:szCs w:val="22"/>
        </w:rPr>
        <w:t>FAOSTAT database.</w:t>
      </w:r>
      <w:r>
        <w:rPr>
          <w:sz w:val="22"/>
          <w:szCs w:val="22"/>
        </w:rPr>
        <w:t xml:space="preserve"> https://www.fao.org/faostat/</w:t>
      </w:r>
    </w:p>
    <w:p w14:paraId="28A17E9A" w14:textId="77777777" w:rsidR="00BB3F4E" w:rsidRDefault="007B5E95">
      <w:pPr>
        <w:spacing w:after="120" w:line="480" w:lineRule="auto"/>
        <w:ind w:left="720" w:hanging="720"/>
        <w:jc w:val="both"/>
      </w:pPr>
      <w:r>
        <w:rPr>
          <w:sz w:val="22"/>
          <w:szCs w:val="22"/>
        </w:rPr>
        <w:t xml:space="preserve">Furlong, M. J., Wright, D. J., &amp; Dosdall, L. M. (2013). Diamondback moth ecology and management: problems, progress, and prospects. </w:t>
      </w:r>
      <w:r>
        <w:rPr>
          <w:i/>
          <w:iCs/>
          <w:sz w:val="22"/>
          <w:szCs w:val="22"/>
        </w:rPr>
        <w:t>Annual Review of Entomology</w:t>
      </w:r>
      <w:r>
        <w:rPr>
          <w:sz w:val="22"/>
          <w:szCs w:val="22"/>
        </w:rPr>
        <w:t>, 58, 517–541. https://doi.org/10.1146/annurev-ento-120811-153605</w:t>
      </w:r>
    </w:p>
    <w:p w14:paraId="5682AC11" w14:textId="77777777" w:rsidR="00BB3F4E" w:rsidRDefault="007B5E95">
      <w:pPr>
        <w:spacing w:after="120" w:line="480" w:lineRule="auto"/>
        <w:ind w:left="720" w:hanging="720"/>
        <w:jc w:val="both"/>
      </w:pPr>
      <w:r>
        <w:rPr>
          <w:sz w:val="22"/>
          <w:szCs w:val="22"/>
        </w:rPr>
        <w:t xml:space="preserve">Greenhalgh, T., Thorne, S., &amp; </w:t>
      </w:r>
      <w:proofErr w:type="spellStart"/>
      <w:r>
        <w:rPr>
          <w:sz w:val="22"/>
          <w:szCs w:val="22"/>
        </w:rPr>
        <w:t>Malterud</w:t>
      </w:r>
      <w:proofErr w:type="spellEnd"/>
      <w:r>
        <w:rPr>
          <w:sz w:val="22"/>
          <w:szCs w:val="22"/>
        </w:rPr>
        <w:t xml:space="preserve">, K. (2018). Time to challenge the spurious hierarchy of systematic over narrative reviews? </w:t>
      </w:r>
      <w:r>
        <w:rPr>
          <w:i/>
          <w:iCs/>
          <w:sz w:val="22"/>
          <w:szCs w:val="22"/>
        </w:rPr>
        <w:t>European Journal of Clinical Investigation</w:t>
      </w:r>
      <w:r>
        <w:rPr>
          <w:sz w:val="22"/>
          <w:szCs w:val="22"/>
        </w:rPr>
        <w:t>, 48(6), e12931. https://doi.org/10.1111/eci.12931</w:t>
      </w:r>
    </w:p>
    <w:p w14:paraId="6E0FE502" w14:textId="77777777" w:rsidR="00BB3F4E" w:rsidRDefault="007B5E95">
      <w:pPr>
        <w:spacing w:after="120" w:line="480" w:lineRule="auto"/>
        <w:ind w:left="720" w:hanging="720"/>
        <w:jc w:val="both"/>
      </w:pPr>
      <w:r>
        <w:rPr>
          <w:sz w:val="22"/>
          <w:szCs w:val="22"/>
        </w:rPr>
        <w:lastRenderedPageBreak/>
        <w:t xml:space="preserve">Grzywacz, D., Rossbach, A., Rauf, A., Russell, D. A., Srinivasan, R., &amp; Shelton, A. M. (2010). Current control methods for diamondback moth and other brassica insect pests and the prospects for improved management with </w:t>
      </w:r>
      <w:proofErr w:type="spellStart"/>
      <w:r>
        <w:rPr>
          <w:sz w:val="22"/>
          <w:szCs w:val="22"/>
        </w:rPr>
        <w:t>lepidopteran</w:t>
      </w:r>
      <w:proofErr w:type="spellEnd"/>
      <w:r>
        <w:rPr>
          <w:sz w:val="22"/>
          <w:szCs w:val="22"/>
        </w:rPr>
        <w:t xml:space="preserve">-resistant </w:t>
      </w:r>
      <w:proofErr w:type="spellStart"/>
      <w:r>
        <w:rPr>
          <w:sz w:val="22"/>
          <w:szCs w:val="22"/>
        </w:rPr>
        <w:t>Bt</w:t>
      </w:r>
      <w:proofErr w:type="spellEnd"/>
      <w:r>
        <w:rPr>
          <w:sz w:val="22"/>
          <w:szCs w:val="22"/>
        </w:rPr>
        <w:t xml:space="preserve"> vegetable brassicas in Asia and Africa. </w:t>
      </w:r>
      <w:r>
        <w:rPr>
          <w:i/>
          <w:iCs/>
          <w:sz w:val="22"/>
          <w:szCs w:val="22"/>
        </w:rPr>
        <w:t>Crop Protection</w:t>
      </w:r>
      <w:r>
        <w:rPr>
          <w:sz w:val="22"/>
          <w:szCs w:val="22"/>
        </w:rPr>
        <w:t>, 29(1), 68–79. https://doi.org/10.1016/j.cropro.2009.09.009</w:t>
      </w:r>
    </w:p>
    <w:p w14:paraId="72D17FF3" w14:textId="77777777" w:rsidR="00BB3F4E" w:rsidRDefault="007B5E95">
      <w:pPr>
        <w:spacing w:after="120" w:line="480" w:lineRule="auto"/>
        <w:ind w:left="720" w:hanging="720"/>
        <w:jc w:val="both"/>
      </w:pPr>
      <w:r>
        <w:rPr>
          <w:sz w:val="22"/>
          <w:szCs w:val="22"/>
        </w:rPr>
        <w:t xml:space="preserve">Gurr, G. M., Wratten, S. D., &amp; Luna, J. M. (2003). Multi-function agricultural biodiversity: pest management and other benefits. </w:t>
      </w:r>
      <w:r>
        <w:rPr>
          <w:i/>
          <w:iCs/>
          <w:sz w:val="22"/>
          <w:szCs w:val="22"/>
        </w:rPr>
        <w:t>Basic and Applied Ecology</w:t>
      </w:r>
      <w:r>
        <w:rPr>
          <w:sz w:val="22"/>
          <w:szCs w:val="22"/>
        </w:rPr>
        <w:t>, 4(2), 107–116. https://doi.org/10.1078/1439-1791-00122</w:t>
      </w:r>
    </w:p>
    <w:p w14:paraId="6A2681CA" w14:textId="77777777" w:rsidR="00BB3F4E" w:rsidRDefault="007B5E95">
      <w:pPr>
        <w:spacing w:after="120" w:line="480" w:lineRule="auto"/>
        <w:ind w:left="720" w:hanging="720"/>
        <w:jc w:val="both"/>
      </w:pPr>
      <w:r>
        <w:rPr>
          <w:sz w:val="22"/>
          <w:szCs w:val="22"/>
        </w:rPr>
        <w:t xml:space="preserve">Halkier, B. A., &amp; </w:t>
      </w:r>
      <w:proofErr w:type="spellStart"/>
      <w:r>
        <w:rPr>
          <w:sz w:val="22"/>
          <w:szCs w:val="22"/>
        </w:rPr>
        <w:t>Gershenzon</w:t>
      </w:r>
      <w:proofErr w:type="spellEnd"/>
      <w:r>
        <w:rPr>
          <w:sz w:val="22"/>
          <w:szCs w:val="22"/>
        </w:rPr>
        <w:t xml:space="preserve">, J. (2006). Biology and biochemistry of glucosinolates. </w:t>
      </w:r>
      <w:r>
        <w:rPr>
          <w:i/>
          <w:iCs/>
          <w:sz w:val="22"/>
          <w:szCs w:val="22"/>
        </w:rPr>
        <w:t>Annual Review of Plant Biology</w:t>
      </w:r>
      <w:r>
        <w:rPr>
          <w:sz w:val="22"/>
          <w:szCs w:val="22"/>
        </w:rPr>
        <w:t>, 57, 303–333. https://doi.org/10.1146/annurev.arplant.57.032905.105228</w:t>
      </w:r>
    </w:p>
    <w:p w14:paraId="624E0D9A" w14:textId="77777777" w:rsidR="00BB3F4E" w:rsidRDefault="007B5E95">
      <w:pPr>
        <w:spacing w:after="120" w:line="480" w:lineRule="auto"/>
        <w:ind w:left="720" w:hanging="720"/>
        <w:jc w:val="both"/>
      </w:pPr>
      <w:r>
        <w:rPr>
          <w:sz w:val="22"/>
          <w:szCs w:val="22"/>
        </w:rPr>
        <w:t xml:space="preserve">Hooks, C. R. R., &amp; Johnson, M. W. (2003). Impact of agricultural diversification on the insect community of cruciferous crops. </w:t>
      </w:r>
      <w:r>
        <w:rPr>
          <w:i/>
          <w:iCs/>
          <w:sz w:val="22"/>
          <w:szCs w:val="22"/>
        </w:rPr>
        <w:t>Crop Protection</w:t>
      </w:r>
      <w:r>
        <w:rPr>
          <w:sz w:val="22"/>
          <w:szCs w:val="22"/>
        </w:rPr>
        <w:t>, 22(2), 223–238. https://doi.org/10.1016/S0261-2194(02)00172-2</w:t>
      </w:r>
    </w:p>
    <w:p w14:paraId="676CCA60" w14:textId="77777777" w:rsidR="00BB3F4E" w:rsidRDefault="007B5E95">
      <w:pPr>
        <w:spacing w:after="120" w:line="480" w:lineRule="auto"/>
        <w:ind w:left="720" w:hanging="720"/>
        <w:jc w:val="both"/>
      </w:pPr>
      <w:r>
        <w:rPr>
          <w:sz w:val="22"/>
          <w:szCs w:val="22"/>
        </w:rPr>
        <w:t xml:space="preserve">Hopkins, R. J., van Dam, N. M., &amp; van Loon, J. J. A. (2009). Role of glucosinolates in insect-plant relationships and multitrophic interactions. </w:t>
      </w:r>
      <w:r>
        <w:rPr>
          <w:i/>
          <w:iCs/>
          <w:sz w:val="22"/>
          <w:szCs w:val="22"/>
        </w:rPr>
        <w:t>Annual Review of Entomology</w:t>
      </w:r>
      <w:r>
        <w:rPr>
          <w:sz w:val="22"/>
          <w:szCs w:val="22"/>
        </w:rPr>
        <w:t>, 54, 57–83. https://doi.org/10.1146/annurev.ento.54.110807.090623</w:t>
      </w:r>
    </w:p>
    <w:p w14:paraId="539CA143" w14:textId="77777777" w:rsidR="00BB3F4E" w:rsidRDefault="007B5E95">
      <w:pPr>
        <w:spacing w:after="120" w:line="480" w:lineRule="auto"/>
        <w:ind w:left="720" w:hanging="720"/>
        <w:jc w:val="both"/>
      </w:pPr>
      <w:r>
        <w:rPr>
          <w:sz w:val="22"/>
          <w:szCs w:val="22"/>
        </w:rPr>
        <w:t xml:space="preserve">Isman, M. B. (2006). Botanical insecticides, deterrents, and repellents in modern agriculture and an increasingly regulated world. </w:t>
      </w:r>
      <w:r>
        <w:rPr>
          <w:i/>
          <w:iCs/>
          <w:sz w:val="22"/>
          <w:szCs w:val="22"/>
        </w:rPr>
        <w:t>Annual Review of Entomology</w:t>
      </w:r>
      <w:r>
        <w:rPr>
          <w:sz w:val="22"/>
          <w:szCs w:val="22"/>
        </w:rPr>
        <w:t>, 51, 45–66. https://doi.org/10.1146/annurev.ento.51.110104.151146</w:t>
      </w:r>
    </w:p>
    <w:p w14:paraId="3AE35FC2" w14:textId="77777777" w:rsidR="00BB3F4E" w:rsidRDefault="007B5E95">
      <w:pPr>
        <w:spacing w:after="120" w:line="480" w:lineRule="auto"/>
        <w:ind w:left="720" w:hanging="720"/>
        <w:jc w:val="both"/>
      </w:pPr>
      <w:r>
        <w:rPr>
          <w:sz w:val="22"/>
          <w:szCs w:val="22"/>
        </w:rPr>
        <w:t xml:space="preserve">Lacey, L. A., &amp; Shapiro-Ilan, D. I. (2008). Microbial control of insect pests in temperate orchard systems: potential for incorporation into IPM. </w:t>
      </w:r>
      <w:r>
        <w:rPr>
          <w:i/>
          <w:iCs/>
          <w:sz w:val="22"/>
          <w:szCs w:val="22"/>
        </w:rPr>
        <w:t>Annual Review of Entomology</w:t>
      </w:r>
      <w:r>
        <w:rPr>
          <w:sz w:val="22"/>
          <w:szCs w:val="22"/>
        </w:rPr>
        <w:t>, 53, 121–144. https://doi.org/10.1146/annurev.ento.53.103106.093419</w:t>
      </w:r>
    </w:p>
    <w:p w14:paraId="3FDD55D7" w14:textId="77777777" w:rsidR="00BB3F4E" w:rsidRDefault="007B5E95">
      <w:pPr>
        <w:spacing w:after="120" w:line="480" w:lineRule="auto"/>
        <w:ind w:left="720" w:hanging="720"/>
        <w:jc w:val="both"/>
      </w:pPr>
      <w:r>
        <w:rPr>
          <w:sz w:val="22"/>
          <w:szCs w:val="22"/>
        </w:rPr>
        <w:t xml:space="preserve">Lacey, L. A., Grzywacz, D., Shapiro-Ilan, D. I., Frutos, R., Brownbridge, M., &amp; Goettel, M. S. (2015). Insect pathogens as biological control agents: back to the future. </w:t>
      </w:r>
      <w:r>
        <w:rPr>
          <w:i/>
          <w:iCs/>
          <w:sz w:val="22"/>
          <w:szCs w:val="22"/>
        </w:rPr>
        <w:t>Journal of Invertebrate Pathology</w:t>
      </w:r>
      <w:r>
        <w:rPr>
          <w:sz w:val="22"/>
          <w:szCs w:val="22"/>
        </w:rPr>
        <w:t>, 132, 1–41. https://doi.org/10.1016/j.jip.2015.07.009</w:t>
      </w:r>
    </w:p>
    <w:p w14:paraId="2932F412" w14:textId="77777777" w:rsidR="00BB3F4E" w:rsidRDefault="007B5E95">
      <w:pPr>
        <w:spacing w:after="120" w:line="480" w:lineRule="auto"/>
        <w:ind w:left="720" w:hanging="720"/>
        <w:jc w:val="both"/>
      </w:pPr>
      <w:r>
        <w:rPr>
          <w:sz w:val="22"/>
          <w:szCs w:val="22"/>
        </w:rPr>
        <w:lastRenderedPageBreak/>
        <w:t xml:space="preserve">Landis, D. A., Wratten, S. D., &amp; Gurr, G. M. (2000). Habitat management to conserve natural enemies of arthropod pests in agriculture. </w:t>
      </w:r>
      <w:r>
        <w:rPr>
          <w:i/>
          <w:iCs/>
          <w:sz w:val="22"/>
          <w:szCs w:val="22"/>
        </w:rPr>
        <w:t>Annual Review of Entomology</w:t>
      </w:r>
      <w:r>
        <w:rPr>
          <w:sz w:val="22"/>
          <w:szCs w:val="22"/>
        </w:rPr>
        <w:t>, 45, 175–201. https://doi.org/10.1146/annurev.ento.45.1.175</w:t>
      </w:r>
    </w:p>
    <w:p w14:paraId="22CA1DA6" w14:textId="77777777" w:rsidR="00BB3F4E" w:rsidRDefault="007B5E95">
      <w:pPr>
        <w:spacing w:after="120" w:line="480" w:lineRule="auto"/>
        <w:ind w:left="720" w:hanging="720"/>
        <w:jc w:val="both"/>
      </w:pPr>
      <w:r>
        <w:rPr>
          <w:sz w:val="22"/>
          <w:szCs w:val="22"/>
        </w:rPr>
        <w:t xml:space="preserve">Mithofer, A., &amp; Boland, W. (2012). Plant defense against herbivores: chemical aspects. </w:t>
      </w:r>
      <w:r>
        <w:rPr>
          <w:i/>
          <w:iCs/>
          <w:sz w:val="22"/>
          <w:szCs w:val="22"/>
        </w:rPr>
        <w:t>Annual Review of Plant Biology</w:t>
      </w:r>
      <w:r>
        <w:rPr>
          <w:sz w:val="22"/>
          <w:szCs w:val="22"/>
        </w:rPr>
        <w:t>, 63, 431–450. https://doi.org/10.1146/annurev-arplant-042110-103854</w:t>
      </w:r>
    </w:p>
    <w:p w14:paraId="3EE02B3E" w14:textId="77777777" w:rsidR="00BB3F4E" w:rsidRDefault="007B5E95">
      <w:pPr>
        <w:spacing w:after="120" w:line="480" w:lineRule="auto"/>
        <w:ind w:left="720" w:hanging="720"/>
        <w:jc w:val="both"/>
      </w:pPr>
      <w:r>
        <w:rPr>
          <w:sz w:val="22"/>
          <w:szCs w:val="22"/>
        </w:rPr>
        <w:t xml:space="preserve">Müller, R., de Vos, M., Sun, J. Y., Sønderby, I. E., Halkier, B. A., Wittstock, U., &amp; Jander, G. (2010). Differential effects of indole and aliphatic glucosinolates on lepidopteran herbivores. </w:t>
      </w:r>
      <w:r>
        <w:rPr>
          <w:i/>
          <w:iCs/>
          <w:sz w:val="22"/>
          <w:szCs w:val="22"/>
        </w:rPr>
        <w:t>Journal of Chemical Ecology</w:t>
      </w:r>
      <w:r>
        <w:rPr>
          <w:sz w:val="22"/>
          <w:szCs w:val="22"/>
        </w:rPr>
        <w:t>, 36(8), 905–913. https://doi.org/10.1007/s10886-010-9825-z</w:t>
      </w:r>
    </w:p>
    <w:p w14:paraId="38E7BD5E" w14:textId="77777777" w:rsidR="00BB3F4E" w:rsidRDefault="007B5E95">
      <w:pPr>
        <w:spacing w:after="120" w:line="480" w:lineRule="auto"/>
        <w:ind w:left="720" w:hanging="720"/>
        <w:jc w:val="both"/>
      </w:pPr>
      <w:r>
        <w:rPr>
          <w:sz w:val="22"/>
          <w:szCs w:val="22"/>
        </w:rPr>
        <w:t xml:space="preserve">Oerke, E. C. (2006). Crop losses to pests. </w:t>
      </w:r>
      <w:r>
        <w:rPr>
          <w:i/>
          <w:iCs/>
          <w:sz w:val="22"/>
          <w:szCs w:val="22"/>
        </w:rPr>
        <w:t>Journal of Agricultural Science</w:t>
      </w:r>
      <w:r>
        <w:rPr>
          <w:sz w:val="22"/>
          <w:szCs w:val="22"/>
        </w:rPr>
        <w:t>, 144(1), 31–43. https://doi.org/10.1017/S0021859605005708</w:t>
      </w:r>
    </w:p>
    <w:p w14:paraId="2D58A2CE" w14:textId="77777777" w:rsidR="00BB3F4E" w:rsidRDefault="007B5E95">
      <w:pPr>
        <w:spacing w:after="120" w:line="480" w:lineRule="auto"/>
        <w:ind w:left="720" w:hanging="720"/>
        <w:jc w:val="both"/>
      </w:pPr>
      <w:r>
        <w:rPr>
          <w:sz w:val="22"/>
          <w:szCs w:val="22"/>
        </w:rPr>
        <w:t xml:space="preserve">Palma, L., Muñoz, D., Berry, C., Murillo, J., &amp; Caballero, P. (2014). </w:t>
      </w:r>
      <w:r>
        <w:rPr>
          <w:i/>
          <w:iCs/>
          <w:sz w:val="22"/>
          <w:szCs w:val="22"/>
        </w:rPr>
        <w:t>Bacillus thuringiensis</w:t>
      </w:r>
      <w:r>
        <w:rPr>
          <w:sz w:val="22"/>
          <w:szCs w:val="22"/>
        </w:rPr>
        <w:t xml:space="preserve"> toxins: an overview of their biocidal activity. </w:t>
      </w:r>
      <w:r>
        <w:rPr>
          <w:i/>
          <w:iCs/>
          <w:sz w:val="22"/>
          <w:szCs w:val="22"/>
        </w:rPr>
        <w:t>Toxins</w:t>
      </w:r>
      <w:r>
        <w:rPr>
          <w:sz w:val="22"/>
          <w:szCs w:val="22"/>
        </w:rPr>
        <w:t>, 6(12), 3296–3325. https://doi.org/10.3390/toxins6123296</w:t>
      </w:r>
    </w:p>
    <w:p w14:paraId="3C6A82A4" w14:textId="77777777" w:rsidR="00BB3F4E" w:rsidRDefault="007B5E95">
      <w:pPr>
        <w:spacing w:after="120" w:line="480" w:lineRule="auto"/>
        <w:ind w:left="720" w:hanging="720"/>
        <w:jc w:val="both"/>
      </w:pPr>
      <w:r>
        <w:rPr>
          <w:sz w:val="22"/>
          <w:szCs w:val="22"/>
        </w:rPr>
        <w:t xml:space="preserve">Pautasso, M. (2013). Ten simple rules for writing a literature review. </w:t>
      </w:r>
      <w:r>
        <w:rPr>
          <w:i/>
          <w:iCs/>
          <w:sz w:val="22"/>
          <w:szCs w:val="22"/>
        </w:rPr>
        <w:t>PLOS Computational Biology</w:t>
      </w:r>
      <w:r>
        <w:rPr>
          <w:sz w:val="22"/>
          <w:szCs w:val="22"/>
        </w:rPr>
        <w:t>, 9(7), e1003149. https://doi.org/10.1371/journal.pcbi.1003149</w:t>
      </w:r>
    </w:p>
    <w:p w14:paraId="5D22A432" w14:textId="77777777" w:rsidR="00BB3F4E" w:rsidRDefault="007B5E95">
      <w:pPr>
        <w:spacing w:after="120" w:line="480" w:lineRule="auto"/>
        <w:ind w:left="720" w:hanging="720"/>
        <w:jc w:val="both"/>
      </w:pPr>
      <w:r>
        <w:rPr>
          <w:sz w:val="22"/>
          <w:szCs w:val="22"/>
        </w:rPr>
        <w:t xml:space="preserve">Poveda, K., Gómez Jiménez, M. I., &amp; Kessler, A. (2010). The enemy as ally: herbivore-induced increase in crop yield. </w:t>
      </w:r>
      <w:r>
        <w:rPr>
          <w:i/>
          <w:iCs/>
          <w:sz w:val="22"/>
          <w:szCs w:val="22"/>
        </w:rPr>
        <w:t>Ecological Applications</w:t>
      </w:r>
      <w:r>
        <w:rPr>
          <w:sz w:val="22"/>
          <w:szCs w:val="22"/>
        </w:rPr>
        <w:t>, 20(7), 1787–1793. https://doi.org/10.1890/09-1726.1</w:t>
      </w:r>
    </w:p>
    <w:p w14:paraId="1501EB1B" w14:textId="77777777" w:rsidR="00BB3F4E" w:rsidRDefault="007B5E95">
      <w:pPr>
        <w:spacing w:after="120" w:line="480" w:lineRule="auto"/>
        <w:ind w:left="720" w:hanging="720"/>
        <w:jc w:val="both"/>
      </w:pPr>
      <w:r>
        <w:rPr>
          <w:sz w:val="22"/>
          <w:szCs w:val="22"/>
        </w:rPr>
        <w:t xml:space="preserve">Regnault-Roger, C., Vincent, C., &amp; Arnason, J. T. (2012). Essential oils in insect control: low-risk products in a high-stakes world. </w:t>
      </w:r>
      <w:r>
        <w:rPr>
          <w:i/>
          <w:iCs/>
          <w:sz w:val="22"/>
          <w:szCs w:val="22"/>
        </w:rPr>
        <w:t>Annual Review of Entomology</w:t>
      </w:r>
      <w:r>
        <w:rPr>
          <w:sz w:val="22"/>
          <w:szCs w:val="22"/>
        </w:rPr>
        <w:t>, 57, 405–424. https://doi.org/10.1146/annurev-ento-120710-100554</w:t>
      </w:r>
    </w:p>
    <w:p w14:paraId="05A53597" w14:textId="77777777" w:rsidR="00BB3F4E" w:rsidRDefault="007B5E95">
      <w:pPr>
        <w:spacing w:after="120" w:line="480" w:lineRule="auto"/>
        <w:ind w:left="720" w:hanging="720"/>
        <w:jc w:val="both"/>
      </w:pPr>
      <w:proofErr w:type="spellStart"/>
      <w:r>
        <w:rPr>
          <w:sz w:val="22"/>
          <w:szCs w:val="22"/>
        </w:rPr>
        <w:t>Sanahuja</w:t>
      </w:r>
      <w:proofErr w:type="spellEnd"/>
      <w:r>
        <w:rPr>
          <w:sz w:val="22"/>
          <w:szCs w:val="22"/>
        </w:rPr>
        <w:t xml:space="preserve">, G., </w:t>
      </w:r>
      <w:proofErr w:type="spellStart"/>
      <w:r>
        <w:rPr>
          <w:sz w:val="22"/>
          <w:szCs w:val="22"/>
        </w:rPr>
        <w:t>Banakar</w:t>
      </w:r>
      <w:proofErr w:type="spellEnd"/>
      <w:r>
        <w:rPr>
          <w:sz w:val="22"/>
          <w:szCs w:val="22"/>
        </w:rPr>
        <w:t xml:space="preserve">, R., Twyman, R. M., Capell, T., &amp; Christou, P. (2011). </w:t>
      </w:r>
      <w:r>
        <w:rPr>
          <w:i/>
          <w:iCs/>
          <w:sz w:val="22"/>
          <w:szCs w:val="22"/>
        </w:rPr>
        <w:t>Bacillus thuringiensis</w:t>
      </w:r>
      <w:r>
        <w:rPr>
          <w:sz w:val="22"/>
          <w:szCs w:val="22"/>
        </w:rPr>
        <w:t xml:space="preserve">: a century of research, development and commercial applications. </w:t>
      </w:r>
      <w:r>
        <w:rPr>
          <w:i/>
          <w:iCs/>
          <w:sz w:val="22"/>
          <w:szCs w:val="22"/>
        </w:rPr>
        <w:t>Plant Biotechnology Journal</w:t>
      </w:r>
      <w:r>
        <w:rPr>
          <w:sz w:val="22"/>
          <w:szCs w:val="22"/>
        </w:rPr>
        <w:t>, 9(3), 283–300. https://doi.org/10.1111/j.1467-7652.2011.00595.x</w:t>
      </w:r>
    </w:p>
    <w:p w14:paraId="2E059FF9" w14:textId="77777777" w:rsidR="00BB3F4E" w:rsidRDefault="007B5E95">
      <w:pPr>
        <w:spacing w:after="120" w:line="480" w:lineRule="auto"/>
        <w:ind w:left="720" w:hanging="720"/>
        <w:jc w:val="both"/>
      </w:pPr>
      <w:r>
        <w:rPr>
          <w:sz w:val="22"/>
          <w:szCs w:val="22"/>
        </w:rPr>
        <w:lastRenderedPageBreak/>
        <w:t xml:space="preserve">Sarfraz, M., Dosdall, L. M., &amp; Keddie, B. A. (2006). Diamondback moth–host plant interactions: implications for pest management. </w:t>
      </w:r>
      <w:r>
        <w:rPr>
          <w:i/>
          <w:iCs/>
          <w:sz w:val="22"/>
          <w:szCs w:val="22"/>
        </w:rPr>
        <w:t>Crop Protection</w:t>
      </w:r>
      <w:r>
        <w:rPr>
          <w:sz w:val="22"/>
          <w:szCs w:val="22"/>
        </w:rPr>
        <w:t>, 25(7), 625–639. https://doi.org/10.1016/j.cropro.2005.09.011</w:t>
      </w:r>
    </w:p>
    <w:p w14:paraId="28D6DD30" w14:textId="77777777" w:rsidR="00BB3F4E" w:rsidRDefault="007B5E95">
      <w:pPr>
        <w:spacing w:after="120" w:line="480" w:lineRule="auto"/>
        <w:ind w:left="720" w:hanging="720"/>
        <w:jc w:val="both"/>
      </w:pPr>
      <w:r>
        <w:rPr>
          <w:sz w:val="22"/>
          <w:szCs w:val="22"/>
        </w:rPr>
        <w:t xml:space="preserve">Schroer, S., &amp; Ehlers, R.-U. (2005). Foliar application of the </w:t>
      </w:r>
      <w:proofErr w:type="spellStart"/>
      <w:r>
        <w:rPr>
          <w:sz w:val="22"/>
          <w:szCs w:val="22"/>
        </w:rPr>
        <w:t>entomopathogenic</w:t>
      </w:r>
      <w:proofErr w:type="spellEnd"/>
      <w:r>
        <w:rPr>
          <w:sz w:val="22"/>
          <w:szCs w:val="22"/>
        </w:rPr>
        <w:t xml:space="preserve"> nematode </w:t>
      </w:r>
      <w:proofErr w:type="spellStart"/>
      <w:r>
        <w:rPr>
          <w:i/>
          <w:iCs/>
          <w:sz w:val="22"/>
          <w:szCs w:val="22"/>
        </w:rPr>
        <w:t>Steinernema</w:t>
      </w:r>
      <w:proofErr w:type="spellEnd"/>
      <w:r>
        <w:rPr>
          <w:i/>
          <w:iCs/>
          <w:sz w:val="22"/>
          <w:szCs w:val="22"/>
        </w:rPr>
        <w:t xml:space="preserve"> </w:t>
      </w:r>
      <w:proofErr w:type="spellStart"/>
      <w:r>
        <w:rPr>
          <w:i/>
          <w:iCs/>
          <w:sz w:val="22"/>
          <w:szCs w:val="22"/>
        </w:rPr>
        <w:t>carpocapsae</w:t>
      </w:r>
      <w:proofErr w:type="spellEnd"/>
      <w:r>
        <w:rPr>
          <w:sz w:val="22"/>
          <w:szCs w:val="22"/>
        </w:rPr>
        <w:t xml:space="preserve"> for biological control of diamondback moth larvae (</w:t>
      </w:r>
      <w:proofErr w:type="spellStart"/>
      <w:r>
        <w:rPr>
          <w:i/>
          <w:iCs/>
          <w:sz w:val="22"/>
          <w:szCs w:val="22"/>
        </w:rPr>
        <w:t>Plutella</w:t>
      </w:r>
      <w:proofErr w:type="spellEnd"/>
      <w:r>
        <w:rPr>
          <w:i/>
          <w:iCs/>
          <w:sz w:val="22"/>
          <w:szCs w:val="22"/>
        </w:rPr>
        <w:t xml:space="preserve"> </w:t>
      </w:r>
      <w:proofErr w:type="spellStart"/>
      <w:r>
        <w:rPr>
          <w:i/>
          <w:iCs/>
          <w:sz w:val="22"/>
          <w:szCs w:val="22"/>
        </w:rPr>
        <w:t>xylostella</w:t>
      </w:r>
      <w:proofErr w:type="spellEnd"/>
      <w:r>
        <w:rPr>
          <w:sz w:val="22"/>
          <w:szCs w:val="22"/>
        </w:rPr>
        <w:t xml:space="preserve">). </w:t>
      </w:r>
      <w:r>
        <w:rPr>
          <w:i/>
          <w:iCs/>
          <w:sz w:val="22"/>
          <w:szCs w:val="22"/>
        </w:rPr>
        <w:t>Biological Control</w:t>
      </w:r>
      <w:r>
        <w:rPr>
          <w:sz w:val="22"/>
          <w:szCs w:val="22"/>
        </w:rPr>
        <w:t>, 33(1), 81–86. https://doi.org/10.1016/j.biocontrol.2004.12.007</w:t>
      </w:r>
    </w:p>
    <w:p w14:paraId="55F04A16" w14:textId="77777777" w:rsidR="00BB3F4E" w:rsidRDefault="007B5E95">
      <w:pPr>
        <w:spacing w:after="120" w:line="480" w:lineRule="auto"/>
        <w:ind w:left="720" w:hanging="720"/>
        <w:jc w:val="both"/>
      </w:pPr>
      <w:r>
        <w:rPr>
          <w:sz w:val="22"/>
          <w:szCs w:val="22"/>
        </w:rPr>
        <w:t xml:space="preserve">Shah, P. A., &amp; Pell, J. K. (2003). Entomopathogenic fungi as biological control agents. </w:t>
      </w:r>
      <w:r>
        <w:rPr>
          <w:i/>
          <w:iCs/>
          <w:sz w:val="22"/>
          <w:szCs w:val="22"/>
        </w:rPr>
        <w:t>Applied Microbiology and Biotechnology</w:t>
      </w:r>
      <w:r>
        <w:rPr>
          <w:sz w:val="22"/>
          <w:szCs w:val="22"/>
        </w:rPr>
        <w:t>, 61(5–6), 413–423. https://doi.org/10.1007/s00253-003-1240-8</w:t>
      </w:r>
    </w:p>
    <w:p w14:paraId="7E570B0D" w14:textId="77777777" w:rsidR="00BB3F4E" w:rsidRDefault="007B5E95">
      <w:pPr>
        <w:spacing w:after="120" w:line="480" w:lineRule="auto"/>
        <w:ind w:left="720" w:hanging="720"/>
        <w:jc w:val="both"/>
      </w:pPr>
      <w:r>
        <w:rPr>
          <w:sz w:val="22"/>
          <w:szCs w:val="22"/>
        </w:rPr>
        <w:t xml:space="preserve">Shelton, A. M., &amp; </w:t>
      </w:r>
      <w:proofErr w:type="spellStart"/>
      <w:r>
        <w:rPr>
          <w:sz w:val="22"/>
          <w:szCs w:val="22"/>
        </w:rPr>
        <w:t>Badenes</w:t>
      </w:r>
      <w:proofErr w:type="spellEnd"/>
      <w:r>
        <w:rPr>
          <w:sz w:val="22"/>
          <w:szCs w:val="22"/>
        </w:rPr>
        <w:t xml:space="preserve">-Perez, F. R. (2006). Concepts and applications of trap cropping in pest management. </w:t>
      </w:r>
      <w:r>
        <w:rPr>
          <w:i/>
          <w:iCs/>
          <w:sz w:val="22"/>
          <w:szCs w:val="22"/>
        </w:rPr>
        <w:t>Annual Review of Entomology</w:t>
      </w:r>
      <w:r>
        <w:rPr>
          <w:sz w:val="22"/>
          <w:szCs w:val="22"/>
        </w:rPr>
        <w:t>, 51, 285–308. https://doi.org/10.1146/annurev.ento.51.110104.150959</w:t>
      </w:r>
    </w:p>
    <w:p w14:paraId="6C4FE27D" w14:textId="77777777" w:rsidR="00BB3F4E" w:rsidRDefault="007B5E95">
      <w:pPr>
        <w:spacing w:after="120" w:line="480" w:lineRule="auto"/>
        <w:ind w:left="720" w:hanging="720"/>
        <w:jc w:val="both"/>
      </w:pPr>
      <w:r>
        <w:rPr>
          <w:sz w:val="22"/>
          <w:szCs w:val="22"/>
        </w:rPr>
        <w:t xml:space="preserve">Shelton, A. M., Zhao, J.-Z., &amp; Roush, R. T. (2002). Economic, ecological, food safety, and social consequences of the deployment of Bt transgenic plants. </w:t>
      </w:r>
      <w:r>
        <w:rPr>
          <w:i/>
          <w:iCs/>
          <w:sz w:val="22"/>
          <w:szCs w:val="22"/>
        </w:rPr>
        <w:t>Annual Review of Entomology</w:t>
      </w:r>
      <w:r>
        <w:rPr>
          <w:sz w:val="22"/>
          <w:szCs w:val="22"/>
        </w:rPr>
        <w:t>, 47, 845–881. https://doi.org/10.1146/annurev.ento.47.091201.145309</w:t>
      </w:r>
    </w:p>
    <w:p w14:paraId="4FB0BD7C" w14:textId="77777777" w:rsidR="00BB3F4E" w:rsidRDefault="007B5E95">
      <w:pPr>
        <w:spacing w:after="120" w:line="480" w:lineRule="auto"/>
        <w:ind w:left="720" w:hanging="720"/>
        <w:jc w:val="both"/>
      </w:pPr>
      <w:r>
        <w:rPr>
          <w:sz w:val="22"/>
          <w:szCs w:val="22"/>
        </w:rPr>
        <w:t xml:space="preserve">Snyder, H. (2019). Literature review as a research methodology: an overview and guidelines. </w:t>
      </w:r>
      <w:r>
        <w:rPr>
          <w:i/>
          <w:iCs/>
          <w:sz w:val="22"/>
          <w:szCs w:val="22"/>
        </w:rPr>
        <w:t>Journal of Business Research</w:t>
      </w:r>
      <w:r>
        <w:rPr>
          <w:sz w:val="22"/>
          <w:szCs w:val="22"/>
        </w:rPr>
        <w:t>, 104, 333–339. https://doi.org/10.1016/j.jbusres.2019.07.039</w:t>
      </w:r>
    </w:p>
    <w:p w14:paraId="4A62236D" w14:textId="77777777" w:rsidR="00BB3F4E" w:rsidRDefault="007B5E95">
      <w:pPr>
        <w:spacing w:after="120" w:line="480" w:lineRule="auto"/>
        <w:ind w:left="720" w:hanging="720"/>
        <w:jc w:val="both"/>
      </w:pPr>
      <w:proofErr w:type="spellStart"/>
      <w:r>
        <w:rPr>
          <w:sz w:val="22"/>
          <w:szCs w:val="22"/>
        </w:rPr>
        <w:t>Talekar</w:t>
      </w:r>
      <w:proofErr w:type="spellEnd"/>
      <w:r>
        <w:rPr>
          <w:sz w:val="22"/>
          <w:szCs w:val="22"/>
        </w:rPr>
        <w:t xml:space="preserve">, N. S., &amp; Shelton, A. M. (1993). Biology, ecology, and management of the diamondback moth. </w:t>
      </w:r>
      <w:r>
        <w:rPr>
          <w:i/>
          <w:iCs/>
          <w:sz w:val="22"/>
          <w:szCs w:val="22"/>
        </w:rPr>
        <w:t>Annual Review of Entomology</w:t>
      </w:r>
      <w:r>
        <w:rPr>
          <w:sz w:val="22"/>
          <w:szCs w:val="22"/>
        </w:rPr>
        <w:t>, 38, 275–301. https://doi.org/10.1146/annurev.en.38.010193.001423</w:t>
      </w:r>
    </w:p>
    <w:p w14:paraId="31F5DD39" w14:textId="77777777" w:rsidR="00BB3F4E" w:rsidRDefault="007B5E95">
      <w:pPr>
        <w:spacing w:after="120" w:line="480" w:lineRule="auto"/>
        <w:ind w:left="720" w:hanging="720"/>
        <w:jc w:val="both"/>
      </w:pPr>
      <w:r>
        <w:rPr>
          <w:sz w:val="22"/>
          <w:szCs w:val="22"/>
        </w:rPr>
        <w:t xml:space="preserve">van </w:t>
      </w:r>
      <w:proofErr w:type="spellStart"/>
      <w:r>
        <w:rPr>
          <w:sz w:val="22"/>
          <w:szCs w:val="22"/>
        </w:rPr>
        <w:t>Lenteren</w:t>
      </w:r>
      <w:proofErr w:type="spellEnd"/>
      <w:r>
        <w:rPr>
          <w:sz w:val="22"/>
          <w:szCs w:val="22"/>
        </w:rPr>
        <w:t xml:space="preserve">, J. C. (2012). The state of commercial augmentative biological control: plenty of natural enemies, but a frustrating lack of uptake. </w:t>
      </w:r>
      <w:proofErr w:type="spellStart"/>
      <w:r>
        <w:rPr>
          <w:i/>
          <w:iCs/>
          <w:sz w:val="22"/>
          <w:szCs w:val="22"/>
        </w:rPr>
        <w:t>BioControl</w:t>
      </w:r>
      <w:proofErr w:type="spellEnd"/>
      <w:r>
        <w:rPr>
          <w:sz w:val="22"/>
          <w:szCs w:val="22"/>
        </w:rPr>
        <w:t>, 57(1), 1–20. https://doi.org/10.1007/s10526-011-9395-1</w:t>
      </w:r>
    </w:p>
    <w:p w14:paraId="40349844" w14:textId="77777777" w:rsidR="00BB3F4E" w:rsidRDefault="007B5E95">
      <w:pPr>
        <w:spacing w:after="120" w:line="480" w:lineRule="auto"/>
        <w:ind w:left="720" w:hanging="720"/>
        <w:jc w:val="both"/>
      </w:pPr>
      <w:r>
        <w:rPr>
          <w:sz w:val="22"/>
          <w:szCs w:val="22"/>
        </w:rPr>
        <w:lastRenderedPageBreak/>
        <w:t xml:space="preserve">van </w:t>
      </w:r>
      <w:proofErr w:type="spellStart"/>
      <w:r>
        <w:rPr>
          <w:sz w:val="22"/>
          <w:szCs w:val="22"/>
        </w:rPr>
        <w:t>Lenteren</w:t>
      </w:r>
      <w:proofErr w:type="spellEnd"/>
      <w:r>
        <w:rPr>
          <w:sz w:val="22"/>
          <w:szCs w:val="22"/>
        </w:rPr>
        <w:t xml:space="preserve">, J. C., </w:t>
      </w:r>
      <w:proofErr w:type="spellStart"/>
      <w:r>
        <w:rPr>
          <w:sz w:val="22"/>
          <w:szCs w:val="22"/>
        </w:rPr>
        <w:t>Bolckmans</w:t>
      </w:r>
      <w:proofErr w:type="spellEnd"/>
      <w:r>
        <w:rPr>
          <w:sz w:val="22"/>
          <w:szCs w:val="22"/>
        </w:rPr>
        <w:t xml:space="preserve">, K., Köhl, J., </w:t>
      </w:r>
      <w:proofErr w:type="spellStart"/>
      <w:r>
        <w:rPr>
          <w:sz w:val="22"/>
          <w:szCs w:val="22"/>
        </w:rPr>
        <w:t>Ravensberg</w:t>
      </w:r>
      <w:proofErr w:type="spellEnd"/>
      <w:r>
        <w:rPr>
          <w:sz w:val="22"/>
          <w:szCs w:val="22"/>
        </w:rPr>
        <w:t xml:space="preserve">, W. J., &amp; Urbaneja, A. (2018). Biological control using invertebrates and microorganisms: plenty of new opportunities. </w:t>
      </w:r>
      <w:proofErr w:type="spellStart"/>
      <w:r>
        <w:rPr>
          <w:i/>
          <w:iCs/>
          <w:sz w:val="22"/>
          <w:szCs w:val="22"/>
        </w:rPr>
        <w:t>BioControl</w:t>
      </w:r>
      <w:proofErr w:type="spellEnd"/>
      <w:r>
        <w:rPr>
          <w:sz w:val="22"/>
          <w:szCs w:val="22"/>
        </w:rPr>
        <w:t>, 63(1), 39–59. https://doi.org/10.1007/s10526-017-9801-4</w:t>
      </w:r>
    </w:p>
    <w:p w14:paraId="3CC24A43" w14:textId="77777777" w:rsidR="00BB3F4E" w:rsidRDefault="007B5E95">
      <w:pPr>
        <w:spacing w:after="120" w:line="480" w:lineRule="auto"/>
        <w:ind w:left="720" w:hanging="720"/>
        <w:jc w:val="both"/>
      </w:pPr>
      <w:proofErr w:type="spellStart"/>
      <w:r>
        <w:rPr>
          <w:sz w:val="22"/>
          <w:szCs w:val="22"/>
        </w:rPr>
        <w:t>Verkerk</w:t>
      </w:r>
      <w:proofErr w:type="spellEnd"/>
      <w:r>
        <w:rPr>
          <w:sz w:val="22"/>
          <w:szCs w:val="22"/>
        </w:rPr>
        <w:t xml:space="preserve">, R. H. J., &amp; Wright, D. J. (1996). Multitrophic interactions and management of the diamondback moth: a review. </w:t>
      </w:r>
      <w:r>
        <w:rPr>
          <w:i/>
          <w:iCs/>
          <w:sz w:val="22"/>
          <w:szCs w:val="22"/>
        </w:rPr>
        <w:t>Bulletin of Entomological Research</w:t>
      </w:r>
      <w:r>
        <w:rPr>
          <w:sz w:val="22"/>
          <w:szCs w:val="22"/>
        </w:rPr>
        <w:t>, 86(3), 205–216. https://doi.org/10.1017/S0007485300052482</w:t>
      </w:r>
    </w:p>
    <w:p w14:paraId="04A7B2DA" w14:textId="77777777" w:rsidR="00BB3F4E" w:rsidRDefault="007B5E95">
      <w:pPr>
        <w:spacing w:after="120" w:line="480" w:lineRule="auto"/>
        <w:ind w:left="720" w:hanging="720"/>
        <w:jc w:val="both"/>
      </w:pPr>
      <w:r>
        <w:rPr>
          <w:sz w:val="22"/>
          <w:szCs w:val="22"/>
        </w:rPr>
        <w:t xml:space="preserve">Wittstock, U., &amp; Halkier, B. A. (2002). Glucosinolate research in the Arabidopsis era. </w:t>
      </w:r>
      <w:r>
        <w:rPr>
          <w:i/>
          <w:iCs/>
          <w:sz w:val="22"/>
          <w:szCs w:val="22"/>
        </w:rPr>
        <w:t>Trends in Plant Science</w:t>
      </w:r>
      <w:r>
        <w:rPr>
          <w:sz w:val="22"/>
          <w:szCs w:val="22"/>
        </w:rPr>
        <w:t>, 7(6), 263–270. https://doi.org/10.1016/S1360-1385(02)02273-2</w:t>
      </w:r>
    </w:p>
    <w:p w14:paraId="308505C0" w14:textId="77777777" w:rsidR="00BB3F4E" w:rsidRDefault="007B5E95">
      <w:pPr>
        <w:spacing w:after="120" w:line="480" w:lineRule="auto"/>
        <w:ind w:left="720" w:hanging="720"/>
        <w:jc w:val="both"/>
      </w:pPr>
      <w:r>
        <w:rPr>
          <w:sz w:val="22"/>
          <w:szCs w:val="22"/>
        </w:rPr>
        <w:t xml:space="preserve">Witzgall, P., Kirsch, P., &amp; Cork, A. (2010). Sex pheromones and their impact on pest management. </w:t>
      </w:r>
      <w:r>
        <w:rPr>
          <w:i/>
          <w:iCs/>
          <w:sz w:val="22"/>
          <w:szCs w:val="22"/>
        </w:rPr>
        <w:t>Journal of Chemical Ecology</w:t>
      </w:r>
      <w:r>
        <w:rPr>
          <w:sz w:val="22"/>
          <w:szCs w:val="22"/>
        </w:rPr>
        <w:t>, 36(1), 80–100. https://doi.org/10.1007/s10886-009-9737-y</w:t>
      </w:r>
    </w:p>
    <w:p w14:paraId="7A3A6532" w14:textId="77777777" w:rsidR="00BB3F4E" w:rsidRDefault="007B5E95">
      <w:pPr>
        <w:spacing w:after="120" w:line="480" w:lineRule="auto"/>
        <w:ind w:left="720" w:hanging="720"/>
        <w:jc w:val="both"/>
      </w:pPr>
      <w:r>
        <w:rPr>
          <w:sz w:val="22"/>
          <w:szCs w:val="22"/>
        </w:rPr>
        <w:t xml:space="preserve">Zalucki, M. P., Shabbir, A., Silva, R., Adamson, D., Shu-Sheng, L., &amp; Furlong, M. J. (2012). Estimating the economic cost of one of the world's major insect pests, </w:t>
      </w:r>
      <w:proofErr w:type="spellStart"/>
      <w:r>
        <w:rPr>
          <w:i/>
          <w:iCs/>
          <w:sz w:val="22"/>
          <w:szCs w:val="22"/>
        </w:rPr>
        <w:t>Plutella</w:t>
      </w:r>
      <w:proofErr w:type="spellEnd"/>
      <w:r>
        <w:rPr>
          <w:i/>
          <w:iCs/>
          <w:sz w:val="22"/>
          <w:szCs w:val="22"/>
        </w:rPr>
        <w:t xml:space="preserve"> </w:t>
      </w:r>
      <w:proofErr w:type="spellStart"/>
      <w:r>
        <w:rPr>
          <w:i/>
          <w:iCs/>
          <w:sz w:val="22"/>
          <w:szCs w:val="22"/>
        </w:rPr>
        <w:t>xylostella</w:t>
      </w:r>
      <w:proofErr w:type="spellEnd"/>
      <w:r>
        <w:rPr>
          <w:sz w:val="22"/>
          <w:szCs w:val="22"/>
        </w:rPr>
        <w:t xml:space="preserve"> (Lepidoptera: </w:t>
      </w:r>
      <w:proofErr w:type="spellStart"/>
      <w:r>
        <w:rPr>
          <w:sz w:val="22"/>
          <w:szCs w:val="22"/>
        </w:rPr>
        <w:t>Plutellidae</w:t>
      </w:r>
      <w:proofErr w:type="spellEnd"/>
      <w:r>
        <w:rPr>
          <w:sz w:val="22"/>
          <w:szCs w:val="22"/>
        </w:rPr>
        <w:t xml:space="preserve">): just how long is a piece of string? </w:t>
      </w:r>
      <w:r>
        <w:rPr>
          <w:i/>
          <w:iCs/>
          <w:sz w:val="22"/>
          <w:szCs w:val="22"/>
        </w:rPr>
        <w:t>Journal of Economic Entomology</w:t>
      </w:r>
      <w:r>
        <w:rPr>
          <w:sz w:val="22"/>
          <w:szCs w:val="22"/>
        </w:rPr>
        <w:t>, 105(4), 1115–1129. https://doi.org/10.1603/EC12107</w:t>
      </w:r>
    </w:p>
    <w:p w14:paraId="2D493630" w14:textId="77777777" w:rsidR="00BB3F4E" w:rsidRDefault="007B5E95">
      <w:pPr>
        <w:spacing w:after="120" w:line="480" w:lineRule="auto"/>
        <w:ind w:left="720" w:hanging="720"/>
        <w:jc w:val="both"/>
      </w:pPr>
      <w:r>
        <w:rPr>
          <w:sz w:val="22"/>
          <w:szCs w:val="22"/>
        </w:rPr>
        <w:t xml:space="preserve">Zhao, J.-Z., Cao, J., Li, Y., Collins, H. L., Roush, R. T., Earle, E. D., &amp; Shelton, A. M. (2003). Transgenic plants expressing two </w:t>
      </w:r>
      <w:r>
        <w:rPr>
          <w:i/>
          <w:iCs/>
          <w:sz w:val="22"/>
          <w:szCs w:val="22"/>
        </w:rPr>
        <w:t>Bacillus thuringiensis</w:t>
      </w:r>
      <w:r>
        <w:rPr>
          <w:sz w:val="22"/>
          <w:szCs w:val="22"/>
        </w:rPr>
        <w:t xml:space="preserve"> toxins delay insect resistance evolution. </w:t>
      </w:r>
      <w:r>
        <w:rPr>
          <w:i/>
          <w:iCs/>
          <w:sz w:val="22"/>
          <w:szCs w:val="22"/>
        </w:rPr>
        <w:t>Nature Biotechnology</w:t>
      </w:r>
      <w:r>
        <w:rPr>
          <w:sz w:val="22"/>
          <w:szCs w:val="22"/>
        </w:rPr>
        <w:t xml:space="preserve">, 21, 1493–1497. </w:t>
      </w:r>
      <w:hyperlink r:id="rId9" w:history="1">
        <w:r w:rsidRPr="001C3702">
          <w:rPr>
            <w:rStyle w:val="Hyperlink"/>
            <w:sz w:val="22"/>
            <w:szCs w:val="22"/>
          </w:rPr>
          <w:t>https://doi.org/10.1038/nbt907</w:t>
        </w:r>
      </w:hyperlink>
      <w:r>
        <w:rPr>
          <w:sz w:val="22"/>
          <w:szCs w:val="22"/>
        </w:rPr>
        <w:t xml:space="preserve"> </w:t>
      </w:r>
    </w:p>
    <w:p w14:paraId="6CB08F33" w14:textId="77777777" w:rsidR="00BB3F4E" w:rsidRDefault="007B5E95">
      <w:pPr>
        <w:spacing w:after="120" w:line="480" w:lineRule="auto"/>
        <w:ind w:left="720" w:hanging="720"/>
        <w:jc w:val="both"/>
      </w:pPr>
      <w:r>
        <w:rPr>
          <w:sz w:val="22"/>
          <w:szCs w:val="22"/>
        </w:rPr>
        <w:t xml:space="preserve">Zhao, J.-Z., Collins, H. L., Li, Y.-X., Mau, R. F. L., Thompson, G. D., Hertlein, M., Andaloro, J. T., Boykin, R., &amp; Shelton, A. M. (2002). Monitoring and characterization of diamondback moth (Lepidoptera: </w:t>
      </w:r>
      <w:proofErr w:type="spellStart"/>
      <w:r>
        <w:rPr>
          <w:sz w:val="22"/>
          <w:szCs w:val="22"/>
        </w:rPr>
        <w:t>Plutellidae</w:t>
      </w:r>
      <w:proofErr w:type="spellEnd"/>
      <w:r>
        <w:rPr>
          <w:sz w:val="22"/>
          <w:szCs w:val="22"/>
        </w:rPr>
        <w:t xml:space="preserve">) resistance to </w:t>
      </w:r>
      <w:proofErr w:type="spellStart"/>
      <w:r>
        <w:rPr>
          <w:sz w:val="22"/>
          <w:szCs w:val="22"/>
        </w:rPr>
        <w:t>spinosad</w:t>
      </w:r>
      <w:proofErr w:type="spellEnd"/>
      <w:r>
        <w:rPr>
          <w:sz w:val="22"/>
          <w:szCs w:val="22"/>
        </w:rPr>
        <w:t xml:space="preserve">. </w:t>
      </w:r>
      <w:r>
        <w:rPr>
          <w:i/>
          <w:iCs/>
          <w:sz w:val="22"/>
          <w:szCs w:val="22"/>
        </w:rPr>
        <w:t>Journal of Economic Entomology</w:t>
      </w:r>
      <w:r>
        <w:rPr>
          <w:sz w:val="22"/>
          <w:szCs w:val="22"/>
        </w:rPr>
        <w:t xml:space="preserve">, 95(2), 430–436. </w:t>
      </w:r>
      <w:hyperlink r:id="rId10" w:history="1">
        <w:r w:rsidRPr="001C3702">
          <w:rPr>
            <w:rStyle w:val="Hyperlink"/>
            <w:sz w:val="22"/>
            <w:szCs w:val="22"/>
          </w:rPr>
          <w:t>https://doi.org/10.1603/0022-0493-95.2.430</w:t>
        </w:r>
      </w:hyperlink>
      <w:r>
        <w:rPr>
          <w:sz w:val="22"/>
          <w:szCs w:val="22"/>
        </w:rPr>
        <w:t xml:space="preserve"> </w:t>
      </w:r>
    </w:p>
    <w:p w14:paraId="4C728778" w14:textId="77777777" w:rsidR="00BB3F4E" w:rsidRDefault="007B5E95">
      <w:pPr>
        <w:spacing w:after="120" w:line="480" w:lineRule="auto"/>
        <w:ind w:left="720" w:hanging="720"/>
        <w:jc w:val="both"/>
      </w:pPr>
      <w:r>
        <w:rPr>
          <w:sz w:val="22"/>
          <w:szCs w:val="22"/>
        </w:rPr>
        <w:t xml:space="preserve">Zhu, K. Y., &amp; Palli, S. R. (2020). Mechanisms, applications, and challenges of insect RNA interference. </w:t>
      </w:r>
      <w:r>
        <w:rPr>
          <w:i/>
          <w:iCs/>
          <w:sz w:val="22"/>
          <w:szCs w:val="22"/>
        </w:rPr>
        <w:t>Annual Review of Entomology</w:t>
      </w:r>
      <w:r>
        <w:rPr>
          <w:sz w:val="22"/>
          <w:szCs w:val="22"/>
        </w:rPr>
        <w:t xml:space="preserve">, 65, 293–311. </w:t>
      </w:r>
      <w:hyperlink r:id="rId11" w:history="1">
        <w:r w:rsidRPr="001C3702">
          <w:rPr>
            <w:rStyle w:val="Hyperlink"/>
            <w:sz w:val="22"/>
            <w:szCs w:val="22"/>
          </w:rPr>
          <w:t>https://doi.org/10.1146/annurev-ento-011019-025224</w:t>
        </w:r>
      </w:hyperlink>
      <w:r>
        <w:rPr>
          <w:sz w:val="22"/>
          <w:szCs w:val="22"/>
        </w:rPr>
        <w:t xml:space="preserve"> </w:t>
      </w:r>
    </w:p>
    <w:sectPr w:rsidR="00BB3F4E" w:rsidSect="00BB3F4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6-04-25T11:34:00Z" w:initials="u">
    <w:p w14:paraId="349C1CE6" w14:textId="727F7528" w:rsidR="003206F7" w:rsidRDefault="003206F7">
      <w:pPr>
        <w:pStyle w:val="CommentText"/>
      </w:pPr>
      <w:r>
        <w:rPr>
          <w:rStyle w:val="CommentReference"/>
        </w:rPr>
        <w:annotationRef/>
      </w:r>
      <w:proofErr w:type="gramStart"/>
      <w:r>
        <w:t>scientific</w:t>
      </w:r>
      <w:proofErr w:type="gramEnd"/>
      <w:r>
        <w:t xml:space="preserve"> name with authority</w:t>
      </w:r>
    </w:p>
  </w:comment>
  <w:comment w:id="1" w:author="user" w:date="2026-04-25T11:35:00Z" w:initials="u">
    <w:p w14:paraId="1EBE764C" w14:textId="50536521" w:rsidR="003206F7" w:rsidRDefault="003206F7">
      <w:pPr>
        <w:pStyle w:val="CommentText"/>
      </w:pPr>
      <w:r>
        <w:rPr>
          <w:rStyle w:val="CommentReference"/>
        </w:rPr>
        <w:annotationRef/>
      </w:r>
      <w:proofErr w:type="gramStart"/>
      <w:r>
        <w:t>italic</w:t>
      </w:r>
      <w:proofErr w:type="gramEnd"/>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973E2" w14:textId="77777777" w:rsidR="000C0413" w:rsidRDefault="000C0413" w:rsidP="00F90D6D">
      <w:r>
        <w:separator/>
      </w:r>
    </w:p>
  </w:endnote>
  <w:endnote w:type="continuationSeparator" w:id="0">
    <w:p w14:paraId="68C357E1" w14:textId="77777777" w:rsidR="000C0413" w:rsidRDefault="000C0413" w:rsidP="00F9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13486" w14:textId="77777777" w:rsidR="00F90D6D" w:rsidRDefault="00F90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A620C" w14:textId="77777777" w:rsidR="00F90D6D" w:rsidRDefault="00F90D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9E989" w14:textId="77777777" w:rsidR="00F90D6D" w:rsidRDefault="00F90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1F004" w14:textId="77777777" w:rsidR="000C0413" w:rsidRDefault="000C0413" w:rsidP="00F90D6D">
      <w:r>
        <w:separator/>
      </w:r>
    </w:p>
  </w:footnote>
  <w:footnote w:type="continuationSeparator" w:id="0">
    <w:p w14:paraId="30927BD5" w14:textId="77777777" w:rsidR="000C0413" w:rsidRDefault="000C0413" w:rsidP="00F90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B145" w14:textId="2FDDE54C" w:rsidR="00F90D6D" w:rsidRDefault="000C0413">
    <w:pPr>
      <w:pStyle w:val="Header"/>
    </w:pPr>
    <w:r>
      <w:rPr>
        <w:noProof/>
      </w:rPr>
      <w:pict w14:anchorId="30FB3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3164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62424" w14:textId="220C945E" w:rsidR="00F90D6D" w:rsidRDefault="000C0413">
    <w:pPr>
      <w:pStyle w:val="Header"/>
    </w:pPr>
    <w:r>
      <w:rPr>
        <w:noProof/>
      </w:rPr>
      <w:pict w14:anchorId="68FBE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3164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DFA7B" w14:textId="5E14B791" w:rsidR="00F90D6D" w:rsidRDefault="000C0413">
    <w:pPr>
      <w:pStyle w:val="Header"/>
    </w:pPr>
    <w:r>
      <w:rPr>
        <w:noProof/>
      </w:rPr>
      <w:pict w14:anchorId="124E3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3164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24846"/>
    <w:multiLevelType w:val="hybridMultilevel"/>
    <w:tmpl w:val="C204A324"/>
    <w:lvl w:ilvl="0" w:tplc="1DB61C44">
      <w:start w:val="1"/>
      <w:numFmt w:val="bullet"/>
      <w:lvlText w:val="●"/>
      <w:lvlJc w:val="left"/>
      <w:pPr>
        <w:ind w:left="720" w:hanging="360"/>
      </w:pPr>
    </w:lvl>
    <w:lvl w:ilvl="1" w:tplc="C654FF16">
      <w:start w:val="1"/>
      <w:numFmt w:val="bullet"/>
      <w:lvlText w:val="○"/>
      <w:lvlJc w:val="left"/>
      <w:pPr>
        <w:ind w:left="1440" w:hanging="360"/>
      </w:pPr>
    </w:lvl>
    <w:lvl w:ilvl="2" w:tplc="8F38FECA">
      <w:start w:val="1"/>
      <w:numFmt w:val="bullet"/>
      <w:lvlText w:val="■"/>
      <w:lvlJc w:val="left"/>
      <w:pPr>
        <w:ind w:left="2160" w:hanging="360"/>
      </w:pPr>
    </w:lvl>
    <w:lvl w:ilvl="3" w:tplc="192C01CA">
      <w:start w:val="1"/>
      <w:numFmt w:val="bullet"/>
      <w:lvlText w:val="●"/>
      <w:lvlJc w:val="left"/>
      <w:pPr>
        <w:ind w:left="2880" w:hanging="360"/>
      </w:pPr>
    </w:lvl>
    <w:lvl w:ilvl="4" w:tplc="FD04358E">
      <w:start w:val="1"/>
      <w:numFmt w:val="bullet"/>
      <w:lvlText w:val="○"/>
      <w:lvlJc w:val="left"/>
      <w:pPr>
        <w:ind w:left="3600" w:hanging="360"/>
      </w:pPr>
    </w:lvl>
    <w:lvl w:ilvl="5" w:tplc="F238EA00">
      <w:start w:val="1"/>
      <w:numFmt w:val="bullet"/>
      <w:lvlText w:val="■"/>
      <w:lvlJc w:val="left"/>
      <w:pPr>
        <w:ind w:left="4320" w:hanging="360"/>
      </w:pPr>
    </w:lvl>
    <w:lvl w:ilvl="6" w:tplc="B7B069A8">
      <w:start w:val="1"/>
      <w:numFmt w:val="bullet"/>
      <w:lvlText w:val="●"/>
      <w:lvlJc w:val="left"/>
      <w:pPr>
        <w:ind w:left="5040" w:hanging="360"/>
      </w:pPr>
    </w:lvl>
    <w:lvl w:ilvl="7" w:tplc="CC6A89E8">
      <w:start w:val="1"/>
      <w:numFmt w:val="bullet"/>
      <w:lvlText w:val="●"/>
      <w:lvlJc w:val="left"/>
      <w:pPr>
        <w:ind w:left="5760" w:hanging="360"/>
      </w:pPr>
    </w:lvl>
    <w:lvl w:ilvl="8" w:tplc="154C887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B3F4E"/>
    <w:rsid w:val="00016B48"/>
    <w:rsid w:val="000C0413"/>
    <w:rsid w:val="001E487A"/>
    <w:rsid w:val="003206F7"/>
    <w:rsid w:val="005403AE"/>
    <w:rsid w:val="005F4D71"/>
    <w:rsid w:val="007B5E95"/>
    <w:rsid w:val="00AB7C01"/>
    <w:rsid w:val="00B1280E"/>
    <w:rsid w:val="00BB3F4E"/>
    <w:rsid w:val="00CE6649"/>
    <w:rsid w:val="00F90D6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10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rsid w:val="00BB3F4E"/>
    <w:pPr>
      <w:spacing w:before="320" w:after="160"/>
      <w:outlineLvl w:val="0"/>
    </w:pPr>
    <w:rPr>
      <w:b/>
      <w:bCs/>
      <w:color w:val="000000"/>
      <w:sz w:val="30"/>
      <w:szCs w:val="30"/>
    </w:rPr>
  </w:style>
  <w:style w:type="paragraph" w:styleId="Heading2">
    <w:name w:val="heading 2"/>
    <w:qFormat/>
    <w:rsid w:val="00BB3F4E"/>
    <w:pPr>
      <w:spacing w:before="240" w:after="120"/>
      <w:outlineLvl w:val="1"/>
    </w:pPr>
    <w:rPr>
      <w:b/>
      <w:bCs/>
      <w:color w:val="000000"/>
      <w:sz w:val="26"/>
      <w:szCs w:val="26"/>
    </w:rPr>
  </w:style>
  <w:style w:type="paragraph" w:styleId="Heading3">
    <w:name w:val="heading 3"/>
    <w:qFormat/>
    <w:rsid w:val="00BB3F4E"/>
    <w:pPr>
      <w:outlineLvl w:val="2"/>
    </w:pPr>
    <w:rPr>
      <w:color w:val="1F4D78"/>
    </w:rPr>
  </w:style>
  <w:style w:type="paragraph" w:styleId="Heading4">
    <w:name w:val="heading 4"/>
    <w:qFormat/>
    <w:rsid w:val="00BB3F4E"/>
    <w:pPr>
      <w:outlineLvl w:val="3"/>
    </w:pPr>
    <w:rPr>
      <w:i/>
      <w:iCs/>
      <w:color w:val="2E74B5"/>
    </w:rPr>
  </w:style>
  <w:style w:type="paragraph" w:styleId="Heading5">
    <w:name w:val="heading 5"/>
    <w:qFormat/>
    <w:rsid w:val="00BB3F4E"/>
    <w:pPr>
      <w:outlineLvl w:val="4"/>
    </w:pPr>
    <w:rPr>
      <w:color w:val="2E74B5"/>
    </w:rPr>
  </w:style>
  <w:style w:type="paragraph" w:styleId="Heading6">
    <w:name w:val="heading 6"/>
    <w:qFormat/>
    <w:rsid w:val="00BB3F4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B3F4E"/>
    <w:rPr>
      <w:sz w:val="56"/>
      <w:szCs w:val="56"/>
    </w:rPr>
  </w:style>
  <w:style w:type="paragraph" w:customStyle="1" w:styleId="Strong1">
    <w:name w:val="Strong1"/>
    <w:qFormat/>
    <w:rsid w:val="00BB3F4E"/>
    <w:rPr>
      <w:b/>
      <w:bCs/>
    </w:rPr>
  </w:style>
  <w:style w:type="paragraph" w:styleId="ListParagraph">
    <w:name w:val="List Paragraph"/>
    <w:qFormat/>
    <w:rsid w:val="00BB3F4E"/>
  </w:style>
  <w:style w:type="character" w:styleId="Hyperlink">
    <w:name w:val="Hyperlink"/>
    <w:uiPriority w:val="99"/>
    <w:unhideWhenUsed/>
    <w:rsid w:val="00BB3F4E"/>
    <w:rPr>
      <w:color w:val="0563C1"/>
      <w:u w:val="single"/>
    </w:rPr>
  </w:style>
  <w:style w:type="character" w:styleId="FootnoteReference">
    <w:name w:val="footnote reference"/>
    <w:uiPriority w:val="99"/>
    <w:semiHidden/>
    <w:unhideWhenUsed/>
    <w:rsid w:val="00BB3F4E"/>
    <w:rPr>
      <w:vertAlign w:val="superscript"/>
    </w:rPr>
  </w:style>
  <w:style w:type="paragraph" w:styleId="FootnoteText">
    <w:name w:val="footnote text"/>
    <w:link w:val="FootnoteTextChar"/>
    <w:uiPriority w:val="99"/>
    <w:semiHidden/>
    <w:unhideWhenUsed/>
    <w:rsid w:val="00BB3F4E"/>
    <w:rPr>
      <w:sz w:val="20"/>
      <w:szCs w:val="20"/>
    </w:rPr>
  </w:style>
  <w:style w:type="character" w:customStyle="1" w:styleId="FootnoteTextChar">
    <w:name w:val="Footnote Text Char"/>
    <w:link w:val="FootnoteText"/>
    <w:uiPriority w:val="99"/>
    <w:semiHidden/>
    <w:unhideWhenUsed/>
    <w:rsid w:val="00BB3F4E"/>
    <w:rPr>
      <w:sz w:val="20"/>
      <w:szCs w:val="20"/>
    </w:rPr>
  </w:style>
  <w:style w:type="character" w:styleId="EndnoteReference">
    <w:name w:val="endnote reference"/>
    <w:uiPriority w:val="99"/>
    <w:semiHidden/>
    <w:unhideWhenUsed/>
    <w:rsid w:val="00BB3F4E"/>
    <w:rPr>
      <w:vertAlign w:val="superscript"/>
    </w:rPr>
  </w:style>
  <w:style w:type="paragraph" w:styleId="EndnoteText">
    <w:name w:val="endnote text"/>
    <w:link w:val="EndnoteTextChar"/>
    <w:uiPriority w:val="99"/>
    <w:semiHidden/>
    <w:unhideWhenUsed/>
    <w:rsid w:val="00BB3F4E"/>
    <w:rPr>
      <w:sz w:val="20"/>
      <w:szCs w:val="20"/>
    </w:rPr>
  </w:style>
  <w:style w:type="character" w:customStyle="1" w:styleId="EndnoteTextChar">
    <w:name w:val="Endnote Text Char"/>
    <w:link w:val="EndnoteText"/>
    <w:uiPriority w:val="99"/>
    <w:semiHidden/>
    <w:unhideWhenUsed/>
    <w:rsid w:val="00BB3F4E"/>
    <w:rPr>
      <w:sz w:val="20"/>
      <w:szCs w:val="20"/>
    </w:rPr>
  </w:style>
  <w:style w:type="paragraph" w:styleId="Header">
    <w:name w:val="header"/>
    <w:basedOn w:val="Normal"/>
    <w:link w:val="HeaderChar"/>
    <w:uiPriority w:val="99"/>
    <w:unhideWhenUsed/>
    <w:rsid w:val="00F90D6D"/>
    <w:pPr>
      <w:tabs>
        <w:tab w:val="center" w:pos="4680"/>
        <w:tab w:val="right" w:pos="9360"/>
      </w:tabs>
    </w:pPr>
  </w:style>
  <w:style w:type="character" w:customStyle="1" w:styleId="HeaderChar">
    <w:name w:val="Header Char"/>
    <w:basedOn w:val="DefaultParagraphFont"/>
    <w:link w:val="Header"/>
    <w:uiPriority w:val="99"/>
    <w:rsid w:val="00F90D6D"/>
  </w:style>
  <w:style w:type="paragraph" w:styleId="Footer">
    <w:name w:val="footer"/>
    <w:basedOn w:val="Normal"/>
    <w:link w:val="FooterChar"/>
    <w:uiPriority w:val="99"/>
    <w:unhideWhenUsed/>
    <w:rsid w:val="00F90D6D"/>
    <w:pPr>
      <w:tabs>
        <w:tab w:val="center" w:pos="4680"/>
        <w:tab w:val="right" w:pos="9360"/>
      </w:tabs>
    </w:pPr>
  </w:style>
  <w:style w:type="character" w:customStyle="1" w:styleId="FooterChar">
    <w:name w:val="Footer Char"/>
    <w:basedOn w:val="DefaultParagraphFont"/>
    <w:link w:val="Footer"/>
    <w:uiPriority w:val="99"/>
    <w:rsid w:val="00F90D6D"/>
  </w:style>
  <w:style w:type="character" w:styleId="CommentReference">
    <w:name w:val="annotation reference"/>
    <w:basedOn w:val="DefaultParagraphFont"/>
    <w:uiPriority w:val="99"/>
    <w:semiHidden/>
    <w:unhideWhenUsed/>
    <w:rsid w:val="003206F7"/>
    <w:rPr>
      <w:sz w:val="16"/>
      <w:szCs w:val="16"/>
    </w:rPr>
  </w:style>
  <w:style w:type="paragraph" w:styleId="CommentText">
    <w:name w:val="annotation text"/>
    <w:basedOn w:val="Normal"/>
    <w:link w:val="CommentTextChar"/>
    <w:uiPriority w:val="99"/>
    <w:semiHidden/>
    <w:unhideWhenUsed/>
    <w:rsid w:val="003206F7"/>
    <w:rPr>
      <w:sz w:val="20"/>
      <w:szCs w:val="20"/>
    </w:rPr>
  </w:style>
  <w:style w:type="character" w:customStyle="1" w:styleId="CommentTextChar">
    <w:name w:val="Comment Text Char"/>
    <w:basedOn w:val="DefaultParagraphFont"/>
    <w:link w:val="CommentText"/>
    <w:uiPriority w:val="99"/>
    <w:semiHidden/>
    <w:rsid w:val="003206F7"/>
    <w:rPr>
      <w:sz w:val="20"/>
      <w:szCs w:val="20"/>
    </w:rPr>
  </w:style>
  <w:style w:type="paragraph" w:styleId="CommentSubject">
    <w:name w:val="annotation subject"/>
    <w:basedOn w:val="CommentText"/>
    <w:next w:val="CommentText"/>
    <w:link w:val="CommentSubjectChar"/>
    <w:uiPriority w:val="99"/>
    <w:semiHidden/>
    <w:unhideWhenUsed/>
    <w:rsid w:val="003206F7"/>
    <w:rPr>
      <w:b/>
      <w:bCs/>
    </w:rPr>
  </w:style>
  <w:style w:type="character" w:customStyle="1" w:styleId="CommentSubjectChar">
    <w:name w:val="Comment Subject Char"/>
    <w:basedOn w:val="CommentTextChar"/>
    <w:link w:val="CommentSubject"/>
    <w:uiPriority w:val="99"/>
    <w:semiHidden/>
    <w:rsid w:val="003206F7"/>
    <w:rPr>
      <w:b/>
      <w:bCs/>
      <w:sz w:val="20"/>
      <w:szCs w:val="20"/>
    </w:rPr>
  </w:style>
  <w:style w:type="paragraph" w:styleId="BalloonText">
    <w:name w:val="Balloon Text"/>
    <w:basedOn w:val="Normal"/>
    <w:link w:val="BalloonTextChar"/>
    <w:uiPriority w:val="99"/>
    <w:semiHidden/>
    <w:unhideWhenUsed/>
    <w:rsid w:val="003206F7"/>
    <w:rPr>
      <w:rFonts w:ascii="Tahoma" w:hAnsi="Tahoma" w:cs="Tahoma"/>
      <w:sz w:val="16"/>
      <w:szCs w:val="16"/>
    </w:rPr>
  </w:style>
  <w:style w:type="character" w:customStyle="1" w:styleId="BalloonTextChar">
    <w:name w:val="Balloon Text Char"/>
    <w:basedOn w:val="DefaultParagraphFont"/>
    <w:link w:val="BalloonText"/>
    <w:uiPriority w:val="99"/>
    <w:semiHidden/>
    <w:rsid w:val="003206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46/annurev-ento-011019-0252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603/0022-0493-95.2.4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38/nbt90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36</Pages>
  <Words>10384</Words>
  <Characters>59193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8</cp:revision>
  <dcterms:created xsi:type="dcterms:W3CDTF">2026-04-23T12:44:00Z</dcterms:created>
  <dcterms:modified xsi:type="dcterms:W3CDTF">2026-04-25T06:12:00Z</dcterms:modified>
</cp:coreProperties>
</file>