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23" w:rsidRDefault="005C02AA">
      <w:pPr>
        <w:shd w:val="clear" w:color="auto" w:fill="17365D"/>
        <w:spacing w:after="60"/>
        <w:jc w:val="center"/>
      </w:pPr>
      <w:r>
        <w:rPr>
          <w:b/>
          <w:bCs/>
          <w:color w:val="FFFFFF"/>
          <w:sz w:val="40"/>
          <w:szCs w:val="40"/>
        </w:rPr>
        <w:t>REFEREE REPORT</w:t>
      </w:r>
    </w:p>
    <w:p w:rsidR="00EC5923" w:rsidRDefault="005C02AA">
      <w:pPr>
        <w:shd w:val="clear" w:color="auto" w:fill="DCE6F1"/>
        <w:jc w:val="center"/>
      </w:pPr>
      <w:r>
        <w:rPr>
          <w:b/>
          <w:bCs/>
          <w:color w:val="17365D"/>
        </w:rPr>
        <w:t>Manuscript ID: 2026_ARJOM_156932</w:t>
      </w:r>
    </w:p>
    <w:p w:rsidR="00EC5923" w:rsidRDefault="005C02AA">
      <w:pPr>
        <w:shd w:val="clear" w:color="auto" w:fill="DCE6F1"/>
        <w:jc w:val="center"/>
      </w:pPr>
      <w:r>
        <w:rPr>
          <w:color w:val="17365D"/>
        </w:rPr>
        <w:t>On the Infinitude of Primes of certain types</w:t>
      </w:r>
    </w:p>
    <w:p w:rsidR="00EC5923" w:rsidRDefault="005C02AA">
      <w:pPr>
        <w:shd w:val="clear" w:color="auto" w:fill="DCE6F1"/>
        <w:jc w:val="center"/>
      </w:pPr>
      <w:r>
        <w:rPr>
          <w:color w:val="444444"/>
          <w:sz w:val="20"/>
          <w:szCs w:val="20"/>
        </w:rPr>
        <w:t xml:space="preserve">Authors: </w:t>
      </w:r>
      <w:proofErr w:type="spellStart"/>
      <w:r>
        <w:rPr>
          <w:color w:val="444444"/>
          <w:sz w:val="20"/>
          <w:szCs w:val="20"/>
        </w:rPr>
        <w:t>Aditi</w:t>
      </w:r>
      <w:proofErr w:type="spellEnd"/>
      <w:r>
        <w:rPr>
          <w:color w:val="444444"/>
          <w:sz w:val="20"/>
          <w:szCs w:val="20"/>
        </w:rPr>
        <w:t xml:space="preserve"> S. </w:t>
      </w:r>
      <w:proofErr w:type="spellStart"/>
      <w:r>
        <w:rPr>
          <w:color w:val="444444"/>
          <w:sz w:val="20"/>
          <w:szCs w:val="20"/>
        </w:rPr>
        <w:t>Phadke</w:t>
      </w:r>
      <w:proofErr w:type="spellEnd"/>
      <w:r>
        <w:rPr>
          <w:color w:val="444444"/>
          <w:sz w:val="20"/>
          <w:szCs w:val="20"/>
        </w:rPr>
        <w:t xml:space="preserve">, </w:t>
      </w:r>
      <w:proofErr w:type="spellStart"/>
      <w:r>
        <w:rPr>
          <w:color w:val="444444"/>
          <w:sz w:val="20"/>
          <w:szCs w:val="20"/>
        </w:rPr>
        <w:t>Pramod</w:t>
      </w:r>
      <w:proofErr w:type="spellEnd"/>
      <w:r>
        <w:rPr>
          <w:color w:val="444444"/>
          <w:sz w:val="20"/>
          <w:szCs w:val="20"/>
        </w:rPr>
        <w:t xml:space="preserve"> N. </w:t>
      </w:r>
      <w:proofErr w:type="spellStart"/>
      <w:r>
        <w:rPr>
          <w:color w:val="444444"/>
          <w:sz w:val="20"/>
          <w:szCs w:val="20"/>
        </w:rPr>
        <w:t>Shinde</w:t>
      </w:r>
      <w:proofErr w:type="spellEnd"/>
      <w:r>
        <w:rPr>
          <w:color w:val="444444"/>
          <w:sz w:val="20"/>
          <w:szCs w:val="20"/>
        </w:rPr>
        <w:t xml:space="preserve">, </w:t>
      </w:r>
      <w:proofErr w:type="spellStart"/>
      <w:r>
        <w:rPr>
          <w:color w:val="444444"/>
          <w:sz w:val="20"/>
          <w:szCs w:val="20"/>
        </w:rPr>
        <w:t>Samina</w:t>
      </w:r>
      <w:proofErr w:type="spellEnd"/>
      <w:r>
        <w:rPr>
          <w:color w:val="444444"/>
          <w:sz w:val="20"/>
          <w:szCs w:val="20"/>
        </w:rPr>
        <w:t xml:space="preserve"> </w:t>
      </w:r>
      <w:proofErr w:type="spellStart"/>
      <w:r>
        <w:rPr>
          <w:color w:val="444444"/>
          <w:sz w:val="20"/>
          <w:szCs w:val="20"/>
        </w:rPr>
        <w:t>Boxwala</w:t>
      </w:r>
      <w:proofErr w:type="spellEnd"/>
    </w:p>
    <w:p w:rsidR="00EC5923" w:rsidRDefault="005C02AA">
      <w:pPr>
        <w:shd w:val="clear" w:color="auto" w:fill="DCE6F1"/>
        <w:jc w:val="center"/>
      </w:pPr>
      <w:r>
        <w:rPr>
          <w:color w:val="444444"/>
          <w:sz w:val="20"/>
          <w:szCs w:val="20"/>
        </w:rPr>
        <w:t>Journal: Asian Research Journal of Mathematics (ARJOM</w:t>
      </w:r>
      <w:proofErr w:type="gramStart"/>
      <w:r>
        <w:rPr>
          <w:color w:val="444444"/>
          <w:sz w:val="20"/>
          <w:szCs w:val="20"/>
        </w:rPr>
        <w:t>)  |</w:t>
      </w:r>
      <w:proofErr w:type="gramEnd"/>
      <w:r>
        <w:rPr>
          <w:color w:val="444444"/>
          <w:sz w:val="20"/>
          <w:szCs w:val="20"/>
        </w:rPr>
        <w:t xml:space="preserve">  April 2026</w:t>
      </w:r>
    </w:p>
    <w:p w:rsidR="00EC5923" w:rsidRDefault="005C02AA">
      <w:pPr>
        <w:shd w:val="clear" w:color="auto" w:fill="DCE6F1"/>
        <w:spacing w:after="200"/>
        <w:jc w:val="center"/>
      </w:pPr>
      <w:r>
        <w:rPr>
          <w:b/>
          <w:bCs/>
          <w:color w:val="A00000"/>
          <w:sz w:val="24"/>
          <w:szCs w:val="24"/>
        </w:rPr>
        <w:t>Recommendation: MAJOR REVISION</w:t>
      </w:r>
    </w:p>
    <w:p w:rsidR="00EC5923" w:rsidRDefault="005C02AA">
      <w:pPr>
        <w:pStyle w:val="Heading1"/>
        <w:pBdr>
          <w:bottom w:val="single" w:sz="8" w:space="4" w:color="17365D"/>
        </w:pBdr>
      </w:pPr>
      <w:r>
        <w:t>1. Overview and General Assessment</w:t>
      </w:r>
    </w:p>
    <w:p w:rsidR="00EC5923" w:rsidRDefault="005C02AA">
      <w:pPr>
        <w:spacing w:before="80" w:after="80"/>
      </w:pPr>
      <w:r>
        <w:t xml:space="preserve">This paper presents several elementary proofs of the infinitude of primes of the forms 4k+3, 3k+2, 6k+5, and 4k+1, applying techniques attributed to </w:t>
      </w:r>
      <w:proofErr w:type="spellStart"/>
      <w:r>
        <w:t>Saidak</w:t>
      </w:r>
      <w:proofErr w:type="spellEnd"/>
      <w:r>
        <w:t xml:space="preserve"> (2006), Fermat, and </w:t>
      </w:r>
      <w:proofErr w:type="spellStart"/>
      <w:r>
        <w:t>Polya</w:t>
      </w:r>
      <w:proofErr w:type="spellEnd"/>
      <w:r>
        <w:t xml:space="preserve">. The topic is classical, well-studied, </w:t>
      </w:r>
      <w:r>
        <w:t xml:space="preserve">and of genuine pedagogical interest. The exposition is generally clear and the mathematical arguments are largely correct. However, the manuscript has significant shortcomings in terms of novelty, </w:t>
      </w:r>
      <w:proofErr w:type="spellStart"/>
      <w:r>
        <w:t>rigour</w:t>
      </w:r>
      <w:proofErr w:type="spellEnd"/>
      <w:r>
        <w:t>, and bibliographic completeness that must be address</w:t>
      </w:r>
      <w:r>
        <w:t>ed before it can be considered for publication in a reputable journal.</w:t>
      </w:r>
    </w:p>
    <w:p w:rsidR="00EC5923" w:rsidRDefault="00EC5923">
      <w:pPr>
        <w:spacing w:before="80" w:after="80"/>
      </w:pPr>
    </w:p>
    <w:p w:rsidR="00EC5923" w:rsidRDefault="005C02AA">
      <w:pPr>
        <w:spacing w:before="80" w:after="80"/>
      </w:pPr>
      <w:r>
        <w:rPr>
          <w:b/>
          <w:bCs/>
        </w:rPr>
        <w:t xml:space="preserve">Overall verdict: </w:t>
      </w:r>
      <w:r>
        <w:rPr>
          <w:color w:val="A00000"/>
        </w:rPr>
        <w:t>MAJOR REVISION required.</w:t>
      </w:r>
    </w:p>
    <w:p w:rsidR="00EC5923" w:rsidRDefault="005C02AA">
      <w:pPr>
        <w:pStyle w:val="Heading1"/>
        <w:pBdr>
          <w:bottom w:val="single" w:sz="8" w:space="4" w:color="17365D"/>
        </w:pBdr>
      </w:pPr>
      <w:r>
        <w:t>2. Alerts: Authenticity, Controversy, and Sensitive Claims</w:t>
      </w:r>
    </w:p>
    <w:p w:rsidR="00EC5923" w:rsidRDefault="007F744F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C55A11"/>
        </w:rPr>
        <w:t xml:space="preserve"> </w:t>
      </w:r>
      <w:r w:rsidR="005C02AA">
        <w:rPr>
          <w:b/>
          <w:bCs/>
          <w:color w:val="C55A11"/>
        </w:rPr>
        <w:t xml:space="preserve">[NOVELTY CONCERN] </w:t>
      </w:r>
      <w:r w:rsidR="005C02AA">
        <w:t xml:space="preserve">The paper does not clearly delineate which proofs are genuinely new contributions versus restatements of proofs already in the literature (e.g., in </w:t>
      </w:r>
      <w:proofErr w:type="spellStart"/>
      <w:r w:rsidR="005C02AA">
        <w:t>Niven</w:t>
      </w:r>
      <w:proofErr w:type="spellEnd"/>
      <w:r w:rsidR="005C02AA">
        <w:t>-Zuckerman-Montgomery [10]). This must be addressed explicitly.</w:t>
      </w:r>
    </w:p>
    <w:p w:rsidR="00EC5923" w:rsidRDefault="005C02AA">
      <w:pPr>
        <w:pStyle w:val="Heading1"/>
        <w:pBdr>
          <w:bottom w:val="single" w:sz="8" w:space="4" w:color="17365D"/>
        </w:pBdr>
      </w:pPr>
      <w:r>
        <w:t>3. Section-Wise Critical Comments</w:t>
      </w:r>
    </w:p>
    <w:p w:rsidR="00EC5923" w:rsidRDefault="005C02AA">
      <w:pPr>
        <w:pStyle w:val="Heading2"/>
      </w:pPr>
      <w:r>
        <w:t>3.1 A</w:t>
      </w:r>
      <w:r>
        <w:t>bstract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006400"/>
        </w:rPr>
        <w:t xml:space="preserve">[STRENGTH] </w:t>
      </w:r>
      <w:r>
        <w:t>The abstract accurately conveys the scope and methods of the paper.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A00000"/>
        </w:rPr>
        <w:t xml:space="preserve">[WEAKNESS] </w:t>
      </w:r>
      <w:r>
        <w:t xml:space="preserve">The phrase 'elementary and elegant' is subjective and potentially misleading: the proofs for 4k+3 and 6k+5 closely follow </w:t>
      </w:r>
      <w:proofErr w:type="spellStart"/>
      <w:r>
        <w:t>Saidak's</w:t>
      </w:r>
      <w:proofErr w:type="spellEnd"/>
      <w:r>
        <w:t xml:space="preserve"> published technique and the</w:t>
      </w:r>
      <w:r>
        <w:t>ir novelty is not adequately established.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A00000"/>
        </w:rPr>
        <w:t xml:space="preserve">[WEAKNESS] </w:t>
      </w:r>
      <w:r>
        <w:t xml:space="preserve">The claim 'We have used the techniques of </w:t>
      </w:r>
      <w:proofErr w:type="spellStart"/>
      <w:r>
        <w:t>Saidak</w:t>
      </w:r>
      <w:proofErr w:type="spellEnd"/>
      <w:r>
        <w:t xml:space="preserve">, Fermat, and </w:t>
      </w:r>
      <w:proofErr w:type="spellStart"/>
      <w:r>
        <w:t>Polya</w:t>
      </w:r>
      <w:proofErr w:type="spellEnd"/>
      <w:r>
        <w:t>' does not identify any new technique developed by the authors. If the contribution is primarily expository, this must be stated explici</w:t>
      </w:r>
      <w:r>
        <w:t>tly.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7365D"/>
        </w:rPr>
        <w:t xml:space="preserve">[RECOMMENDATION] </w:t>
      </w:r>
      <w:r>
        <w:t>Revise the abstract to clearly specify what is original versus what is a re-presentation of known proofs.</w:t>
      </w:r>
    </w:p>
    <w:p w:rsidR="00EC5923" w:rsidRDefault="005C02AA">
      <w:pPr>
        <w:pStyle w:val="Heading2"/>
      </w:pPr>
      <w:r>
        <w:t>3.2 Section 1: Introduction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006400"/>
        </w:rPr>
        <w:t xml:space="preserve">[STRENGTH] </w:t>
      </w:r>
      <w:r>
        <w:t xml:space="preserve">The introduction provides a reasonable historical survey of proofs of the infinitude of primes, covering Euclid, Euler, </w:t>
      </w:r>
      <w:proofErr w:type="spellStart"/>
      <w:r>
        <w:t>Erdos</w:t>
      </w:r>
      <w:proofErr w:type="spellEnd"/>
      <w:r>
        <w:t>, Furstenberg, and others.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006400"/>
        </w:rPr>
        <w:t xml:space="preserve">[STRENGTH] </w:t>
      </w:r>
      <w:r>
        <w:t>The motivation for studying primes in specific arithmetic forms (</w:t>
      </w:r>
      <w:proofErr w:type="spellStart"/>
      <w:r>
        <w:t>Dirichlet</w:t>
      </w:r>
      <w:proofErr w:type="spellEnd"/>
      <w:r>
        <w:t xml:space="preserve"> context) is well-p</w:t>
      </w:r>
      <w:r>
        <w:t>laced.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A00000"/>
        </w:rPr>
        <w:t xml:space="preserve">[WEAKNESS] </w:t>
      </w:r>
      <w:r>
        <w:t xml:space="preserve">Reference [13], cited in connection with 'properties of highly composite numbers,' appears to link to an article titled 'Infinitely Many Composites' -- a different topic. This is either a </w:t>
      </w:r>
      <w:proofErr w:type="spellStart"/>
      <w:r>
        <w:t>mislabelling</w:t>
      </w:r>
      <w:proofErr w:type="spellEnd"/>
      <w:r>
        <w:t xml:space="preserve"> or an incorrect reference.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A00000"/>
        </w:rPr>
        <w:lastRenderedPageBreak/>
        <w:t>[WEAKNESS]</w:t>
      </w:r>
      <w:r>
        <w:rPr>
          <w:b/>
          <w:bCs/>
          <w:color w:val="A00000"/>
        </w:rPr>
        <w:t xml:space="preserve"> </w:t>
      </w:r>
      <w:r>
        <w:t>References [13] and [14] are bare URLs with no author, title, journal, volume, year, or page information. This is inadequate for a peer-reviewed paper.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A00000"/>
        </w:rPr>
        <w:t xml:space="preserve">[WEAKNESS] </w:t>
      </w:r>
      <w:r>
        <w:t xml:space="preserve">The introduction does not differentiate new content from existing proofs in </w:t>
      </w:r>
      <w:proofErr w:type="spellStart"/>
      <w:r>
        <w:t>Niven</w:t>
      </w:r>
      <w:proofErr w:type="spellEnd"/>
      <w:r>
        <w:t>-Zuckerman-</w:t>
      </w:r>
      <w:r>
        <w:t>Montgomery [10] and Burton [11].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7365D"/>
        </w:rPr>
        <w:t xml:space="preserve">[RECOMMENDATION] </w:t>
      </w:r>
      <w:r>
        <w:t>Replace bare URLs [13] and [14] with proper bibliographic entries. Clarify novelty with respect to existing literature.</w:t>
      </w:r>
    </w:p>
    <w:p w:rsidR="00EC5923" w:rsidRDefault="005C02AA">
      <w:pPr>
        <w:pStyle w:val="Heading2"/>
      </w:pPr>
      <w:r>
        <w:t xml:space="preserve">3.3 Section 2: Special Cases of </w:t>
      </w:r>
      <w:proofErr w:type="spellStart"/>
      <w:r>
        <w:t>Dirichlet's</w:t>
      </w:r>
      <w:proofErr w:type="spellEnd"/>
      <w:r>
        <w:t xml:space="preserve"> Theorem</w:t>
      </w:r>
    </w:p>
    <w:p w:rsidR="00EC5923" w:rsidRDefault="005C02AA">
      <w:pPr>
        <w:spacing w:before="200" w:after="80"/>
      </w:pPr>
      <w:r>
        <w:rPr>
          <w:b/>
          <w:bCs/>
          <w:color w:val="C55A11"/>
        </w:rPr>
        <w:t>3.3.1 Lemma 3 and Theorem 4 (Prime</w:t>
      </w:r>
      <w:r>
        <w:rPr>
          <w:b/>
          <w:bCs/>
          <w:color w:val="C55A11"/>
        </w:rPr>
        <w:t>s of the form 4k+3)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006400"/>
        </w:rPr>
        <w:t xml:space="preserve">[STRENGTH] </w:t>
      </w:r>
      <w:r>
        <w:t>Lemma 3 is correctly stated and proved. The observation that a product of primes all of the form 4k+1 is again of the form 4k+1 is clear and correct.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006400"/>
        </w:rPr>
        <w:t xml:space="preserve">[STRENGTH] </w:t>
      </w:r>
      <w:r>
        <w:t xml:space="preserve">The </w:t>
      </w:r>
      <w:proofErr w:type="spellStart"/>
      <w:r>
        <w:t>pairwise</w:t>
      </w:r>
      <w:proofErr w:type="spellEnd"/>
      <w:r>
        <w:t xml:space="preserve"> </w:t>
      </w:r>
      <w:proofErr w:type="spellStart"/>
      <w:r>
        <w:t>coprimality</w:t>
      </w:r>
      <w:proofErr w:type="spellEnd"/>
      <w:r>
        <w:t xml:space="preserve"> computations are carried out correctly: </w:t>
      </w:r>
      <w:proofErr w:type="spellStart"/>
      <w:proofErr w:type="gramStart"/>
      <w:r>
        <w:t>gcd</w:t>
      </w:r>
      <w:proofErr w:type="spellEnd"/>
      <w:r>
        <w:t>(</w:t>
      </w:r>
      <w:proofErr w:type="gramEnd"/>
      <w:r>
        <w:t xml:space="preserve">n, n+4) = </w:t>
      </w:r>
      <w:proofErr w:type="spellStart"/>
      <w:r>
        <w:t>gcd</w:t>
      </w:r>
      <w:proofErr w:type="spellEnd"/>
      <w:r>
        <w:t>(4k+3, 4) = 1, etc.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006400"/>
        </w:rPr>
        <w:t xml:space="preserve">[STRENGTH] </w:t>
      </w:r>
      <w:r>
        <w:t xml:space="preserve">The inductive counting argument (producing at least 3, 5, </w:t>
      </w:r>
      <w:proofErr w:type="gramStart"/>
      <w:r>
        <w:t>7, ...</w:t>
      </w:r>
      <w:proofErr w:type="gramEnd"/>
      <w:r>
        <w:t xml:space="preserve"> primes of the form 4k+3 at each stage) is valid and correctly establishes infi</w:t>
      </w:r>
      <w:r>
        <w:t>nitude.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A00000"/>
        </w:rPr>
        <w:t xml:space="preserve">[WEAKNESS] </w:t>
      </w:r>
      <w:r>
        <w:t xml:space="preserve">CRITICAL GAP: The proof does not verify that N = </w:t>
      </w:r>
      <w:proofErr w:type="gramStart"/>
      <w:r>
        <w:t>n(</w:t>
      </w:r>
      <w:proofErr w:type="gramEnd"/>
      <w:r>
        <w:t>n+4)(n+8) is itself of the form 4k+3. This requires checking: (4a+3</w:t>
      </w:r>
      <w:proofErr w:type="gramStart"/>
      <w:r>
        <w:t>)(</w:t>
      </w:r>
      <w:proofErr w:type="gramEnd"/>
      <w:r>
        <w:t>4b+3) = 4(...)+1, then multiplying by (4c+3) gives 4(...)+3. Without this, the iteration cannot proceed.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A00000"/>
        </w:rPr>
        <w:t xml:space="preserve">[WEAKNESS] </w:t>
      </w:r>
      <w:r>
        <w:t>T</w:t>
      </w:r>
      <w:r>
        <w:t xml:space="preserve">he counting argument '3+1+1' is not fully justified. The text should explicitly invoke Lemma 3 for N+4 and N+8, and invoke </w:t>
      </w:r>
      <w:proofErr w:type="spellStart"/>
      <w:r>
        <w:t>pairwise</w:t>
      </w:r>
      <w:proofErr w:type="spellEnd"/>
      <w:r>
        <w:t xml:space="preserve"> </w:t>
      </w:r>
      <w:proofErr w:type="spellStart"/>
      <w:r>
        <w:t>coprimality</w:t>
      </w:r>
      <w:proofErr w:type="spellEnd"/>
      <w:r>
        <w:t xml:space="preserve"> to confirm distinct prime factors.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7365D"/>
        </w:rPr>
        <w:t xml:space="preserve">[RECOMMENDATION] </w:t>
      </w:r>
      <w:r>
        <w:t>Add the modular arithmetic verification. Spell out all three</w:t>
      </w:r>
      <w:r>
        <w:t xml:space="preserve"> steps of the counting argument.</w:t>
      </w:r>
    </w:p>
    <w:p w:rsidR="00EC5923" w:rsidRDefault="005C02AA">
      <w:pPr>
        <w:spacing w:before="200" w:after="80"/>
      </w:pPr>
      <w:r>
        <w:rPr>
          <w:b/>
          <w:bCs/>
          <w:color w:val="C55A11"/>
        </w:rPr>
        <w:t>3.3.2 Lemma 5 and Theorem 6 (Primes of the form 6k+5)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006400"/>
        </w:rPr>
        <w:t xml:space="preserve">[STRENGTH] </w:t>
      </w:r>
      <w:r>
        <w:t>The structure correctly mirrors Theorem 4 and the underlying ideas are valid.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A00000"/>
        </w:rPr>
        <w:t xml:space="preserve">[WEAKNESS] </w:t>
      </w:r>
      <w:r>
        <w:t>TYPOGRAPHICAL ERROR: The GCD computation reads '(N+6, N+12) = (N+6, N</w:t>
      </w:r>
      <w:r>
        <w:t xml:space="preserve">+12) = 1' -- the left-hand side is repeated identically. One should be (N, N+12). This is a logical gap as one of the three </w:t>
      </w:r>
      <w:proofErr w:type="spellStart"/>
      <w:r>
        <w:t>pairwise</w:t>
      </w:r>
      <w:proofErr w:type="spellEnd"/>
      <w:r>
        <w:t xml:space="preserve"> GCDs is missing.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A00000"/>
        </w:rPr>
        <w:t xml:space="preserve">[WEAKNESS] </w:t>
      </w:r>
      <w:r>
        <w:t xml:space="preserve">As with Theorem 4, N = </w:t>
      </w:r>
      <w:proofErr w:type="gramStart"/>
      <w:r>
        <w:t>n(</w:t>
      </w:r>
      <w:proofErr w:type="gramEnd"/>
      <w:r>
        <w:t>n+6)(n+12) is not verified to be of the form 6k+5.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A00000"/>
        </w:rPr>
        <w:t xml:space="preserve">[WEAKNESS] </w:t>
      </w:r>
      <w:r>
        <w:t xml:space="preserve">Lemma 5 </w:t>
      </w:r>
      <w:r>
        <w:t>states 'no prime factor can be of the form 6k+3, k &gt;= 1' without addressing k=0 (the prime 3). Since 6k+5 ≡ 2 (mod 3), divisibility by 3 is impossible; this should be stated.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7365D"/>
        </w:rPr>
        <w:t xml:space="preserve">[RECOMMENDATION] </w:t>
      </w:r>
      <w:r>
        <w:t xml:space="preserve">Correct the typographical error. Add modular verification for N </w:t>
      </w:r>
      <w:r>
        <w:t>≡ 5 (mod 6). Clarify the role of the prime 3 in Lemma 5.</w:t>
      </w:r>
    </w:p>
    <w:p w:rsidR="00EC5923" w:rsidRDefault="005C02AA">
      <w:pPr>
        <w:spacing w:before="200" w:after="80"/>
      </w:pPr>
      <w:r>
        <w:rPr>
          <w:b/>
          <w:bCs/>
          <w:color w:val="C55A11"/>
        </w:rPr>
        <w:t>3.3.3 Corollary 7 (Primes of the form 3k+2)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006400"/>
        </w:rPr>
        <w:t xml:space="preserve">[STRENGTH] </w:t>
      </w:r>
      <w:r>
        <w:t>The corollary is trivially correct: every prime of the form 6k+5 = 3(2k+1</w:t>
      </w:r>
      <w:proofErr w:type="gramStart"/>
      <w:r>
        <w:t>)+</w:t>
      </w:r>
      <w:proofErr w:type="gramEnd"/>
      <w:r>
        <w:t>2 is of the form 3k+2.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A00000"/>
        </w:rPr>
        <w:t xml:space="preserve">[WEAKNESS] </w:t>
      </w:r>
      <w:r>
        <w:t>This is an entirely trivial observa</w:t>
      </w:r>
      <w:r>
        <w:t xml:space="preserve">tion and does not constitute a significant mathematical contribution. A direct proof using </w:t>
      </w:r>
      <w:proofErr w:type="spellStart"/>
      <w:r>
        <w:t>Saidak's</w:t>
      </w:r>
      <w:proofErr w:type="spellEnd"/>
      <w:r>
        <w:t xml:space="preserve"> method is available and would be stronger.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7365D"/>
        </w:rPr>
        <w:t xml:space="preserve">[RECOMMENDATION] </w:t>
      </w:r>
      <w:r>
        <w:t xml:space="preserve">Provide a direct </w:t>
      </w:r>
      <w:proofErr w:type="spellStart"/>
      <w:r>
        <w:t>Saidak</w:t>
      </w:r>
      <w:proofErr w:type="spellEnd"/>
      <w:r>
        <w:t>-style proof for 3k+2 primes, or clearly acknowledge this is only a corol</w:t>
      </w:r>
      <w:r>
        <w:t>lary.</w:t>
      </w:r>
    </w:p>
    <w:p w:rsidR="00EC5923" w:rsidRDefault="005C02AA">
      <w:pPr>
        <w:pStyle w:val="Heading2"/>
      </w:pPr>
      <w:r>
        <w:t>3.4 Section 3: Application of Fermat Numbers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006400"/>
        </w:rPr>
        <w:lastRenderedPageBreak/>
        <w:t xml:space="preserve">[STRENGTH] </w:t>
      </w:r>
      <w:r>
        <w:t>Lemma 9 (</w:t>
      </w:r>
      <w:proofErr w:type="spellStart"/>
      <w:r>
        <w:t>characterisation</w:t>
      </w:r>
      <w:proofErr w:type="spellEnd"/>
      <w:r>
        <w:t xml:space="preserve"> of primes p for which x^2 ≡ -1 (mod p) is solvable) is a standard and correct result from elementary number theory.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006400"/>
        </w:rPr>
        <w:t xml:space="preserve">[STRENGTH] </w:t>
      </w:r>
      <w:r>
        <w:t xml:space="preserve">Theorem 10 is correctly argued: any prime p dividing </w:t>
      </w:r>
      <w:proofErr w:type="spellStart"/>
      <w:r>
        <w:t>F_n</w:t>
      </w:r>
      <w:proofErr w:type="spellEnd"/>
      <w:r>
        <w:t xml:space="preserve"> satisfies p ≡ 1 (mod 4) by Lemma 9, and since Fermat numbers are infinite and </w:t>
      </w:r>
      <w:proofErr w:type="spellStart"/>
      <w:r>
        <w:t>pairwise</w:t>
      </w:r>
      <w:proofErr w:type="spellEnd"/>
      <w:r>
        <w:t xml:space="preserve"> </w:t>
      </w:r>
      <w:proofErr w:type="spellStart"/>
      <w:r>
        <w:t>coprime</w:t>
      </w:r>
      <w:proofErr w:type="spellEnd"/>
      <w:r>
        <w:t>, infinitely many such primes exist.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A00000"/>
        </w:rPr>
        <w:t xml:space="preserve">[WEAKNESS] </w:t>
      </w:r>
      <w:r>
        <w:t xml:space="preserve">Lemma 9 is stated without proof and without a reference. A citation (e.g., </w:t>
      </w:r>
      <w:proofErr w:type="spellStart"/>
      <w:r>
        <w:t>Niven</w:t>
      </w:r>
      <w:proofErr w:type="spellEnd"/>
      <w:r>
        <w:t>-Zuckerman-Montgomery Theorem 5.4) is required.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A00000"/>
        </w:rPr>
        <w:t xml:space="preserve">[WEAKNESS] </w:t>
      </w:r>
      <w:r>
        <w:t xml:space="preserve">The formula </w:t>
      </w:r>
      <w:proofErr w:type="spellStart"/>
      <w:r>
        <w:t>F_n</w:t>
      </w:r>
      <w:proofErr w:type="spellEnd"/>
      <w:r>
        <w:t xml:space="preserve"> - 1 = (2</w:t>
      </w:r>
      <w:proofErr w:type="gramStart"/>
      <w:r>
        <w:t>^{</w:t>
      </w:r>
      <w:proofErr w:type="gramEnd"/>
      <w:r>
        <w:t>2^{n-1}})^2 holds only for n &gt;= 1. For n=0, F_0 = 3 and F_0 - 1 = 2, which is not a perfect</w:t>
      </w:r>
      <w:r>
        <w:t xml:space="preserve"> square. The proof must be restricted to n &gt;= 1.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A00000"/>
        </w:rPr>
        <w:t xml:space="preserve">[WEAKNESS] </w:t>
      </w:r>
      <w:r>
        <w:t xml:space="preserve">The </w:t>
      </w:r>
      <w:proofErr w:type="spellStart"/>
      <w:r>
        <w:t>pairwise</w:t>
      </w:r>
      <w:proofErr w:type="spellEnd"/>
      <w:r>
        <w:t xml:space="preserve"> </w:t>
      </w:r>
      <w:proofErr w:type="spellStart"/>
      <w:r>
        <w:t>coprimality</w:t>
      </w:r>
      <w:proofErr w:type="spellEnd"/>
      <w:r>
        <w:t xml:space="preserve"> of distinct Fermat numbers is invoked without proof or citation. The standard proof via </w:t>
      </w:r>
      <w:proofErr w:type="spellStart"/>
      <w:r>
        <w:t>F_n</w:t>
      </w:r>
      <w:proofErr w:type="spellEnd"/>
      <w:r>
        <w:t xml:space="preserve"> = F_0 * F_1 * ... * F</w:t>
      </w:r>
      <w:proofErr w:type="gramStart"/>
      <w:r>
        <w:t>_{</w:t>
      </w:r>
      <w:proofErr w:type="gramEnd"/>
      <w:r>
        <w:t>n-1} + 2 should be added or cited.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7365D"/>
        </w:rPr>
        <w:t xml:space="preserve">[RECOMMENDATION] </w:t>
      </w:r>
      <w:r>
        <w:t xml:space="preserve">Add </w:t>
      </w:r>
      <w:r>
        <w:t xml:space="preserve">a reference for Lemma 9. Restrict Theorem 10 to n &gt;= 1. Add proof or citation for Fermat number </w:t>
      </w:r>
      <w:proofErr w:type="spellStart"/>
      <w:r>
        <w:t>coprimality</w:t>
      </w:r>
      <w:proofErr w:type="spellEnd"/>
      <w:r>
        <w:t>.</w:t>
      </w:r>
    </w:p>
    <w:p w:rsidR="00EC5923" w:rsidRDefault="005C02AA">
      <w:pPr>
        <w:pStyle w:val="Heading2"/>
      </w:pPr>
      <w:r>
        <w:t>3.5 Section 4: Conclusion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006400"/>
        </w:rPr>
        <w:t xml:space="preserve">[STRENGTH] </w:t>
      </w:r>
      <w:r>
        <w:t>The conclusion is appropriately brief.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A00000"/>
        </w:rPr>
        <w:t xml:space="preserve">[WEAKNESS] </w:t>
      </w:r>
      <w:r>
        <w:t xml:space="preserve">The conclusion does not </w:t>
      </w:r>
      <w:proofErr w:type="spellStart"/>
      <w:r>
        <w:t>summarise</w:t>
      </w:r>
      <w:proofErr w:type="spellEnd"/>
      <w:r>
        <w:t xml:space="preserve"> what is genuinely new in t</w:t>
      </w:r>
      <w:r>
        <w:t>his paper compared to the existing literature.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A00000"/>
        </w:rPr>
        <w:t xml:space="preserve">[WEAKNESS] </w:t>
      </w:r>
      <w:r>
        <w:t>The suggestion to 'show there are infinitely many primes which are not of a certain type' is vague and not a well-posed open problem.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7365D"/>
        </w:rPr>
        <w:t xml:space="preserve">[RECOMMENDATION] </w:t>
      </w:r>
      <w:r>
        <w:t xml:space="preserve">Rewrite to identify original contributions and </w:t>
      </w:r>
      <w:r>
        <w:t>formulate precise future directions.</w:t>
      </w:r>
    </w:p>
    <w:p w:rsidR="00EC5923" w:rsidRDefault="005C02AA">
      <w:pPr>
        <w:pStyle w:val="Heading1"/>
        <w:pBdr>
          <w:bottom w:val="single" w:sz="8" w:space="4" w:color="17365D"/>
        </w:pBdr>
      </w:pPr>
      <w:r>
        <w:t>4. Validity of Results</w:t>
      </w:r>
    </w:p>
    <w:p w:rsidR="00EC5923" w:rsidRDefault="005C02AA">
      <w:pPr>
        <w:spacing w:before="80" w:after="80"/>
      </w:pPr>
      <w:r>
        <w:t>The paper contains no experimental data, tables, or figures. All results are mathematical theorems and proofs. The main results are assessed as follows:</w:t>
      </w:r>
    </w:p>
    <w:p w:rsidR="00EC5923" w:rsidRDefault="00EC5923">
      <w:pPr>
        <w:spacing w:before="80" w:after="80"/>
      </w:pPr>
    </w:p>
    <w:p w:rsidR="00EC5923" w:rsidRDefault="005C02AA">
      <w:pPr>
        <w:spacing w:before="80" w:after="80"/>
      </w:pPr>
      <w:r>
        <w:rPr>
          <w:b/>
          <w:bCs/>
        </w:rPr>
        <w:t>Theorem 4 (infinitely many primes of the f</w:t>
      </w:r>
      <w:r>
        <w:rPr>
          <w:b/>
          <w:bCs/>
        </w:rPr>
        <w:t xml:space="preserve">orm 4k+3): </w:t>
      </w:r>
      <w:r>
        <w:t>Proof strategy is valid but contains a gap (no verification that N ≡ 3 mod 4). With this addition, the proof is complete.</w:t>
      </w:r>
    </w:p>
    <w:p w:rsidR="00EC5923" w:rsidRDefault="005C02AA">
      <w:pPr>
        <w:spacing w:before="80" w:after="80"/>
      </w:pPr>
      <w:r>
        <w:rPr>
          <w:b/>
          <w:bCs/>
        </w:rPr>
        <w:t xml:space="preserve">Theorem 6 (infinitely many primes of the form 6k+5): </w:t>
      </w:r>
      <w:r>
        <w:t>Contains a typographical error in the GCD computation. With correction</w:t>
      </w:r>
      <w:r>
        <w:t xml:space="preserve"> and modular verification, the proof is sound.</w:t>
      </w:r>
    </w:p>
    <w:p w:rsidR="00EC5923" w:rsidRDefault="005C02AA">
      <w:pPr>
        <w:spacing w:before="80" w:after="80"/>
      </w:pPr>
      <w:r>
        <w:rPr>
          <w:b/>
          <w:bCs/>
        </w:rPr>
        <w:t xml:space="preserve">Corollary 7 (primes of the form 3k+2): </w:t>
      </w:r>
      <w:r>
        <w:t>Correct but trivial.</w:t>
      </w:r>
    </w:p>
    <w:p w:rsidR="00EC5923" w:rsidRDefault="005C02AA">
      <w:pPr>
        <w:spacing w:before="80" w:after="80"/>
      </w:pPr>
      <w:r>
        <w:rPr>
          <w:b/>
          <w:bCs/>
        </w:rPr>
        <w:t xml:space="preserve">Theorem 10 (primes of the form 4k+1 via Fermat numbers): </w:t>
      </w:r>
      <w:r>
        <w:t>Correct for n &gt;= 1, with the caveat about n=0 noted above.</w:t>
      </w:r>
    </w:p>
    <w:p w:rsidR="00EC5923" w:rsidRDefault="00EC5923">
      <w:pPr>
        <w:spacing w:before="80" w:after="80"/>
      </w:pPr>
    </w:p>
    <w:p w:rsidR="00EC5923" w:rsidRDefault="005C02AA">
      <w:pPr>
        <w:pStyle w:val="Heading1"/>
        <w:pBdr>
          <w:bottom w:val="single" w:sz="8" w:space="4" w:color="17365D"/>
        </w:pBdr>
      </w:pPr>
      <w:r>
        <w:t>5. Bidirectional Citation Verification Report</w:t>
      </w:r>
    </w:p>
    <w:p w:rsidR="00EC5923" w:rsidRDefault="005C02AA">
      <w:pPr>
        <w:pStyle w:val="Heading2"/>
      </w:pPr>
      <w:r>
        <w:t>5.1 Text-to-Reference List (Forward Check)</w:t>
      </w:r>
    </w:p>
    <w:p w:rsidR="00EC5923" w:rsidRDefault="007F744F">
      <w:pPr>
        <w:spacing w:before="80" w:after="80"/>
      </w:pPr>
      <w:r>
        <w:t>OK</w:t>
      </w:r>
    </w:p>
    <w:p w:rsidR="00EC5923" w:rsidRDefault="005C02AA">
      <w:pPr>
        <w:pStyle w:val="Heading2"/>
      </w:pPr>
      <w:r>
        <w:t>5.2 Reference List-to-Text (Backward Check)</w:t>
      </w:r>
    </w:p>
    <w:p w:rsidR="00EC5923" w:rsidRDefault="007F744F">
      <w:pPr>
        <w:spacing w:before="80" w:after="80"/>
      </w:pPr>
      <w:r>
        <w:lastRenderedPageBreak/>
        <w:t>OK</w:t>
      </w:r>
    </w:p>
    <w:p w:rsidR="00EC5923" w:rsidRDefault="005C02AA">
      <w:pPr>
        <w:pStyle w:val="Heading2"/>
      </w:pPr>
      <w:r>
        <w:t>5.3 Reference-by-Reference Authenticity Assessment</w:t>
      </w:r>
    </w:p>
    <w:p w:rsidR="00EC5923" w:rsidRDefault="00EC5923">
      <w:pPr>
        <w:spacing w:before="80" w:after="80"/>
      </w:pPr>
    </w:p>
    <w:tbl>
      <w:tblPr>
        <w:tblW w:w="936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696"/>
        <w:gridCol w:w="3123"/>
        <w:gridCol w:w="1602"/>
        <w:gridCol w:w="3939"/>
      </w:tblGrid>
      <w:tr w:rsidR="00EC592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7365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b/>
                <w:bCs/>
                <w:color w:val="FFFFFF"/>
                <w:sz w:val="20"/>
                <w:szCs w:val="20"/>
              </w:rPr>
              <w:t>Ref.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7365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b/>
                <w:bCs/>
                <w:color w:val="FFFFFF"/>
                <w:sz w:val="20"/>
                <w:szCs w:val="20"/>
              </w:rPr>
              <w:t>Details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7365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4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7365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7F744F">
            <w:r>
              <w:rPr>
                <w:b/>
                <w:bCs/>
                <w:color w:val="FFFFFF"/>
                <w:sz w:val="20"/>
                <w:szCs w:val="20"/>
              </w:rPr>
              <w:t>Problems / Comments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[1]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proofErr w:type="spellStart"/>
            <w:r>
              <w:rPr>
                <w:color w:val="000000"/>
                <w:sz w:val="19"/>
                <w:szCs w:val="19"/>
              </w:rPr>
              <w:t>Gauchman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(2001), Math. Mag., 74(5), 397-399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EC5923"/>
        </w:tc>
        <w:tc>
          <w:tcPr>
            <w:tcW w:w="4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Pr="007F744F" w:rsidRDefault="005C02AA" w:rsidP="007F744F">
            <w:pPr>
              <w:rPr>
                <w:b/>
                <w:color w:val="FF0000"/>
              </w:rPr>
            </w:pPr>
            <w:r w:rsidRPr="007F744F">
              <w:rPr>
                <w:b/>
                <w:color w:val="FF0000"/>
                <w:sz w:val="19"/>
                <w:szCs w:val="19"/>
              </w:rPr>
              <w:t xml:space="preserve">No DOI. 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[2]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proofErr w:type="spellStart"/>
            <w:r>
              <w:rPr>
                <w:color w:val="000000"/>
                <w:sz w:val="19"/>
                <w:szCs w:val="19"/>
              </w:rPr>
              <w:t>Gueron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&amp; </w:t>
            </w:r>
            <w:proofErr w:type="spellStart"/>
            <w:r>
              <w:rPr>
                <w:color w:val="000000"/>
                <w:sz w:val="19"/>
                <w:szCs w:val="19"/>
              </w:rPr>
              <w:t>Tessler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(2002), Math. Gaz., 86(505), 110-114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EC5923"/>
        </w:tc>
        <w:tc>
          <w:tcPr>
            <w:tcW w:w="4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7F744F" w:rsidP="007F744F">
            <w:r w:rsidRPr="007F744F">
              <w:rPr>
                <w:b/>
                <w:color w:val="FF0000"/>
                <w:sz w:val="19"/>
                <w:szCs w:val="19"/>
              </w:rPr>
              <w:t>No DOI.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[3]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Spencer &amp;</w:t>
            </w:r>
            <w:r>
              <w:rPr>
                <w:color w:val="000000"/>
                <w:sz w:val="19"/>
                <w:szCs w:val="19"/>
              </w:rPr>
              <w:t xml:space="preserve"> Graham (2009), Math. Intelligencer, 31(3)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EC5923"/>
        </w:tc>
        <w:tc>
          <w:tcPr>
            <w:tcW w:w="4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7F744F">
            <w:r w:rsidRPr="007F744F">
              <w:rPr>
                <w:b/>
                <w:color w:val="FF0000"/>
                <w:sz w:val="19"/>
                <w:szCs w:val="19"/>
              </w:rPr>
              <w:t xml:space="preserve">No DOI. </w:t>
            </w:r>
            <w:r w:rsidR="005C02AA">
              <w:rPr>
                <w:color w:val="000000"/>
                <w:sz w:val="19"/>
                <w:szCs w:val="19"/>
              </w:rPr>
              <w:t>page numbers missing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[4]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proofErr w:type="spellStart"/>
            <w:r>
              <w:rPr>
                <w:color w:val="000000"/>
                <w:sz w:val="19"/>
                <w:szCs w:val="19"/>
              </w:rPr>
              <w:t>Nath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(2024), Palestine J. Math., 13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Unverified</w:t>
            </w:r>
          </w:p>
        </w:tc>
        <w:tc>
          <w:tcPr>
            <w:tcW w:w="4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7F744F">
            <w:r w:rsidRPr="007F744F">
              <w:rPr>
                <w:b/>
                <w:color w:val="FF0000"/>
                <w:sz w:val="19"/>
                <w:szCs w:val="19"/>
              </w:rPr>
              <w:t xml:space="preserve">No DOI. </w:t>
            </w:r>
            <w:r w:rsidR="005C02AA">
              <w:rPr>
                <w:color w:val="000000"/>
                <w:sz w:val="19"/>
                <w:szCs w:val="19"/>
              </w:rPr>
              <w:t>or page numbers; could not be fully confirmed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[5]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proofErr w:type="spellStart"/>
            <w:r>
              <w:rPr>
                <w:color w:val="000000"/>
                <w:sz w:val="19"/>
                <w:szCs w:val="19"/>
              </w:rPr>
              <w:t>Tikekar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(2013), At Right Angles, 2(3), 5-8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EC5923"/>
        </w:tc>
        <w:tc>
          <w:tcPr>
            <w:tcW w:w="4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 xml:space="preserve">Non-standard journal; </w:t>
            </w:r>
            <w:r w:rsidR="007F744F" w:rsidRPr="007F744F">
              <w:rPr>
                <w:b/>
                <w:color w:val="FF0000"/>
                <w:sz w:val="19"/>
                <w:szCs w:val="19"/>
              </w:rPr>
              <w:t>No DOI.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[6]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proofErr w:type="spellStart"/>
            <w:r>
              <w:rPr>
                <w:color w:val="000000"/>
                <w:sz w:val="19"/>
                <w:szCs w:val="19"/>
              </w:rPr>
              <w:t>Murty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(2002), Amer. Math. Monthly, 109(5), 452-458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EC5923"/>
        </w:tc>
        <w:tc>
          <w:tcPr>
            <w:tcW w:w="4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792E9D">
            <w:r w:rsidRPr="007F744F">
              <w:rPr>
                <w:b/>
                <w:color w:val="FF0000"/>
                <w:sz w:val="19"/>
                <w:szCs w:val="19"/>
              </w:rPr>
              <w:t>No DOI.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[7]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 xml:space="preserve">Curtis &amp; </w:t>
            </w:r>
            <w:proofErr w:type="spellStart"/>
            <w:r>
              <w:rPr>
                <w:color w:val="000000"/>
                <w:sz w:val="19"/>
                <w:szCs w:val="19"/>
              </w:rPr>
              <w:t>Tularam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(2011), J. Math. Stat., 7(4), 262-269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EC5923"/>
        </w:tc>
        <w:tc>
          <w:tcPr>
            <w:tcW w:w="4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792E9D">
            <w:r w:rsidRPr="007F744F">
              <w:rPr>
                <w:b/>
                <w:color w:val="FF0000"/>
                <w:sz w:val="19"/>
                <w:szCs w:val="19"/>
              </w:rPr>
              <w:t>No DOI.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[8]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proofErr w:type="spellStart"/>
            <w:r>
              <w:rPr>
                <w:color w:val="000000"/>
                <w:sz w:val="19"/>
                <w:szCs w:val="19"/>
              </w:rPr>
              <w:t>Saidak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(2006), Amer. Math. Monthly, 113, 937-938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EC5923"/>
        </w:tc>
        <w:tc>
          <w:tcPr>
            <w:tcW w:w="4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792E9D">
            <w:r w:rsidRPr="007F744F">
              <w:rPr>
                <w:b/>
                <w:color w:val="FF0000"/>
                <w:sz w:val="19"/>
                <w:szCs w:val="19"/>
              </w:rPr>
              <w:t>No DOI.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[9]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proofErr w:type="spellStart"/>
            <w:r>
              <w:rPr>
                <w:color w:val="000000"/>
                <w:sz w:val="19"/>
                <w:szCs w:val="19"/>
              </w:rPr>
              <w:t>MacHale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(2013), Math. Gaz., 97(540), 495-498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EC5923"/>
        </w:tc>
        <w:tc>
          <w:tcPr>
            <w:tcW w:w="4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792E9D">
            <w:r w:rsidRPr="007F744F">
              <w:rPr>
                <w:b/>
                <w:color w:val="FF0000"/>
                <w:sz w:val="19"/>
                <w:szCs w:val="19"/>
              </w:rPr>
              <w:t>No DOI.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[10]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proofErr w:type="spellStart"/>
            <w:r>
              <w:rPr>
                <w:color w:val="000000"/>
                <w:sz w:val="19"/>
                <w:szCs w:val="19"/>
              </w:rPr>
              <w:t>Niven</w:t>
            </w:r>
            <w:proofErr w:type="spellEnd"/>
            <w:r>
              <w:rPr>
                <w:color w:val="000000"/>
                <w:sz w:val="19"/>
                <w:szCs w:val="19"/>
              </w:rPr>
              <w:t>, Zuckerman &amp; Montgomery (1991), 5th ed., Oxford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EC5923"/>
        </w:tc>
        <w:tc>
          <w:tcPr>
            <w:tcW w:w="4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 xml:space="preserve">Standard textbook; </w:t>
            </w:r>
            <w:r w:rsidRPr="00792E9D">
              <w:rPr>
                <w:color w:val="FF0000"/>
                <w:sz w:val="19"/>
                <w:szCs w:val="19"/>
              </w:rPr>
              <w:t>no ISBN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[11]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Burton (2010), 7th ed., McGraw-Hill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EC5923"/>
        </w:tc>
        <w:tc>
          <w:tcPr>
            <w:tcW w:w="4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Standard textbook; no ISBN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[12]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 xml:space="preserve">Washington (1997), Intro. to </w:t>
            </w:r>
            <w:proofErr w:type="spellStart"/>
            <w:r>
              <w:rPr>
                <w:color w:val="000000"/>
                <w:sz w:val="19"/>
                <w:szCs w:val="19"/>
              </w:rPr>
              <w:t>Cyclotomic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Fields, Springer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EC5923"/>
        </w:tc>
        <w:tc>
          <w:tcPr>
            <w:tcW w:w="4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 xml:space="preserve">Non-standard for </w:t>
            </w:r>
            <w:proofErr w:type="spellStart"/>
            <w:r>
              <w:rPr>
                <w:color w:val="000000"/>
                <w:sz w:val="19"/>
                <w:szCs w:val="19"/>
              </w:rPr>
              <w:t>Dirichlet's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theorem; see recommendation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[13]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URL only (Cambridge Journals)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PROBLEMATIC</w:t>
            </w:r>
          </w:p>
        </w:tc>
        <w:tc>
          <w:tcPr>
            <w:tcW w:w="4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No author/title/year. URL content about 'infinitely many composites', NOT 'highly composite numbers' as cited in text. MISMATCH.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[14]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URL only (primes.utm.edu)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PROBLEMATIC</w:t>
            </w:r>
          </w:p>
        </w:tc>
        <w:tc>
          <w:tcPr>
            <w:tcW w:w="4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No author, title, or year. Bare URL is unacceptable in a peer-reviewed journal.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[15]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proofErr w:type="spellStart"/>
            <w:r>
              <w:rPr>
                <w:color w:val="000000"/>
                <w:sz w:val="19"/>
                <w:szCs w:val="19"/>
              </w:rPr>
              <w:t>Bagni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(2004), Mediterranean J. Res. Math. Educ., 3(1-2), 21-36</w:t>
            </w:r>
          </w:p>
        </w:tc>
        <w:tc>
          <w:tcPr>
            <w:tcW w:w="1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EC5923"/>
        </w:tc>
        <w:tc>
          <w:tcPr>
            <w:tcW w:w="4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 xml:space="preserve">Obscure journal; </w:t>
            </w:r>
            <w:r w:rsidR="00792E9D" w:rsidRPr="007F744F">
              <w:rPr>
                <w:b/>
                <w:color w:val="FF0000"/>
                <w:sz w:val="19"/>
                <w:szCs w:val="19"/>
              </w:rPr>
              <w:t>No DOI.</w:t>
            </w:r>
          </w:p>
        </w:tc>
      </w:tr>
    </w:tbl>
    <w:p w:rsidR="00EC5923" w:rsidRDefault="00EC5923">
      <w:pPr>
        <w:spacing w:before="80" w:after="80"/>
      </w:pPr>
    </w:p>
    <w:p w:rsidR="00EC5923" w:rsidRDefault="005C02AA">
      <w:pPr>
        <w:spacing w:before="80" w:after="80"/>
      </w:pPr>
      <w:r>
        <w:rPr>
          <w:b/>
          <w:bCs/>
        </w:rPr>
        <w:t xml:space="preserve">Key concern -- Reference [12]: </w:t>
      </w:r>
      <w:r>
        <w:t>Washington'</w:t>
      </w:r>
      <w:r>
        <w:t xml:space="preserve">s Introduction to </w:t>
      </w:r>
      <w:proofErr w:type="spellStart"/>
      <w:r>
        <w:t>Cyclotomic</w:t>
      </w:r>
      <w:proofErr w:type="spellEnd"/>
      <w:r>
        <w:t xml:space="preserve"> Fields is a graduate algebraic number theory text. Citing it as the primary reference for </w:t>
      </w:r>
      <w:proofErr w:type="spellStart"/>
      <w:r>
        <w:t>Dirichlet's</w:t>
      </w:r>
      <w:proofErr w:type="spellEnd"/>
      <w:r>
        <w:t xml:space="preserve"> theorem is non-standard. Consider replacing with: </w:t>
      </w:r>
      <w:proofErr w:type="spellStart"/>
      <w:r>
        <w:t>Apostol</w:t>
      </w:r>
      <w:proofErr w:type="spellEnd"/>
      <w:r>
        <w:t xml:space="preserve">, T.M., </w:t>
      </w:r>
      <w:proofErr w:type="gramStart"/>
      <w:r>
        <w:t>Introduction</w:t>
      </w:r>
      <w:proofErr w:type="gramEnd"/>
      <w:r>
        <w:t xml:space="preserve"> to Analytic Number Theory, Springer, 1976; or I</w:t>
      </w:r>
      <w:r>
        <w:t>reland &amp; Rosen, A Classical Introduction to Modern Number Theory, 2nd ed., Springer, 1990.</w:t>
      </w:r>
    </w:p>
    <w:p w:rsidR="00EC5923" w:rsidRDefault="005C02AA">
      <w:pPr>
        <w:spacing w:before="80" w:after="80"/>
      </w:pPr>
      <w:r>
        <w:rPr>
          <w:b/>
          <w:bCs/>
        </w:rPr>
        <w:lastRenderedPageBreak/>
        <w:t xml:space="preserve">Key concern -- Reference [13] vs. text claim: </w:t>
      </w:r>
      <w:r>
        <w:rPr>
          <w:color w:val="A00000"/>
        </w:rPr>
        <w:t>The text cites [13] for 'properties of highly composite numbers.' The URL links to an article about 'Infinitely Many Co</w:t>
      </w:r>
      <w:r>
        <w:rPr>
          <w:color w:val="A00000"/>
        </w:rPr>
        <w:t>mposites.' These are distinct topics. This is either an incorrect reference or an incorrect in-text claim.</w:t>
      </w:r>
    </w:p>
    <w:p w:rsidR="00EC5923" w:rsidRDefault="005C02AA">
      <w:pPr>
        <w:pStyle w:val="Heading1"/>
        <w:pBdr>
          <w:bottom w:val="single" w:sz="8" w:space="4" w:color="17365D"/>
        </w:pBdr>
      </w:pPr>
      <w:r>
        <w:t xml:space="preserve">6. Discussion </w:t>
      </w:r>
      <w:proofErr w:type="gramStart"/>
      <w:r>
        <w:t>Against</w:t>
      </w:r>
      <w:proofErr w:type="gramEnd"/>
      <w:r>
        <w:t xml:space="preserve"> Prior Literature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t xml:space="preserve">The core proof strategy for Theorems 4 and 6 is presented as an adaptation of </w:t>
      </w:r>
      <w:proofErr w:type="spellStart"/>
      <w:r>
        <w:t>Saidak</w:t>
      </w:r>
      <w:proofErr w:type="spellEnd"/>
      <w:r>
        <w:t xml:space="preserve"> [8]. However, analogous arguments for primes of the form 4k+3 already appear in </w:t>
      </w:r>
      <w:proofErr w:type="spellStart"/>
      <w:r>
        <w:t>Niven</w:t>
      </w:r>
      <w:proofErr w:type="spellEnd"/>
      <w:r>
        <w:t xml:space="preserve">-Zuckerman-Montgomery [10] (Chapter 3) and Burton [11]. The paper does not adequately </w:t>
      </w:r>
      <w:r>
        <w:t>engage with these prior results.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t xml:space="preserve">The application of Fermat numbers to prove infinitude of 4k+1 primes is attributed to </w:t>
      </w:r>
      <w:proofErr w:type="spellStart"/>
      <w:r>
        <w:t>Polya</w:t>
      </w:r>
      <w:proofErr w:type="spellEnd"/>
      <w:r>
        <w:t xml:space="preserve">, but no primary </w:t>
      </w:r>
      <w:proofErr w:type="spellStart"/>
      <w:r>
        <w:t>Polya</w:t>
      </w:r>
      <w:proofErr w:type="spellEnd"/>
      <w:r>
        <w:t xml:space="preserve"> source is cited.</w:t>
      </w:r>
    </w:p>
    <w:p w:rsidR="00EC5923" w:rsidRDefault="005C02AA">
      <w:pPr>
        <w:pStyle w:val="ListParagraph"/>
        <w:numPr>
          <w:ilvl w:val="0"/>
          <w:numId w:val="2"/>
        </w:numPr>
        <w:spacing w:before="60" w:after="60"/>
      </w:pPr>
      <w:r>
        <w:t>The following sub-sections are NOT sufficiently supported by references: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>Theorem 4 (Section 2): The novelty claim is unsubstantiated relative to [10]. A direct comparison is required.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>Lemma 9 (Section 3): Stated without proof and without any reference.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proofErr w:type="spellStart"/>
      <w:r>
        <w:t>Pairwise</w:t>
      </w:r>
      <w:proofErr w:type="spellEnd"/>
      <w:r>
        <w:t xml:space="preserve"> </w:t>
      </w:r>
      <w:proofErr w:type="spellStart"/>
      <w:r>
        <w:t>coprimality</w:t>
      </w:r>
      <w:proofErr w:type="spellEnd"/>
      <w:r>
        <w:t xml:space="preserve"> of Fermat numbers (Section 3): Invoked without proof or</w:t>
      </w:r>
      <w:r>
        <w:t xml:space="preserve"> citation.</w:t>
      </w:r>
    </w:p>
    <w:p w:rsidR="00EC5923" w:rsidRDefault="005C02AA">
      <w:pPr>
        <w:pStyle w:val="Heading1"/>
        <w:pBdr>
          <w:bottom w:val="single" w:sz="8" w:space="4" w:color="17365D"/>
        </w:pBdr>
      </w:pPr>
      <w:r>
        <w:t xml:space="preserve">7. </w:t>
      </w:r>
      <w:r w:rsidR="00792E9D">
        <w:t>Sensitive</w:t>
      </w:r>
      <w:r>
        <w:t xml:space="preserve"> Comments 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>DEPTH OF CONTRIBUTION: Corollary 7 is trivial, and the conclusion does not arti</w:t>
      </w:r>
      <w:r>
        <w:t>culate a clear original contribution.</w:t>
      </w:r>
    </w:p>
    <w:p w:rsidR="00EC5923" w:rsidRDefault="00EC5923">
      <w:pPr>
        <w:spacing w:before="80" w:after="80"/>
      </w:pPr>
    </w:p>
    <w:p w:rsidR="00EC5923" w:rsidRDefault="005C02AA">
      <w:pPr>
        <w:pStyle w:val="Heading1"/>
        <w:pBdr>
          <w:bottom w:val="single" w:sz="8" w:space="4" w:color="17365D"/>
        </w:pBdr>
      </w:pPr>
      <w:r>
        <w:t xml:space="preserve">8. Comments </w:t>
      </w:r>
    </w:p>
    <w:p w:rsidR="00EC5923" w:rsidRDefault="005C02AA">
      <w:pPr>
        <w:pStyle w:val="Heading2"/>
      </w:pPr>
      <w:r>
        <w:t>A. Mathematical Issues (Must Fix)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 xml:space="preserve">[Theorem 4, p.4] The proof does not verify that N = </w:t>
      </w:r>
      <w:proofErr w:type="gramStart"/>
      <w:r>
        <w:t>n(</w:t>
      </w:r>
      <w:proofErr w:type="gramEnd"/>
      <w:r>
        <w:t>n+</w:t>
      </w:r>
      <w:r>
        <w:t>4)(n+8) is of the form 4k+3. Please add: (4a+3</w:t>
      </w:r>
      <w:proofErr w:type="gramStart"/>
      <w:r>
        <w:t>)(</w:t>
      </w:r>
      <w:proofErr w:type="gramEnd"/>
      <w:r>
        <w:t>4b+3) = 4(...)+1, then (4m+1)(4c+3) = 4(...)+3, confirming N ≡ 3 (mod 4).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 xml:space="preserve">[Theorem 6, p.5] Typographical error: '(N+6, N+12) = (N+6, N+12) = 1' repeats the same expression. Correct to show all three </w:t>
      </w:r>
      <w:proofErr w:type="spellStart"/>
      <w:r>
        <w:t>pairwise</w:t>
      </w:r>
      <w:proofErr w:type="spellEnd"/>
      <w:r>
        <w:t xml:space="preserve"> </w:t>
      </w:r>
      <w:r>
        <w:t>GCDs: (N, N+6), (N, N+12), (N+6, N+12).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>[Theorem 6, p.5] Add explicit verification that N ≡ 5 (mod 6).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 xml:space="preserve">[Lemma 9, p.6] This lemma is stated without proof and without a reference. Please cite </w:t>
      </w:r>
      <w:proofErr w:type="spellStart"/>
      <w:r>
        <w:t>Niven</w:t>
      </w:r>
      <w:proofErr w:type="spellEnd"/>
      <w:r>
        <w:t>-Zuckerman-Montgomery Theorem 5.4 or equivalent.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>[Theorem 10,</w:t>
      </w:r>
      <w:r>
        <w:t xml:space="preserve"> p.6] The formula </w:t>
      </w:r>
      <w:proofErr w:type="spellStart"/>
      <w:r>
        <w:t>F_n</w:t>
      </w:r>
      <w:proofErr w:type="spellEnd"/>
      <w:r>
        <w:t xml:space="preserve"> - 1 = (2</w:t>
      </w:r>
      <w:proofErr w:type="gramStart"/>
      <w:r>
        <w:t>^{</w:t>
      </w:r>
      <w:proofErr w:type="gramEnd"/>
      <w:r>
        <w:t>2^{n-1}})^2 holds only for n &gt;= 1 (F_0 = 3, F_0 - 1 = 2 is not a perfect square). Restrict the statement and proof to n &gt;= 1.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 xml:space="preserve">[Section 3] The </w:t>
      </w:r>
      <w:proofErr w:type="spellStart"/>
      <w:r>
        <w:t>pairwise</w:t>
      </w:r>
      <w:proofErr w:type="spellEnd"/>
      <w:r>
        <w:t xml:space="preserve"> </w:t>
      </w:r>
      <w:proofErr w:type="spellStart"/>
      <w:r>
        <w:t>coprimality</w:t>
      </w:r>
      <w:proofErr w:type="spellEnd"/>
      <w:r>
        <w:t xml:space="preserve"> of Fermat numbers is asserted without proof or citation. Please add the standard proof using </w:t>
      </w:r>
      <w:proofErr w:type="spellStart"/>
      <w:r>
        <w:t>F_n</w:t>
      </w:r>
      <w:proofErr w:type="spellEnd"/>
      <w:r>
        <w:t xml:space="preserve"> = F_0 * F_1 * ... * F</w:t>
      </w:r>
      <w:proofErr w:type="gramStart"/>
      <w:r>
        <w:t>_{</w:t>
      </w:r>
      <w:proofErr w:type="gramEnd"/>
      <w:r>
        <w:t>n-1} + 2, or cite an explicit source.</w:t>
      </w:r>
    </w:p>
    <w:p w:rsidR="00EC5923" w:rsidRDefault="005C02AA">
      <w:pPr>
        <w:pStyle w:val="Heading2"/>
      </w:pPr>
      <w:r>
        <w:t>B. Novelty and Positioning (Must Fix)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>The paper does not iden</w:t>
      </w:r>
      <w:r>
        <w:t xml:space="preserve">tify which results are genuinely new. The infinitude of 4k+3 primes is proved in </w:t>
      </w:r>
      <w:proofErr w:type="spellStart"/>
      <w:r>
        <w:t>Niven</w:t>
      </w:r>
      <w:proofErr w:type="spellEnd"/>
      <w:r>
        <w:t>-Zuckerman-Montgomery [10] and Burton [11] using closely related arguments. Please provide a precise comparison and articulate the specific novelty of the present approac</w:t>
      </w:r>
      <w:r>
        <w:t>h.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lastRenderedPageBreak/>
        <w:t>If the primary contribution is expository, please state this explicitly in the abstract and introduction.</w:t>
      </w:r>
    </w:p>
    <w:p w:rsidR="00EC5923" w:rsidRDefault="005C02AA">
      <w:pPr>
        <w:pStyle w:val="Heading2"/>
      </w:pPr>
      <w:r>
        <w:t>C. Bibliographic Issues (Must Fix)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>References [13] and [14] are bare URLs without author, title, journal, year, or pages. These must be replaced wi</w:t>
      </w:r>
      <w:r>
        <w:t>th complete bibliographic entries.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>Reference [13] is cited for 'properties of highly composite numbers,' but the URL leads to an article about 'infinitely many composites.' Please verify and correct this reference.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>Reference [4] (</w:t>
      </w:r>
      <w:proofErr w:type="spellStart"/>
      <w:r>
        <w:t>Nath</w:t>
      </w:r>
      <w:proofErr w:type="spellEnd"/>
      <w:r>
        <w:t xml:space="preserve"> 2024) lacks a DOI and</w:t>
      </w:r>
      <w:r>
        <w:t xml:space="preserve"> page numbers. Please provide complete citation details.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 xml:space="preserve">For Reference [12], consider citing a more standard reference for </w:t>
      </w:r>
      <w:proofErr w:type="spellStart"/>
      <w:r>
        <w:t>Dirichlet's</w:t>
      </w:r>
      <w:proofErr w:type="spellEnd"/>
      <w:r>
        <w:t xml:space="preserve"> theorem: </w:t>
      </w:r>
      <w:proofErr w:type="spellStart"/>
      <w:r>
        <w:t>Apostol's</w:t>
      </w:r>
      <w:proofErr w:type="spellEnd"/>
      <w:r>
        <w:t xml:space="preserve"> Introduction to Analytic Number Theory (Springer, 1976) or Ireland &amp; Rosen'</w:t>
      </w:r>
      <w:r>
        <w:t>s A Classical Introduction to Modern Number Theory (Springer, 1990).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>Please add DOIs wherever available for all journal articles.</w:t>
      </w:r>
    </w:p>
    <w:p w:rsidR="00EC5923" w:rsidRDefault="005C02AA">
      <w:pPr>
        <w:pStyle w:val="Heading2"/>
      </w:pPr>
      <w:r>
        <w:t>D. Minor Issues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 xml:space="preserve">The title 'On the Infinitude of Primes of certain types' should </w:t>
      </w:r>
      <w:proofErr w:type="spellStart"/>
      <w:r>
        <w:t>capitalise</w:t>
      </w:r>
      <w:proofErr w:type="spellEnd"/>
      <w:r>
        <w:t xml:space="preserve"> 'Certain' for consistency.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>Corollar</w:t>
      </w:r>
      <w:r>
        <w:t xml:space="preserve">y 7 is mathematically trivial. Consider providing a direct </w:t>
      </w:r>
      <w:proofErr w:type="spellStart"/>
      <w:r>
        <w:t>Saidak</w:t>
      </w:r>
      <w:proofErr w:type="spellEnd"/>
      <w:r>
        <w:t>-style proof for 3k+2 primes.</w:t>
      </w:r>
    </w:p>
    <w:p w:rsidR="00EC5923" w:rsidRDefault="005C02AA">
      <w:pPr>
        <w:pStyle w:val="ListParagraph"/>
        <w:numPr>
          <w:ilvl w:val="0"/>
          <w:numId w:val="3"/>
        </w:numPr>
        <w:spacing w:before="60" w:after="60"/>
      </w:pPr>
      <w:r>
        <w:t xml:space="preserve">The conclusion should be rewritten to clearly </w:t>
      </w:r>
      <w:proofErr w:type="spellStart"/>
      <w:r>
        <w:t>summarise</w:t>
      </w:r>
      <w:proofErr w:type="spellEnd"/>
      <w:r>
        <w:t xml:space="preserve"> contributions and propose well-posed open questions.</w:t>
      </w:r>
    </w:p>
    <w:p w:rsidR="00EC5923" w:rsidRDefault="005C02AA">
      <w:pPr>
        <w:pStyle w:val="Heading1"/>
        <w:pBdr>
          <w:bottom w:val="single" w:sz="8" w:space="4" w:color="17365D"/>
        </w:pBdr>
      </w:pPr>
      <w:r>
        <w:t>9. Summary of Issues and Recommendations</w:t>
      </w:r>
    </w:p>
    <w:p w:rsidR="00EC5923" w:rsidRDefault="00EC5923">
      <w:pPr>
        <w:spacing w:before="80" w:after="80"/>
      </w:pPr>
    </w:p>
    <w:tbl>
      <w:tblPr>
        <w:tblW w:w="936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500"/>
        <w:gridCol w:w="1600"/>
        <w:gridCol w:w="4260"/>
      </w:tblGrid>
      <w:tr w:rsidR="00EC592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7365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b/>
                <w:bCs/>
                <w:color w:val="FFFFFF"/>
                <w:sz w:val="20"/>
                <w:szCs w:val="20"/>
              </w:rPr>
              <w:t>Issue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7365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b/>
                <w:bCs/>
                <w:color w:val="FFFFFF"/>
                <w:sz w:val="20"/>
                <w:szCs w:val="20"/>
              </w:rPr>
              <w:t>Prio</w:t>
            </w:r>
            <w:r>
              <w:rPr>
                <w:b/>
                <w:bCs/>
                <w:color w:val="FFFFFF"/>
                <w:sz w:val="20"/>
                <w:szCs w:val="20"/>
              </w:rPr>
              <w:t>rity</w:t>
            </w:r>
          </w:p>
        </w:tc>
        <w:tc>
          <w:tcPr>
            <w:tcW w:w="4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7365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b/>
                <w:bCs/>
                <w:color w:val="FFFFFF"/>
                <w:sz w:val="20"/>
                <w:szCs w:val="20"/>
              </w:rPr>
              <w:t>Action Required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Missing modular verification (</w:t>
            </w:r>
            <w:proofErr w:type="spellStart"/>
            <w:r>
              <w:rPr>
                <w:color w:val="000000"/>
                <w:sz w:val="19"/>
                <w:szCs w:val="19"/>
              </w:rPr>
              <w:t>Thm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4, 6)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Critical</w:t>
            </w:r>
          </w:p>
        </w:tc>
        <w:tc>
          <w:tcPr>
            <w:tcW w:w="4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Add computation showing N ≡ 3 (mod 4) / N ≡ 5 (mod 6)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 xml:space="preserve">Typographical error in GCD, </w:t>
            </w:r>
            <w:proofErr w:type="spellStart"/>
            <w:r>
              <w:rPr>
                <w:color w:val="000000"/>
                <w:sz w:val="19"/>
                <w:szCs w:val="19"/>
              </w:rPr>
              <w:t>Thm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6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Critical</w:t>
            </w:r>
          </w:p>
        </w:tc>
        <w:tc>
          <w:tcPr>
            <w:tcW w:w="4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Correct the repeated expression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n=0 case in Theorem 10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Critical</w:t>
            </w:r>
          </w:p>
        </w:tc>
        <w:tc>
          <w:tcPr>
            <w:tcW w:w="4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Restrict proof to n &gt;</w:t>
            </w:r>
            <w:r>
              <w:rPr>
                <w:color w:val="000000"/>
                <w:sz w:val="19"/>
                <w:szCs w:val="19"/>
              </w:rPr>
              <w:t>= 1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Lemma 9 without reference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Critical</w:t>
            </w:r>
          </w:p>
        </w:tc>
        <w:tc>
          <w:tcPr>
            <w:tcW w:w="4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Add citation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 xml:space="preserve">Fermat </w:t>
            </w:r>
            <w:proofErr w:type="spellStart"/>
            <w:r>
              <w:rPr>
                <w:color w:val="000000"/>
                <w:sz w:val="19"/>
                <w:szCs w:val="19"/>
              </w:rPr>
              <w:t>coprimality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without reference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Critical</w:t>
            </w:r>
          </w:p>
        </w:tc>
        <w:tc>
          <w:tcPr>
            <w:tcW w:w="4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Add proof or citation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Novelty not clearly stated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High</w:t>
            </w:r>
          </w:p>
        </w:tc>
        <w:tc>
          <w:tcPr>
            <w:tcW w:w="4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Revise abstract and introduction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References [13], [14] as bare URLs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High</w:t>
            </w:r>
          </w:p>
        </w:tc>
        <w:tc>
          <w:tcPr>
            <w:tcW w:w="4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Replace with full bibliographic entries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Reference [13] mismatch with text claim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High</w:t>
            </w:r>
          </w:p>
        </w:tc>
        <w:tc>
          <w:tcPr>
            <w:tcW w:w="4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Correct reference or text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Reference [4] incomplete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Medium</w:t>
            </w:r>
          </w:p>
        </w:tc>
        <w:tc>
          <w:tcPr>
            <w:tcW w:w="4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Add DOI and page numbers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 xml:space="preserve">Reference [12] non-standard for </w:t>
            </w:r>
            <w:proofErr w:type="spellStart"/>
            <w:r>
              <w:rPr>
                <w:color w:val="000000"/>
                <w:sz w:val="19"/>
                <w:szCs w:val="19"/>
              </w:rPr>
              <w:t>Dirichlet</w:t>
            </w:r>
            <w:proofErr w:type="spellEnd"/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Medium</w:t>
            </w:r>
          </w:p>
        </w:tc>
        <w:tc>
          <w:tcPr>
            <w:tcW w:w="4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Consider more standard alternative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Corollary 7 is trivial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Low</w:t>
            </w:r>
          </w:p>
        </w:tc>
        <w:tc>
          <w:tcPr>
            <w:tcW w:w="4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Expand or clearly acknowledge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lastRenderedPageBreak/>
              <w:t>Conclusion too vague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Low</w:t>
            </w:r>
          </w:p>
        </w:tc>
        <w:tc>
          <w:tcPr>
            <w:tcW w:w="4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Rewrite with specific contributions and questions</w:t>
            </w:r>
          </w:p>
        </w:tc>
      </w:tr>
      <w:tr w:rsidR="00EC5923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Missing DOIs throughout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Low</w:t>
            </w:r>
          </w:p>
        </w:tc>
        <w:tc>
          <w:tcPr>
            <w:tcW w:w="4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C5923" w:rsidRDefault="005C02AA">
            <w:r>
              <w:rPr>
                <w:color w:val="000000"/>
                <w:sz w:val="19"/>
                <w:szCs w:val="19"/>
              </w:rPr>
              <w:t>Add where available</w:t>
            </w:r>
          </w:p>
        </w:tc>
      </w:tr>
    </w:tbl>
    <w:p w:rsidR="00EC5923" w:rsidRDefault="00EC5923">
      <w:pPr>
        <w:spacing w:before="80" w:after="80"/>
      </w:pPr>
    </w:p>
    <w:sectPr w:rsidR="00EC5923" w:rsidSect="00EC5923">
      <w:headerReference w:type="default" r:id="rId7"/>
      <w:footerReference w:type="default" r:id="rId8"/>
      <w:pgSz w:w="12240" w:h="15840"/>
      <w:pgMar w:top="1440" w:right="1260" w:bottom="1440" w:left="126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2AA" w:rsidRDefault="005C02AA" w:rsidP="00EC5923">
      <w:r>
        <w:separator/>
      </w:r>
    </w:p>
  </w:endnote>
  <w:endnote w:type="continuationSeparator" w:id="0">
    <w:p w:rsidR="005C02AA" w:rsidRDefault="005C02AA" w:rsidP="00EC5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923" w:rsidRDefault="005C02AA">
    <w:pPr>
      <w:pBdr>
        <w:top w:val="single" w:sz="6" w:space="4" w:color="17365D"/>
      </w:pBdr>
      <w:jc w:val="center"/>
    </w:pPr>
    <w:r>
      <w:rPr>
        <w:color w:val="888888"/>
        <w:sz w:val="18"/>
        <w:szCs w:val="18"/>
      </w:rPr>
      <w:t xml:space="preserve">Page </w:t>
    </w:r>
    <w:r w:rsidR="00EC5923"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 w:rsidR="007F744F">
      <w:rPr>
        <w:color w:val="888888"/>
        <w:sz w:val="18"/>
        <w:szCs w:val="18"/>
      </w:rPr>
      <w:fldChar w:fldCharType="separate"/>
    </w:r>
    <w:r w:rsidR="00792E9D">
      <w:rPr>
        <w:noProof/>
        <w:color w:val="888888"/>
        <w:sz w:val="18"/>
        <w:szCs w:val="18"/>
      </w:rPr>
      <w:t>7</w:t>
    </w:r>
    <w:r w:rsidR="00EC5923"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2AA" w:rsidRDefault="005C02AA" w:rsidP="00EC5923">
      <w:r>
        <w:separator/>
      </w:r>
    </w:p>
  </w:footnote>
  <w:footnote w:type="continuationSeparator" w:id="0">
    <w:p w:rsidR="005C02AA" w:rsidRDefault="005C02AA" w:rsidP="00EC5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923" w:rsidRDefault="005C02AA">
    <w:pPr>
      <w:pBdr>
        <w:bottom w:val="single" w:sz="6" w:space="4" w:color="17365D"/>
      </w:pBdr>
    </w:pPr>
    <w:r>
      <w:rPr>
        <w:color w:val="17365D"/>
        <w:sz w:val="18"/>
        <w:szCs w:val="18"/>
      </w:rPr>
      <w:t xml:space="preserve">PEER REVIEW </w:t>
    </w:r>
    <w:proofErr w:type="gramStart"/>
    <w:r>
      <w:rPr>
        <w:color w:val="17365D"/>
        <w:sz w:val="18"/>
        <w:szCs w:val="18"/>
      </w:rPr>
      <w:t>REPORT  |</w:t>
    </w:r>
    <w:proofErr w:type="gramEnd"/>
    <w:r>
      <w:rPr>
        <w:color w:val="17365D"/>
        <w:sz w:val="18"/>
        <w:szCs w:val="18"/>
      </w:rPr>
      <w:t xml:space="preserve">  MS: 2026_ARJOM_156932</w:t>
    </w:r>
    <w:r>
      <w:rPr>
        <w:color w:val="999999"/>
        <w:sz w:val="18"/>
        <w:szCs w:val="18"/>
      </w:rPr>
      <w:t xml:space="preserve">  |  CONFIDENTIAL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F2C43"/>
    <w:multiLevelType w:val="hybridMultilevel"/>
    <w:tmpl w:val="6AC46146"/>
    <w:lvl w:ilvl="0" w:tplc="2E46997E">
      <w:start w:val="1"/>
      <w:numFmt w:val="decimal"/>
      <w:lvlText w:val="%1."/>
      <w:lvlJc w:val="left"/>
      <w:pPr>
        <w:ind w:left="720" w:hanging="360"/>
      </w:pPr>
    </w:lvl>
    <w:lvl w:ilvl="1" w:tplc="0C3A6646">
      <w:numFmt w:val="decimal"/>
      <w:lvlText w:val=""/>
      <w:lvlJc w:val="left"/>
    </w:lvl>
    <w:lvl w:ilvl="2" w:tplc="121C1ACC">
      <w:numFmt w:val="decimal"/>
      <w:lvlText w:val=""/>
      <w:lvlJc w:val="left"/>
    </w:lvl>
    <w:lvl w:ilvl="3" w:tplc="634AA9B4">
      <w:numFmt w:val="decimal"/>
      <w:lvlText w:val=""/>
      <w:lvlJc w:val="left"/>
    </w:lvl>
    <w:lvl w:ilvl="4" w:tplc="0ABAE728">
      <w:numFmt w:val="decimal"/>
      <w:lvlText w:val=""/>
      <w:lvlJc w:val="left"/>
    </w:lvl>
    <w:lvl w:ilvl="5" w:tplc="98F457AA">
      <w:numFmt w:val="decimal"/>
      <w:lvlText w:val=""/>
      <w:lvlJc w:val="left"/>
    </w:lvl>
    <w:lvl w:ilvl="6" w:tplc="7B4ECE88">
      <w:numFmt w:val="decimal"/>
      <w:lvlText w:val=""/>
      <w:lvlJc w:val="left"/>
    </w:lvl>
    <w:lvl w:ilvl="7" w:tplc="E4E8495E">
      <w:numFmt w:val="decimal"/>
      <w:lvlText w:val=""/>
      <w:lvlJc w:val="left"/>
    </w:lvl>
    <w:lvl w:ilvl="8" w:tplc="EAEE4F48">
      <w:numFmt w:val="decimal"/>
      <w:lvlText w:val=""/>
      <w:lvlJc w:val="left"/>
    </w:lvl>
  </w:abstractNum>
  <w:abstractNum w:abstractNumId="1">
    <w:nsid w:val="3B9F7E39"/>
    <w:multiLevelType w:val="hybridMultilevel"/>
    <w:tmpl w:val="26B0771E"/>
    <w:lvl w:ilvl="0" w:tplc="1BF00F00">
      <w:start w:val="1"/>
      <w:numFmt w:val="bullet"/>
      <w:lvlText w:val="•"/>
      <w:lvlJc w:val="left"/>
      <w:pPr>
        <w:ind w:left="720" w:hanging="360"/>
      </w:pPr>
    </w:lvl>
    <w:lvl w:ilvl="1" w:tplc="C19644C0">
      <w:numFmt w:val="decimal"/>
      <w:lvlText w:val=""/>
      <w:lvlJc w:val="left"/>
    </w:lvl>
    <w:lvl w:ilvl="2" w:tplc="D91E1464">
      <w:numFmt w:val="decimal"/>
      <w:lvlText w:val=""/>
      <w:lvlJc w:val="left"/>
    </w:lvl>
    <w:lvl w:ilvl="3" w:tplc="967231FE">
      <w:numFmt w:val="decimal"/>
      <w:lvlText w:val=""/>
      <w:lvlJc w:val="left"/>
    </w:lvl>
    <w:lvl w:ilvl="4" w:tplc="30D0254E">
      <w:numFmt w:val="decimal"/>
      <w:lvlText w:val=""/>
      <w:lvlJc w:val="left"/>
    </w:lvl>
    <w:lvl w:ilvl="5" w:tplc="65525116">
      <w:numFmt w:val="decimal"/>
      <w:lvlText w:val=""/>
      <w:lvlJc w:val="left"/>
    </w:lvl>
    <w:lvl w:ilvl="6" w:tplc="18E67696">
      <w:numFmt w:val="decimal"/>
      <w:lvlText w:val=""/>
      <w:lvlJc w:val="left"/>
    </w:lvl>
    <w:lvl w:ilvl="7" w:tplc="D604D28A">
      <w:numFmt w:val="decimal"/>
      <w:lvlText w:val=""/>
      <w:lvlJc w:val="left"/>
    </w:lvl>
    <w:lvl w:ilvl="8" w:tplc="8F089734">
      <w:numFmt w:val="decimal"/>
      <w:lvlText w:val=""/>
      <w:lvlJc w:val="left"/>
    </w:lvl>
  </w:abstractNum>
  <w:abstractNum w:abstractNumId="2">
    <w:nsid w:val="78D4330B"/>
    <w:multiLevelType w:val="hybridMultilevel"/>
    <w:tmpl w:val="FAA6728E"/>
    <w:lvl w:ilvl="0" w:tplc="2E8283B8">
      <w:start w:val="1"/>
      <w:numFmt w:val="bullet"/>
      <w:lvlText w:val="●"/>
      <w:lvlJc w:val="left"/>
      <w:pPr>
        <w:ind w:left="720" w:hanging="360"/>
      </w:pPr>
    </w:lvl>
    <w:lvl w:ilvl="1" w:tplc="9F5AEC46">
      <w:start w:val="1"/>
      <w:numFmt w:val="bullet"/>
      <w:lvlText w:val="○"/>
      <w:lvlJc w:val="left"/>
      <w:pPr>
        <w:ind w:left="1440" w:hanging="360"/>
      </w:pPr>
    </w:lvl>
    <w:lvl w:ilvl="2" w:tplc="E41A6DDC">
      <w:start w:val="1"/>
      <w:numFmt w:val="bullet"/>
      <w:lvlText w:val="■"/>
      <w:lvlJc w:val="left"/>
      <w:pPr>
        <w:ind w:left="2160" w:hanging="360"/>
      </w:pPr>
    </w:lvl>
    <w:lvl w:ilvl="3" w:tplc="FC6099A2">
      <w:start w:val="1"/>
      <w:numFmt w:val="bullet"/>
      <w:lvlText w:val="●"/>
      <w:lvlJc w:val="left"/>
      <w:pPr>
        <w:ind w:left="2880" w:hanging="360"/>
      </w:pPr>
    </w:lvl>
    <w:lvl w:ilvl="4" w:tplc="4516E1CE">
      <w:start w:val="1"/>
      <w:numFmt w:val="bullet"/>
      <w:lvlText w:val="○"/>
      <w:lvlJc w:val="left"/>
      <w:pPr>
        <w:ind w:left="3600" w:hanging="360"/>
      </w:pPr>
    </w:lvl>
    <w:lvl w:ilvl="5" w:tplc="2E363DF8">
      <w:start w:val="1"/>
      <w:numFmt w:val="bullet"/>
      <w:lvlText w:val="■"/>
      <w:lvlJc w:val="left"/>
      <w:pPr>
        <w:ind w:left="4320" w:hanging="360"/>
      </w:pPr>
    </w:lvl>
    <w:lvl w:ilvl="6" w:tplc="A1E68D50">
      <w:start w:val="1"/>
      <w:numFmt w:val="bullet"/>
      <w:lvlText w:val="●"/>
      <w:lvlJc w:val="left"/>
      <w:pPr>
        <w:ind w:left="5040" w:hanging="360"/>
      </w:pPr>
    </w:lvl>
    <w:lvl w:ilvl="7" w:tplc="9FA89FC4">
      <w:start w:val="1"/>
      <w:numFmt w:val="bullet"/>
      <w:lvlText w:val="●"/>
      <w:lvlJc w:val="left"/>
      <w:pPr>
        <w:ind w:left="5760" w:hanging="360"/>
      </w:pPr>
    </w:lvl>
    <w:lvl w:ilvl="8" w:tplc="C8CEFB2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923"/>
    <w:rsid w:val="005C02AA"/>
    <w:rsid w:val="00792E9D"/>
    <w:rsid w:val="007F744F"/>
    <w:rsid w:val="00EC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rsid w:val="00EC5923"/>
    <w:pPr>
      <w:spacing w:before="320" w:after="160"/>
      <w:outlineLvl w:val="0"/>
    </w:pPr>
    <w:rPr>
      <w:b/>
      <w:bCs/>
      <w:color w:val="17365D"/>
      <w:sz w:val="28"/>
      <w:szCs w:val="28"/>
    </w:rPr>
  </w:style>
  <w:style w:type="paragraph" w:styleId="Heading2">
    <w:name w:val="heading 2"/>
    <w:qFormat/>
    <w:rsid w:val="00EC5923"/>
    <w:pPr>
      <w:spacing w:before="240" w:after="100"/>
      <w:outlineLvl w:val="1"/>
    </w:pPr>
    <w:rPr>
      <w:b/>
      <w:bCs/>
      <w:color w:val="17365D"/>
      <w:sz w:val="24"/>
      <w:szCs w:val="24"/>
    </w:rPr>
  </w:style>
  <w:style w:type="paragraph" w:styleId="Heading3">
    <w:name w:val="heading 3"/>
    <w:qFormat/>
    <w:rsid w:val="00EC5923"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rsid w:val="00EC5923"/>
    <w:pPr>
      <w:outlineLvl w:val="3"/>
    </w:pPr>
    <w:rPr>
      <w:i/>
      <w:iCs/>
      <w:color w:val="2E74B5"/>
    </w:rPr>
  </w:style>
  <w:style w:type="paragraph" w:styleId="Heading5">
    <w:name w:val="heading 5"/>
    <w:qFormat/>
    <w:rsid w:val="00EC5923"/>
    <w:pPr>
      <w:outlineLvl w:val="4"/>
    </w:pPr>
    <w:rPr>
      <w:color w:val="2E74B5"/>
    </w:rPr>
  </w:style>
  <w:style w:type="paragraph" w:styleId="Heading6">
    <w:name w:val="heading 6"/>
    <w:qFormat/>
    <w:rsid w:val="00EC5923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EC5923"/>
    <w:rPr>
      <w:sz w:val="56"/>
      <w:szCs w:val="56"/>
    </w:rPr>
  </w:style>
  <w:style w:type="paragraph" w:customStyle="1" w:styleId="Strong1">
    <w:name w:val="Strong1"/>
    <w:qFormat/>
    <w:rsid w:val="00EC5923"/>
    <w:rPr>
      <w:b/>
      <w:bCs/>
    </w:rPr>
  </w:style>
  <w:style w:type="paragraph" w:styleId="ListParagraph">
    <w:name w:val="List Paragraph"/>
    <w:qFormat/>
    <w:rsid w:val="00EC5923"/>
  </w:style>
  <w:style w:type="character" w:styleId="Hyperlink">
    <w:name w:val="Hyperlink"/>
    <w:uiPriority w:val="99"/>
    <w:unhideWhenUsed/>
    <w:rsid w:val="00EC5923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EC5923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EC592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sid w:val="00EC5923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C5923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EC592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sid w:val="00EC592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Managing Editor</cp:lastModifiedBy>
  <cp:revision>3</cp:revision>
  <dcterms:created xsi:type="dcterms:W3CDTF">2026-04-13T13:24:00Z</dcterms:created>
  <dcterms:modified xsi:type="dcterms:W3CDTF">2026-04-13T14:19:00Z</dcterms:modified>
</cp:coreProperties>
</file>