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FD3C7" w14:textId="77777777" w:rsidR="00EE6B42" w:rsidRDefault="00EE6B42" w:rsidP="009104CD">
      <w:pPr>
        <w:rPr>
          <w:b/>
          <w:u w:val="single"/>
        </w:rPr>
      </w:pPr>
      <w:r w:rsidRPr="00EE6B42">
        <w:rPr>
          <w:b/>
          <w:u w:val="single"/>
        </w:rPr>
        <w:t>Original Research Article</w:t>
      </w:r>
    </w:p>
    <w:p w14:paraId="270E9DB9" w14:textId="77777777" w:rsidR="00EE6B42" w:rsidRPr="00EE6B42" w:rsidRDefault="00EE6B42" w:rsidP="009104CD">
      <w:pPr>
        <w:rPr>
          <w:b/>
          <w:u w:val="single"/>
        </w:rPr>
      </w:pPr>
    </w:p>
    <w:p w14:paraId="42C4888F" w14:textId="76531CBD" w:rsidR="009104CD" w:rsidRPr="00EE6B42" w:rsidRDefault="00D7796F" w:rsidP="009104CD">
      <w:pPr>
        <w:rPr>
          <w:b/>
          <w:bCs/>
        </w:rPr>
      </w:pPr>
      <w:commentRangeStart w:id="0"/>
      <w:r w:rsidRPr="00EE6B42">
        <w:rPr>
          <w:b/>
          <w:bCs/>
        </w:rPr>
        <w:t>Ectopic pregnancy at Rivers State University Teaching Hospital: A four</w:t>
      </w:r>
      <w:r w:rsidR="00AF56AD">
        <w:rPr>
          <w:b/>
          <w:bCs/>
        </w:rPr>
        <w:t>-</w:t>
      </w:r>
      <w:r w:rsidRPr="00EE6B42">
        <w:rPr>
          <w:b/>
          <w:bCs/>
        </w:rPr>
        <w:t>year review</w:t>
      </w:r>
      <w:commentRangeEnd w:id="0"/>
      <w:r w:rsidR="00BE3860" w:rsidRPr="00EE6B42">
        <w:rPr>
          <w:rStyle w:val="CommentReference"/>
          <w:b/>
          <w:bCs/>
          <w:sz w:val="24"/>
          <w:szCs w:val="24"/>
        </w:rPr>
        <w:commentReference w:id="0"/>
      </w:r>
    </w:p>
    <w:p w14:paraId="4C6C713F" w14:textId="77777777" w:rsidR="009104CD" w:rsidRDefault="00D7796F" w:rsidP="009104CD">
      <w:pPr>
        <w:rPr>
          <w:b/>
        </w:rPr>
      </w:pPr>
      <w:r>
        <w:rPr>
          <w:b/>
        </w:rPr>
        <w:t>Abstract</w:t>
      </w:r>
    </w:p>
    <w:p w14:paraId="774153E7" w14:textId="77777777" w:rsidR="009104CD" w:rsidRDefault="00D7796F" w:rsidP="009104CD">
      <w:r>
        <w:rPr>
          <w:b/>
        </w:rPr>
        <w:t>Background</w:t>
      </w:r>
    </w:p>
    <w:p w14:paraId="203CB2D7" w14:textId="77777777" w:rsidR="009104CD" w:rsidRDefault="009104CD" w:rsidP="009104CD">
      <w:r>
        <w:t>Ectopic pregnancy remains a major contributor to maternal morbidity and mo</w:t>
      </w:r>
      <w:r w:rsidR="00D7796F">
        <w:t xml:space="preserve">rtality in the first trimester, </w:t>
      </w:r>
      <w:r>
        <w:t>especially in middle- and low-income settings where it poses as a major gynecological emergency with most patients presenting late.</w:t>
      </w:r>
    </w:p>
    <w:p w14:paraId="53A5A790" w14:textId="77777777" w:rsidR="009104CD" w:rsidRDefault="00D82B06" w:rsidP="009104CD">
      <w:r>
        <w:rPr>
          <w:b/>
        </w:rPr>
        <w:t>Methods</w:t>
      </w:r>
    </w:p>
    <w:p w14:paraId="151A27C4" w14:textId="77777777" w:rsidR="009104CD" w:rsidRDefault="009104CD" w:rsidP="009104CD">
      <w:r>
        <w:t xml:space="preserve">This is a retrospective descriptive study </w:t>
      </w:r>
      <w:r w:rsidR="00D82B06">
        <w:t>on women who had ectopic gestation over</w:t>
      </w:r>
      <w:r w:rsidR="00A87071">
        <w:t xml:space="preserve"> a period of four</w:t>
      </w:r>
      <w:r>
        <w:t xml:space="preserve"> years from January 1</w:t>
      </w:r>
      <w:r>
        <w:rPr>
          <w:vertAlign w:val="superscript"/>
        </w:rPr>
        <w:t>st</w:t>
      </w:r>
      <w:r>
        <w:t>, 2019 to 31</w:t>
      </w:r>
      <w:r>
        <w:rPr>
          <w:vertAlign w:val="superscript"/>
        </w:rPr>
        <w:t>st</w:t>
      </w:r>
      <w:r>
        <w:t xml:space="preserve"> December 2022 at RSUTH</w:t>
      </w:r>
      <w:r w:rsidR="00D82B06">
        <w:t xml:space="preserve">. A structured proforma was designed and used to extract data from </w:t>
      </w:r>
      <w:commentRangeStart w:id="1"/>
      <w:r w:rsidR="00D82B06">
        <w:t>gynaecology</w:t>
      </w:r>
      <w:commentRangeEnd w:id="1"/>
      <w:r w:rsidR="00283FCC">
        <w:rPr>
          <w:rStyle w:val="CommentReference"/>
          <w:sz w:val="24"/>
          <w:szCs w:val="24"/>
        </w:rPr>
        <w:commentReference w:id="1"/>
      </w:r>
      <w:r w:rsidR="00D82B06">
        <w:t xml:space="preserve"> ward, operating theatre registers and the hospital medical records. Data was entered and analyzed using the statistical package for social sciences (SPSS) IBM version 25.0 (Armonk, NY). Continuous variables are expressed in means</w:t>
      </w:r>
      <w:r w:rsidR="008C460F">
        <w:t xml:space="preserve"> </w:t>
      </w:r>
      <w:r w:rsidR="00D82B06" w:rsidRPr="00D82B06">
        <w:rPr>
          <w:u w:val="single"/>
        </w:rPr>
        <w:t>+</w:t>
      </w:r>
      <w:r w:rsidR="00D82B06">
        <w:t>standard deviations and categorical variables are recorded in frequencies and percentages. Chi square test was used for association between patients’ characteristics, their clinical presentation and estimated blood loss with p value at &lt;0.05.</w:t>
      </w:r>
    </w:p>
    <w:p w14:paraId="277445A0" w14:textId="77777777" w:rsidR="009104CD" w:rsidRDefault="00D82B06" w:rsidP="009104CD">
      <w:r>
        <w:rPr>
          <w:b/>
        </w:rPr>
        <w:t>Results</w:t>
      </w:r>
    </w:p>
    <w:p w14:paraId="329FC02D" w14:textId="77777777" w:rsidR="009104CD" w:rsidRDefault="00D723C6" w:rsidP="009104CD">
      <w:r>
        <w:t>T</w:t>
      </w:r>
      <w:r w:rsidR="009104CD">
        <w:t>he prevalence of ectopic pregnancy was 1.1% of all deliveries and 3.7% of all gynaecological admission. Most of the patients who had ectopic pregnancy were amongst the age group 26-36 years, nulliparous, unemployed and single. The Mean age</w:t>
      </w:r>
      <m:oMath>
        <m:r>
          <w:rPr>
            <w:rFonts w:ascii="Cambria Math" w:hAnsi="Cambria Math"/>
          </w:rPr>
          <m:t>±</m:t>
        </m:r>
      </m:oMath>
      <w:r w:rsidR="009104CD">
        <w:t xml:space="preserve"> SD was 30.28 </w:t>
      </w:r>
      <m:oMath>
        <m:r>
          <w:rPr>
            <w:rFonts w:ascii="Cambria Math" w:hAnsi="Cambria Math"/>
          </w:rPr>
          <m:t>±</m:t>
        </m:r>
      </m:oMath>
      <w:r w:rsidR="009104CD">
        <w:t xml:space="preserve"> 4.96</w:t>
      </w:r>
      <w:r w:rsidR="00D82B06">
        <w:t xml:space="preserve"> </w:t>
      </w:r>
      <w:r w:rsidR="009104CD">
        <w:t>years. The history of pelvic inflammatory disease was the most common risk factor</w:t>
      </w:r>
      <w:r>
        <w:t>; 50.5%</w:t>
      </w:r>
      <w:r w:rsidR="009104CD">
        <w:t>. Majority of the patients</w:t>
      </w:r>
      <w:r>
        <w:t>, 97%</w:t>
      </w:r>
      <w:r w:rsidR="009104CD">
        <w:t xml:space="preserve"> had ruptured ectopic pregnancy, </w:t>
      </w:r>
      <w:r w:rsidR="006117BD">
        <w:t xml:space="preserve">85% had </w:t>
      </w:r>
      <w:r w:rsidR="009104CD">
        <w:t>estimated blood loss of at least 500mls and required blood transfusions. Only 2 deaths were recorded in the study.</w:t>
      </w:r>
    </w:p>
    <w:p w14:paraId="359C48E7" w14:textId="77777777" w:rsidR="009104CD" w:rsidRDefault="00D723C6" w:rsidP="009104CD">
      <w:r>
        <w:rPr>
          <w:b/>
        </w:rPr>
        <w:t>Conclusion</w:t>
      </w:r>
    </w:p>
    <w:p w14:paraId="47A5957E" w14:textId="77777777" w:rsidR="00CD0FD8" w:rsidRDefault="009104CD" w:rsidP="009104CD">
      <w:r>
        <w:t>The prevalence of ectopic pregnancy was relative</w:t>
      </w:r>
      <w:r w:rsidR="008C460F">
        <w:t>ly high with the ruptured cases</w:t>
      </w:r>
      <w:r>
        <w:t xml:space="preserve"> in majority of the patients.</w:t>
      </w:r>
      <w:r w:rsidR="008C460F">
        <w:t xml:space="preserve"> </w:t>
      </w:r>
      <w:r>
        <w:t xml:space="preserve">There is need for increased enlightenment of the community on the </w:t>
      </w:r>
      <w:r w:rsidR="008C460F">
        <w:t xml:space="preserve">disease and its risk factors. </w:t>
      </w:r>
    </w:p>
    <w:p w14:paraId="3664D8DE" w14:textId="77777777" w:rsidR="00052064" w:rsidRDefault="00052064" w:rsidP="009104CD">
      <w:pPr>
        <w:rPr>
          <w:b/>
        </w:rPr>
      </w:pPr>
    </w:p>
    <w:p w14:paraId="55E08B2C" w14:textId="77777777" w:rsidR="00052064" w:rsidRDefault="00052064" w:rsidP="009104CD">
      <w:pPr>
        <w:rPr>
          <w:b/>
        </w:rPr>
      </w:pPr>
      <w:commentRangeStart w:id="2"/>
      <w:r w:rsidRPr="00052064">
        <w:rPr>
          <w:b/>
        </w:rPr>
        <w:t>Keywords</w:t>
      </w:r>
      <w:commentRangeEnd w:id="2"/>
      <w:r w:rsidR="00283FCC">
        <w:rPr>
          <w:rStyle w:val="CommentReference"/>
          <w:b/>
          <w:sz w:val="24"/>
          <w:szCs w:val="24"/>
        </w:rPr>
        <w:commentReference w:id="2"/>
      </w:r>
    </w:p>
    <w:p w14:paraId="2247FE9D" w14:textId="77777777" w:rsidR="00052064" w:rsidRPr="00052064" w:rsidRDefault="00052064" w:rsidP="009104CD">
      <w:r w:rsidRPr="00052064">
        <w:t>Ectopic gestation</w:t>
      </w:r>
      <w:r>
        <w:t xml:space="preserve">, prevalence, risk factors, outcome, maternal morbidity and mortality  </w:t>
      </w:r>
    </w:p>
    <w:p w14:paraId="3EFF8887" w14:textId="77777777" w:rsidR="00CD0FD8" w:rsidRDefault="00CD0FD8" w:rsidP="009104CD"/>
    <w:p w14:paraId="6C25856C" w14:textId="77777777" w:rsidR="009104CD" w:rsidRPr="00B3799C" w:rsidRDefault="004F02D9" w:rsidP="009104CD">
      <w:pPr>
        <w:rPr>
          <w:b/>
        </w:rPr>
      </w:pPr>
      <w:r>
        <w:rPr>
          <w:b/>
        </w:rPr>
        <w:t>1. INTRODUCTION</w:t>
      </w:r>
    </w:p>
    <w:p w14:paraId="767C6D07" w14:textId="74771F97" w:rsidR="009104CD" w:rsidRDefault="009104CD" w:rsidP="009104CD">
      <w:commentRangeStart w:id="3"/>
      <w:r>
        <w:lastRenderedPageBreak/>
        <w:t xml:space="preserve">Ectopic pregnancy has been found to be the most common </w:t>
      </w:r>
      <w:commentRangeEnd w:id="3"/>
      <w:r w:rsidR="00442025">
        <w:rPr>
          <w:rStyle w:val="CommentReference"/>
          <w:sz w:val="24"/>
          <w:szCs w:val="24"/>
        </w:rPr>
        <w:commentReference w:id="3"/>
      </w:r>
      <w:r>
        <w:t xml:space="preserve">contributor to maternal death in the first trimester of pregnancy. </w:t>
      </w:r>
      <w:r>
        <w:rPr>
          <w:vertAlign w:val="superscript"/>
        </w:rPr>
        <w:t>1,2</w:t>
      </w:r>
      <w:r>
        <w:t xml:space="preserve"> Rupture of ectopic pregnancy is a major gynaecological emergency in developing countries</w:t>
      </w:r>
      <w:r w:rsidR="00442025">
        <w:t>,</w:t>
      </w:r>
      <w:r>
        <w:t xml:space="preserve"> with most patients presenting late. </w:t>
      </w:r>
      <w:r>
        <w:rPr>
          <w:vertAlign w:val="superscript"/>
        </w:rPr>
        <w:t>2,3,4</w:t>
      </w:r>
      <w:r w:rsidR="007F4802">
        <w:t xml:space="preserve"> </w:t>
      </w:r>
      <w:r>
        <w:t>Ectopic pregnancies take place in 1% - 2% of all pregnancies worldwide.</w:t>
      </w:r>
      <w:r>
        <w:rPr>
          <w:vertAlign w:val="superscript"/>
        </w:rPr>
        <w:t>5,6</w:t>
      </w:r>
      <w:r>
        <w:t xml:space="preserve"> Recent research has shown that the prevalence of ectopic pregnancy has tremendously increased in the last three decades globally, especially in developing nations like Nigeria</w:t>
      </w:r>
      <w:r w:rsidR="00442025">
        <w:t>,</w:t>
      </w:r>
      <w:r>
        <w:t xml:space="preserve"> where early diagnosis is low. </w:t>
      </w:r>
      <w:r>
        <w:rPr>
          <w:vertAlign w:val="superscript"/>
        </w:rPr>
        <w:t>7,8</w:t>
      </w:r>
      <w:r>
        <w:t xml:space="preserve"> This can be attributed to the innovation in assisted reproductive technology (ART), increasing risks of pelvic infections, tubal surgical procedures, use of intrauterine devices and improvement in diagnostic techniques, making early detection possible.</w:t>
      </w:r>
      <w:r>
        <w:rPr>
          <w:vertAlign w:val="superscript"/>
        </w:rPr>
        <w:t>2,4,8</w:t>
      </w:r>
      <w:r w:rsidR="000962B0">
        <w:t xml:space="preserve"> In sub-Saharan Africa, poor documentation of cases makes the incidence rate</w:t>
      </w:r>
      <w:r>
        <w:t xml:space="preserve"> difficult to ascertain.</w:t>
      </w:r>
      <w:r>
        <w:rPr>
          <w:vertAlign w:val="superscript"/>
        </w:rPr>
        <w:t>5,6,7</w:t>
      </w:r>
      <w:r>
        <w:t xml:space="preserve"> However, hospital-based studies have shown that the case fatality rate of ectopic pregnancy is about 1-3%,which is 10 times higher than in developed nations.</w:t>
      </w:r>
      <w:r>
        <w:rPr>
          <w:vertAlign w:val="superscript"/>
        </w:rPr>
        <w:t>6</w:t>
      </w:r>
      <w:r>
        <w:t xml:space="preserve"> Rupture of ectopic pregnancy is said to cause about 9%-14% of maternal demise on the first trimester of cyesis and contributes 5-10% of all pregnancy-related deaths.</w:t>
      </w:r>
      <w:r>
        <w:rPr>
          <w:vertAlign w:val="superscript"/>
        </w:rPr>
        <w:t>8</w:t>
      </w:r>
      <w:r>
        <w:t xml:space="preserve"> It is usually associated with profuse intra</w:t>
      </w:r>
      <w:r w:rsidR="003D1D29">
        <w:t>-</w:t>
      </w:r>
      <w:r>
        <w:t xml:space="preserve">abdominal haemorrhage which can be catastrophic. </w:t>
      </w:r>
      <w:r>
        <w:rPr>
          <w:vertAlign w:val="superscript"/>
        </w:rPr>
        <w:t>3,6.</w:t>
      </w:r>
      <w:r>
        <w:t xml:space="preserve"> </w:t>
      </w:r>
    </w:p>
    <w:p w14:paraId="1E6F9BDB" w14:textId="77777777" w:rsidR="009104CD" w:rsidRDefault="009104CD" w:rsidP="009104CD"/>
    <w:p w14:paraId="3ABAF335" w14:textId="77777777" w:rsidR="009104CD" w:rsidRDefault="009104CD" w:rsidP="009104CD">
      <w:r>
        <w:t xml:space="preserve">Ectopic pregnancy is defined as the abnormal implantation of a conceptus outside the normal endometrial lining of the uterus. </w:t>
      </w:r>
      <w:r>
        <w:rPr>
          <w:vertAlign w:val="superscript"/>
        </w:rPr>
        <w:t>2,6</w:t>
      </w:r>
      <w:r>
        <w:t xml:space="preserve"> The most common site of implantation is the fallopian tubes which occurs in about 98% of cases. </w:t>
      </w:r>
      <w:r>
        <w:rPr>
          <w:vertAlign w:val="superscript"/>
        </w:rPr>
        <w:t>1,3,4</w:t>
      </w:r>
      <w:r>
        <w:t xml:space="preserve"> Other sites of implantation include; cervix, ovary, broad ligament, interstitium within the uterine wall. </w:t>
      </w:r>
      <w:r>
        <w:rPr>
          <w:vertAlign w:val="superscript"/>
        </w:rPr>
        <w:t>6,9,10</w:t>
      </w:r>
      <w:r>
        <w:t xml:space="preserve"> In the fallopian tube, the ampulla (70%) is the most common site of implantation followed by the isthmus (12%), fimbriae (11%), and interstitial (2-3%). </w:t>
      </w:r>
      <w:r>
        <w:rPr>
          <w:vertAlign w:val="superscript"/>
        </w:rPr>
        <w:t>3,11</w:t>
      </w:r>
      <w:r w:rsidR="004978D9">
        <w:t xml:space="preserve"> The ampulla</w:t>
      </w:r>
      <w:r>
        <w:t xml:space="preserve"> portion of the fallopian tube is more distensible than other </w:t>
      </w:r>
      <w:r w:rsidR="003962D3">
        <w:t xml:space="preserve">parts, this may account for the </w:t>
      </w:r>
      <w:r>
        <w:t xml:space="preserve">increased occurrence. </w:t>
      </w:r>
    </w:p>
    <w:p w14:paraId="3110F925" w14:textId="77777777" w:rsidR="00CD281F" w:rsidRDefault="00CD281F" w:rsidP="009104CD">
      <w:r>
        <w:t xml:space="preserve">The fallopian tube is the site of oocyte fertilization, the migration of the fertilized oocyte to the uterine cavity for implantation is mediated by the fallopian tube smooth muscles and cilia. Fallopian tube inflammation and/or dysfunction are implicated in oocyte retention and subsequent ectopic pregnancies. </w:t>
      </w:r>
      <w:r>
        <w:rPr>
          <w:vertAlign w:val="superscript"/>
        </w:rPr>
        <w:t>3,7</w:t>
      </w:r>
      <w:r w:rsidR="00A9094F">
        <w:t xml:space="preserve"> </w:t>
      </w:r>
      <w:r w:rsidR="007F4802">
        <w:t>Other</w:t>
      </w:r>
      <w:r>
        <w:t xml:space="preserve"> factors such as infections, immun</w:t>
      </w:r>
      <w:r w:rsidR="007F4802">
        <w:t xml:space="preserve">ologic, toxic and hormonal can induce inflammation. </w:t>
      </w:r>
      <w:r w:rsidR="007F4802" w:rsidRPr="007F4802">
        <w:rPr>
          <w:vertAlign w:val="superscript"/>
        </w:rPr>
        <w:t>12,14</w:t>
      </w:r>
    </w:p>
    <w:p w14:paraId="7332BF74" w14:textId="77777777" w:rsidR="009104CD" w:rsidRDefault="009104CD" w:rsidP="009104CD">
      <w:r>
        <w:t xml:space="preserve">About half of females diagnosed with ectopic pregnancy have no identifiable risk factors (7). However, several risk factors have been implicated. Risk factors are classified into high risk, moderate risk, and low risk. </w:t>
      </w:r>
      <w:r w:rsidR="00A9094F">
        <w:rPr>
          <w:vertAlign w:val="superscript"/>
        </w:rPr>
        <w:t>4,7,15,16</w:t>
      </w:r>
      <w:r>
        <w:t xml:space="preserve">. </w:t>
      </w:r>
    </w:p>
    <w:p w14:paraId="7CE7BC20" w14:textId="77777777" w:rsidR="00032F71" w:rsidRDefault="009104CD" w:rsidP="00F35B72">
      <w:r>
        <w:t>The clinical presentation of patients who have ectopic pregnancy vary widely and are said to be depe</w:t>
      </w:r>
      <w:r w:rsidR="00022D0E">
        <w:t xml:space="preserve">ndent on the </w:t>
      </w:r>
      <w:r>
        <w:t>gestational age, location of the gestational sac and whether or not the gestational sac has ruptured.</w:t>
      </w:r>
      <w:r w:rsidR="00022D0E">
        <w:t xml:space="preserve"> </w:t>
      </w:r>
      <w:r>
        <w:t xml:space="preserve">The classical triad of ectopic pregnancy is secondary amenorrhea, </w:t>
      </w:r>
      <w:r>
        <w:lastRenderedPageBreak/>
        <w:t>vaginal bleeding in th</w:t>
      </w:r>
      <w:r w:rsidR="002740A7">
        <w:t>e first trimester and abdominal</w:t>
      </w:r>
      <w:r>
        <w:t xml:space="preserve"> pain. </w:t>
      </w:r>
      <w:r>
        <w:rPr>
          <w:vertAlign w:val="superscript"/>
        </w:rPr>
        <w:t>2,6,12</w:t>
      </w:r>
      <w:r>
        <w:t>. This is usually seen in about 40% of patients with interstitial or cornual ectopic pregnancies.</w:t>
      </w:r>
      <w:r>
        <w:rPr>
          <w:vertAlign w:val="superscript"/>
        </w:rPr>
        <w:t>8,14,15</w:t>
      </w:r>
      <w:r>
        <w:t xml:space="preserve"> This poses a great challenge to the gynaecologist in making a diagnosis prior to rupture. </w:t>
      </w:r>
      <w:r>
        <w:rPr>
          <w:vertAlign w:val="superscript"/>
        </w:rPr>
        <w:t>8,14</w:t>
      </w:r>
      <w:r w:rsidR="00022D0E">
        <w:t xml:space="preserve"> Patients with</w:t>
      </w:r>
      <w:r>
        <w:t xml:space="preserve"> </w:t>
      </w:r>
      <w:r w:rsidR="00022D0E">
        <w:t>ruptured ectopic gestation</w:t>
      </w:r>
      <w:r>
        <w:t xml:space="preserve"> may present with acute abdominal pain radiating to the shoulders, abdomin</w:t>
      </w:r>
      <w:r w:rsidR="009B6EEF">
        <w:t xml:space="preserve">al guarding, hypovolemic shock and </w:t>
      </w:r>
      <w:r>
        <w:t xml:space="preserve">syncope. </w:t>
      </w:r>
      <w:r>
        <w:rPr>
          <w:vertAlign w:val="superscript"/>
        </w:rPr>
        <w:t>8,14,17</w:t>
      </w:r>
      <w:r>
        <w:t xml:space="preserve"> </w:t>
      </w:r>
      <w:r w:rsidR="00F35B72">
        <w:t xml:space="preserve"> </w:t>
      </w:r>
    </w:p>
    <w:p w14:paraId="6129028C" w14:textId="2AD9AFC2" w:rsidR="00F35B72" w:rsidRDefault="00F35B72" w:rsidP="00F35B72">
      <w:r>
        <w:t xml:space="preserve">Physical examination as well as evaluation of vital signs to assess for tachycardia and hypotension are necessary. Palpating a gravid uterus may suggest pregnancy, </w:t>
      </w:r>
      <w:r w:rsidR="006A5EC0">
        <w:t>it</w:t>
      </w:r>
      <w:r>
        <w:t xml:space="preserve"> does not exclude other pathologies such as progressed ectopic pregnancy or heterot</w:t>
      </w:r>
      <w:r w:rsidR="00442025">
        <w:t>op</w:t>
      </w:r>
      <w:r>
        <w:t xml:space="preserve">ic pregnancy. Bimanual pelvic examination additionally allows for palpation of </w:t>
      </w:r>
      <w:r w:rsidR="00442025">
        <w:t xml:space="preserve">the </w:t>
      </w:r>
      <w:r>
        <w:t>bilateral adnexa to assess for any abnormal masses, structures</w:t>
      </w:r>
      <w:r w:rsidR="00442025">
        <w:t>,</w:t>
      </w:r>
      <w:r>
        <w:t xml:space="preserve"> or to elicit adnexal tenderness.</w:t>
      </w:r>
    </w:p>
    <w:p w14:paraId="7D53967D" w14:textId="321A025E" w:rsidR="007F4802" w:rsidRDefault="007F4802" w:rsidP="007F4802">
      <w:r>
        <w:t>Suspicion of an ectopic pregnancy begins following a positive serum human chorionic gonad</w:t>
      </w:r>
      <w:r w:rsidR="00442025">
        <w:t>otrop</w:t>
      </w:r>
      <w:r>
        <w:t xml:space="preserve">in (hCG) assay with the absence of </w:t>
      </w:r>
      <w:r w:rsidR="00442025">
        <w:t xml:space="preserve">a </w:t>
      </w:r>
      <w:r>
        <w:t xml:space="preserve">definitive intrauterine gestational sac diagnosed by ultrasound. </w:t>
      </w:r>
      <w:r w:rsidR="002740A7">
        <w:rPr>
          <w:vertAlign w:val="superscript"/>
        </w:rPr>
        <w:t>8,18-22</w:t>
      </w:r>
      <w:r>
        <w:t xml:space="preserve"> B-hCG is produced by the syncytio</w:t>
      </w:r>
      <w:r w:rsidR="00442025">
        <w:t>-</w:t>
      </w:r>
      <w:r>
        <w:t>trophoblasts, which are detected in the blood by the second week of pregnancy and its measurement is crucial to clarify both the location and prognosis of the pregnancy.</w:t>
      </w:r>
      <w:r>
        <w:rPr>
          <w:vertAlign w:val="superscript"/>
        </w:rPr>
        <w:t>5,7</w:t>
      </w:r>
    </w:p>
    <w:p w14:paraId="0AC12D41" w14:textId="5D36DCF1" w:rsidR="007F4802" w:rsidRDefault="007F4802" w:rsidP="007F4802">
      <w:r>
        <w:t xml:space="preserve">Transvaginal ultrasound imaging is crucial in </w:t>
      </w:r>
      <w:r w:rsidR="00442025">
        <w:t xml:space="preserve">the </w:t>
      </w:r>
      <w:r>
        <w:t xml:space="preserve">diagnosis of suspected ectopic pregnancy. </w:t>
      </w:r>
      <w:r>
        <w:rPr>
          <w:vertAlign w:val="superscript"/>
        </w:rPr>
        <w:t>11,16</w:t>
      </w:r>
      <w:r>
        <w:t xml:space="preserve"> Serial examination with </w:t>
      </w:r>
      <w:r w:rsidR="000F68F8">
        <w:t xml:space="preserve">transvaginal imaging, serum B-hCG </w:t>
      </w:r>
      <w:r>
        <w:t>measurements</w:t>
      </w:r>
      <w:r w:rsidR="00442025">
        <w:t>,</w:t>
      </w:r>
      <w:r>
        <w:t xml:space="preserve"> or both </w:t>
      </w:r>
      <w:r w:rsidR="00442025">
        <w:t>is</w:t>
      </w:r>
      <w:r>
        <w:t xml:space="preserve"> necessary for confirmation of </w:t>
      </w:r>
      <w:r w:rsidR="00442025">
        <w:t xml:space="preserve">the </w:t>
      </w:r>
      <w:r>
        <w:t xml:space="preserve">diagnosis of ectopic pregnancy. The best diagnostic confirmation of an ectopic pregnancy comes through identifying a fetal heartbeat outside of the uterine cavity on ultrasound imaging. </w:t>
      </w:r>
      <w:r w:rsidR="00486FB2">
        <w:rPr>
          <w:vertAlign w:val="superscript"/>
        </w:rPr>
        <w:t>11</w:t>
      </w:r>
      <w:r>
        <w:t>. When radiologic imaging fails to confirm the presence of an ectopic pregnancy adequately, direct visualization of the suspicious mass can occur via diagnostic laparoscopy. Direct laparoscopy may not identify very small ectopic pregnancies or those located in caesarean scars.</w:t>
      </w:r>
      <w:r>
        <w:rPr>
          <w:vertAlign w:val="superscript"/>
        </w:rPr>
        <w:t>16</w:t>
      </w:r>
    </w:p>
    <w:p w14:paraId="2FF1C332" w14:textId="40045EC8" w:rsidR="007F4802" w:rsidRDefault="007F4802" w:rsidP="007F4802">
      <w:r>
        <w:t xml:space="preserve">Other investigations that would be carried out in </w:t>
      </w:r>
      <w:r w:rsidR="00442025">
        <w:t>the</w:t>
      </w:r>
      <w:r>
        <w:t xml:space="preserve"> </w:t>
      </w:r>
      <w:r w:rsidR="00442025">
        <w:t>work</w:t>
      </w:r>
      <w:r>
        <w:t>up of a patient suspected to have ectopic pregnancy include the packed cell volume (</w:t>
      </w:r>
      <w:r w:rsidR="00442025">
        <w:t>PCV</w:t>
      </w:r>
      <w:r>
        <w:t>), full blood count with differential</w:t>
      </w:r>
      <w:r w:rsidR="00442025">
        <w:t>,</w:t>
      </w:r>
      <w:r>
        <w:t xml:space="preserve"> as well as determination of the blood group in case urgent blood transfusion is indicated. </w:t>
      </w:r>
      <w:r>
        <w:rPr>
          <w:vertAlign w:val="superscript"/>
        </w:rPr>
        <w:t>7</w:t>
      </w:r>
      <w:r>
        <w:t xml:space="preserve"> </w:t>
      </w:r>
    </w:p>
    <w:p w14:paraId="68DA31EC" w14:textId="650BEB3C" w:rsidR="009104CD" w:rsidRDefault="009104CD" w:rsidP="009104CD">
      <w:r>
        <w:t>Definitive diagnosis for these patients is usually made intraoperatively.</w:t>
      </w:r>
      <w:r>
        <w:rPr>
          <w:vertAlign w:val="superscript"/>
        </w:rPr>
        <w:t>14,15</w:t>
      </w:r>
      <w:r>
        <w:t xml:space="preserve"> Differential diagnosis of ectopic pregnancy includes complicated ovarian or adnexal cyst, tubo-ovarian abscess, appendicitis</w:t>
      </w:r>
      <w:r w:rsidR="00442025">
        <w:t>,</w:t>
      </w:r>
      <w:r>
        <w:t xml:space="preserve"> and ovar</w:t>
      </w:r>
      <w:r w:rsidR="002740A7">
        <w:t xml:space="preserve">ian </w:t>
      </w:r>
      <w:r w:rsidR="00442025">
        <w:t>hyperstimulation</w:t>
      </w:r>
      <w:r w:rsidR="002740A7">
        <w:t xml:space="preserve"> syndrome.</w:t>
      </w:r>
      <w:r>
        <w:t xml:space="preserve"> Others are incomplete miscarria</w:t>
      </w:r>
      <w:r w:rsidR="0015086F">
        <w:t>ge, pelvic inflammatory disease</w:t>
      </w:r>
      <w:r w:rsidR="00442025">
        <w:t>,</w:t>
      </w:r>
      <w:r w:rsidR="0015086F">
        <w:t xml:space="preserve"> and</w:t>
      </w:r>
      <w:r>
        <w:t xml:space="preserve"> ureteral calculi.</w:t>
      </w:r>
      <w:r w:rsidR="002740A7">
        <w:rPr>
          <w:vertAlign w:val="superscript"/>
        </w:rPr>
        <w:t>3,18,23,24</w:t>
      </w:r>
    </w:p>
    <w:p w14:paraId="15BA25FF" w14:textId="2A7C5E7F" w:rsidR="009104CD" w:rsidRDefault="009104CD" w:rsidP="009104CD">
      <w:r>
        <w:t>Treatment can either be non-surgical or surgical</w:t>
      </w:r>
      <w:r w:rsidR="00021E85">
        <w:t>.</w:t>
      </w:r>
      <w:r>
        <w:t xml:space="preserve"> </w:t>
      </w:r>
      <w:r w:rsidR="00021E85">
        <w:rPr>
          <w:vertAlign w:val="superscript"/>
        </w:rPr>
        <w:t>2</w:t>
      </w:r>
      <w:r w:rsidR="00021E85">
        <w:t xml:space="preserve"> N</w:t>
      </w:r>
      <w:r>
        <w:t>on-surgical treatment include</w:t>
      </w:r>
      <w:r w:rsidR="00442025">
        <w:t>s</w:t>
      </w:r>
      <w:r>
        <w:t>; expectant management, systemic methotrexate administration and local injections.</w:t>
      </w:r>
      <w:r w:rsidR="00021E85">
        <w:rPr>
          <w:vertAlign w:val="superscript"/>
        </w:rPr>
        <w:t>5,13</w:t>
      </w:r>
      <w:r>
        <w:t xml:space="preserve"> The risk of non-surgical treatment includes subsequent rupture and life-threatening hemorrhage.</w:t>
      </w:r>
      <w:r w:rsidR="00021E85">
        <w:rPr>
          <w:vertAlign w:val="superscript"/>
        </w:rPr>
        <w:t>3</w:t>
      </w:r>
      <w:r>
        <w:t xml:space="preserve"> Surgical treatment is indicated in ruptured ectopic pregnancies, hemodynamic instabilities, when non</w:t>
      </w:r>
      <w:r w:rsidR="00021E85">
        <w:t>-</w:t>
      </w:r>
      <w:r>
        <w:lastRenderedPageBreak/>
        <w:t>surgical treatment fails or is not feasible.</w:t>
      </w:r>
      <w:r w:rsidR="00021E85">
        <w:rPr>
          <w:vertAlign w:val="superscript"/>
        </w:rPr>
        <w:t>7</w:t>
      </w:r>
      <w:r w:rsidR="00021E85">
        <w:t xml:space="preserve"> </w:t>
      </w:r>
      <w:r>
        <w:t>The decision of which modality to pursue is guided by the patient’s clinical features, their laboratory findings, serial βhCG levels and radiological imaging</w:t>
      </w:r>
      <w:r w:rsidR="00442025">
        <w:t>,</w:t>
      </w:r>
      <w:r>
        <w:t xml:space="preserve"> as well as the patients well informed choice after having reviewed the risk and the benefit with each procedure. </w:t>
      </w:r>
    </w:p>
    <w:p w14:paraId="21505366" w14:textId="1DA5B911" w:rsidR="009104CD" w:rsidRDefault="009104CD" w:rsidP="009104CD">
      <w:r>
        <w:t>Laparoscopy is the gold standard for surgical treatment of ectopic pregnancy for fast recovery, minimal hospital stay</w:t>
      </w:r>
      <w:r w:rsidR="00442025">
        <w:t>,</w:t>
      </w:r>
      <w:r>
        <w:t xml:space="preserve"> and cost. The surgical methods used for </w:t>
      </w:r>
      <w:r w:rsidR="00442025">
        <w:t xml:space="preserve">the </w:t>
      </w:r>
      <w:r>
        <w:t>treatment of ectopic pregnancy include salpingostomy</w:t>
      </w:r>
      <w:r w:rsidR="00841B20">
        <w:t>, salpingotomy</w:t>
      </w:r>
      <w:r w:rsidR="00442025">
        <w:t>,</w:t>
      </w:r>
      <w:r w:rsidR="00841B20">
        <w:t xml:space="preserve"> and</w:t>
      </w:r>
      <w:r>
        <w:t xml:space="preserve"> </w:t>
      </w:r>
      <w:r w:rsidR="00841B20">
        <w:t>salpingectomy.</w:t>
      </w:r>
      <w:r w:rsidR="00841B20">
        <w:rPr>
          <w:vertAlign w:val="superscript"/>
        </w:rPr>
        <w:t>4</w:t>
      </w:r>
      <w:r w:rsidR="00841B20">
        <w:t xml:space="preserve"> </w:t>
      </w:r>
      <w:r>
        <w:t>The decision of which method to carry out would</w:t>
      </w:r>
      <w:r w:rsidR="00841B20">
        <w:t xml:space="preserve"> depend on the following</w:t>
      </w:r>
      <w:r w:rsidR="00442025">
        <w:t>:</w:t>
      </w:r>
      <w:r>
        <w:t xml:space="preserve"> the patient’s clinical status, the extent of fallopian tube compromise, the state of t</w:t>
      </w:r>
      <w:r w:rsidR="00841B20">
        <w:t>he contralateral fallopian tube</w:t>
      </w:r>
      <w:r w:rsidR="00442025">
        <w:t>,</w:t>
      </w:r>
      <w:r w:rsidR="00841B20">
        <w:t xml:space="preserve"> and</w:t>
      </w:r>
      <w:r>
        <w:t xml:space="preserve"> the desired future fertility.</w:t>
      </w:r>
      <w:r w:rsidR="00841B20">
        <w:rPr>
          <w:vertAlign w:val="superscript"/>
        </w:rPr>
        <w:t>12</w:t>
      </w:r>
      <w:r>
        <w:t xml:space="preserve"> Prognosis </w:t>
      </w:r>
      <w:r w:rsidR="00841B20">
        <w:t>of ectopic gestation depends</w:t>
      </w:r>
      <w:r>
        <w:t xml:space="preserve"> on early recognition and timely intervention.</w:t>
      </w:r>
      <w:r w:rsidR="00841B20">
        <w:rPr>
          <w:vertAlign w:val="superscript"/>
        </w:rPr>
        <w:t>9</w:t>
      </w:r>
    </w:p>
    <w:p w14:paraId="219C2688" w14:textId="3145AC8F" w:rsidR="009104CD" w:rsidRDefault="00442025" w:rsidP="009104CD">
      <w:r>
        <w:t>The m</w:t>
      </w:r>
      <w:r w:rsidR="009104CD">
        <w:t xml:space="preserve">ajority (80%) of the </w:t>
      </w:r>
      <w:r w:rsidR="0001090E">
        <w:t xml:space="preserve">referred </w:t>
      </w:r>
      <w:r w:rsidR="009104CD">
        <w:t>cases of</w:t>
      </w:r>
      <w:r w:rsidR="0001090E">
        <w:t xml:space="preserve"> ectopic pregnancies</w:t>
      </w:r>
      <w:r w:rsidR="009104CD">
        <w:t xml:space="preserve"> present after the ectopic pregnancy has ruptured, leading to an increased risk of hemodynamic instability and ultimately death.</w:t>
      </w:r>
      <w:r w:rsidR="0001090E">
        <w:t xml:space="preserve"> </w:t>
      </w:r>
      <w:r w:rsidR="009104CD">
        <w:t>It therefore bec</w:t>
      </w:r>
      <w:r>
        <w:t>o</w:t>
      </w:r>
      <w:r w:rsidR="0001090E">
        <w:t>me</w:t>
      </w:r>
      <w:r w:rsidR="00C4718A">
        <w:t>s</w:t>
      </w:r>
      <w:r w:rsidR="0001090E">
        <w:t xml:space="preserve"> necessary</w:t>
      </w:r>
      <w:r w:rsidR="009104CD">
        <w:t xml:space="preserve"> to ascertain the prevalence, predisposing factors as well as the outcome of ectopic pregnancies among women attending the Rivers State University Teaching Hospital, so as to foster adequate management protocol, and curb the deleterious consequences of the condition.</w:t>
      </w:r>
    </w:p>
    <w:p w14:paraId="435F8901" w14:textId="77777777" w:rsidR="00F41A4D" w:rsidRDefault="00F41A4D" w:rsidP="009104CD"/>
    <w:p w14:paraId="7E7EE4E7" w14:textId="77777777" w:rsidR="009104CD" w:rsidRDefault="004F02D9" w:rsidP="009104CD">
      <w:pPr>
        <w:rPr>
          <w:b/>
        </w:rPr>
      </w:pPr>
      <w:r>
        <w:rPr>
          <w:b/>
        </w:rPr>
        <w:t>2. METHODOLOGY</w:t>
      </w:r>
    </w:p>
    <w:p w14:paraId="65206648" w14:textId="77777777" w:rsidR="0005087A" w:rsidRDefault="0005087A" w:rsidP="0005087A">
      <w:r>
        <w:rPr>
          <w:b/>
        </w:rPr>
        <w:t>STUDY DESIGN</w:t>
      </w:r>
    </w:p>
    <w:p w14:paraId="2700B572" w14:textId="58F9B866" w:rsidR="0005087A" w:rsidRDefault="0005087A" w:rsidP="0005087A">
      <w:r>
        <w:t>A cross-sectional retrospective review of all patients managed at Rivers State University Teaching Hospital for ectopic pregnancy between 1</w:t>
      </w:r>
      <w:r>
        <w:rPr>
          <w:vertAlign w:val="superscript"/>
        </w:rPr>
        <w:t>st</w:t>
      </w:r>
      <w:r>
        <w:t xml:space="preserve"> January, 2019 and 31</w:t>
      </w:r>
      <w:r>
        <w:rPr>
          <w:vertAlign w:val="superscript"/>
        </w:rPr>
        <w:t>st</w:t>
      </w:r>
      <w:r>
        <w:t xml:space="preserve"> December 2022 to determine the prevalence, risk factors</w:t>
      </w:r>
      <w:r w:rsidR="00442025">
        <w:t>,</w:t>
      </w:r>
      <w:r>
        <w:t xml:space="preserve"> and outcome of these pregnancies.</w:t>
      </w:r>
    </w:p>
    <w:p w14:paraId="613D8F5C" w14:textId="77777777" w:rsidR="0005087A" w:rsidRDefault="0005087A" w:rsidP="0005087A">
      <w:r>
        <w:rPr>
          <w:b/>
        </w:rPr>
        <w:t>STUDY LOCATION</w:t>
      </w:r>
    </w:p>
    <w:p w14:paraId="11B19810" w14:textId="77393F1F" w:rsidR="0005087A" w:rsidRDefault="0005087A" w:rsidP="0005087A">
      <w:r>
        <w:t>Port Harcourt is the capital city of Rivers State in southern Nigeria. It is located along the Bonny River and in the oil</w:t>
      </w:r>
      <w:r w:rsidR="00442025">
        <w:t>-</w:t>
      </w:r>
      <w:r>
        <w:t>rich Niger Delta region. The RS</w:t>
      </w:r>
      <w:r w:rsidR="003D291D">
        <w:t xml:space="preserve">UTH is a tertiary hospital and </w:t>
      </w:r>
      <w:r>
        <w:t>serves as a referral centre covering the neighbouring States (Bayelsa, Akwa-Ibom, Abia</w:t>
      </w:r>
      <w:r w:rsidR="00442025">
        <w:t>,</w:t>
      </w:r>
      <w:r>
        <w:t xml:space="preserve"> and Imo States). It is a public hospital under the Rivers State Ministry of Health (RSMoH). It also serves as a teaching hospital for undergraduate students of both the Rivers State University (RSU) and the Peter and Mary Odili University of Clinical Sciences (PAMO)</w:t>
      </w:r>
      <w:r w:rsidR="00442025">
        <w:t>,</w:t>
      </w:r>
      <w:r>
        <w:t xml:space="preserve"> and postgraduate students in the various specialties.</w:t>
      </w:r>
    </w:p>
    <w:p w14:paraId="652356E8" w14:textId="77777777" w:rsidR="0005087A" w:rsidRDefault="0005087A" w:rsidP="0005087A">
      <w:r>
        <w:rPr>
          <w:b/>
        </w:rPr>
        <w:t xml:space="preserve">STUDY SITE </w:t>
      </w:r>
    </w:p>
    <w:p w14:paraId="17C9EBDC" w14:textId="6E2ABE2E" w:rsidR="0005087A" w:rsidRDefault="0005087A" w:rsidP="0005087A">
      <w:r>
        <w:t>The Obstetrics and Gynaecology department of RSUTH offers all outpatient, inpatient</w:t>
      </w:r>
      <w:r w:rsidR="00442025">
        <w:t>,</w:t>
      </w:r>
      <w:r>
        <w:t xml:space="preserve"> and emergency obstetrics and gynaecology care services. It is made up of four (4) clinics: Antenatal, Postnatal, </w:t>
      </w:r>
      <w:r w:rsidR="00187223">
        <w:t>Gynaecology</w:t>
      </w:r>
      <w:r w:rsidR="00442025">
        <w:t>,</w:t>
      </w:r>
      <w:r>
        <w:t xml:space="preserve"> and Family planning.</w:t>
      </w:r>
    </w:p>
    <w:p w14:paraId="386A07C7" w14:textId="7266FC60" w:rsidR="0005087A" w:rsidRDefault="0005087A" w:rsidP="0005087A">
      <w:r>
        <w:lastRenderedPageBreak/>
        <w:t>The folder number</w:t>
      </w:r>
      <w:r w:rsidR="003D15D1">
        <w:t>s</w:t>
      </w:r>
      <w:r>
        <w:t xml:space="preserve"> of the patients who had ectopic pregnancy were obtained from the theatre and </w:t>
      </w:r>
      <w:r w:rsidR="00187223">
        <w:t>gynaecology</w:t>
      </w:r>
      <w:r>
        <w:t xml:space="preserve"> ward registers for the study period</w:t>
      </w:r>
      <w:r w:rsidR="003D291D">
        <w:t xml:space="preserve">, following permission </w:t>
      </w:r>
      <w:r w:rsidR="00F63389">
        <w:t>obtained from the Head of Department. T</w:t>
      </w:r>
      <w:r>
        <w:t xml:space="preserve">he delivery (both vaginal and caesarean) and </w:t>
      </w:r>
      <w:r w:rsidR="003D15D1">
        <w:t>the gynae</w:t>
      </w:r>
      <w:r w:rsidR="003D291D">
        <w:t>cology admission</w:t>
      </w:r>
      <w:r>
        <w:t xml:space="preserve"> registers</w:t>
      </w:r>
      <w:r w:rsidR="00F63389">
        <w:t xml:space="preserve"> were also retrieved</w:t>
      </w:r>
      <w:r>
        <w:t>.</w:t>
      </w:r>
      <w:r w:rsidR="00F63389">
        <w:t xml:space="preserve"> </w:t>
      </w:r>
      <w:r>
        <w:t>The folders were retrieved from the rec</w:t>
      </w:r>
      <w:r w:rsidR="00F63389">
        <w:t>ords department of the hospital</w:t>
      </w:r>
      <w:r w:rsidR="003D15D1">
        <w:t>,</w:t>
      </w:r>
      <w:r w:rsidR="00F63389">
        <w:t xml:space="preserve"> and</w:t>
      </w:r>
      <w:r>
        <w:t xml:space="preserve"> data of all women who had ectopic pregnancy were collated from the folders using a predesigned proforma and analyzed with Statistical Package for Social Sciences (SPSS) version</w:t>
      </w:r>
      <w:r w:rsidR="00F63389">
        <w:t xml:space="preserve"> 25</w:t>
      </w:r>
      <w:r>
        <w:t>.</w:t>
      </w:r>
    </w:p>
    <w:p w14:paraId="56B92140" w14:textId="62432E6C" w:rsidR="002D2B63" w:rsidRDefault="00F63389" w:rsidP="002D2B63">
      <w:pPr>
        <w:rPr>
          <w:b/>
        </w:rPr>
      </w:pPr>
      <w:r>
        <w:rPr>
          <w:b/>
        </w:rPr>
        <w:t xml:space="preserve">3. </w:t>
      </w:r>
      <w:r w:rsidRPr="00F63389">
        <w:rPr>
          <w:b/>
        </w:rPr>
        <w:t>RESULTS</w:t>
      </w:r>
      <w:r w:rsidR="00E13773">
        <w:rPr>
          <w:b/>
        </w:rPr>
        <w:t xml:space="preserve"> &amp;</w:t>
      </w:r>
      <w:r w:rsidR="00E13773" w:rsidRPr="00E13773">
        <w:t xml:space="preserve"> </w:t>
      </w:r>
      <w:r w:rsidR="00E13773" w:rsidRPr="00E13773">
        <w:rPr>
          <w:b/>
        </w:rPr>
        <w:t>DISCUSSION</w:t>
      </w:r>
    </w:p>
    <w:p w14:paraId="173D8ACA" w14:textId="2FD8C5AB" w:rsidR="00F36EA5" w:rsidRPr="002D2B63" w:rsidRDefault="002D2B63" w:rsidP="002D2B63">
      <w:pPr>
        <w:rPr>
          <w:b/>
        </w:rPr>
      </w:pPr>
      <w:r w:rsidRPr="002D2B63">
        <w:t>A</w:t>
      </w:r>
      <w:r w:rsidR="00F36EA5">
        <w:t xml:space="preserve"> total of 82 cases of ectopic pregna</w:t>
      </w:r>
      <w:r w:rsidR="00581957">
        <w:t>ncy were seen in the study cent</w:t>
      </w:r>
      <w:r w:rsidR="00F36EA5">
        <w:t>r</w:t>
      </w:r>
      <w:r w:rsidR="00581957">
        <w:t>e</w:t>
      </w:r>
      <w:r w:rsidR="00F36EA5">
        <w:t xml:space="preserve"> throughout the study period</w:t>
      </w:r>
      <w:r w:rsidR="003D15D1">
        <w:t>;</w:t>
      </w:r>
      <w:r w:rsidR="00F36EA5">
        <w:t xml:space="preserve"> only 79 case files of ectopic pregnancy were available with complete information for the study</w:t>
      </w:r>
      <w:r w:rsidR="003D15D1">
        <w:t>,</w:t>
      </w:r>
      <w:r w:rsidR="00F36EA5">
        <w:t xml:space="preserve"> giving a retrieval rate of 96.3%</w:t>
      </w:r>
      <w:r w:rsidR="004D5E48">
        <w:t>,</w:t>
      </w:r>
      <w:r w:rsidR="00F36EA5">
        <w:t xml:space="preserve"> and they were used for further analysis.</w:t>
      </w:r>
    </w:p>
    <w:p w14:paraId="2F02287F" w14:textId="3F10E73A" w:rsidR="00F36EA5" w:rsidRDefault="00581957" w:rsidP="00F36EA5">
      <w:r>
        <w:t>A</w:t>
      </w:r>
      <w:r w:rsidR="00F36EA5">
        <w:t xml:space="preserve"> total of 7326 deliveries and 2088 gyn</w:t>
      </w:r>
      <w:r w:rsidR="00806A00">
        <w:t>a</w:t>
      </w:r>
      <w:r w:rsidR="00F36EA5">
        <w:t>ecological admissions were noted in the delivery register and gyn</w:t>
      </w:r>
      <w:r w:rsidR="00806A00">
        <w:t>a</w:t>
      </w:r>
      <w:r w:rsidR="00F36EA5">
        <w:t>ecology admission register, respectively</w:t>
      </w:r>
      <w:r w:rsidR="004D5E48">
        <w:t>,</w:t>
      </w:r>
      <w:r w:rsidR="00D273B3">
        <w:t xml:space="preserve"> for the study period</w:t>
      </w:r>
      <w:r w:rsidR="004D5E48">
        <w:t>,</w:t>
      </w:r>
      <w:r w:rsidR="00D273B3">
        <w:t xml:space="preserve"> giving</w:t>
      </w:r>
      <w:r w:rsidR="00F36EA5">
        <w:t xml:space="preserve"> a prevalence rate of 1.1% of all deliveries and 3.9% of all gyn</w:t>
      </w:r>
      <w:r w:rsidR="00806A00">
        <w:t>a</w:t>
      </w:r>
      <w:r w:rsidR="00F36EA5">
        <w:t>ecological admissions.</w:t>
      </w:r>
    </w:p>
    <w:p w14:paraId="00D86410" w14:textId="77777777" w:rsidR="00F36EA5" w:rsidRDefault="00F36EA5" w:rsidP="00F36EA5"/>
    <w:p w14:paraId="088357B6" w14:textId="77777777" w:rsidR="00085175" w:rsidRDefault="00085175" w:rsidP="00F36EA5">
      <w:pPr>
        <w:rPr>
          <w:b/>
        </w:rPr>
      </w:pPr>
    </w:p>
    <w:p w14:paraId="31C8A6CE" w14:textId="77777777" w:rsidR="00085175" w:rsidRDefault="00085175" w:rsidP="00F36EA5">
      <w:pPr>
        <w:rPr>
          <w:b/>
        </w:rPr>
      </w:pPr>
    </w:p>
    <w:p w14:paraId="79B3E8F6" w14:textId="77777777" w:rsidR="00085175" w:rsidRDefault="00085175" w:rsidP="00F36EA5">
      <w:pPr>
        <w:rPr>
          <w:b/>
        </w:rPr>
      </w:pPr>
    </w:p>
    <w:p w14:paraId="05FD2FCD" w14:textId="77777777" w:rsidR="00085175" w:rsidRDefault="00085175" w:rsidP="00F36EA5">
      <w:pPr>
        <w:rPr>
          <w:b/>
        </w:rPr>
      </w:pPr>
    </w:p>
    <w:p w14:paraId="5D1F8218" w14:textId="77777777" w:rsidR="00085175" w:rsidRDefault="00085175" w:rsidP="00F36EA5">
      <w:pPr>
        <w:rPr>
          <w:b/>
        </w:rPr>
      </w:pPr>
    </w:p>
    <w:p w14:paraId="1CCEBC85" w14:textId="77777777" w:rsidR="00085175" w:rsidRDefault="00085175" w:rsidP="00F36EA5">
      <w:pPr>
        <w:rPr>
          <w:b/>
        </w:rPr>
      </w:pPr>
    </w:p>
    <w:p w14:paraId="42230013" w14:textId="77777777" w:rsidR="00085175" w:rsidRDefault="00085175" w:rsidP="00F36EA5">
      <w:pPr>
        <w:rPr>
          <w:b/>
        </w:rPr>
      </w:pPr>
    </w:p>
    <w:p w14:paraId="53C6B6DD" w14:textId="77777777" w:rsidR="00085175" w:rsidRDefault="00085175" w:rsidP="00F36EA5">
      <w:pPr>
        <w:rPr>
          <w:b/>
        </w:rPr>
      </w:pPr>
    </w:p>
    <w:p w14:paraId="09620D96" w14:textId="77777777" w:rsidR="00085175" w:rsidRDefault="00085175" w:rsidP="00F36EA5">
      <w:pPr>
        <w:rPr>
          <w:b/>
        </w:rPr>
      </w:pPr>
    </w:p>
    <w:p w14:paraId="11AFEA0B" w14:textId="77777777" w:rsidR="00085175" w:rsidRDefault="00085175" w:rsidP="00F36EA5">
      <w:pPr>
        <w:rPr>
          <w:b/>
        </w:rPr>
      </w:pPr>
    </w:p>
    <w:p w14:paraId="24B26477" w14:textId="77777777" w:rsidR="00085175" w:rsidRDefault="00085175" w:rsidP="00F36EA5">
      <w:pPr>
        <w:rPr>
          <w:b/>
        </w:rPr>
      </w:pPr>
    </w:p>
    <w:p w14:paraId="7C4C5D71" w14:textId="77777777" w:rsidR="004D5E48" w:rsidRDefault="004D5E48" w:rsidP="00F36EA5">
      <w:pPr>
        <w:rPr>
          <w:b/>
        </w:rPr>
      </w:pPr>
    </w:p>
    <w:p w14:paraId="429B40F3" w14:textId="77777777" w:rsidR="004D5E48" w:rsidRDefault="004D5E48" w:rsidP="00F36EA5">
      <w:pPr>
        <w:rPr>
          <w:b/>
        </w:rPr>
      </w:pPr>
    </w:p>
    <w:p w14:paraId="749EF6CD" w14:textId="77777777" w:rsidR="004D5E48" w:rsidRDefault="004D5E48" w:rsidP="00F36EA5">
      <w:pPr>
        <w:rPr>
          <w:b/>
        </w:rPr>
      </w:pPr>
    </w:p>
    <w:p w14:paraId="6E8C1398" w14:textId="77777777" w:rsidR="004D5E48" w:rsidRDefault="004D5E48" w:rsidP="00F36EA5">
      <w:pPr>
        <w:rPr>
          <w:b/>
        </w:rPr>
      </w:pPr>
    </w:p>
    <w:p w14:paraId="2738731F" w14:textId="77777777" w:rsidR="004D5E48" w:rsidRDefault="004D5E48" w:rsidP="00F36EA5">
      <w:pPr>
        <w:rPr>
          <w:b/>
        </w:rPr>
      </w:pPr>
    </w:p>
    <w:p w14:paraId="4C8DDB7D" w14:textId="77777777" w:rsidR="004D5E48" w:rsidRDefault="004D5E48" w:rsidP="00F36EA5">
      <w:pPr>
        <w:rPr>
          <w:b/>
        </w:rPr>
      </w:pPr>
    </w:p>
    <w:p w14:paraId="6407B707" w14:textId="77777777" w:rsidR="004D5E48" w:rsidRDefault="004D5E48" w:rsidP="00F36EA5">
      <w:pPr>
        <w:rPr>
          <w:b/>
        </w:rPr>
      </w:pPr>
    </w:p>
    <w:p w14:paraId="6AC4F31C" w14:textId="77777777" w:rsidR="00085175" w:rsidRDefault="00085175" w:rsidP="00F36EA5">
      <w:pPr>
        <w:rPr>
          <w:b/>
        </w:rPr>
      </w:pPr>
    </w:p>
    <w:p w14:paraId="20AF56C2" w14:textId="77777777" w:rsidR="00F36EA5" w:rsidRDefault="00FF2BC7" w:rsidP="00F36EA5">
      <w:pPr>
        <w:rPr>
          <w:b/>
        </w:rPr>
      </w:pPr>
      <w:commentRangeStart w:id="4"/>
      <w:r>
        <w:rPr>
          <w:b/>
        </w:rPr>
        <w:lastRenderedPageBreak/>
        <w:t xml:space="preserve">Table 1. </w:t>
      </w:r>
      <w:commentRangeEnd w:id="4"/>
      <w:r w:rsidR="00646C9E">
        <w:rPr>
          <w:rStyle w:val="CommentReference"/>
          <w:b/>
          <w:sz w:val="24"/>
          <w:szCs w:val="24"/>
        </w:rPr>
        <w:commentReference w:id="4"/>
      </w:r>
      <w:r w:rsidR="00085175">
        <w:rPr>
          <w:b/>
        </w:rPr>
        <w:t>Socio-demographic characteristics of participants</w:t>
      </w:r>
    </w:p>
    <w:p w14:paraId="01A02560" w14:textId="77777777" w:rsidR="00F36EA5" w:rsidRDefault="00F36EA5" w:rsidP="00F36EA5">
      <w:r>
        <w:t>Mean age</w:t>
      </w:r>
      <m:oMath>
        <m:r>
          <w:rPr>
            <w:rFonts w:ascii="Cambria Math" w:hAnsi="Cambria Math"/>
          </w:rPr>
          <m:t>±</m:t>
        </m:r>
      </m:oMath>
      <w:r>
        <w:t xml:space="preserve"> SD=30.28 </w:t>
      </w:r>
      <m:oMath>
        <m:r>
          <w:rPr>
            <w:rFonts w:ascii="Cambria Math" w:hAnsi="Cambria Math"/>
          </w:rPr>
          <m:t>±</m:t>
        </m:r>
      </m:oMath>
      <w:r>
        <w:t xml:space="preserve"> 4.96</w:t>
      </w:r>
      <w:r w:rsidR="00187223">
        <w:t xml:space="preserve"> years</w:t>
      </w:r>
    </w:p>
    <w:tbl>
      <w:tblPr>
        <w:tblW w:w="7395" w:type="dxa"/>
        <w:tblInd w:w="-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
        <w:gridCol w:w="1530"/>
        <w:gridCol w:w="1350"/>
        <w:gridCol w:w="1350"/>
        <w:gridCol w:w="1710"/>
        <w:gridCol w:w="1440"/>
      </w:tblGrid>
      <w:tr w:rsidR="00F7049B" w14:paraId="42C8FF64" w14:textId="77777777" w:rsidTr="00F7049B">
        <w:trPr>
          <w:trHeight w:val="606"/>
        </w:trPr>
        <w:tc>
          <w:tcPr>
            <w:tcW w:w="1545" w:type="dxa"/>
            <w:gridSpan w:val="2"/>
          </w:tcPr>
          <w:p w14:paraId="77C67FA1" w14:textId="77777777" w:rsidR="00F36EA5" w:rsidRDefault="00F36EA5" w:rsidP="0042054D">
            <w:r>
              <w:t>Age (years)</w:t>
            </w:r>
          </w:p>
        </w:tc>
        <w:tc>
          <w:tcPr>
            <w:tcW w:w="1350" w:type="dxa"/>
          </w:tcPr>
          <w:p w14:paraId="151B46B1" w14:textId="77777777" w:rsidR="00F36EA5" w:rsidRDefault="00F36EA5" w:rsidP="0042054D">
            <w:r>
              <w:t>Frequency</w:t>
            </w:r>
          </w:p>
        </w:tc>
        <w:tc>
          <w:tcPr>
            <w:tcW w:w="1350" w:type="dxa"/>
          </w:tcPr>
          <w:p w14:paraId="5273B56A" w14:textId="77777777" w:rsidR="00F36EA5" w:rsidRDefault="00F36EA5" w:rsidP="0042054D">
            <w:r>
              <w:t>Percent</w:t>
            </w:r>
            <w:r w:rsidR="00230CEE">
              <w:t xml:space="preserve"> </w:t>
            </w:r>
            <w:r>
              <w:t>(%)</w:t>
            </w:r>
          </w:p>
        </w:tc>
        <w:tc>
          <w:tcPr>
            <w:tcW w:w="1710" w:type="dxa"/>
          </w:tcPr>
          <w:p w14:paraId="3C03776E" w14:textId="77777777" w:rsidR="00F36EA5" w:rsidRDefault="00F36EA5" w:rsidP="0042054D">
            <w:r>
              <w:t>Valid percent (%)</w:t>
            </w:r>
          </w:p>
        </w:tc>
        <w:tc>
          <w:tcPr>
            <w:tcW w:w="1440" w:type="dxa"/>
          </w:tcPr>
          <w:p w14:paraId="6C097B38" w14:textId="77777777" w:rsidR="00F36EA5" w:rsidRDefault="00F36EA5" w:rsidP="0042054D">
            <w:commentRangeStart w:id="5"/>
            <w:r>
              <w:t>Cumulative percent (%)</w:t>
            </w:r>
            <w:commentRangeEnd w:id="5"/>
            <w:r w:rsidR="00646C9E">
              <w:rPr>
                <w:rStyle w:val="CommentReference"/>
                <w:sz w:val="24"/>
                <w:szCs w:val="24"/>
              </w:rPr>
              <w:commentReference w:id="5"/>
            </w:r>
          </w:p>
        </w:tc>
      </w:tr>
      <w:tr w:rsidR="00F7049B" w14:paraId="0701A09C" w14:textId="77777777" w:rsidTr="00F7049B">
        <w:trPr>
          <w:trHeight w:val="2456"/>
        </w:trPr>
        <w:tc>
          <w:tcPr>
            <w:tcW w:w="1545" w:type="dxa"/>
            <w:gridSpan w:val="2"/>
          </w:tcPr>
          <w:p w14:paraId="33FA7679" w14:textId="77777777" w:rsidR="00F36EA5" w:rsidRDefault="00F36EA5" w:rsidP="0042054D">
            <w:r>
              <w:t>21-25</w:t>
            </w:r>
          </w:p>
          <w:p w14:paraId="2A9FBCF3" w14:textId="77777777" w:rsidR="00F36EA5" w:rsidRDefault="00F36EA5" w:rsidP="0042054D">
            <w:r>
              <w:t>26-30</w:t>
            </w:r>
          </w:p>
          <w:p w14:paraId="4D208A92" w14:textId="77777777" w:rsidR="00F36EA5" w:rsidRDefault="00F36EA5" w:rsidP="0042054D">
            <w:r>
              <w:t>31-35</w:t>
            </w:r>
          </w:p>
          <w:p w14:paraId="7470EA23" w14:textId="77777777" w:rsidR="00F36EA5" w:rsidRDefault="00F36EA5" w:rsidP="0042054D">
            <w:r>
              <w:t>36-40</w:t>
            </w:r>
          </w:p>
          <w:p w14:paraId="2AD33E85" w14:textId="77777777" w:rsidR="00F36EA5" w:rsidRDefault="00F36EA5" w:rsidP="0042054D"/>
          <w:p w14:paraId="05124D43" w14:textId="77777777" w:rsidR="000016B4" w:rsidRDefault="000016B4" w:rsidP="0042054D"/>
          <w:p w14:paraId="2A2AA7C2" w14:textId="77777777" w:rsidR="000016B4" w:rsidRDefault="000016B4" w:rsidP="0042054D"/>
        </w:tc>
        <w:tc>
          <w:tcPr>
            <w:tcW w:w="1350" w:type="dxa"/>
          </w:tcPr>
          <w:p w14:paraId="41727B98" w14:textId="77777777" w:rsidR="00F36EA5" w:rsidRDefault="00F36EA5" w:rsidP="0042054D">
            <w:r>
              <w:t>14</w:t>
            </w:r>
          </w:p>
          <w:p w14:paraId="5FFC3FF2" w14:textId="77777777" w:rsidR="00F36EA5" w:rsidRDefault="00F36EA5" w:rsidP="0042054D">
            <w:r>
              <w:t>30</w:t>
            </w:r>
          </w:p>
          <w:p w14:paraId="6B2E1CEC" w14:textId="77777777" w:rsidR="00F36EA5" w:rsidRDefault="00F36EA5" w:rsidP="0042054D">
            <w:r>
              <w:t>20</w:t>
            </w:r>
          </w:p>
          <w:p w14:paraId="63188D28" w14:textId="77777777" w:rsidR="00F36EA5" w:rsidRDefault="00F36EA5" w:rsidP="0042054D">
            <w:r>
              <w:t>15</w:t>
            </w:r>
          </w:p>
        </w:tc>
        <w:tc>
          <w:tcPr>
            <w:tcW w:w="1350" w:type="dxa"/>
          </w:tcPr>
          <w:p w14:paraId="3FEC2873" w14:textId="77777777" w:rsidR="00F36EA5" w:rsidRDefault="00F36EA5" w:rsidP="0042054D">
            <w:r>
              <w:t>17.7</w:t>
            </w:r>
          </w:p>
          <w:p w14:paraId="61D89359" w14:textId="77777777" w:rsidR="00F36EA5" w:rsidRDefault="00F36EA5" w:rsidP="0042054D">
            <w:r>
              <w:t>38.0</w:t>
            </w:r>
          </w:p>
          <w:p w14:paraId="4C99B9CA" w14:textId="77777777" w:rsidR="00F36EA5" w:rsidRDefault="00F36EA5" w:rsidP="0042054D">
            <w:r>
              <w:t>25.3</w:t>
            </w:r>
          </w:p>
          <w:p w14:paraId="407948E8" w14:textId="77777777" w:rsidR="00F36EA5" w:rsidRDefault="00F36EA5" w:rsidP="0042054D">
            <w:r>
              <w:t>19.0</w:t>
            </w:r>
          </w:p>
          <w:p w14:paraId="07EED3E9" w14:textId="77777777" w:rsidR="00F36EA5" w:rsidRDefault="00F36EA5" w:rsidP="0042054D"/>
        </w:tc>
        <w:tc>
          <w:tcPr>
            <w:tcW w:w="1710" w:type="dxa"/>
          </w:tcPr>
          <w:p w14:paraId="70444D23" w14:textId="77777777" w:rsidR="00F36EA5" w:rsidRDefault="00F36EA5" w:rsidP="0042054D">
            <w:r>
              <w:t>17.7</w:t>
            </w:r>
          </w:p>
          <w:p w14:paraId="07501A19" w14:textId="77777777" w:rsidR="00F36EA5" w:rsidRDefault="00F36EA5" w:rsidP="0042054D">
            <w:r>
              <w:t>38.0</w:t>
            </w:r>
          </w:p>
          <w:p w14:paraId="2705F797" w14:textId="77777777" w:rsidR="00F36EA5" w:rsidRDefault="00F36EA5" w:rsidP="0042054D">
            <w:r>
              <w:t>25.3</w:t>
            </w:r>
          </w:p>
          <w:p w14:paraId="2AF832C6" w14:textId="77777777" w:rsidR="00F36EA5" w:rsidRDefault="00F36EA5" w:rsidP="0042054D">
            <w:r>
              <w:t>19.0</w:t>
            </w:r>
          </w:p>
          <w:p w14:paraId="0EC0A462" w14:textId="77777777" w:rsidR="00F36EA5" w:rsidRDefault="00F36EA5" w:rsidP="0042054D"/>
        </w:tc>
        <w:tc>
          <w:tcPr>
            <w:tcW w:w="1440" w:type="dxa"/>
          </w:tcPr>
          <w:p w14:paraId="0F6EFDE6" w14:textId="77777777" w:rsidR="00F36EA5" w:rsidRDefault="00F36EA5" w:rsidP="0042054D">
            <w:r>
              <w:t>17.7</w:t>
            </w:r>
          </w:p>
          <w:p w14:paraId="300F202C" w14:textId="77777777" w:rsidR="00F36EA5" w:rsidRDefault="00F36EA5" w:rsidP="0042054D">
            <w:r>
              <w:t>55.7</w:t>
            </w:r>
          </w:p>
          <w:p w14:paraId="4F51F3A0" w14:textId="77777777" w:rsidR="00F36EA5" w:rsidRDefault="00F36EA5" w:rsidP="0042054D">
            <w:r>
              <w:t>81.0</w:t>
            </w:r>
          </w:p>
          <w:p w14:paraId="15FC3172" w14:textId="77777777" w:rsidR="00F36EA5" w:rsidRDefault="00F36EA5" w:rsidP="0042054D">
            <w:r>
              <w:t>100.0</w:t>
            </w:r>
          </w:p>
        </w:tc>
      </w:tr>
      <w:tr w:rsidR="000016B4" w14:paraId="5F3BB836" w14:textId="77777777" w:rsidTr="00F7049B">
        <w:trPr>
          <w:gridBefore w:val="1"/>
          <w:wBefore w:w="15" w:type="dxa"/>
          <w:trHeight w:val="2078"/>
        </w:trPr>
        <w:tc>
          <w:tcPr>
            <w:tcW w:w="1530" w:type="dxa"/>
          </w:tcPr>
          <w:p w14:paraId="647B2B01" w14:textId="77777777" w:rsidR="000016B4" w:rsidRDefault="000016B4" w:rsidP="0042054D">
            <w:pPr>
              <w:jc w:val="center"/>
            </w:pPr>
            <w:r>
              <w:t>Parity</w:t>
            </w:r>
          </w:p>
          <w:p w14:paraId="642DB741" w14:textId="77777777" w:rsidR="000016B4" w:rsidRDefault="00000000" w:rsidP="0042054D">
            <w:pPr>
              <w:jc w:val="cente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P</m:t>
                    </m:r>
                  </m:e>
                  <m:sub>
                    <m:r>
                      <w:rPr>
                        <w:rFonts w:ascii="Cambria Math" w:eastAsia="Cambria Math" w:hAnsi="Cambria Math" w:cs="Cambria Math"/>
                      </w:rPr>
                      <m:t>0</m:t>
                    </m:r>
                  </m:sub>
                </m:sSub>
              </m:oMath>
            </m:oMathPara>
          </w:p>
          <w:p w14:paraId="48DC160C" w14:textId="77777777" w:rsidR="000016B4" w:rsidRDefault="00000000" w:rsidP="0042054D">
            <w:pPr>
              <w:jc w:val="cente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P</m:t>
                    </m:r>
                  </m:e>
                  <m:sub>
                    <m:r>
                      <w:rPr>
                        <w:rFonts w:ascii="Cambria Math" w:eastAsia="Cambria Math" w:hAnsi="Cambria Math" w:cs="Cambria Math"/>
                      </w:rPr>
                      <m:t>1</m:t>
                    </m:r>
                  </m:sub>
                </m:sSub>
              </m:oMath>
            </m:oMathPara>
          </w:p>
          <w:p w14:paraId="3E46B79B" w14:textId="77777777" w:rsidR="000016B4" w:rsidRPr="00FF0C7B" w:rsidRDefault="00000000" w:rsidP="0042054D">
            <w:pPr>
              <w:jc w:val="center"/>
              <w:rPr>
                <w:rFonts w:ascii="Cambria Math" w:eastAsia="Cambria Math" w:hAnsi="Cambria Math" w:cs="Cambria Math"/>
              </w:rPr>
            </w:pPr>
            <m:oMathPara>
              <m:oMath>
                <m:sSub>
                  <m:sSubPr>
                    <m:ctrlPr>
                      <w:rPr>
                        <w:rFonts w:ascii="Cambria Math" w:eastAsia="Cambria Math" w:hAnsi="Cambria Math" w:cs="Cambria Math"/>
                      </w:rPr>
                    </m:ctrlPr>
                  </m:sSubPr>
                  <m:e>
                    <m:r>
                      <w:rPr>
                        <w:rFonts w:ascii="Cambria Math" w:eastAsia="Cambria Math" w:hAnsi="Cambria Math" w:cs="Cambria Math"/>
                      </w:rPr>
                      <m:t>≥P</m:t>
                    </m:r>
                  </m:e>
                  <m:sub>
                    <m:r>
                      <w:rPr>
                        <w:rFonts w:ascii="Cambria Math" w:eastAsia="Cambria Math" w:hAnsi="Cambria Math" w:cs="Cambria Math"/>
                      </w:rPr>
                      <m:t>2</m:t>
                    </m:r>
                  </m:sub>
                </m:sSub>
              </m:oMath>
            </m:oMathPara>
          </w:p>
          <w:p w14:paraId="39FE88B4" w14:textId="77777777" w:rsidR="00FF0C7B" w:rsidRDefault="00FF0C7B" w:rsidP="0042054D">
            <w:pPr>
              <w:jc w:val="center"/>
              <w:rPr>
                <w:rFonts w:ascii="Cambria Math" w:eastAsia="Cambria Math" w:hAnsi="Cambria Math" w:cs="Cambria Math"/>
              </w:rPr>
            </w:pPr>
          </w:p>
          <w:p w14:paraId="74CF4198" w14:textId="77777777" w:rsidR="00FF0C7B" w:rsidRDefault="00FF0C7B" w:rsidP="0042054D">
            <w:pPr>
              <w:jc w:val="center"/>
              <w:rPr>
                <w:rFonts w:ascii="Cambria Math" w:eastAsia="Cambria Math" w:hAnsi="Cambria Math" w:cs="Cambria Math"/>
              </w:rPr>
            </w:pPr>
          </w:p>
          <w:p w14:paraId="4E146D1D" w14:textId="77777777" w:rsidR="00FF0C7B" w:rsidRDefault="00FF0C7B" w:rsidP="0042054D">
            <w:pPr>
              <w:jc w:val="center"/>
              <w:rPr>
                <w:rFonts w:ascii="Cambria Math" w:eastAsia="Cambria Math" w:hAnsi="Cambria Math" w:cs="Cambria Math"/>
              </w:rPr>
            </w:pPr>
          </w:p>
        </w:tc>
        <w:tc>
          <w:tcPr>
            <w:tcW w:w="1350" w:type="dxa"/>
          </w:tcPr>
          <w:p w14:paraId="00AAC5FC" w14:textId="77777777" w:rsidR="000016B4" w:rsidRDefault="000016B4" w:rsidP="0042054D"/>
          <w:p w14:paraId="3279FCDC" w14:textId="77777777" w:rsidR="000016B4" w:rsidRDefault="000016B4" w:rsidP="0042054D">
            <w:r>
              <w:t>65</w:t>
            </w:r>
          </w:p>
          <w:p w14:paraId="0CE65320" w14:textId="77777777" w:rsidR="000016B4" w:rsidRDefault="000016B4" w:rsidP="0042054D">
            <w:r>
              <w:t>11</w:t>
            </w:r>
          </w:p>
          <w:p w14:paraId="7B0FB160" w14:textId="77777777" w:rsidR="000016B4" w:rsidRDefault="000016B4" w:rsidP="0042054D">
            <w:r>
              <w:t>3</w:t>
            </w:r>
          </w:p>
        </w:tc>
        <w:tc>
          <w:tcPr>
            <w:tcW w:w="1350" w:type="dxa"/>
          </w:tcPr>
          <w:p w14:paraId="2414A1A8" w14:textId="77777777" w:rsidR="000016B4" w:rsidRDefault="000016B4" w:rsidP="0042054D"/>
          <w:p w14:paraId="468A69F2" w14:textId="77777777" w:rsidR="000016B4" w:rsidRDefault="000016B4" w:rsidP="0042054D">
            <w:r>
              <w:t>82.2</w:t>
            </w:r>
          </w:p>
          <w:p w14:paraId="470F406E" w14:textId="77777777" w:rsidR="000016B4" w:rsidRDefault="000016B4" w:rsidP="0042054D">
            <w:r>
              <w:t>13.9</w:t>
            </w:r>
          </w:p>
          <w:p w14:paraId="2F279BCC" w14:textId="77777777" w:rsidR="000016B4" w:rsidRDefault="00F7049B" w:rsidP="0042054D">
            <w:r>
              <w:t xml:space="preserve">  </w:t>
            </w:r>
            <w:r w:rsidR="000016B4">
              <w:t>3.9</w:t>
            </w:r>
          </w:p>
        </w:tc>
        <w:tc>
          <w:tcPr>
            <w:tcW w:w="1710" w:type="dxa"/>
          </w:tcPr>
          <w:p w14:paraId="1D90A0CD" w14:textId="77777777" w:rsidR="000016B4" w:rsidRDefault="000016B4" w:rsidP="0042054D"/>
          <w:p w14:paraId="50759B15" w14:textId="77777777" w:rsidR="000016B4" w:rsidRDefault="000016B4" w:rsidP="0042054D">
            <w:r>
              <w:t>82.2</w:t>
            </w:r>
          </w:p>
          <w:p w14:paraId="4ACB60D3" w14:textId="77777777" w:rsidR="000016B4" w:rsidRDefault="000016B4" w:rsidP="0042054D">
            <w:r>
              <w:t>13.9</w:t>
            </w:r>
          </w:p>
          <w:p w14:paraId="774E6394" w14:textId="77777777" w:rsidR="000016B4" w:rsidRDefault="00F7049B" w:rsidP="0042054D">
            <w:r>
              <w:t xml:space="preserve">  </w:t>
            </w:r>
            <w:r w:rsidR="000016B4">
              <w:t>3.9</w:t>
            </w:r>
          </w:p>
        </w:tc>
        <w:tc>
          <w:tcPr>
            <w:tcW w:w="1440" w:type="dxa"/>
          </w:tcPr>
          <w:p w14:paraId="154F184F" w14:textId="77777777" w:rsidR="000016B4" w:rsidRDefault="000016B4" w:rsidP="0042054D"/>
          <w:p w14:paraId="166445C6" w14:textId="77777777" w:rsidR="000016B4" w:rsidRDefault="00F7049B" w:rsidP="0042054D">
            <w:r>
              <w:t xml:space="preserve">  </w:t>
            </w:r>
            <w:r w:rsidR="000016B4">
              <w:t>82.2</w:t>
            </w:r>
          </w:p>
          <w:p w14:paraId="1FD583D0" w14:textId="77777777" w:rsidR="000016B4" w:rsidRDefault="00F7049B" w:rsidP="0042054D">
            <w:r>
              <w:t xml:space="preserve">  </w:t>
            </w:r>
            <w:r w:rsidR="000016B4">
              <w:t>96.1</w:t>
            </w:r>
          </w:p>
          <w:p w14:paraId="5D2E95F5" w14:textId="77777777" w:rsidR="000016B4" w:rsidRDefault="000016B4" w:rsidP="0042054D">
            <w:r>
              <w:t>100.1</w:t>
            </w:r>
          </w:p>
        </w:tc>
      </w:tr>
      <w:tr w:rsidR="00FF0C7B" w14:paraId="2795F9E5" w14:textId="77777777" w:rsidTr="00F7049B">
        <w:trPr>
          <w:gridBefore w:val="1"/>
          <w:wBefore w:w="15" w:type="dxa"/>
          <w:trHeight w:val="4787"/>
        </w:trPr>
        <w:tc>
          <w:tcPr>
            <w:tcW w:w="1530" w:type="dxa"/>
          </w:tcPr>
          <w:p w14:paraId="1116D227" w14:textId="77777777" w:rsidR="00FF0C7B" w:rsidRDefault="001C7B54" w:rsidP="0042054D">
            <w:r>
              <w:t>Educational status</w:t>
            </w:r>
          </w:p>
          <w:p w14:paraId="3388D02D" w14:textId="77777777" w:rsidR="00FF0C7B" w:rsidRDefault="00FF0C7B" w:rsidP="0042054D">
            <w:r>
              <w:t>Student</w:t>
            </w:r>
          </w:p>
          <w:p w14:paraId="22A7160E" w14:textId="77777777" w:rsidR="00FF0C7B" w:rsidRDefault="00FF0C7B" w:rsidP="0042054D">
            <w:r>
              <w:t>Unemployed</w:t>
            </w:r>
          </w:p>
          <w:p w14:paraId="7F05EA67" w14:textId="77777777" w:rsidR="00FF0C7B" w:rsidRDefault="00FF0C7B" w:rsidP="0042054D">
            <w:r>
              <w:t>Artisan</w:t>
            </w:r>
          </w:p>
          <w:p w14:paraId="20FE7106" w14:textId="77777777" w:rsidR="00FF0C7B" w:rsidRDefault="00FF0C7B" w:rsidP="0042054D">
            <w:r>
              <w:t>Professionals</w:t>
            </w:r>
          </w:p>
          <w:p w14:paraId="5C42B38B" w14:textId="77777777" w:rsidR="001E3DA3" w:rsidRDefault="001E3DA3" w:rsidP="0042054D"/>
          <w:p w14:paraId="05EEB677" w14:textId="77777777" w:rsidR="001E3DA3" w:rsidRDefault="00747C24" w:rsidP="0042054D">
            <w:r>
              <w:t>Marital status</w:t>
            </w:r>
          </w:p>
          <w:p w14:paraId="31DA93FA" w14:textId="77777777" w:rsidR="00747C24" w:rsidRDefault="00747C24" w:rsidP="0042054D">
            <w:r>
              <w:t>Single</w:t>
            </w:r>
          </w:p>
          <w:p w14:paraId="296B9FC2" w14:textId="77777777" w:rsidR="001E3DA3" w:rsidRDefault="00747C24" w:rsidP="0042054D">
            <w:r>
              <w:t>Married</w:t>
            </w:r>
          </w:p>
          <w:p w14:paraId="20DCA953" w14:textId="77777777" w:rsidR="00265FC2" w:rsidRDefault="00265FC2" w:rsidP="0042054D"/>
          <w:p w14:paraId="4C589271" w14:textId="77777777" w:rsidR="00265FC2" w:rsidRDefault="00265FC2" w:rsidP="0042054D">
            <w:r>
              <w:t>Total</w:t>
            </w:r>
          </w:p>
        </w:tc>
        <w:tc>
          <w:tcPr>
            <w:tcW w:w="1350" w:type="dxa"/>
          </w:tcPr>
          <w:p w14:paraId="7CF6E937" w14:textId="77777777" w:rsidR="00FF0C7B" w:rsidRDefault="00FF0C7B" w:rsidP="0042054D"/>
          <w:p w14:paraId="275DDFF6" w14:textId="77777777" w:rsidR="001C7B54" w:rsidRDefault="001C7B54" w:rsidP="0042054D"/>
          <w:p w14:paraId="5765B94E" w14:textId="77777777" w:rsidR="00FF0C7B" w:rsidRDefault="00FF0C7B" w:rsidP="0042054D">
            <w:r>
              <w:t>20</w:t>
            </w:r>
          </w:p>
          <w:p w14:paraId="7482D67A" w14:textId="77777777" w:rsidR="00FF0C7B" w:rsidRDefault="00FF0C7B" w:rsidP="0042054D">
            <w:r>
              <w:t>29</w:t>
            </w:r>
          </w:p>
          <w:p w14:paraId="5A6AEACC" w14:textId="77777777" w:rsidR="00FF0C7B" w:rsidRDefault="00FF0C7B" w:rsidP="0042054D">
            <w:r>
              <w:t>18</w:t>
            </w:r>
          </w:p>
          <w:p w14:paraId="52BE8447" w14:textId="77777777" w:rsidR="00FF0C7B" w:rsidRDefault="00FF0C7B" w:rsidP="0042054D">
            <w:r>
              <w:t>12</w:t>
            </w:r>
          </w:p>
          <w:p w14:paraId="71E56E68" w14:textId="77777777" w:rsidR="001E3DA3" w:rsidRDefault="001E3DA3" w:rsidP="0042054D"/>
          <w:p w14:paraId="09C98B17" w14:textId="77777777" w:rsidR="001E3DA3" w:rsidRDefault="001E3DA3" w:rsidP="0042054D"/>
          <w:p w14:paraId="13E995D9" w14:textId="77777777" w:rsidR="001E3DA3" w:rsidRDefault="00937A83" w:rsidP="0042054D">
            <w:r>
              <w:t>44</w:t>
            </w:r>
          </w:p>
          <w:p w14:paraId="03266AEC" w14:textId="77777777" w:rsidR="001E3DA3" w:rsidRDefault="001E3DA3" w:rsidP="0042054D">
            <w:r>
              <w:t>35</w:t>
            </w:r>
          </w:p>
          <w:p w14:paraId="73E07EFA" w14:textId="77777777" w:rsidR="00265FC2" w:rsidRDefault="00265FC2" w:rsidP="0042054D"/>
          <w:p w14:paraId="06743337" w14:textId="77777777" w:rsidR="00265FC2" w:rsidRDefault="00265FC2" w:rsidP="0042054D">
            <w:r>
              <w:t>79</w:t>
            </w:r>
          </w:p>
        </w:tc>
        <w:tc>
          <w:tcPr>
            <w:tcW w:w="1350" w:type="dxa"/>
          </w:tcPr>
          <w:p w14:paraId="32DD68DF" w14:textId="77777777" w:rsidR="00FF0C7B" w:rsidRDefault="00FF0C7B" w:rsidP="0042054D"/>
          <w:p w14:paraId="730D0D13" w14:textId="77777777" w:rsidR="001C7B54" w:rsidRDefault="001C7B54" w:rsidP="0042054D"/>
          <w:p w14:paraId="56BB787A" w14:textId="77777777" w:rsidR="00FF0C7B" w:rsidRDefault="00FF0C7B" w:rsidP="0042054D">
            <w:r>
              <w:t>25.3</w:t>
            </w:r>
          </w:p>
          <w:p w14:paraId="7109D3C8" w14:textId="77777777" w:rsidR="00FF0C7B" w:rsidRDefault="00FF0C7B" w:rsidP="0042054D">
            <w:r>
              <w:t>36.7</w:t>
            </w:r>
          </w:p>
          <w:p w14:paraId="210E9C57" w14:textId="77777777" w:rsidR="00FF0C7B" w:rsidRDefault="00FF0C7B" w:rsidP="0042054D">
            <w:r>
              <w:t>22.8</w:t>
            </w:r>
          </w:p>
          <w:p w14:paraId="489072AC" w14:textId="77777777" w:rsidR="00FF0C7B" w:rsidRDefault="00FF0C7B" w:rsidP="0042054D">
            <w:r>
              <w:t>15.2</w:t>
            </w:r>
          </w:p>
          <w:p w14:paraId="688C0BBF" w14:textId="77777777" w:rsidR="001E3DA3" w:rsidRDefault="001E3DA3" w:rsidP="0042054D"/>
          <w:p w14:paraId="5FAB815E" w14:textId="77777777" w:rsidR="001E3DA3" w:rsidRDefault="001E3DA3" w:rsidP="0042054D"/>
          <w:p w14:paraId="518ECAF7" w14:textId="77777777" w:rsidR="001E3DA3" w:rsidRDefault="001E3DA3" w:rsidP="0042054D">
            <w:r>
              <w:t>55.7</w:t>
            </w:r>
          </w:p>
          <w:p w14:paraId="6E0D3B12" w14:textId="77777777" w:rsidR="001E3DA3" w:rsidRDefault="001E3DA3" w:rsidP="0042054D">
            <w:r>
              <w:t>44.3</w:t>
            </w:r>
          </w:p>
          <w:p w14:paraId="0CA01D79" w14:textId="77777777" w:rsidR="00265FC2" w:rsidRDefault="00265FC2" w:rsidP="0042054D"/>
          <w:p w14:paraId="75976F37" w14:textId="77777777" w:rsidR="00265FC2" w:rsidRDefault="00265FC2" w:rsidP="0042054D">
            <w:r>
              <w:t>100.0</w:t>
            </w:r>
          </w:p>
        </w:tc>
        <w:tc>
          <w:tcPr>
            <w:tcW w:w="1710" w:type="dxa"/>
          </w:tcPr>
          <w:p w14:paraId="4D927D07" w14:textId="77777777" w:rsidR="00FF0C7B" w:rsidRDefault="00FF0C7B" w:rsidP="0042054D"/>
          <w:p w14:paraId="07D34CB0" w14:textId="77777777" w:rsidR="001C7B54" w:rsidRDefault="001C7B54" w:rsidP="0042054D"/>
          <w:p w14:paraId="5031B8EE" w14:textId="77777777" w:rsidR="00FF0C7B" w:rsidRDefault="00FF0C7B" w:rsidP="0042054D">
            <w:r>
              <w:t>25.3</w:t>
            </w:r>
          </w:p>
          <w:p w14:paraId="1E9056C2" w14:textId="77777777" w:rsidR="00FF0C7B" w:rsidRDefault="00FF0C7B" w:rsidP="0042054D">
            <w:r>
              <w:t>36.7</w:t>
            </w:r>
          </w:p>
          <w:p w14:paraId="225D1137" w14:textId="77777777" w:rsidR="00FF0C7B" w:rsidRDefault="00FF0C7B" w:rsidP="0042054D">
            <w:r>
              <w:t>22.8</w:t>
            </w:r>
          </w:p>
          <w:p w14:paraId="676A426B" w14:textId="77777777" w:rsidR="00FF0C7B" w:rsidRDefault="00FF0C7B" w:rsidP="0042054D">
            <w:r>
              <w:t>15.2</w:t>
            </w:r>
          </w:p>
          <w:p w14:paraId="72830219" w14:textId="77777777" w:rsidR="001E3DA3" w:rsidRDefault="001E3DA3" w:rsidP="0042054D"/>
          <w:p w14:paraId="26F46342" w14:textId="77777777" w:rsidR="001E3DA3" w:rsidRDefault="001E3DA3" w:rsidP="0042054D"/>
          <w:p w14:paraId="08909D4B" w14:textId="77777777" w:rsidR="001E3DA3" w:rsidRDefault="001E3DA3" w:rsidP="0042054D">
            <w:r>
              <w:t>55.7</w:t>
            </w:r>
          </w:p>
          <w:p w14:paraId="2EEEF035" w14:textId="77777777" w:rsidR="001E3DA3" w:rsidRDefault="001E3DA3" w:rsidP="0042054D">
            <w:r>
              <w:t>44.3</w:t>
            </w:r>
          </w:p>
          <w:p w14:paraId="1F81F04E" w14:textId="77777777" w:rsidR="00265FC2" w:rsidRDefault="00265FC2" w:rsidP="0042054D"/>
          <w:p w14:paraId="56ECAC03" w14:textId="77777777" w:rsidR="00265FC2" w:rsidRDefault="00265FC2" w:rsidP="0042054D">
            <w:r>
              <w:t>100.0</w:t>
            </w:r>
          </w:p>
        </w:tc>
        <w:tc>
          <w:tcPr>
            <w:tcW w:w="1440" w:type="dxa"/>
          </w:tcPr>
          <w:p w14:paraId="508FDA76" w14:textId="77777777" w:rsidR="00FF0C7B" w:rsidRDefault="00FF0C7B" w:rsidP="0042054D"/>
          <w:p w14:paraId="39BCC5DF" w14:textId="77777777" w:rsidR="001C7B54" w:rsidRDefault="001C7B54" w:rsidP="0042054D"/>
          <w:p w14:paraId="19FFD029" w14:textId="77777777" w:rsidR="00FF0C7B" w:rsidRDefault="00FF0C7B" w:rsidP="0042054D">
            <w:r>
              <w:t>25.3</w:t>
            </w:r>
          </w:p>
          <w:p w14:paraId="05E167B3" w14:textId="77777777" w:rsidR="00FF0C7B" w:rsidRDefault="00FF0C7B" w:rsidP="0042054D">
            <w:r>
              <w:t>62.0</w:t>
            </w:r>
          </w:p>
          <w:p w14:paraId="3353F759" w14:textId="77777777" w:rsidR="00FF0C7B" w:rsidRDefault="00FF0C7B" w:rsidP="0042054D">
            <w:r>
              <w:t>84.8</w:t>
            </w:r>
          </w:p>
          <w:p w14:paraId="3744E973" w14:textId="77777777" w:rsidR="00FF0C7B" w:rsidRDefault="00FF0C7B" w:rsidP="0042054D">
            <w:r>
              <w:t>100.0</w:t>
            </w:r>
          </w:p>
          <w:p w14:paraId="69BCABA1" w14:textId="77777777" w:rsidR="001E3DA3" w:rsidRDefault="001E3DA3" w:rsidP="0042054D"/>
          <w:p w14:paraId="06112AF0" w14:textId="77777777" w:rsidR="001E3DA3" w:rsidRDefault="001E3DA3" w:rsidP="0042054D"/>
          <w:p w14:paraId="5BA8FECB" w14:textId="77777777" w:rsidR="001E3DA3" w:rsidRDefault="001E3DA3" w:rsidP="0042054D">
            <w:r>
              <w:t>55.7</w:t>
            </w:r>
          </w:p>
          <w:p w14:paraId="7D43A821" w14:textId="77777777" w:rsidR="001E3DA3" w:rsidRDefault="001E3DA3" w:rsidP="0042054D">
            <w:r>
              <w:t>100.0</w:t>
            </w:r>
          </w:p>
        </w:tc>
      </w:tr>
    </w:tbl>
    <w:p w14:paraId="3FA07C11" w14:textId="77777777" w:rsidR="00F36EA5" w:rsidRDefault="00F36EA5" w:rsidP="000016B4">
      <w:pPr>
        <w:tabs>
          <w:tab w:val="left" w:pos="5172"/>
        </w:tabs>
        <w:rPr>
          <w:b/>
        </w:rPr>
      </w:pPr>
    </w:p>
    <w:p w14:paraId="0AC462A8" w14:textId="77777777" w:rsidR="00F36EA5" w:rsidRDefault="00F36EA5" w:rsidP="00F36EA5">
      <w:pPr>
        <w:rPr>
          <w:b/>
        </w:rPr>
      </w:pPr>
    </w:p>
    <w:p w14:paraId="2B098FA3" w14:textId="77777777" w:rsidR="00806A00" w:rsidRDefault="00806A00" w:rsidP="00F36EA5"/>
    <w:p w14:paraId="28D83A6E" w14:textId="77777777" w:rsidR="00F36EA5" w:rsidRPr="00207471" w:rsidRDefault="00207471" w:rsidP="00F36EA5">
      <w:r>
        <w:rPr>
          <w:b/>
        </w:rPr>
        <w:lastRenderedPageBreak/>
        <w:t xml:space="preserve">     Table 2: </w:t>
      </w:r>
      <w:r>
        <w:t xml:space="preserve">Risk </w:t>
      </w:r>
      <w:r w:rsidRPr="00207471">
        <w:t>factors of ectopic pregnancy amongst participants</w:t>
      </w:r>
      <w:r w:rsidR="00937A83">
        <w:t>.</w:t>
      </w:r>
    </w:p>
    <w:tbl>
      <w:tblPr>
        <w:tblW w:w="6285"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55"/>
        <w:gridCol w:w="2070"/>
        <w:gridCol w:w="2160"/>
      </w:tblGrid>
      <w:tr w:rsidR="00F36EA5" w14:paraId="321B8AF9" w14:textId="77777777" w:rsidTr="004F4285">
        <w:trPr>
          <w:trHeight w:val="726"/>
        </w:trPr>
        <w:tc>
          <w:tcPr>
            <w:tcW w:w="2055" w:type="dxa"/>
          </w:tcPr>
          <w:p w14:paraId="0A465C1D" w14:textId="77777777" w:rsidR="00F36EA5" w:rsidRDefault="00F36EA5" w:rsidP="0042054D">
            <w:r>
              <w:t>Risk Factor</w:t>
            </w:r>
          </w:p>
        </w:tc>
        <w:tc>
          <w:tcPr>
            <w:tcW w:w="2070" w:type="dxa"/>
          </w:tcPr>
          <w:p w14:paraId="48488952" w14:textId="77777777" w:rsidR="00F36EA5" w:rsidRDefault="00F36EA5" w:rsidP="0042054D">
            <w:r>
              <w:t>Frequency</w:t>
            </w:r>
          </w:p>
        </w:tc>
        <w:tc>
          <w:tcPr>
            <w:tcW w:w="2160" w:type="dxa"/>
          </w:tcPr>
          <w:p w14:paraId="21C8DEE4" w14:textId="77777777" w:rsidR="00F36EA5" w:rsidRDefault="00F36EA5" w:rsidP="0042054D">
            <w:r>
              <w:t>Percent</w:t>
            </w:r>
            <w:r w:rsidR="00194446">
              <w:t xml:space="preserve"> </w:t>
            </w:r>
            <w:r>
              <w:t>(%)</w:t>
            </w:r>
          </w:p>
        </w:tc>
      </w:tr>
      <w:tr w:rsidR="00F36EA5" w14:paraId="5C8FFBE3" w14:textId="77777777" w:rsidTr="004F4285">
        <w:trPr>
          <w:trHeight w:val="813"/>
        </w:trPr>
        <w:tc>
          <w:tcPr>
            <w:tcW w:w="2055" w:type="dxa"/>
          </w:tcPr>
          <w:p w14:paraId="65AF4A7F" w14:textId="77777777" w:rsidR="00F36EA5" w:rsidRDefault="004F4285" w:rsidP="0042054D">
            <w:r>
              <w:t>Previous e</w:t>
            </w:r>
            <w:r w:rsidR="00F36EA5">
              <w:t>ctopic pregnancy</w:t>
            </w:r>
          </w:p>
        </w:tc>
        <w:tc>
          <w:tcPr>
            <w:tcW w:w="2070" w:type="dxa"/>
          </w:tcPr>
          <w:p w14:paraId="10C9D463" w14:textId="77777777" w:rsidR="00F36EA5" w:rsidRDefault="00F36EA5" w:rsidP="0042054D">
            <w:r>
              <w:t>27</w:t>
            </w:r>
          </w:p>
          <w:p w14:paraId="29E5A32C" w14:textId="77777777" w:rsidR="00F36EA5" w:rsidRDefault="00F36EA5" w:rsidP="0042054D"/>
        </w:tc>
        <w:tc>
          <w:tcPr>
            <w:tcW w:w="2160" w:type="dxa"/>
          </w:tcPr>
          <w:p w14:paraId="69B19437" w14:textId="77777777" w:rsidR="00F36EA5" w:rsidRDefault="00F36EA5" w:rsidP="0042054D">
            <w:r>
              <w:t>34.2</w:t>
            </w:r>
          </w:p>
        </w:tc>
      </w:tr>
      <w:tr w:rsidR="00F36EA5" w14:paraId="3B605513" w14:textId="77777777" w:rsidTr="004F4285">
        <w:trPr>
          <w:trHeight w:val="805"/>
        </w:trPr>
        <w:tc>
          <w:tcPr>
            <w:tcW w:w="2055" w:type="dxa"/>
          </w:tcPr>
          <w:p w14:paraId="1ABF219D" w14:textId="77777777" w:rsidR="00F36EA5" w:rsidRDefault="00F36EA5" w:rsidP="0042054D">
            <w:r>
              <w:t>Previous PID</w:t>
            </w:r>
          </w:p>
        </w:tc>
        <w:tc>
          <w:tcPr>
            <w:tcW w:w="2070" w:type="dxa"/>
          </w:tcPr>
          <w:p w14:paraId="317937F6" w14:textId="77777777" w:rsidR="00F36EA5" w:rsidRDefault="00F36EA5" w:rsidP="0042054D">
            <w:r>
              <w:t>40</w:t>
            </w:r>
          </w:p>
        </w:tc>
        <w:tc>
          <w:tcPr>
            <w:tcW w:w="2160" w:type="dxa"/>
          </w:tcPr>
          <w:p w14:paraId="1264AD7D" w14:textId="77777777" w:rsidR="00F36EA5" w:rsidRDefault="00F36EA5" w:rsidP="0042054D">
            <w:r>
              <w:t>50.6</w:t>
            </w:r>
          </w:p>
        </w:tc>
      </w:tr>
      <w:tr w:rsidR="00F36EA5" w14:paraId="1B5244EA" w14:textId="77777777" w:rsidTr="004F4285">
        <w:trPr>
          <w:trHeight w:val="932"/>
        </w:trPr>
        <w:tc>
          <w:tcPr>
            <w:tcW w:w="2055" w:type="dxa"/>
          </w:tcPr>
          <w:p w14:paraId="79AC8A5F" w14:textId="77777777" w:rsidR="00F36EA5" w:rsidRDefault="00F36EA5" w:rsidP="0042054D">
            <w:r>
              <w:t>Abdominal surgery</w:t>
            </w:r>
          </w:p>
        </w:tc>
        <w:tc>
          <w:tcPr>
            <w:tcW w:w="2070" w:type="dxa"/>
          </w:tcPr>
          <w:p w14:paraId="6B4561DC" w14:textId="77777777" w:rsidR="00F36EA5" w:rsidRDefault="00F36EA5" w:rsidP="0042054D">
            <w:r>
              <w:t>8</w:t>
            </w:r>
          </w:p>
        </w:tc>
        <w:tc>
          <w:tcPr>
            <w:tcW w:w="2160" w:type="dxa"/>
          </w:tcPr>
          <w:p w14:paraId="5FC81ECB" w14:textId="77777777" w:rsidR="00F36EA5" w:rsidRDefault="00F36EA5" w:rsidP="0042054D">
            <w:r>
              <w:t>10.2</w:t>
            </w:r>
          </w:p>
        </w:tc>
      </w:tr>
      <w:tr w:rsidR="00F36EA5" w14:paraId="0C0F9908" w14:textId="77777777" w:rsidTr="004F4285">
        <w:trPr>
          <w:trHeight w:val="481"/>
        </w:trPr>
        <w:tc>
          <w:tcPr>
            <w:tcW w:w="2055" w:type="dxa"/>
          </w:tcPr>
          <w:p w14:paraId="3E2A7F74" w14:textId="77777777" w:rsidR="00F36EA5" w:rsidRDefault="00F36EA5" w:rsidP="0042054D">
            <w:r>
              <w:t>ART</w:t>
            </w:r>
          </w:p>
        </w:tc>
        <w:tc>
          <w:tcPr>
            <w:tcW w:w="2070" w:type="dxa"/>
          </w:tcPr>
          <w:p w14:paraId="7F6852B0" w14:textId="77777777" w:rsidR="00F36EA5" w:rsidRDefault="00F36EA5" w:rsidP="0042054D">
            <w:r>
              <w:t>2</w:t>
            </w:r>
          </w:p>
        </w:tc>
        <w:tc>
          <w:tcPr>
            <w:tcW w:w="2160" w:type="dxa"/>
          </w:tcPr>
          <w:p w14:paraId="60392A10" w14:textId="77777777" w:rsidR="00F36EA5" w:rsidRDefault="00F36EA5" w:rsidP="0042054D">
            <w:r>
              <w:t>2.5</w:t>
            </w:r>
          </w:p>
        </w:tc>
      </w:tr>
      <w:tr w:rsidR="00F36EA5" w14:paraId="7A8DD429" w14:textId="77777777" w:rsidTr="004F4285">
        <w:trPr>
          <w:trHeight w:val="1030"/>
        </w:trPr>
        <w:tc>
          <w:tcPr>
            <w:tcW w:w="2055" w:type="dxa"/>
          </w:tcPr>
          <w:p w14:paraId="4D6E8CFD" w14:textId="77777777" w:rsidR="00F36EA5" w:rsidRDefault="00F36EA5" w:rsidP="0042054D">
            <w:r>
              <w:t>IUCD use</w:t>
            </w:r>
          </w:p>
        </w:tc>
        <w:tc>
          <w:tcPr>
            <w:tcW w:w="2070" w:type="dxa"/>
          </w:tcPr>
          <w:p w14:paraId="2523B1E2" w14:textId="77777777" w:rsidR="00F36EA5" w:rsidRDefault="00F36EA5" w:rsidP="0042054D">
            <w:r>
              <w:t>2</w:t>
            </w:r>
          </w:p>
        </w:tc>
        <w:tc>
          <w:tcPr>
            <w:tcW w:w="2160" w:type="dxa"/>
          </w:tcPr>
          <w:p w14:paraId="656BFB1F" w14:textId="77777777" w:rsidR="00F36EA5" w:rsidRDefault="00F36EA5" w:rsidP="0042054D">
            <w:r>
              <w:t>2.5</w:t>
            </w:r>
          </w:p>
        </w:tc>
      </w:tr>
    </w:tbl>
    <w:p w14:paraId="2E112B6C" w14:textId="77777777" w:rsidR="00F36EA5" w:rsidRDefault="00F36EA5" w:rsidP="00F36EA5"/>
    <w:p w14:paraId="63BB91E5" w14:textId="77777777" w:rsidR="00F36EA5" w:rsidRDefault="00F36EA5" w:rsidP="00F36EA5"/>
    <w:p w14:paraId="2DD8D8DB" w14:textId="77777777" w:rsidR="00F36EA5" w:rsidRDefault="00F36EA5" w:rsidP="00F36EA5"/>
    <w:p w14:paraId="73041B27" w14:textId="77777777" w:rsidR="008E27E4" w:rsidRDefault="005B18E5" w:rsidP="00F36EA5">
      <w:r>
        <w:rPr>
          <w:noProof/>
          <w:highlight w:val="none"/>
          <w:lang w:val="en-US" w:eastAsia="en-US"/>
        </w:rPr>
        <w:drawing>
          <wp:inline distT="0" distB="0" distL="0" distR="0" wp14:anchorId="60914EA5" wp14:editId="418301FC">
            <wp:extent cx="4237149" cy="1783724"/>
            <wp:effectExtent l="0" t="0" r="11430" b="6985"/>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F929FF3" w14:textId="77777777" w:rsidR="005A7139" w:rsidRDefault="005A7139" w:rsidP="005A7139">
      <w:pPr>
        <w:pBdr>
          <w:top w:val="nil"/>
          <w:left w:val="nil"/>
          <w:bottom w:val="nil"/>
          <w:right w:val="nil"/>
          <w:between w:val="nil"/>
        </w:pBdr>
        <w:spacing w:after="200"/>
        <w:rPr>
          <w:color w:val="000000"/>
        </w:rPr>
      </w:pPr>
      <w:r>
        <w:rPr>
          <w:b/>
          <w:color w:val="000000"/>
        </w:rPr>
        <w:t xml:space="preserve">Figure 1. </w:t>
      </w:r>
      <w:r>
        <w:rPr>
          <w:color w:val="000000"/>
        </w:rPr>
        <w:t>Outcome of ectopic pregnancy</w:t>
      </w:r>
    </w:p>
    <w:p w14:paraId="370F25FD" w14:textId="77777777" w:rsidR="008E27E4" w:rsidRDefault="008E27E4" w:rsidP="00F36EA5"/>
    <w:p w14:paraId="5B31265D" w14:textId="77777777" w:rsidR="008E27E4" w:rsidRDefault="008E27E4" w:rsidP="00F36EA5"/>
    <w:p w14:paraId="07999442" w14:textId="77777777" w:rsidR="008E27E4" w:rsidRDefault="008E27E4" w:rsidP="00F36EA5"/>
    <w:p w14:paraId="29D94C9E" w14:textId="77777777" w:rsidR="008E27E4" w:rsidRDefault="008E27E4" w:rsidP="00F36EA5"/>
    <w:p w14:paraId="105D1C6C" w14:textId="77777777" w:rsidR="008E27E4" w:rsidRDefault="008E27E4" w:rsidP="00F36EA5"/>
    <w:p w14:paraId="5F181899" w14:textId="77777777" w:rsidR="008E27E4" w:rsidRDefault="008E27E4" w:rsidP="00F36EA5"/>
    <w:p w14:paraId="3A749CB8" w14:textId="77777777" w:rsidR="008E27E4" w:rsidRDefault="008E27E4" w:rsidP="00F36EA5"/>
    <w:p w14:paraId="26AD1157" w14:textId="77777777" w:rsidR="005A7139" w:rsidRDefault="005A7139" w:rsidP="00F66207">
      <w:pPr>
        <w:pBdr>
          <w:top w:val="nil"/>
          <w:left w:val="nil"/>
          <w:bottom w:val="nil"/>
          <w:right w:val="nil"/>
          <w:between w:val="nil"/>
        </w:pBdr>
        <w:spacing w:after="200"/>
      </w:pPr>
    </w:p>
    <w:p w14:paraId="587F0FEB" w14:textId="77777777" w:rsidR="00F36EA5" w:rsidRDefault="00AA36F9" w:rsidP="00F36EA5">
      <w:r>
        <w:rPr>
          <w:noProof/>
          <w:highlight w:val="none"/>
          <w:lang w:val="en-US" w:eastAsia="en-US"/>
        </w:rPr>
        <w:lastRenderedPageBreak/>
        <w:drawing>
          <wp:inline distT="0" distB="0" distL="0" distR="0" wp14:anchorId="59EFE58E" wp14:editId="63465D96">
            <wp:extent cx="4539803" cy="2034862"/>
            <wp:effectExtent l="0" t="0" r="13335" b="381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1D9297FE" w14:textId="77777777" w:rsidR="008E27E4" w:rsidRDefault="008E27E4" w:rsidP="008E27E4">
      <w:pPr>
        <w:pBdr>
          <w:top w:val="nil"/>
          <w:left w:val="nil"/>
          <w:bottom w:val="nil"/>
          <w:right w:val="nil"/>
          <w:between w:val="nil"/>
        </w:pBdr>
        <w:spacing w:after="200"/>
        <w:rPr>
          <w:color w:val="000000"/>
        </w:rPr>
      </w:pPr>
      <w:r>
        <w:rPr>
          <w:b/>
          <w:color w:val="000000"/>
        </w:rPr>
        <w:t>Figure 2.</w:t>
      </w:r>
      <w:r>
        <w:rPr>
          <w:color w:val="000000"/>
        </w:rPr>
        <w:t xml:space="preserve"> Estimated blood loss</w:t>
      </w:r>
    </w:p>
    <w:p w14:paraId="1BDDBB26" w14:textId="77777777" w:rsidR="00F36EA5" w:rsidRDefault="00F36EA5" w:rsidP="00F36EA5"/>
    <w:p w14:paraId="24616C69" w14:textId="77777777" w:rsidR="00F36EA5" w:rsidRDefault="005A7139" w:rsidP="00F36EA5">
      <w:pPr>
        <w:spacing w:before="240"/>
        <w:rPr>
          <w:b/>
        </w:rPr>
      </w:pPr>
      <w:r>
        <w:rPr>
          <w:b/>
        </w:rPr>
        <w:t>Table 3.</w:t>
      </w:r>
      <w:r w:rsidR="00F36EA5">
        <w:rPr>
          <w:b/>
        </w:rPr>
        <w:t xml:space="preserve">  </w:t>
      </w:r>
      <w:r>
        <w:rPr>
          <w:b/>
        </w:rPr>
        <w:t>Outcomes of ectopic pregnancy amongst participants (blood transfusion requirement/death)</w:t>
      </w:r>
    </w:p>
    <w:tbl>
      <w:tblPr>
        <w:tblW w:w="9688" w:type="dxa"/>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74"/>
        <w:gridCol w:w="1578"/>
        <w:gridCol w:w="1692"/>
        <w:gridCol w:w="1976"/>
        <w:gridCol w:w="2268"/>
      </w:tblGrid>
      <w:tr w:rsidR="00F36EA5" w14:paraId="47507503" w14:textId="77777777" w:rsidTr="0042054D">
        <w:trPr>
          <w:trHeight w:val="647"/>
        </w:trPr>
        <w:tc>
          <w:tcPr>
            <w:tcW w:w="2174" w:type="dxa"/>
          </w:tcPr>
          <w:p w14:paraId="4888B62F" w14:textId="77777777" w:rsidR="00F36EA5" w:rsidRDefault="00F36EA5" w:rsidP="0042054D">
            <w:r>
              <w:t>Outcome</w:t>
            </w:r>
          </w:p>
        </w:tc>
        <w:tc>
          <w:tcPr>
            <w:tcW w:w="1578" w:type="dxa"/>
          </w:tcPr>
          <w:p w14:paraId="3FC21233" w14:textId="77777777" w:rsidR="00F36EA5" w:rsidRDefault="00F36EA5" w:rsidP="0042054D">
            <w:r>
              <w:t>Frequency</w:t>
            </w:r>
          </w:p>
        </w:tc>
        <w:tc>
          <w:tcPr>
            <w:tcW w:w="1692" w:type="dxa"/>
          </w:tcPr>
          <w:p w14:paraId="1341024D" w14:textId="77777777" w:rsidR="00F36EA5" w:rsidRDefault="00F36EA5" w:rsidP="0042054D">
            <w:r>
              <w:t>Percent(%)</w:t>
            </w:r>
          </w:p>
        </w:tc>
        <w:tc>
          <w:tcPr>
            <w:tcW w:w="1976" w:type="dxa"/>
          </w:tcPr>
          <w:p w14:paraId="4001FA4C" w14:textId="77777777" w:rsidR="00F36EA5" w:rsidRDefault="00F36EA5" w:rsidP="0042054D">
            <w:r>
              <w:t>Valid percent(%)</w:t>
            </w:r>
          </w:p>
        </w:tc>
        <w:tc>
          <w:tcPr>
            <w:tcW w:w="2268" w:type="dxa"/>
          </w:tcPr>
          <w:p w14:paraId="26EC0389" w14:textId="77777777" w:rsidR="00F36EA5" w:rsidRDefault="00F36EA5" w:rsidP="0042054D">
            <w:commentRangeStart w:id="6"/>
            <w:r>
              <w:t>Cumulative percent (%)</w:t>
            </w:r>
            <w:commentRangeEnd w:id="6"/>
            <w:r w:rsidR="00D13532">
              <w:rPr>
                <w:rStyle w:val="CommentReference"/>
                <w:sz w:val="24"/>
                <w:szCs w:val="24"/>
              </w:rPr>
              <w:commentReference w:id="6"/>
            </w:r>
          </w:p>
        </w:tc>
      </w:tr>
      <w:tr w:rsidR="00F36EA5" w14:paraId="1D9D4DE4" w14:textId="77777777" w:rsidTr="0042054D">
        <w:trPr>
          <w:trHeight w:val="1467"/>
        </w:trPr>
        <w:tc>
          <w:tcPr>
            <w:tcW w:w="2174" w:type="dxa"/>
          </w:tcPr>
          <w:p w14:paraId="74A5D08C" w14:textId="77777777" w:rsidR="00F36EA5" w:rsidRDefault="00F36EA5" w:rsidP="0042054D">
            <w:r>
              <w:t>Blood transfusion</w:t>
            </w:r>
          </w:p>
          <w:p w14:paraId="183E909C" w14:textId="77777777" w:rsidR="00F36EA5" w:rsidRDefault="00F36EA5" w:rsidP="0042054D">
            <w:r>
              <w:t>Yes</w:t>
            </w:r>
          </w:p>
        </w:tc>
        <w:tc>
          <w:tcPr>
            <w:tcW w:w="1578" w:type="dxa"/>
          </w:tcPr>
          <w:p w14:paraId="333E6CFE" w14:textId="77777777" w:rsidR="00F36EA5" w:rsidRDefault="00F36EA5" w:rsidP="0042054D"/>
          <w:p w14:paraId="7CE80836" w14:textId="77777777" w:rsidR="00F36EA5" w:rsidRDefault="00F36EA5" w:rsidP="0042054D"/>
          <w:p w14:paraId="6C900BCE" w14:textId="77777777" w:rsidR="00F36EA5" w:rsidRDefault="00F36EA5" w:rsidP="0042054D">
            <w:r>
              <w:t>61</w:t>
            </w:r>
          </w:p>
        </w:tc>
        <w:tc>
          <w:tcPr>
            <w:tcW w:w="1692" w:type="dxa"/>
          </w:tcPr>
          <w:p w14:paraId="6D21D857" w14:textId="77777777" w:rsidR="00F36EA5" w:rsidRDefault="00F36EA5" w:rsidP="0042054D"/>
          <w:p w14:paraId="46758135" w14:textId="77777777" w:rsidR="00F36EA5" w:rsidRDefault="00F36EA5" w:rsidP="0042054D"/>
          <w:p w14:paraId="24EAB4FC" w14:textId="77777777" w:rsidR="00F36EA5" w:rsidRDefault="00F36EA5" w:rsidP="0042054D">
            <w:r>
              <w:t>77.2</w:t>
            </w:r>
          </w:p>
        </w:tc>
        <w:tc>
          <w:tcPr>
            <w:tcW w:w="1976" w:type="dxa"/>
          </w:tcPr>
          <w:p w14:paraId="5B2DDC25" w14:textId="77777777" w:rsidR="00F36EA5" w:rsidRDefault="00F36EA5" w:rsidP="0042054D"/>
          <w:p w14:paraId="096364EA" w14:textId="77777777" w:rsidR="00F36EA5" w:rsidRDefault="00F36EA5" w:rsidP="0042054D"/>
          <w:p w14:paraId="452326F2" w14:textId="77777777" w:rsidR="00F36EA5" w:rsidRDefault="00F36EA5" w:rsidP="0042054D">
            <w:r>
              <w:t>77.2</w:t>
            </w:r>
          </w:p>
        </w:tc>
        <w:tc>
          <w:tcPr>
            <w:tcW w:w="2268" w:type="dxa"/>
          </w:tcPr>
          <w:p w14:paraId="7099E5C2" w14:textId="77777777" w:rsidR="00F36EA5" w:rsidRDefault="00F36EA5" w:rsidP="0042054D"/>
          <w:p w14:paraId="5B102721" w14:textId="77777777" w:rsidR="00F36EA5" w:rsidRDefault="00F36EA5" w:rsidP="0042054D"/>
          <w:p w14:paraId="15BA0D4F" w14:textId="77777777" w:rsidR="00F36EA5" w:rsidRDefault="00F36EA5" w:rsidP="0042054D">
            <w:r>
              <w:t>77.2</w:t>
            </w:r>
          </w:p>
        </w:tc>
      </w:tr>
      <w:tr w:rsidR="00F36EA5" w14:paraId="59BB7DCD" w14:textId="77777777" w:rsidTr="0042054D">
        <w:trPr>
          <w:trHeight w:val="500"/>
        </w:trPr>
        <w:tc>
          <w:tcPr>
            <w:tcW w:w="2174" w:type="dxa"/>
          </w:tcPr>
          <w:p w14:paraId="36C1F487" w14:textId="77777777" w:rsidR="00F36EA5" w:rsidRDefault="00F36EA5" w:rsidP="0042054D">
            <w:r>
              <w:t>No</w:t>
            </w:r>
          </w:p>
        </w:tc>
        <w:tc>
          <w:tcPr>
            <w:tcW w:w="1578" w:type="dxa"/>
          </w:tcPr>
          <w:p w14:paraId="49CEAA92" w14:textId="77777777" w:rsidR="00F36EA5" w:rsidRDefault="00F36EA5" w:rsidP="0042054D">
            <w:r>
              <w:t>18</w:t>
            </w:r>
          </w:p>
        </w:tc>
        <w:tc>
          <w:tcPr>
            <w:tcW w:w="1692" w:type="dxa"/>
          </w:tcPr>
          <w:p w14:paraId="1872807A" w14:textId="77777777" w:rsidR="00F36EA5" w:rsidRDefault="00F36EA5" w:rsidP="0042054D">
            <w:r>
              <w:t>22.8</w:t>
            </w:r>
          </w:p>
        </w:tc>
        <w:tc>
          <w:tcPr>
            <w:tcW w:w="1976" w:type="dxa"/>
          </w:tcPr>
          <w:p w14:paraId="7BB78F33" w14:textId="77777777" w:rsidR="00F36EA5" w:rsidRDefault="00F36EA5" w:rsidP="0042054D">
            <w:r>
              <w:t>22.8</w:t>
            </w:r>
          </w:p>
        </w:tc>
        <w:tc>
          <w:tcPr>
            <w:tcW w:w="2268" w:type="dxa"/>
          </w:tcPr>
          <w:p w14:paraId="4BFD9149" w14:textId="77777777" w:rsidR="00F36EA5" w:rsidRDefault="00F36EA5" w:rsidP="0042054D">
            <w:r>
              <w:t>100.0</w:t>
            </w:r>
          </w:p>
        </w:tc>
      </w:tr>
      <w:tr w:rsidR="00F36EA5" w14:paraId="6BE0FD83" w14:textId="77777777" w:rsidTr="0042054D">
        <w:trPr>
          <w:trHeight w:val="492"/>
        </w:trPr>
        <w:tc>
          <w:tcPr>
            <w:tcW w:w="2174" w:type="dxa"/>
          </w:tcPr>
          <w:p w14:paraId="08D60AFA" w14:textId="77777777" w:rsidR="00F36EA5" w:rsidRDefault="00F36EA5" w:rsidP="0042054D">
            <w:r>
              <w:t>Total</w:t>
            </w:r>
          </w:p>
        </w:tc>
        <w:tc>
          <w:tcPr>
            <w:tcW w:w="1578" w:type="dxa"/>
          </w:tcPr>
          <w:p w14:paraId="166FC2B5" w14:textId="77777777" w:rsidR="00F36EA5" w:rsidRDefault="00F36EA5" w:rsidP="0042054D">
            <w:r>
              <w:t>79</w:t>
            </w:r>
          </w:p>
        </w:tc>
        <w:tc>
          <w:tcPr>
            <w:tcW w:w="1692" w:type="dxa"/>
          </w:tcPr>
          <w:p w14:paraId="588D61D5" w14:textId="77777777" w:rsidR="00F36EA5" w:rsidRDefault="00F36EA5" w:rsidP="0042054D">
            <w:r>
              <w:t>100.0</w:t>
            </w:r>
          </w:p>
        </w:tc>
        <w:tc>
          <w:tcPr>
            <w:tcW w:w="1976" w:type="dxa"/>
          </w:tcPr>
          <w:p w14:paraId="42EF1E8A" w14:textId="77777777" w:rsidR="00F36EA5" w:rsidRDefault="00F36EA5" w:rsidP="0042054D">
            <w:r>
              <w:t>100.0</w:t>
            </w:r>
          </w:p>
        </w:tc>
        <w:tc>
          <w:tcPr>
            <w:tcW w:w="2268" w:type="dxa"/>
          </w:tcPr>
          <w:p w14:paraId="6A737F21" w14:textId="77777777" w:rsidR="00F36EA5" w:rsidRDefault="00F36EA5" w:rsidP="0042054D"/>
        </w:tc>
      </w:tr>
      <w:tr w:rsidR="00F36EA5" w14:paraId="7A2E430F" w14:textId="77777777" w:rsidTr="0042054D">
        <w:trPr>
          <w:trHeight w:val="1240"/>
        </w:trPr>
        <w:tc>
          <w:tcPr>
            <w:tcW w:w="2174" w:type="dxa"/>
          </w:tcPr>
          <w:p w14:paraId="316A7357" w14:textId="77777777" w:rsidR="00F36EA5" w:rsidRDefault="00F36EA5" w:rsidP="0042054D">
            <w:r>
              <w:t>Death</w:t>
            </w:r>
          </w:p>
          <w:p w14:paraId="5BD7A80C" w14:textId="77777777" w:rsidR="00F36EA5" w:rsidRDefault="00F36EA5" w:rsidP="0042054D">
            <w:r>
              <w:t>Yes</w:t>
            </w:r>
          </w:p>
        </w:tc>
        <w:tc>
          <w:tcPr>
            <w:tcW w:w="1578" w:type="dxa"/>
          </w:tcPr>
          <w:p w14:paraId="7B56AD39" w14:textId="77777777" w:rsidR="00F36EA5" w:rsidRDefault="00F36EA5" w:rsidP="0042054D"/>
          <w:p w14:paraId="47404DE1" w14:textId="77777777" w:rsidR="00F36EA5" w:rsidRDefault="00F36EA5" w:rsidP="0042054D">
            <w:r>
              <w:t>2</w:t>
            </w:r>
          </w:p>
        </w:tc>
        <w:tc>
          <w:tcPr>
            <w:tcW w:w="1692" w:type="dxa"/>
          </w:tcPr>
          <w:p w14:paraId="08F8996B" w14:textId="77777777" w:rsidR="00F36EA5" w:rsidRDefault="00F36EA5" w:rsidP="0042054D"/>
          <w:p w14:paraId="442247D5" w14:textId="77777777" w:rsidR="00F36EA5" w:rsidRDefault="00F36EA5" w:rsidP="0042054D">
            <w:r>
              <w:t>2.5</w:t>
            </w:r>
          </w:p>
        </w:tc>
        <w:tc>
          <w:tcPr>
            <w:tcW w:w="1976" w:type="dxa"/>
          </w:tcPr>
          <w:p w14:paraId="722A856D" w14:textId="77777777" w:rsidR="00F36EA5" w:rsidRDefault="00F36EA5" w:rsidP="0042054D"/>
          <w:p w14:paraId="644D98A3" w14:textId="77777777" w:rsidR="00F36EA5" w:rsidRDefault="00F36EA5" w:rsidP="0042054D">
            <w:r>
              <w:t>2.5</w:t>
            </w:r>
          </w:p>
        </w:tc>
        <w:tc>
          <w:tcPr>
            <w:tcW w:w="2268" w:type="dxa"/>
          </w:tcPr>
          <w:p w14:paraId="0FE590BD" w14:textId="77777777" w:rsidR="00F36EA5" w:rsidRDefault="00F36EA5" w:rsidP="0042054D"/>
          <w:p w14:paraId="74EE6F3C" w14:textId="77777777" w:rsidR="00F36EA5" w:rsidRDefault="00F36EA5" w:rsidP="0042054D">
            <w:r>
              <w:t>2.5</w:t>
            </w:r>
          </w:p>
        </w:tc>
      </w:tr>
      <w:tr w:rsidR="00F36EA5" w14:paraId="331C6ECB" w14:textId="77777777" w:rsidTr="0042054D">
        <w:trPr>
          <w:trHeight w:val="388"/>
        </w:trPr>
        <w:tc>
          <w:tcPr>
            <w:tcW w:w="2174" w:type="dxa"/>
          </w:tcPr>
          <w:p w14:paraId="5BCF96CD" w14:textId="77777777" w:rsidR="00F36EA5" w:rsidRDefault="00F36EA5" w:rsidP="0042054D">
            <w:r>
              <w:t>No</w:t>
            </w:r>
          </w:p>
        </w:tc>
        <w:tc>
          <w:tcPr>
            <w:tcW w:w="1578" w:type="dxa"/>
          </w:tcPr>
          <w:p w14:paraId="45D91628" w14:textId="77777777" w:rsidR="00F36EA5" w:rsidRDefault="00F36EA5" w:rsidP="0042054D">
            <w:r>
              <w:t>77</w:t>
            </w:r>
          </w:p>
        </w:tc>
        <w:tc>
          <w:tcPr>
            <w:tcW w:w="1692" w:type="dxa"/>
          </w:tcPr>
          <w:p w14:paraId="3433D4A6" w14:textId="77777777" w:rsidR="00F36EA5" w:rsidRDefault="00F36EA5" w:rsidP="0042054D">
            <w:r>
              <w:t>97.5</w:t>
            </w:r>
          </w:p>
        </w:tc>
        <w:tc>
          <w:tcPr>
            <w:tcW w:w="1976" w:type="dxa"/>
          </w:tcPr>
          <w:p w14:paraId="4371AF28" w14:textId="77777777" w:rsidR="00F36EA5" w:rsidRDefault="00F36EA5" w:rsidP="0042054D">
            <w:r>
              <w:t>97.5</w:t>
            </w:r>
          </w:p>
        </w:tc>
        <w:tc>
          <w:tcPr>
            <w:tcW w:w="2268" w:type="dxa"/>
          </w:tcPr>
          <w:p w14:paraId="7B597CFA" w14:textId="77777777" w:rsidR="00F36EA5" w:rsidRDefault="00F36EA5" w:rsidP="0042054D">
            <w:r>
              <w:t>100.0</w:t>
            </w:r>
          </w:p>
        </w:tc>
      </w:tr>
      <w:tr w:rsidR="00F36EA5" w14:paraId="26B24D09" w14:textId="77777777" w:rsidTr="0042054D">
        <w:trPr>
          <w:trHeight w:val="989"/>
        </w:trPr>
        <w:tc>
          <w:tcPr>
            <w:tcW w:w="2174" w:type="dxa"/>
          </w:tcPr>
          <w:p w14:paraId="64D331D8" w14:textId="77777777" w:rsidR="00F36EA5" w:rsidRDefault="00F36EA5" w:rsidP="0042054D">
            <w:r>
              <w:t>Total</w:t>
            </w:r>
          </w:p>
        </w:tc>
        <w:tc>
          <w:tcPr>
            <w:tcW w:w="1578" w:type="dxa"/>
          </w:tcPr>
          <w:p w14:paraId="152C0BFB" w14:textId="77777777" w:rsidR="00F36EA5" w:rsidRDefault="00F36EA5" w:rsidP="0042054D">
            <w:r>
              <w:t>79</w:t>
            </w:r>
          </w:p>
        </w:tc>
        <w:tc>
          <w:tcPr>
            <w:tcW w:w="1692" w:type="dxa"/>
          </w:tcPr>
          <w:p w14:paraId="55D44DDC" w14:textId="77777777" w:rsidR="00F36EA5" w:rsidRDefault="00F36EA5" w:rsidP="0042054D">
            <w:r>
              <w:t>100.0</w:t>
            </w:r>
          </w:p>
        </w:tc>
        <w:tc>
          <w:tcPr>
            <w:tcW w:w="1976" w:type="dxa"/>
          </w:tcPr>
          <w:p w14:paraId="4CBBDB2B" w14:textId="77777777" w:rsidR="00F36EA5" w:rsidRDefault="00F36EA5" w:rsidP="0042054D">
            <w:r>
              <w:t>100.0</w:t>
            </w:r>
          </w:p>
        </w:tc>
        <w:tc>
          <w:tcPr>
            <w:tcW w:w="2268" w:type="dxa"/>
          </w:tcPr>
          <w:p w14:paraId="5DD3F030" w14:textId="77777777" w:rsidR="00F36EA5" w:rsidRDefault="00F36EA5" w:rsidP="0042054D"/>
        </w:tc>
      </w:tr>
    </w:tbl>
    <w:p w14:paraId="214225D1" w14:textId="77777777" w:rsidR="00F36EA5" w:rsidRDefault="00F36EA5" w:rsidP="00F36EA5">
      <w:pPr>
        <w:rPr>
          <w:b/>
        </w:rPr>
      </w:pPr>
    </w:p>
    <w:p w14:paraId="01B18AB6" w14:textId="7EAE9647" w:rsidR="00F36EA5" w:rsidRDefault="00F36EA5" w:rsidP="00F36EA5">
      <w:pPr>
        <w:rPr>
          <w:b/>
        </w:rPr>
      </w:pPr>
    </w:p>
    <w:p w14:paraId="13231C0C" w14:textId="57A1201D" w:rsidR="00F36EA5" w:rsidRDefault="00F36EA5" w:rsidP="00F36EA5">
      <w:r>
        <w:t>The incidence of ectopic pregnancy am</w:t>
      </w:r>
      <w:r w:rsidR="00486FB2">
        <w:t xml:space="preserve">ong participants in this study </w:t>
      </w:r>
      <w:r>
        <w:t>was 1.1% of all deli</w:t>
      </w:r>
      <w:r w:rsidR="00486FB2">
        <w:t xml:space="preserve">veries. This is </w:t>
      </w:r>
      <w:r>
        <w:t xml:space="preserve">lower than that seen in Cameroon </w:t>
      </w:r>
      <m:oMath>
        <m:sSup>
          <m:sSupPr>
            <m:ctrlPr>
              <w:rPr>
                <w:rFonts w:ascii="Cambria Math" w:eastAsia="Cambria Math" w:hAnsi="Cambria Math" w:cs="Cambria Math"/>
              </w:rPr>
            </m:ctrlPr>
          </m:sSupPr>
          <m:e>
            <m:d>
              <m:dPr>
                <m:ctrlPr>
                  <w:rPr>
                    <w:rFonts w:ascii="Cambria Math" w:eastAsia="Cambria Math" w:hAnsi="Cambria Math" w:cs="Cambria Math"/>
                  </w:rPr>
                </m:ctrlPr>
              </m:dPr>
              <m:e>
                <m:r>
                  <w:rPr>
                    <w:rFonts w:ascii="Cambria Math" w:eastAsia="Cambria Math" w:hAnsi="Cambria Math" w:cs="Cambria Math"/>
                  </w:rPr>
                  <m:t>1.43%</m:t>
                </m:r>
              </m:e>
            </m:d>
          </m:e>
          <m:sup>
            <m:r>
              <w:rPr>
                <w:rFonts w:ascii="Cambria Math" w:eastAsia="Cambria Math" w:hAnsi="Cambria Math" w:cs="Cambria Math"/>
              </w:rPr>
              <m:t>16</m:t>
            </m:r>
          </m:sup>
        </m:sSup>
        <m:r>
          <w:rPr>
            <w:rFonts w:ascii="Cambria Math" w:eastAsia="Cambria Math" w:hAnsi="Cambria Math" w:cs="Cambria Math"/>
          </w:rPr>
          <m:t>,</m:t>
        </m:r>
      </m:oMath>
      <w:r>
        <w:t xml:space="preserve"> </w:t>
      </w:r>
      <w:r w:rsidR="00C71E1A">
        <w:t>and</w:t>
      </w:r>
      <w:r w:rsidR="00801E34">
        <w:t xml:space="preserve"> </w:t>
      </w:r>
      <w:r>
        <w:t xml:space="preserve">India </w:t>
      </w:r>
      <m:oMath>
        <m:sSup>
          <m:sSupPr>
            <m:ctrlPr>
              <w:rPr>
                <w:rFonts w:ascii="Cambria Math" w:eastAsia="Cambria Math" w:hAnsi="Cambria Math" w:cs="Cambria Math"/>
              </w:rPr>
            </m:ctrlPr>
          </m:sSupPr>
          <m:e>
            <m:d>
              <m:dPr>
                <m:ctrlPr>
                  <w:rPr>
                    <w:rFonts w:ascii="Cambria Math" w:eastAsia="Cambria Math" w:hAnsi="Cambria Math" w:cs="Cambria Math"/>
                  </w:rPr>
                </m:ctrlPr>
              </m:dPr>
              <m:e>
                <m:r>
                  <w:rPr>
                    <w:rFonts w:ascii="Cambria Math" w:eastAsia="Cambria Math" w:hAnsi="Cambria Math" w:cs="Cambria Math"/>
                  </w:rPr>
                  <m:t>1.38%</m:t>
                </m:r>
              </m:e>
            </m:d>
          </m:e>
          <m:sup>
            <m:r>
              <w:rPr>
                <w:rFonts w:ascii="Cambria Math" w:eastAsia="Cambria Math" w:hAnsi="Cambria Math" w:cs="Cambria Math"/>
              </w:rPr>
              <m:t>17</m:t>
            </m:r>
          </m:sup>
        </m:sSup>
      </m:oMath>
      <w:r>
        <w:t xml:space="preserve"> </w:t>
      </w:r>
      <w:r w:rsidR="00C71E1A">
        <w:t xml:space="preserve">, </w:t>
      </w:r>
      <w:r>
        <w:t xml:space="preserve">and higher than that </w:t>
      </w:r>
    </w:p>
    <w:p w14:paraId="44F7A71E" w14:textId="0615F901" w:rsidR="00F36EA5" w:rsidRPr="003D0B15" w:rsidRDefault="00F36EA5" w:rsidP="00F36EA5">
      <w:pPr>
        <w:rPr>
          <w:lang w:val="it-IT"/>
        </w:rPr>
      </w:pPr>
      <w:r w:rsidRPr="003D0B15">
        <w:rPr>
          <w:highlight w:val="none"/>
          <w:lang w:val="it-IT"/>
        </w:rPr>
        <w:lastRenderedPageBreak/>
        <w:t xml:space="preserve">seen in Nasarawa </w:t>
      </w:r>
      <m:oMath>
        <m:sSup>
          <m:sSupPr>
            <m:ctrlPr>
              <w:rPr>
                <w:rFonts w:ascii="Cambria Math" w:eastAsia="Cambria Math" w:hAnsi="Cambria Math" w:cs="Cambria Math"/>
                <w:highlight w:val="none"/>
              </w:rPr>
            </m:ctrlPr>
          </m:sSupPr>
          <m:e>
            <m:d>
              <m:dPr>
                <m:ctrlPr>
                  <w:rPr>
                    <w:rFonts w:ascii="Cambria Math" w:eastAsia="Cambria Math" w:hAnsi="Cambria Math" w:cs="Cambria Math"/>
                    <w:highlight w:val="none"/>
                  </w:rPr>
                </m:ctrlPr>
              </m:dPr>
              <m:e>
                <m:r>
                  <w:rPr>
                    <w:rFonts w:ascii="Cambria Math" w:eastAsia="Cambria Math" w:hAnsi="Cambria Math" w:cs="Cambria Math"/>
                    <w:highlight w:val="none"/>
                    <w:lang w:val="it-IT"/>
                  </w:rPr>
                  <m:t>0.089%</m:t>
                </m:r>
              </m:e>
            </m:d>
          </m:e>
          <m:sup>
            <m:r>
              <w:rPr>
                <w:rFonts w:ascii="Cambria Math" w:eastAsia="Cambria Math" w:hAnsi="Cambria Math" w:cs="Cambria Math"/>
                <w:highlight w:val="none"/>
                <w:lang w:val="it-IT"/>
              </w:rPr>
              <m:t>20</m:t>
            </m:r>
          </m:sup>
        </m:sSup>
        <m:r>
          <w:rPr>
            <w:rFonts w:ascii="Cambria Math" w:eastAsia="Cambria Math" w:hAnsi="Cambria Math" w:cs="Cambria Math"/>
            <w:highlight w:val="none"/>
            <w:lang w:val="it-IT"/>
          </w:rPr>
          <m:t>,</m:t>
        </m:r>
      </m:oMath>
      <w:r w:rsidRPr="003D0B15">
        <w:rPr>
          <w:highlight w:val="none"/>
          <w:lang w:val="it-IT"/>
        </w:rPr>
        <w:t xml:space="preserve"> </w:t>
      </w:r>
      <w:r w:rsidR="00C71E1A">
        <w:rPr>
          <w:highlight w:val="none"/>
          <w:lang w:val="it-IT"/>
        </w:rPr>
        <w:t xml:space="preserve">, </w:t>
      </w:r>
      <w:r w:rsidRPr="003D0B15">
        <w:rPr>
          <w:highlight w:val="none"/>
          <w:lang w:val="it-IT"/>
        </w:rPr>
        <w:t xml:space="preserve">India </w:t>
      </w:r>
      <m:oMath>
        <m:sSup>
          <m:sSupPr>
            <m:ctrlPr>
              <w:rPr>
                <w:rFonts w:ascii="Cambria Math" w:eastAsia="Cambria Math" w:hAnsi="Cambria Math" w:cs="Cambria Math"/>
                <w:highlight w:val="none"/>
              </w:rPr>
            </m:ctrlPr>
          </m:sSupPr>
          <m:e>
            <m:d>
              <m:dPr>
                <m:ctrlPr>
                  <w:rPr>
                    <w:rFonts w:ascii="Cambria Math" w:eastAsia="Cambria Math" w:hAnsi="Cambria Math" w:cs="Cambria Math"/>
                    <w:highlight w:val="none"/>
                  </w:rPr>
                </m:ctrlPr>
              </m:dPr>
              <m:e>
                <m:r>
                  <w:rPr>
                    <w:rFonts w:ascii="Cambria Math" w:eastAsia="Cambria Math" w:hAnsi="Cambria Math" w:cs="Cambria Math"/>
                    <w:highlight w:val="none"/>
                    <w:lang w:val="it-IT"/>
                  </w:rPr>
                  <m:t>0.0053%</m:t>
                </m:r>
              </m:e>
            </m:d>
            <m:r>
              <w:rPr>
                <w:rFonts w:ascii="Cambria Math" w:eastAsia="Cambria Math" w:hAnsi="Cambria Math" w:cs="Cambria Math"/>
                <w:highlight w:val="none"/>
                <w:lang w:val="it-IT"/>
              </w:rPr>
              <m:t>.</m:t>
            </m:r>
          </m:e>
          <m:sup>
            <m:r>
              <w:rPr>
                <w:rFonts w:ascii="Cambria Math" w:eastAsia="Cambria Math" w:hAnsi="Cambria Math" w:cs="Cambria Math"/>
                <w:highlight w:val="none"/>
                <w:lang w:val="it-IT"/>
              </w:rPr>
              <m:t>18</m:t>
            </m:r>
          </m:sup>
        </m:sSup>
        <m:r>
          <w:rPr>
            <w:rFonts w:ascii="Cambria Math" w:eastAsia="Cambria Math" w:hAnsi="Cambria Math" w:cs="Cambria Math"/>
            <w:highlight w:val="none"/>
            <w:lang w:val="it-IT"/>
          </w:rPr>
          <m:t>,</m:t>
        </m:r>
      </m:oMath>
      <w:r w:rsidRPr="003D0B15">
        <w:rPr>
          <w:highlight w:val="none"/>
          <w:lang w:val="it-IT"/>
        </w:rPr>
        <w:t xml:space="preserve"> </w:t>
      </w:r>
      <w:r w:rsidR="00C71E1A">
        <w:rPr>
          <w:highlight w:val="none"/>
          <w:lang w:val="it-IT"/>
        </w:rPr>
        <w:t xml:space="preserve">, </w:t>
      </w:r>
      <w:r w:rsidRPr="003D0B15">
        <w:rPr>
          <w:highlight w:val="none"/>
          <w:lang w:val="it-IT"/>
        </w:rPr>
        <w:t xml:space="preserve">Ghana </w:t>
      </w:r>
      <m:oMath>
        <m:sSup>
          <m:sSupPr>
            <m:ctrlPr>
              <w:rPr>
                <w:rFonts w:ascii="Cambria Math" w:eastAsia="Cambria Math" w:hAnsi="Cambria Math" w:cs="Cambria Math"/>
                <w:highlight w:val="none"/>
              </w:rPr>
            </m:ctrlPr>
          </m:sSupPr>
          <m:e>
            <m:d>
              <m:dPr>
                <m:ctrlPr>
                  <w:rPr>
                    <w:rFonts w:ascii="Cambria Math" w:eastAsia="Cambria Math" w:hAnsi="Cambria Math" w:cs="Cambria Math"/>
                    <w:highlight w:val="none"/>
                  </w:rPr>
                </m:ctrlPr>
              </m:dPr>
              <m:e>
                <m:r>
                  <w:rPr>
                    <w:rFonts w:ascii="Cambria Math" w:eastAsia="Cambria Math" w:hAnsi="Cambria Math" w:cs="Cambria Math"/>
                    <w:highlight w:val="none"/>
                    <w:lang w:val="it-IT"/>
                  </w:rPr>
                  <m:t>0.08</m:t>
                </m:r>
              </m:e>
            </m:d>
          </m:e>
          <m:sup>
            <m:r>
              <w:rPr>
                <w:rFonts w:ascii="Cambria Math" w:eastAsia="Cambria Math" w:hAnsi="Cambria Math" w:cs="Cambria Math"/>
                <w:highlight w:val="none"/>
                <w:lang w:val="it-IT"/>
              </w:rPr>
              <m:t>14</m:t>
            </m:r>
          </m:sup>
        </m:sSup>
        <m:r>
          <w:rPr>
            <w:rFonts w:ascii="Cambria Math" w:eastAsia="Cambria Math" w:hAnsi="Cambria Math" w:cs="Cambria Math"/>
            <w:highlight w:val="none"/>
            <w:lang w:val="it-IT"/>
          </w:rPr>
          <m:t>,</m:t>
        </m:r>
      </m:oMath>
      <w:r w:rsidR="00186B6D" w:rsidRPr="003D0B15">
        <w:rPr>
          <w:highlight w:val="none"/>
          <w:lang w:val="it-IT"/>
        </w:rPr>
        <w:t xml:space="preserve"> </w:t>
      </w:r>
      <w:r w:rsidR="00801E34">
        <w:rPr>
          <w:highlight w:val="none"/>
          <w:lang w:val="it-IT"/>
        </w:rPr>
        <w:t xml:space="preserve">, </w:t>
      </w:r>
      <w:r w:rsidRPr="003D0B15">
        <w:rPr>
          <w:highlight w:val="none"/>
          <w:lang w:val="it-IT"/>
        </w:rPr>
        <w:t xml:space="preserve">Gambia </w:t>
      </w:r>
      <m:oMath>
        <m:sSup>
          <m:sSupPr>
            <m:ctrlPr>
              <w:rPr>
                <w:rFonts w:ascii="Cambria Math" w:eastAsia="Cambria Math" w:hAnsi="Cambria Math" w:cs="Cambria Math"/>
                <w:highlight w:val="none"/>
              </w:rPr>
            </m:ctrlPr>
          </m:sSupPr>
          <m:e>
            <m:d>
              <m:dPr>
                <m:ctrlPr>
                  <w:rPr>
                    <w:rFonts w:ascii="Cambria Math" w:eastAsia="Cambria Math" w:hAnsi="Cambria Math" w:cs="Cambria Math"/>
                    <w:highlight w:val="none"/>
                  </w:rPr>
                </m:ctrlPr>
              </m:dPr>
              <m:e>
                <m:r>
                  <w:rPr>
                    <w:rFonts w:ascii="Cambria Math" w:eastAsia="Cambria Math" w:hAnsi="Cambria Math" w:cs="Cambria Math"/>
                    <w:highlight w:val="none"/>
                  </w:rPr>
                  <m:t xml:space="preserve"> ,</m:t>
                </m:r>
                <m:r>
                  <w:rPr>
                    <w:rFonts w:ascii="Cambria Math" w:eastAsia="Cambria Math" w:hAnsi="Cambria Math" w:cs="Cambria Math"/>
                    <w:highlight w:val="none"/>
                    <w:lang w:val="it-IT"/>
                  </w:rPr>
                  <m:t>,</m:t>
                </m:r>
                <m:r>
                  <w:rPr>
                    <w:rFonts w:ascii="Cambria Math" w:eastAsia="Cambria Math" w:hAnsi="Cambria Math" w:cs="Cambria Math"/>
                    <w:highlight w:val="none"/>
                    <w:lang w:val="it-IT"/>
                  </w:rPr>
                  <m:t>0.016%</m:t>
                </m:r>
              </m:e>
            </m:d>
          </m:e>
          <m:sup>
            <m:r>
              <w:rPr>
                <w:rFonts w:ascii="Cambria Math" w:eastAsia="Cambria Math" w:hAnsi="Cambria Math" w:cs="Cambria Math"/>
                <w:highlight w:val="none"/>
                <w:lang w:val="it-IT"/>
              </w:rPr>
              <m:t>5</m:t>
            </m:r>
          </m:sup>
        </m:sSup>
        <m:r>
          <w:rPr>
            <w:rFonts w:ascii="Cambria Math" w:eastAsia="Cambria Math" w:hAnsi="Cambria Math" w:cs="Cambria Math"/>
            <w:highlight w:val="none"/>
            <w:lang w:val="it-IT"/>
          </w:rPr>
          <m:t xml:space="preserve"> </m:t>
        </m:r>
      </m:oMath>
      <w:r w:rsidR="00186B6D" w:rsidRPr="003D0B15">
        <w:rPr>
          <w:highlight w:val="none"/>
          <w:lang w:val="it-IT"/>
        </w:rPr>
        <w:t>and E</w:t>
      </w:r>
      <w:r w:rsidRPr="003D0B15">
        <w:rPr>
          <w:highlight w:val="none"/>
          <w:lang w:val="it-IT"/>
        </w:rPr>
        <w:t xml:space="preserve">urope </w:t>
      </w:r>
      <m:oMath>
        <m:sSup>
          <m:sSupPr>
            <m:ctrlPr>
              <w:rPr>
                <w:rFonts w:ascii="Cambria Math" w:eastAsia="Cambria Math" w:hAnsi="Cambria Math" w:cs="Cambria Math"/>
                <w:highlight w:val="none"/>
              </w:rPr>
            </m:ctrlPr>
          </m:sSupPr>
          <m:e>
            <m:d>
              <m:dPr>
                <m:ctrlPr>
                  <w:rPr>
                    <w:rFonts w:ascii="Cambria Math" w:eastAsia="Cambria Math" w:hAnsi="Cambria Math" w:cs="Cambria Math"/>
                    <w:highlight w:val="none"/>
                  </w:rPr>
                </m:ctrlPr>
              </m:dPr>
              <m:e>
                <m:r>
                  <w:rPr>
                    <w:rFonts w:ascii="Cambria Math" w:eastAsia="Cambria Math" w:hAnsi="Cambria Math" w:cs="Cambria Math"/>
                    <w:highlight w:val="none"/>
                    <w:lang w:val="it-IT"/>
                  </w:rPr>
                  <m:t>1.08%</m:t>
                </m:r>
              </m:e>
            </m:d>
          </m:e>
          <m:sup>
            <m:r>
              <w:rPr>
                <w:rFonts w:ascii="Cambria Math" w:eastAsia="Cambria Math" w:hAnsi="Cambria Math" w:cs="Cambria Math"/>
                <w:highlight w:val="none"/>
                <w:lang w:val="it-IT"/>
              </w:rPr>
              <m:t>21</m:t>
            </m:r>
          </m:sup>
        </m:sSup>
        <m:r>
          <w:rPr>
            <w:rFonts w:ascii="Cambria Math" w:eastAsia="Cambria Math" w:hAnsi="Cambria Math" w:cs="Cambria Math"/>
            <w:lang w:val="it-IT"/>
          </w:rPr>
          <m:t>.</m:t>
        </m:r>
      </m:oMath>
    </w:p>
    <w:p w14:paraId="6BD30190" w14:textId="77777777" w:rsidR="00F36EA5" w:rsidRPr="007B3211" w:rsidRDefault="00F36EA5" w:rsidP="00F36EA5">
      <w:pPr>
        <w:rPr>
          <w:highlight w:val="none"/>
          <w:lang w:val="it-IT"/>
        </w:rPr>
      </w:pPr>
    </w:p>
    <w:p w14:paraId="18EFDF16" w14:textId="77777777" w:rsidR="00F36EA5" w:rsidRPr="007B3211" w:rsidRDefault="00720AA4" w:rsidP="00F36EA5">
      <w:pPr>
        <w:rPr>
          <w:highlight w:val="none"/>
        </w:rPr>
      </w:pPr>
      <w:r w:rsidRPr="007B3211">
        <w:rPr>
          <w:highlight w:val="none"/>
        </w:rPr>
        <w:t>The higher</w:t>
      </w:r>
      <w:r w:rsidR="00F36EA5" w:rsidRPr="007B3211">
        <w:rPr>
          <w:highlight w:val="none"/>
        </w:rPr>
        <w:t xml:space="preserve"> incidence of ectopic pregn</w:t>
      </w:r>
      <w:r w:rsidRPr="007B3211">
        <w:rPr>
          <w:highlight w:val="none"/>
        </w:rPr>
        <w:t xml:space="preserve">ancy in this study compared to others </w:t>
      </w:r>
      <w:r w:rsidR="00F36EA5" w:rsidRPr="007B3211">
        <w:rPr>
          <w:highlight w:val="none"/>
        </w:rPr>
        <w:t xml:space="preserve">may be attributed to the increasing incidence of pelvic inflammatory diseases, caesarean section deliveries as well as increased awareness of the condition </w:t>
      </w:r>
      <w:r w:rsidRPr="007B3211">
        <w:rPr>
          <w:highlight w:val="none"/>
        </w:rPr>
        <w:t>in this environment</w:t>
      </w:r>
      <w:r w:rsidR="00F36EA5" w:rsidRPr="007B3211">
        <w:rPr>
          <w:highlight w:val="none"/>
        </w:rPr>
        <w:t>.</w:t>
      </w:r>
    </w:p>
    <w:p w14:paraId="454E0684" w14:textId="66742CC9" w:rsidR="00F36EA5" w:rsidRDefault="00F36EA5" w:rsidP="00F36EA5">
      <w:commentRangeStart w:id="7"/>
      <w:r w:rsidRPr="007B3211">
        <w:rPr>
          <w:highlight w:val="none"/>
        </w:rPr>
        <w:t>The incidence of 3.9 % of</w:t>
      </w:r>
      <w:r w:rsidR="00D134ED" w:rsidRPr="007B3211">
        <w:rPr>
          <w:highlight w:val="none"/>
        </w:rPr>
        <w:t xml:space="preserve"> all gynaecological admissions </w:t>
      </w:r>
      <w:r w:rsidRPr="007B3211">
        <w:rPr>
          <w:highlight w:val="none"/>
        </w:rPr>
        <w:t xml:space="preserve">was higher than the incidence noted in Awka </w:t>
      </w:r>
      <m:oMath>
        <m:sSup>
          <m:sSupPr>
            <m:ctrlPr>
              <w:rPr>
                <w:rFonts w:ascii="Cambria Math" w:eastAsia="Cambria Math" w:hAnsi="Cambria Math" w:cs="Cambria Math"/>
                <w:highlight w:val="none"/>
              </w:rPr>
            </m:ctrlPr>
          </m:sSupPr>
          <m:e>
            <m:r>
              <w:rPr>
                <w:rFonts w:ascii="Cambria Math" w:eastAsia="Cambria Math" w:hAnsi="Cambria Math" w:cs="Cambria Math"/>
                <w:highlight w:val="none"/>
              </w:rPr>
              <m:t>(1.92%)</m:t>
            </m:r>
          </m:e>
          <m:sup>
            <m:r>
              <w:rPr>
                <w:rFonts w:ascii="Cambria Math" w:eastAsia="Cambria Math" w:hAnsi="Cambria Math" w:cs="Cambria Math"/>
                <w:highlight w:val="none"/>
              </w:rPr>
              <m:t>13</m:t>
            </m:r>
          </m:sup>
        </m:sSup>
        <m:r>
          <w:rPr>
            <w:rFonts w:ascii="Cambria Math" w:eastAsia="Cambria Math" w:hAnsi="Cambria Math" w:cs="Cambria Math"/>
            <w:highlight w:val="none"/>
          </w:rPr>
          <m:t>,</m:t>
        </m:r>
      </m:oMath>
      <w:r w:rsidRPr="007B3211">
        <w:rPr>
          <w:highlight w:val="none"/>
        </w:rPr>
        <w:t xml:space="preserve"> </w:t>
      </w:r>
      <w:r w:rsidR="00C71E1A">
        <w:rPr>
          <w:highlight w:val="none"/>
        </w:rPr>
        <w:t xml:space="preserve">, </w:t>
      </w:r>
      <w:r w:rsidRPr="007B3211">
        <w:rPr>
          <w:highlight w:val="none"/>
        </w:rPr>
        <w:t xml:space="preserve">Nassarawa </w:t>
      </w:r>
      <m:oMath>
        <m:sSup>
          <m:sSupPr>
            <m:ctrlPr>
              <w:rPr>
                <w:rFonts w:ascii="Cambria Math" w:eastAsia="Cambria Math" w:hAnsi="Cambria Math" w:cs="Cambria Math"/>
                <w:highlight w:val="none"/>
              </w:rPr>
            </m:ctrlPr>
          </m:sSupPr>
          <m:e>
            <m:r>
              <w:rPr>
                <w:rFonts w:ascii="Cambria Math" w:eastAsia="Cambria Math" w:hAnsi="Cambria Math" w:cs="Cambria Math"/>
                <w:highlight w:val="none"/>
              </w:rPr>
              <m:t>(2.74%)</m:t>
            </m:r>
          </m:e>
          <m:sup>
            <m:r>
              <w:rPr>
                <w:rFonts w:ascii="Cambria Math" w:eastAsia="Cambria Math" w:hAnsi="Cambria Math" w:cs="Cambria Math"/>
                <w:highlight w:val="none"/>
              </w:rPr>
              <m:t>20</m:t>
            </m:r>
          </m:sup>
        </m:sSup>
      </m:oMath>
      <w:r w:rsidRPr="007B3211">
        <w:rPr>
          <w:highlight w:val="none"/>
        </w:rPr>
        <w:t>, but similar to Enugu</w:t>
      </w:r>
      <w:commentRangeEnd w:id="7"/>
      <w:r w:rsidR="00C71E1A" w:rsidRPr="007B3211">
        <w:rPr>
          <w:rStyle w:val="CommentReference"/>
          <w:sz w:val="24"/>
          <w:szCs w:val="24"/>
          <w:highlight w:val="none"/>
        </w:rPr>
        <w:commentReference w:id="7"/>
      </w:r>
      <w:r w:rsidRPr="007B3211">
        <w:rPr>
          <w:highlight w:val="none"/>
        </w:rPr>
        <w:t xml:space="preserve"> </w:t>
      </w:r>
      <m:oMath>
        <m:sSup>
          <m:sSupPr>
            <m:ctrlPr>
              <w:rPr>
                <w:rFonts w:ascii="Cambria Math" w:eastAsia="Cambria Math" w:hAnsi="Cambria Math" w:cs="Cambria Math"/>
                <w:highlight w:val="none"/>
              </w:rPr>
            </m:ctrlPr>
          </m:sSupPr>
          <m:e>
            <m:r>
              <w:rPr>
                <w:rFonts w:ascii="Cambria Math" w:eastAsia="Cambria Math" w:hAnsi="Cambria Math" w:cs="Cambria Math"/>
                <w:highlight w:val="none"/>
              </w:rPr>
              <m:t>(3.7%)</m:t>
            </m:r>
          </m:e>
          <m:sup>
            <m:r>
              <w:rPr>
                <w:rFonts w:ascii="Cambria Math" w:eastAsia="Cambria Math" w:hAnsi="Cambria Math" w:cs="Cambria Math"/>
                <w:highlight w:val="none"/>
              </w:rPr>
              <m:t>19</m:t>
            </m:r>
          </m:sup>
        </m:sSup>
      </m:oMath>
      <w:r w:rsidRPr="007B3211">
        <w:rPr>
          <w:highlight w:val="none"/>
        </w:rPr>
        <w:t xml:space="preserve">. This could be explained by the fact that the number </w:t>
      </w:r>
      <w:commentRangeStart w:id="8"/>
      <w:r w:rsidRPr="007B3211">
        <w:rPr>
          <w:highlight w:val="none"/>
        </w:rPr>
        <w:t>of patients w</w:t>
      </w:r>
      <w:r w:rsidR="00D134ED" w:rsidRPr="007B3211">
        <w:rPr>
          <w:highlight w:val="none"/>
        </w:rPr>
        <w:t xml:space="preserve">ho presented in </w:t>
      </w:r>
      <w:r w:rsidR="00D134ED">
        <w:t xml:space="preserve">the study </w:t>
      </w:r>
      <w:commentRangeEnd w:id="8"/>
      <w:r w:rsidR="00C71E1A">
        <w:rPr>
          <w:rStyle w:val="CommentReference"/>
          <w:sz w:val="24"/>
          <w:szCs w:val="24"/>
        </w:rPr>
        <w:commentReference w:id="8"/>
      </w:r>
      <w:r w:rsidR="00D134ED">
        <w:t>centre</w:t>
      </w:r>
      <w:r>
        <w:t xml:space="preserve"> with gyn</w:t>
      </w:r>
      <w:r w:rsidR="00D134ED">
        <w:t>a</w:t>
      </w:r>
      <w:r>
        <w:t>ecological cases over the four-year study period was small. Most patients with gyn</w:t>
      </w:r>
      <w:r w:rsidR="00D134ED">
        <w:t>a</w:t>
      </w:r>
      <w:r>
        <w:t>ecological cases</w:t>
      </w:r>
      <w:r w:rsidR="00C71E1A">
        <w:t>,</w:t>
      </w:r>
      <w:r>
        <w:t xml:space="preserve"> including ectopic pregnancy</w:t>
      </w:r>
      <w:r w:rsidR="00C71E1A">
        <w:t>,</w:t>
      </w:r>
      <w:r>
        <w:t xml:space="preserve"> presente</w:t>
      </w:r>
      <w:r w:rsidR="00D134ED">
        <w:t>d to primary and secondary cent</w:t>
      </w:r>
      <w:r>
        <w:t>r</w:t>
      </w:r>
      <w:r w:rsidR="00D134ED">
        <w:t>e</w:t>
      </w:r>
      <w:r>
        <w:t>s for intervention and only so</w:t>
      </w:r>
      <w:r w:rsidR="00D134ED">
        <w:t>ught care in the tertiary centre</w:t>
      </w:r>
      <w:r>
        <w:t xml:space="preserve"> either when referred or when the clinical condition needed more expert intervention.</w:t>
      </w:r>
    </w:p>
    <w:p w14:paraId="5D5CC048" w14:textId="77777777" w:rsidR="00F36EA5" w:rsidRDefault="00F36EA5" w:rsidP="00F36EA5">
      <w:r w:rsidRPr="003E7979">
        <w:rPr>
          <w:rFonts w:asciiTheme="majorBidi" w:eastAsia="Gungsuh" w:hAnsiTheme="majorBidi" w:cstheme="majorBidi"/>
        </w:rPr>
        <w:t>Age ≥ 35 years has been implicated as a mild risk factor for the development of ectopic pregnancy.  Most of the participants who had ectopic pregnancy in the study were in the age groups (26-30 years) and (31-35 years) with the highest prevalence seen in the former. This was similar to findings seen in Enugu</w:t>
      </w:r>
      <w:r w:rsidRPr="003E7979">
        <w:rPr>
          <w:rFonts w:asciiTheme="majorBidi" w:hAnsiTheme="majorBidi" w:cstheme="majorBidi"/>
          <w:vertAlign w:val="superscript"/>
        </w:rPr>
        <w:t>19</w:t>
      </w:r>
      <w:r w:rsidRPr="003E7979">
        <w:rPr>
          <w:rFonts w:asciiTheme="majorBidi" w:hAnsiTheme="majorBidi" w:cstheme="majorBidi"/>
        </w:rPr>
        <w:t>, Nasarawa</w:t>
      </w:r>
      <w:r w:rsidRPr="003E7979">
        <w:rPr>
          <w:rFonts w:asciiTheme="majorBidi" w:hAnsiTheme="majorBidi" w:cstheme="majorBidi"/>
          <w:vertAlign w:val="superscript"/>
        </w:rPr>
        <w:t>20</w:t>
      </w:r>
      <w:r w:rsidRPr="003E7979">
        <w:rPr>
          <w:rFonts w:asciiTheme="majorBidi" w:hAnsiTheme="majorBidi" w:cstheme="majorBidi"/>
        </w:rPr>
        <w:t>, Gambia</w:t>
      </w:r>
      <w:r w:rsidRPr="003E7979">
        <w:rPr>
          <w:rFonts w:asciiTheme="majorBidi" w:hAnsiTheme="majorBidi" w:cstheme="majorBidi"/>
          <w:vertAlign w:val="superscript"/>
        </w:rPr>
        <w:t xml:space="preserve">5 </w:t>
      </w:r>
      <w:r w:rsidRPr="003E7979">
        <w:rPr>
          <w:rFonts w:asciiTheme="majorBidi" w:hAnsiTheme="majorBidi" w:cstheme="majorBidi"/>
        </w:rPr>
        <w:t>and India</w:t>
      </w:r>
      <w:r w:rsidRPr="003E7979">
        <w:rPr>
          <w:rFonts w:asciiTheme="majorBidi" w:hAnsiTheme="majorBidi" w:cstheme="majorBidi"/>
          <w:vertAlign w:val="superscript"/>
        </w:rPr>
        <w:t>15</w:t>
      </w:r>
      <w:r w:rsidRPr="003E7979">
        <w:rPr>
          <w:rFonts w:asciiTheme="majorBidi" w:hAnsiTheme="majorBidi" w:cstheme="majorBidi"/>
        </w:rPr>
        <w:t xml:space="preserve">. </w:t>
      </w:r>
      <w:r>
        <w:t>This age group represents the peak ag</w:t>
      </w:r>
      <w:r w:rsidR="0016190F">
        <w:t xml:space="preserve">e of </w:t>
      </w:r>
      <w:r>
        <w:t>motherhood as more women tend to defer childbearing in pursuit of higher education.</w:t>
      </w:r>
    </w:p>
    <w:p w14:paraId="4A496B30" w14:textId="77777777" w:rsidR="00F36EA5" w:rsidRDefault="00F36EA5" w:rsidP="00F36EA5">
      <w:r>
        <w:t xml:space="preserve">The mean age of the participants in this research was 30.28 years. This is similar to the findings obtained from another south-south study </w:t>
      </w:r>
      <w:r w:rsidR="00976BDF">
        <w:t xml:space="preserve">in the country </w:t>
      </w:r>
      <w:r>
        <w:t>where it was 31 years</w:t>
      </w:r>
      <w:r>
        <w:rPr>
          <w:vertAlign w:val="superscript"/>
        </w:rPr>
        <w:t>11</w:t>
      </w:r>
      <w:r>
        <w:t>. This is in keeping with findings observed in Awka (29.07±5.2 years)</w:t>
      </w:r>
      <w:r>
        <w:rPr>
          <w:vertAlign w:val="superscript"/>
        </w:rPr>
        <w:t>13</w:t>
      </w:r>
      <w:r>
        <w:t>,</w:t>
      </w:r>
      <w:r w:rsidR="00976BDF">
        <w:t xml:space="preserve"> and</w:t>
      </w:r>
      <w:r>
        <w:t xml:space="preserve"> Rivers (31 years)</w:t>
      </w:r>
      <w:r>
        <w:rPr>
          <w:vertAlign w:val="superscript"/>
        </w:rPr>
        <w:t>11</w:t>
      </w:r>
      <w:r>
        <w:t>. It was however slightly higher than that observed in Ghana (27.61±5.56 years)</w:t>
      </w:r>
      <w:r>
        <w:rPr>
          <w:vertAlign w:val="superscript"/>
        </w:rPr>
        <w:t>14</w:t>
      </w:r>
      <w:r>
        <w:t>, Cameroon (27.68±5.50 years)</w:t>
      </w:r>
      <w:r>
        <w:rPr>
          <w:vertAlign w:val="superscript"/>
        </w:rPr>
        <w:t>16</w:t>
      </w:r>
      <w:r>
        <w:t xml:space="preserve"> and India (26.54±5.03 years).</w:t>
      </w:r>
    </w:p>
    <w:p w14:paraId="7DA1F2E4" w14:textId="77777777" w:rsidR="00F36EA5" w:rsidRDefault="00F36EA5" w:rsidP="00F36EA5">
      <w:r>
        <w:t>Majority of the patients were n</w:t>
      </w:r>
      <w:r w:rsidR="00747C24">
        <w:t>ulliparous (82.2%), single (55.7</w:t>
      </w:r>
      <w:r>
        <w:t>%) and unemployed (36.7%). A similar work done in Nasarawa</w:t>
      </w:r>
      <w:r>
        <w:rPr>
          <w:vertAlign w:val="superscript"/>
        </w:rPr>
        <w:t>20</w:t>
      </w:r>
      <w:r>
        <w:t>, showed that majority of the participants were nulliparous (32.36%). This can be explained by the fact that these participants may have undergone evaluation for infertility. Also with the age range of patients which comprised majority of the participants, most of them were either still in the tertiary institution, deferring marriage or yet to find a suitable partner. Also, unlike married women who generally had a more stable intimate relationship, single women were more likely to have multiple sexual partners, increasing their risk of having ectopic pregnancy</w:t>
      </w:r>
      <w:r w:rsidR="00747C24">
        <w:t xml:space="preserve"> from pelvic inflammatory diseases and adhesions. Our</w:t>
      </w:r>
      <w:r>
        <w:t xml:space="preserve"> </w:t>
      </w:r>
      <w:r w:rsidR="00747C24">
        <w:t xml:space="preserve">finding </w:t>
      </w:r>
      <w:r>
        <w:t>was different from the results obtained in india</w:t>
      </w:r>
      <w:r>
        <w:rPr>
          <w:vertAlign w:val="superscript"/>
        </w:rPr>
        <w:t>17</w:t>
      </w:r>
      <w:r>
        <w:t xml:space="preserve"> where multigravidas (76%)</w:t>
      </w:r>
      <w:r>
        <w:rPr>
          <w:vertAlign w:val="superscript"/>
        </w:rPr>
        <w:t>17</w:t>
      </w:r>
      <w:r>
        <w:t xml:space="preserve"> </w:t>
      </w:r>
      <w:r w:rsidR="00747C24">
        <w:t xml:space="preserve">and </w:t>
      </w:r>
      <w:r>
        <w:t>(68%)</w:t>
      </w:r>
      <w:r>
        <w:rPr>
          <w:vertAlign w:val="superscript"/>
        </w:rPr>
        <w:t>18</w:t>
      </w:r>
      <w:r>
        <w:t xml:space="preserve"> </w:t>
      </w:r>
      <w:r>
        <w:lastRenderedPageBreak/>
        <w:t>made up majority of the participants. This could possibly be explained by previous miscarriages and infection as well as use of IUC</w:t>
      </w:r>
      <w:r w:rsidR="00747C24">
        <w:t>D.</w:t>
      </w:r>
    </w:p>
    <w:p w14:paraId="48F00898" w14:textId="77777777" w:rsidR="00F36EA5" w:rsidRDefault="00F36EA5" w:rsidP="00F36EA5"/>
    <w:p w14:paraId="3B867B1F" w14:textId="77777777" w:rsidR="00F36EA5" w:rsidRDefault="00F36EA5" w:rsidP="00F36EA5">
      <w:r>
        <w:t>U</w:t>
      </w:r>
      <w:r w:rsidR="00747C24">
        <w:t xml:space="preserve">nemployment </w:t>
      </w:r>
      <w:r>
        <w:t>observed in the study may have led to increased risk of promiscuity, poor health seeking behaviour and poor hygiene</w:t>
      </w:r>
      <w:r w:rsidR="00747C24">
        <w:t>;</w:t>
      </w:r>
      <w:r>
        <w:t xml:space="preserve"> predisposing </w:t>
      </w:r>
      <w:r w:rsidR="00747C24">
        <w:t xml:space="preserve">them </w:t>
      </w:r>
      <w:r>
        <w:t>to PID thereby increasing the risk of having ectopic pregnancy. This was also noted in a study done in India</w:t>
      </w:r>
      <w:r>
        <w:rPr>
          <w:vertAlign w:val="superscript"/>
        </w:rPr>
        <w:t>17</w:t>
      </w:r>
      <w:r>
        <w:t>.</w:t>
      </w:r>
    </w:p>
    <w:p w14:paraId="312E2E2D" w14:textId="77777777" w:rsidR="00F36EA5" w:rsidRDefault="00F36EA5" w:rsidP="00F36EA5">
      <w:r>
        <w:t>From our study, majority of the patients with ectopic pregnancy had previous PID as th</w:t>
      </w:r>
      <w:r w:rsidR="00EA067B">
        <w:t>e risk factor similar to</w:t>
      </w:r>
      <w:r>
        <w:t xml:space="preserve"> studies done in Anambra,</w:t>
      </w:r>
      <w:r>
        <w:rPr>
          <w:vertAlign w:val="superscript"/>
        </w:rPr>
        <w:t>13</w:t>
      </w:r>
      <w:r>
        <w:t>, Gambia</w:t>
      </w:r>
      <w:r>
        <w:rPr>
          <w:vertAlign w:val="superscript"/>
        </w:rPr>
        <w:t>5</w:t>
      </w:r>
      <w:r>
        <w:t xml:space="preserve"> and Cameroon</w:t>
      </w:r>
      <w:r>
        <w:rPr>
          <w:vertAlign w:val="superscript"/>
        </w:rPr>
        <w:t>16</w:t>
      </w:r>
      <w:r>
        <w:t>which are all middle/low resource settings where poverty may have encouraged promiscuity. This could also be explained by the fact that the young, single and unemployed patients who were the majority in the study were at risk of indulging in unprotected sexual activity/intercourse with possible multiple sexual partners as well as poor contraceptive uptake amongst the younger age group, thereby increasing their risks of contacting sexually transmitted infections.</w:t>
      </w:r>
    </w:p>
    <w:p w14:paraId="53AE4CFD" w14:textId="77777777" w:rsidR="00F36EA5" w:rsidRDefault="00F36EA5" w:rsidP="00F36EA5">
      <w:r>
        <w:t>In these group of patients, pelvic inflammatory disease may have led to the development of endosalpingitis or exosalpingitis. The endosalpingitis damages the mucosa and decreases ciliary beating action impairing embryo transfer whereas the exosalpingitis gives rise to adhesions impairing the peristaltic movements of the fallopian tubes with resultant ectopic gestation.</w:t>
      </w:r>
    </w:p>
    <w:p w14:paraId="60CC5B2D" w14:textId="77777777" w:rsidR="00F36EA5" w:rsidRDefault="00F36EA5" w:rsidP="00F36EA5">
      <w:r>
        <w:t>Artificial reproductive technique (2.5%) as well as use of intra-uterine contraceptive device (IUCD)</w:t>
      </w:r>
      <w:r w:rsidR="00EA067B">
        <w:t xml:space="preserve"> </w:t>
      </w:r>
      <w:r>
        <w:t>(2.5%) were found to be the lowest risk factors contributing to the development of ectopic p</w:t>
      </w:r>
      <w:r w:rsidR="0030706F">
        <w:t>regnancy in this study. I</w:t>
      </w:r>
      <w:r>
        <w:t>n the s</w:t>
      </w:r>
      <w:r w:rsidR="00EA067B">
        <w:t>tudy setting</w:t>
      </w:r>
      <w:r w:rsidR="0030706F">
        <w:t>,</w:t>
      </w:r>
      <w:r w:rsidR="00EA067B">
        <w:t xml:space="preserve"> many </w:t>
      </w:r>
      <w:r w:rsidR="0030706F">
        <w:t xml:space="preserve">women did not go for </w:t>
      </w:r>
      <w:r>
        <w:t>artificial reproductive techniques as a management modality for infertility, due to spiritual be</w:t>
      </w:r>
      <w:r w:rsidR="0030706F">
        <w:t>liefs, low socioeconomic status and</w:t>
      </w:r>
      <w:r>
        <w:t xml:space="preserve"> cultural beliefs. Also, the majority of participants who belonged to the younger age group were more likely to choose barrier methods of contraception as opposed to the use of IUCDs, which they perceived to have easier method of application and shorter duration.</w:t>
      </w:r>
    </w:p>
    <w:p w14:paraId="1AD2C250" w14:textId="77777777" w:rsidR="00F36EA5" w:rsidRDefault="00A67F9A" w:rsidP="00F36EA5">
      <w:r>
        <w:t>M</w:t>
      </w:r>
      <w:r w:rsidR="00F36EA5">
        <w:t>ajority of the patients seen in the</w:t>
      </w:r>
      <w:r>
        <w:t xml:space="preserve"> study cent</w:t>
      </w:r>
      <w:r w:rsidR="00F36EA5">
        <w:t>r</w:t>
      </w:r>
      <w:r>
        <w:t>e</w:t>
      </w:r>
      <w:r w:rsidR="00F36EA5">
        <w:t xml:space="preserve"> presented in the ruptured state (97.5%). This is also in keeping with observations made in other studies done in low-income settings like Rivers</w:t>
      </w:r>
      <w:r w:rsidR="00F36EA5">
        <w:rPr>
          <w:vertAlign w:val="superscript"/>
        </w:rPr>
        <w:t>11</w:t>
      </w:r>
      <w:r w:rsidR="00F36EA5">
        <w:t>, Enugu</w:t>
      </w:r>
      <w:r w:rsidR="00F36EA5">
        <w:rPr>
          <w:vertAlign w:val="superscript"/>
        </w:rPr>
        <w:t>19</w:t>
      </w:r>
      <w:r w:rsidR="00F36EA5">
        <w:t>, Cameroon</w:t>
      </w:r>
      <w:r w:rsidR="00F36EA5">
        <w:rPr>
          <w:vertAlign w:val="superscript"/>
        </w:rPr>
        <w:t>16</w:t>
      </w:r>
      <w:r w:rsidR="00F36EA5">
        <w:t>, Ghana</w:t>
      </w:r>
      <w:r w:rsidR="00F36EA5">
        <w:rPr>
          <w:vertAlign w:val="superscript"/>
        </w:rPr>
        <w:t>14</w:t>
      </w:r>
      <w:r w:rsidR="00F36EA5">
        <w:t xml:space="preserve"> and India</w:t>
      </w:r>
      <w:r w:rsidR="00F36EA5">
        <w:rPr>
          <w:vertAlign w:val="superscript"/>
        </w:rPr>
        <w:t>18</w:t>
      </w:r>
      <w:r w:rsidR="00F36EA5">
        <w:t>. In these areas</w:t>
      </w:r>
      <w:r w:rsidR="00CC7CBF">
        <w:t>, poverty, illiteracy,</w:t>
      </w:r>
      <w:r w:rsidR="00F36EA5">
        <w:t xml:space="preserve"> cultural and religious beliefs as well as poor social support system may have led to deficiency in public health awareness, lack of health seeking behaviour and resorting to other forms of medicine e.g., alternative medicine by participants to treat amenorrhea.</w:t>
      </w:r>
      <w:r w:rsidR="00CC7CBF">
        <w:t xml:space="preserve"> These contribute to their late presentation in the hospital. </w:t>
      </w:r>
      <w:r w:rsidR="00F36EA5">
        <w:t xml:space="preserve">In high income settings where access to quality health care was almost free or easier to obtain, patients who had ectopic pregnancy would benefit from early </w:t>
      </w:r>
      <w:r w:rsidR="00F36EA5">
        <w:lastRenderedPageBreak/>
        <w:t>diagnosis and management, thereby preventing the risk of ruptures with its attendant complications.</w:t>
      </w:r>
    </w:p>
    <w:p w14:paraId="22753F4C" w14:textId="77777777" w:rsidR="00F36EA5" w:rsidRDefault="00F36EA5" w:rsidP="00F36EA5"/>
    <w:p w14:paraId="0709FDFC" w14:textId="77777777" w:rsidR="00F36EA5" w:rsidRDefault="00F36EA5" w:rsidP="00F36EA5">
      <w:r w:rsidRPr="00CB7A36">
        <w:rPr>
          <w:rFonts w:asciiTheme="majorBidi" w:eastAsia="Gungsuh" w:hAnsiTheme="majorBidi" w:cstheme="majorBidi"/>
        </w:rPr>
        <w:t>More th</w:t>
      </w:r>
      <w:r w:rsidR="00A27ACF">
        <w:rPr>
          <w:rFonts w:asciiTheme="majorBidi" w:eastAsia="Gungsuh" w:hAnsiTheme="majorBidi" w:cstheme="majorBidi"/>
        </w:rPr>
        <w:t>an half of the patients in this study</w:t>
      </w:r>
      <w:r w:rsidRPr="00CB7A36">
        <w:rPr>
          <w:rFonts w:asciiTheme="majorBidi" w:eastAsia="Gungsuh" w:hAnsiTheme="majorBidi" w:cstheme="majorBidi"/>
        </w:rPr>
        <w:t xml:space="preserve"> had significant blood loss (≥500mls) (84.8%), whereas 77.2% required blood transfusion. This is agreeable with the trend observed in other places such as: Cameroon</w:t>
      </w:r>
      <w:r w:rsidRPr="00CB7A36">
        <w:rPr>
          <w:rFonts w:asciiTheme="majorBidi" w:hAnsiTheme="majorBidi" w:cstheme="majorBidi"/>
          <w:vertAlign w:val="superscript"/>
        </w:rPr>
        <w:t>16</w:t>
      </w:r>
      <w:r w:rsidRPr="00CB7A36">
        <w:rPr>
          <w:rFonts w:asciiTheme="majorBidi" w:hAnsiTheme="majorBidi" w:cstheme="majorBidi"/>
        </w:rPr>
        <w:t xml:space="preserve"> and India</w:t>
      </w:r>
      <w:r w:rsidRPr="00CB7A36">
        <w:rPr>
          <w:rFonts w:asciiTheme="majorBidi" w:hAnsiTheme="majorBidi" w:cstheme="majorBidi"/>
          <w:vertAlign w:val="superscript"/>
        </w:rPr>
        <w:t>15</w:t>
      </w:r>
      <w:r w:rsidRPr="00CB7A36">
        <w:rPr>
          <w:rFonts w:asciiTheme="majorBidi" w:hAnsiTheme="majorBidi" w:cstheme="majorBidi"/>
        </w:rPr>
        <w:t>. Ectopic pregnancy is a life-</w:t>
      </w:r>
      <w:r>
        <w:t>threatening disorder as such with development of rupture as was seen in most of the participants coupled with delay in making diagnosis as well as obtaining expert care, most patients would have already been bl</w:t>
      </w:r>
      <w:r w:rsidR="00A27ACF">
        <w:t>eeding or have developed shock. M</w:t>
      </w:r>
      <w:r>
        <w:t>ost cases of ectopic pregnanc</w:t>
      </w:r>
      <w:r w:rsidR="00A27ACF">
        <w:t xml:space="preserve">y seen in this part of world were </w:t>
      </w:r>
      <w:r>
        <w:t xml:space="preserve">mostly </w:t>
      </w:r>
      <w:r w:rsidR="00A27ACF">
        <w:t>referred from primary or secondary centres;</w:t>
      </w:r>
      <w:r>
        <w:t xml:space="preserve"> where doctors may not have a high index of suspicion or may not indulge the use of ultrasound in making a diagnosis, thereby encouraging late presentation. Also, the high incidence of patronization of herbal medicine, especially for the treatment of gynaecological disorders is a contributing factor.</w:t>
      </w:r>
    </w:p>
    <w:p w14:paraId="256168F1" w14:textId="77777777" w:rsidR="00F36EA5" w:rsidRDefault="00F36EA5" w:rsidP="00F36EA5">
      <w:r>
        <w:t>Interestingly, only 2.5% of participants in the study suffered mortality resulting from ectopic pregnancy. This was similar to findings seen in Anambra (3.1%)</w:t>
      </w:r>
      <w:r>
        <w:rPr>
          <w:vertAlign w:val="superscript"/>
        </w:rPr>
        <w:t>13</w:t>
      </w:r>
      <w:r w:rsidR="00E72066">
        <w:t xml:space="preserve"> but different from findings</w:t>
      </w:r>
      <w:r>
        <w:t xml:space="preserve"> in Enugu</w:t>
      </w:r>
      <w:r>
        <w:rPr>
          <w:vertAlign w:val="superscript"/>
        </w:rPr>
        <w:t>19</w:t>
      </w:r>
      <w:r>
        <w:t xml:space="preserve"> and Ghana,</w:t>
      </w:r>
      <w:r>
        <w:rPr>
          <w:vertAlign w:val="superscript"/>
        </w:rPr>
        <w:t xml:space="preserve">14  </w:t>
      </w:r>
      <w:r>
        <w:t>w</w:t>
      </w:r>
      <w:r w:rsidR="00E72066">
        <w:t>here there was no mortality recorded through</w:t>
      </w:r>
      <w:r>
        <w:t>out the study period. Although ectopic pregnancy is a lif</w:t>
      </w:r>
      <w:r w:rsidR="00E72066">
        <w:t>e threatening disorder, the</w:t>
      </w:r>
      <w:r>
        <w:t xml:space="preserve"> low mortality rate recorded in the study cen</w:t>
      </w:r>
      <w:r w:rsidR="00E72066">
        <w:t>t</w:t>
      </w:r>
      <w:r>
        <w:t>r</w:t>
      </w:r>
      <w:r w:rsidR="00E72066">
        <w:t>e</w:t>
      </w:r>
      <w:r>
        <w:t xml:space="preserve"> could be attributed to the high index of suspicion, prompt emergency intervention, liberal use of ultrasound, as well as good surgical techniques among gynaecologists in the study centre.</w:t>
      </w:r>
      <w:r>
        <w:rPr>
          <w:vertAlign w:val="superscript"/>
        </w:rPr>
        <w:t>20,21</w:t>
      </w:r>
    </w:p>
    <w:p w14:paraId="2503A877" w14:textId="50EFD86E" w:rsidR="00F36EA5" w:rsidRDefault="00AF6385" w:rsidP="00F36EA5">
      <w:pPr>
        <w:rPr>
          <w:b/>
        </w:rPr>
      </w:pPr>
      <w:r>
        <w:rPr>
          <w:b/>
        </w:rPr>
        <w:t xml:space="preserve">5. </w:t>
      </w:r>
      <w:r w:rsidR="00F36EA5">
        <w:rPr>
          <w:b/>
        </w:rPr>
        <w:t>CONCLUSION</w:t>
      </w:r>
      <w:r w:rsidR="00E13773">
        <w:rPr>
          <w:b/>
        </w:rPr>
        <w:t xml:space="preserve"> &amp; </w:t>
      </w:r>
      <w:r w:rsidR="00F36EA5">
        <w:rPr>
          <w:b/>
        </w:rPr>
        <w:t>RECOMMENDATIONS</w:t>
      </w:r>
    </w:p>
    <w:p w14:paraId="18629894" w14:textId="07A044FC" w:rsidR="00F36EA5" w:rsidRDefault="00F36EA5" w:rsidP="00F36EA5">
      <w:r>
        <w:t>Ectopic pregnancy remains a major gynecological nightmare. The prevalence of which is still relatively high in our environment</w:t>
      </w:r>
      <w:r w:rsidR="00EE1C38">
        <w:t>,</w:t>
      </w:r>
      <w:r>
        <w:t xml:space="preserve"> with the ruptured state leading as a significant contributor </w:t>
      </w:r>
      <w:r w:rsidR="00EE1C38">
        <w:t>to</w:t>
      </w:r>
      <w:r>
        <w:t xml:space="preserve"> maternal morbidity and mortality. Pelvic inflammatory disease remains a significant risk factor</w:t>
      </w:r>
      <w:r w:rsidR="00EE1C38">
        <w:t>,</w:t>
      </w:r>
      <w:r>
        <w:t xml:space="preserve"> and most patients present in a critical state due to the development of hemoperitoneum and unstable hemodynamic equilibrium. </w:t>
      </w:r>
    </w:p>
    <w:p w14:paraId="198413D9" w14:textId="0F37B5BE" w:rsidR="00F36EA5" w:rsidRDefault="00F36EA5" w:rsidP="00F36EA5">
      <w:r>
        <w:t xml:space="preserve">There is therefore </w:t>
      </w:r>
      <w:r w:rsidR="00EE1C38">
        <w:t xml:space="preserve">a </w:t>
      </w:r>
      <w:r>
        <w:t>need to educate the comm</w:t>
      </w:r>
      <w:r w:rsidR="00B075FA">
        <w:t>unity on the clinical condition as</w:t>
      </w:r>
      <w:r>
        <w:t xml:space="preserve"> well as encourage good health</w:t>
      </w:r>
      <w:r w:rsidR="00EE1C38">
        <w:t>-</w:t>
      </w:r>
      <w:r>
        <w:t>seeking behaviour. T</w:t>
      </w:r>
      <w:r w:rsidR="00B075FA">
        <w:t>here should</w:t>
      </w:r>
      <w:r>
        <w:t xml:space="preserve"> be a high index of suspicion as well as liberal use of ultrasound in the management of women in the reproductive age group</w:t>
      </w:r>
      <w:r w:rsidR="00B075FA">
        <w:t xml:space="preserve"> presenting with features of ectopic gestation</w:t>
      </w:r>
      <w:r>
        <w:t>.</w:t>
      </w:r>
    </w:p>
    <w:p w14:paraId="7AFA3A81" w14:textId="77777777" w:rsidR="00AF6385" w:rsidRPr="00AF6385" w:rsidRDefault="00AF6385" w:rsidP="00F36EA5">
      <w:pPr>
        <w:rPr>
          <w:b/>
        </w:rPr>
      </w:pPr>
      <w:r w:rsidRPr="00AF6385">
        <w:rPr>
          <w:b/>
        </w:rPr>
        <w:t xml:space="preserve">6. STUDY LIMITATIONS </w:t>
      </w:r>
    </w:p>
    <w:p w14:paraId="6CA35C6C" w14:textId="44BE88A7" w:rsidR="00AF6385" w:rsidRDefault="00AF6385" w:rsidP="00F36EA5">
      <w:r>
        <w:t>The study is retrospective</w:t>
      </w:r>
      <w:r w:rsidR="00EE1C38">
        <w:t>,</w:t>
      </w:r>
      <w:r>
        <w:t xml:space="preserve"> and </w:t>
      </w:r>
      <w:r w:rsidR="00EE1C38">
        <w:t xml:space="preserve">the </w:t>
      </w:r>
      <w:r>
        <w:t>sample size is small. It is also a single</w:t>
      </w:r>
      <w:r w:rsidR="00EE1C38">
        <w:t>-</w:t>
      </w:r>
      <w:r>
        <w:t>centre/hospital-based study</w:t>
      </w:r>
      <w:r w:rsidR="00EE1C38">
        <w:t>,</w:t>
      </w:r>
      <w:r>
        <w:t xml:space="preserve"> and results cannot be generalized to the whole population. </w:t>
      </w:r>
    </w:p>
    <w:p w14:paraId="15E3C707" w14:textId="77777777" w:rsidR="00E13773" w:rsidRDefault="00E13773" w:rsidP="00F36EA5"/>
    <w:p w14:paraId="521D9B49" w14:textId="77777777" w:rsidR="00AF6385" w:rsidRPr="00522246" w:rsidRDefault="00AF6385" w:rsidP="00F36EA5">
      <w:pPr>
        <w:rPr>
          <w:b/>
        </w:rPr>
      </w:pPr>
      <w:r w:rsidRPr="00522246">
        <w:rPr>
          <w:b/>
        </w:rPr>
        <w:lastRenderedPageBreak/>
        <w:t xml:space="preserve">CONSENT </w:t>
      </w:r>
    </w:p>
    <w:p w14:paraId="54DB29B1" w14:textId="77777777" w:rsidR="00AF6385" w:rsidRDefault="00AF6385" w:rsidP="00F36EA5">
      <w:r>
        <w:t xml:space="preserve">It is not applicable. </w:t>
      </w:r>
    </w:p>
    <w:p w14:paraId="76DB53E6" w14:textId="77777777" w:rsidR="00AF6385" w:rsidRDefault="00AF6385" w:rsidP="00F36EA5"/>
    <w:p w14:paraId="572E8E46" w14:textId="77777777" w:rsidR="00AF6385" w:rsidRDefault="00AF6385" w:rsidP="00F36EA5"/>
    <w:p w14:paraId="3014E6AD" w14:textId="77777777" w:rsidR="00AF6385" w:rsidRPr="00522246" w:rsidRDefault="00AF6385" w:rsidP="00F36EA5">
      <w:pPr>
        <w:rPr>
          <w:b/>
        </w:rPr>
      </w:pPr>
      <w:r w:rsidRPr="00522246">
        <w:rPr>
          <w:b/>
        </w:rPr>
        <w:t xml:space="preserve">ETHICAL APPROVAL </w:t>
      </w:r>
    </w:p>
    <w:p w14:paraId="2CE24D1F" w14:textId="77777777" w:rsidR="00AF6385" w:rsidRDefault="00AF6385" w:rsidP="00F36EA5">
      <w:commentRangeStart w:id="9"/>
      <w:r>
        <w:t xml:space="preserve">The study was approved by the hospital’s Ethics Review Committee. </w:t>
      </w:r>
      <w:commentRangeEnd w:id="9"/>
      <w:r w:rsidR="00EE1C38">
        <w:rPr>
          <w:rStyle w:val="CommentReference"/>
          <w:sz w:val="24"/>
          <w:szCs w:val="24"/>
        </w:rPr>
        <w:commentReference w:id="9"/>
      </w:r>
    </w:p>
    <w:p w14:paraId="00B562AD" w14:textId="77777777" w:rsidR="00AF6385" w:rsidRPr="00522246" w:rsidRDefault="00AF6385" w:rsidP="00F36EA5">
      <w:pPr>
        <w:rPr>
          <w:b/>
        </w:rPr>
      </w:pPr>
      <w:r w:rsidRPr="00522246">
        <w:rPr>
          <w:b/>
        </w:rPr>
        <w:t xml:space="preserve">DISCLAIMER (ARTIFICIAL INTELLIGENCE) </w:t>
      </w:r>
    </w:p>
    <w:p w14:paraId="4997341B" w14:textId="35A19830" w:rsidR="00AF6385" w:rsidRDefault="00EE1C38" w:rsidP="00F36EA5">
      <w:r>
        <w:t xml:space="preserve">The author </w:t>
      </w:r>
      <w:r w:rsidR="00AF6385">
        <w:t xml:space="preserve">(s) hereby declare that NO generative AI technologies such as Large Language Models (ChatGPT, COPILOT, etc.) and text-to-image generators have been used during the writing or editing of this manuscript. </w:t>
      </w:r>
    </w:p>
    <w:p w14:paraId="780AC6B0" w14:textId="12FC224C" w:rsidR="00E13773" w:rsidRPr="00E13773" w:rsidRDefault="00E13773" w:rsidP="00E13773">
      <w:pPr>
        <w:rPr>
          <w:rFonts w:ascii="Arial" w:hAnsi="Arial" w:cs="Arial"/>
          <w:b/>
          <w:bCs/>
          <w:sz w:val="22"/>
          <w:szCs w:val="22"/>
          <w:lang w:eastAsia="en-GB"/>
        </w:rPr>
      </w:pPr>
      <w:r w:rsidRPr="00E13773">
        <w:rPr>
          <w:rFonts w:ascii="Arial" w:hAnsi="Arial" w:cs="Arial"/>
          <w:b/>
          <w:bCs/>
          <w:sz w:val="22"/>
          <w:szCs w:val="22"/>
          <w:lang w:eastAsia="en-GB"/>
        </w:rPr>
        <w:t>COMPETING INTERESTS DISCLAIMER:</w:t>
      </w:r>
    </w:p>
    <w:p w14:paraId="5075332A" w14:textId="77777777" w:rsidR="00E13773" w:rsidRPr="00E13773" w:rsidRDefault="00E13773" w:rsidP="00E13773">
      <w:pPr>
        <w:spacing w:after="200" w:line="276" w:lineRule="auto"/>
        <w:jc w:val="left"/>
        <w:rPr>
          <w:rFonts w:ascii="Calibri" w:hAnsi="Calibri"/>
          <w:sz w:val="22"/>
          <w:szCs w:val="22"/>
          <w:lang w:eastAsia="en-GB"/>
        </w:rPr>
      </w:pPr>
      <w:r w:rsidRPr="00E13773">
        <w:rPr>
          <w:rFonts w:ascii="Arial" w:hAnsi="Arial" w:cs="Arial"/>
          <w:sz w:val="22"/>
          <w:szCs w:val="22"/>
          <w:lang w:eastAsia="en-GB"/>
        </w:rPr>
        <w:t>Authors have declared that they have no known competing financial interests OR non-financial interests OR personal relationships that could have appeared to influence the work reported in this paper.</w:t>
      </w:r>
    </w:p>
    <w:p w14:paraId="4D850285" w14:textId="3B38BB62" w:rsidR="00E13773" w:rsidRDefault="00E13773" w:rsidP="00E13773"/>
    <w:p w14:paraId="63CD3098" w14:textId="77777777" w:rsidR="00E13773" w:rsidRDefault="00E13773" w:rsidP="00F36EA5"/>
    <w:p w14:paraId="6D932588" w14:textId="77777777" w:rsidR="00E13773" w:rsidRDefault="00E13773" w:rsidP="00F36EA5"/>
    <w:p w14:paraId="0B11C71C" w14:textId="77777777" w:rsidR="009104CD" w:rsidRDefault="009104CD" w:rsidP="009104CD">
      <w:pPr>
        <w:rPr>
          <w:b/>
        </w:rPr>
      </w:pPr>
      <w:commentRangeStart w:id="10"/>
      <w:r>
        <w:rPr>
          <w:b/>
        </w:rPr>
        <w:t>REFERENCES</w:t>
      </w:r>
      <w:commentRangeEnd w:id="10"/>
      <w:r w:rsidR="00EE1C38">
        <w:rPr>
          <w:rStyle w:val="CommentReference"/>
          <w:b/>
          <w:sz w:val="24"/>
          <w:szCs w:val="24"/>
        </w:rPr>
        <w:commentReference w:id="10"/>
      </w:r>
    </w:p>
    <w:p w14:paraId="441025A2" w14:textId="77777777" w:rsidR="009104CD" w:rsidRDefault="009104CD" w:rsidP="009104CD">
      <w:pPr>
        <w:numPr>
          <w:ilvl w:val="0"/>
          <w:numId w:val="1"/>
        </w:numPr>
        <w:pBdr>
          <w:top w:val="nil"/>
          <w:left w:val="nil"/>
          <w:bottom w:val="nil"/>
          <w:right w:val="nil"/>
          <w:between w:val="nil"/>
        </w:pBdr>
        <w:rPr>
          <w:color w:val="000000"/>
        </w:rPr>
      </w:pPr>
      <w:r>
        <w:rPr>
          <w:color w:val="000000"/>
        </w:rPr>
        <w:t>Daso K.A Ectopic pregnancy. In: Kwawukume E.y. Emuveyen E.E. (eds). Comprehensive obstetrics in the tropics 2</w:t>
      </w:r>
      <w:r>
        <w:rPr>
          <w:color w:val="000000"/>
          <w:vertAlign w:val="superscript"/>
        </w:rPr>
        <w:t>nd</w:t>
      </w:r>
      <w:r>
        <w:rPr>
          <w:color w:val="000000"/>
        </w:rPr>
        <w:t xml:space="preserve"> Edition. Ghana: Assemblies of God literature center Ltd. 2015:282-288.</w:t>
      </w:r>
    </w:p>
    <w:p w14:paraId="3A8094FD" w14:textId="77777777" w:rsidR="009104CD" w:rsidRDefault="009104CD" w:rsidP="009104CD">
      <w:pPr>
        <w:numPr>
          <w:ilvl w:val="0"/>
          <w:numId w:val="1"/>
        </w:numPr>
        <w:pBdr>
          <w:top w:val="nil"/>
          <w:left w:val="nil"/>
          <w:bottom w:val="nil"/>
          <w:right w:val="nil"/>
          <w:between w:val="nil"/>
        </w:pBdr>
        <w:rPr>
          <w:color w:val="000000"/>
        </w:rPr>
      </w:pPr>
      <w:r>
        <w:rPr>
          <w:color w:val="000000"/>
        </w:rPr>
        <w:t>Davor J. Ectopic pregnancy. In: Edmonds K. (ed) Dewhurst’s Textbook of obstetrics and gynecology 8</w:t>
      </w:r>
      <w:r>
        <w:rPr>
          <w:color w:val="000000"/>
          <w:vertAlign w:val="superscript"/>
        </w:rPr>
        <w:t>th</w:t>
      </w:r>
      <w:r>
        <w:rPr>
          <w:color w:val="000000"/>
        </w:rPr>
        <w:t xml:space="preserve"> edition. London: John Wiley and Sons Ltd publication. 2012;76-78.</w:t>
      </w:r>
    </w:p>
    <w:p w14:paraId="71E07F48" w14:textId="77777777" w:rsidR="009104CD" w:rsidRDefault="009104CD" w:rsidP="009104CD">
      <w:pPr>
        <w:numPr>
          <w:ilvl w:val="0"/>
          <w:numId w:val="1"/>
        </w:numPr>
        <w:pBdr>
          <w:top w:val="nil"/>
          <w:left w:val="nil"/>
          <w:bottom w:val="nil"/>
          <w:right w:val="nil"/>
          <w:between w:val="nil"/>
        </w:pBdr>
        <w:rPr>
          <w:color w:val="000000"/>
        </w:rPr>
      </w:pPr>
      <w:r>
        <w:rPr>
          <w:color w:val="000000"/>
        </w:rPr>
        <w:t>Horne A. Implantation and early pregnancy. In: Bickerstaff H. and Kenny L (eds). Gynecology by Ten Teachers. 20</w:t>
      </w:r>
      <w:r>
        <w:rPr>
          <w:color w:val="000000"/>
          <w:vertAlign w:val="superscript"/>
        </w:rPr>
        <w:t>th</w:t>
      </w:r>
      <w:r>
        <w:rPr>
          <w:color w:val="000000"/>
        </w:rPr>
        <w:t xml:space="preserve"> edition. London: CRC Press. 2017: 62-65.</w:t>
      </w:r>
    </w:p>
    <w:p w14:paraId="4C7FD109" w14:textId="77777777" w:rsidR="009104CD" w:rsidRDefault="009104CD" w:rsidP="009104CD">
      <w:pPr>
        <w:numPr>
          <w:ilvl w:val="0"/>
          <w:numId w:val="1"/>
        </w:numPr>
        <w:pBdr>
          <w:top w:val="nil"/>
          <w:left w:val="nil"/>
          <w:bottom w:val="nil"/>
          <w:right w:val="nil"/>
          <w:between w:val="nil"/>
        </w:pBdr>
        <w:rPr>
          <w:color w:val="000000"/>
        </w:rPr>
      </w:pPr>
      <w:r>
        <w:rPr>
          <w:color w:val="000000"/>
        </w:rPr>
        <w:t>Saxena R. Ectopic pregnancy: In: Snapshots in Obstetrics and Gynecology. 1</w:t>
      </w:r>
      <w:r>
        <w:rPr>
          <w:color w:val="000000"/>
          <w:vertAlign w:val="superscript"/>
        </w:rPr>
        <w:t>st</w:t>
      </w:r>
      <w:r>
        <w:rPr>
          <w:color w:val="000000"/>
        </w:rPr>
        <w:t xml:space="preserve"> edition. New Delhi: Jaypea Brothers Medical Publishers Ltd. 2012: 471-476.</w:t>
      </w:r>
    </w:p>
    <w:p w14:paraId="5E83250D" w14:textId="77777777" w:rsidR="009104CD" w:rsidRDefault="009104CD" w:rsidP="009104CD">
      <w:pPr>
        <w:numPr>
          <w:ilvl w:val="0"/>
          <w:numId w:val="1"/>
        </w:numPr>
        <w:pBdr>
          <w:top w:val="nil"/>
          <w:left w:val="nil"/>
          <w:bottom w:val="nil"/>
          <w:right w:val="nil"/>
          <w:between w:val="nil"/>
        </w:pBdr>
        <w:rPr>
          <w:color w:val="000000"/>
        </w:rPr>
      </w:pPr>
      <w:r>
        <w:rPr>
          <w:color w:val="000000"/>
        </w:rPr>
        <w:t>Anyanwu M, Titilope G. Ectopic pregnancy at the Gambian Tertiary hospital. African Health Sciences. 2021; 21(1):295-303</w:t>
      </w:r>
      <w:r w:rsidR="00D37302">
        <w:rPr>
          <w:color w:val="000000"/>
        </w:rPr>
        <w:t>.</w:t>
      </w:r>
    </w:p>
    <w:p w14:paraId="68315B4E" w14:textId="77777777" w:rsidR="009104CD" w:rsidRDefault="001B7CDB" w:rsidP="009104CD">
      <w:pPr>
        <w:numPr>
          <w:ilvl w:val="0"/>
          <w:numId w:val="1"/>
        </w:numPr>
        <w:pBdr>
          <w:top w:val="nil"/>
          <w:left w:val="nil"/>
          <w:bottom w:val="nil"/>
          <w:right w:val="nil"/>
          <w:between w:val="nil"/>
        </w:pBdr>
        <w:rPr>
          <w:color w:val="000000"/>
        </w:rPr>
      </w:pPr>
      <w:r>
        <w:rPr>
          <w:color w:val="000000"/>
        </w:rPr>
        <w:t>Jasmy ES, Varghese SA, Varghese MA, Yeldhos S, Baby A</w:t>
      </w:r>
      <w:r w:rsidR="009104CD">
        <w:rPr>
          <w:color w:val="000000"/>
        </w:rPr>
        <w:t>. Ectopic pregnancy – an overview. World Journal of Pharmaceutical Research. 2020; 9(5): 400-415.</w:t>
      </w:r>
    </w:p>
    <w:p w14:paraId="4888BBA4" w14:textId="77777777" w:rsidR="009104CD" w:rsidRDefault="00CA46D5" w:rsidP="009104CD">
      <w:pPr>
        <w:numPr>
          <w:ilvl w:val="0"/>
          <w:numId w:val="1"/>
        </w:numPr>
        <w:pBdr>
          <w:top w:val="nil"/>
          <w:left w:val="nil"/>
          <w:bottom w:val="nil"/>
          <w:right w:val="nil"/>
          <w:between w:val="nil"/>
        </w:pBdr>
        <w:rPr>
          <w:color w:val="000000"/>
        </w:rPr>
      </w:pPr>
      <w:r>
        <w:rPr>
          <w:color w:val="000000"/>
        </w:rPr>
        <w:t>Abdelazim IA, AbuFaza M, Shikanova S, Karimova B</w:t>
      </w:r>
      <w:r w:rsidR="009104CD">
        <w:rPr>
          <w:color w:val="000000"/>
        </w:rPr>
        <w:t>. Diagnostic criteria and treatment modalities of ectopic pregnancies: a literature review. EMJ Reproductive Health. 2021; 7(1): 83-94.</w:t>
      </w:r>
    </w:p>
    <w:p w14:paraId="40936988" w14:textId="77777777" w:rsidR="009104CD" w:rsidRDefault="0072197C" w:rsidP="009104CD">
      <w:pPr>
        <w:numPr>
          <w:ilvl w:val="0"/>
          <w:numId w:val="1"/>
        </w:numPr>
        <w:pBdr>
          <w:top w:val="nil"/>
          <w:left w:val="nil"/>
          <w:bottom w:val="nil"/>
          <w:right w:val="nil"/>
          <w:between w:val="nil"/>
        </w:pBdr>
        <w:rPr>
          <w:color w:val="000000"/>
        </w:rPr>
      </w:pPr>
      <w:r>
        <w:rPr>
          <w:color w:val="000000"/>
        </w:rPr>
        <w:lastRenderedPageBreak/>
        <w:t>Garema U, Alemayehu T. Chane G, Desta D, Diriba A.</w:t>
      </w:r>
      <w:r w:rsidR="009104CD">
        <w:rPr>
          <w:color w:val="000000"/>
        </w:rPr>
        <w:t xml:space="preserve"> Determinants of ectopic pregnancy among pregnant women attending referral hospitals in southwestern pare of Oromia regional state, Southwest Ethiopia: a multi-center case control study. BMC Pregnancy and Childbirth. 2021;</w:t>
      </w:r>
      <w:r w:rsidR="000A7C64">
        <w:rPr>
          <w:color w:val="000000"/>
        </w:rPr>
        <w:t xml:space="preserve"> </w:t>
      </w:r>
      <w:r w:rsidR="009104CD">
        <w:rPr>
          <w:color w:val="000000"/>
        </w:rPr>
        <w:t xml:space="preserve">21 (130). </w:t>
      </w:r>
      <w:hyperlink r:id="rId13">
        <w:r w:rsidR="009104CD">
          <w:rPr>
            <w:color w:val="0000FF"/>
            <w:u w:val="single"/>
          </w:rPr>
          <w:t>https://doi.org//10.1186/12884-021-03618-7</w:t>
        </w:r>
      </w:hyperlink>
    </w:p>
    <w:p w14:paraId="72444FE8" w14:textId="77777777" w:rsidR="009104CD" w:rsidRDefault="00992D15" w:rsidP="009104CD">
      <w:pPr>
        <w:numPr>
          <w:ilvl w:val="0"/>
          <w:numId w:val="1"/>
        </w:numPr>
        <w:pBdr>
          <w:top w:val="nil"/>
          <w:left w:val="nil"/>
          <w:bottom w:val="nil"/>
          <w:right w:val="nil"/>
          <w:between w:val="nil"/>
        </w:pBdr>
        <w:rPr>
          <w:color w:val="000000"/>
        </w:rPr>
      </w:pPr>
      <w:r>
        <w:rPr>
          <w:color w:val="000000"/>
          <w:lang w:val="it-IT"/>
        </w:rPr>
        <w:t>Pei-Chen L, Wen-Yu L, Dah-Ching D</w:t>
      </w:r>
      <w:r w:rsidR="009104CD" w:rsidRPr="00774A22">
        <w:rPr>
          <w:color w:val="000000"/>
          <w:lang w:val="it-IT"/>
        </w:rPr>
        <w:t xml:space="preserve">. </w:t>
      </w:r>
      <w:r w:rsidR="009104CD">
        <w:rPr>
          <w:color w:val="000000"/>
        </w:rPr>
        <w:t>Risk factors and clinical characteristics associated with a ruptured ectopic pregnancy, a 19-year retrospective observa</w:t>
      </w:r>
      <w:r w:rsidR="00AD7B50">
        <w:rPr>
          <w:color w:val="000000"/>
        </w:rPr>
        <w:t>tional study.Medicine.2022;101(24):e29514.</w:t>
      </w:r>
      <w:hyperlink r:id="rId14">
        <w:r w:rsidR="009104CD">
          <w:rPr>
            <w:color w:val="0000FF"/>
            <w:u w:val="single"/>
          </w:rPr>
          <w:t>https://dx.doi.org/10.1097/MD.0000000000029514</w:t>
        </w:r>
      </w:hyperlink>
      <w:r w:rsidR="009104CD">
        <w:rPr>
          <w:color w:val="000000"/>
        </w:rPr>
        <w:t>.</w:t>
      </w:r>
    </w:p>
    <w:p w14:paraId="41BA7EC0" w14:textId="77777777" w:rsidR="009104CD" w:rsidRDefault="009104CD" w:rsidP="009104CD">
      <w:pPr>
        <w:numPr>
          <w:ilvl w:val="0"/>
          <w:numId w:val="1"/>
        </w:numPr>
        <w:pBdr>
          <w:top w:val="nil"/>
          <w:left w:val="nil"/>
          <w:bottom w:val="nil"/>
          <w:right w:val="nil"/>
          <w:between w:val="nil"/>
        </w:pBdr>
        <w:rPr>
          <w:color w:val="000000"/>
        </w:rPr>
      </w:pPr>
      <w:r>
        <w:rPr>
          <w:color w:val="000000"/>
        </w:rPr>
        <w:t>Liu X, Liu C, Peng Y. New advances in the causes and treatment of ectopic pregnancy: a review. MEDS Clinical Medicine. 2021; 5(1): 26-31</w:t>
      </w:r>
      <w:r w:rsidR="000A7C64">
        <w:rPr>
          <w:color w:val="000000"/>
        </w:rPr>
        <w:t>.</w:t>
      </w:r>
    </w:p>
    <w:p w14:paraId="2A9D752D" w14:textId="77777777" w:rsidR="009104CD" w:rsidRDefault="00181A42" w:rsidP="009104CD">
      <w:pPr>
        <w:numPr>
          <w:ilvl w:val="0"/>
          <w:numId w:val="1"/>
        </w:numPr>
        <w:pBdr>
          <w:top w:val="nil"/>
          <w:left w:val="nil"/>
          <w:bottom w:val="nil"/>
          <w:right w:val="nil"/>
          <w:between w:val="nil"/>
        </w:pBdr>
        <w:rPr>
          <w:color w:val="000000"/>
        </w:rPr>
      </w:pPr>
      <w:r>
        <w:rPr>
          <w:color w:val="000000"/>
        </w:rPr>
        <w:t>Eli S.</w:t>
      </w:r>
      <w:r w:rsidR="00DD43C2">
        <w:rPr>
          <w:color w:val="000000"/>
        </w:rPr>
        <w:t xml:space="preserve"> Owhonda G, Okagua KE, Iwo-Amah R, Ocheche U, Nonye-Enyidah EI et al</w:t>
      </w:r>
      <w:r w:rsidR="009104CD">
        <w:rPr>
          <w:color w:val="000000"/>
        </w:rPr>
        <w:t>. Prevalence of ectopic pregnancy in surgical patients at a tertiary hospital in Rivers state, Nigeria. World Journal of Advanced Research and Reviews. 2022; 17(02): 126-131.</w:t>
      </w:r>
    </w:p>
    <w:p w14:paraId="75A508A0" w14:textId="77777777" w:rsidR="009104CD" w:rsidRDefault="00181A42" w:rsidP="009104CD">
      <w:pPr>
        <w:numPr>
          <w:ilvl w:val="0"/>
          <w:numId w:val="1"/>
        </w:numPr>
        <w:pBdr>
          <w:top w:val="nil"/>
          <w:left w:val="nil"/>
          <w:bottom w:val="nil"/>
          <w:right w:val="nil"/>
          <w:between w:val="nil"/>
        </w:pBdr>
        <w:rPr>
          <w:color w:val="000000"/>
        </w:rPr>
      </w:pPr>
      <w:r>
        <w:rPr>
          <w:color w:val="000000"/>
        </w:rPr>
        <w:t>Mullary K, Minneci M,Coiado OC</w:t>
      </w:r>
      <w:r w:rsidR="009104CD">
        <w:rPr>
          <w:color w:val="000000"/>
        </w:rPr>
        <w:t>. Overview of ectopic pregnancy diagnosis, management and innovation. Women’s Health. 2023; 19:1-13.</w:t>
      </w:r>
    </w:p>
    <w:p w14:paraId="5748D4B0" w14:textId="77777777" w:rsidR="009104CD" w:rsidRDefault="00527622" w:rsidP="009104CD">
      <w:pPr>
        <w:numPr>
          <w:ilvl w:val="0"/>
          <w:numId w:val="1"/>
        </w:numPr>
        <w:pBdr>
          <w:top w:val="nil"/>
          <w:left w:val="nil"/>
          <w:bottom w:val="nil"/>
          <w:right w:val="nil"/>
          <w:between w:val="nil"/>
        </w:pBdr>
        <w:rPr>
          <w:color w:val="000000"/>
        </w:rPr>
      </w:pPr>
      <w:r>
        <w:rPr>
          <w:color w:val="000000"/>
        </w:rPr>
        <w:t>Egwutu EC, Okafor CG, Eleje G</w:t>
      </w:r>
      <w:r w:rsidR="009104CD">
        <w:rPr>
          <w:color w:val="000000"/>
        </w:rPr>
        <w:t>. Ectopic pregnancies in a tertiary hospital in Nigeria. A 10-year retrospective experience. American Journal of Clinical Medicine Research. 2023; 11(2): 35-40.</w:t>
      </w:r>
    </w:p>
    <w:p w14:paraId="201459CD" w14:textId="77777777" w:rsidR="009104CD" w:rsidRDefault="00ED18B7" w:rsidP="009104CD">
      <w:pPr>
        <w:numPr>
          <w:ilvl w:val="0"/>
          <w:numId w:val="1"/>
        </w:numPr>
        <w:pBdr>
          <w:top w:val="nil"/>
          <w:left w:val="nil"/>
          <w:bottom w:val="nil"/>
          <w:right w:val="nil"/>
          <w:between w:val="nil"/>
        </w:pBdr>
        <w:rPr>
          <w:color w:val="000000"/>
        </w:rPr>
      </w:pPr>
      <w:r>
        <w:rPr>
          <w:color w:val="000000"/>
        </w:rPr>
        <w:t xml:space="preserve">Sefogah PE, Oduro NE, </w:t>
      </w:r>
      <w:r w:rsidR="00527622">
        <w:rPr>
          <w:color w:val="000000"/>
        </w:rPr>
        <w:t>Swarray-Deen A, Nuamah HG</w:t>
      </w:r>
      <w:r>
        <w:rPr>
          <w:color w:val="000000"/>
        </w:rPr>
        <w:t>,</w:t>
      </w:r>
      <w:r w:rsidR="00527622">
        <w:rPr>
          <w:color w:val="000000"/>
        </w:rPr>
        <w:t xml:space="preserve"> Takyi RB et al</w:t>
      </w:r>
      <w:r w:rsidR="009104CD">
        <w:rPr>
          <w:color w:val="000000"/>
        </w:rPr>
        <w:t xml:space="preserve">. Factors associated with ruptured ectopic pregnancy: a 10-year review at a district hospital at Ghana. Hindam Obstetrics and Gynecology International. 2022; 1491419: </w:t>
      </w:r>
      <w:hyperlink r:id="rId15">
        <w:r w:rsidR="009104CD">
          <w:rPr>
            <w:color w:val="0000FF"/>
            <w:u w:val="single"/>
          </w:rPr>
          <w:t>https://doi.org/10.1155/2022/1491419</w:t>
        </w:r>
      </w:hyperlink>
      <w:r w:rsidR="009104CD">
        <w:rPr>
          <w:color w:val="000000"/>
        </w:rPr>
        <w:t>.</w:t>
      </w:r>
    </w:p>
    <w:p w14:paraId="47C5DC99" w14:textId="77777777" w:rsidR="009104CD" w:rsidRDefault="00B340F8" w:rsidP="009104CD">
      <w:pPr>
        <w:numPr>
          <w:ilvl w:val="0"/>
          <w:numId w:val="1"/>
        </w:numPr>
        <w:pBdr>
          <w:top w:val="nil"/>
          <w:left w:val="nil"/>
          <w:bottom w:val="nil"/>
          <w:right w:val="nil"/>
          <w:between w:val="nil"/>
        </w:pBdr>
        <w:rPr>
          <w:color w:val="000000"/>
        </w:rPr>
      </w:pPr>
      <w:r>
        <w:rPr>
          <w:color w:val="000000"/>
        </w:rPr>
        <w:t>Indira E, Rao BS, Anuradha J, Sabitha M, Priyanka G</w:t>
      </w:r>
      <w:r w:rsidR="009104CD">
        <w:rPr>
          <w:color w:val="000000"/>
        </w:rPr>
        <w:t>. A clinical study of ruptured ectopic gestation and its outcome in a tertiary care center. International Journal of Academic Medicine and Pharmacy. 2024;</w:t>
      </w:r>
      <w:r w:rsidR="000A7C64">
        <w:rPr>
          <w:color w:val="000000"/>
        </w:rPr>
        <w:t xml:space="preserve"> 6(</w:t>
      </w:r>
      <w:r w:rsidR="009104CD">
        <w:rPr>
          <w:color w:val="000000"/>
        </w:rPr>
        <w:t>2): 561-566.</w:t>
      </w:r>
    </w:p>
    <w:p w14:paraId="0CACAC3B" w14:textId="77777777" w:rsidR="009104CD" w:rsidRPr="005859A5" w:rsidRDefault="00167F92" w:rsidP="005859A5">
      <w:pPr>
        <w:numPr>
          <w:ilvl w:val="0"/>
          <w:numId w:val="1"/>
        </w:numPr>
        <w:pBdr>
          <w:top w:val="nil"/>
          <w:left w:val="nil"/>
          <w:bottom w:val="nil"/>
          <w:right w:val="nil"/>
          <w:between w:val="nil"/>
        </w:pBdr>
        <w:rPr>
          <w:color w:val="000000"/>
        </w:rPr>
      </w:pPr>
      <w:r>
        <w:rPr>
          <w:color w:val="000000"/>
        </w:rPr>
        <w:t>Njingu E</w:t>
      </w:r>
      <w:r w:rsidR="005859A5">
        <w:rPr>
          <w:color w:val="000000"/>
        </w:rPr>
        <w:t>A, Cumber SN, Geh MM, Edgar</w:t>
      </w:r>
      <w:r w:rsidR="00F12234">
        <w:rPr>
          <w:color w:val="000000"/>
        </w:rPr>
        <w:t xml:space="preserve"> MML, Nkfusai CN et al</w:t>
      </w:r>
      <w:r w:rsidR="005859A5">
        <w:rPr>
          <w:color w:val="000000"/>
        </w:rPr>
        <w:t>.</w:t>
      </w:r>
      <w:r w:rsidR="009104CD" w:rsidRPr="005859A5">
        <w:rPr>
          <w:color w:val="000000"/>
        </w:rPr>
        <w:t xml:space="preserve"> Incidence, risk factors, clinical presentation and treatment of ectopic pregnancy in the Limbe and Buea regional hospitals in Cameroon. Pan African Medical Journal 2020; 2(95): 10.11604/pamj-cm.2022.2.95.21279.</w:t>
      </w:r>
    </w:p>
    <w:p w14:paraId="57581452" w14:textId="77777777" w:rsidR="009104CD" w:rsidRDefault="000B7E7D" w:rsidP="009104CD">
      <w:pPr>
        <w:numPr>
          <w:ilvl w:val="0"/>
          <w:numId w:val="1"/>
        </w:numPr>
        <w:pBdr>
          <w:top w:val="nil"/>
          <w:left w:val="nil"/>
          <w:bottom w:val="nil"/>
          <w:right w:val="nil"/>
          <w:between w:val="nil"/>
        </w:pBdr>
        <w:rPr>
          <w:color w:val="000000"/>
        </w:rPr>
      </w:pPr>
      <w:r>
        <w:rPr>
          <w:color w:val="000000"/>
        </w:rPr>
        <w:t>Pooja P, Pavithra R, Prashanth G, Sana S and Sreelatha S</w:t>
      </w:r>
      <w:r w:rsidR="009104CD">
        <w:rPr>
          <w:color w:val="000000"/>
        </w:rPr>
        <w:t>. Risk factors and maternal outcome in ectopic pregnancy. EC Gynecology. 2024; 13(1): 01-04.</w:t>
      </w:r>
    </w:p>
    <w:p w14:paraId="6910732A" w14:textId="77777777" w:rsidR="009104CD" w:rsidRDefault="009104CD" w:rsidP="009104CD">
      <w:pPr>
        <w:numPr>
          <w:ilvl w:val="0"/>
          <w:numId w:val="1"/>
        </w:numPr>
        <w:pBdr>
          <w:top w:val="nil"/>
          <w:left w:val="nil"/>
          <w:bottom w:val="nil"/>
          <w:right w:val="nil"/>
          <w:between w:val="nil"/>
        </w:pBdr>
        <w:rPr>
          <w:color w:val="000000"/>
        </w:rPr>
      </w:pPr>
      <w:r>
        <w:rPr>
          <w:color w:val="000000"/>
        </w:rPr>
        <w:lastRenderedPageBreak/>
        <w:t>Subha R, Ipsita M, Achanta V. A clinical study of ectopic pregnancy at a tertiary care center in Telangana, India. Internationalk Journal of Reproduction, Contraception, Obstetrics and Gynecology. 2020;</w:t>
      </w:r>
      <w:r w:rsidR="000A7C64">
        <w:rPr>
          <w:color w:val="000000"/>
        </w:rPr>
        <w:t xml:space="preserve"> </w:t>
      </w:r>
      <w:r>
        <w:rPr>
          <w:color w:val="000000"/>
        </w:rPr>
        <w:t>9(2): 682-687.</w:t>
      </w:r>
    </w:p>
    <w:p w14:paraId="371F093F" w14:textId="77777777" w:rsidR="009104CD" w:rsidRDefault="009104CD" w:rsidP="009104CD">
      <w:pPr>
        <w:numPr>
          <w:ilvl w:val="0"/>
          <w:numId w:val="1"/>
        </w:numPr>
        <w:pBdr>
          <w:top w:val="nil"/>
          <w:left w:val="nil"/>
          <w:bottom w:val="nil"/>
          <w:right w:val="nil"/>
          <w:between w:val="nil"/>
        </w:pBdr>
        <w:rPr>
          <w:color w:val="000000"/>
        </w:rPr>
      </w:pPr>
      <w:r>
        <w:rPr>
          <w:color w:val="000000"/>
        </w:rPr>
        <w:t>Nevo C, Onyekpa I, Odugu B. prevalence and presentation of ectopic pregnancy in a tertiary hospital in Enugu, South-east Nigeria: a 10-year retrospective study. World Journal of Advanced Research and Reviews. 2023; 20(01): 1114-1122.</w:t>
      </w:r>
    </w:p>
    <w:p w14:paraId="3CB27A72" w14:textId="77777777" w:rsidR="009104CD" w:rsidRDefault="009104CD" w:rsidP="009104CD">
      <w:pPr>
        <w:numPr>
          <w:ilvl w:val="0"/>
          <w:numId w:val="1"/>
        </w:numPr>
        <w:pBdr>
          <w:top w:val="nil"/>
          <w:left w:val="nil"/>
          <w:bottom w:val="nil"/>
          <w:right w:val="nil"/>
          <w:between w:val="nil"/>
        </w:pBdr>
        <w:rPr>
          <w:color w:val="000000"/>
        </w:rPr>
      </w:pPr>
      <w:r>
        <w:rPr>
          <w:color w:val="000000"/>
        </w:rPr>
        <w:t>Ononuju C</w:t>
      </w:r>
      <w:r w:rsidR="004F0FE6">
        <w:rPr>
          <w:color w:val="000000"/>
        </w:rPr>
        <w:t>N, Ogbe AE, Lohnan L, Ogedi OB, Emmanuel CU</w:t>
      </w:r>
      <w:r>
        <w:rPr>
          <w:color w:val="000000"/>
        </w:rPr>
        <w:t>. Ectopic pregnancy in Dalhatu Ar</w:t>
      </w:r>
      <w:r w:rsidR="00167F92">
        <w:rPr>
          <w:color w:val="000000"/>
        </w:rPr>
        <w:t xml:space="preserve">  </w:t>
      </w:r>
      <w:r>
        <w:rPr>
          <w:color w:val="000000"/>
        </w:rPr>
        <w:t>af Specialist Hospital Lafia Nigeria- a 5-year</w:t>
      </w:r>
      <w:r w:rsidR="00167F92">
        <w:rPr>
          <w:color w:val="000000"/>
        </w:rPr>
        <w:t xml:space="preserve"> revies. Nigerian Postgraduate</w:t>
      </w:r>
      <w:r>
        <w:rPr>
          <w:color w:val="000000"/>
        </w:rPr>
        <w:t>edical Journal. 2019; 26:</w:t>
      </w:r>
      <w:r w:rsidR="000A7C64">
        <w:rPr>
          <w:color w:val="000000"/>
        </w:rPr>
        <w:t xml:space="preserve"> </w:t>
      </w:r>
      <w:r>
        <w:rPr>
          <w:color w:val="000000"/>
        </w:rPr>
        <w:t>235-238.</w:t>
      </w:r>
    </w:p>
    <w:p w14:paraId="261048F9" w14:textId="77777777" w:rsidR="009104CD" w:rsidRDefault="007C59B3" w:rsidP="009104CD">
      <w:pPr>
        <w:numPr>
          <w:ilvl w:val="0"/>
          <w:numId w:val="1"/>
        </w:numPr>
        <w:pBdr>
          <w:top w:val="nil"/>
          <w:left w:val="nil"/>
          <w:bottom w:val="nil"/>
          <w:right w:val="nil"/>
          <w:between w:val="nil"/>
        </w:pBdr>
        <w:rPr>
          <w:color w:val="000000"/>
        </w:rPr>
      </w:pPr>
      <w:r>
        <w:rPr>
          <w:color w:val="000000"/>
        </w:rPr>
        <w:t>Naimi A, Moore P, Brueggmann D</w:t>
      </w:r>
      <w:r w:rsidR="009104CD">
        <w:rPr>
          <w:color w:val="000000"/>
        </w:rPr>
        <w:t>. Ect</w:t>
      </w:r>
      <w:r w:rsidR="000A7C64">
        <w:rPr>
          <w:color w:val="000000"/>
        </w:rPr>
        <w:t>opic pregnancy in a single-cent</w:t>
      </w:r>
      <w:r w:rsidR="009104CD">
        <w:rPr>
          <w:color w:val="000000"/>
        </w:rPr>
        <w:t>r</w:t>
      </w:r>
      <w:r w:rsidR="000A7C64">
        <w:rPr>
          <w:color w:val="000000"/>
        </w:rPr>
        <w:t>e</w:t>
      </w:r>
      <w:r w:rsidR="009104CD">
        <w:rPr>
          <w:color w:val="000000"/>
        </w:rPr>
        <w:t xml:space="preserve"> experience </w:t>
      </w:r>
      <w:r w:rsidR="00167F92">
        <w:rPr>
          <w:color w:val="000000"/>
        </w:rPr>
        <w:t>c</w:t>
      </w:r>
      <w:r w:rsidR="009104CD">
        <w:rPr>
          <w:color w:val="000000"/>
        </w:rPr>
        <w:t>ver 10 years. Reproductive Biology and Endocrinology. 2021; 19</w:t>
      </w:r>
      <w:r w:rsidR="00C93F8D">
        <w:rPr>
          <w:color w:val="000000"/>
        </w:rPr>
        <w:t xml:space="preserve"> </w:t>
      </w:r>
      <w:r w:rsidR="009104CD">
        <w:rPr>
          <w:color w:val="000000"/>
        </w:rPr>
        <w:t xml:space="preserve">(79): </w:t>
      </w:r>
      <w:hyperlink r:id="rId16">
        <w:r w:rsidR="009104CD">
          <w:rPr>
            <w:color w:val="0000FF"/>
            <w:u w:val="single"/>
          </w:rPr>
          <w:t>https://doi.org/10.1186/512958021-00761-w</w:t>
        </w:r>
      </w:hyperlink>
      <w:r w:rsidR="009104CD">
        <w:rPr>
          <w:color w:val="000000"/>
        </w:rPr>
        <w:t>.</w:t>
      </w:r>
    </w:p>
    <w:p w14:paraId="59CC3EF7" w14:textId="77777777" w:rsidR="009104CD" w:rsidRDefault="009104CD" w:rsidP="009104CD">
      <w:pPr>
        <w:numPr>
          <w:ilvl w:val="0"/>
          <w:numId w:val="1"/>
        </w:numPr>
        <w:pBdr>
          <w:top w:val="nil"/>
          <w:left w:val="nil"/>
          <w:bottom w:val="nil"/>
          <w:right w:val="nil"/>
          <w:between w:val="nil"/>
        </w:pBdr>
        <w:rPr>
          <w:color w:val="000000"/>
        </w:rPr>
      </w:pPr>
      <w:r>
        <w:rPr>
          <w:color w:val="000000"/>
        </w:rPr>
        <w:t>Pearlman B</w:t>
      </w:r>
      <w:r w:rsidR="007C59B3">
        <w:rPr>
          <w:color w:val="000000"/>
        </w:rPr>
        <w:t>E, Kavitha DO, Ruchi Karsalia BS, Debra Heller MD</w:t>
      </w:r>
      <w:r>
        <w:rPr>
          <w:color w:val="000000"/>
        </w:rPr>
        <w:t>. Reproductive outcomes following a ruptured ectopic pregnancy. Fertility and sterility. 2019; 112(3):</w:t>
      </w:r>
      <w:r w:rsidR="00B075FA">
        <w:rPr>
          <w:color w:val="000000"/>
        </w:rPr>
        <w:t xml:space="preserve"> </w:t>
      </w:r>
      <w:r>
        <w:rPr>
          <w:color w:val="000000"/>
        </w:rPr>
        <w:t>e81-e82.</w:t>
      </w:r>
    </w:p>
    <w:p w14:paraId="0B9860A7" w14:textId="77777777" w:rsidR="009104CD" w:rsidRDefault="009104CD" w:rsidP="009104CD">
      <w:pPr>
        <w:numPr>
          <w:ilvl w:val="0"/>
          <w:numId w:val="1"/>
        </w:numPr>
        <w:pBdr>
          <w:top w:val="nil"/>
          <w:left w:val="nil"/>
          <w:bottom w:val="nil"/>
          <w:right w:val="nil"/>
          <w:between w:val="nil"/>
        </w:pBdr>
        <w:rPr>
          <w:color w:val="000000"/>
        </w:rPr>
      </w:pPr>
      <w:r>
        <w:rPr>
          <w:color w:val="000000"/>
        </w:rPr>
        <w:t>ACOG Practice Bulletin no 193: Tubal ectopic pregnancy. Obstetrics and Gyn</w:t>
      </w:r>
      <w:r w:rsidR="00B075FA">
        <w:rPr>
          <w:color w:val="000000"/>
        </w:rPr>
        <w:t>a</w:t>
      </w:r>
      <w:r>
        <w:rPr>
          <w:color w:val="000000"/>
        </w:rPr>
        <w:t>ecology, 2018; 131(3):</w:t>
      </w:r>
      <w:r w:rsidR="00B075FA">
        <w:rPr>
          <w:color w:val="000000"/>
        </w:rPr>
        <w:t xml:space="preserve"> </w:t>
      </w:r>
      <w:r>
        <w:rPr>
          <w:color w:val="000000"/>
        </w:rPr>
        <w:t>e91-e103.</w:t>
      </w:r>
    </w:p>
    <w:p w14:paraId="6FC08EC1" w14:textId="77777777" w:rsidR="009104CD" w:rsidRDefault="009104CD" w:rsidP="009104CD">
      <w:pPr>
        <w:numPr>
          <w:ilvl w:val="0"/>
          <w:numId w:val="1"/>
        </w:numPr>
        <w:pBdr>
          <w:top w:val="nil"/>
          <w:left w:val="nil"/>
          <w:bottom w:val="nil"/>
          <w:right w:val="nil"/>
          <w:between w:val="nil"/>
        </w:pBdr>
        <w:rPr>
          <w:color w:val="000000"/>
        </w:rPr>
      </w:pPr>
      <w:r>
        <w:rPr>
          <w:color w:val="000000"/>
        </w:rPr>
        <w:t>Lee R</w:t>
      </w:r>
      <w:r w:rsidR="007C59B3">
        <w:rPr>
          <w:color w:val="000000"/>
        </w:rPr>
        <w:t>, Dupius C, Chen B, Smith A, Kim YH</w:t>
      </w:r>
      <w:r>
        <w:rPr>
          <w:color w:val="000000"/>
        </w:rPr>
        <w:t>. Diagnosing ectopic pregnancy in life emergency setting. Ultrasonography. 2018;</w:t>
      </w:r>
      <w:r w:rsidR="00B075FA">
        <w:rPr>
          <w:color w:val="000000"/>
        </w:rPr>
        <w:t xml:space="preserve"> </w:t>
      </w:r>
      <w:r>
        <w:rPr>
          <w:color w:val="000000"/>
        </w:rPr>
        <w:t>37(1):78-87.</w:t>
      </w:r>
    </w:p>
    <w:p w14:paraId="493162C5" w14:textId="77777777" w:rsidR="00022D0E" w:rsidRDefault="00022D0E" w:rsidP="009104CD">
      <w:pPr>
        <w:pBdr>
          <w:top w:val="nil"/>
          <w:left w:val="nil"/>
          <w:bottom w:val="nil"/>
          <w:right w:val="nil"/>
          <w:between w:val="nil"/>
        </w:pBdr>
        <w:tabs>
          <w:tab w:val="left" w:pos="900"/>
        </w:tabs>
        <w:spacing w:after="200"/>
        <w:rPr>
          <w:b/>
          <w:color w:val="000000"/>
        </w:rPr>
      </w:pPr>
    </w:p>
    <w:p w14:paraId="06A705B3" w14:textId="77777777" w:rsidR="00022D0E" w:rsidRDefault="00022D0E" w:rsidP="009104CD">
      <w:pPr>
        <w:pBdr>
          <w:top w:val="nil"/>
          <w:left w:val="nil"/>
          <w:bottom w:val="nil"/>
          <w:right w:val="nil"/>
          <w:between w:val="nil"/>
        </w:pBdr>
        <w:tabs>
          <w:tab w:val="left" w:pos="900"/>
        </w:tabs>
        <w:spacing w:after="200"/>
        <w:rPr>
          <w:b/>
          <w:color w:val="000000"/>
        </w:rPr>
      </w:pPr>
    </w:p>
    <w:p w14:paraId="5092473E" w14:textId="77777777" w:rsidR="00022D0E" w:rsidRDefault="00022D0E" w:rsidP="009104CD">
      <w:pPr>
        <w:pBdr>
          <w:top w:val="nil"/>
          <w:left w:val="nil"/>
          <w:bottom w:val="nil"/>
          <w:right w:val="nil"/>
          <w:between w:val="nil"/>
        </w:pBdr>
        <w:tabs>
          <w:tab w:val="left" w:pos="900"/>
        </w:tabs>
        <w:spacing w:after="200"/>
        <w:rPr>
          <w:b/>
          <w:color w:val="000000"/>
        </w:rPr>
      </w:pPr>
    </w:p>
    <w:p w14:paraId="16C3FD9A" w14:textId="77777777" w:rsidR="00022D0E" w:rsidRDefault="00022D0E" w:rsidP="009104CD">
      <w:pPr>
        <w:pBdr>
          <w:top w:val="nil"/>
          <w:left w:val="nil"/>
          <w:bottom w:val="nil"/>
          <w:right w:val="nil"/>
          <w:between w:val="nil"/>
        </w:pBdr>
        <w:tabs>
          <w:tab w:val="left" w:pos="900"/>
        </w:tabs>
        <w:spacing w:after="200"/>
        <w:rPr>
          <w:b/>
          <w:color w:val="000000"/>
        </w:rPr>
      </w:pPr>
    </w:p>
    <w:p w14:paraId="77E4BBE2" w14:textId="77777777" w:rsidR="00022D0E" w:rsidRDefault="00022D0E" w:rsidP="009104CD">
      <w:pPr>
        <w:pBdr>
          <w:top w:val="nil"/>
          <w:left w:val="nil"/>
          <w:bottom w:val="nil"/>
          <w:right w:val="nil"/>
          <w:between w:val="nil"/>
        </w:pBdr>
        <w:tabs>
          <w:tab w:val="left" w:pos="900"/>
        </w:tabs>
        <w:spacing w:after="200"/>
        <w:rPr>
          <w:b/>
          <w:color w:val="000000"/>
        </w:rPr>
      </w:pPr>
    </w:p>
    <w:p w14:paraId="1D08BD1F" w14:textId="77777777" w:rsidR="00022D0E" w:rsidRDefault="00022D0E" w:rsidP="009104CD">
      <w:pPr>
        <w:pBdr>
          <w:top w:val="nil"/>
          <w:left w:val="nil"/>
          <w:bottom w:val="nil"/>
          <w:right w:val="nil"/>
          <w:between w:val="nil"/>
        </w:pBdr>
        <w:tabs>
          <w:tab w:val="left" w:pos="900"/>
        </w:tabs>
        <w:spacing w:after="200"/>
        <w:rPr>
          <w:b/>
          <w:color w:val="000000"/>
        </w:rPr>
      </w:pPr>
    </w:p>
    <w:p w14:paraId="734C1704" w14:textId="77777777" w:rsidR="00022D0E" w:rsidRDefault="00022D0E" w:rsidP="009104CD">
      <w:pPr>
        <w:pBdr>
          <w:top w:val="nil"/>
          <w:left w:val="nil"/>
          <w:bottom w:val="nil"/>
          <w:right w:val="nil"/>
          <w:between w:val="nil"/>
        </w:pBdr>
        <w:tabs>
          <w:tab w:val="left" w:pos="900"/>
        </w:tabs>
        <w:spacing w:after="200"/>
        <w:rPr>
          <w:b/>
          <w:color w:val="000000"/>
        </w:rPr>
      </w:pPr>
    </w:p>
    <w:p w14:paraId="491BDC9A" w14:textId="77777777" w:rsidR="00022D0E" w:rsidRDefault="00022D0E" w:rsidP="009104CD">
      <w:pPr>
        <w:pBdr>
          <w:top w:val="nil"/>
          <w:left w:val="nil"/>
          <w:bottom w:val="nil"/>
          <w:right w:val="nil"/>
          <w:between w:val="nil"/>
        </w:pBdr>
        <w:tabs>
          <w:tab w:val="left" w:pos="900"/>
        </w:tabs>
        <w:spacing w:after="200"/>
        <w:rPr>
          <w:b/>
          <w:color w:val="000000"/>
        </w:rPr>
      </w:pPr>
    </w:p>
    <w:p w14:paraId="4CEAEC5E" w14:textId="77777777" w:rsidR="00022D0E" w:rsidRDefault="00022D0E" w:rsidP="009104CD">
      <w:pPr>
        <w:pBdr>
          <w:top w:val="nil"/>
          <w:left w:val="nil"/>
          <w:bottom w:val="nil"/>
          <w:right w:val="nil"/>
          <w:between w:val="nil"/>
        </w:pBdr>
        <w:tabs>
          <w:tab w:val="left" w:pos="900"/>
        </w:tabs>
        <w:spacing w:after="200"/>
        <w:rPr>
          <w:b/>
          <w:color w:val="000000"/>
        </w:rPr>
      </w:pPr>
    </w:p>
    <w:p w14:paraId="6B7AA59E" w14:textId="77777777" w:rsidR="00022D0E" w:rsidRDefault="00022D0E" w:rsidP="009104CD">
      <w:pPr>
        <w:pBdr>
          <w:top w:val="nil"/>
          <w:left w:val="nil"/>
          <w:bottom w:val="nil"/>
          <w:right w:val="nil"/>
          <w:between w:val="nil"/>
        </w:pBdr>
        <w:tabs>
          <w:tab w:val="left" w:pos="900"/>
        </w:tabs>
        <w:spacing w:after="200"/>
        <w:rPr>
          <w:b/>
          <w:color w:val="000000"/>
        </w:rPr>
      </w:pPr>
    </w:p>
    <w:p w14:paraId="5B308593" w14:textId="77777777" w:rsidR="00022D0E" w:rsidRDefault="00022D0E" w:rsidP="009104CD">
      <w:pPr>
        <w:pBdr>
          <w:top w:val="nil"/>
          <w:left w:val="nil"/>
          <w:bottom w:val="nil"/>
          <w:right w:val="nil"/>
          <w:between w:val="nil"/>
        </w:pBdr>
        <w:tabs>
          <w:tab w:val="left" w:pos="900"/>
        </w:tabs>
        <w:spacing w:after="200"/>
        <w:rPr>
          <w:b/>
          <w:color w:val="000000"/>
        </w:rPr>
      </w:pPr>
    </w:p>
    <w:p w14:paraId="6F8136E2" w14:textId="77777777" w:rsidR="00022D0E" w:rsidRDefault="00022D0E" w:rsidP="009104CD">
      <w:pPr>
        <w:pBdr>
          <w:top w:val="nil"/>
          <w:left w:val="nil"/>
          <w:bottom w:val="nil"/>
          <w:right w:val="nil"/>
          <w:between w:val="nil"/>
        </w:pBdr>
        <w:tabs>
          <w:tab w:val="left" w:pos="900"/>
        </w:tabs>
        <w:spacing w:after="200"/>
        <w:rPr>
          <w:b/>
          <w:color w:val="000000"/>
        </w:rPr>
      </w:pPr>
    </w:p>
    <w:p w14:paraId="4B237E2D" w14:textId="77777777" w:rsidR="00022D0E" w:rsidRDefault="00022D0E" w:rsidP="009104CD">
      <w:pPr>
        <w:pBdr>
          <w:top w:val="nil"/>
          <w:left w:val="nil"/>
          <w:bottom w:val="nil"/>
          <w:right w:val="nil"/>
          <w:between w:val="nil"/>
        </w:pBdr>
        <w:tabs>
          <w:tab w:val="left" w:pos="900"/>
        </w:tabs>
        <w:spacing w:after="200"/>
        <w:rPr>
          <w:b/>
          <w:color w:val="000000"/>
        </w:rPr>
      </w:pPr>
    </w:p>
    <w:p w14:paraId="2BAC6AC7" w14:textId="77777777" w:rsidR="00022D0E" w:rsidRDefault="00022D0E" w:rsidP="009104CD">
      <w:pPr>
        <w:pBdr>
          <w:top w:val="nil"/>
          <w:left w:val="nil"/>
          <w:bottom w:val="nil"/>
          <w:right w:val="nil"/>
          <w:between w:val="nil"/>
        </w:pBdr>
        <w:tabs>
          <w:tab w:val="left" w:pos="900"/>
        </w:tabs>
        <w:spacing w:after="200"/>
        <w:rPr>
          <w:b/>
          <w:color w:val="000000"/>
        </w:rPr>
      </w:pPr>
    </w:p>
    <w:p w14:paraId="10891363" w14:textId="77777777" w:rsidR="00022D0E" w:rsidRDefault="00022D0E" w:rsidP="009104CD">
      <w:pPr>
        <w:pBdr>
          <w:top w:val="nil"/>
          <w:left w:val="nil"/>
          <w:bottom w:val="nil"/>
          <w:right w:val="nil"/>
          <w:between w:val="nil"/>
        </w:pBdr>
        <w:tabs>
          <w:tab w:val="left" w:pos="900"/>
        </w:tabs>
        <w:spacing w:after="200"/>
        <w:rPr>
          <w:b/>
          <w:color w:val="000000"/>
        </w:rPr>
      </w:pPr>
    </w:p>
    <w:p w14:paraId="75B96E31" w14:textId="77777777" w:rsidR="00022D0E" w:rsidRDefault="00022D0E" w:rsidP="009104CD">
      <w:pPr>
        <w:pBdr>
          <w:top w:val="nil"/>
          <w:left w:val="nil"/>
          <w:bottom w:val="nil"/>
          <w:right w:val="nil"/>
          <w:between w:val="nil"/>
        </w:pBdr>
        <w:tabs>
          <w:tab w:val="left" w:pos="900"/>
        </w:tabs>
        <w:spacing w:after="200"/>
        <w:rPr>
          <w:b/>
          <w:color w:val="000000"/>
        </w:rPr>
      </w:pPr>
    </w:p>
    <w:p w14:paraId="65C5349A" w14:textId="77777777" w:rsidR="00022D0E" w:rsidRDefault="00022D0E" w:rsidP="009104CD">
      <w:pPr>
        <w:pBdr>
          <w:top w:val="nil"/>
          <w:left w:val="nil"/>
          <w:bottom w:val="nil"/>
          <w:right w:val="nil"/>
          <w:between w:val="nil"/>
        </w:pBdr>
        <w:tabs>
          <w:tab w:val="left" w:pos="900"/>
        </w:tabs>
        <w:spacing w:after="200"/>
        <w:rPr>
          <w:b/>
          <w:color w:val="000000"/>
        </w:rPr>
      </w:pPr>
    </w:p>
    <w:p w14:paraId="597FD9E0" w14:textId="77777777" w:rsidR="00022D0E" w:rsidRDefault="00022D0E" w:rsidP="009104CD">
      <w:pPr>
        <w:pBdr>
          <w:top w:val="nil"/>
          <w:left w:val="nil"/>
          <w:bottom w:val="nil"/>
          <w:right w:val="nil"/>
          <w:between w:val="nil"/>
        </w:pBdr>
        <w:tabs>
          <w:tab w:val="left" w:pos="900"/>
        </w:tabs>
        <w:spacing w:after="200"/>
        <w:rPr>
          <w:b/>
          <w:color w:val="000000"/>
        </w:rPr>
      </w:pPr>
    </w:p>
    <w:p w14:paraId="18D64FBA" w14:textId="77777777" w:rsidR="00022D0E" w:rsidRDefault="00022D0E" w:rsidP="009104CD">
      <w:pPr>
        <w:pBdr>
          <w:top w:val="nil"/>
          <w:left w:val="nil"/>
          <w:bottom w:val="nil"/>
          <w:right w:val="nil"/>
          <w:between w:val="nil"/>
        </w:pBdr>
        <w:tabs>
          <w:tab w:val="left" w:pos="900"/>
        </w:tabs>
        <w:spacing w:after="200"/>
        <w:rPr>
          <w:b/>
          <w:color w:val="000000"/>
        </w:rPr>
      </w:pPr>
    </w:p>
    <w:p w14:paraId="70BD54E1" w14:textId="77777777" w:rsidR="00524039" w:rsidRDefault="00524039"/>
    <w:p w14:paraId="2A6E326D" w14:textId="77777777" w:rsidR="00022D0E" w:rsidRDefault="00022D0E"/>
    <w:sectPr w:rsidR="00022D0E">
      <w:headerReference w:type="even" r:id="rId17"/>
      <w:headerReference w:type="default" r:id="rId18"/>
      <w:footerReference w:type="even" r:id="rId19"/>
      <w:footerReference w:type="default" r:id="rId20"/>
      <w:headerReference w:type="first" r:id="rId21"/>
      <w:footerReference w:type="first" r:id="rId22"/>
      <w:pgSz w:w="11907" w:h="16839"/>
      <w:pgMar w:top="1440" w:right="1440" w:bottom="1440" w:left="144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 Amany ALY" w:date="2026-04-20T10:25:00Z" w:initials="dA">
    <w:p w14:paraId="18F3E54D" w14:textId="28661612" w:rsidR="001854F8" w:rsidRPr="003E2DA4" w:rsidRDefault="00BE3860" w:rsidP="001854F8">
      <w:r>
        <w:rPr>
          <w:rStyle w:val="CommentReference"/>
        </w:rPr>
        <w:annotationRef/>
      </w:r>
      <w:r>
        <w:t>Regarding the title</w:t>
      </w:r>
      <w:r w:rsidR="001854F8">
        <w:t>,</w:t>
      </w:r>
      <w:r>
        <w:t xml:space="preserve"> it</w:t>
      </w:r>
      <w:r w:rsidR="001854F8">
        <w:t xml:space="preserve">'s preferable to write as: </w:t>
      </w:r>
      <w:r w:rsidR="001854F8" w:rsidRPr="00BE3860">
        <w:rPr>
          <w:b/>
          <w:bCs/>
        </w:rPr>
        <w:t xml:space="preserve">A </w:t>
      </w:r>
      <w:r w:rsidR="001854F8">
        <w:rPr>
          <w:b/>
          <w:bCs/>
        </w:rPr>
        <w:t>R</w:t>
      </w:r>
      <w:r w:rsidR="001854F8" w:rsidRPr="00BE3860">
        <w:rPr>
          <w:b/>
          <w:bCs/>
        </w:rPr>
        <w:t xml:space="preserve">etrospective </w:t>
      </w:r>
      <w:r w:rsidR="001854F8">
        <w:rPr>
          <w:b/>
          <w:bCs/>
        </w:rPr>
        <w:t>R</w:t>
      </w:r>
      <w:r w:rsidR="001854F8" w:rsidRPr="00EE6B42">
        <w:rPr>
          <w:b/>
          <w:bCs/>
        </w:rPr>
        <w:t>eview</w:t>
      </w:r>
      <w:r w:rsidR="001854F8">
        <w:rPr>
          <w:b/>
          <w:bCs/>
        </w:rPr>
        <w:t xml:space="preserve"> of Ectopic</w:t>
      </w:r>
      <w:r w:rsidR="001854F8" w:rsidRPr="00EE6B42">
        <w:rPr>
          <w:b/>
          <w:bCs/>
        </w:rPr>
        <w:t xml:space="preserve"> </w:t>
      </w:r>
      <w:r w:rsidR="001854F8">
        <w:rPr>
          <w:b/>
          <w:bCs/>
        </w:rPr>
        <w:t>P</w:t>
      </w:r>
      <w:r w:rsidR="001854F8" w:rsidRPr="00EE6B42">
        <w:rPr>
          <w:b/>
          <w:bCs/>
        </w:rPr>
        <w:t>regnancy</w:t>
      </w:r>
      <w:r w:rsidR="001854F8">
        <w:rPr>
          <w:b/>
          <w:bCs/>
        </w:rPr>
        <w:t xml:space="preserve"> over four years </w:t>
      </w:r>
    </w:p>
    <w:p w14:paraId="337BE934" w14:textId="5FB0847A" w:rsidR="00BE3860" w:rsidRDefault="00BE3860">
      <w:pPr>
        <w:pStyle w:val="CommentText"/>
      </w:pPr>
    </w:p>
  </w:comment>
  <w:comment w:id="1" w:author="d. Amany ALY" w:date="2026-04-20T10:53:00Z" w:initials="dA">
    <w:p w14:paraId="3E1572FF" w14:textId="59C705C3" w:rsidR="00283FCC" w:rsidRDefault="00283FCC">
      <w:pPr>
        <w:pStyle w:val="CommentText"/>
      </w:pPr>
      <w:r>
        <w:rPr>
          <w:rStyle w:val="CommentReference"/>
        </w:rPr>
        <w:annotationRef/>
      </w:r>
      <w:r>
        <w:t>The gynecology</w:t>
      </w:r>
    </w:p>
  </w:comment>
  <w:comment w:id="2" w:author="d. Amany ALY" w:date="2026-04-20T10:56:00Z" w:initials="dA">
    <w:p w14:paraId="4334DEBC" w14:textId="79C0C4CA" w:rsidR="00283FCC" w:rsidRDefault="00283FCC">
      <w:pPr>
        <w:pStyle w:val="CommentText"/>
      </w:pPr>
      <w:r>
        <w:rPr>
          <w:rStyle w:val="CommentReference"/>
        </w:rPr>
        <w:annotationRef/>
      </w:r>
      <w:r>
        <w:t xml:space="preserve">Regarding to </w:t>
      </w:r>
      <w:r w:rsidR="00442025">
        <w:t>keywords its better to be like: Ectopic pregnancy, maternal morbidity, and mortality</w:t>
      </w:r>
    </w:p>
  </w:comment>
  <w:comment w:id="3" w:author="d. Amany ALY" w:date="2026-04-20T11:00:00Z" w:initials="dA">
    <w:p w14:paraId="1903DD77" w14:textId="6A9B3FF0" w:rsidR="00442025" w:rsidRDefault="00442025">
      <w:pPr>
        <w:pStyle w:val="CommentText"/>
      </w:pPr>
      <w:r>
        <w:rPr>
          <w:rStyle w:val="CommentReference"/>
        </w:rPr>
        <w:annotationRef/>
      </w:r>
      <w:r>
        <w:t>Rewrite (Ectopic pregnancy is the most common</w:t>
      </w:r>
    </w:p>
  </w:comment>
  <w:comment w:id="4" w:author="d. Amany ALY" w:date="2026-04-20T12:23:00Z" w:initials="dA">
    <w:p w14:paraId="269B2FD4" w14:textId="3E62F044" w:rsidR="00646C9E" w:rsidRDefault="00646C9E">
      <w:pPr>
        <w:pStyle w:val="CommentText"/>
      </w:pPr>
      <w:r>
        <w:rPr>
          <w:rStyle w:val="CommentReference"/>
        </w:rPr>
        <w:annotationRef/>
      </w:r>
      <w:r>
        <w:t>Regarding the result preferable to put the mean and standard deviation because the data is continuous and approximately normally distributed.</w:t>
      </w:r>
    </w:p>
  </w:comment>
  <w:comment w:id="5" w:author="d. Amany ALY" w:date="2026-04-20T12:33:00Z" w:initials="dA">
    <w:p w14:paraId="0DFA6300" w14:textId="76DDB8FF" w:rsidR="00646C9E" w:rsidRDefault="00646C9E" w:rsidP="00646C9E">
      <w:pPr>
        <w:pStyle w:val="CommentText"/>
      </w:pPr>
      <w:r>
        <w:rPr>
          <w:rStyle w:val="CommentReference"/>
        </w:rPr>
        <w:annotationRef/>
      </w:r>
      <w:r>
        <w:t xml:space="preserve">Regarding the result </w:t>
      </w:r>
      <w:r w:rsidR="00021E70">
        <w:t xml:space="preserve">(cumulative percent) better to put an ogive graph </w:t>
      </w:r>
    </w:p>
    <w:p w14:paraId="74A82EDA" w14:textId="59B4AFB8" w:rsidR="00646C9E" w:rsidRDefault="00646C9E">
      <w:pPr>
        <w:pStyle w:val="CommentText"/>
      </w:pPr>
    </w:p>
  </w:comment>
  <w:comment w:id="6" w:author="d. Amany ALY" w:date="2026-04-20T12:35:00Z" w:initials="dA">
    <w:p w14:paraId="1E875E2C" w14:textId="201CD1FF" w:rsidR="00D13532" w:rsidRDefault="00D13532" w:rsidP="00D13532">
      <w:pPr>
        <w:pStyle w:val="CommentText"/>
      </w:pPr>
      <w:r>
        <w:rPr>
          <w:rStyle w:val="CommentReference"/>
        </w:rPr>
        <w:annotationRef/>
      </w:r>
      <w:r>
        <w:t xml:space="preserve">Regarding the result (cumulative percent) better to put an ogive graph </w:t>
      </w:r>
    </w:p>
  </w:comment>
  <w:comment w:id="7" w:author="d. Amany ALY" w:date="2026-04-20T12:12:00Z" w:initials="dA">
    <w:p w14:paraId="7532C38F" w14:textId="156BFBA5" w:rsidR="00C71E1A" w:rsidRDefault="00C71E1A">
      <w:pPr>
        <w:pStyle w:val="CommentText"/>
      </w:pPr>
      <w:r>
        <w:rPr>
          <w:rStyle w:val="CommentReference"/>
        </w:rPr>
        <w:annotationRef/>
      </w:r>
      <w:r>
        <w:t>Rewrite (the incidence of 3.9% among all gynecological admissions was higher than that noted in Awka and Nassarawa, but similar to Enugu.</w:t>
      </w:r>
    </w:p>
  </w:comment>
  <w:comment w:id="8" w:author="d. Amany ALY" w:date="2026-04-20T12:09:00Z" w:initials="dA">
    <w:p w14:paraId="11E6F862" w14:textId="2169DC3D" w:rsidR="00C71E1A" w:rsidRDefault="00C71E1A">
      <w:pPr>
        <w:pStyle w:val="CommentText"/>
      </w:pPr>
      <w:r>
        <w:rPr>
          <w:rStyle w:val="CommentReference"/>
        </w:rPr>
        <w:annotationRef/>
      </w:r>
      <w:r>
        <w:t>Rewrite (of patient presenting at the study)</w:t>
      </w:r>
    </w:p>
  </w:comment>
  <w:comment w:id="9" w:author="d. Amany ALY" w:date="2026-04-20T12:39:00Z" w:initials="dA">
    <w:p w14:paraId="135848AD" w14:textId="13336B10" w:rsidR="00EE1C38" w:rsidRDefault="00EE1C38">
      <w:pPr>
        <w:pStyle w:val="CommentText"/>
      </w:pPr>
      <w:r>
        <w:rPr>
          <w:rStyle w:val="CommentReference"/>
        </w:rPr>
        <w:annotationRef/>
      </w:r>
      <w:r>
        <w:t xml:space="preserve">Must put the number of approved </w:t>
      </w:r>
    </w:p>
  </w:comment>
  <w:comment w:id="10" w:author="d. Amany ALY" w:date="2026-04-20T12:42:00Z" w:initials="dA">
    <w:p w14:paraId="53079580" w14:textId="40FFC992" w:rsidR="00EE1C38" w:rsidRDefault="00EE1C38">
      <w:pPr>
        <w:pStyle w:val="CommentText"/>
      </w:pPr>
      <w:r>
        <w:rPr>
          <w:rStyle w:val="CommentReference"/>
        </w:rPr>
        <w:annotationRef/>
      </w:r>
      <w:r>
        <w:t xml:space="preserve">Regarding the references, the newest reference in 2022, please add more recent </w:t>
      </w:r>
      <w:r w:rsidR="0002075B">
        <w:t>references because we are in 2026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37BE934" w15:done="0"/>
  <w15:commentEx w15:paraId="3E1572FF" w15:done="0"/>
  <w15:commentEx w15:paraId="4334DEBC" w15:done="0"/>
  <w15:commentEx w15:paraId="1903DD77" w15:done="0"/>
  <w15:commentEx w15:paraId="269B2FD4" w15:done="0"/>
  <w15:commentEx w15:paraId="74A82EDA" w15:done="0"/>
  <w15:commentEx w15:paraId="1E875E2C" w15:done="0"/>
  <w15:commentEx w15:paraId="7532C38F" w15:done="0"/>
  <w15:commentEx w15:paraId="11E6F862" w15:done="0"/>
  <w15:commentEx w15:paraId="135848AD" w15:done="0"/>
  <w15:commentEx w15:paraId="530795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4EEF234" w16cex:dateUtc="2026-04-20T08:25:00Z"/>
  <w16cex:commentExtensible w16cex:durableId="549AEA3A" w16cex:dateUtc="2026-04-20T08:53:00Z"/>
  <w16cex:commentExtensible w16cex:durableId="0997CDCD" w16cex:dateUtc="2026-04-20T08:56:00Z"/>
  <w16cex:commentExtensible w16cex:durableId="6918576D" w16cex:dateUtc="2026-04-20T09:00:00Z"/>
  <w16cex:commentExtensible w16cex:durableId="69841D7A" w16cex:dateUtc="2026-04-20T10:23:00Z"/>
  <w16cex:commentExtensible w16cex:durableId="122D592D" w16cex:dateUtc="2026-04-20T10:33:00Z"/>
  <w16cex:commentExtensible w16cex:durableId="5B119AD0" w16cex:dateUtc="2026-04-20T10:35:00Z"/>
  <w16cex:commentExtensible w16cex:durableId="07BE882B" w16cex:dateUtc="2026-04-20T10:12:00Z"/>
  <w16cex:commentExtensible w16cex:durableId="66675A7A" w16cex:dateUtc="2026-04-20T10:09:00Z"/>
  <w16cex:commentExtensible w16cex:durableId="25A39182" w16cex:dateUtc="2026-04-20T10:39:00Z"/>
  <w16cex:commentExtensible w16cex:durableId="186A5CA0" w16cex:dateUtc="2026-04-20T10: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37BE934" w16cid:durableId="54EEF234"/>
  <w16cid:commentId w16cid:paraId="3E1572FF" w16cid:durableId="549AEA3A"/>
  <w16cid:commentId w16cid:paraId="4334DEBC" w16cid:durableId="0997CDCD"/>
  <w16cid:commentId w16cid:paraId="1903DD77" w16cid:durableId="6918576D"/>
  <w16cid:commentId w16cid:paraId="269B2FD4" w16cid:durableId="69841D7A"/>
  <w16cid:commentId w16cid:paraId="74A82EDA" w16cid:durableId="122D592D"/>
  <w16cid:commentId w16cid:paraId="1E875E2C" w16cid:durableId="5B119AD0"/>
  <w16cid:commentId w16cid:paraId="7532C38F" w16cid:durableId="07BE882B"/>
  <w16cid:commentId w16cid:paraId="11E6F862" w16cid:durableId="66675A7A"/>
  <w16cid:commentId w16cid:paraId="135848AD" w16cid:durableId="25A39182"/>
  <w16cid:commentId w16cid:paraId="53079580" w16cid:durableId="186A5C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4B390" w14:textId="77777777" w:rsidR="00045D1A" w:rsidRDefault="00045D1A" w:rsidP="00B748E4">
      <w:pPr>
        <w:spacing w:line="240" w:lineRule="auto"/>
      </w:pPr>
      <w:r>
        <w:separator/>
      </w:r>
    </w:p>
  </w:endnote>
  <w:endnote w:type="continuationSeparator" w:id="0">
    <w:p w14:paraId="2DA16A11" w14:textId="77777777" w:rsidR="00045D1A" w:rsidRDefault="00045D1A" w:rsidP="00B748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Gungsuh">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75B84" w14:textId="77777777" w:rsidR="00B748E4" w:rsidRDefault="00B748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4495A" w14:textId="77777777" w:rsidR="00B748E4" w:rsidRDefault="00B748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C4127" w14:textId="77777777" w:rsidR="00B748E4" w:rsidRDefault="00B748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223D77" w14:textId="77777777" w:rsidR="00045D1A" w:rsidRDefault="00045D1A" w:rsidP="00B748E4">
      <w:pPr>
        <w:spacing w:line="240" w:lineRule="auto"/>
      </w:pPr>
      <w:r>
        <w:separator/>
      </w:r>
    </w:p>
  </w:footnote>
  <w:footnote w:type="continuationSeparator" w:id="0">
    <w:p w14:paraId="21B8808C" w14:textId="77777777" w:rsidR="00045D1A" w:rsidRDefault="00045D1A" w:rsidP="00B748E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6E197" w14:textId="1E35AE29" w:rsidR="00B748E4" w:rsidRDefault="00045D1A">
    <w:pPr>
      <w:pStyle w:val="Header"/>
    </w:pPr>
    <w:r>
      <w:rPr>
        <w:noProof/>
      </w:rPr>
      <w:pict w14:anchorId="541D46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768876" o:spid="_x0000_s1027" type="#_x0000_t136" alt="" style="position:absolute;left:0;text-align:left;margin-left:0;margin-top:0;width:572.65pt;height:63.6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22657" w14:textId="59177D79" w:rsidR="00B748E4" w:rsidRDefault="00045D1A">
    <w:pPr>
      <w:pStyle w:val="Header"/>
    </w:pPr>
    <w:r>
      <w:rPr>
        <w:noProof/>
      </w:rPr>
      <w:pict w14:anchorId="42D25AB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768877" o:spid="_x0000_s1026" type="#_x0000_t136" alt="" style="position:absolute;left:0;text-align:left;margin-left:0;margin-top:0;width:572.65pt;height:63.6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29BC5" w14:textId="4D68B469" w:rsidR="00B748E4" w:rsidRDefault="00045D1A">
    <w:pPr>
      <w:pStyle w:val="Header"/>
    </w:pPr>
    <w:r>
      <w:rPr>
        <w:noProof/>
      </w:rPr>
      <w:pict w14:anchorId="170472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768875" o:spid="_x0000_s1025" type="#_x0000_t136" alt="" style="position:absolute;left:0;text-align:left;margin-left:0;margin-top:0;width:572.65pt;height:63.6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10EB"/>
    <w:multiLevelType w:val="multilevel"/>
    <w:tmpl w:val="645C88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44A0A77"/>
    <w:multiLevelType w:val="hybridMultilevel"/>
    <w:tmpl w:val="BB3C7694"/>
    <w:lvl w:ilvl="0" w:tplc="22B01D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CF36DD"/>
    <w:multiLevelType w:val="multilevel"/>
    <w:tmpl w:val="052CC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06680912">
    <w:abstractNumId w:val="0"/>
  </w:num>
  <w:num w:numId="2" w16cid:durableId="1772166832">
    <w:abstractNumId w:val="1"/>
  </w:num>
  <w:num w:numId="3" w16cid:durableId="183182286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 Amany ALY">
    <w15:presenceInfo w15:providerId="Windows Live" w15:userId="f62ccf001aa5b7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04CD"/>
    <w:rsid w:val="000016B4"/>
    <w:rsid w:val="0001090E"/>
    <w:rsid w:val="0002075B"/>
    <w:rsid w:val="00021E70"/>
    <w:rsid w:val="00021E85"/>
    <w:rsid w:val="00022D0E"/>
    <w:rsid w:val="00032F71"/>
    <w:rsid w:val="000459D5"/>
    <w:rsid w:val="00045D1A"/>
    <w:rsid w:val="0005087A"/>
    <w:rsid w:val="00052064"/>
    <w:rsid w:val="00085175"/>
    <w:rsid w:val="000962B0"/>
    <w:rsid w:val="00096A43"/>
    <w:rsid w:val="000A7C64"/>
    <w:rsid w:val="000B036E"/>
    <w:rsid w:val="000B7E7D"/>
    <w:rsid w:val="000F68F8"/>
    <w:rsid w:val="0015086F"/>
    <w:rsid w:val="0016190F"/>
    <w:rsid w:val="00167F92"/>
    <w:rsid w:val="00181A42"/>
    <w:rsid w:val="001854F8"/>
    <w:rsid w:val="00186B6D"/>
    <w:rsid w:val="00187223"/>
    <w:rsid w:val="00194446"/>
    <w:rsid w:val="001B7CDB"/>
    <w:rsid w:val="001C7001"/>
    <w:rsid w:val="001C7B54"/>
    <w:rsid w:val="001D4480"/>
    <w:rsid w:val="001E3283"/>
    <w:rsid w:val="001E3DA3"/>
    <w:rsid w:val="00207471"/>
    <w:rsid w:val="00230CEE"/>
    <w:rsid w:val="00265FC2"/>
    <w:rsid w:val="002701B1"/>
    <w:rsid w:val="002740A7"/>
    <w:rsid w:val="00283FCC"/>
    <w:rsid w:val="002D2B63"/>
    <w:rsid w:val="0030706F"/>
    <w:rsid w:val="003349DD"/>
    <w:rsid w:val="003962D3"/>
    <w:rsid w:val="003D0B15"/>
    <w:rsid w:val="003D15D1"/>
    <w:rsid w:val="003D1D29"/>
    <w:rsid w:val="003D291D"/>
    <w:rsid w:val="003E2DA4"/>
    <w:rsid w:val="003E719F"/>
    <w:rsid w:val="0042054D"/>
    <w:rsid w:val="00442025"/>
    <w:rsid w:val="00486FB2"/>
    <w:rsid w:val="004978D9"/>
    <w:rsid w:val="004D5E48"/>
    <w:rsid w:val="004F02D9"/>
    <w:rsid w:val="004F0FE6"/>
    <w:rsid w:val="004F4285"/>
    <w:rsid w:val="00522246"/>
    <w:rsid w:val="00524039"/>
    <w:rsid w:val="00527622"/>
    <w:rsid w:val="00581957"/>
    <w:rsid w:val="005859A5"/>
    <w:rsid w:val="005936B9"/>
    <w:rsid w:val="005A7139"/>
    <w:rsid w:val="005B18E5"/>
    <w:rsid w:val="006117BD"/>
    <w:rsid w:val="00646C9E"/>
    <w:rsid w:val="006A5EC0"/>
    <w:rsid w:val="006D11B3"/>
    <w:rsid w:val="006F1F37"/>
    <w:rsid w:val="006F22F0"/>
    <w:rsid w:val="00716F49"/>
    <w:rsid w:val="00720AA4"/>
    <w:rsid w:val="0072197C"/>
    <w:rsid w:val="00747C24"/>
    <w:rsid w:val="007B3211"/>
    <w:rsid w:val="007C59B3"/>
    <w:rsid w:val="007F4802"/>
    <w:rsid w:val="00801E34"/>
    <w:rsid w:val="00806A00"/>
    <w:rsid w:val="00822FB3"/>
    <w:rsid w:val="00841B20"/>
    <w:rsid w:val="008B7152"/>
    <w:rsid w:val="008C460F"/>
    <w:rsid w:val="008E27E4"/>
    <w:rsid w:val="009104CD"/>
    <w:rsid w:val="00937A83"/>
    <w:rsid w:val="00976BDF"/>
    <w:rsid w:val="00992D15"/>
    <w:rsid w:val="009B6EEF"/>
    <w:rsid w:val="00A27ACF"/>
    <w:rsid w:val="00A67F9A"/>
    <w:rsid w:val="00A87071"/>
    <w:rsid w:val="00A9094F"/>
    <w:rsid w:val="00AA36F9"/>
    <w:rsid w:val="00AD7B50"/>
    <w:rsid w:val="00AF56AD"/>
    <w:rsid w:val="00AF6385"/>
    <w:rsid w:val="00B075FA"/>
    <w:rsid w:val="00B340F8"/>
    <w:rsid w:val="00B3799C"/>
    <w:rsid w:val="00B452F4"/>
    <w:rsid w:val="00B6072E"/>
    <w:rsid w:val="00B748E4"/>
    <w:rsid w:val="00BE3860"/>
    <w:rsid w:val="00C41FD5"/>
    <w:rsid w:val="00C4718A"/>
    <w:rsid w:val="00C4736E"/>
    <w:rsid w:val="00C71E1A"/>
    <w:rsid w:val="00C93F8D"/>
    <w:rsid w:val="00CA46D5"/>
    <w:rsid w:val="00CC7CBF"/>
    <w:rsid w:val="00CD07E5"/>
    <w:rsid w:val="00CD0FD8"/>
    <w:rsid w:val="00CD281F"/>
    <w:rsid w:val="00CF3FDD"/>
    <w:rsid w:val="00D134ED"/>
    <w:rsid w:val="00D13532"/>
    <w:rsid w:val="00D273B3"/>
    <w:rsid w:val="00D37302"/>
    <w:rsid w:val="00D40227"/>
    <w:rsid w:val="00D723C6"/>
    <w:rsid w:val="00D7796F"/>
    <w:rsid w:val="00D82B06"/>
    <w:rsid w:val="00D85E54"/>
    <w:rsid w:val="00DC266F"/>
    <w:rsid w:val="00DD43C2"/>
    <w:rsid w:val="00E042ED"/>
    <w:rsid w:val="00E13773"/>
    <w:rsid w:val="00E72066"/>
    <w:rsid w:val="00E86506"/>
    <w:rsid w:val="00E9409A"/>
    <w:rsid w:val="00EA067B"/>
    <w:rsid w:val="00ED18B7"/>
    <w:rsid w:val="00EE1C38"/>
    <w:rsid w:val="00EE6B42"/>
    <w:rsid w:val="00F03FAC"/>
    <w:rsid w:val="00F12234"/>
    <w:rsid w:val="00F16AFF"/>
    <w:rsid w:val="00F35B72"/>
    <w:rsid w:val="00F36EA5"/>
    <w:rsid w:val="00F41A4D"/>
    <w:rsid w:val="00F63389"/>
    <w:rsid w:val="00F66207"/>
    <w:rsid w:val="00F7049B"/>
    <w:rsid w:val="00FF0C7B"/>
    <w:rsid w:val="00FF2BC7"/>
    <w:rsid w:val="00FF3BA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811A"/>
  <w15:chartTrackingRefBased/>
  <w15:docId w15:val="{59756E7E-9B2E-41E0-B523-594C4AC41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6B4"/>
    <w:pPr>
      <w:spacing w:after="0" w:line="360" w:lineRule="auto"/>
      <w:jc w:val="both"/>
    </w:pPr>
    <w:rPr>
      <w:rFonts w:ascii="Times New Roman" w:eastAsia="Times New Roman" w:hAnsi="Times New Roman" w:cs="Times New Roman"/>
      <w:sz w:val="24"/>
      <w:szCs w:val="24"/>
      <w:highlight w:val="white"/>
      <w:lang w:val="en-GB"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2D0E"/>
    <w:pPr>
      <w:ind w:left="720"/>
      <w:contextualSpacing/>
    </w:pPr>
  </w:style>
  <w:style w:type="character" w:styleId="Hyperlink">
    <w:name w:val="Hyperlink"/>
    <w:basedOn w:val="DefaultParagraphFont"/>
    <w:uiPriority w:val="99"/>
    <w:unhideWhenUsed/>
    <w:rsid w:val="00EE6B42"/>
    <w:rPr>
      <w:color w:val="0563C1" w:themeColor="hyperlink"/>
      <w:u w:val="single"/>
    </w:rPr>
  </w:style>
  <w:style w:type="character" w:styleId="UnresolvedMention">
    <w:name w:val="Unresolved Mention"/>
    <w:basedOn w:val="DefaultParagraphFont"/>
    <w:uiPriority w:val="99"/>
    <w:semiHidden/>
    <w:unhideWhenUsed/>
    <w:rsid w:val="00EE6B42"/>
    <w:rPr>
      <w:color w:val="605E5C"/>
      <w:shd w:val="clear" w:color="auto" w:fill="E1DFDD"/>
    </w:rPr>
  </w:style>
  <w:style w:type="paragraph" w:styleId="Header">
    <w:name w:val="header"/>
    <w:basedOn w:val="Normal"/>
    <w:link w:val="HeaderChar"/>
    <w:uiPriority w:val="99"/>
    <w:unhideWhenUsed/>
    <w:rsid w:val="00B748E4"/>
    <w:pPr>
      <w:tabs>
        <w:tab w:val="center" w:pos="4513"/>
        <w:tab w:val="right" w:pos="9026"/>
      </w:tabs>
      <w:spacing w:line="240" w:lineRule="auto"/>
    </w:pPr>
  </w:style>
  <w:style w:type="character" w:customStyle="1" w:styleId="HeaderChar">
    <w:name w:val="Header Char"/>
    <w:basedOn w:val="DefaultParagraphFont"/>
    <w:link w:val="Header"/>
    <w:uiPriority w:val="99"/>
    <w:rsid w:val="00B748E4"/>
    <w:rPr>
      <w:rFonts w:ascii="Times New Roman" w:eastAsia="Times New Roman" w:hAnsi="Times New Roman" w:cs="Times New Roman"/>
      <w:sz w:val="24"/>
      <w:szCs w:val="24"/>
      <w:highlight w:val="white"/>
      <w:lang w:val="en-GB" w:eastAsia="en-IE"/>
    </w:rPr>
  </w:style>
  <w:style w:type="paragraph" w:styleId="Footer">
    <w:name w:val="footer"/>
    <w:basedOn w:val="Normal"/>
    <w:link w:val="FooterChar"/>
    <w:uiPriority w:val="99"/>
    <w:unhideWhenUsed/>
    <w:rsid w:val="00B748E4"/>
    <w:pPr>
      <w:tabs>
        <w:tab w:val="center" w:pos="4513"/>
        <w:tab w:val="right" w:pos="9026"/>
      </w:tabs>
      <w:spacing w:line="240" w:lineRule="auto"/>
    </w:pPr>
  </w:style>
  <w:style w:type="character" w:customStyle="1" w:styleId="FooterChar">
    <w:name w:val="Footer Char"/>
    <w:basedOn w:val="DefaultParagraphFont"/>
    <w:link w:val="Footer"/>
    <w:uiPriority w:val="99"/>
    <w:rsid w:val="00B748E4"/>
    <w:rPr>
      <w:rFonts w:ascii="Times New Roman" w:eastAsia="Times New Roman" w:hAnsi="Times New Roman" w:cs="Times New Roman"/>
      <w:sz w:val="24"/>
      <w:szCs w:val="24"/>
      <w:highlight w:val="white"/>
      <w:lang w:val="en-GB" w:eastAsia="en-IE"/>
    </w:rPr>
  </w:style>
  <w:style w:type="character" w:styleId="Strong">
    <w:name w:val="Strong"/>
    <w:basedOn w:val="DefaultParagraphFont"/>
    <w:uiPriority w:val="22"/>
    <w:qFormat/>
    <w:rsid w:val="00BE3860"/>
    <w:rPr>
      <w:b/>
      <w:bCs/>
    </w:rPr>
  </w:style>
  <w:style w:type="character" w:styleId="CommentReference">
    <w:name w:val="annotation reference"/>
    <w:basedOn w:val="DefaultParagraphFont"/>
    <w:uiPriority w:val="99"/>
    <w:semiHidden/>
    <w:unhideWhenUsed/>
    <w:rsid w:val="00BE3860"/>
    <w:rPr>
      <w:sz w:val="16"/>
      <w:szCs w:val="16"/>
    </w:rPr>
  </w:style>
  <w:style w:type="paragraph" w:styleId="CommentText">
    <w:name w:val="annotation text"/>
    <w:basedOn w:val="Normal"/>
    <w:link w:val="CommentTextChar"/>
    <w:uiPriority w:val="99"/>
    <w:semiHidden/>
    <w:unhideWhenUsed/>
    <w:rsid w:val="00BE3860"/>
    <w:pPr>
      <w:spacing w:line="240" w:lineRule="auto"/>
    </w:pPr>
    <w:rPr>
      <w:sz w:val="20"/>
      <w:szCs w:val="20"/>
    </w:rPr>
  </w:style>
  <w:style w:type="character" w:customStyle="1" w:styleId="CommentTextChar">
    <w:name w:val="Comment Text Char"/>
    <w:basedOn w:val="DefaultParagraphFont"/>
    <w:link w:val="CommentText"/>
    <w:uiPriority w:val="99"/>
    <w:semiHidden/>
    <w:rsid w:val="00BE3860"/>
    <w:rPr>
      <w:rFonts w:ascii="Times New Roman" w:eastAsia="Times New Roman" w:hAnsi="Times New Roman" w:cs="Times New Roman"/>
      <w:sz w:val="20"/>
      <w:szCs w:val="20"/>
      <w:highlight w:val="white"/>
      <w:lang w:val="en-GB" w:eastAsia="en-IE"/>
    </w:rPr>
  </w:style>
  <w:style w:type="paragraph" w:styleId="CommentSubject">
    <w:name w:val="annotation subject"/>
    <w:basedOn w:val="CommentText"/>
    <w:next w:val="CommentText"/>
    <w:link w:val="CommentSubjectChar"/>
    <w:uiPriority w:val="99"/>
    <w:semiHidden/>
    <w:unhideWhenUsed/>
    <w:rsid w:val="00BE3860"/>
    <w:rPr>
      <w:b/>
      <w:bCs/>
    </w:rPr>
  </w:style>
  <w:style w:type="character" w:customStyle="1" w:styleId="CommentSubjectChar">
    <w:name w:val="Comment Subject Char"/>
    <w:basedOn w:val="CommentTextChar"/>
    <w:link w:val="CommentSubject"/>
    <w:uiPriority w:val="99"/>
    <w:semiHidden/>
    <w:rsid w:val="00BE3860"/>
    <w:rPr>
      <w:rFonts w:ascii="Times New Roman" w:eastAsia="Times New Roman" w:hAnsi="Times New Roman" w:cs="Times New Roman"/>
      <w:b/>
      <w:bCs/>
      <w:sz w:val="20"/>
      <w:szCs w:val="20"/>
      <w:highlight w:val="white"/>
      <w:lang w:val="en-GB"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186/12884-021-03618-7"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chart" Target="charts/chart2.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186/512958021-00761-w"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1.xml"/><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doi.org/10.1155/2022/1491419" TargetMode="External"/><Relationship Id="rId23" Type="http://schemas.openxmlformats.org/officeDocument/2006/relationships/fontTable" Target="fontTable.xml"/><Relationship Id="rId10" Type="http://schemas.microsoft.com/office/2018/08/relationships/commentsExtensible" Target="commentsExtensible.xml"/><Relationship Id="rId19"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x.doi.org/10.1097/MD.0000000000029514" TargetMode="External"/><Relationship Id="rId22"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B114-4A67-9DC1-384E74B7E7D9}"/>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B114-4A67-9DC1-384E74B7E7D9}"/>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B114-4A67-9DC1-384E74B7E7D9}"/>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B114-4A67-9DC1-384E74B7E7D9}"/>
              </c:ext>
            </c:extLst>
          </c:dPt>
          <c:dLbls>
            <c:dLbl>
              <c:idx val="0"/>
              <c:tx>
                <c:rich>
                  <a:bodyPr/>
                  <a:lstStyle/>
                  <a:p>
                    <a:r>
                      <a:rPr lang="en-US"/>
                      <a:t>97.5%</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B114-4A67-9DC1-384E74B7E7D9}"/>
                </c:ext>
              </c:extLst>
            </c:dLbl>
            <c:dLbl>
              <c:idx val="1"/>
              <c:tx>
                <c:rich>
                  <a:bodyPr/>
                  <a:lstStyle/>
                  <a:p>
                    <a:r>
                      <a:rPr lang="en-US"/>
                      <a:t>2.5%</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B114-4A67-9DC1-384E74B7E7D9}"/>
                </c:ext>
              </c:extLst>
            </c:dLbl>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3"/>
                <c:pt idx="0">
                  <c:v>ruptured</c:v>
                </c:pt>
                <c:pt idx="1">
                  <c:v>unruptured</c:v>
                </c:pt>
                <c:pt idx="2">
                  <c:v>3rd Qtr</c:v>
                </c:pt>
              </c:strCache>
            </c:strRef>
          </c:cat>
          <c:val>
            <c:numRef>
              <c:f>Sheet1!$B$2:$B$5</c:f>
              <c:numCache>
                <c:formatCode>0%</c:formatCode>
                <c:ptCount val="4"/>
                <c:pt idx="0">
                  <c:v>0.97</c:v>
                </c:pt>
                <c:pt idx="1">
                  <c:v>0.03</c:v>
                </c:pt>
              </c:numCache>
            </c:numRef>
          </c:val>
          <c:extLst>
            <c:ext xmlns:c16="http://schemas.microsoft.com/office/drawing/2014/chart" uri="{C3380CC4-5D6E-409C-BE32-E72D297353CC}">
              <c16:uniqueId val="{00000008-B114-4A67-9DC1-384E74B7E7D9}"/>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legendEntry>
        <c:idx val="2"/>
        <c:delete val="1"/>
      </c:legendEntry>
      <c:legendEntry>
        <c:idx val="3"/>
        <c:delete val="1"/>
      </c:legendEntry>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Sales</c:v>
                </c:pt>
              </c:strCache>
            </c:strRef>
          </c:tx>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B80D-42E0-A807-22051569C961}"/>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B80D-42E0-A807-22051569C961}"/>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B80D-42E0-A807-22051569C961}"/>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B80D-42E0-A807-22051569C961}"/>
              </c:ext>
            </c:extLst>
          </c:dPt>
          <c:cat>
            <c:strRef>
              <c:f>Sheet1!$A$2:$A$5</c:f>
              <c:strCache>
                <c:ptCount val="2"/>
                <c:pt idx="0">
                  <c:v>less than 500mls</c:v>
                </c:pt>
                <c:pt idx="1">
                  <c:v>500mls and above</c:v>
                </c:pt>
              </c:strCache>
            </c:strRef>
          </c:cat>
          <c:val>
            <c:numRef>
              <c:f>Sheet1!$B$2:$B$5</c:f>
              <c:numCache>
                <c:formatCode>0%</c:formatCode>
                <c:ptCount val="4"/>
                <c:pt idx="0">
                  <c:v>0.15</c:v>
                </c:pt>
                <c:pt idx="1">
                  <c:v>0.85</c:v>
                </c:pt>
              </c:numCache>
            </c:numRef>
          </c:val>
          <c:extLst>
            <c:ext xmlns:c16="http://schemas.microsoft.com/office/drawing/2014/chart" uri="{C3380CC4-5D6E-409C-BE32-E72D297353CC}">
              <c16:uniqueId val="{00000008-B80D-42E0-A807-22051569C961}"/>
            </c:ext>
          </c:extLst>
        </c:ser>
        <c:dLbls>
          <c:showLegendKey val="0"/>
          <c:showVal val="0"/>
          <c:showCatName val="0"/>
          <c:showSerName val="0"/>
          <c:showPercent val="0"/>
          <c:showBubbleSize val="0"/>
          <c:showLeaderLines val="1"/>
        </c:dLbls>
      </c:pie3DChart>
      <c:spPr>
        <a:noFill/>
        <a:ln>
          <a:noFill/>
        </a:ln>
        <a:effectLst/>
      </c:spPr>
    </c:plotArea>
    <c:legend>
      <c:legendPos val="b"/>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1009</TotalTime>
  <Pages>15</Pages>
  <Words>3943</Words>
  <Characters>22480</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 Amany ALY</cp:lastModifiedBy>
  <cp:revision>152</cp:revision>
  <dcterms:created xsi:type="dcterms:W3CDTF">2026-04-13T00:39:00Z</dcterms:created>
  <dcterms:modified xsi:type="dcterms:W3CDTF">2026-04-20T10:45:00Z</dcterms:modified>
</cp:coreProperties>
</file>