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3BB2" w14:textId="1E10C7C8" w:rsidR="00D1091C" w:rsidRDefault="007E3775" w:rsidP="00A2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r w:rsidRPr="00D1091C">
        <w:rPr>
          <w:rFonts w:ascii="Times New Roman" w:eastAsia="Times New Roman" w:hAnsi="Times New Roman" w:cs="Times New Roman"/>
          <w:b/>
          <w:bCs/>
          <w:kern w:val="0"/>
          <w:sz w:val="22"/>
          <w:szCs w:val="22"/>
          <w:lang w:val="en"/>
          <w14:ligatures w14:val="none"/>
        </w:rPr>
        <w:t>THE EFFECT OF MICROCOMPOUND FERTILIZERS AND N, P, K ON PLANT BORON LEVELS AND YIELD OF TOMATOES</w:t>
      </w:r>
      <w:r w:rsidR="008E731E">
        <w:rPr>
          <w:rFonts w:ascii="Times New Roman" w:eastAsia="Times New Roman" w:hAnsi="Times New Roman" w:cs="Times New Roman"/>
          <w:b/>
          <w:bCs/>
          <w:kern w:val="0"/>
          <w:sz w:val="22"/>
          <w:szCs w:val="22"/>
          <w:lang w:val="en"/>
          <w14:ligatures w14:val="none"/>
        </w:rPr>
        <w:t xml:space="preserve"> </w:t>
      </w:r>
      <w:r w:rsidRPr="00D1091C">
        <w:rPr>
          <w:rFonts w:ascii="Times New Roman" w:eastAsia="Times New Roman" w:hAnsi="Times New Roman" w:cs="Times New Roman"/>
          <w:b/>
          <w:bCs/>
          <w:kern w:val="0"/>
          <w:sz w:val="22"/>
          <w:szCs w:val="22"/>
          <w:lang w:val="en"/>
          <w14:ligatures w14:val="none"/>
        </w:rPr>
        <w:t>(</w:t>
      </w:r>
      <w:r w:rsidRPr="00D1091C">
        <w:rPr>
          <w:rFonts w:ascii="Times New Roman" w:eastAsia="Times New Roman" w:hAnsi="Times New Roman" w:cs="Times New Roman"/>
          <w:b/>
          <w:bCs/>
          <w:i/>
          <w:iCs/>
          <w:kern w:val="0"/>
          <w:sz w:val="22"/>
          <w:szCs w:val="22"/>
          <w:lang w:val="en"/>
          <w14:ligatures w14:val="none"/>
        </w:rPr>
        <w:t>Solanum lycopersium</w:t>
      </w:r>
      <w:r w:rsidRPr="00D1091C">
        <w:rPr>
          <w:rFonts w:ascii="Times New Roman" w:eastAsia="Times New Roman" w:hAnsi="Times New Roman" w:cs="Times New Roman"/>
          <w:b/>
          <w:bCs/>
          <w:kern w:val="0"/>
          <w:sz w:val="22"/>
          <w:szCs w:val="22"/>
          <w:lang w:val="en"/>
          <w14:ligatures w14:val="none"/>
        </w:rPr>
        <w:t xml:space="preserve"> L.) </w:t>
      </w:r>
    </w:p>
    <w:p w14:paraId="068606AD" w14:textId="591707B2" w:rsidR="007E3775" w:rsidRPr="00D1091C" w:rsidRDefault="007E3775" w:rsidP="00A2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r w:rsidRPr="00D1091C">
        <w:rPr>
          <w:rFonts w:ascii="Times New Roman" w:eastAsia="Times New Roman" w:hAnsi="Times New Roman" w:cs="Times New Roman"/>
          <w:b/>
          <w:bCs/>
          <w:kern w:val="0"/>
          <w:sz w:val="22"/>
          <w:szCs w:val="22"/>
          <w:lang w:val="en"/>
          <w14:ligatures w14:val="none"/>
        </w:rPr>
        <w:t>ON INCEPTISOLS</w:t>
      </w:r>
      <w:r w:rsidR="00CF1946">
        <w:rPr>
          <w:rFonts w:ascii="Times New Roman" w:eastAsia="Times New Roman" w:hAnsi="Times New Roman" w:cs="Times New Roman"/>
          <w:b/>
          <w:bCs/>
          <w:kern w:val="0"/>
          <w:sz w:val="22"/>
          <w:szCs w:val="22"/>
          <w:lang w:val="en"/>
          <w14:ligatures w14:val="none"/>
        </w:rPr>
        <w:t xml:space="preserve"> </w:t>
      </w:r>
    </w:p>
    <w:p w14:paraId="5EBAE1F4" w14:textId="77777777" w:rsidR="007E3775" w:rsidRPr="007E3775" w:rsidRDefault="007E3775" w:rsidP="00B2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lang w:val="en"/>
          <w14:ligatures w14:val="none"/>
        </w:rPr>
      </w:pPr>
    </w:p>
    <w:p w14:paraId="202DF088" w14:textId="28481197" w:rsidR="00B35351" w:rsidRPr="00D57F6F" w:rsidRDefault="00B35351" w:rsidP="00D5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71F2EF4F" w14:textId="294A965A" w:rsidR="007E3775" w:rsidRPr="00F34284" w:rsidRDefault="007E3775" w:rsidP="007E3775">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ABSTRACT</w:t>
      </w:r>
    </w:p>
    <w:p w14:paraId="0FD39440" w14:textId="3384A00E" w:rsidR="007E3775" w:rsidRPr="00F34284" w:rsidRDefault="007E3775" w:rsidP="00C449F1">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Fertilizer application aims to support the growth and yield of tomatoes (</w:t>
      </w:r>
      <w:commentRangeStart w:id="0"/>
      <w:r w:rsidRPr="00F34284">
        <w:rPr>
          <w:rStyle w:val="y2iqfc"/>
          <w:rFonts w:ascii="Times New Roman" w:eastAsiaTheme="majorEastAsia" w:hAnsi="Times New Roman" w:cs="Times New Roman"/>
          <w:sz w:val="24"/>
          <w:szCs w:val="24"/>
          <w:lang w:val="en"/>
        </w:rPr>
        <w:t>Solanum</w:t>
      </w:r>
      <w:commentRangeEnd w:id="0"/>
      <w:r w:rsidR="006B2480">
        <w:rPr>
          <w:rStyle w:val="CommentReference"/>
          <w:rFonts w:asciiTheme="minorHAnsi" w:eastAsiaTheme="minorHAnsi" w:hAnsiTheme="minorHAnsi" w:cstheme="minorBidi"/>
          <w:kern w:val="2"/>
          <w14:ligatures w14:val="standardContextual"/>
        </w:rPr>
        <w:commentReference w:id="0"/>
      </w:r>
      <w:r w:rsidRPr="00F34284">
        <w:rPr>
          <w:rStyle w:val="y2iqfc"/>
          <w:rFonts w:ascii="Times New Roman" w:eastAsiaTheme="majorEastAsia" w:hAnsi="Times New Roman" w:cs="Times New Roman"/>
          <w:sz w:val="24"/>
          <w:szCs w:val="24"/>
          <w:lang w:val="en"/>
        </w:rPr>
        <w:t xml:space="preserve"> lycopersicum L.). However, most farmers generally focus on macronutrient fertilization, while micronutrient utilization is not optimal, particularly boron, which plays a crucial role in flower </w:t>
      </w:r>
      <w:commentRangeStart w:id="1"/>
      <w:r w:rsidRPr="00F34284">
        <w:rPr>
          <w:rStyle w:val="y2iqfc"/>
          <w:rFonts w:ascii="Times New Roman" w:eastAsiaTheme="majorEastAsia" w:hAnsi="Times New Roman" w:cs="Times New Roman"/>
          <w:sz w:val="24"/>
          <w:szCs w:val="24"/>
          <w:lang w:val="en"/>
        </w:rPr>
        <w:t>and</w:t>
      </w:r>
      <w:commentRangeEnd w:id="1"/>
      <w:r w:rsidR="006B2480">
        <w:rPr>
          <w:rStyle w:val="CommentReference"/>
          <w:rFonts w:asciiTheme="minorHAnsi" w:eastAsiaTheme="minorHAnsi" w:hAnsiTheme="minorHAnsi" w:cstheme="minorBidi"/>
          <w:kern w:val="2"/>
          <w14:ligatures w14:val="standardContextual"/>
        </w:rPr>
        <w:commentReference w:id="1"/>
      </w:r>
      <w:r w:rsidRPr="00F34284">
        <w:rPr>
          <w:rStyle w:val="y2iqfc"/>
          <w:rFonts w:ascii="Times New Roman" w:eastAsiaTheme="majorEastAsia" w:hAnsi="Times New Roman" w:cs="Times New Roman"/>
          <w:sz w:val="24"/>
          <w:szCs w:val="24"/>
          <w:lang w:val="en"/>
        </w:rPr>
        <w:t xml:space="preserve"> fruit formation and crop quality. The objective of this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was to evaluate the impact of micronutrient compound fertilizer combined with N, P, and K on plant boron levels and tomato yield. </w:t>
      </w:r>
      <w:r w:rsidR="00C449F1">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The experiment was conducted from October 2025 to January 2026 at Field II of the Soil Chemistry and Plant Nutrition Experiment, Faculty of Agriculture, Padjadjaran University. A </w:t>
      </w:r>
      <w:r w:rsidR="00C3293F">
        <w:rPr>
          <w:rStyle w:val="y2iqfc"/>
          <w:rFonts w:ascii="Times New Roman" w:eastAsiaTheme="majorEastAsia" w:hAnsi="Times New Roman" w:cs="Times New Roman"/>
          <w:sz w:val="24"/>
          <w:szCs w:val="24"/>
          <w:lang w:val="en"/>
        </w:rPr>
        <w:t>Completely R</w:t>
      </w:r>
      <w:r w:rsidRPr="00F34284">
        <w:rPr>
          <w:rStyle w:val="y2iqfc"/>
          <w:rFonts w:ascii="Times New Roman" w:eastAsiaTheme="majorEastAsia" w:hAnsi="Times New Roman" w:cs="Times New Roman"/>
          <w:sz w:val="24"/>
          <w:szCs w:val="24"/>
          <w:lang w:val="en"/>
        </w:rPr>
        <w:t xml:space="preserve">andomized </w:t>
      </w:r>
      <w:r w:rsidR="00C3293F">
        <w:rPr>
          <w:rStyle w:val="y2iqfc"/>
          <w:rFonts w:ascii="Times New Roman" w:eastAsiaTheme="majorEastAsia" w:hAnsi="Times New Roman" w:cs="Times New Roman"/>
          <w:sz w:val="24"/>
          <w:szCs w:val="24"/>
          <w:lang w:val="en"/>
        </w:rPr>
        <w:t>B</w:t>
      </w:r>
      <w:r w:rsidRPr="00F34284">
        <w:rPr>
          <w:rStyle w:val="y2iqfc"/>
          <w:rFonts w:ascii="Times New Roman" w:eastAsiaTheme="majorEastAsia" w:hAnsi="Times New Roman" w:cs="Times New Roman"/>
          <w:sz w:val="24"/>
          <w:szCs w:val="24"/>
          <w:lang w:val="en"/>
        </w:rPr>
        <w:t xml:space="preserve">lock </w:t>
      </w:r>
      <w:r w:rsidR="00C3293F">
        <w:rPr>
          <w:rStyle w:val="y2iqfc"/>
          <w:rFonts w:ascii="Times New Roman" w:eastAsiaTheme="majorEastAsia" w:hAnsi="Times New Roman" w:cs="Times New Roman"/>
          <w:sz w:val="24"/>
          <w:szCs w:val="24"/>
          <w:lang w:val="en"/>
        </w:rPr>
        <w:t>D</w:t>
      </w:r>
      <w:r w:rsidRPr="00F34284">
        <w:rPr>
          <w:rStyle w:val="y2iqfc"/>
          <w:rFonts w:ascii="Times New Roman" w:eastAsiaTheme="majorEastAsia" w:hAnsi="Times New Roman" w:cs="Times New Roman"/>
          <w:sz w:val="24"/>
          <w:szCs w:val="24"/>
          <w:lang w:val="en"/>
        </w:rPr>
        <w:t>esign (</w:t>
      </w:r>
      <w:r w:rsidR="00C3293F">
        <w:rPr>
          <w:rStyle w:val="y2iqfc"/>
          <w:rFonts w:ascii="Times New Roman" w:eastAsiaTheme="majorEastAsia" w:hAnsi="Times New Roman" w:cs="Times New Roman"/>
          <w:sz w:val="24"/>
          <w:szCs w:val="24"/>
          <w:lang w:val="en"/>
        </w:rPr>
        <w:t>C</w:t>
      </w:r>
      <w:r w:rsidRPr="00F34284">
        <w:rPr>
          <w:rStyle w:val="y2iqfc"/>
          <w:rFonts w:ascii="Times New Roman" w:eastAsiaTheme="majorEastAsia" w:hAnsi="Times New Roman" w:cs="Times New Roman"/>
          <w:sz w:val="24"/>
          <w:szCs w:val="24"/>
          <w:lang w:val="en"/>
        </w:rPr>
        <w:t>RBD) was used with six treatments and four replications. The treatments included a control, N, P, and K fertilizer, and four combinations of micronutrient compound fertilizer and N, P, and K. The results showed that micronutrient compound fertilizer and N, P, and K significantly affected plant boron levels and tomato yield. Treatment 1 (6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of compound micro fertilizer and ¾ dose of N, P, and K (150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N; 112.5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P; 75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K) showed the most effective and highest results in increasing plant boron levels (96.56 ppm), number of fruits per plot (101.54 fruits), fruit weight per plot (16.10 kg), weight per fruit (58.70 g), and fruit diameter (44.08 mm) on Inceptisols.</w:t>
      </w:r>
    </w:p>
    <w:p w14:paraId="42EB1A1D" w14:textId="77777777" w:rsidR="007E3775" w:rsidRPr="00F34284" w:rsidRDefault="007E3775" w:rsidP="007E3775">
      <w:pPr>
        <w:pStyle w:val="HTMLPreformatted"/>
        <w:jc w:val="both"/>
        <w:rPr>
          <w:rStyle w:val="y2iqfc"/>
          <w:rFonts w:ascii="Times New Roman" w:eastAsiaTheme="majorEastAsia" w:hAnsi="Times New Roman" w:cs="Times New Roman"/>
          <w:sz w:val="24"/>
          <w:szCs w:val="24"/>
          <w:lang w:val="en"/>
        </w:rPr>
      </w:pPr>
    </w:p>
    <w:p w14:paraId="2F37D998" w14:textId="054E54A1" w:rsidR="007E3775" w:rsidRPr="00F34284" w:rsidRDefault="007E3775" w:rsidP="00CF1946">
      <w:pPr>
        <w:pStyle w:val="HTMLPreformatted"/>
        <w:ind w:left="1134" w:hanging="1134"/>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Keywords: Foliar application, </w:t>
      </w:r>
      <w:r w:rsidR="00CF1946">
        <w:rPr>
          <w:rStyle w:val="y2iqfc"/>
          <w:rFonts w:ascii="Times New Roman" w:eastAsiaTheme="majorEastAsia" w:hAnsi="Times New Roman" w:cs="Times New Roman"/>
          <w:sz w:val="24"/>
          <w:szCs w:val="24"/>
          <w:lang w:val="en"/>
        </w:rPr>
        <w:t xml:space="preserve">N,P, and K </w:t>
      </w:r>
      <w:r w:rsidRPr="00F34284">
        <w:rPr>
          <w:rStyle w:val="y2iqfc"/>
          <w:rFonts w:ascii="Times New Roman" w:eastAsiaTheme="majorEastAsia" w:hAnsi="Times New Roman" w:cs="Times New Roman"/>
          <w:sz w:val="24"/>
          <w:szCs w:val="24"/>
          <w:lang w:val="en"/>
        </w:rPr>
        <w:t>Fertilization, Micronutrients, Boron, Tomato</w:t>
      </w:r>
      <w:r w:rsidR="00CF1946">
        <w:rPr>
          <w:rStyle w:val="y2iqfc"/>
          <w:rFonts w:ascii="Times New Roman" w:eastAsiaTheme="majorEastAsia" w:hAnsi="Times New Roman" w:cs="Times New Roman"/>
          <w:sz w:val="24"/>
          <w:szCs w:val="24"/>
          <w:lang w:val="en"/>
        </w:rPr>
        <w:t xml:space="preserve">, Inceptisols. </w:t>
      </w:r>
    </w:p>
    <w:p w14:paraId="2CBB5221" w14:textId="77777777" w:rsidR="007E3775" w:rsidRPr="00F34284" w:rsidRDefault="007E3775" w:rsidP="007E3775">
      <w:pPr>
        <w:pStyle w:val="HTMLPreformatted"/>
        <w:jc w:val="both"/>
        <w:rPr>
          <w:rFonts w:ascii="Times New Roman" w:hAnsi="Times New Roman" w:cs="Times New Roman"/>
          <w:sz w:val="24"/>
          <w:szCs w:val="24"/>
        </w:rPr>
      </w:pPr>
    </w:p>
    <w:p w14:paraId="3DAEB2D1" w14:textId="416D5E6D" w:rsidR="007E3775" w:rsidRPr="00F34284" w:rsidRDefault="007E3775" w:rsidP="00A204BD">
      <w:pPr>
        <w:pStyle w:val="HTMLPreformatted"/>
        <w:numPr>
          <w:ilvl w:val="0"/>
          <w:numId w:val="1"/>
        </w:numPr>
        <w:ind w:left="284" w:hanging="284"/>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INTRODUCTION</w:t>
      </w:r>
    </w:p>
    <w:p w14:paraId="720ED576"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Fertilizer is the primary source of essential nutrients for plants to support their development and productivity. Fertilization is therefore carried out to increase nutrient availability to support the growth phase (Ganti et al., 2023). However, most farmers in Indonesia still utilize macronutrients in their fertilization, while micronutrient utilization has not been optimal. Although required in relatively small amounts, micronutrients are closely related to metabolic processes and act as enzyme activators (Hasyyati et al., 2023). A balanced nutrient availability is a crucial factor in determining soil fertility and supporting plant growth and productivity (Kadir et al., 2023).</w:t>
      </w:r>
    </w:p>
    <w:p w14:paraId="59D26CA8"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Inceptisols are a widespread soil order in Indonesia, covering a total area of ​​99.50 million hectares, or 52.89% of Indonesia's total land area (BBSDLP, 2020). Inceptisols from Jatinangor face several challenges in agricultural cultivation, such as relatively low fertility and a slightly acidic pH of 4.5–6.5 (Fitriatin et al., 2022; Mubarok et al., 2025). Micronutrient availability in Inceptisols is relatively low, as indicated by a boron content of 0.0116 ppm. This is below the general range of total boron levels in soil, which ranges from 2–200 ppm, with available boron generally being 6–80 ppm (Havlin et al., 2017).</w:t>
      </w:r>
    </w:p>
    <w:p w14:paraId="44BCC3BD" w14:textId="438286D5"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Tomatoes are known as a commodity widely cultivated in the Inceptisols order, with a planted area reaching 31.93% of the total vegetable planting area in various soil orders (Izhar et al., 2016). Tomatoes are an important commodity to cultivate, besides being beneficial for health, tomatoes also have high economic value in the food industry as a raw material for processed products, such as sauces, jams, and pastes (Kuswardhani </w:t>
      </w:r>
      <w:r w:rsidRPr="00F34284">
        <w:rPr>
          <w:rStyle w:val="y2iqfc"/>
          <w:rFonts w:ascii="Times New Roman" w:eastAsiaTheme="majorEastAsia" w:hAnsi="Times New Roman" w:cs="Times New Roman"/>
          <w:sz w:val="24"/>
          <w:szCs w:val="24"/>
          <w:lang w:val="en"/>
        </w:rPr>
        <w:lastRenderedPageBreak/>
        <w:t>et al., 2025). This makes tomatoes have a high level of consumption and demand in the community. According to the Central Statistics Agency (BPS, 2024), tomato consumption continue</w:t>
      </w:r>
      <w:r w:rsidR="00D1091C">
        <w:rPr>
          <w:rStyle w:val="y2iqfc"/>
          <w:rFonts w:ascii="Times New Roman" w:eastAsiaTheme="majorEastAsia" w:hAnsi="Times New Roman" w:cs="Times New Roman"/>
          <w:sz w:val="24"/>
          <w:szCs w:val="24"/>
          <w:lang w:val="en"/>
        </w:rPr>
        <w:t>d</w:t>
      </w:r>
      <w:r w:rsidRPr="00F34284">
        <w:rPr>
          <w:rStyle w:val="y2iqfc"/>
          <w:rFonts w:ascii="Times New Roman" w:eastAsiaTheme="majorEastAsia" w:hAnsi="Times New Roman" w:cs="Times New Roman"/>
          <w:sz w:val="24"/>
          <w:szCs w:val="24"/>
          <w:lang w:val="en"/>
        </w:rPr>
        <w:t xml:space="preserve"> to increase in 2023, reaching around 643,000 t ha-1. However, on the contrary, tomato production actually decreased from 1,168,000 t ha-1 in 2022 to 1,143,000 t ha-1 in 2023. This imbalance between increasing demand and decreasing production requires optimal land management efforts with balanced fertilization (Purba, 2020).</w:t>
      </w:r>
    </w:p>
    <w:p w14:paraId="6369408C" w14:textId="6EC2C5A6"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One of the important micronutrients in supporting plant growth is boron. As an essential nutrient, boron functions in cell division, flower formation, and improving yield quality (Mubarok et al., 2025). Tomato plants are classified as dicotyledonous plants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they require more boron nutrients than monocotyledonous plants because they have cell walls that contain higher pectin (Huang et al., 2025). Boron is immobile in the soil</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the application of micronutrients is carried out foliarly. This aims to accelerate nutrient absorption through stomata and reduce evaporation during application</w:t>
      </w:r>
      <w:r w:rsidR="00D1091C">
        <w:rPr>
          <w:rStyle w:val="y2iqfc"/>
          <w:rFonts w:ascii="Times New Roman" w:eastAsiaTheme="majorEastAsia" w:hAnsi="Times New Roman" w:cs="Times New Roman"/>
          <w:sz w:val="24"/>
          <w:szCs w:val="24"/>
          <w:lang w:val="en"/>
        </w:rPr>
        <w:t>. T</w:t>
      </w:r>
      <w:r w:rsidRPr="00F34284">
        <w:rPr>
          <w:rStyle w:val="y2iqfc"/>
          <w:rFonts w:ascii="Times New Roman" w:eastAsiaTheme="majorEastAsia" w:hAnsi="Times New Roman" w:cs="Times New Roman"/>
          <w:sz w:val="24"/>
          <w:szCs w:val="24"/>
          <w:lang w:val="en"/>
        </w:rPr>
        <w:t>his mechanism allows micronutrients to enter plant tissues more quickly than application through the soil (Alimuddin et al., 2023). This is in line with research by Mal et al. (</w:t>
      </w:r>
      <w:commentRangeStart w:id="2"/>
      <w:r w:rsidRPr="00F34284">
        <w:rPr>
          <w:rStyle w:val="y2iqfc"/>
          <w:rFonts w:ascii="Times New Roman" w:eastAsiaTheme="majorEastAsia" w:hAnsi="Times New Roman" w:cs="Times New Roman"/>
          <w:sz w:val="24"/>
          <w:szCs w:val="24"/>
          <w:lang w:val="en"/>
        </w:rPr>
        <w:t>2025</w:t>
      </w:r>
      <w:commentRangeEnd w:id="2"/>
      <w:r w:rsidR="006B2480">
        <w:rPr>
          <w:rStyle w:val="CommentReference"/>
          <w:rFonts w:asciiTheme="minorHAnsi" w:eastAsiaTheme="minorHAnsi" w:hAnsiTheme="minorHAnsi" w:cstheme="minorBidi"/>
          <w:kern w:val="2"/>
          <w14:ligatures w14:val="standardContextual"/>
        </w:rPr>
        <w:commentReference w:id="2"/>
      </w:r>
      <w:r w:rsidRPr="00F34284">
        <w:rPr>
          <w:rStyle w:val="y2iqfc"/>
          <w:rFonts w:ascii="Times New Roman" w:eastAsiaTheme="majorEastAsia" w:hAnsi="Times New Roman" w:cs="Times New Roman"/>
          <w:sz w:val="24"/>
          <w:szCs w:val="24"/>
          <w:lang w:val="en"/>
        </w:rPr>
        <w:t>)</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where the application of boron through foliar </w:t>
      </w:r>
      <w:r w:rsidR="00D1091C">
        <w:rPr>
          <w:rStyle w:val="y2iqfc"/>
          <w:rFonts w:ascii="Times New Roman" w:eastAsiaTheme="majorEastAsia" w:hAnsi="Times New Roman" w:cs="Times New Roman"/>
          <w:sz w:val="24"/>
          <w:szCs w:val="24"/>
          <w:lang w:val="en"/>
        </w:rPr>
        <w:t xml:space="preserve">application </w:t>
      </w:r>
      <w:r w:rsidRPr="00F34284">
        <w:rPr>
          <w:rStyle w:val="y2iqfc"/>
          <w:rFonts w:ascii="Times New Roman" w:eastAsiaTheme="majorEastAsia" w:hAnsi="Times New Roman" w:cs="Times New Roman"/>
          <w:sz w:val="24"/>
          <w:szCs w:val="24"/>
          <w:lang w:val="en"/>
        </w:rPr>
        <w:t>was proven to significantly produce tomato leaves.</w:t>
      </w:r>
    </w:p>
    <w:p w14:paraId="46232C16"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Micronutrient application cannot be done independently, but rather in conjunction with macronutrients, as a balanced fertilization measure (Nugroho et al., 2025). The compound microfertilizer used contains various micronutrients: B 0.5%, Mn 4.0%, Cu 1.5%, Mo 0.1%, Fe 4.0%, and Zn 1.5%. The macronutrients used include N, P, and K, each of which plays an important role in plant growth.</w:t>
      </w:r>
    </w:p>
    <w:p w14:paraId="7E6909E1" w14:textId="2DDF8977" w:rsidR="007E3775" w:rsidRPr="00F34284" w:rsidRDefault="007E3775"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combination of micro compound fertilizer with N, P, </w:t>
      </w:r>
      <w:r w:rsidR="00D1091C">
        <w:rPr>
          <w:rStyle w:val="y2iqfc"/>
          <w:rFonts w:ascii="Times New Roman" w:eastAsiaTheme="majorEastAsia" w:hAnsi="Times New Roman" w:cs="Times New Roman"/>
          <w:sz w:val="24"/>
          <w:szCs w:val="24"/>
          <w:lang w:val="en"/>
        </w:rPr>
        <w:t xml:space="preserve">and </w:t>
      </w:r>
      <w:r w:rsidRPr="00F34284">
        <w:rPr>
          <w:rStyle w:val="y2iqfc"/>
          <w:rFonts w:ascii="Times New Roman" w:eastAsiaTheme="majorEastAsia" w:hAnsi="Times New Roman" w:cs="Times New Roman"/>
          <w:sz w:val="24"/>
          <w:szCs w:val="24"/>
          <w:lang w:val="en"/>
        </w:rPr>
        <w:t>K fertilizer is expected to stimulate fruit formation, fruit ripening</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increase crop yields. According to Nugroho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the combination of boron fertilization of 3-6 kg ha-1 with N, P, </w:t>
      </w:r>
      <w:r w:rsidR="00D1091C">
        <w:rPr>
          <w:rStyle w:val="y2iqfc"/>
          <w:rFonts w:ascii="Times New Roman" w:eastAsiaTheme="majorEastAsia" w:hAnsi="Times New Roman" w:cs="Times New Roman"/>
          <w:sz w:val="24"/>
          <w:szCs w:val="24"/>
          <w:lang w:val="en"/>
        </w:rPr>
        <w:t xml:space="preserve">and </w:t>
      </w:r>
      <w:r w:rsidRPr="00F34284">
        <w:rPr>
          <w:rStyle w:val="y2iqfc"/>
          <w:rFonts w:ascii="Times New Roman" w:eastAsiaTheme="majorEastAsia" w:hAnsi="Times New Roman" w:cs="Times New Roman"/>
          <w:sz w:val="24"/>
          <w:szCs w:val="24"/>
          <w:lang w:val="en"/>
        </w:rPr>
        <w:t xml:space="preserve">K fertilization increases plant growth and boron uptake. The results of research by Bana et al. (2022) </w:t>
      </w:r>
      <w:r w:rsidR="00D1091C">
        <w:rPr>
          <w:rStyle w:val="y2iqfc"/>
          <w:rFonts w:ascii="Times New Roman" w:eastAsiaTheme="majorEastAsia" w:hAnsi="Times New Roman" w:cs="Times New Roman"/>
          <w:sz w:val="24"/>
          <w:szCs w:val="24"/>
          <w:lang w:val="en"/>
        </w:rPr>
        <w:t xml:space="preserve">show that </w:t>
      </w:r>
      <w:r w:rsidRPr="00F34284">
        <w:rPr>
          <w:rStyle w:val="y2iqfc"/>
          <w:rFonts w:ascii="Times New Roman" w:eastAsiaTheme="majorEastAsia" w:hAnsi="Times New Roman" w:cs="Times New Roman"/>
          <w:sz w:val="24"/>
          <w:szCs w:val="24"/>
          <w:lang w:val="en"/>
        </w:rPr>
        <w:t>the application of micro compound fertilizer (Fe 25%, Zn 34%, Cu 24%, Mn 27%</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K 6%) and NPK can increase fruit yield per plant by 21-27% compared to plants that are only given basic NPK fertilizer on eggplant plants. In addition, research conducted by Yadav et al. (2024) </w:t>
      </w:r>
      <w:r w:rsidR="00D1091C">
        <w:rPr>
          <w:rStyle w:val="y2iqfc"/>
          <w:rFonts w:ascii="Times New Roman" w:eastAsiaTheme="majorEastAsia" w:hAnsi="Times New Roman" w:cs="Times New Roman"/>
          <w:sz w:val="24"/>
          <w:szCs w:val="24"/>
          <w:lang w:val="en"/>
        </w:rPr>
        <w:t xml:space="preserve">found that </w:t>
      </w:r>
      <w:r w:rsidRPr="00F34284">
        <w:rPr>
          <w:rStyle w:val="y2iqfc"/>
          <w:rFonts w:ascii="Times New Roman" w:eastAsiaTheme="majorEastAsia" w:hAnsi="Times New Roman" w:cs="Times New Roman"/>
          <w:sz w:val="24"/>
          <w:szCs w:val="24"/>
          <w:lang w:val="en"/>
        </w:rPr>
        <w:t>the application of foliar micro compound fertilizer of 2-4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and single NPK gave the highest yield, namely 13.18 tons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Various previous studies reported the effectiveness of single boron application or the use of micro compound fertilizer without boron content on increasing crop yields. However, no research has yet examined the combination of micro-compound fertilizers focused on boron content when applied with N, P, and K fertilizers on tomato plants cultivated in the Jatinangor Inceptisols.</w:t>
      </w:r>
    </w:p>
    <w:p w14:paraId="4946FB25" w14:textId="5A33D51C" w:rsidR="007E3775" w:rsidRPr="00D1091C" w:rsidRDefault="007E3775" w:rsidP="00D1091C">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w:t>
      </w:r>
      <w:r w:rsidR="00D1091C">
        <w:rPr>
          <w:rStyle w:val="y2iqfc"/>
          <w:rFonts w:ascii="Times New Roman" w:eastAsiaTheme="majorEastAsia" w:hAnsi="Times New Roman" w:cs="Times New Roman"/>
          <w:sz w:val="24"/>
          <w:szCs w:val="24"/>
          <w:lang w:val="en"/>
        </w:rPr>
        <w:t>is experiment aimed</w:t>
      </w:r>
      <w:r w:rsidRPr="00F34284">
        <w:rPr>
          <w:rStyle w:val="y2iqfc"/>
          <w:rFonts w:ascii="Times New Roman" w:eastAsiaTheme="majorEastAsia" w:hAnsi="Times New Roman" w:cs="Times New Roman"/>
          <w:sz w:val="24"/>
          <w:szCs w:val="24"/>
          <w:lang w:val="en"/>
        </w:rPr>
        <w:t xml:space="preserve"> to evaluate the impact of micro-compound fertilizers combined with N, P, and K on plant boron levels and tomato yield.</w:t>
      </w:r>
    </w:p>
    <w:p w14:paraId="0701CBA2" w14:textId="50500A76" w:rsidR="002D54A6" w:rsidRPr="00F34284" w:rsidRDefault="00A204B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 </w:t>
      </w:r>
      <w:r w:rsidR="002D54A6" w:rsidRPr="00F34284">
        <w:rPr>
          <w:rStyle w:val="y2iqfc"/>
          <w:rFonts w:ascii="Times New Roman" w:eastAsiaTheme="majorEastAsia" w:hAnsi="Times New Roman" w:cs="Times New Roman"/>
          <w:b/>
          <w:bCs/>
          <w:sz w:val="24"/>
          <w:szCs w:val="24"/>
          <w:lang w:val="en"/>
        </w:rPr>
        <w:t>RESEARCH METHODS</w:t>
      </w:r>
    </w:p>
    <w:p w14:paraId="72056C4B"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2.1. Location and Time</w:t>
      </w:r>
    </w:p>
    <w:p w14:paraId="2648AA7D" w14:textId="6888D47E" w:rsidR="002D54A6" w:rsidRPr="00F34284" w:rsidRDefault="002D54A6" w:rsidP="00D1091C">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was conducted from October 2025 to January 2026 </w:t>
      </w:r>
      <w:r w:rsidR="00D1091C" w:rsidRPr="00F34284">
        <w:rPr>
          <w:rStyle w:val="y2iqfc"/>
          <w:rFonts w:ascii="Times New Roman" w:eastAsiaTheme="majorEastAsia" w:hAnsi="Times New Roman" w:cs="Times New Roman"/>
          <w:sz w:val="24"/>
          <w:szCs w:val="24"/>
          <w:lang w:val="en"/>
        </w:rPr>
        <w:t xml:space="preserve">at Field II of the Soil Chemistry and Plant Nutrition Experiment, Faculty of Agriculture, Padjadjaran </w:t>
      </w:r>
      <w:commentRangeStart w:id="3"/>
      <w:r w:rsidR="00D1091C" w:rsidRPr="00F34284">
        <w:rPr>
          <w:rStyle w:val="y2iqfc"/>
          <w:rFonts w:ascii="Times New Roman" w:eastAsiaTheme="majorEastAsia" w:hAnsi="Times New Roman" w:cs="Times New Roman"/>
          <w:sz w:val="24"/>
          <w:szCs w:val="24"/>
          <w:lang w:val="en"/>
        </w:rPr>
        <w:t>University</w:t>
      </w:r>
      <w:commentRangeEnd w:id="3"/>
      <w:r w:rsidR="00D86A2C">
        <w:rPr>
          <w:rStyle w:val="CommentReference"/>
          <w:rFonts w:asciiTheme="minorHAnsi" w:eastAsiaTheme="minorHAnsi" w:hAnsiTheme="minorHAnsi" w:cstheme="minorBidi"/>
          <w:kern w:val="2"/>
          <w14:ligatures w14:val="standardContextual"/>
        </w:rPr>
        <w:commentReference w:id="3"/>
      </w:r>
    </w:p>
    <w:p w14:paraId="4CC15394"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2.2. Materials and Equipment</w:t>
      </w:r>
    </w:p>
    <w:p w14:paraId="159906F6" w14:textId="46D5DEE5"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materials used included Inceptisols mineral soil from Jatinangor, rice husk charcoal (for the seedling medium), Gustavi F1 variety seeds, 6 kg ha-1 micro compound </w:t>
      </w:r>
      <w:r w:rsidRPr="00F34284">
        <w:rPr>
          <w:rStyle w:val="y2iqfc"/>
          <w:rFonts w:ascii="Times New Roman" w:eastAsiaTheme="majorEastAsia" w:hAnsi="Times New Roman" w:cs="Times New Roman"/>
          <w:sz w:val="24"/>
          <w:szCs w:val="24"/>
          <w:lang w:val="en"/>
        </w:rPr>
        <w:lastRenderedPageBreak/>
        <w:t>fertilizer recommended by Balittanah (2018), and urea (200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SP-36 (150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and KCl (100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recommended by BPTP (2010). The equipment used included hoes, treatment planks, stakes, black silver plastic mulch, a sprayer, analytical balances, fertilizer measuring spoons, beakers, vernier calipers, stationery, and laboratory equipment.</w:t>
      </w:r>
    </w:p>
    <w:p w14:paraId="2BA7B94C" w14:textId="77777777" w:rsidR="00A204BD" w:rsidRPr="00F34284" w:rsidRDefault="00A204BD" w:rsidP="00B2233D">
      <w:pPr>
        <w:pStyle w:val="HTMLPreformatted"/>
        <w:ind w:firstLine="567"/>
        <w:jc w:val="both"/>
        <w:rPr>
          <w:rFonts w:ascii="Times New Roman" w:hAnsi="Times New Roman" w:cs="Times New Roman"/>
          <w:sz w:val="24"/>
          <w:szCs w:val="24"/>
        </w:rPr>
      </w:pPr>
    </w:p>
    <w:p w14:paraId="5B3C175F"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2.3. Research Design</w:t>
      </w:r>
    </w:p>
    <w:p w14:paraId="2B5973E6" w14:textId="6CB19A58"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used a </w:t>
      </w:r>
      <w:r w:rsidR="00C3293F">
        <w:rPr>
          <w:rStyle w:val="y2iqfc"/>
          <w:rFonts w:ascii="Times New Roman" w:eastAsiaTheme="majorEastAsia" w:hAnsi="Times New Roman" w:cs="Times New Roman"/>
          <w:sz w:val="24"/>
          <w:szCs w:val="24"/>
          <w:lang w:val="en"/>
        </w:rPr>
        <w:t xml:space="preserve"> Completely </w:t>
      </w:r>
      <w:r w:rsidRPr="00F34284">
        <w:rPr>
          <w:rStyle w:val="y2iqfc"/>
          <w:rFonts w:ascii="Times New Roman" w:eastAsiaTheme="majorEastAsia" w:hAnsi="Times New Roman" w:cs="Times New Roman"/>
          <w:sz w:val="24"/>
          <w:szCs w:val="24"/>
          <w:lang w:val="en"/>
        </w:rPr>
        <w:t>Randomized Block Design (</w:t>
      </w:r>
      <w:r w:rsidR="00C3293F">
        <w:rPr>
          <w:rStyle w:val="y2iqfc"/>
          <w:rFonts w:ascii="Times New Roman" w:eastAsiaTheme="majorEastAsia" w:hAnsi="Times New Roman" w:cs="Times New Roman"/>
          <w:sz w:val="24"/>
          <w:szCs w:val="24"/>
          <w:lang w:val="en"/>
        </w:rPr>
        <w:t>C</w:t>
      </w:r>
      <w:r w:rsidRPr="00F34284">
        <w:rPr>
          <w:rStyle w:val="y2iqfc"/>
          <w:rFonts w:ascii="Times New Roman" w:eastAsiaTheme="majorEastAsia" w:hAnsi="Times New Roman" w:cs="Times New Roman"/>
          <w:sz w:val="24"/>
          <w:szCs w:val="24"/>
          <w:lang w:val="en"/>
        </w:rPr>
        <w:t>RBD) with six treatments and four replications.</w:t>
      </w:r>
    </w:p>
    <w:p w14:paraId="21C016F9" w14:textId="623AA422"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A</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No macro and micro fertilizers (as a control)</w:t>
      </w:r>
    </w:p>
    <w:p w14:paraId="613E0ED2" w14:textId="68805714"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B</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Standard N, P, and K fertilizers</w:t>
      </w:r>
    </w:p>
    <w:p w14:paraId="24CB6941" w14:textId="15DC6069"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C</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1/2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1 dose of standard single NPK fertilizer</w:t>
      </w:r>
    </w:p>
    <w:p w14:paraId="2A91A9B9" w14:textId="426B5025"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D</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1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1 dose of standard single NPK fertilizer</w:t>
      </w:r>
    </w:p>
    <w:p w14:paraId="3128E025" w14:textId="2C733EAA"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E</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1 1/2 doses of micro compound fertilizer and 1 dose of standard single NPK fertilizer</w:t>
      </w:r>
    </w:p>
    <w:p w14:paraId="082BBF4A" w14:textId="29EE7788"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F</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1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3/4 dose of standard single NPK fertilizer.</w:t>
      </w:r>
    </w:p>
    <w:p w14:paraId="642B39F6"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0CA6154A"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2.4. Research Implementation Procedure</w:t>
      </w:r>
    </w:p>
    <w:p w14:paraId="5A8B60B8" w14:textId="01AE50C1"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2.4.1. </w:t>
      </w:r>
      <w:r w:rsidR="002D54A6" w:rsidRPr="00F34284">
        <w:rPr>
          <w:rStyle w:val="y2iqfc"/>
          <w:rFonts w:ascii="Times New Roman" w:eastAsiaTheme="majorEastAsia" w:hAnsi="Times New Roman" w:cs="Times New Roman"/>
          <w:b/>
          <w:bCs/>
          <w:sz w:val="24"/>
          <w:szCs w:val="24"/>
          <w:lang w:val="en"/>
        </w:rPr>
        <w:t>Sowing and Planting</w:t>
      </w:r>
    </w:p>
    <w:p w14:paraId="300A4C76" w14:textId="77777777"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Sowing was carried out using seedling trays, a combination of soil and rice husk charcoal in a 1:1 seedling medium. One seed was planted in each hole, then covered with a 1-2 cm layer of medium. Transplanting was carried out when the tomato plants had 4-6 true leaves, or 18 days after sowing (DSS), using small pieces of wood as support to support upright growth.</w:t>
      </w:r>
    </w:p>
    <w:p w14:paraId="162407A3"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7F45B79A" w14:textId="1AC58967"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2.4.2. </w:t>
      </w:r>
      <w:r w:rsidR="002D54A6" w:rsidRPr="00F34284">
        <w:rPr>
          <w:rStyle w:val="y2iqfc"/>
          <w:rFonts w:ascii="Times New Roman" w:eastAsiaTheme="majorEastAsia" w:hAnsi="Times New Roman" w:cs="Times New Roman"/>
          <w:b/>
          <w:bCs/>
          <w:sz w:val="24"/>
          <w:szCs w:val="24"/>
          <w:lang w:val="en"/>
        </w:rPr>
        <w:t>Land Preparation</w:t>
      </w:r>
    </w:p>
    <w:p w14:paraId="30A18269" w14:textId="74A99ECB"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The land for the tomato plants was manually cultivated using a hoe to loosen the soil and remove weeds. Furthermore, 10 t ha² of cow manure was applied two weeks before planting. This aimed to improve aeration and soil bulk density, given that Inceptisols from Jatinangor have a low organic carbon content. Tomato planting begins with making a 30 cm high bed, with a bed size of 100 x 500 cm, a planting distance per hole of 50 x 60 cm</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with a total of 24 experimental plots, so the number of plants is 480.</w:t>
      </w:r>
    </w:p>
    <w:p w14:paraId="1748CB34" w14:textId="0F91B0A3"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2.4.3. </w:t>
      </w:r>
      <w:r w:rsidR="002D54A6" w:rsidRPr="00F34284">
        <w:rPr>
          <w:rStyle w:val="y2iqfc"/>
          <w:rFonts w:ascii="Times New Roman" w:eastAsiaTheme="majorEastAsia" w:hAnsi="Times New Roman" w:cs="Times New Roman"/>
          <w:b/>
          <w:bCs/>
          <w:sz w:val="24"/>
          <w:szCs w:val="24"/>
          <w:lang w:val="en"/>
        </w:rPr>
        <w:t>Micro Compound Fertilizer Application</w:t>
      </w:r>
    </w:p>
    <w:p w14:paraId="5EA8568A" w14:textId="77777777"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Micro compound fertilizer was applied foliarly at a dose of 2.5 g/20 L of water. This is in line with Sahabuddin et al. (2022), who found that 2.5 g/20 L of water is an efficient foliar fertilizer application. Applications were made every two weeks, at 15, 29, 43, and 57 days after planting (DAP) in the morning. The required solution volume per plot was 4.8 L/plot for the 0.6 g/plot dose, 8.4 L/plot for the 1 g/plot dose, and 12.8 L/plot for the 1.6 g/plot dose, with 20 plants per plot. Therefore, each plant received 0.24 L/plant, 0.42 L/plant, and 0.64 L/plant, respectively.</w:t>
      </w:r>
    </w:p>
    <w:p w14:paraId="7B0CE55D"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38C81CF1" w14:textId="297F5A6F"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2.4.4. </w:t>
      </w:r>
      <w:r w:rsidR="002D54A6" w:rsidRPr="00F34284">
        <w:rPr>
          <w:rStyle w:val="y2iqfc"/>
          <w:rFonts w:ascii="Times New Roman" w:eastAsiaTheme="majorEastAsia" w:hAnsi="Times New Roman" w:cs="Times New Roman"/>
          <w:b/>
          <w:bCs/>
          <w:sz w:val="24"/>
          <w:szCs w:val="24"/>
          <w:lang w:val="en"/>
        </w:rPr>
        <w:t>N, P, and K Fertilization</w:t>
      </w:r>
    </w:p>
    <w:p w14:paraId="700B22A3" w14:textId="53B8ACEE"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N, P, and K fertilizers were applied using the digging method at a depth of approximately 5 cm. Nitrogen was applied in the form of urea at a dose of 200 kg ha⁻¹, equivalent to 7 g per plant⁻¹. Urea was applied twice: at 0 DAP and 28 DAP, with 3.5 g per plant⁻¹ being applied each time. Phosphorus was applied in the form of SP-36 at a dose of 150 kg ha⁻¹, equivalent to 5.29 g plant⁻¹, once at 0 DAP. Potassium was applied </w:t>
      </w:r>
      <w:r w:rsidRPr="00F34284">
        <w:rPr>
          <w:rStyle w:val="y2iqfc"/>
          <w:rFonts w:ascii="Times New Roman" w:eastAsiaTheme="majorEastAsia" w:hAnsi="Times New Roman" w:cs="Times New Roman"/>
          <w:sz w:val="24"/>
          <w:szCs w:val="24"/>
          <w:lang w:val="en"/>
        </w:rPr>
        <w:lastRenderedPageBreak/>
        <w:t>in the form of KCl at a dose of 100 kg ha⁻¹, equivalent to 3.5 g plant⁻¹. KCl was applied twice: at 0 DAP and 28 DAP, with 1.76 g plant⁻¹ being applied each time.</w:t>
      </w:r>
    </w:p>
    <w:p w14:paraId="7715F399" w14:textId="77777777" w:rsidR="002D54A6" w:rsidRPr="00F34284" w:rsidRDefault="002D54A6" w:rsidP="00B2233D">
      <w:pPr>
        <w:pStyle w:val="HTMLPreformatted"/>
        <w:jc w:val="both"/>
        <w:rPr>
          <w:rFonts w:ascii="Times New Roman" w:hAnsi="Times New Roman" w:cs="Times New Roman"/>
          <w:sz w:val="24"/>
          <w:szCs w:val="24"/>
        </w:rPr>
      </w:pPr>
    </w:p>
    <w:p w14:paraId="5CE959C3" w14:textId="4B57634C"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2.4.5. </w:t>
      </w:r>
      <w:r w:rsidR="002D54A6" w:rsidRPr="00F34284">
        <w:rPr>
          <w:rStyle w:val="y2iqfc"/>
          <w:rFonts w:ascii="Times New Roman" w:eastAsiaTheme="majorEastAsia" w:hAnsi="Times New Roman" w:cs="Times New Roman"/>
          <w:b/>
          <w:bCs/>
          <w:sz w:val="24"/>
          <w:szCs w:val="24"/>
          <w:lang w:val="en"/>
        </w:rPr>
        <w:t>Plant Maintenance</w:t>
      </w:r>
    </w:p>
    <w:p w14:paraId="5DFDD6B8" w14:textId="5A71882D" w:rsidR="002D54A6" w:rsidRPr="00F34284" w:rsidRDefault="002D54A6" w:rsidP="00A204B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Tomato plant maintenance includes watering, staking, replanting, weeding, and pest and disease control. Watering is done twice daily, in the morning and evening, to maintain soil moisture. Staking and replanting are carried out when the plants are 7 days after planting to prevent lodging and ensure proper nutrient uptake. Pest and disease control is carried out manually by hand-pulling weeds, turning the soil around the plants, removing pests, and pruning leaves infected with pathogens.</w:t>
      </w:r>
    </w:p>
    <w:p w14:paraId="6E233E29" w14:textId="4EF82E62"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2.4.6. </w:t>
      </w:r>
      <w:r w:rsidR="002D54A6" w:rsidRPr="00F34284">
        <w:rPr>
          <w:rStyle w:val="y2iqfc"/>
          <w:rFonts w:ascii="Times New Roman" w:eastAsiaTheme="majorEastAsia" w:hAnsi="Times New Roman" w:cs="Times New Roman"/>
          <w:b/>
          <w:bCs/>
          <w:sz w:val="24"/>
          <w:szCs w:val="24"/>
          <w:lang w:val="en"/>
        </w:rPr>
        <w:t>Harvesting</w:t>
      </w:r>
    </w:p>
    <w:p w14:paraId="3AEFA7E4" w14:textId="77AD9D1E" w:rsidR="002D54A6" w:rsidRPr="00F34284" w:rsidRDefault="002D54A6" w:rsidP="00A204B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Harvesting is carried out at 65 days after planting when the fruit reaches 10-20% maturity and is reddish-yellow in color. Harvesting is carried out four times, with a five-day interval between harvests.</w:t>
      </w:r>
    </w:p>
    <w:p w14:paraId="2620052E" w14:textId="77777777" w:rsidR="00A204BD" w:rsidRPr="00F34284" w:rsidRDefault="00A204BD" w:rsidP="00B2233D">
      <w:pPr>
        <w:pStyle w:val="HTMLPreformatted"/>
        <w:jc w:val="both"/>
        <w:rPr>
          <w:rStyle w:val="y2iqfc"/>
          <w:rFonts w:ascii="Times New Roman" w:eastAsiaTheme="majorEastAsia" w:hAnsi="Times New Roman" w:cs="Times New Roman"/>
          <w:b/>
          <w:bCs/>
          <w:sz w:val="24"/>
          <w:szCs w:val="24"/>
          <w:lang w:val="en"/>
        </w:rPr>
      </w:pPr>
    </w:p>
    <w:p w14:paraId="2AEA7A1C" w14:textId="5081FEFD"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2.5. Observations</w:t>
      </w:r>
    </w:p>
    <w:p w14:paraId="005B4B5C" w14:textId="14FDEAA6"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Observations in this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included plant boron levels and tomato yield components, including the number of fruits per plot, fruit weight per plot, fruit weight, and stem diameter. Plant samples were taken for boron analysis at 35 days after planting (DAP), at the end of the maximum vegetative phase, marked by the onset of flowering. The entire plant was cut. The plants were then chopped and dried at 70°C, then ground for laboratory analysis using the Wet Ashing </w:t>
      </w:r>
      <w:r w:rsidR="00D1091C">
        <w:rPr>
          <w:rStyle w:val="y2iqfc"/>
          <w:rFonts w:ascii="Times New Roman" w:eastAsiaTheme="majorEastAsia" w:hAnsi="Times New Roman" w:cs="Times New Roman"/>
          <w:sz w:val="24"/>
          <w:szCs w:val="24"/>
          <w:lang w:val="en"/>
        </w:rPr>
        <w:t>m</w:t>
      </w:r>
      <w:r w:rsidRPr="00F34284">
        <w:rPr>
          <w:rStyle w:val="y2iqfc"/>
          <w:rFonts w:ascii="Times New Roman" w:eastAsiaTheme="majorEastAsia" w:hAnsi="Times New Roman" w:cs="Times New Roman"/>
          <w:sz w:val="24"/>
          <w:szCs w:val="24"/>
          <w:lang w:val="en"/>
        </w:rPr>
        <w:t>ethod (BPSTIP, 2023).</w:t>
      </w:r>
    </w:p>
    <w:p w14:paraId="4966C1F7"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062C0DC2"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2.6. Data Analysis</w:t>
      </w:r>
    </w:p>
    <w:p w14:paraId="631871FD" w14:textId="77777777"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Observation data were tested for normality and homogeneity, followed by ANOVA. If the analysis showed a significant effect, the test was continued with the DMRT test at a 5% significance level using SPSS software.</w:t>
      </w:r>
    </w:p>
    <w:p w14:paraId="43AE8CE7" w14:textId="77777777" w:rsidR="002D54A6" w:rsidRPr="00F34284" w:rsidRDefault="002D54A6" w:rsidP="00B2233D">
      <w:pPr>
        <w:jc w:val="both"/>
        <w:rPr>
          <w:rFonts w:ascii="Times New Roman" w:hAnsi="Times New Roman" w:cs="Times New Roman"/>
        </w:rPr>
      </w:pPr>
    </w:p>
    <w:p w14:paraId="2B630ED8" w14:textId="549F560C"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 RESULTS AND DISCUSSION</w:t>
      </w:r>
    </w:p>
    <w:p w14:paraId="123D3DFA" w14:textId="77777777"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3.1. Plant Boron Levels</w:t>
      </w:r>
    </w:p>
    <w:p w14:paraId="527F5A90" w14:textId="77777777"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ANOVA results showed that plant boron levels were significantly affected by the combination of micro-compound fertilizer and N, P, and K fertilizer applications compared to the unfertilized treatment. This study indicates that the combination of micro-compound fertilizer with N, P, and K fertilizers can increase the efficiency of boron uptake by plants.</w:t>
      </w:r>
    </w:p>
    <w:p w14:paraId="7AC22FBC" w14:textId="77777777" w:rsidR="00591DFF" w:rsidRDefault="00591DFF" w:rsidP="00591DFF">
      <w:pPr>
        <w:pStyle w:val="HTMLPreformatted"/>
        <w:jc w:val="both"/>
        <w:rPr>
          <w:rStyle w:val="y2iqfc"/>
          <w:rFonts w:ascii="Times New Roman" w:eastAsiaTheme="majorEastAsia" w:hAnsi="Times New Roman" w:cs="Times New Roman"/>
          <w:sz w:val="24"/>
          <w:szCs w:val="24"/>
          <w:lang w:val="en"/>
        </w:rPr>
      </w:pPr>
    </w:p>
    <w:p w14:paraId="155CCD54" w14:textId="77777777" w:rsidR="00D1091C" w:rsidRDefault="00D1091C" w:rsidP="00591DFF">
      <w:pPr>
        <w:pStyle w:val="HTMLPreformatted"/>
        <w:jc w:val="both"/>
        <w:rPr>
          <w:rStyle w:val="y2iqfc"/>
          <w:rFonts w:ascii="Times New Roman" w:eastAsiaTheme="majorEastAsia" w:hAnsi="Times New Roman" w:cs="Times New Roman"/>
          <w:sz w:val="24"/>
          <w:szCs w:val="24"/>
          <w:lang w:val="en"/>
        </w:rPr>
      </w:pPr>
    </w:p>
    <w:p w14:paraId="70D5D749" w14:textId="77777777" w:rsidR="00D1091C" w:rsidRDefault="00D1091C" w:rsidP="00591DFF">
      <w:pPr>
        <w:pStyle w:val="HTMLPreformatted"/>
        <w:jc w:val="both"/>
        <w:rPr>
          <w:rStyle w:val="y2iqfc"/>
          <w:rFonts w:ascii="Times New Roman" w:eastAsiaTheme="majorEastAsia" w:hAnsi="Times New Roman" w:cs="Times New Roman"/>
          <w:sz w:val="24"/>
          <w:szCs w:val="24"/>
          <w:lang w:val="en"/>
        </w:rPr>
      </w:pPr>
    </w:p>
    <w:p w14:paraId="61CDC1EF" w14:textId="77777777" w:rsidR="00D1091C" w:rsidRPr="00F34284" w:rsidRDefault="00D1091C" w:rsidP="00591DFF">
      <w:pPr>
        <w:pStyle w:val="HTMLPreformatted"/>
        <w:jc w:val="both"/>
        <w:rPr>
          <w:rStyle w:val="y2iqfc"/>
          <w:rFonts w:ascii="Times New Roman" w:eastAsiaTheme="majorEastAsia" w:hAnsi="Times New Roman" w:cs="Times New Roman"/>
          <w:sz w:val="24"/>
          <w:szCs w:val="24"/>
          <w:lang w:val="en"/>
        </w:rPr>
      </w:pPr>
    </w:p>
    <w:p w14:paraId="06AE2EF2" w14:textId="77777777" w:rsidR="00591DFF" w:rsidRPr="00F34284" w:rsidRDefault="00591DFF" w:rsidP="00D1091C">
      <w:pPr>
        <w:pStyle w:val="HTMLPreformatted"/>
        <w:ind w:left="851" w:hanging="851"/>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Table 1. Effect of Micro-Compound Fertilizer Doses and N, P, and K Fertilizers on Plant Boron Levels in Jatinangor Incaptisols</w:t>
      </w:r>
    </w:p>
    <w:p w14:paraId="655D357A" w14:textId="77777777" w:rsidR="00591DFF" w:rsidRPr="00F34284" w:rsidRDefault="00591DFF" w:rsidP="00591DFF">
      <w:pPr>
        <w:spacing w:after="0" w:line="120" w:lineRule="auto"/>
        <w:jc w:val="both"/>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3588"/>
        <w:gridCol w:w="4194"/>
      </w:tblGrid>
      <w:tr w:rsidR="00591DFF" w:rsidRPr="00F34284" w14:paraId="3FE67C5C" w14:textId="77777777" w:rsidTr="00591DFF">
        <w:tc>
          <w:tcPr>
            <w:tcW w:w="639" w:type="dxa"/>
            <w:tcBorders>
              <w:top w:val="single" w:sz="4" w:space="0" w:color="auto"/>
              <w:bottom w:val="single" w:sz="4" w:space="0" w:color="auto"/>
            </w:tcBorders>
          </w:tcPr>
          <w:p w14:paraId="43D9724C" w14:textId="187B53DF" w:rsidR="00591DFF" w:rsidRPr="00F34284" w:rsidRDefault="00591DFF" w:rsidP="009353EA">
            <w:pPr>
              <w:rPr>
                <w:rFonts w:ascii="Times New Roman" w:hAnsi="Times New Roman"/>
                <w:sz w:val="24"/>
                <w:szCs w:val="24"/>
                <w:u w:val="single"/>
              </w:rPr>
            </w:pPr>
            <w:r w:rsidRPr="00F34284">
              <w:rPr>
                <w:rFonts w:ascii="Times New Roman" w:hAnsi="Times New Roman"/>
                <w:sz w:val="24"/>
                <w:szCs w:val="24"/>
                <w:u w:val="single"/>
              </w:rPr>
              <w:t>Code</w:t>
            </w:r>
          </w:p>
        </w:tc>
        <w:tc>
          <w:tcPr>
            <w:tcW w:w="3827" w:type="dxa"/>
            <w:tcBorders>
              <w:top w:val="single" w:sz="4" w:space="0" w:color="auto"/>
              <w:bottom w:val="single" w:sz="4" w:space="0" w:color="auto"/>
            </w:tcBorders>
          </w:tcPr>
          <w:p w14:paraId="08029372" w14:textId="13D87F8F" w:rsidR="00591DFF" w:rsidRPr="00F34284" w:rsidRDefault="00591DFF" w:rsidP="009353EA">
            <w:pPr>
              <w:jc w:val="center"/>
              <w:rPr>
                <w:rFonts w:ascii="Times New Roman" w:hAnsi="Times New Roman"/>
                <w:sz w:val="24"/>
                <w:szCs w:val="24"/>
              </w:rPr>
            </w:pPr>
            <w:r w:rsidRPr="00F34284">
              <w:rPr>
                <w:rFonts w:ascii="Times New Roman" w:hAnsi="Times New Roman"/>
                <w:sz w:val="24"/>
                <w:szCs w:val="24"/>
              </w:rPr>
              <w:t>Treatments</w:t>
            </w:r>
          </w:p>
        </w:tc>
        <w:tc>
          <w:tcPr>
            <w:tcW w:w="4529" w:type="dxa"/>
            <w:tcBorders>
              <w:top w:val="single" w:sz="4" w:space="0" w:color="auto"/>
              <w:bottom w:val="single" w:sz="4" w:space="0" w:color="auto"/>
            </w:tcBorders>
          </w:tcPr>
          <w:p w14:paraId="72E66AA1" w14:textId="77777777" w:rsidR="00591DFF" w:rsidRPr="00F34284" w:rsidRDefault="00591DFF" w:rsidP="00591DFF">
            <w:pPr>
              <w:pStyle w:val="HTMLPreformatted"/>
              <w:jc w:val="center"/>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Plant Boron Content (ppm)</w:t>
            </w:r>
          </w:p>
          <w:p w14:paraId="65DF3AFA" w14:textId="06EAA5C7" w:rsidR="00591DFF" w:rsidRPr="00F34284" w:rsidRDefault="00591DFF" w:rsidP="009353EA">
            <w:pPr>
              <w:jc w:val="center"/>
              <w:rPr>
                <w:rFonts w:ascii="Times New Roman" w:hAnsi="Times New Roman"/>
                <w:sz w:val="24"/>
                <w:szCs w:val="24"/>
              </w:rPr>
            </w:pPr>
          </w:p>
        </w:tc>
      </w:tr>
      <w:tr w:rsidR="00591DFF" w:rsidRPr="00F34284" w14:paraId="603D693C" w14:textId="77777777" w:rsidTr="00591DFF">
        <w:tc>
          <w:tcPr>
            <w:tcW w:w="639" w:type="dxa"/>
            <w:tcBorders>
              <w:top w:val="single" w:sz="4" w:space="0" w:color="auto"/>
            </w:tcBorders>
          </w:tcPr>
          <w:p w14:paraId="083DB2B6"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A</w:t>
            </w:r>
          </w:p>
        </w:tc>
        <w:tc>
          <w:tcPr>
            <w:tcW w:w="3827" w:type="dxa"/>
            <w:tcBorders>
              <w:top w:val="single" w:sz="4" w:space="0" w:color="auto"/>
            </w:tcBorders>
          </w:tcPr>
          <w:p w14:paraId="41FDA910" w14:textId="5CEBB365"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Control (without macro and micro fertilizers)</w:t>
            </w:r>
          </w:p>
        </w:tc>
        <w:tc>
          <w:tcPr>
            <w:tcW w:w="4529" w:type="dxa"/>
            <w:tcBorders>
              <w:top w:val="single" w:sz="4" w:space="0" w:color="auto"/>
            </w:tcBorders>
          </w:tcPr>
          <w:p w14:paraId="3B4BA673"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35,69 a</w:t>
            </w:r>
          </w:p>
        </w:tc>
      </w:tr>
      <w:tr w:rsidR="00591DFF" w:rsidRPr="00F34284" w14:paraId="69664D70" w14:textId="77777777" w:rsidTr="00591DFF">
        <w:tc>
          <w:tcPr>
            <w:tcW w:w="639" w:type="dxa"/>
          </w:tcPr>
          <w:p w14:paraId="2EFB0C5F"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B</w:t>
            </w:r>
          </w:p>
        </w:tc>
        <w:tc>
          <w:tcPr>
            <w:tcW w:w="3827" w:type="dxa"/>
          </w:tcPr>
          <w:p w14:paraId="70166FBA" w14:textId="20CAAB81"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Standard N, P, and K fertilizers</w:t>
            </w:r>
          </w:p>
        </w:tc>
        <w:tc>
          <w:tcPr>
            <w:tcW w:w="4529" w:type="dxa"/>
          </w:tcPr>
          <w:p w14:paraId="27C91CE5"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37,27 a</w:t>
            </w:r>
          </w:p>
        </w:tc>
      </w:tr>
      <w:tr w:rsidR="00591DFF" w:rsidRPr="00F34284" w14:paraId="2E79E500" w14:textId="77777777" w:rsidTr="00591DFF">
        <w:tc>
          <w:tcPr>
            <w:tcW w:w="639" w:type="dxa"/>
          </w:tcPr>
          <w:p w14:paraId="14B5B023"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lastRenderedPageBreak/>
              <w:t>C</w:t>
            </w:r>
          </w:p>
        </w:tc>
        <w:tc>
          <w:tcPr>
            <w:tcW w:w="3827" w:type="dxa"/>
          </w:tcPr>
          <w:p w14:paraId="1932D827" w14:textId="60BF2C16"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½ dose of micro compound fertilizer and 1 dose of standard single NPK fertilizer</w:t>
            </w:r>
          </w:p>
        </w:tc>
        <w:tc>
          <w:tcPr>
            <w:tcW w:w="4529" w:type="dxa"/>
          </w:tcPr>
          <w:p w14:paraId="4E9B14CD"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73,70 b</w:t>
            </w:r>
          </w:p>
        </w:tc>
      </w:tr>
      <w:tr w:rsidR="00591DFF" w:rsidRPr="00F34284" w14:paraId="1C2B5A56" w14:textId="77777777" w:rsidTr="00591DFF">
        <w:tc>
          <w:tcPr>
            <w:tcW w:w="639" w:type="dxa"/>
          </w:tcPr>
          <w:p w14:paraId="1552F364"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D</w:t>
            </w:r>
          </w:p>
        </w:tc>
        <w:tc>
          <w:tcPr>
            <w:tcW w:w="3827" w:type="dxa"/>
          </w:tcPr>
          <w:p w14:paraId="2A4FF442" w14:textId="239D3321"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dose of micro compound fertilizer and 1 dose of standard single NPK fertilizer</w:t>
            </w:r>
          </w:p>
        </w:tc>
        <w:tc>
          <w:tcPr>
            <w:tcW w:w="4529" w:type="dxa"/>
          </w:tcPr>
          <w:p w14:paraId="585A52E7"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78,76 b</w:t>
            </w:r>
          </w:p>
        </w:tc>
      </w:tr>
      <w:tr w:rsidR="00591DFF" w:rsidRPr="00F34284" w14:paraId="4E6DFD1C" w14:textId="77777777" w:rsidTr="00591DFF">
        <w:tc>
          <w:tcPr>
            <w:tcW w:w="639" w:type="dxa"/>
          </w:tcPr>
          <w:p w14:paraId="463556BB"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E</w:t>
            </w:r>
          </w:p>
        </w:tc>
        <w:tc>
          <w:tcPr>
            <w:tcW w:w="3827" w:type="dxa"/>
          </w:tcPr>
          <w:p w14:paraId="074D1456" w14:textId="210B438D"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½ dose of micro compound fertilizer and 1 dose of standard single NPK fertilizer</w:t>
            </w:r>
          </w:p>
        </w:tc>
        <w:tc>
          <w:tcPr>
            <w:tcW w:w="4529" w:type="dxa"/>
          </w:tcPr>
          <w:p w14:paraId="3311D6E6"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108,17 c</w:t>
            </w:r>
          </w:p>
        </w:tc>
      </w:tr>
      <w:tr w:rsidR="00591DFF" w:rsidRPr="00F34284" w14:paraId="36361CFE" w14:textId="77777777" w:rsidTr="00591DFF">
        <w:tc>
          <w:tcPr>
            <w:tcW w:w="639" w:type="dxa"/>
            <w:tcBorders>
              <w:bottom w:val="single" w:sz="4" w:space="0" w:color="auto"/>
            </w:tcBorders>
          </w:tcPr>
          <w:p w14:paraId="6C9406EB"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F</w:t>
            </w:r>
          </w:p>
        </w:tc>
        <w:tc>
          <w:tcPr>
            <w:tcW w:w="3827" w:type="dxa"/>
            <w:tcBorders>
              <w:bottom w:val="single" w:sz="4" w:space="0" w:color="auto"/>
            </w:tcBorders>
          </w:tcPr>
          <w:p w14:paraId="05DA46DB" w14:textId="3C6C58F3"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dose of micro compound fertilizer and ¾ dose of standard single NPK fertilizer</w:t>
            </w:r>
          </w:p>
        </w:tc>
        <w:tc>
          <w:tcPr>
            <w:tcW w:w="4529" w:type="dxa"/>
            <w:tcBorders>
              <w:bottom w:val="single" w:sz="4" w:space="0" w:color="auto"/>
            </w:tcBorders>
          </w:tcPr>
          <w:p w14:paraId="21DCFF2D" w14:textId="77777777" w:rsidR="00591DFF" w:rsidRPr="00F34284" w:rsidRDefault="00591DFF" w:rsidP="00591DFF">
            <w:pPr>
              <w:jc w:val="center"/>
              <w:rPr>
                <w:rFonts w:ascii="Times New Roman" w:hAnsi="Times New Roman"/>
                <w:sz w:val="24"/>
                <w:szCs w:val="24"/>
              </w:rPr>
            </w:pPr>
            <w:r w:rsidRPr="00F34284">
              <w:rPr>
                <w:rFonts w:ascii="Times New Roman" w:hAnsi="Times New Roman"/>
                <w:sz w:val="24"/>
                <w:szCs w:val="24"/>
              </w:rPr>
              <w:t>96,53 c</w:t>
            </w:r>
          </w:p>
        </w:tc>
      </w:tr>
    </w:tbl>
    <w:p w14:paraId="43DB9466" w14:textId="77777777" w:rsidR="00591DFF" w:rsidRPr="00F34284" w:rsidRDefault="00591DFF" w:rsidP="00591DFF">
      <w:pPr>
        <w:pStyle w:val="HTMLPreformatted"/>
        <w:ind w:left="1560" w:hanging="1560"/>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Description: Numbers followed by the same letter are not significantly different based on Duncan's Advanced Test at the 5% level.</w:t>
      </w:r>
    </w:p>
    <w:p w14:paraId="3987D4CE" w14:textId="77777777" w:rsidR="00591DFF" w:rsidRPr="00F34284" w:rsidRDefault="00591DFF" w:rsidP="00591DFF">
      <w:pPr>
        <w:ind w:firstLine="567"/>
        <w:jc w:val="both"/>
        <w:rPr>
          <w:rFonts w:ascii="Times New Roman" w:hAnsi="Times New Roman" w:cs="Times New Roman"/>
        </w:rPr>
      </w:pPr>
    </w:p>
    <w:p w14:paraId="177741EA" w14:textId="482B3FDB"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Table 1 shows that the combination of micro-compound fertilizer and standard N, P, and K fertilizer at each dose was significantly different from the control treatment (A) and standard N, P, and K fertilizer (B). The control treatment (A) and standard N, P, and K fertilizer produced the lowest boron levels, at 35.69 ppm and 37.27 ppm, respectively. This is because without the addition of micro-compound fertilizer, boron availability for plants is limited, and plants rely solely on natural boron found in the soil (Singh et al., 2020). This limitation is caused by the nature of boron in the soil, which is largely adsorbed through specific adsorption processes on the surface of Lampung minerals. Meanwhile, the treatment of 1 ½ doses of micro compound fertilizer and 1 dose of standard single NPK fertilizer (E) and the treatment of 1 dose of micro compound fertilizer and ¾ dose of standard single NPK fertilizer (F) produced higher plant boron levels than treatments (A-D), namely 108.17 ppm and 96.53 ppm. However, based on Duncan's further test at the 5% level, the two treatments (E and F) were not significantly different. This indicates that increasing plant boron levels is influenced not only by the dose of microfertilizers but also by the role of N, P, and K fertilizers in supporting physiological processes related to nutrient absorption. This is consistent with the research results of Mubarok et al. (2025) that the application of boron fertilizer combined with N, P, and K fertilizers increased boron uptake by 0.59 mg per plant compared to the treatment without boron fertilizer.</w:t>
      </w:r>
    </w:p>
    <w:p w14:paraId="55285A4A" w14:textId="77777777" w:rsidR="00591DFF" w:rsidRPr="00F34284" w:rsidRDefault="00591DFF" w:rsidP="00591DFF">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Furthermore, the addition of N, P, and K fertilizers, particularly potassium, plays a role in the opening and closing mechanisms of stomata, which support plant physiological processes, including nutrient absorption, thereby increasing the efficiency of boron nutrient utilization by plants (Nugroho et al., 2024). This is consistent with the research results of Szczepaniak et al. (2022) that foliar application of micronutrient fertilizers can increase the availability and efficiency of nitrogen nutrient utilization; and the research results of Bhat et al. (2022) that the provision of micro fertilizers such as boron and zinc can increase the efficiency of nutrient absorption, so that the need for macro fertilizers such as N, P, and K can be reduced through balanced fertilization.</w:t>
      </w:r>
    </w:p>
    <w:p w14:paraId="7132878E" w14:textId="77777777"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Low boron levels through foliar application are influenced by the concentration of the nutrient solution and the temperature at the time of application (Alimuddin et al., 2023). Environmental factors such as rainfall will influence high transpiration rates and </w:t>
      </w:r>
      <w:r w:rsidRPr="00F34284">
        <w:rPr>
          <w:rStyle w:val="y2iqfc"/>
          <w:rFonts w:ascii="Times New Roman" w:eastAsiaTheme="majorEastAsia" w:hAnsi="Times New Roman" w:cs="Times New Roman"/>
          <w:sz w:val="24"/>
          <w:szCs w:val="24"/>
          <w:lang w:val="en"/>
        </w:rPr>
        <w:lastRenderedPageBreak/>
        <w:t>nutrient uptake. Therefore, the results of this study indicate that the application of compound micro fertilizers has a more dominant influence on increasing plant boron levels compared to the use of single NPK fertilizers alone.</w:t>
      </w:r>
    </w:p>
    <w:p w14:paraId="7B91BE2F" w14:textId="77777777" w:rsidR="00591DFF" w:rsidRPr="00F34284" w:rsidRDefault="00591DFF" w:rsidP="00591DFF">
      <w:pPr>
        <w:pStyle w:val="HTMLPreformatted"/>
        <w:rPr>
          <w:rStyle w:val="y2iqfc"/>
          <w:rFonts w:ascii="Times New Roman" w:eastAsiaTheme="majorEastAsia" w:hAnsi="Times New Roman" w:cs="Times New Roman"/>
          <w:sz w:val="24"/>
          <w:szCs w:val="24"/>
          <w:lang w:val="en"/>
        </w:rPr>
      </w:pPr>
    </w:p>
    <w:p w14:paraId="3A873DBC" w14:textId="05432291"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3.2 Tomato Yield</w:t>
      </w:r>
    </w:p>
    <w:p w14:paraId="3C711FFE" w14:textId="3E3D80E9" w:rsidR="00591DFF" w:rsidRPr="00D1091C" w:rsidRDefault="00591DFF" w:rsidP="00D1091C">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Based on the ANOVA, the compound micro fertilizer and N, P, and K treatments significantly affected tomato yields, including the number of fruits per plot, fruit weight per plot, fruit weight per plot, and fruit diameter. The results in Table 2 show a significant effect of the control treatment (A) compared to the other treatments (B-F) on tomato yield. The control treatment (A) produced the lowest yields in terms of number of fruits per plot, fruit weight per plot, and fruit weight per plot, respectively, at 44.05 fruits, 7.03 kg, and 29.27 g.</w:t>
      </w:r>
    </w:p>
    <w:p w14:paraId="49BB352C" w14:textId="77777777" w:rsidR="00F34284" w:rsidRPr="00F34284" w:rsidRDefault="00F34284" w:rsidP="00D1091C">
      <w:pPr>
        <w:pStyle w:val="HTMLPreformatted"/>
        <w:ind w:left="851" w:hanging="851"/>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Table 2. Effect of Micro Compound Fertilizer Doses and N, P, K on Yield Components in Inceptisols from Jatinangor</w:t>
      </w:r>
    </w:p>
    <w:tbl>
      <w:tblPr>
        <w:tblStyle w:val="TableGrid"/>
        <w:tblW w:w="87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2686"/>
        <w:gridCol w:w="1343"/>
        <w:gridCol w:w="1343"/>
        <w:gridCol w:w="1344"/>
        <w:gridCol w:w="1343"/>
      </w:tblGrid>
      <w:tr w:rsidR="00F34284" w:rsidRPr="00F34284" w14:paraId="70675CF8" w14:textId="77777777" w:rsidTr="009353EA">
        <w:tc>
          <w:tcPr>
            <w:tcW w:w="709" w:type="dxa"/>
            <w:tcBorders>
              <w:top w:val="single" w:sz="4" w:space="0" w:color="auto"/>
              <w:bottom w:val="single" w:sz="4" w:space="0" w:color="auto"/>
            </w:tcBorders>
          </w:tcPr>
          <w:p w14:paraId="19C47A64" w14:textId="5AFE654A"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Code</w:t>
            </w:r>
          </w:p>
        </w:tc>
        <w:tc>
          <w:tcPr>
            <w:tcW w:w="2693" w:type="dxa"/>
            <w:tcBorders>
              <w:top w:val="single" w:sz="4" w:space="0" w:color="auto"/>
              <w:bottom w:val="single" w:sz="4" w:space="0" w:color="auto"/>
            </w:tcBorders>
          </w:tcPr>
          <w:p w14:paraId="219804CE" w14:textId="7453A3A2"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Treatments</w:t>
            </w:r>
          </w:p>
        </w:tc>
        <w:tc>
          <w:tcPr>
            <w:tcW w:w="1345" w:type="dxa"/>
            <w:tcBorders>
              <w:top w:val="single" w:sz="4" w:space="0" w:color="auto"/>
              <w:bottom w:val="single" w:sz="4" w:space="0" w:color="auto"/>
            </w:tcBorders>
          </w:tcPr>
          <w:p w14:paraId="5FFD0855" w14:textId="5F446AA3"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 xml:space="preserve">Number of Fruits per Plot </w:t>
            </w:r>
          </w:p>
        </w:tc>
        <w:tc>
          <w:tcPr>
            <w:tcW w:w="1345" w:type="dxa"/>
            <w:tcBorders>
              <w:top w:val="single" w:sz="4" w:space="0" w:color="auto"/>
              <w:bottom w:val="single" w:sz="4" w:space="0" w:color="auto"/>
            </w:tcBorders>
          </w:tcPr>
          <w:p w14:paraId="0935993F" w14:textId="689527CB"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 xml:space="preserve">Weight per Fruit (g) </w:t>
            </w:r>
          </w:p>
        </w:tc>
        <w:tc>
          <w:tcPr>
            <w:tcW w:w="1345" w:type="dxa"/>
            <w:tcBorders>
              <w:top w:val="single" w:sz="4" w:space="0" w:color="auto"/>
              <w:bottom w:val="single" w:sz="4" w:space="0" w:color="auto"/>
            </w:tcBorders>
          </w:tcPr>
          <w:p w14:paraId="6844BCBB" w14:textId="4276BD6C"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Fruit Diameter (mm)</w:t>
            </w:r>
          </w:p>
        </w:tc>
        <w:tc>
          <w:tcPr>
            <w:tcW w:w="1345" w:type="dxa"/>
            <w:tcBorders>
              <w:top w:val="single" w:sz="4" w:space="0" w:color="auto"/>
              <w:bottom w:val="single" w:sz="4" w:space="0" w:color="auto"/>
            </w:tcBorders>
          </w:tcPr>
          <w:p w14:paraId="300950A3" w14:textId="604DBBBD"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Weight per Fruit (</w:t>
            </w:r>
            <w:commentRangeStart w:id="4"/>
            <w:r w:rsidRPr="00F34284">
              <w:rPr>
                <w:rStyle w:val="y2iqfc"/>
                <w:rFonts w:ascii="Times New Roman" w:eastAsiaTheme="majorEastAsia" w:hAnsi="Times New Roman"/>
                <w:sz w:val="24"/>
                <w:szCs w:val="24"/>
                <w:lang w:val="en"/>
              </w:rPr>
              <w:t>g</w:t>
            </w:r>
            <w:commentRangeEnd w:id="4"/>
            <w:r w:rsidR="00F10A95">
              <w:rPr>
                <w:rStyle w:val="CommentReference"/>
                <w:rFonts w:asciiTheme="minorHAnsi" w:eastAsiaTheme="minorHAnsi" w:hAnsiTheme="minorHAnsi" w:cstheme="minorBidi"/>
                <w:kern w:val="2"/>
                <w14:ligatures w14:val="standardContextual"/>
              </w:rPr>
              <w:commentReference w:id="4"/>
            </w:r>
            <w:r w:rsidRPr="00F34284">
              <w:rPr>
                <w:rStyle w:val="y2iqfc"/>
                <w:rFonts w:ascii="Times New Roman" w:eastAsiaTheme="majorEastAsia" w:hAnsi="Times New Roman"/>
                <w:sz w:val="24"/>
                <w:szCs w:val="24"/>
                <w:lang w:val="en"/>
              </w:rPr>
              <w:t>)</w:t>
            </w:r>
          </w:p>
        </w:tc>
      </w:tr>
      <w:tr w:rsidR="00F34284" w:rsidRPr="00F34284" w14:paraId="2D844363" w14:textId="77777777" w:rsidTr="009353EA">
        <w:tc>
          <w:tcPr>
            <w:tcW w:w="709" w:type="dxa"/>
            <w:tcBorders>
              <w:top w:val="single" w:sz="4" w:space="0" w:color="auto"/>
            </w:tcBorders>
          </w:tcPr>
          <w:p w14:paraId="48669B8A"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A</w:t>
            </w:r>
          </w:p>
        </w:tc>
        <w:tc>
          <w:tcPr>
            <w:tcW w:w="2693" w:type="dxa"/>
            <w:tcBorders>
              <w:top w:val="single" w:sz="4" w:space="0" w:color="auto"/>
            </w:tcBorders>
          </w:tcPr>
          <w:p w14:paraId="2369EA4E" w14:textId="485CE157"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Control (without macro and micro fertilizers)</w:t>
            </w:r>
          </w:p>
        </w:tc>
        <w:tc>
          <w:tcPr>
            <w:tcW w:w="1345" w:type="dxa"/>
            <w:tcBorders>
              <w:top w:val="single" w:sz="4" w:space="0" w:color="auto"/>
            </w:tcBorders>
          </w:tcPr>
          <w:p w14:paraId="314E7EC4" w14:textId="77777777" w:rsidR="00F34284" w:rsidRPr="00F34284" w:rsidRDefault="00F34284" w:rsidP="00F34284">
            <w:pPr>
              <w:jc w:val="center"/>
              <w:rPr>
                <w:rFonts w:ascii="Times New Roman" w:hAnsi="Times New Roman"/>
                <w:sz w:val="24"/>
                <w:szCs w:val="24"/>
              </w:rPr>
            </w:pPr>
            <w:commentRangeStart w:id="5"/>
            <w:r w:rsidRPr="00F34284">
              <w:rPr>
                <w:rFonts w:ascii="Times New Roman" w:hAnsi="Times New Roman"/>
                <w:sz w:val="24"/>
                <w:szCs w:val="24"/>
              </w:rPr>
              <w:t>44</w:t>
            </w:r>
            <w:commentRangeEnd w:id="5"/>
            <w:r w:rsidR="00D86A2C">
              <w:rPr>
                <w:rStyle w:val="CommentReference"/>
                <w:rFonts w:asciiTheme="minorHAnsi" w:eastAsiaTheme="minorHAnsi" w:hAnsiTheme="minorHAnsi" w:cstheme="minorBidi"/>
                <w:kern w:val="2"/>
                <w14:ligatures w14:val="standardContextual"/>
              </w:rPr>
              <w:commentReference w:id="5"/>
            </w:r>
            <w:r w:rsidRPr="00F34284">
              <w:rPr>
                <w:rFonts w:ascii="Times New Roman" w:hAnsi="Times New Roman"/>
                <w:sz w:val="24"/>
                <w:szCs w:val="24"/>
              </w:rPr>
              <w:t>,05 a</w:t>
            </w:r>
          </w:p>
        </w:tc>
        <w:tc>
          <w:tcPr>
            <w:tcW w:w="1345" w:type="dxa"/>
            <w:tcBorders>
              <w:top w:val="single" w:sz="4" w:space="0" w:color="auto"/>
            </w:tcBorders>
          </w:tcPr>
          <w:p w14:paraId="2B61E32C"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29,27 a</w:t>
            </w:r>
          </w:p>
        </w:tc>
        <w:tc>
          <w:tcPr>
            <w:tcW w:w="1345" w:type="dxa"/>
            <w:tcBorders>
              <w:top w:val="single" w:sz="4" w:space="0" w:color="auto"/>
            </w:tcBorders>
          </w:tcPr>
          <w:p w14:paraId="6554CAC6"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37,14 a</w:t>
            </w:r>
          </w:p>
        </w:tc>
        <w:tc>
          <w:tcPr>
            <w:tcW w:w="1345" w:type="dxa"/>
            <w:tcBorders>
              <w:top w:val="single" w:sz="4" w:space="0" w:color="auto"/>
            </w:tcBorders>
          </w:tcPr>
          <w:p w14:paraId="00F40C30"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29,27 a</w:t>
            </w:r>
          </w:p>
        </w:tc>
      </w:tr>
      <w:tr w:rsidR="00F34284" w:rsidRPr="00F34284" w14:paraId="5620FD48" w14:textId="77777777" w:rsidTr="009353EA">
        <w:tc>
          <w:tcPr>
            <w:tcW w:w="709" w:type="dxa"/>
          </w:tcPr>
          <w:p w14:paraId="4619FE6A"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B</w:t>
            </w:r>
          </w:p>
        </w:tc>
        <w:tc>
          <w:tcPr>
            <w:tcW w:w="2693" w:type="dxa"/>
          </w:tcPr>
          <w:p w14:paraId="6E41F87E" w14:textId="0CCE0C43"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Standard N, P, and K fertilizers</w:t>
            </w:r>
          </w:p>
        </w:tc>
        <w:tc>
          <w:tcPr>
            <w:tcW w:w="1345" w:type="dxa"/>
          </w:tcPr>
          <w:p w14:paraId="73E6E2F8"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63,35 b</w:t>
            </w:r>
          </w:p>
        </w:tc>
        <w:tc>
          <w:tcPr>
            <w:tcW w:w="1345" w:type="dxa"/>
          </w:tcPr>
          <w:p w14:paraId="7B9E4531"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48,60 b</w:t>
            </w:r>
          </w:p>
        </w:tc>
        <w:tc>
          <w:tcPr>
            <w:tcW w:w="1345" w:type="dxa"/>
          </w:tcPr>
          <w:p w14:paraId="01D167CF"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40,10 b</w:t>
            </w:r>
          </w:p>
        </w:tc>
        <w:tc>
          <w:tcPr>
            <w:tcW w:w="1345" w:type="dxa"/>
          </w:tcPr>
          <w:p w14:paraId="59881F2E"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48,60 b</w:t>
            </w:r>
          </w:p>
        </w:tc>
      </w:tr>
      <w:tr w:rsidR="00F34284" w:rsidRPr="00F34284" w14:paraId="5904BFC6" w14:textId="77777777" w:rsidTr="009353EA">
        <w:tc>
          <w:tcPr>
            <w:tcW w:w="709" w:type="dxa"/>
          </w:tcPr>
          <w:p w14:paraId="4AA18E45"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C</w:t>
            </w:r>
          </w:p>
        </w:tc>
        <w:tc>
          <w:tcPr>
            <w:tcW w:w="2693" w:type="dxa"/>
          </w:tcPr>
          <w:p w14:paraId="32DBC21C" w14:textId="58874801"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½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33B28C3B"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73,35 c</w:t>
            </w:r>
          </w:p>
        </w:tc>
        <w:tc>
          <w:tcPr>
            <w:tcW w:w="1345" w:type="dxa"/>
          </w:tcPr>
          <w:p w14:paraId="63BA8807"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50,57 bc</w:t>
            </w:r>
          </w:p>
        </w:tc>
        <w:tc>
          <w:tcPr>
            <w:tcW w:w="1345" w:type="dxa"/>
          </w:tcPr>
          <w:p w14:paraId="06015128"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41,97 bc</w:t>
            </w:r>
          </w:p>
        </w:tc>
        <w:tc>
          <w:tcPr>
            <w:tcW w:w="1345" w:type="dxa"/>
          </w:tcPr>
          <w:p w14:paraId="7B93327C"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50,57 bc</w:t>
            </w:r>
          </w:p>
        </w:tc>
      </w:tr>
      <w:tr w:rsidR="00F34284" w:rsidRPr="00F34284" w14:paraId="01F2B84D" w14:textId="77777777" w:rsidTr="009353EA">
        <w:tc>
          <w:tcPr>
            <w:tcW w:w="709" w:type="dxa"/>
          </w:tcPr>
          <w:p w14:paraId="263DEB2B"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D</w:t>
            </w:r>
          </w:p>
        </w:tc>
        <w:tc>
          <w:tcPr>
            <w:tcW w:w="2693" w:type="dxa"/>
          </w:tcPr>
          <w:p w14:paraId="30739B1A" w14:textId="58E234A4"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5E11FD0D"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78,16 c</w:t>
            </w:r>
          </w:p>
        </w:tc>
        <w:tc>
          <w:tcPr>
            <w:tcW w:w="1345" w:type="dxa"/>
          </w:tcPr>
          <w:p w14:paraId="7325B5EF"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58,17 d</w:t>
            </w:r>
          </w:p>
        </w:tc>
        <w:tc>
          <w:tcPr>
            <w:tcW w:w="1345" w:type="dxa"/>
          </w:tcPr>
          <w:p w14:paraId="08C18657"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43,13 c</w:t>
            </w:r>
          </w:p>
        </w:tc>
        <w:tc>
          <w:tcPr>
            <w:tcW w:w="1345" w:type="dxa"/>
          </w:tcPr>
          <w:p w14:paraId="034B7C78"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58,17 d</w:t>
            </w:r>
          </w:p>
        </w:tc>
      </w:tr>
      <w:tr w:rsidR="00F34284" w:rsidRPr="00F34284" w14:paraId="692DC570" w14:textId="77777777" w:rsidTr="009353EA">
        <w:tc>
          <w:tcPr>
            <w:tcW w:w="709" w:type="dxa"/>
          </w:tcPr>
          <w:p w14:paraId="579517FF"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E</w:t>
            </w:r>
          </w:p>
        </w:tc>
        <w:tc>
          <w:tcPr>
            <w:tcW w:w="2693" w:type="dxa"/>
          </w:tcPr>
          <w:p w14:paraId="0DC6810E" w14:textId="790A4F17"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½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1351A5BE"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93,26 d</w:t>
            </w:r>
          </w:p>
        </w:tc>
        <w:tc>
          <w:tcPr>
            <w:tcW w:w="1345" w:type="dxa"/>
          </w:tcPr>
          <w:p w14:paraId="3E503195"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55,17 cd</w:t>
            </w:r>
          </w:p>
        </w:tc>
        <w:tc>
          <w:tcPr>
            <w:tcW w:w="1345" w:type="dxa"/>
          </w:tcPr>
          <w:p w14:paraId="258AE684"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43,81 c</w:t>
            </w:r>
          </w:p>
        </w:tc>
        <w:tc>
          <w:tcPr>
            <w:tcW w:w="1345" w:type="dxa"/>
          </w:tcPr>
          <w:p w14:paraId="5CBA1112"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55,17 cd</w:t>
            </w:r>
          </w:p>
        </w:tc>
      </w:tr>
      <w:tr w:rsidR="00F34284" w:rsidRPr="00F34284" w14:paraId="05411223" w14:textId="77777777" w:rsidTr="009353EA">
        <w:tc>
          <w:tcPr>
            <w:tcW w:w="709" w:type="dxa"/>
            <w:tcBorders>
              <w:bottom w:val="single" w:sz="4" w:space="0" w:color="auto"/>
            </w:tcBorders>
          </w:tcPr>
          <w:p w14:paraId="1BFC5B17"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F</w:t>
            </w:r>
          </w:p>
        </w:tc>
        <w:tc>
          <w:tcPr>
            <w:tcW w:w="2693" w:type="dxa"/>
            <w:tcBorders>
              <w:bottom w:val="single" w:sz="4" w:space="0" w:color="auto"/>
            </w:tcBorders>
          </w:tcPr>
          <w:p w14:paraId="3B3F4F6E" w14:textId="1B892B8E"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¾ dose of standard single NPK fertilizer</w:t>
            </w:r>
          </w:p>
        </w:tc>
        <w:tc>
          <w:tcPr>
            <w:tcW w:w="1345" w:type="dxa"/>
            <w:tcBorders>
              <w:bottom w:val="single" w:sz="4" w:space="0" w:color="auto"/>
            </w:tcBorders>
          </w:tcPr>
          <w:p w14:paraId="06D71325"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101,54 d</w:t>
            </w:r>
          </w:p>
        </w:tc>
        <w:tc>
          <w:tcPr>
            <w:tcW w:w="1345" w:type="dxa"/>
            <w:tcBorders>
              <w:bottom w:val="single" w:sz="4" w:space="0" w:color="auto"/>
            </w:tcBorders>
          </w:tcPr>
          <w:p w14:paraId="0406204D"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58,70 d</w:t>
            </w:r>
          </w:p>
        </w:tc>
        <w:tc>
          <w:tcPr>
            <w:tcW w:w="1345" w:type="dxa"/>
            <w:tcBorders>
              <w:bottom w:val="single" w:sz="4" w:space="0" w:color="auto"/>
            </w:tcBorders>
          </w:tcPr>
          <w:p w14:paraId="7A11E3BD"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44,08 c</w:t>
            </w:r>
          </w:p>
        </w:tc>
        <w:tc>
          <w:tcPr>
            <w:tcW w:w="1345" w:type="dxa"/>
            <w:tcBorders>
              <w:bottom w:val="single" w:sz="4" w:space="0" w:color="auto"/>
            </w:tcBorders>
          </w:tcPr>
          <w:p w14:paraId="1B5ACB97" w14:textId="77777777" w:rsidR="00F34284" w:rsidRPr="00F34284" w:rsidRDefault="00F34284" w:rsidP="00F34284">
            <w:pPr>
              <w:jc w:val="center"/>
              <w:rPr>
                <w:rFonts w:ascii="Times New Roman" w:hAnsi="Times New Roman"/>
                <w:sz w:val="24"/>
                <w:szCs w:val="24"/>
              </w:rPr>
            </w:pPr>
            <w:r w:rsidRPr="00F34284">
              <w:rPr>
                <w:rFonts w:ascii="Times New Roman" w:hAnsi="Times New Roman"/>
                <w:sz w:val="24"/>
                <w:szCs w:val="24"/>
              </w:rPr>
              <w:t>58,70 d</w:t>
            </w:r>
          </w:p>
        </w:tc>
      </w:tr>
    </w:tbl>
    <w:p w14:paraId="43F7B42E" w14:textId="77777777" w:rsidR="00F34284" w:rsidRPr="00F34284" w:rsidRDefault="00F34284" w:rsidP="00F34284">
      <w:pPr>
        <w:pStyle w:val="HTMLPreformatted"/>
        <w:ind w:left="1560" w:hanging="1560"/>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Description: Numbers followed by the same letter are not significantly different based on Duncan's Advanced Test at the 5% level.</w:t>
      </w:r>
    </w:p>
    <w:p w14:paraId="10C83223" w14:textId="77777777" w:rsidR="00F34284" w:rsidRPr="00F34284" w:rsidRDefault="00F34284" w:rsidP="00F34284">
      <w:pPr>
        <w:ind w:firstLine="567"/>
        <w:jc w:val="both"/>
        <w:rPr>
          <w:rFonts w:ascii="Times New Roman" w:hAnsi="Times New Roman" w:cs="Times New Roman"/>
        </w:rPr>
      </w:pPr>
    </w:p>
    <w:p w14:paraId="492F5360" w14:textId="6C4031ED"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This is due to the unavailability of nutrients to support the generative growth process, especially flower formation, fruit formation, and fruit filling, resulting in lower plant yields. The treatment of 1 dose of micro compound fertilizer and ¾ dose of standard single NPK fertilizer (F) produced the number of fruits per plot of 101.54 fruits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the highest fruit weight per plot and a greater weight per fruit, namely 16.10 kg and 58.70 g</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compared to the control treatment (A). This is thought to be because the combination of </w:t>
      </w:r>
      <w:r w:rsidRPr="00F34284">
        <w:rPr>
          <w:rStyle w:val="y2iqfc"/>
          <w:rFonts w:ascii="Times New Roman" w:eastAsiaTheme="majorEastAsia" w:hAnsi="Times New Roman" w:cs="Times New Roman"/>
          <w:sz w:val="24"/>
          <w:szCs w:val="24"/>
          <w:lang w:val="en"/>
        </w:rPr>
        <w:lastRenderedPageBreak/>
        <w:t xml:space="preserve">fertilizers provided </w:t>
      </w:r>
      <w:r w:rsidR="00D1091C">
        <w:rPr>
          <w:rStyle w:val="y2iqfc"/>
          <w:rFonts w:ascii="Times New Roman" w:eastAsiaTheme="majorEastAsia" w:hAnsi="Times New Roman" w:cs="Times New Roman"/>
          <w:sz w:val="24"/>
          <w:szCs w:val="24"/>
          <w:lang w:val="en"/>
        </w:rPr>
        <w:t>can</w:t>
      </w:r>
      <w:r w:rsidRPr="00F34284">
        <w:rPr>
          <w:rStyle w:val="y2iqfc"/>
          <w:rFonts w:ascii="Times New Roman" w:eastAsiaTheme="majorEastAsia" w:hAnsi="Times New Roman" w:cs="Times New Roman"/>
          <w:sz w:val="24"/>
          <w:szCs w:val="24"/>
          <w:lang w:val="en"/>
        </w:rPr>
        <w:t xml:space="preserve"> optimally meet plant nutrient needs, and is supported by good soil conditions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that available nutrients are absorbed by the plants. However, treatment (F) was not significantly different from treatments (D and E) in the parameters of the number of fruits per plot, fruit diameter, and weight per fruit. Nevertheless, treatment (F) can show a significantly different effect compared to the control treatment (A), but does not produce the highest average value for all observed parameters.</w:t>
      </w:r>
    </w:p>
    <w:p w14:paraId="24F1F714" w14:textId="563AC53C"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The high number of fruit formed is thought to be influenced by the addition of micro and macro compound fertilizers that can support plant metabolism processes. Although micronutrients are needed in small concentrations, they play a very important role in enzyme performance, one of which is boron, which functions as a key in the formation of flowers, seeds, and fruit quality. This is in line with the research of Nazari et al. (2020)</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where the provision of micronutrients acts as a catalyst and enzyme activator to produce carbohydrates. The availability of sufficient boron can optimize generative growth by increasing the flowering process, thus producing a high number of fruits (Daroini et al., 2024). According to Huesesan et al. (2025), boron plays an important role in the process of photosynthesis, the synthesis of hormones, enzymes, and proteins that can increase plant metabolism, resulting in more flower formation, reduced flower loss, and increased potential harvest yields. This is in line with the research of Hada et al. (2014)</w:t>
      </w:r>
      <w:r w:rsidR="00D1091C">
        <w:rPr>
          <w:rStyle w:val="y2iqfc"/>
          <w:rFonts w:ascii="Times New Roman" w:eastAsiaTheme="majorEastAsia" w:hAnsi="Times New Roman" w:cs="Times New Roman"/>
          <w:sz w:val="24"/>
          <w:szCs w:val="24"/>
          <w:lang w:val="en"/>
        </w:rPr>
        <w:t>, which</w:t>
      </w:r>
      <w:r w:rsidRPr="00F34284">
        <w:rPr>
          <w:rStyle w:val="y2iqfc"/>
          <w:rFonts w:ascii="Times New Roman" w:eastAsiaTheme="majorEastAsia" w:hAnsi="Times New Roman" w:cs="Times New Roman"/>
          <w:sz w:val="24"/>
          <w:szCs w:val="24"/>
          <w:lang w:val="en"/>
        </w:rPr>
        <w:t xml:space="preserve"> showed that the application of boron fertilizer can reduce flower and fruit loss by up to 42.85%, thereby increasing the number and weight of fruit. According to Furqoni et al. (2025), optimal boron fertilization can also increase the efficiency of nutrient use. This is evident in the treatment of 1 dose of micro compound fertilizer and ¾ dose of standard single NPK fertilizer (E), which provided the highest results compared to the treatment of 1 ½ doses of micro compound fertilizer and 1 dose of standard single NPK fertilizer (F). Although the results of statistical analysis showed no significant differences in the treatments (E and F), the average value of these treatments was higher. This indicates that the availability of boron in optimal doses can increase the efficiency of macronutrient utilization.</w:t>
      </w:r>
    </w:p>
    <w:p w14:paraId="2B98E252" w14:textId="4F1A5652"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The largest tomato fruit diameter was in the treatment of 1 dose of micro compound fertilizer and ¾ dose of standard single NPK fertilizer (F), which was 44.08 mm followed by the treatment of 1 ½ doses of micro compound fertilizer and 1 dose of standard single NPK fertilizer (E) and 1 dose of micro compound fertilizer and 1 dose of standard single NPK fertilizer (D), which were 43.81 mm and 43.13 mm. The three treatments (E, D, and F) were not significantly different, but were significantly different from the control treatment (A). This indicates that increasing the treatment dose did not provide a significant change in fruit diameter in tomato plants. According to Sanjaya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each variety has different levels of resistance and adaptability to the environment, </w:t>
      </w:r>
      <w:r w:rsidR="00D1091C">
        <w:rPr>
          <w:rStyle w:val="y2iqfc"/>
          <w:rFonts w:ascii="Times New Roman" w:eastAsiaTheme="majorEastAsia" w:hAnsi="Times New Roman" w:cs="Times New Roman"/>
          <w:sz w:val="24"/>
          <w:szCs w:val="24"/>
          <w:lang w:val="en"/>
        </w:rPr>
        <w:t>which</w:t>
      </w:r>
      <w:r w:rsidRPr="00F34284">
        <w:rPr>
          <w:rStyle w:val="y2iqfc"/>
          <w:rFonts w:ascii="Times New Roman" w:eastAsiaTheme="majorEastAsia" w:hAnsi="Times New Roman" w:cs="Times New Roman"/>
          <w:sz w:val="24"/>
          <w:szCs w:val="24"/>
          <w:lang w:val="en"/>
        </w:rPr>
        <w:t xml:space="preserve"> affects the fruit filling process. In line with Nurlenawati et al. (2010)</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there was no significant difference in fruit diameter at various fertilizer doses</w:t>
      </w:r>
      <w:r w:rsidR="00D1091C">
        <w:rPr>
          <w:rStyle w:val="y2iqfc"/>
          <w:rFonts w:ascii="Times New Roman" w:eastAsiaTheme="majorEastAsia" w:hAnsi="Times New Roman" w:cs="Times New Roman"/>
          <w:sz w:val="24"/>
          <w:szCs w:val="24"/>
          <w:lang w:val="en"/>
        </w:rPr>
        <w:t>. T</w:t>
      </w:r>
      <w:r w:rsidRPr="00F34284">
        <w:rPr>
          <w:rStyle w:val="y2iqfc"/>
          <w:rFonts w:ascii="Times New Roman" w:eastAsiaTheme="majorEastAsia" w:hAnsi="Times New Roman" w:cs="Times New Roman"/>
          <w:sz w:val="24"/>
          <w:szCs w:val="24"/>
          <w:lang w:val="en"/>
        </w:rPr>
        <w:t>his is because the size of the fruit diameter tends to be determined by genetic factors rather than fertilizer factors. In addition, tomato fruit size, such as diameter, is a quantitative character influenced by genetic factors (Zhao et al., 2021).</w:t>
      </w:r>
    </w:p>
    <w:p w14:paraId="19D8A5A3" w14:textId="77777777" w:rsidR="00F34284" w:rsidRPr="00F34284" w:rsidRDefault="00F34284" w:rsidP="00F34284">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increase in fruit weight is thought to be related to the balance of available nutrients, which optimizes plant metabolism. According to Yoseva et al. (2022), balanced nutrient availability supports optimal photosynthesis, thus influencing fruit size and weight. Macronutrients such as N, P, and K, such as potassium, play a role in increasing fruit weight by acting as catalysts in the carbohydrate formation process, which </w:t>
      </w:r>
      <w:r w:rsidRPr="00F34284">
        <w:rPr>
          <w:rStyle w:val="y2iqfc"/>
          <w:rFonts w:ascii="Times New Roman" w:eastAsiaTheme="majorEastAsia" w:hAnsi="Times New Roman" w:cs="Times New Roman"/>
          <w:sz w:val="24"/>
          <w:szCs w:val="24"/>
          <w:lang w:val="en"/>
        </w:rPr>
        <w:lastRenderedPageBreak/>
        <w:t>contributes to increased fruit weight (Olata et al., 2021). Furthermore, increased fruit weight is also related to the role of micronutrient compound fertilizers containing boron, which can support the activity of enzymes and growth hormones such as auxin and gibberellin, which are involved in cell division and fruit enlargement. Increased fruit weight per plot is also influenced by increased fruit production (Sanjaya et al., 2025).</w:t>
      </w:r>
    </w:p>
    <w:p w14:paraId="27571C08" w14:textId="77777777" w:rsidR="00F34284" w:rsidRPr="00F34284" w:rsidRDefault="00F34284" w:rsidP="00F34284">
      <w:pPr>
        <w:pStyle w:val="HTMLPreformatted"/>
        <w:rPr>
          <w:rStyle w:val="y2iqfc"/>
          <w:rFonts w:ascii="Times New Roman" w:eastAsiaTheme="majorEastAsia" w:hAnsi="Times New Roman" w:cs="Times New Roman"/>
          <w:sz w:val="24"/>
          <w:szCs w:val="24"/>
          <w:lang w:val="en"/>
        </w:rPr>
      </w:pPr>
    </w:p>
    <w:p w14:paraId="53DB3320" w14:textId="144918A5" w:rsidR="00F34284" w:rsidRPr="00F34284" w:rsidRDefault="00F34284" w:rsidP="00F34284">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4. CONCLUSION</w:t>
      </w:r>
    </w:p>
    <w:p w14:paraId="1B4532C3" w14:textId="406E77BB"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results of this study indicate that the application of micronutrient compound fertilizers and standard N, P, and K fertilizers significantly affected plant boron levels and </w:t>
      </w:r>
      <w:r w:rsidR="00D1091C">
        <w:rPr>
          <w:rStyle w:val="y2iqfc"/>
          <w:rFonts w:ascii="Times New Roman" w:eastAsiaTheme="majorEastAsia" w:hAnsi="Times New Roman" w:cs="Times New Roman"/>
          <w:sz w:val="24"/>
          <w:szCs w:val="24"/>
          <w:lang w:val="en"/>
        </w:rPr>
        <w:t xml:space="preserve">the </w:t>
      </w:r>
      <w:r w:rsidRPr="00F34284">
        <w:rPr>
          <w:rStyle w:val="y2iqfc"/>
          <w:rFonts w:ascii="Times New Roman" w:eastAsiaTheme="majorEastAsia" w:hAnsi="Times New Roman" w:cs="Times New Roman"/>
          <w:sz w:val="24"/>
          <w:szCs w:val="24"/>
          <w:lang w:val="en"/>
        </w:rPr>
        <w:t>yield of Gustavi F1 tomatoes. The combination of 1 dose of micro compound fertilizer and ¾ dose of standard single NPK fertilizer increased the plant boron content to 96.53 ppm, and produced the highest average values ​​in tomato yield components, such as the number of fruits per plot (101.54 fruits), fruit weight per plot (16.10 kg), weight per fruit (58.70 g), and fruit diameter (44.08 mm).</w:t>
      </w:r>
    </w:p>
    <w:p w14:paraId="3DEDF821" w14:textId="77777777" w:rsidR="00F34284" w:rsidRPr="00F34284" w:rsidRDefault="00F34284" w:rsidP="00F34284">
      <w:pPr>
        <w:ind w:firstLine="567"/>
        <w:jc w:val="both"/>
        <w:rPr>
          <w:rFonts w:ascii="Times New Roman" w:hAnsi="Times New Roman" w:cs="Times New Roman"/>
        </w:rPr>
      </w:pPr>
    </w:p>
    <w:p w14:paraId="22B7AD0F" w14:textId="12D4C951" w:rsidR="00F34284" w:rsidRPr="00D1091C" w:rsidRDefault="00D1091C" w:rsidP="00D1091C">
      <w:pPr>
        <w:ind w:left="567" w:hanging="567"/>
        <w:jc w:val="both"/>
        <w:rPr>
          <w:rFonts w:ascii="Times New Roman" w:hAnsi="Times New Roman" w:cs="Times New Roman"/>
          <w:b/>
          <w:bCs/>
        </w:rPr>
      </w:pPr>
      <w:commentRangeStart w:id="6"/>
      <w:r w:rsidRPr="00D1091C">
        <w:rPr>
          <w:rFonts w:ascii="Times New Roman" w:hAnsi="Times New Roman" w:cs="Times New Roman"/>
          <w:b/>
          <w:bCs/>
        </w:rPr>
        <w:t>REFERENCES</w:t>
      </w:r>
      <w:commentRangeEnd w:id="6"/>
      <w:r w:rsidR="00F10A95">
        <w:rPr>
          <w:rStyle w:val="CommentReference"/>
        </w:rPr>
        <w:commentReference w:id="6"/>
      </w:r>
    </w:p>
    <w:p w14:paraId="0A4DFFEC"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Alimuddin, S., Ralle, A., Saida, S., &amp; Syam, N. (2023). Boron Application Method to Increase Hybrid Corn (</w:t>
      </w:r>
      <w:r w:rsidRPr="00700DE3">
        <w:rPr>
          <w:rStyle w:val="y2iqfc"/>
          <w:rFonts w:ascii="Times New Roman" w:eastAsiaTheme="majorEastAsia" w:hAnsi="Times New Roman" w:cs="Times New Roman"/>
          <w:i/>
          <w:iCs/>
          <w:sz w:val="24"/>
          <w:szCs w:val="24"/>
          <w:lang w:val="en"/>
        </w:rPr>
        <w:t>Zea mays</w:t>
      </w:r>
      <w:r w:rsidRPr="00D1091C">
        <w:rPr>
          <w:rStyle w:val="y2iqfc"/>
          <w:rFonts w:ascii="Times New Roman" w:eastAsiaTheme="majorEastAsia" w:hAnsi="Times New Roman" w:cs="Times New Roman"/>
          <w:sz w:val="24"/>
          <w:szCs w:val="24"/>
          <w:lang w:val="en"/>
        </w:rPr>
        <w:t xml:space="preserve"> L.) Production. AGROTEK: Scientific Journal of Agricultural Sciences, 7(1), 74-83. https://doi.org/10.33096/agrotek.v7i1.303</w:t>
      </w:r>
    </w:p>
    <w:p w14:paraId="6D5FB9FA"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BPS (Central Bureau of Statistics). (2024). Vegetable Crop Production 2021-2023. Central Bureau of Statistics.</w:t>
      </w:r>
    </w:p>
    <w:p w14:paraId="0C6EA356"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Balittanah (Soil Research Institute). (2018). The Effect of NPK Fertilizer and Microfertilizers on Rice Growth and Production on Inceptisols in Bogor. Soil Research Institute, 137-146.</w:t>
      </w:r>
    </w:p>
    <w:p w14:paraId="0B7CC2E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BPTP (Agricultural Technology Assessment Institute). (2010). Tomato Cultivation. Department of Agriculture, Gorontalo.</w:t>
      </w:r>
    </w:p>
    <w:p w14:paraId="4C4EF023" w14:textId="68F42902"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BPSITP (Soil and Fertilizer Instrument Standard Testing Institute). (2023). Chemical Analysis of Soil, Plants, Water</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Fertilizer. Ministry of Agriculture of the Republic of Indonesia.</w:t>
      </w:r>
    </w:p>
    <w:p w14:paraId="0B5F5A17" w14:textId="253E5790"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Bana, R. S., Jat. G. S., Grover, M., Bamboriya, S. D., Singh, D., Bansal, R., Choudhary, A. K., Kumar, V., Laing, A. M., Godara, S., Bana, R. C., Kumar, H., Kuri, B. R., Yadav, A.</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&amp; Singh, T. (2022). Foliar Nutrient Supplementation with Micronutrient-embedded Fertilization Increases Biofortification, Soil Biological Activity</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Productivity of Eggplant. Scientific Reports, 12(1), 1-1</w:t>
      </w:r>
    </w:p>
    <w:p w14:paraId="44D05C3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Bhat, T. A., Nabi, J., Rather, A. M., Mushtaq, F., Chattoo, M. A., Mushtaq, M., &amp; Rashid, M. (2022). Influence of Micronutrients (Boron and Zinc) on Uptake and Availability of Nutrients. International Journal of Plant &amp; Soil Science, 34(23), 478-489.</w:t>
      </w:r>
    </w:p>
    <w:p w14:paraId="086FB588"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Daroini, F., Widiwurjani, W., &amp; Hidayat, R. (2023). Study of Dosage of NPK Fertilizer and Liquid Organic Fertilizer on Growth and Yield of Tomato Plants (</w:t>
      </w:r>
      <w:r w:rsidRPr="00700DE3">
        <w:rPr>
          <w:rStyle w:val="y2iqfc"/>
          <w:rFonts w:ascii="Times New Roman" w:eastAsiaTheme="majorEastAsia" w:hAnsi="Times New Roman" w:cs="Times New Roman"/>
          <w:i/>
          <w:iCs/>
          <w:sz w:val="24"/>
          <w:szCs w:val="24"/>
          <w:lang w:val="en"/>
        </w:rPr>
        <w:t>Solanum lycopersicum</w:t>
      </w:r>
      <w:r w:rsidRPr="00D1091C">
        <w:rPr>
          <w:rStyle w:val="y2iqfc"/>
          <w:rFonts w:ascii="Times New Roman" w:eastAsiaTheme="majorEastAsia" w:hAnsi="Times New Roman" w:cs="Times New Roman"/>
          <w:sz w:val="24"/>
          <w:szCs w:val="24"/>
          <w:lang w:val="en"/>
        </w:rPr>
        <w:t xml:space="preserve"> L.). Jurnal Agrotek Tropika, 9(1), 69-76. https://doi.org/10.23960/jat.v12i1.7557</w:t>
      </w:r>
    </w:p>
    <w:p w14:paraId="4093D15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Fitriatin, B. N., Syifa, N., Kusumo, H. P., &amp; Setiawati, R. (2022). The Effect of Hydrogel-Based Biofertilizer and P Fertilizer on Corn Growth and Yield on Inceptisols from Jatinangor. Soilrens, 20(1), 1-6.</w:t>
      </w:r>
    </w:p>
    <w:p w14:paraId="01D1B8AB"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lastRenderedPageBreak/>
        <w:t>Furqoni, H., Mulyana, E., Rosyad, A., Khairullah, A., Annas, S., &amp; Suwarto. (2025). Zinc and Boron Micronutrient Application Enhances Sweet Crop Productivity. Indonesian Journal of Agronomy, 53(3), 347-355. https://doi.org/10.24831/jai.v53i3.66877</w:t>
      </w:r>
    </w:p>
    <w:p w14:paraId="65A619F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Ganti, N. W. S. L. S., Sahta, G., &amp; Sitti, L. (2023). Effect of Organic Fertilizer Application on the Chemical Properties of Acidic Soil and Corn (</w:t>
      </w:r>
      <w:r w:rsidRPr="00700DE3">
        <w:rPr>
          <w:rStyle w:val="y2iqfc"/>
          <w:rFonts w:ascii="Times New Roman" w:eastAsiaTheme="majorEastAsia" w:hAnsi="Times New Roman" w:cs="Times New Roman"/>
          <w:i/>
          <w:iCs/>
          <w:sz w:val="24"/>
          <w:szCs w:val="24"/>
          <w:lang w:val="en"/>
        </w:rPr>
        <w:t>Zea mays</w:t>
      </w:r>
      <w:r w:rsidRPr="00D1091C">
        <w:rPr>
          <w:rStyle w:val="y2iqfc"/>
          <w:rFonts w:ascii="Times New Roman" w:eastAsiaTheme="majorEastAsia" w:hAnsi="Times New Roman" w:cs="Times New Roman"/>
          <w:sz w:val="24"/>
          <w:szCs w:val="24"/>
          <w:lang w:val="en"/>
        </w:rPr>
        <w:t xml:space="preserve"> L.) Yield. Agronomy Research Periodical, 11(1), 24-34. https://doi.org/10.33772/bpa.v11i1.400</w:t>
      </w:r>
    </w:p>
    <w:p w14:paraId="303FDCA6"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Hada, T. S., Singh, B. K., Veer, K., &amp; Singh, S. P. (2014). Effect of Different Levels of Boron and Zinc on Flowering, Fruiting, and Growth Parameters of Winter Season Guava (</w:t>
      </w:r>
      <w:r w:rsidRPr="00700DE3">
        <w:rPr>
          <w:rStyle w:val="y2iqfc"/>
          <w:rFonts w:ascii="Times New Roman" w:eastAsiaTheme="majorEastAsia" w:hAnsi="Times New Roman" w:cs="Times New Roman"/>
          <w:i/>
          <w:iCs/>
          <w:sz w:val="24"/>
          <w:szCs w:val="24"/>
          <w:lang w:val="en"/>
        </w:rPr>
        <w:t>Psidium guajava</w:t>
      </w:r>
      <w:r w:rsidRPr="00D1091C">
        <w:rPr>
          <w:rStyle w:val="y2iqfc"/>
          <w:rFonts w:ascii="Times New Roman" w:eastAsiaTheme="majorEastAsia" w:hAnsi="Times New Roman" w:cs="Times New Roman"/>
          <w:sz w:val="24"/>
          <w:szCs w:val="24"/>
          <w:lang w:val="en"/>
        </w:rPr>
        <w:t xml:space="preserve"> L.) cv. L-49. Journal of Hurticultura, 9(1), 53-56.</w:t>
      </w:r>
    </w:p>
    <w:p w14:paraId="1D009FB4" w14:textId="63B1F811"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Hasyyati, N. A., Nurmi, N., &amp; Ilahude, Z. (2023). Analysis of Micronutrient Content (Mn, Fe, Zn), Organic C</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Water Content in Corn (</w:t>
      </w:r>
      <w:r w:rsidRPr="00700DE3">
        <w:rPr>
          <w:rStyle w:val="y2iqfc"/>
          <w:rFonts w:ascii="Times New Roman" w:eastAsiaTheme="majorEastAsia" w:hAnsi="Times New Roman" w:cs="Times New Roman"/>
          <w:i/>
          <w:iCs/>
          <w:sz w:val="24"/>
          <w:szCs w:val="24"/>
          <w:lang w:val="en"/>
        </w:rPr>
        <w:t>Zea mays</w:t>
      </w:r>
      <w:r w:rsidRPr="00D1091C">
        <w:rPr>
          <w:rStyle w:val="y2iqfc"/>
          <w:rFonts w:ascii="Times New Roman" w:eastAsiaTheme="majorEastAsia" w:hAnsi="Times New Roman" w:cs="Times New Roman"/>
          <w:sz w:val="24"/>
          <w:szCs w:val="24"/>
          <w:lang w:val="en"/>
        </w:rPr>
        <w:t xml:space="preserve"> L.) Land in Tabongo District, Gorontalo Regency. Journal of Tropical Agricultural Land (JLPT), 2(2), 104-109.</w:t>
      </w:r>
    </w:p>
    <w:p w14:paraId="14A6A149" w14:textId="6DC2386C"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Havlin, J. L., Tisdale, S. L., Nelson, W. L., &amp; Beaton, J. D. (2017). Soil Fertility and Fertilizers</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 Introduction to Nutrient Management. 8th Edition. Pearson India Education Services Pvt. Noida.</w:t>
      </w:r>
    </w:p>
    <w:p w14:paraId="57863BBE"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Huang, Y., Liao, Q., Wang, X., Fu, H., Huang, B., Xin, J., &amp; Shen, C. (2025). Roles and Mechanisms of Boron in Reducing Cadmium Accumulation in Crops. Ecotoxicology and Environmental Safety, 29(6), 118-216. https://doi.org/10.1016/j.ecoenv.2025.118216 </w:t>
      </w:r>
    </w:p>
    <w:p w14:paraId="53AEDA23" w14:textId="4EFB7321"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Huesesan, A., Syafrinal, &amp; Khoiri, M. A. (2025). Study of oil palm (Elaeis guineensis Jacq.) production components fertilized with boron and NPK fertilizers. Journal of Agriculture, 36(1), 168-181.</w:t>
      </w:r>
    </w:p>
    <w:p w14:paraId="75F3630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Izhar, L., Susila, A. D., Purwoko, B. S., Sutandi, A., &amp; Mangku, I. (2016). Determining the best potassium test method for tomato plants on Inceptisols. Journal of Horticulture, 23(3), 138-146.</w:t>
      </w:r>
    </w:p>
    <w:p w14:paraId="152BF0F9"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Kadir, M., Abidin, Z., Mulyawan, R., Bachtiar, T., Yuniarti, A., Yusra, S., Citaresmini, A., Sofyan, E. T, Joy, B., &amp; Mulyani, O. (2023). Soil Fertility. Yayasan Kita Menulis, Jakarta.</w:t>
      </w:r>
    </w:p>
    <w:p w14:paraId="51C82EB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Kuswardhani, N., Andi, E. W., &amp; Nidya, S. M. (2025). Development of Tomato Processing Business for Women Farmers Group in Darsono Village, Jember Regency. LPM News Journal, 28(1), 11-21. </w:t>
      </w:r>
    </w:p>
    <w:p w14:paraId="07B3F28D" w14:textId="0C557B72"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Mal, S., Sarkar, D., Mandal, B., Basak, P., Debnath, S., Chattopadhyay, A., Batabyal, K., &amp; Pramanik, K. (2025). Improving Quality of Tomat</w:t>
      </w:r>
      <w:r>
        <w:rPr>
          <w:rStyle w:val="y2iqfc"/>
          <w:rFonts w:ascii="Times New Roman" w:eastAsiaTheme="majorEastAsia" w:hAnsi="Times New Roman" w:cs="Times New Roman"/>
          <w:sz w:val="24"/>
          <w:szCs w:val="24"/>
          <w:lang w:val="en"/>
        </w:rPr>
        <w:t>oes</w:t>
      </w:r>
      <w:r w:rsidRPr="00D1091C">
        <w:rPr>
          <w:rStyle w:val="y2iqfc"/>
          <w:rFonts w:ascii="Times New Roman" w:eastAsiaTheme="majorEastAsia" w:hAnsi="Times New Roman" w:cs="Times New Roman"/>
          <w:sz w:val="24"/>
          <w:szCs w:val="24"/>
          <w:lang w:val="en"/>
        </w:rPr>
        <w:t xml:space="preserve"> (</w:t>
      </w:r>
      <w:r w:rsidRPr="00D1091C">
        <w:rPr>
          <w:rStyle w:val="y2iqfc"/>
          <w:rFonts w:ascii="Times New Roman" w:eastAsiaTheme="majorEastAsia" w:hAnsi="Times New Roman" w:cs="Times New Roman"/>
          <w:i/>
          <w:iCs/>
          <w:sz w:val="24"/>
          <w:szCs w:val="24"/>
          <w:lang w:val="en"/>
        </w:rPr>
        <w:t>Solanum lycopersicum</w:t>
      </w:r>
      <w:r w:rsidRPr="00D1091C">
        <w:rPr>
          <w:rStyle w:val="y2iqfc"/>
          <w:rFonts w:ascii="Times New Roman" w:eastAsiaTheme="majorEastAsia" w:hAnsi="Times New Roman" w:cs="Times New Roman"/>
          <w:sz w:val="24"/>
          <w:szCs w:val="24"/>
          <w:lang w:val="en"/>
        </w:rPr>
        <w:t xml:space="preserve"> L.) Fruits for Fresh Consumption and Processing with Optimized Boron Application. Journal of Food Composition and Analysis, 140, 107255. https://doi.org/10.1016/j.jfca.2025.107255</w:t>
      </w:r>
    </w:p>
    <w:p w14:paraId="1D6CD22F" w14:textId="0522C67C"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Mubarok, Z. T., Sofyan, E. T., &amp; Yuniarti, A. (2025). Soil total B content, B uptake, and shallot (</w:t>
      </w:r>
      <w:r w:rsidRPr="00D1091C">
        <w:rPr>
          <w:rStyle w:val="y2iqfc"/>
          <w:rFonts w:ascii="Times New Roman" w:eastAsiaTheme="majorEastAsia" w:hAnsi="Times New Roman" w:cs="Times New Roman"/>
          <w:i/>
          <w:iCs/>
          <w:sz w:val="24"/>
          <w:szCs w:val="24"/>
          <w:lang w:val="en"/>
        </w:rPr>
        <w:t>Allium ascolonicum</w:t>
      </w:r>
      <w:r w:rsidRPr="00D1091C">
        <w:rPr>
          <w:rStyle w:val="y2iqfc"/>
          <w:rFonts w:ascii="Times New Roman" w:eastAsiaTheme="majorEastAsia" w:hAnsi="Times New Roman" w:cs="Times New Roman"/>
          <w:sz w:val="24"/>
          <w:szCs w:val="24"/>
          <w:lang w:val="en"/>
        </w:rPr>
        <w:t xml:space="preserve"> L.) yield due to </w:t>
      </w:r>
      <w:r>
        <w:rPr>
          <w:rStyle w:val="y2iqfc"/>
          <w:rFonts w:ascii="Times New Roman" w:eastAsiaTheme="majorEastAsia" w:hAnsi="Times New Roman" w:cs="Times New Roman"/>
          <w:sz w:val="24"/>
          <w:szCs w:val="24"/>
          <w:lang w:val="en"/>
        </w:rPr>
        <w:t>B</w:t>
      </w:r>
      <w:r w:rsidRPr="00D1091C">
        <w:rPr>
          <w:rStyle w:val="y2iqfc"/>
          <w:rFonts w:ascii="Times New Roman" w:eastAsiaTheme="majorEastAsia" w:hAnsi="Times New Roman" w:cs="Times New Roman"/>
          <w:sz w:val="24"/>
          <w:szCs w:val="24"/>
          <w:lang w:val="en"/>
        </w:rPr>
        <w:t>oron and N, P, and K fertilizer application on Inceptisols Jatinangor. Journal of Tropical Agrotechnology, 7(2), 171-181.</w:t>
      </w:r>
    </w:p>
    <w:p w14:paraId="5E2A4A07"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Nazari, A. P. D., Rusdiansyah, Siregar, A. P. M., &amp; Rahmi, A. (2020). Growth and Yield of Tomato Plants (</w:t>
      </w:r>
      <w:r w:rsidRPr="00700DE3">
        <w:rPr>
          <w:rStyle w:val="y2iqfc"/>
          <w:rFonts w:ascii="Times New Roman" w:eastAsiaTheme="majorEastAsia" w:hAnsi="Times New Roman" w:cs="Times New Roman"/>
          <w:i/>
          <w:iCs/>
          <w:sz w:val="24"/>
          <w:szCs w:val="24"/>
          <w:lang w:val="en"/>
        </w:rPr>
        <w:t>Lycopersicum esculentum</w:t>
      </w:r>
      <w:r w:rsidRPr="00D1091C">
        <w:rPr>
          <w:rStyle w:val="y2iqfc"/>
          <w:rFonts w:ascii="Times New Roman" w:eastAsiaTheme="majorEastAsia" w:hAnsi="Times New Roman" w:cs="Times New Roman"/>
          <w:sz w:val="24"/>
          <w:szCs w:val="24"/>
          <w:lang w:val="en"/>
        </w:rPr>
        <w:t xml:space="preserve"> MILL.) with Different ZN Fertilizer Applications and Plant Spacing. Ziraa'ah Agricultural Scientific Journal, 45(3), 241–253.</w:t>
      </w:r>
    </w:p>
    <w:p w14:paraId="1766C6D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lastRenderedPageBreak/>
        <w:t>Nugroho, G. A., Hidayat, M. T., Albarki, G. K., Siswanto, Natajaya, A., &amp; Kurniawan, S. (2025). Increasing Boron Use Efficiency in Optimizing Sweet Corn Production in Dry Lands. Journal of Soil and Land Resources, 12(1), 171–181.</w:t>
      </w:r>
    </w:p>
    <w:p w14:paraId="5CE5CBF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Nugroho, G. A., Novalia, K., Wachidiyah, R., &amp; Syahrul, K. (2024). Effect of Micronutrient Fertilization on Production and Soil Fertility in Maize. Journal of Tropical Agriculture, 10(3), 30-40. https://doi.org/10.32734/jpt.v10i3.14388</w:t>
      </w:r>
    </w:p>
    <w:p w14:paraId="76CF8C1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Nurlenawati, N., Jannah, A., &amp; Nimih. (2010). Growth and Yield Response of Red Chili (</w:t>
      </w:r>
      <w:r w:rsidRPr="00700DE3">
        <w:rPr>
          <w:rStyle w:val="y2iqfc"/>
          <w:rFonts w:ascii="Times New Roman" w:eastAsiaTheme="majorEastAsia" w:hAnsi="Times New Roman" w:cs="Times New Roman"/>
          <w:i/>
          <w:iCs/>
          <w:sz w:val="24"/>
          <w:szCs w:val="24"/>
          <w:lang w:val="en"/>
        </w:rPr>
        <w:t>Capsicum annum</w:t>
      </w:r>
      <w:r w:rsidRPr="00D1091C">
        <w:rPr>
          <w:rStyle w:val="y2iqfc"/>
          <w:rFonts w:ascii="Times New Roman" w:eastAsiaTheme="majorEastAsia" w:hAnsi="Times New Roman" w:cs="Times New Roman"/>
          <w:sz w:val="24"/>
          <w:szCs w:val="24"/>
          <w:lang w:val="en"/>
        </w:rPr>
        <w:t xml:space="preserve"> L.) Prabu Variety to Various Doses of Phosphate Fertilizer and Straw Mushroom Waste Bokashi. Jurnal Agrika, 4(1), 9-20.</w:t>
      </w:r>
    </w:p>
    <w:p w14:paraId="133F2142" w14:textId="05F7A365"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Olata, D. T., Ermawati, &amp; Ernita, M. (2021). Growth and Yield Response of Red Chili (</w:t>
      </w:r>
      <w:r w:rsidRPr="00D1091C">
        <w:rPr>
          <w:rStyle w:val="y2iqfc"/>
          <w:rFonts w:ascii="Times New Roman" w:eastAsiaTheme="majorEastAsia" w:hAnsi="Times New Roman" w:cs="Times New Roman"/>
          <w:i/>
          <w:iCs/>
          <w:sz w:val="24"/>
          <w:szCs w:val="24"/>
          <w:lang w:val="en"/>
        </w:rPr>
        <w:t>Capsicum annuum</w:t>
      </w:r>
      <w:r w:rsidRPr="00D1091C">
        <w:rPr>
          <w:rStyle w:val="y2iqfc"/>
          <w:rFonts w:ascii="Times New Roman" w:eastAsiaTheme="majorEastAsia" w:hAnsi="Times New Roman" w:cs="Times New Roman"/>
          <w:sz w:val="24"/>
          <w:szCs w:val="24"/>
          <w:lang w:val="en"/>
        </w:rPr>
        <w:t xml:space="preserve"> L.) to Biofertilizer and Compound NPK Fertilizer. Jurnal Embrio, 13(1), 1-13.</w:t>
      </w:r>
    </w:p>
    <w:p w14:paraId="77EBAA07"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Purba, J. (2020). Effectiveness of adding biofertilizer and NPK fertilizer on the growth and production of lettuce (</w:t>
      </w:r>
      <w:r w:rsidRPr="00D1091C">
        <w:rPr>
          <w:rStyle w:val="y2iqfc"/>
          <w:rFonts w:ascii="Times New Roman" w:eastAsiaTheme="majorEastAsia" w:hAnsi="Times New Roman" w:cs="Times New Roman"/>
          <w:i/>
          <w:iCs/>
          <w:sz w:val="24"/>
          <w:szCs w:val="24"/>
          <w:lang w:val="en"/>
        </w:rPr>
        <w:t>Lactuca sativa</w:t>
      </w:r>
      <w:r w:rsidRPr="00D1091C">
        <w:rPr>
          <w:rStyle w:val="y2iqfc"/>
          <w:rFonts w:ascii="Times New Roman" w:eastAsiaTheme="majorEastAsia" w:hAnsi="Times New Roman" w:cs="Times New Roman"/>
          <w:sz w:val="24"/>
          <w:szCs w:val="24"/>
          <w:lang w:val="en"/>
        </w:rPr>
        <w:t xml:space="preserve"> L.). Afroprimatech Journal, 4(1), 18-26.</w:t>
      </w:r>
    </w:p>
    <w:p w14:paraId="26E6D292" w14:textId="77777777"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Sahabuddin, Karim, H. A., &amp; Jamal, A. (2022). The Effect of Santamikro Fertilizer Doses and Different Time Intervals on the Growth and Production of Purple Eggplant (</w:t>
      </w:r>
      <w:r w:rsidRPr="00D1091C">
        <w:rPr>
          <w:rStyle w:val="y2iqfc"/>
          <w:rFonts w:ascii="Times New Roman" w:eastAsiaTheme="majorEastAsia" w:hAnsi="Times New Roman" w:cs="Times New Roman"/>
          <w:i/>
          <w:iCs/>
          <w:sz w:val="24"/>
          <w:szCs w:val="24"/>
          <w:lang w:val="en"/>
        </w:rPr>
        <w:t>Solanum melongena</w:t>
      </w:r>
      <w:r w:rsidRPr="00D1091C">
        <w:rPr>
          <w:rStyle w:val="y2iqfc"/>
          <w:rFonts w:ascii="Times New Roman" w:eastAsiaTheme="majorEastAsia" w:hAnsi="Times New Roman" w:cs="Times New Roman"/>
          <w:sz w:val="24"/>
          <w:szCs w:val="24"/>
          <w:lang w:val="en"/>
        </w:rPr>
        <w:t xml:space="preserve"> L.). Journal of Peqguruang Conference Series, 6(2), 633-639.</w:t>
      </w:r>
    </w:p>
    <w:p w14:paraId="547637CE" w14:textId="3A72B9B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Sanjaya, A., Jannah, N., &amp; Rahmi, A. (2025). Effect of Phytochemical Microfertilizer Concentration on Growth and Yield of Two Varieties (</w:t>
      </w:r>
      <w:r w:rsidRPr="00700DE3">
        <w:rPr>
          <w:rStyle w:val="y2iqfc"/>
          <w:rFonts w:ascii="Times New Roman" w:eastAsiaTheme="majorEastAsia" w:hAnsi="Times New Roman" w:cs="Times New Roman"/>
          <w:i/>
          <w:iCs/>
          <w:sz w:val="24"/>
          <w:szCs w:val="24"/>
          <w:lang w:val="en"/>
        </w:rPr>
        <w:t>Solanum lycopersicum</w:t>
      </w:r>
      <w:r w:rsidR="00700DE3">
        <w:rPr>
          <w:rStyle w:val="y2iqfc"/>
          <w:rFonts w:ascii="Times New Roman" w:eastAsiaTheme="majorEastAsia" w:hAnsi="Times New Roman" w:cs="Times New Roman"/>
          <w:i/>
          <w:iCs/>
          <w:sz w:val="24"/>
          <w:szCs w:val="24"/>
          <w:lang w:val="en"/>
        </w:rPr>
        <w:t xml:space="preserve"> L.</w:t>
      </w:r>
      <w:r w:rsidRPr="00D1091C">
        <w:rPr>
          <w:rStyle w:val="y2iqfc"/>
          <w:rFonts w:ascii="Times New Roman" w:eastAsiaTheme="majorEastAsia" w:hAnsi="Times New Roman" w:cs="Times New Roman"/>
          <w:sz w:val="24"/>
          <w:szCs w:val="24"/>
          <w:lang w:val="en"/>
        </w:rPr>
        <w:t>). Journal of Tropical Agrotechnology and Forestry, 3(1), 1-14.</w:t>
      </w:r>
    </w:p>
    <w:p w14:paraId="5647C19C"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Sharma, R., Kapoor, N., &amp; Ohri, P. (2025). Ameliorative Effect of Rhizobacteria Bradyrhizobium Japonicum on Antioxidant Enzymes, Cell Viability, and Biochemistry in Tomato Plants Under Nematode Stress. Scientific Reports, 15(1), 8017.</w:t>
      </w:r>
    </w:p>
    <w:p w14:paraId="19DB6D78"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Singh, P., Dwivedi, M., Srivastava, P., C., Pachauri, S., P., Shukla, A. K., &amp; Singh, A. P. (2020). Boron fertilization and crop production in India: a review. Journal of Agricultural Sciences, 90(1),9-16. https://doi.org/10.1038/s41598-025-92798-9 </w:t>
      </w:r>
    </w:p>
    <w:p w14:paraId="1203485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Szczepaniak, W., Nowicki, B., Belka, D., Kazimierowicz, A., Kulwicki, M., &amp; Grzebisz, W. (2022). Effect of Foliar Application of Micronutrients and Fungicides on the Nitrogen Use Efficiency in Winter Wheat. Agronomy, 12(2), 1-21. https://doi.org/10.3390/agronomy12020257 </w:t>
      </w:r>
    </w:p>
    <w:p w14:paraId="22FC2BB2" w14:textId="669BD389"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Yadav, D., Topno, Dr., S., E., &amp; Bahadur, Dr., V. (2024). Effect of Micronutrients on Growth, Yield</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Quality of Tomato (</w:t>
      </w:r>
      <w:r w:rsidRPr="00D1091C">
        <w:rPr>
          <w:rStyle w:val="y2iqfc"/>
          <w:rFonts w:ascii="Times New Roman" w:eastAsiaTheme="majorEastAsia" w:hAnsi="Times New Roman" w:cs="Times New Roman"/>
          <w:i/>
          <w:iCs/>
          <w:sz w:val="24"/>
          <w:szCs w:val="24"/>
          <w:lang w:val="en"/>
        </w:rPr>
        <w:t>Solanum lycopersicum</w:t>
      </w:r>
      <w:r w:rsidRPr="00D1091C">
        <w:rPr>
          <w:rStyle w:val="y2iqfc"/>
          <w:rFonts w:ascii="Times New Roman" w:eastAsiaTheme="majorEastAsia" w:hAnsi="Times New Roman" w:cs="Times New Roman"/>
          <w:sz w:val="24"/>
          <w:szCs w:val="24"/>
          <w:lang w:val="en"/>
        </w:rPr>
        <w:t xml:space="preserve"> L.). Journal of Research in Agronomy, 7(8), 627-633. https://doi.org/10.33545/2618060x.2024.v7.i8i.1340 </w:t>
      </w:r>
    </w:p>
    <w:p w14:paraId="3F251492" w14:textId="24F1C64C"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Yoseva, S., Armiani, &amp; Daeli, E. N. (2022). The Increased Growth and Production of Soybe</w:t>
      </w:r>
      <w:r>
        <w:rPr>
          <w:rStyle w:val="y2iqfc"/>
          <w:rFonts w:ascii="Times New Roman" w:eastAsiaTheme="majorEastAsia" w:hAnsi="Times New Roman" w:cs="Times New Roman"/>
          <w:sz w:val="24"/>
          <w:szCs w:val="24"/>
          <w:lang w:val="en"/>
        </w:rPr>
        <w:t>a</w:t>
      </w:r>
      <w:r w:rsidRPr="00D1091C">
        <w:rPr>
          <w:rStyle w:val="y2iqfc"/>
          <w:rFonts w:ascii="Times New Roman" w:eastAsiaTheme="majorEastAsia" w:hAnsi="Times New Roman" w:cs="Times New Roman"/>
          <w:sz w:val="24"/>
          <w:szCs w:val="24"/>
          <w:lang w:val="en"/>
        </w:rPr>
        <w:t>n (</w:t>
      </w:r>
      <w:r w:rsidRPr="00D1091C">
        <w:rPr>
          <w:rStyle w:val="y2iqfc"/>
          <w:rFonts w:ascii="Times New Roman" w:eastAsiaTheme="majorEastAsia" w:hAnsi="Times New Roman" w:cs="Times New Roman"/>
          <w:i/>
          <w:iCs/>
          <w:sz w:val="24"/>
          <w:szCs w:val="24"/>
          <w:lang w:val="en"/>
        </w:rPr>
        <w:t>Glycine max</w:t>
      </w:r>
      <w:r w:rsidRPr="00D1091C">
        <w:rPr>
          <w:rStyle w:val="y2iqfc"/>
          <w:rFonts w:ascii="Times New Roman" w:eastAsiaTheme="majorEastAsia" w:hAnsi="Times New Roman" w:cs="Times New Roman"/>
          <w:sz w:val="24"/>
          <w:szCs w:val="24"/>
          <w:lang w:val="en"/>
        </w:rPr>
        <w:t xml:space="preserve"> L.) </w:t>
      </w:r>
      <w:r>
        <w:rPr>
          <w:rStyle w:val="y2iqfc"/>
          <w:rFonts w:ascii="Times New Roman" w:eastAsiaTheme="majorEastAsia" w:hAnsi="Times New Roman" w:cs="Times New Roman"/>
          <w:sz w:val="24"/>
          <w:szCs w:val="24"/>
          <w:lang w:val="en"/>
        </w:rPr>
        <w:t>o</w:t>
      </w:r>
      <w:r w:rsidRPr="00D1091C">
        <w:rPr>
          <w:rStyle w:val="y2iqfc"/>
          <w:rFonts w:ascii="Times New Roman" w:eastAsiaTheme="majorEastAsia" w:hAnsi="Times New Roman" w:cs="Times New Roman"/>
          <w:sz w:val="24"/>
          <w:szCs w:val="24"/>
          <w:lang w:val="en"/>
        </w:rPr>
        <w:t>n the Application of Vermicompost and NPK Fertilizer on Inceptisol Soil. Tripika Agrotechnology Journal, 11(2), 74-85.</w:t>
      </w:r>
    </w:p>
    <w:p w14:paraId="0C92F4C4" w14:textId="77777777"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Zhao, F., Zhang, J., Weng, L., Li, M., Wang, Q., &amp; Xiao, H. (2021). Fruit size control by a zinc finger protein regulating pericarp cell size in tomatoes. Molecular Horticulture, 6(1), 1-16.</w:t>
      </w:r>
    </w:p>
    <w:p w14:paraId="756ECC7D" w14:textId="77777777" w:rsidR="00D1091C" w:rsidRPr="00D1091C" w:rsidRDefault="00D1091C" w:rsidP="00D1091C">
      <w:pPr>
        <w:ind w:left="567" w:hanging="567"/>
        <w:jc w:val="both"/>
        <w:rPr>
          <w:rFonts w:ascii="Times New Roman" w:hAnsi="Times New Roman" w:cs="Times New Roman"/>
        </w:rPr>
      </w:pPr>
    </w:p>
    <w:sectPr w:rsidR="00D1091C" w:rsidRPr="00D1091C" w:rsidSect="00F34284">
      <w:headerReference w:type="even" r:id="rId11"/>
      <w:headerReference w:type="default" r:id="rId12"/>
      <w:footerReference w:type="even" r:id="rId13"/>
      <w:footerReference w:type="default" r:id="rId14"/>
      <w:headerReference w:type="first" r:id="rId15"/>
      <w:footerReference w:type="first" r:id="rId16"/>
      <w:pgSz w:w="11907" w:h="16840" w:code="9"/>
      <w:pgMar w:top="1985"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CC" w:date="2026-03-19T08:12:00Z" w:initials="P">
    <w:p w14:paraId="735034D1" w14:textId="41059C65" w:rsidR="006B2480" w:rsidRDefault="006B2480">
      <w:pPr>
        <w:pStyle w:val="CommentText"/>
      </w:pPr>
      <w:r>
        <w:rPr>
          <w:rStyle w:val="CommentReference"/>
        </w:rPr>
        <w:annotationRef/>
      </w:r>
      <w:r>
        <w:t>italic</w:t>
      </w:r>
    </w:p>
  </w:comment>
  <w:comment w:id="1" w:author="PCC" w:date="2026-03-19T08:13:00Z" w:initials="P">
    <w:p w14:paraId="0F4D9AE6" w14:textId="4B89FCD5" w:rsidR="006B2480" w:rsidRDefault="006B2480">
      <w:pPr>
        <w:pStyle w:val="CommentText"/>
      </w:pPr>
      <w:r>
        <w:rPr>
          <w:rStyle w:val="CommentReference"/>
        </w:rPr>
        <w:annotationRef/>
      </w:r>
      <w:r>
        <w:t>enter , and remove and</w:t>
      </w:r>
    </w:p>
  </w:comment>
  <w:comment w:id="2" w:author="PCC" w:date="2026-03-19T08:15:00Z" w:initials="P">
    <w:p w14:paraId="07B56334" w14:textId="2A946FFE" w:rsidR="006B2480" w:rsidRDefault="006B2480">
      <w:pPr>
        <w:pStyle w:val="CommentText"/>
      </w:pPr>
      <w:r>
        <w:rPr>
          <w:rStyle w:val="CommentReference"/>
        </w:rPr>
        <w:annotationRef/>
      </w:r>
      <w:r>
        <w:t>check the reference format</w:t>
      </w:r>
    </w:p>
  </w:comment>
  <w:comment w:id="3" w:author="PCC" w:date="2026-03-19T08:18:00Z" w:initials="P">
    <w:p w14:paraId="7018428A" w14:textId="16713D0B" w:rsidR="00D86A2C" w:rsidRDefault="00D86A2C">
      <w:pPr>
        <w:pStyle w:val="CommentText"/>
      </w:pPr>
      <w:r>
        <w:rPr>
          <w:rStyle w:val="CommentReference"/>
        </w:rPr>
        <w:annotationRef/>
      </w:r>
      <w:r>
        <w:t>what is a initial and final soil fertility status</w:t>
      </w:r>
    </w:p>
  </w:comment>
  <w:comment w:id="4" w:author="PCC" w:date="2026-03-19T08:23:00Z" w:initials="P">
    <w:p w14:paraId="4E0B51C8" w14:textId="455683DE" w:rsidR="00F10A95" w:rsidRDefault="00F10A95">
      <w:pPr>
        <w:pStyle w:val="CommentText"/>
      </w:pPr>
      <w:r>
        <w:rPr>
          <w:rStyle w:val="CommentReference"/>
        </w:rPr>
        <w:annotationRef/>
      </w:r>
      <w:r>
        <w:t xml:space="preserve">repeat </w:t>
      </w:r>
    </w:p>
  </w:comment>
  <w:comment w:id="5" w:author="PCC" w:date="2026-03-19T08:20:00Z" w:initials="P">
    <w:p w14:paraId="113F81BA" w14:textId="6C81F08B" w:rsidR="00D86A2C" w:rsidRDefault="00D86A2C">
      <w:pPr>
        <w:pStyle w:val="CommentText"/>
      </w:pPr>
      <w:r>
        <w:rPr>
          <w:rStyle w:val="CommentReference"/>
        </w:rPr>
        <w:annotationRef/>
      </w:r>
      <w:r>
        <w:t>decimal</w:t>
      </w:r>
    </w:p>
  </w:comment>
  <w:comment w:id="6" w:author="PCC" w:date="2026-03-19T08:22:00Z" w:initials="P">
    <w:p w14:paraId="322F8687" w14:textId="16E799FE" w:rsidR="00F10A95" w:rsidRDefault="00F10A95">
      <w:pPr>
        <w:pStyle w:val="CommentText"/>
      </w:pPr>
      <w:r>
        <w:rPr>
          <w:rStyle w:val="CommentReference"/>
        </w:rPr>
        <w:annotationRef/>
      </w:r>
      <w:r>
        <w:t>check reference sequence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5034D1" w15:done="0"/>
  <w15:commentEx w15:paraId="0F4D9AE6" w15:done="0"/>
  <w15:commentEx w15:paraId="07B56334" w15:done="0"/>
  <w15:commentEx w15:paraId="7018428A" w15:done="0"/>
  <w15:commentEx w15:paraId="4E0B51C8" w15:done="0"/>
  <w15:commentEx w15:paraId="113F81BA" w15:done="0"/>
  <w15:commentEx w15:paraId="322F86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62E83" w16cex:dateUtc="2026-03-19T02:42:00Z"/>
  <w16cex:commentExtensible w16cex:durableId="2D662E9C" w16cex:dateUtc="2026-03-19T02:43:00Z"/>
  <w16cex:commentExtensible w16cex:durableId="2D662F3D" w16cex:dateUtc="2026-03-19T02:45:00Z"/>
  <w16cex:commentExtensible w16cex:durableId="2D662FE2" w16cex:dateUtc="2026-03-19T02:48:00Z"/>
  <w16cex:commentExtensible w16cex:durableId="2D663109" w16cex:dateUtc="2026-03-19T02:53:00Z"/>
  <w16cex:commentExtensible w16cex:durableId="2D663053" w16cex:dateUtc="2026-03-19T02:50:00Z"/>
  <w16cex:commentExtensible w16cex:durableId="2D6630D2" w16cex:dateUtc="2026-03-19T0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5034D1" w16cid:durableId="2D662E83"/>
  <w16cid:commentId w16cid:paraId="0F4D9AE6" w16cid:durableId="2D662E9C"/>
  <w16cid:commentId w16cid:paraId="07B56334" w16cid:durableId="2D662F3D"/>
  <w16cid:commentId w16cid:paraId="7018428A" w16cid:durableId="2D662FE2"/>
  <w16cid:commentId w16cid:paraId="4E0B51C8" w16cid:durableId="2D663109"/>
  <w16cid:commentId w16cid:paraId="113F81BA" w16cid:durableId="2D663053"/>
  <w16cid:commentId w16cid:paraId="322F8687" w16cid:durableId="2D663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8AC0" w14:textId="77777777" w:rsidR="00E761E9" w:rsidRDefault="00E761E9" w:rsidP="00386863">
      <w:pPr>
        <w:spacing w:after="0" w:line="240" w:lineRule="auto"/>
      </w:pPr>
      <w:r>
        <w:separator/>
      </w:r>
    </w:p>
  </w:endnote>
  <w:endnote w:type="continuationSeparator" w:id="0">
    <w:p w14:paraId="19A525A9" w14:textId="77777777" w:rsidR="00E761E9" w:rsidRDefault="00E761E9" w:rsidP="0038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25E0" w14:textId="77777777" w:rsidR="00386863" w:rsidRDefault="00386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0E56" w14:textId="77777777" w:rsidR="00386863" w:rsidRDefault="00386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2349" w14:textId="77777777" w:rsidR="00386863" w:rsidRDefault="00386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8B1E" w14:textId="77777777" w:rsidR="00E761E9" w:rsidRDefault="00E761E9" w:rsidP="00386863">
      <w:pPr>
        <w:spacing w:after="0" w:line="240" w:lineRule="auto"/>
      </w:pPr>
      <w:r>
        <w:separator/>
      </w:r>
    </w:p>
  </w:footnote>
  <w:footnote w:type="continuationSeparator" w:id="0">
    <w:p w14:paraId="5F5F9266" w14:textId="77777777" w:rsidR="00E761E9" w:rsidRDefault="00E761E9" w:rsidP="00386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2966" w14:textId="10A2188D" w:rsidR="00386863" w:rsidRDefault="00E761E9">
    <w:pPr>
      <w:pStyle w:val="Header"/>
    </w:pPr>
    <w:r>
      <w:rPr>
        <w:noProof/>
      </w:rPr>
      <w:pict w14:anchorId="4F79D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5"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F139" w14:textId="131FEC7A" w:rsidR="00386863" w:rsidRDefault="00E761E9">
    <w:pPr>
      <w:pStyle w:val="Header"/>
    </w:pPr>
    <w:r>
      <w:rPr>
        <w:noProof/>
      </w:rPr>
      <w:pict w14:anchorId="2F66B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6"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C590" w14:textId="7100CE91" w:rsidR="00386863" w:rsidRDefault="00E761E9">
    <w:pPr>
      <w:pStyle w:val="Header"/>
    </w:pPr>
    <w:r>
      <w:rPr>
        <w:noProof/>
      </w:rPr>
      <w:pict w14:anchorId="3BE23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4"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08ED"/>
    <w:multiLevelType w:val="hybridMultilevel"/>
    <w:tmpl w:val="3446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C">
    <w15:presenceInfo w15:providerId="None" w15:userId="P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DMxNTE3sDQxNTVT0lEKTi0uzszPAykwqwUAi7oexiwAAAA="/>
  </w:docVars>
  <w:rsids>
    <w:rsidRoot w:val="007E3775"/>
    <w:rsid w:val="000805E7"/>
    <w:rsid w:val="000A7B7F"/>
    <w:rsid w:val="00243432"/>
    <w:rsid w:val="00282825"/>
    <w:rsid w:val="00294B6E"/>
    <w:rsid w:val="002B2523"/>
    <w:rsid w:val="002D54A6"/>
    <w:rsid w:val="00386863"/>
    <w:rsid w:val="00591DFF"/>
    <w:rsid w:val="006B2480"/>
    <w:rsid w:val="00700DE3"/>
    <w:rsid w:val="007E3775"/>
    <w:rsid w:val="007E4226"/>
    <w:rsid w:val="008E731E"/>
    <w:rsid w:val="00A204BD"/>
    <w:rsid w:val="00AB20DF"/>
    <w:rsid w:val="00B2233D"/>
    <w:rsid w:val="00B35351"/>
    <w:rsid w:val="00C3293F"/>
    <w:rsid w:val="00C449F1"/>
    <w:rsid w:val="00CF1946"/>
    <w:rsid w:val="00D1091C"/>
    <w:rsid w:val="00D57F6F"/>
    <w:rsid w:val="00D86A2C"/>
    <w:rsid w:val="00E119E5"/>
    <w:rsid w:val="00E761E9"/>
    <w:rsid w:val="00F10A95"/>
    <w:rsid w:val="00F34284"/>
    <w:rsid w:val="00F5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20548"/>
  <w15:chartTrackingRefBased/>
  <w15:docId w15:val="{EEA0698D-4AA9-4515-A10B-9024600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775"/>
    <w:rPr>
      <w:rFonts w:eastAsiaTheme="majorEastAsia" w:cstheme="majorBidi"/>
      <w:color w:val="272727" w:themeColor="text1" w:themeTint="D8"/>
    </w:rPr>
  </w:style>
  <w:style w:type="paragraph" w:styleId="Title">
    <w:name w:val="Title"/>
    <w:basedOn w:val="Normal"/>
    <w:next w:val="Normal"/>
    <w:link w:val="TitleChar"/>
    <w:uiPriority w:val="10"/>
    <w:qFormat/>
    <w:rsid w:val="007E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775"/>
    <w:pPr>
      <w:spacing w:before="160"/>
      <w:jc w:val="center"/>
    </w:pPr>
    <w:rPr>
      <w:i/>
      <w:iCs/>
      <w:color w:val="404040" w:themeColor="text1" w:themeTint="BF"/>
    </w:rPr>
  </w:style>
  <w:style w:type="character" w:customStyle="1" w:styleId="QuoteChar">
    <w:name w:val="Quote Char"/>
    <w:basedOn w:val="DefaultParagraphFont"/>
    <w:link w:val="Quote"/>
    <w:uiPriority w:val="29"/>
    <w:rsid w:val="007E3775"/>
    <w:rPr>
      <w:i/>
      <w:iCs/>
      <w:color w:val="404040" w:themeColor="text1" w:themeTint="BF"/>
    </w:rPr>
  </w:style>
  <w:style w:type="paragraph" w:styleId="ListParagraph">
    <w:name w:val="List Paragraph"/>
    <w:basedOn w:val="Normal"/>
    <w:uiPriority w:val="34"/>
    <w:qFormat/>
    <w:rsid w:val="007E3775"/>
    <w:pPr>
      <w:ind w:left="720"/>
      <w:contextualSpacing/>
    </w:pPr>
  </w:style>
  <w:style w:type="character" w:styleId="IntenseEmphasis">
    <w:name w:val="Intense Emphasis"/>
    <w:basedOn w:val="DefaultParagraphFont"/>
    <w:uiPriority w:val="21"/>
    <w:qFormat/>
    <w:rsid w:val="007E3775"/>
    <w:rPr>
      <w:i/>
      <w:iCs/>
      <w:color w:val="2F5496" w:themeColor="accent1" w:themeShade="BF"/>
    </w:rPr>
  </w:style>
  <w:style w:type="paragraph" w:styleId="IntenseQuote">
    <w:name w:val="Intense Quote"/>
    <w:basedOn w:val="Normal"/>
    <w:next w:val="Normal"/>
    <w:link w:val="IntenseQuoteChar"/>
    <w:uiPriority w:val="30"/>
    <w:qFormat/>
    <w:rsid w:val="007E3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775"/>
    <w:rPr>
      <w:i/>
      <w:iCs/>
      <w:color w:val="2F5496" w:themeColor="accent1" w:themeShade="BF"/>
    </w:rPr>
  </w:style>
  <w:style w:type="character" w:styleId="IntenseReference">
    <w:name w:val="Intense Reference"/>
    <w:basedOn w:val="DefaultParagraphFont"/>
    <w:uiPriority w:val="32"/>
    <w:qFormat/>
    <w:rsid w:val="007E3775"/>
    <w:rPr>
      <w:b/>
      <w:bCs/>
      <w:smallCaps/>
      <w:color w:val="2F5496" w:themeColor="accent1" w:themeShade="BF"/>
      <w:spacing w:val="5"/>
    </w:rPr>
  </w:style>
  <w:style w:type="paragraph" w:styleId="HTMLPreformatted">
    <w:name w:val="HTML Preformatted"/>
    <w:basedOn w:val="Normal"/>
    <w:link w:val="HTMLPreformattedChar"/>
    <w:uiPriority w:val="99"/>
    <w:unhideWhenUsed/>
    <w:rsid w:val="007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E3775"/>
    <w:rPr>
      <w:rFonts w:ascii="Courier New" w:eastAsia="Times New Roman" w:hAnsi="Courier New" w:cs="Courier New"/>
      <w:kern w:val="0"/>
      <w:sz w:val="20"/>
      <w:szCs w:val="20"/>
      <w14:ligatures w14:val="none"/>
    </w:rPr>
  </w:style>
  <w:style w:type="character" w:customStyle="1" w:styleId="y2iqfc">
    <w:name w:val="y2iqfc"/>
    <w:basedOn w:val="DefaultParagraphFont"/>
    <w:rsid w:val="007E3775"/>
  </w:style>
  <w:style w:type="table" w:styleId="TableGrid">
    <w:name w:val="Table Grid"/>
    <w:basedOn w:val="TableNormal"/>
    <w:uiPriority w:val="59"/>
    <w:rsid w:val="00591DF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43432"/>
    <w:rPr>
      <w:color w:val="0563C1" w:themeColor="hyperlink"/>
      <w:u w:val="single"/>
    </w:rPr>
  </w:style>
  <w:style w:type="character" w:styleId="UnresolvedMention">
    <w:name w:val="Unresolved Mention"/>
    <w:basedOn w:val="DefaultParagraphFont"/>
    <w:uiPriority w:val="99"/>
    <w:semiHidden/>
    <w:unhideWhenUsed/>
    <w:rsid w:val="00243432"/>
    <w:rPr>
      <w:color w:val="605E5C"/>
      <w:shd w:val="clear" w:color="auto" w:fill="E1DFDD"/>
    </w:rPr>
  </w:style>
  <w:style w:type="paragraph" w:styleId="Header">
    <w:name w:val="header"/>
    <w:basedOn w:val="Normal"/>
    <w:link w:val="HeaderChar"/>
    <w:uiPriority w:val="99"/>
    <w:unhideWhenUsed/>
    <w:rsid w:val="00386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63"/>
  </w:style>
  <w:style w:type="paragraph" w:styleId="Footer">
    <w:name w:val="footer"/>
    <w:basedOn w:val="Normal"/>
    <w:link w:val="FooterChar"/>
    <w:uiPriority w:val="99"/>
    <w:unhideWhenUsed/>
    <w:rsid w:val="00386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63"/>
  </w:style>
  <w:style w:type="character" w:styleId="CommentReference">
    <w:name w:val="annotation reference"/>
    <w:basedOn w:val="DefaultParagraphFont"/>
    <w:uiPriority w:val="99"/>
    <w:semiHidden/>
    <w:unhideWhenUsed/>
    <w:rsid w:val="006B2480"/>
    <w:rPr>
      <w:sz w:val="16"/>
      <w:szCs w:val="16"/>
    </w:rPr>
  </w:style>
  <w:style w:type="paragraph" w:styleId="CommentText">
    <w:name w:val="annotation text"/>
    <w:basedOn w:val="Normal"/>
    <w:link w:val="CommentTextChar"/>
    <w:uiPriority w:val="99"/>
    <w:semiHidden/>
    <w:unhideWhenUsed/>
    <w:rsid w:val="006B2480"/>
    <w:pPr>
      <w:spacing w:line="240" w:lineRule="auto"/>
    </w:pPr>
    <w:rPr>
      <w:sz w:val="20"/>
      <w:szCs w:val="20"/>
    </w:rPr>
  </w:style>
  <w:style w:type="character" w:customStyle="1" w:styleId="CommentTextChar">
    <w:name w:val="Comment Text Char"/>
    <w:basedOn w:val="DefaultParagraphFont"/>
    <w:link w:val="CommentText"/>
    <w:uiPriority w:val="99"/>
    <w:semiHidden/>
    <w:rsid w:val="006B2480"/>
    <w:rPr>
      <w:sz w:val="20"/>
      <w:szCs w:val="20"/>
    </w:rPr>
  </w:style>
  <w:style w:type="paragraph" w:styleId="CommentSubject">
    <w:name w:val="annotation subject"/>
    <w:basedOn w:val="CommentText"/>
    <w:next w:val="CommentText"/>
    <w:link w:val="CommentSubjectChar"/>
    <w:uiPriority w:val="99"/>
    <w:semiHidden/>
    <w:unhideWhenUsed/>
    <w:rsid w:val="006B2480"/>
    <w:rPr>
      <w:b/>
      <w:bCs/>
    </w:rPr>
  </w:style>
  <w:style w:type="character" w:customStyle="1" w:styleId="CommentSubjectChar">
    <w:name w:val="Comment Subject Char"/>
    <w:basedOn w:val="CommentTextChar"/>
    <w:link w:val="CommentSubject"/>
    <w:uiPriority w:val="99"/>
    <w:semiHidden/>
    <w:rsid w:val="006B24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PCC</cp:lastModifiedBy>
  <cp:revision>2</cp:revision>
  <dcterms:created xsi:type="dcterms:W3CDTF">2026-03-19T02:55:00Z</dcterms:created>
  <dcterms:modified xsi:type="dcterms:W3CDTF">2026-03-19T02:55:00Z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54d2c7b3-86f7-4543-945e-849f93521825</vt:lpwstr>
  </property>
</Properties>
</file>