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46684" w14:textId="41B65FFE" w:rsidR="00754C9A" w:rsidRPr="002700B0" w:rsidRDefault="002700B0" w:rsidP="00441B6F">
      <w:pPr>
        <w:pStyle w:val="Title"/>
        <w:spacing w:after="0"/>
        <w:jc w:val="both"/>
        <w:rPr>
          <w:rFonts w:ascii="Arial" w:hAnsi="Arial" w:cs="Arial"/>
          <w:u w:val="single"/>
        </w:rPr>
      </w:pPr>
      <w:r w:rsidRPr="002700B0">
        <w:rPr>
          <w:rFonts w:ascii="Arial" w:hAnsi="Arial" w:cs="Arial"/>
          <w:u w:val="single"/>
        </w:rPr>
        <w:t>Case report</w:t>
      </w:r>
    </w:p>
    <w:p w14:paraId="45BEFF17" w14:textId="498B8D01" w:rsidR="00A258C3" w:rsidRPr="000A03DD" w:rsidRDefault="00DC008B" w:rsidP="002700B0">
      <w:pPr>
        <w:pStyle w:val="Author"/>
        <w:spacing w:line="240" w:lineRule="auto"/>
        <w:rPr>
          <w:rFonts w:ascii="Arial" w:hAnsi="Arial" w:cs="Arial"/>
          <w:bCs/>
          <w:iCs/>
          <w:kern w:val="28"/>
          <w:sz w:val="36"/>
        </w:rPr>
      </w:pPr>
      <w:r w:rsidRPr="000A03DD">
        <w:rPr>
          <w:rFonts w:ascii="Arial" w:hAnsi="Arial" w:cs="Arial"/>
          <w:bCs/>
          <w:iCs/>
          <w:kern w:val="28"/>
          <w:sz w:val="36"/>
        </w:rPr>
        <w:t xml:space="preserve">Ureteral strictures after intravesical BCG therapy: Should </w:t>
      </w:r>
      <w:proofErr w:type="spellStart"/>
      <w:r w:rsidRPr="000A03DD">
        <w:rPr>
          <w:rFonts w:ascii="Arial" w:hAnsi="Arial" w:cs="Arial"/>
          <w:bCs/>
          <w:iCs/>
          <w:kern w:val="28"/>
          <w:sz w:val="36"/>
        </w:rPr>
        <w:t>antituberculous</w:t>
      </w:r>
      <w:proofErr w:type="spellEnd"/>
      <w:r w:rsidRPr="000A03DD">
        <w:rPr>
          <w:rFonts w:ascii="Arial" w:hAnsi="Arial" w:cs="Arial"/>
          <w:bCs/>
          <w:iCs/>
          <w:kern w:val="28"/>
          <w:sz w:val="36"/>
        </w:rPr>
        <w:t xml:space="preserve"> treatment always be initiated?</w:t>
      </w:r>
    </w:p>
    <w:p w14:paraId="46EE1EA1" w14:textId="77777777" w:rsidR="00DC008B" w:rsidRPr="000A03DD" w:rsidRDefault="00DC008B" w:rsidP="002700B0">
      <w:pPr>
        <w:pStyle w:val="Author"/>
        <w:spacing w:line="240" w:lineRule="auto"/>
        <w:rPr>
          <w:rFonts w:ascii="Arial" w:hAnsi="Arial" w:cs="Arial"/>
          <w:sz w:val="36"/>
        </w:rPr>
      </w:pPr>
    </w:p>
    <w:p w14:paraId="50D8563F" w14:textId="77777777" w:rsidR="00942859" w:rsidRPr="000A03DD" w:rsidRDefault="00942859" w:rsidP="005060FE">
      <w:pPr>
        <w:pStyle w:val="Affiliation"/>
        <w:spacing w:after="0" w:line="240" w:lineRule="auto"/>
        <w:rPr>
          <w:rFonts w:ascii="Arial" w:hAnsi="Arial" w:cs="Arial"/>
        </w:rPr>
      </w:pPr>
    </w:p>
    <w:p w14:paraId="6353BA80" w14:textId="5CDCBCFF" w:rsidR="00B01FCD" w:rsidRPr="000A03DD" w:rsidRDefault="00030CD9" w:rsidP="00441B6F">
      <w:pPr>
        <w:pStyle w:val="Copyright"/>
        <w:spacing w:after="0" w:line="240" w:lineRule="auto"/>
        <w:jc w:val="both"/>
        <w:rPr>
          <w:rFonts w:ascii="Arial" w:hAnsi="Arial" w:cs="Arial"/>
        </w:rPr>
        <w:sectPr w:rsidR="00B01FCD" w:rsidRPr="000A03DD" w:rsidSect="00A335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A03DD">
        <w:rPr>
          <w:rFonts w:ascii="Arial" w:hAnsi="Arial" w:cs="Arial"/>
          <w:noProof/>
        </w:rPr>
        <mc:AlternateContent>
          <mc:Choice Requires="wps">
            <w:drawing>
              <wp:inline distT="0" distB="0" distL="0" distR="0" wp14:anchorId="23715E86" wp14:editId="2064FA22">
                <wp:extent cx="5303520" cy="635"/>
                <wp:effectExtent l="11430" t="17145" r="9525" b="11430"/>
                <wp:docPr id="19768920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xmlns:w16sdtfl="http://schemas.microsoft.com/office/word/2024/wordml/sdtformatlock">
            <w:pict>
              <v:shapetype w14:anchorId="0386D5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A03DD">
        <w:rPr>
          <w:rFonts w:ascii="Arial" w:hAnsi="Arial" w:cs="Arial"/>
        </w:rPr>
        <w:t>.</w:t>
      </w:r>
    </w:p>
    <w:p w14:paraId="1E26ACEC" w14:textId="3E7549FF" w:rsidR="00B01FCD" w:rsidRPr="000A03DD" w:rsidRDefault="00987A82" w:rsidP="00441B6F">
      <w:pPr>
        <w:pStyle w:val="AbstHead"/>
        <w:spacing w:after="0"/>
        <w:jc w:val="both"/>
        <w:rPr>
          <w:rFonts w:ascii="Arial" w:hAnsi="Arial" w:cs="Arial"/>
        </w:rPr>
      </w:pPr>
      <w:r w:rsidRPr="000A03DD">
        <w:rPr>
          <w:rFonts w:ascii="Arial" w:hAnsi="Arial" w:cs="Arial"/>
        </w:rPr>
        <w:t xml:space="preserve">                    </w:t>
      </w:r>
      <w:r w:rsidR="00B01FCD" w:rsidRPr="000A03DD">
        <w:rPr>
          <w:rFonts w:ascii="Arial" w:hAnsi="Arial" w:cs="Arial"/>
        </w:rPr>
        <w:t>ABSTRACT</w:t>
      </w:r>
      <w:r w:rsidR="0066510A" w:rsidRPr="000A03DD">
        <w:rPr>
          <w:rFonts w:ascii="Arial" w:hAnsi="Arial" w:cs="Arial"/>
        </w:rPr>
        <w:t xml:space="preserve"> </w:t>
      </w:r>
    </w:p>
    <w:p w14:paraId="4CC4AD34" w14:textId="77777777" w:rsidR="00790ADA" w:rsidRPr="000A03DD" w:rsidRDefault="00790ADA" w:rsidP="00441B6F">
      <w:pPr>
        <w:pStyle w:val="AbstHead"/>
        <w:spacing w:after="0"/>
        <w:jc w:val="both"/>
        <w:rPr>
          <w:rFonts w:ascii="Arial" w:hAnsi="Arial" w:cs="Arial"/>
        </w:rPr>
      </w:pPr>
    </w:p>
    <w:tbl>
      <w:tblPr>
        <w:tblW w:w="835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0A03DD" w14:paraId="5E12996E" w14:textId="77777777" w:rsidTr="00987A82">
        <w:tc>
          <w:tcPr>
            <w:tcW w:w="8359" w:type="dxa"/>
            <w:shd w:val="clear" w:color="auto" w:fill="F2F2F2"/>
          </w:tcPr>
          <w:p w14:paraId="66ED7B93" w14:textId="343234CE"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rStyle w:val="Strong"/>
                <w:rFonts w:asciiTheme="minorBidi" w:hAnsiTheme="minorBidi" w:cstheme="minorBidi"/>
                <w:sz w:val="22"/>
                <w:szCs w:val="22"/>
                <w:lang w:val="en-US"/>
              </w:rPr>
              <w:t>Objectives:</w:t>
            </w:r>
            <w:r w:rsidRPr="000A03DD">
              <w:rPr>
                <w:rFonts w:asciiTheme="minorBidi" w:hAnsiTheme="minorBidi" w:cstheme="minorBidi"/>
                <w:sz w:val="22"/>
                <w:szCs w:val="22"/>
                <w:lang w:val="en-US"/>
              </w:rPr>
              <w:br/>
              <w:t xml:space="preserve">Intravesical Bacillus Calmette–Guérin (BCG) therapy is the standard adjuvant treatment for intermediate- and high-risk non-muscle-invasive bladder cancer. Although generally well tolerated, severe complications may occur, while involvement of the upper urinary tract remains exceptional. We report a rare case of bilateral ureteral strictures following BCG therapy and discuss the diagnostic challenge between active infection and inflammatory </w:t>
            </w:r>
            <w:commentRangeStart w:id="0"/>
            <w:commentRangeStart w:id="1"/>
            <w:r w:rsidRPr="000A03DD">
              <w:rPr>
                <w:rFonts w:asciiTheme="minorBidi" w:hAnsiTheme="minorBidi" w:cstheme="minorBidi"/>
                <w:sz w:val="22"/>
                <w:szCs w:val="22"/>
                <w:lang w:val="en-US"/>
              </w:rPr>
              <w:t>reactio</w:t>
            </w:r>
            <w:r w:rsidR="00DC22F1">
              <w:rPr>
                <w:rFonts w:asciiTheme="minorBidi" w:hAnsiTheme="minorBidi" w:cstheme="minorBidi"/>
                <w:sz w:val="22"/>
                <w:szCs w:val="22"/>
                <w:lang w:val="en-US"/>
              </w:rPr>
              <w:t>n</w:t>
            </w:r>
            <w:commentRangeEnd w:id="0"/>
            <w:r w:rsidR="00DC22F1">
              <w:rPr>
                <w:rStyle w:val="CommentReference"/>
                <w:lang w:val="nb-NO" w:eastAsia="nb-NO"/>
              </w:rPr>
              <w:commentReference w:id="0"/>
            </w:r>
            <w:commentRangeEnd w:id="1"/>
            <w:r w:rsidR="00DC22F1">
              <w:rPr>
                <w:rStyle w:val="CommentReference"/>
                <w:lang w:val="nb-NO" w:eastAsia="nb-NO"/>
              </w:rPr>
              <w:commentReference w:id="1"/>
            </w:r>
            <w:r w:rsidR="00DC22F1">
              <w:rPr>
                <w:rFonts w:asciiTheme="minorBidi" w:hAnsiTheme="minorBidi" w:cstheme="minorBidi"/>
                <w:sz w:val="22"/>
                <w:szCs w:val="22"/>
                <w:lang w:val="en-US"/>
              </w:rPr>
              <w:t>.</w:t>
            </w:r>
          </w:p>
          <w:p w14:paraId="3FAA9423" w14:textId="77777777"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rStyle w:val="Strong"/>
                <w:rFonts w:asciiTheme="minorBidi" w:hAnsiTheme="minorBidi" w:cstheme="minorBidi"/>
                <w:sz w:val="22"/>
                <w:szCs w:val="22"/>
                <w:lang w:val="en-US"/>
              </w:rPr>
              <w:t>Case presentation:</w:t>
            </w:r>
            <w:r w:rsidRPr="000A03DD">
              <w:rPr>
                <w:rFonts w:asciiTheme="minorBidi" w:hAnsiTheme="minorBidi" w:cstheme="minorBidi"/>
                <w:sz w:val="22"/>
                <w:szCs w:val="22"/>
                <w:lang w:val="en-US"/>
              </w:rPr>
              <w:br/>
              <w:t>A 74-year-old woman with a history of pT1 low-grade non-muscle-invasive bladder cancer developed acute renal failure during maintenance intravesical BCG therapy. Pre-treatment imaging showed no dilatation of the pyelocaliceal systems, and ureteral orifices were consistently patent on surveillance cystoscopy. Subsequent imaging revealed bilateral uretero-hydronephrosis due to distal ureteral strictures associated with inflammatory bladder wall thickening. A comprehensive microbiological workup, including urine cultures and GeneXpert testing, as well as thoracic imaging, was negative. Bladder and peri-meatal biopsies demonstrated chronic fibro-inflammatory changes without evidence of mycobacterial infection. BCG therapy was discontinued, and bilateral double-J stenting with periodic replacement allowed stabilization of renal function.</w:t>
            </w:r>
          </w:p>
          <w:p w14:paraId="0E01E579" w14:textId="77777777" w:rsidR="005F01E7"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b/>
                <w:bCs/>
                <w:lang w:val="en-US"/>
              </w:rPr>
              <w:t>Discussion:</w:t>
            </w:r>
            <w:r w:rsidRPr="000A03DD">
              <w:rPr>
                <w:rFonts w:asciiTheme="minorBidi" w:hAnsiTheme="minorBidi" w:cstheme="minorBidi"/>
                <w:sz w:val="22"/>
                <w:szCs w:val="22"/>
                <w:lang w:val="en-US"/>
              </w:rPr>
              <w:br/>
              <w:t xml:space="preserve">Bilateral ureteral strictures following BCG therapy are extremely rare. The main diagnostic challenge lies in distinguishing active </w:t>
            </w:r>
            <w:r w:rsidRPr="000A03DD">
              <w:rPr>
                <w:i/>
                <w:iCs/>
                <w:lang w:val="en-US"/>
              </w:rPr>
              <w:t xml:space="preserve">Mycobacterium </w:t>
            </w:r>
            <w:proofErr w:type="spellStart"/>
            <w:r w:rsidRPr="000A03DD">
              <w:rPr>
                <w:i/>
                <w:iCs/>
                <w:lang w:val="en-US"/>
              </w:rPr>
              <w:t>bovis</w:t>
            </w:r>
            <w:proofErr w:type="spellEnd"/>
            <w:r w:rsidRPr="000A03DD">
              <w:rPr>
                <w:rFonts w:asciiTheme="minorBidi" w:hAnsiTheme="minorBidi" w:cstheme="minorBidi"/>
                <w:sz w:val="22"/>
                <w:szCs w:val="22"/>
                <w:lang w:val="en-US"/>
              </w:rPr>
              <w:t xml:space="preserve"> infection from an immune-mediated inflammatory reaction. In the absence of microbiological and histological evidence of infection, an inflammatory mechanism is more likely.</w:t>
            </w:r>
          </w:p>
          <w:p w14:paraId="17C43ADB" w14:textId="5D112037" w:rsidR="00505F06" w:rsidRPr="000A03DD" w:rsidRDefault="005F01E7" w:rsidP="005F01E7">
            <w:pPr>
              <w:pStyle w:val="NormalWeb"/>
              <w:spacing w:before="0" w:beforeAutospacing="0" w:after="0" w:afterAutospacing="0"/>
              <w:rPr>
                <w:rFonts w:asciiTheme="minorBidi" w:hAnsiTheme="minorBidi" w:cstheme="minorBidi"/>
                <w:sz w:val="22"/>
                <w:szCs w:val="22"/>
                <w:lang w:val="en-US"/>
              </w:rPr>
            </w:pPr>
            <w:r w:rsidRPr="000A03DD">
              <w:rPr>
                <w:b/>
                <w:bCs/>
                <w:lang w:val="en-US"/>
              </w:rPr>
              <w:t>Conclusion:</w:t>
            </w:r>
            <w:r w:rsidRPr="000A03DD">
              <w:rPr>
                <w:rFonts w:asciiTheme="minorBidi" w:hAnsiTheme="minorBidi" w:cstheme="minorBidi"/>
                <w:sz w:val="22"/>
                <w:szCs w:val="22"/>
                <w:lang w:val="en-US"/>
              </w:rPr>
              <w:br/>
              <w:t xml:space="preserve">Careful diagnostic evaluation is essential in such cases. When no evidence of active infection is found, conservative management with urinary drainage and discontinuation of BCG therapy may avoid unnecessary </w:t>
            </w:r>
            <w:proofErr w:type="spellStart"/>
            <w:r w:rsidRPr="000A03DD">
              <w:rPr>
                <w:rFonts w:asciiTheme="minorBidi" w:hAnsiTheme="minorBidi" w:cstheme="minorBidi"/>
                <w:sz w:val="22"/>
                <w:szCs w:val="22"/>
                <w:lang w:val="en-US"/>
              </w:rPr>
              <w:t>antituberculous</w:t>
            </w:r>
            <w:proofErr w:type="spellEnd"/>
            <w:r w:rsidRPr="000A03DD">
              <w:rPr>
                <w:rFonts w:asciiTheme="minorBidi" w:hAnsiTheme="minorBidi" w:cstheme="minorBidi"/>
                <w:sz w:val="22"/>
                <w:szCs w:val="22"/>
                <w:lang w:val="en-US"/>
              </w:rPr>
              <w:t xml:space="preserve"> </w:t>
            </w:r>
            <w:commentRangeStart w:id="2"/>
            <w:commentRangeStart w:id="3"/>
            <w:commentRangeStart w:id="4"/>
            <w:r w:rsidRPr="000A03DD">
              <w:rPr>
                <w:rFonts w:asciiTheme="minorBidi" w:hAnsiTheme="minorBidi" w:cstheme="minorBidi"/>
                <w:sz w:val="22"/>
                <w:szCs w:val="22"/>
                <w:lang w:val="en-US"/>
              </w:rPr>
              <w:t>treatment</w:t>
            </w:r>
            <w:commentRangeEnd w:id="2"/>
            <w:r w:rsidR="00DC22F1">
              <w:rPr>
                <w:rStyle w:val="CommentReference"/>
                <w:lang w:val="nb-NO" w:eastAsia="nb-NO"/>
              </w:rPr>
              <w:commentReference w:id="2"/>
            </w:r>
            <w:commentRangeEnd w:id="3"/>
            <w:r w:rsidR="00DC22F1">
              <w:rPr>
                <w:rStyle w:val="CommentReference"/>
                <w:lang w:val="nb-NO" w:eastAsia="nb-NO"/>
              </w:rPr>
              <w:commentReference w:id="3"/>
            </w:r>
            <w:commentRangeEnd w:id="4"/>
            <w:r w:rsidR="00DC22F1">
              <w:rPr>
                <w:rStyle w:val="CommentReference"/>
                <w:lang w:val="nb-NO" w:eastAsia="nb-NO"/>
              </w:rPr>
              <w:commentReference w:id="4"/>
            </w:r>
            <w:r w:rsidRPr="000A03DD">
              <w:rPr>
                <w:rFonts w:asciiTheme="minorBidi" w:hAnsiTheme="minorBidi" w:cstheme="minorBidi"/>
                <w:sz w:val="22"/>
                <w:szCs w:val="22"/>
                <w:lang w:val="en-US"/>
              </w:rPr>
              <w:t>.</w:t>
            </w:r>
          </w:p>
        </w:tc>
      </w:tr>
    </w:tbl>
    <w:p w14:paraId="0A9501CE" w14:textId="77777777" w:rsidR="00636EB2" w:rsidRPr="000A03DD" w:rsidRDefault="00636EB2" w:rsidP="00441B6F">
      <w:pPr>
        <w:pStyle w:val="Body"/>
        <w:spacing w:after="0"/>
        <w:rPr>
          <w:rFonts w:ascii="Arial" w:hAnsi="Arial" w:cs="Arial"/>
          <w:i/>
        </w:rPr>
      </w:pPr>
    </w:p>
    <w:p w14:paraId="11730472" w14:textId="4D532E6C" w:rsidR="00A24E7E" w:rsidRPr="000A03DD" w:rsidRDefault="00A24E7E" w:rsidP="00441B6F">
      <w:pPr>
        <w:pStyle w:val="Body"/>
        <w:spacing w:after="0"/>
        <w:rPr>
          <w:rFonts w:ascii="Arial" w:hAnsi="Arial" w:cs="Arial"/>
          <w:i/>
        </w:rPr>
      </w:pPr>
      <w:r w:rsidRPr="000A03DD">
        <w:rPr>
          <w:rFonts w:ascii="Arial" w:hAnsi="Arial" w:cs="Arial"/>
          <w:b/>
          <w:bCs/>
          <w:i/>
        </w:rPr>
        <w:t>Keywords:</w:t>
      </w:r>
      <w:r w:rsidRPr="000A03DD">
        <w:rPr>
          <w:rFonts w:ascii="Arial" w:hAnsi="Arial" w:cs="Arial"/>
          <w:i/>
        </w:rPr>
        <w:t xml:space="preserve"> </w:t>
      </w:r>
      <w:r w:rsidR="00A04BB1" w:rsidRPr="000A03DD">
        <w:rPr>
          <w:rFonts w:ascii="Arial" w:hAnsi="Arial" w:cs="Arial"/>
          <w:i/>
        </w:rPr>
        <w:t xml:space="preserve">Intravesical BCG therapy; </w:t>
      </w:r>
      <w:proofErr w:type="gramStart"/>
      <w:r w:rsidR="00A04BB1" w:rsidRPr="000A03DD">
        <w:rPr>
          <w:rFonts w:ascii="Arial" w:hAnsi="Arial" w:cs="Arial"/>
          <w:i/>
        </w:rPr>
        <w:t>Non-muscle</w:t>
      </w:r>
      <w:proofErr w:type="gramEnd"/>
      <w:r w:rsidR="00A04BB1" w:rsidRPr="000A03DD">
        <w:rPr>
          <w:rFonts w:ascii="Arial" w:hAnsi="Arial" w:cs="Arial"/>
          <w:i/>
        </w:rPr>
        <w:t xml:space="preserve">-invasive bladder cancer; Ureteral stricture; Hydronephrosis; </w:t>
      </w:r>
      <w:commentRangeStart w:id="5"/>
      <w:commentRangeStart w:id="6"/>
      <w:proofErr w:type="spellStart"/>
      <w:r w:rsidR="00A04BB1" w:rsidRPr="000A03DD">
        <w:rPr>
          <w:rFonts w:ascii="Arial" w:hAnsi="Arial" w:cs="Arial"/>
          <w:i/>
        </w:rPr>
        <w:t>BCGitis</w:t>
      </w:r>
      <w:commentRangeEnd w:id="5"/>
      <w:proofErr w:type="spellEnd"/>
      <w:r w:rsidR="00B947EF">
        <w:rPr>
          <w:rStyle w:val="CommentReference"/>
          <w:rFonts w:ascii="Times New Roman" w:hAnsi="Times New Roman"/>
          <w:lang w:val="nb-NO" w:eastAsia="nb-NO"/>
        </w:rPr>
        <w:commentReference w:id="5"/>
      </w:r>
      <w:commentRangeEnd w:id="6"/>
      <w:r w:rsidR="00B947EF">
        <w:rPr>
          <w:rStyle w:val="CommentReference"/>
          <w:rFonts w:ascii="Times New Roman" w:hAnsi="Times New Roman"/>
          <w:lang w:val="nb-NO" w:eastAsia="nb-NO"/>
        </w:rPr>
        <w:commentReference w:id="6"/>
      </w:r>
      <w:r w:rsidR="00A04BB1" w:rsidRPr="000A03DD">
        <w:rPr>
          <w:rFonts w:ascii="Arial" w:hAnsi="Arial" w:cs="Arial"/>
          <w:i/>
        </w:rPr>
        <w:t>;</w:t>
      </w:r>
    </w:p>
    <w:p w14:paraId="258DB56D" w14:textId="77777777" w:rsidR="0024282C" w:rsidRPr="000A03DD" w:rsidRDefault="0024282C" w:rsidP="00441B6F">
      <w:pPr>
        <w:pStyle w:val="Body"/>
        <w:spacing w:after="0"/>
        <w:rPr>
          <w:rFonts w:ascii="Arial" w:hAnsi="Arial" w:cs="Arial"/>
          <w:i/>
          <w:sz w:val="18"/>
        </w:rPr>
      </w:pPr>
    </w:p>
    <w:p w14:paraId="4875E68C" w14:textId="77777777" w:rsidR="00505F06" w:rsidRPr="000A03DD" w:rsidRDefault="00505F06" w:rsidP="00441B6F">
      <w:pPr>
        <w:pStyle w:val="Body"/>
        <w:spacing w:after="0"/>
        <w:rPr>
          <w:rFonts w:ascii="Arial" w:hAnsi="Arial" w:cs="Arial"/>
          <w:i/>
        </w:rPr>
      </w:pPr>
    </w:p>
    <w:p w14:paraId="6E1A5B6E" w14:textId="1710D95E" w:rsidR="007F7B32" w:rsidRPr="000A03DD" w:rsidRDefault="00902823" w:rsidP="00441B6F">
      <w:pPr>
        <w:pStyle w:val="AbstHead"/>
        <w:spacing w:after="0"/>
        <w:jc w:val="both"/>
        <w:rPr>
          <w:rFonts w:ascii="Arial" w:hAnsi="Arial" w:cs="Arial"/>
        </w:rPr>
      </w:pPr>
      <w:r w:rsidRPr="000A03DD">
        <w:rPr>
          <w:rFonts w:ascii="Arial" w:hAnsi="Arial" w:cs="Arial"/>
        </w:rPr>
        <w:lastRenderedPageBreak/>
        <w:t xml:space="preserve">1. </w:t>
      </w:r>
      <w:r w:rsidR="00B01FCD" w:rsidRPr="000A03DD">
        <w:rPr>
          <w:rFonts w:ascii="Arial" w:hAnsi="Arial" w:cs="Arial"/>
        </w:rPr>
        <w:t>INTRODUCTION</w:t>
      </w:r>
      <w:r w:rsidR="007F7B32" w:rsidRPr="000A03DD">
        <w:rPr>
          <w:rFonts w:ascii="Arial" w:hAnsi="Arial" w:cs="Arial"/>
        </w:rPr>
        <w:t xml:space="preserve"> </w:t>
      </w:r>
    </w:p>
    <w:p w14:paraId="04326B3F" w14:textId="77777777" w:rsidR="00790ADA" w:rsidRPr="000A03DD" w:rsidRDefault="00790ADA" w:rsidP="00441B6F">
      <w:pPr>
        <w:pStyle w:val="AbstHead"/>
        <w:spacing w:after="0"/>
        <w:jc w:val="both"/>
        <w:rPr>
          <w:rFonts w:ascii="Arial" w:hAnsi="Arial" w:cs="Arial"/>
        </w:rPr>
      </w:pPr>
    </w:p>
    <w:p w14:paraId="1E3F2A1C" w14:textId="1AE0CF35" w:rsidR="005F01E7" w:rsidRPr="000A03DD" w:rsidRDefault="005F01E7" w:rsidP="005F01E7">
      <w:pPr>
        <w:pStyle w:val="Body"/>
        <w:rPr>
          <w:rFonts w:ascii="Arial" w:hAnsi="Arial" w:cs="Arial"/>
        </w:rPr>
      </w:pPr>
      <w:r w:rsidRPr="000A03DD">
        <w:rPr>
          <w:rFonts w:ascii="Arial" w:hAnsi="Arial" w:cs="Arial"/>
        </w:rPr>
        <w:t>Non-muscle-invasive bladder cancer accounts for approximately 70–75% of bladder cancers at the time of diagnosis (1). Intravesical BCG therapy is the standard adjuvant treatment for intermediate- and high-risk disease, significantly reducing recurrence and progression rates</w:t>
      </w:r>
      <w:commentRangeStart w:id="7"/>
      <w:commentRangeStart w:id="8"/>
      <w:r w:rsidRPr="000A03DD">
        <w:rPr>
          <w:rFonts w:ascii="Arial" w:hAnsi="Arial" w:cs="Arial"/>
        </w:rPr>
        <w:t>.</w:t>
      </w:r>
      <w:commentRangeEnd w:id="7"/>
      <w:r w:rsidR="00DC22F1">
        <w:rPr>
          <w:rStyle w:val="CommentReference"/>
          <w:rFonts w:ascii="Times New Roman" w:hAnsi="Times New Roman"/>
          <w:lang w:val="nb-NO" w:eastAsia="nb-NO"/>
        </w:rPr>
        <w:commentReference w:id="7"/>
      </w:r>
      <w:commentRangeEnd w:id="8"/>
      <w:r w:rsidR="00DC22F1">
        <w:rPr>
          <w:rStyle w:val="CommentReference"/>
          <w:rFonts w:ascii="Times New Roman" w:hAnsi="Times New Roman"/>
          <w:lang w:val="nb-NO" w:eastAsia="nb-NO"/>
        </w:rPr>
        <w:commentReference w:id="8"/>
      </w:r>
    </w:p>
    <w:p w14:paraId="783F3EF2" w14:textId="77777777" w:rsidR="005F01E7" w:rsidRPr="000A03DD" w:rsidRDefault="005F01E7" w:rsidP="005F01E7">
      <w:pPr>
        <w:pStyle w:val="Body"/>
        <w:rPr>
          <w:rFonts w:ascii="Arial" w:hAnsi="Arial" w:cs="Arial"/>
        </w:rPr>
      </w:pPr>
      <w:r w:rsidRPr="000A03DD">
        <w:rPr>
          <w:rFonts w:ascii="Arial" w:hAnsi="Arial" w:cs="Arial"/>
        </w:rPr>
        <w:t>Despite its effectiveness, BCG therapy may lead to adverse effects, most commonly local and mild. Severe complications remain rare (&lt;5%), and involvement of the upper urinary tract is exceptional (2). Bilateral ureteral strictures complicating BCG therapy are very rarely reported in the literature, raising diagnostic and therapeutic challenges, particularly regarding the distinction between active mycobacterial infection and immune-mediated inflammatory reaction.</w:t>
      </w:r>
    </w:p>
    <w:p w14:paraId="497BBEFF" w14:textId="2D5ED4C2" w:rsidR="00790ADA" w:rsidRPr="000A03DD" w:rsidRDefault="005F01E7" w:rsidP="005F01E7">
      <w:pPr>
        <w:pStyle w:val="Body"/>
        <w:spacing w:after="0"/>
        <w:rPr>
          <w:rFonts w:ascii="Arial" w:hAnsi="Arial" w:cs="Arial"/>
        </w:rPr>
      </w:pPr>
      <w:r w:rsidRPr="000A03DD">
        <w:rPr>
          <w:rFonts w:ascii="Arial" w:hAnsi="Arial" w:cs="Arial"/>
        </w:rPr>
        <w:t xml:space="preserve">We report a rare case of bilateral ureteral strictures leading to obstructive renal failure following intravesical BCG </w:t>
      </w:r>
      <w:commentRangeStart w:id="9"/>
      <w:r w:rsidRPr="000A03DD">
        <w:rPr>
          <w:rFonts w:ascii="Arial" w:hAnsi="Arial" w:cs="Arial"/>
        </w:rPr>
        <w:t>therapy</w:t>
      </w:r>
      <w:commentRangeEnd w:id="9"/>
      <w:r w:rsidR="00DC22F1">
        <w:rPr>
          <w:rStyle w:val="CommentReference"/>
          <w:rFonts w:ascii="Times New Roman" w:hAnsi="Times New Roman"/>
          <w:lang w:val="nb-NO" w:eastAsia="nb-NO"/>
        </w:rPr>
        <w:commentReference w:id="9"/>
      </w:r>
      <w:r w:rsidRPr="000A03DD">
        <w:rPr>
          <w:rFonts w:ascii="Arial" w:hAnsi="Arial" w:cs="Arial"/>
        </w:rPr>
        <w:t>.</w:t>
      </w:r>
    </w:p>
    <w:p w14:paraId="00078F48" w14:textId="77777777" w:rsidR="005F01E7" w:rsidRPr="000A03DD" w:rsidRDefault="005F01E7" w:rsidP="005F01E7">
      <w:pPr>
        <w:pStyle w:val="Body"/>
        <w:spacing w:after="0"/>
        <w:rPr>
          <w:rFonts w:ascii="Arial" w:hAnsi="Arial" w:cs="Arial"/>
        </w:rPr>
      </w:pPr>
    </w:p>
    <w:p w14:paraId="2B5B241D" w14:textId="69E8DC6B" w:rsidR="007F7B32" w:rsidRPr="000A03DD" w:rsidRDefault="00902823" w:rsidP="00441B6F">
      <w:pPr>
        <w:pStyle w:val="AbstHead"/>
        <w:spacing w:after="0"/>
        <w:jc w:val="both"/>
        <w:rPr>
          <w:rFonts w:ascii="Arial" w:hAnsi="Arial" w:cs="Arial"/>
        </w:rPr>
      </w:pPr>
      <w:r w:rsidRPr="000A03DD">
        <w:rPr>
          <w:rFonts w:ascii="Arial" w:hAnsi="Arial" w:cs="Arial"/>
        </w:rPr>
        <w:t xml:space="preserve">2. </w:t>
      </w:r>
      <w:r w:rsidR="005F01E7" w:rsidRPr="000A03DD">
        <w:rPr>
          <w:rFonts w:ascii="Arial" w:hAnsi="Arial" w:cs="Arial"/>
        </w:rPr>
        <w:t>Case Report</w:t>
      </w:r>
    </w:p>
    <w:p w14:paraId="62854074" w14:textId="77777777" w:rsidR="00790ADA" w:rsidRPr="000A03DD" w:rsidRDefault="00790ADA" w:rsidP="00441B6F">
      <w:pPr>
        <w:pStyle w:val="AbstHead"/>
        <w:spacing w:after="0"/>
        <w:jc w:val="both"/>
        <w:rPr>
          <w:rFonts w:ascii="Arial" w:hAnsi="Arial" w:cs="Arial"/>
        </w:rPr>
      </w:pPr>
    </w:p>
    <w:p w14:paraId="4B8B50CB" w14:textId="77777777" w:rsidR="00D63EAE" w:rsidRPr="000A03DD" w:rsidRDefault="00D63EAE" w:rsidP="00D63EAE">
      <w:pPr>
        <w:pStyle w:val="Body"/>
        <w:rPr>
          <w:rFonts w:ascii="Arial" w:hAnsi="Arial" w:cs="Arial"/>
        </w:rPr>
      </w:pPr>
      <w:r w:rsidRPr="000A03DD">
        <w:rPr>
          <w:rFonts w:ascii="Arial" w:hAnsi="Arial" w:cs="Arial"/>
        </w:rPr>
        <w:t>A 74-year-old woman had been followed since 2013 for non-muscle-invasive bladder cancer. Her medical history included hypertension, type 2 diabetes mellitus, and dyslipidemia.</w:t>
      </w:r>
    </w:p>
    <w:p w14:paraId="3AA764D9" w14:textId="77777777" w:rsidR="00D63EAE" w:rsidRPr="000A03DD" w:rsidRDefault="00D63EAE" w:rsidP="00D63EAE">
      <w:pPr>
        <w:pStyle w:val="Body"/>
        <w:rPr>
          <w:rFonts w:ascii="Arial" w:hAnsi="Arial" w:cs="Arial"/>
        </w:rPr>
      </w:pPr>
      <w:r w:rsidRPr="000A03DD">
        <w:rPr>
          <w:rFonts w:ascii="Arial" w:hAnsi="Arial" w:cs="Arial"/>
        </w:rPr>
        <w:t xml:space="preserve">The disease initially presented with intermittent episodes of gross hematuria associated with lower urinary tract symptoms, which led to several transurethral resections of bladder tumors. Histopathological examination revealed low-grade urothelial carcinoma staged first as </w:t>
      </w:r>
      <w:proofErr w:type="spellStart"/>
      <w:r w:rsidRPr="000A03DD">
        <w:rPr>
          <w:rFonts w:ascii="Arial" w:hAnsi="Arial" w:cs="Arial"/>
        </w:rPr>
        <w:t>pTa</w:t>
      </w:r>
      <w:proofErr w:type="spellEnd"/>
      <w:r w:rsidRPr="000A03DD">
        <w:rPr>
          <w:rFonts w:ascii="Arial" w:hAnsi="Arial" w:cs="Arial"/>
        </w:rPr>
        <w:t xml:space="preserve"> and later as pT1, without muscular invasion.</w:t>
      </w:r>
    </w:p>
    <w:p w14:paraId="42D4B84A" w14:textId="77777777" w:rsidR="00D63EAE" w:rsidRPr="000A03DD" w:rsidRDefault="00D63EAE" w:rsidP="00D63EAE">
      <w:pPr>
        <w:pStyle w:val="Body"/>
        <w:rPr>
          <w:rFonts w:ascii="Arial" w:hAnsi="Arial" w:cs="Arial"/>
        </w:rPr>
      </w:pPr>
      <w:r w:rsidRPr="000A03DD">
        <w:rPr>
          <w:rFonts w:ascii="Arial" w:hAnsi="Arial" w:cs="Arial"/>
        </w:rPr>
        <w:t xml:space="preserve">Given the pT1 stage, intravesical BCG therapy was initiated according to an induction regimen followed by maintenance therapy. During the second maintenance instillation, the patient developed deterioration of general condition associated with acute renal </w:t>
      </w:r>
      <w:commentRangeStart w:id="10"/>
      <w:commentRangeStart w:id="11"/>
      <w:r w:rsidRPr="000A03DD">
        <w:rPr>
          <w:rFonts w:ascii="Arial" w:hAnsi="Arial" w:cs="Arial"/>
        </w:rPr>
        <w:t>failure</w:t>
      </w:r>
      <w:commentRangeEnd w:id="10"/>
      <w:r w:rsidR="001C4768">
        <w:rPr>
          <w:rStyle w:val="CommentReference"/>
          <w:rFonts w:ascii="Times New Roman" w:hAnsi="Times New Roman"/>
          <w:lang w:val="nb-NO" w:eastAsia="nb-NO"/>
        </w:rPr>
        <w:commentReference w:id="10"/>
      </w:r>
      <w:commentRangeEnd w:id="11"/>
      <w:r w:rsidR="001C4768">
        <w:rPr>
          <w:rStyle w:val="CommentReference"/>
          <w:rFonts w:ascii="Times New Roman" w:hAnsi="Times New Roman"/>
          <w:lang w:val="nb-NO" w:eastAsia="nb-NO"/>
        </w:rPr>
        <w:commentReference w:id="11"/>
      </w:r>
      <w:r w:rsidRPr="000A03DD">
        <w:rPr>
          <w:rFonts w:ascii="Arial" w:hAnsi="Arial" w:cs="Arial"/>
        </w:rPr>
        <w:t>.</w:t>
      </w:r>
    </w:p>
    <w:p w14:paraId="3E353B8A" w14:textId="02A40C77" w:rsidR="00B20C45" w:rsidRPr="000A03DD" w:rsidRDefault="00D63EAE" w:rsidP="004F5BE6">
      <w:pPr>
        <w:pStyle w:val="Body"/>
        <w:rPr>
          <w:rFonts w:ascii="Arial" w:hAnsi="Arial" w:cs="Arial"/>
        </w:rPr>
      </w:pPr>
      <w:r w:rsidRPr="000A03DD">
        <w:rPr>
          <w:rFonts w:ascii="Arial" w:hAnsi="Arial" w:cs="Arial"/>
        </w:rPr>
        <w:t>Renal and bladder ultrasound and abdominopelvic computed tomography revealed bilateral uretero-hydronephrosis upstream of regular bladder wall thickening (Figure 1), whereas imaging studies performed prior to BCG therapy had shown no dilation of the pyelocaliceal systems.</w:t>
      </w:r>
    </w:p>
    <w:p w14:paraId="6D935412" w14:textId="4C40636B" w:rsidR="00B20C45" w:rsidRPr="000A03DD" w:rsidRDefault="00D63EAE" w:rsidP="004F5BE6">
      <w:pPr>
        <w:pStyle w:val="Body"/>
        <w:rPr>
          <w:rFonts w:ascii="Arial" w:hAnsi="Arial" w:cs="Arial"/>
        </w:rPr>
      </w:pPr>
      <w:r w:rsidRPr="000A03DD">
        <w:rPr>
          <w:rFonts w:ascii="Arial" w:hAnsi="Arial" w:cs="Arial"/>
        </w:rPr>
        <w:t xml:space="preserve">Urinary tract drainage was performed using bilateral double-J ureteral stents. Retrograde </w:t>
      </w:r>
      <w:proofErr w:type="spellStart"/>
      <w:r w:rsidRPr="000A03DD">
        <w:rPr>
          <w:rFonts w:ascii="Arial" w:hAnsi="Arial" w:cs="Arial"/>
        </w:rPr>
        <w:t>ureteropyelography</w:t>
      </w:r>
      <w:proofErr w:type="spellEnd"/>
      <w:r w:rsidRPr="000A03DD">
        <w:rPr>
          <w:rFonts w:ascii="Arial" w:hAnsi="Arial" w:cs="Arial"/>
        </w:rPr>
        <w:t xml:space="preserve"> demonstrated bilateral distal ureteral strictures (Figure 2). Endoscopic exploration revealed diffuse inflammatory lesions without evidence of tumor recurrence. Both ureteral orifices were visualized (Figure 3).</w:t>
      </w:r>
    </w:p>
    <w:p w14:paraId="1B0A982B" w14:textId="07FDB018" w:rsidR="00D63EAE" w:rsidRPr="000A03DD" w:rsidRDefault="00D63EAE" w:rsidP="00D63EAE">
      <w:pPr>
        <w:pStyle w:val="Body"/>
        <w:rPr>
          <w:rFonts w:ascii="Arial" w:hAnsi="Arial" w:cs="Arial"/>
        </w:rPr>
      </w:pPr>
      <w:r w:rsidRPr="000A03DD">
        <w:rPr>
          <w:rFonts w:ascii="Arial" w:hAnsi="Arial" w:cs="Arial"/>
        </w:rPr>
        <w:t xml:space="preserve">An infectious workup investigating Mycobacterium </w:t>
      </w:r>
      <w:proofErr w:type="spellStart"/>
      <w:r w:rsidRPr="000A03DD">
        <w:rPr>
          <w:rFonts w:ascii="Arial" w:hAnsi="Arial" w:cs="Arial"/>
        </w:rPr>
        <w:t>bovis</w:t>
      </w:r>
      <w:proofErr w:type="spellEnd"/>
      <w:r w:rsidRPr="000A03DD">
        <w:rPr>
          <w:rFonts w:ascii="Arial" w:hAnsi="Arial" w:cs="Arial"/>
        </w:rPr>
        <w:t xml:space="preserve"> infection, including direct examination, mycobacterial cultures, and GeneXpert molecular testing performed on urine and sputum samples, as well as thoracic computed tomography, was negative. Bladder and peri-ureteral biopsies showed chronic fibro-inflammatory changes without active tumor lesions, and mycobacterial cultures performed on biopsy specimens were also negative.</w:t>
      </w:r>
    </w:p>
    <w:p w14:paraId="2B5931E4" w14:textId="007C79CC" w:rsidR="00790ADA" w:rsidRPr="000A03DD" w:rsidRDefault="00D63EAE" w:rsidP="00D63EAE">
      <w:pPr>
        <w:pStyle w:val="Body"/>
        <w:spacing w:after="0"/>
        <w:rPr>
          <w:rFonts w:ascii="Arial" w:hAnsi="Arial" w:cs="Arial"/>
        </w:rPr>
      </w:pPr>
      <w:r w:rsidRPr="000A03DD">
        <w:rPr>
          <w:rFonts w:ascii="Arial" w:hAnsi="Arial" w:cs="Arial"/>
        </w:rPr>
        <w:t xml:space="preserve">After multidisciplinary discussion, BCG therapy was definitively discontinued and close </w:t>
      </w:r>
      <w:proofErr w:type="spellStart"/>
      <w:r w:rsidRPr="000A03DD">
        <w:rPr>
          <w:rFonts w:ascii="Arial" w:hAnsi="Arial" w:cs="Arial"/>
        </w:rPr>
        <w:t>cystoscopic</w:t>
      </w:r>
      <w:proofErr w:type="spellEnd"/>
      <w:r w:rsidRPr="000A03DD">
        <w:rPr>
          <w:rFonts w:ascii="Arial" w:hAnsi="Arial" w:cs="Arial"/>
        </w:rPr>
        <w:t xml:space="preserve"> surveillance was adopted. Management of the bilateral ureteral strictures consisted of conservative treatment with periodic replacement of the double-J stents every six months in order to ensure durable drainage and preserve renal </w:t>
      </w:r>
      <w:commentRangeStart w:id="12"/>
      <w:commentRangeStart w:id="13"/>
      <w:r w:rsidRPr="000A03DD">
        <w:rPr>
          <w:rFonts w:ascii="Arial" w:hAnsi="Arial" w:cs="Arial"/>
        </w:rPr>
        <w:t>function</w:t>
      </w:r>
      <w:commentRangeEnd w:id="12"/>
      <w:r w:rsidR="008A6CA4">
        <w:rPr>
          <w:rStyle w:val="CommentReference"/>
          <w:rFonts w:ascii="Times New Roman" w:hAnsi="Times New Roman"/>
          <w:lang w:val="nb-NO" w:eastAsia="nb-NO"/>
        </w:rPr>
        <w:commentReference w:id="12"/>
      </w:r>
      <w:commentRangeEnd w:id="13"/>
      <w:r w:rsidR="00B947EF">
        <w:rPr>
          <w:rStyle w:val="CommentReference"/>
          <w:rFonts w:ascii="Times New Roman" w:hAnsi="Times New Roman"/>
          <w:lang w:val="nb-NO" w:eastAsia="nb-NO"/>
        </w:rPr>
        <w:commentReference w:id="13"/>
      </w:r>
      <w:r w:rsidRPr="000A03DD">
        <w:rPr>
          <w:rFonts w:ascii="Arial" w:hAnsi="Arial" w:cs="Arial"/>
        </w:rPr>
        <w:t>.</w:t>
      </w:r>
    </w:p>
    <w:p w14:paraId="3E11B9A9" w14:textId="77777777" w:rsidR="00D63EAE" w:rsidRPr="000A03DD" w:rsidRDefault="00D63EAE" w:rsidP="00D63EAE">
      <w:pPr>
        <w:pStyle w:val="Body"/>
        <w:spacing w:after="0"/>
        <w:rPr>
          <w:rFonts w:ascii="Arial" w:hAnsi="Arial" w:cs="Arial"/>
        </w:rPr>
      </w:pPr>
    </w:p>
    <w:p w14:paraId="17DBC708" w14:textId="119C66E8" w:rsidR="00902823" w:rsidRPr="000A03DD" w:rsidRDefault="00000F8F" w:rsidP="00441B6F">
      <w:pPr>
        <w:pStyle w:val="Head1"/>
        <w:spacing w:after="0"/>
        <w:jc w:val="both"/>
        <w:rPr>
          <w:rFonts w:ascii="Arial" w:hAnsi="Arial" w:cs="Arial"/>
        </w:rPr>
      </w:pPr>
      <w:r w:rsidRPr="000A03DD">
        <w:rPr>
          <w:rFonts w:ascii="Arial" w:hAnsi="Arial" w:cs="Arial"/>
        </w:rPr>
        <w:t>3</w:t>
      </w:r>
      <w:r w:rsidR="00902823" w:rsidRPr="000A03DD">
        <w:rPr>
          <w:rFonts w:ascii="Arial" w:hAnsi="Arial" w:cs="Arial"/>
        </w:rPr>
        <w:t xml:space="preserve">. </w:t>
      </w:r>
      <w:r w:rsidRPr="000A03DD">
        <w:rPr>
          <w:rFonts w:ascii="Arial" w:hAnsi="Arial" w:cs="Arial"/>
        </w:rPr>
        <w:t>discussion</w:t>
      </w:r>
    </w:p>
    <w:p w14:paraId="656F3128" w14:textId="77777777" w:rsidR="00790ADA" w:rsidRPr="000A03DD" w:rsidRDefault="00790ADA" w:rsidP="00441B6F">
      <w:pPr>
        <w:pStyle w:val="Head1"/>
        <w:spacing w:after="0"/>
        <w:jc w:val="both"/>
        <w:rPr>
          <w:rFonts w:ascii="Arial" w:hAnsi="Arial" w:cs="Arial"/>
        </w:rPr>
      </w:pPr>
    </w:p>
    <w:p w14:paraId="45616B0A" w14:textId="77777777" w:rsidR="004F5BE6" w:rsidRPr="000A03DD" w:rsidRDefault="00D63EAE" w:rsidP="004F5BE6">
      <w:pPr>
        <w:pStyle w:val="Body"/>
        <w:rPr>
          <w:rFonts w:ascii="Arial" w:hAnsi="Arial" w:cs="Arial"/>
        </w:rPr>
      </w:pPr>
      <w:r w:rsidRPr="000A03DD">
        <w:rPr>
          <w:rFonts w:ascii="Arial" w:hAnsi="Arial" w:cs="Arial"/>
        </w:rPr>
        <w:t>Intravesical BCG therapy is the standard adjuvant treatment for intermediate- and high-risk non-muscle-invasive bladder cancer, in accordance with international recommendations, including those of the European Association of Urology (EAU), which confirm its efficacy in reducing recurrence and tumor progression (3). Meta-analyses conducted by Sylvester and colleagues have robustly demonstrated the superiority of BCG over intravesical chemotherapy in terms of disease control, particularly for carcinoma in situ and high-risk tumors (4,5). Despite this recognized efficacy, BCG therapy may cause adverse events, most of which are local and transient, while severe complications remain rare, occurring in less than 5% of cases (2). Documented BCG infections occur in approximately 1% of treated patients (6), and upper urinary tract involvement, particularly in the form of bilateral ureteral strictures, remains exceptional.</w:t>
      </w:r>
    </w:p>
    <w:p w14:paraId="43EAC1A5" w14:textId="77777777" w:rsidR="004F5BE6" w:rsidRPr="000A03DD" w:rsidRDefault="004F5BE6" w:rsidP="004F5BE6">
      <w:pPr>
        <w:pStyle w:val="Body"/>
        <w:rPr>
          <w:rFonts w:ascii="Arial" w:hAnsi="Arial" w:cs="Arial"/>
        </w:rPr>
      </w:pPr>
    </w:p>
    <w:p w14:paraId="699A4981" w14:textId="23FD3519" w:rsidR="00D63EAE" w:rsidRPr="000A03DD" w:rsidRDefault="00D63EAE" w:rsidP="004F5BE6">
      <w:pPr>
        <w:pStyle w:val="Body"/>
        <w:rPr>
          <w:rFonts w:ascii="Arial" w:hAnsi="Arial" w:cs="Arial"/>
        </w:rPr>
      </w:pPr>
      <w:r w:rsidRPr="000A03DD">
        <w:rPr>
          <w:rFonts w:ascii="Arial" w:hAnsi="Arial" w:cs="Arial"/>
        </w:rPr>
        <w:t xml:space="preserve">Our observation fits within this rare context and raises a major diagnostic issue: distinguishing active urogenital tuberculosis caused by Mycobacterium </w:t>
      </w:r>
      <w:proofErr w:type="spellStart"/>
      <w:r w:rsidRPr="000A03DD">
        <w:rPr>
          <w:rFonts w:ascii="Arial" w:hAnsi="Arial" w:cs="Arial"/>
        </w:rPr>
        <w:t>bovis</w:t>
      </w:r>
      <w:proofErr w:type="spellEnd"/>
      <w:r w:rsidRPr="000A03DD">
        <w:rPr>
          <w:rFonts w:ascii="Arial" w:hAnsi="Arial" w:cs="Arial"/>
        </w:rPr>
        <w:t xml:space="preserve"> from a local granulomatous inflammatory reaction, commonly referred to as </w:t>
      </w:r>
      <w:proofErr w:type="spellStart"/>
      <w:r w:rsidRPr="000A03DD">
        <w:rPr>
          <w:rFonts w:ascii="Arial" w:hAnsi="Arial" w:cs="Arial"/>
        </w:rPr>
        <w:t>BCGitis</w:t>
      </w:r>
      <w:proofErr w:type="spellEnd"/>
      <w:r w:rsidRPr="000A03DD">
        <w:rPr>
          <w:rFonts w:ascii="Arial" w:hAnsi="Arial" w:cs="Arial"/>
        </w:rPr>
        <w:t xml:space="preserve">. This </w:t>
      </w:r>
      <w:r w:rsidRPr="000A03DD">
        <w:rPr>
          <w:rFonts w:ascii="Arial" w:hAnsi="Arial" w:cs="Arial"/>
        </w:rPr>
        <w:lastRenderedPageBreak/>
        <w:t xml:space="preserve">distinction is crucial because it determines whether </w:t>
      </w:r>
      <w:proofErr w:type="spellStart"/>
      <w:r w:rsidRPr="000A03DD">
        <w:rPr>
          <w:rFonts w:ascii="Arial" w:hAnsi="Arial" w:cs="Arial"/>
        </w:rPr>
        <w:t>antituberculous</w:t>
      </w:r>
      <w:proofErr w:type="spellEnd"/>
      <w:r w:rsidRPr="000A03DD">
        <w:rPr>
          <w:rFonts w:ascii="Arial" w:hAnsi="Arial" w:cs="Arial"/>
        </w:rPr>
        <w:t xml:space="preserve"> therapy should be initiated. In the case reported by Tominaga et al., microbiologically confirmed bladder tuberculosis occurring several years after BCG therapy was complicated by bilateral ureteral strictures and progressive hydronephrosis (7). The diagnosis was based on a positive urine culture for the Mycobacterium tuberculosis complex and PCR specifically identifying M. </w:t>
      </w:r>
      <w:proofErr w:type="spellStart"/>
      <w:r w:rsidRPr="000A03DD">
        <w:rPr>
          <w:rFonts w:ascii="Arial" w:hAnsi="Arial" w:cs="Arial"/>
        </w:rPr>
        <w:t>bovis</w:t>
      </w:r>
      <w:proofErr w:type="spellEnd"/>
      <w:r w:rsidRPr="000A03DD">
        <w:rPr>
          <w:rFonts w:ascii="Arial" w:hAnsi="Arial" w:cs="Arial"/>
        </w:rPr>
        <w:t xml:space="preserve">. In this situation, </w:t>
      </w:r>
      <w:proofErr w:type="spellStart"/>
      <w:r w:rsidRPr="000A03DD">
        <w:rPr>
          <w:rFonts w:ascii="Arial" w:hAnsi="Arial" w:cs="Arial"/>
        </w:rPr>
        <w:t>antituberculous</w:t>
      </w:r>
      <w:proofErr w:type="spellEnd"/>
      <w:r w:rsidRPr="000A03DD">
        <w:rPr>
          <w:rFonts w:ascii="Arial" w:hAnsi="Arial" w:cs="Arial"/>
        </w:rPr>
        <w:t xml:space="preserve"> therapy combining isoniazid, rifampicin, and ethambutol achieved microbiological sterilization, although functional sequelae were only partially reversible.</w:t>
      </w:r>
    </w:p>
    <w:p w14:paraId="5F02B75F" w14:textId="77777777" w:rsidR="00D63EAE" w:rsidRPr="000A03DD" w:rsidRDefault="00D63EAE" w:rsidP="00D63EAE">
      <w:pPr>
        <w:pStyle w:val="Body"/>
        <w:rPr>
          <w:rFonts w:ascii="Arial" w:hAnsi="Arial" w:cs="Arial"/>
        </w:rPr>
      </w:pPr>
      <w:r w:rsidRPr="000A03DD">
        <w:rPr>
          <w:rFonts w:ascii="Arial" w:hAnsi="Arial" w:cs="Arial"/>
        </w:rPr>
        <w:t>In contrast, in our case, several findings argued against active urogenital tuberculosis. The complete microbiological workup, including direct examination, mycobacterial cultures, and molecular investigations, was negative. Bladder and peri-ureteral biopsies showed no caseating granulomas or tumor infiltration, but only chronic fibro-inflammatory changes. Moreover, imaging studies performed prior to initiation of BCG therapy revealed no dilation of the pyelocaliceal systems, and ureteral orifices were consistently visualized and patent during surveillance cystoscopies, strengthening the direct temporal relationship between BCG therapy and the occurrence of strictures. The relatively early onset of the complication, unlike infectious forms sometimes reported several years after instillation (6,7), also supports an immune-mediated inflammatory mechanism.</w:t>
      </w:r>
    </w:p>
    <w:p w14:paraId="666B8F75" w14:textId="7A37F7AA" w:rsidR="00D63EAE" w:rsidRPr="000A03DD" w:rsidRDefault="00D63EAE" w:rsidP="00B20C45">
      <w:pPr>
        <w:pStyle w:val="Body"/>
        <w:rPr>
          <w:rFonts w:ascii="Arial" w:hAnsi="Arial" w:cs="Arial"/>
        </w:rPr>
      </w:pPr>
      <w:r w:rsidRPr="000A03DD">
        <w:rPr>
          <w:rFonts w:ascii="Arial" w:hAnsi="Arial" w:cs="Arial"/>
        </w:rPr>
        <w:t xml:space="preserve">From a pathophysiological perspective, two mechanisms have been described: True infection with M. </w:t>
      </w:r>
      <w:proofErr w:type="spellStart"/>
      <w:r w:rsidRPr="000A03DD">
        <w:rPr>
          <w:rFonts w:ascii="Arial" w:hAnsi="Arial" w:cs="Arial"/>
        </w:rPr>
        <w:t>bovis</w:t>
      </w:r>
      <w:proofErr w:type="spellEnd"/>
      <w:r w:rsidRPr="000A03DD">
        <w:rPr>
          <w:rFonts w:ascii="Arial" w:hAnsi="Arial" w:cs="Arial"/>
        </w:rPr>
        <w:t xml:space="preserve"> secondary to BCG dissemination or local granulomatous hypersensitivity reaction, resulting in mucosal thickening and progressive fibrosis (2,8). Chronic inflammation may involve the ureterovesical junction, leading to bilateral distal obstruction. Muneer et al. reported that ureteral strictures in urogenital tuberculosis result from granulomatous inflammation followed by cicatricial fibrosis that may become irreversible (9). However, in the absence of specific microbiological and histological evidence, the diagnosis of active tuberculosis cannot be established according to classical diagnostic criteria for urogenital tuberculosis (9,10).</w:t>
      </w:r>
    </w:p>
    <w:p w14:paraId="2065CDD9" w14:textId="2B7C9BA3" w:rsidR="00D63EAE" w:rsidRPr="000A03DD" w:rsidRDefault="00D63EAE" w:rsidP="00D63EAE">
      <w:pPr>
        <w:pStyle w:val="Body"/>
        <w:rPr>
          <w:rFonts w:ascii="Arial" w:hAnsi="Arial" w:cs="Arial"/>
        </w:rPr>
      </w:pPr>
      <w:r w:rsidRPr="000A03DD">
        <w:rPr>
          <w:rFonts w:ascii="Arial" w:hAnsi="Arial" w:cs="Arial"/>
        </w:rPr>
        <w:t xml:space="preserve">The indication for </w:t>
      </w:r>
      <w:proofErr w:type="spellStart"/>
      <w:r w:rsidRPr="000A03DD">
        <w:rPr>
          <w:rFonts w:ascii="Arial" w:hAnsi="Arial" w:cs="Arial"/>
        </w:rPr>
        <w:t>antituberculous</w:t>
      </w:r>
      <w:proofErr w:type="spellEnd"/>
      <w:r w:rsidRPr="000A03DD">
        <w:rPr>
          <w:rFonts w:ascii="Arial" w:hAnsi="Arial" w:cs="Arial"/>
        </w:rPr>
        <w:t xml:space="preserve"> therapy therefore becomes a central issue. According to World Health Organization guidelines, confirmed urogenital tuberculosis should be treated with standard multidrug therapy adapted to strain susceptibility, with M. </w:t>
      </w:r>
      <w:proofErr w:type="spellStart"/>
      <w:r w:rsidRPr="000A03DD">
        <w:rPr>
          <w:rFonts w:ascii="Arial" w:hAnsi="Arial" w:cs="Arial"/>
        </w:rPr>
        <w:t>bovis</w:t>
      </w:r>
      <w:proofErr w:type="spellEnd"/>
      <w:r w:rsidRPr="000A03DD">
        <w:rPr>
          <w:rFonts w:ascii="Arial" w:hAnsi="Arial" w:cs="Arial"/>
        </w:rPr>
        <w:t xml:space="preserve"> being naturally resistant to pyrazinamide (10). In cases of confirmed post-BCG bladder tuberculosis, treatment with isoniazid, rifampicin, and ethambutol is generally recommended (7). Conversely, when no microbiological evidence of active infection is found, EAU guidelines recommend permanent discontinuation of BCG therapy in the event of severe complications and appropriate symptomatic management, without systematically initiating </w:t>
      </w:r>
      <w:proofErr w:type="spellStart"/>
      <w:r w:rsidRPr="000A03DD">
        <w:rPr>
          <w:rFonts w:ascii="Arial" w:hAnsi="Arial" w:cs="Arial"/>
        </w:rPr>
        <w:t>antituberculous</w:t>
      </w:r>
      <w:proofErr w:type="spellEnd"/>
      <w:r w:rsidRPr="000A03DD">
        <w:rPr>
          <w:rFonts w:ascii="Arial" w:hAnsi="Arial" w:cs="Arial"/>
        </w:rPr>
        <w:t xml:space="preserve"> therapy (3). In our case, the absence of evidence of active infection and clinical improvement with drainage alone justified a conservative approach, avoiding unnecessary exposure to the potentially severe adverse effects of </w:t>
      </w:r>
      <w:proofErr w:type="spellStart"/>
      <w:r w:rsidRPr="000A03DD">
        <w:rPr>
          <w:rFonts w:ascii="Arial" w:hAnsi="Arial" w:cs="Arial"/>
        </w:rPr>
        <w:t>antituberculous</w:t>
      </w:r>
      <w:proofErr w:type="spellEnd"/>
      <w:r w:rsidRPr="000A03DD">
        <w:rPr>
          <w:rFonts w:ascii="Arial" w:hAnsi="Arial" w:cs="Arial"/>
        </w:rPr>
        <w:t xml:space="preserve"> drugs.</w:t>
      </w:r>
    </w:p>
    <w:p w14:paraId="7C96B80C" w14:textId="77777777" w:rsidR="00D63EAE" w:rsidRPr="000A03DD" w:rsidRDefault="00D63EAE" w:rsidP="00D63EAE">
      <w:pPr>
        <w:pStyle w:val="Body"/>
        <w:rPr>
          <w:rFonts w:ascii="Arial" w:hAnsi="Arial" w:cs="Arial"/>
        </w:rPr>
      </w:pPr>
      <w:r w:rsidRPr="000A03DD">
        <w:rPr>
          <w:rFonts w:ascii="Arial" w:hAnsi="Arial" w:cs="Arial"/>
        </w:rPr>
        <w:t xml:space="preserve">Management of ureteral strictures primarily aims to relieve obstruction and preserve renal function. Drainage with double-J ureteral stents represents the recommended initial approach. In some reported cases, anatomical improvement has been observed after </w:t>
      </w:r>
      <w:proofErr w:type="spellStart"/>
      <w:r w:rsidRPr="000A03DD">
        <w:rPr>
          <w:rFonts w:ascii="Arial" w:hAnsi="Arial" w:cs="Arial"/>
        </w:rPr>
        <w:t>antituberculous</w:t>
      </w:r>
      <w:proofErr w:type="spellEnd"/>
      <w:r w:rsidRPr="000A03DD">
        <w:rPr>
          <w:rFonts w:ascii="Arial" w:hAnsi="Arial" w:cs="Arial"/>
        </w:rPr>
        <w:t xml:space="preserve"> therapy (7), whereas others progress to irreversible sequelae requiring reconstructive surgery (9,11). In our case, the conservative strategy with periodic double-J stent replacement allowed stabilization of renal function and avoided, at this stage, the need for major reconstructive surgery</w:t>
      </w:r>
      <w:commentRangeStart w:id="14"/>
      <w:commentRangeStart w:id="15"/>
      <w:r w:rsidRPr="000A03DD">
        <w:rPr>
          <w:rFonts w:ascii="Arial" w:hAnsi="Arial" w:cs="Arial"/>
        </w:rPr>
        <w:t>.</w:t>
      </w:r>
      <w:commentRangeEnd w:id="14"/>
      <w:r w:rsidR="00E73A8E">
        <w:rPr>
          <w:rStyle w:val="CommentReference"/>
          <w:rFonts w:ascii="Times New Roman" w:hAnsi="Times New Roman"/>
          <w:lang w:val="nb-NO" w:eastAsia="nb-NO"/>
        </w:rPr>
        <w:commentReference w:id="14"/>
      </w:r>
      <w:commentRangeEnd w:id="15"/>
      <w:r w:rsidR="00E73A8E">
        <w:rPr>
          <w:rStyle w:val="CommentReference"/>
          <w:rFonts w:ascii="Times New Roman" w:hAnsi="Times New Roman"/>
          <w:lang w:val="nb-NO" w:eastAsia="nb-NO"/>
        </w:rPr>
        <w:commentReference w:id="15"/>
      </w:r>
    </w:p>
    <w:p w14:paraId="0FE04CEC" w14:textId="706A8221" w:rsidR="00D63EAE" w:rsidRPr="000A03DD" w:rsidRDefault="00D63EAE" w:rsidP="008B4598">
      <w:pPr>
        <w:pStyle w:val="Body"/>
        <w:rPr>
          <w:rFonts w:ascii="Arial" w:hAnsi="Arial" w:cs="Arial"/>
        </w:rPr>
      </w:pPr>
      <w:r w:rsidRPr="000A03DD">
        <w:rPr>
          <w:rFonts w:ascii="Arial" w:hAnsi="Arial" w:cs="Arial"/>
        </w:rPr>
        <w:t xml:space="preserve">This case therefore highlights the importance of rigorous diagnostic reasoning when bilateral hydronephrosis occurs during BCG therapy. Distinguishing active urogenital tuberculosis from inflammatory </w:t>
      </w:r>
      <w:proofErr w:type="spellStart"/>
      <w:r w:rsidRPr="000A03DD">
        <w:rPr>
          <w:rFonts w:ascii="Arial" w:hAnsi="Arial" w:cs="Arial"/>
        </w:rPr>
        <w:t>BCGitis</w:t>
      </w:r>
      <w:proofErr w:type="spellEnd"/>
      <w:r w:rsidRPr="000A03DD">
        <w:rPr>
          <w:rFonts w:ascii="Arial" w:hAnsi="Arial" w:cs="Arial"/>
        </w:rPr>
        <w:t xml:space="preserve"> determines therapeutic strategy and should rely on combined analysis of clinical, microbiological, and histological findings. Our observation also demonstrates that bilateral ureteral strictures may occur in the absence of active mycobacterial infection, likely as a result of severe BCG-induced inflammatory reaction.</w:t>
      </w:r>
    </w:p>
    <w:p w14:paraId="3222E65E" w14:textId="51C8653A" w:rsidR="00B01FCD" w:rsidRPr="000A03DD" w:rsidRDefault="00000F8F" w:rsidP="00441B6F">
      <w:pPr>
        <w:pStyle w:val="ConcHead"/>
        <w:spacing w:after="0"/>
        <w:jc w:val="both"/>
        <w:rPr>
          <w:rFonts w:ascii="Arial" w:hAnsi="Arial" w:cs="Arial"/>
        </w:rPr>
      </w:pPr>
      <w:r w:rsidRPr="000A03DD">
        <w:rPr>
          <w:rFonts w:ascii="Arial" w:hAnsi="Arial" w:cs="Arial"/>
        </w:rPr>
        <w:t xml:space="preserve">4. </w:t>
      </w:r>
      <w:r w:rsidR="00B01FCD" w:rsidRPr="000A03DD">
        <w:rPr>
          <w:rFonts w:ascii="Arial" w:hAnsi="Arial" w:cs="Arial"/>
        </w:rPr>
        <w:t>Conclusion</w:t>
      </w:r>
    </w:p>
    <w:p w14:paraId="7FEC7418" w14:textId="77777777" w:rsidR="00790ADA" w:rsidRPr="000A03DD" w:rsidRDefault="00790ADA" w:rsidP="00441B6F">
      <w:pPr>
        <w:pStyle w:val="ConcHead"/>
        <w:spacing w:after="0"/>
        <w:jc w:val="both"/>
        <w:rPr>
          <w:rFonts w:ascii="Arial" w:hAnsi="Arial" w:cs="Arial"/>
        </w:rPr>
      </w:pPr>
    </w:p>
    <w:p w14:paraId="69137007" w14:textId="77777777" w:rsidR="00D63EAE" w:rsidRPr="000A03DD" w:rsidRDefault="00D63EAE" w:rsidP="00D63EAE">
      <w:pPr>
        <w:pStyle w:val="Body"/>
        <w:rPr>
          <w:rFonts w:ascii="Arial" w:hAnsi="Arial" w:cs="Arial"/>
        </w:rPr>
      </w:pPr>
      <w:r w:rsidRPr="000A03DD">
        <w:rPr>
          <w:rFonts w:ascii="Arial" w:hAnsi="Arial" w:cs="Arial"/>
        </w:rPr>
        <w:t>Bilateral ureteral strictures represent an exceptional but potentially serious complication of intravesical BCG therapy. Their occurrence requires thorough evaluation to exclude active urogenital tuberculosis.</w:t>
      </w:r>
    </w:p>
    <w:p w14:paraId="29BDAB83" w14:textId="77777777" w:rsidR="00D63EAE" w:rsidRPr="000A03DD" w:rsidRDefault="00D63EAE" w:rsidP="00D63EAE">
      <w:pPr>
        <w:pStyle w:val="Body"/>
        <w:rPr>
          <w:rFonts w:ascii="Arial" w:hAnsi="Arial" w:cs="Arial"/>
        </w:rPr>
      </w:pPr>
      <w:r w:rsidRPr="000A03DD">
        <w:rPr>
          <w:rFonts w:ascii="Arial" w:hAnsi="Arial" w:cs="Arial"/>
        </w:rPr>
        <w:t>In the absence of microbiological evidence, a conservative strategy combining definitive discontinuation of BCG therapy and endourological drainage may be preferred.</w:t>
      </w:r>
    </w:p>
    <w:p w14:paraId="1D123B35" w14:textId="46EDFB20" w:rsidR="00D63EAE" w:rsidRPr="000A03DD" w:rsidRDefault="00D63EAE" w:rsidP="008B4598">
      <w:pPr>
        <w:pStyle w:val="Body"/>
        <w:spacing w:after="0"/>
        <w:rPr>
          <w:rFonts w:ascii="Arial" w:hAnsi="Arial" w:cs="Arial"/>
        </w:rPr>
      </w:pPr>
      <w:r w:rsidRPr="000A03DD">
        <w:rPr>
          <w:rFonts w:ascii="Arial" w:hAnsi="Arial" w:cs="Arial"/>
        </w:rPr>
        <w:t>This observation contributes to the literature on rare complications of BCG therapy and emphasizes the need for careful clinical and radiological monitoring, particularly in the presence of renal function deterioration or unexplained uretero-hydronephrosis</w:t>
      </w:r>
      <w:commentRangeStart w:id="16"/>
      <w:commentRangeStart w:id="17"/>
      <w:r w:rsidRPr="000A03DD">
        <w:rPr>
          <w:rFonts w:ascii="Arial" w:hAnsi="Arial" w:cs="Arial"/>
        </w:rPr>
        <w:t>.</w:t>
      </w:r>
      <w:commentRangeEnd w:id="16"/>
      <w:r w:rsidR="00E73A8E">
        <w:rPr>
          <w:rStyle w:val="CommentReference"/>
          <w:rFonts w:ascii="Times New Roman" w:hAnsi="Times New Roman"/>
          <w:lang w:val="nb-NO" w:eastAsia="nb-NO"/>
        </w:rPr>
        <w:commentReference w:id="16"/>
      </w:r>
      <w:commentRangeEnd w:id="17"/>
      <w:r w:rsidR="00E73A8E">
        <w:rPr>
          <w:rStyle w:val="CommentReference"/>
          <w:rFonts w:ascii="Times New Roman" w:hAnsi="Times New Roman"/>
          <w:lang w:val="nb-NO" w:eastAsia="nb-NO"/>
        </w:rPr>
        <w:commentReference w:id="17"/>
      </w:r>
    </w:p>
    <w:p w14:paraId="560DE5E2" w14:textId="77777777" w:rsidR="008B4598" w:rsidRPr="000A03DD" w:rsidRDefault="008B4598" w:rsidP="00441B6F">
      <w:pPr>
        <w:pStyle w:val="ReferHead"/>
        <w:spacing w:after="0"/>
        <w:jc w:val="both"/>
        <w:rPr>
          <w:rFonts w:ascii="Arial" w:hAnsi="Arial" w:cs="Arial"/>
          <w:bCs/>
        </w:rPr>
      </w:pPr>
    </w:p>
    <w:p w14:paraId="6E2AA1CB" w14:textId="27B140C1" w:rsidR="002B685A" w:rsidRPr="000A03DD" w:rsidRDefault="002B685A" w:rsidP="00441B6F">
      <w:pPr>
        <w:pStyle w:val="ReferHead"/>
        <w:spacing w:after="0"/>
        <w:jc w:val="both"/>
        <w:rPr>
          <w:rFonts w:ascii="Arial" w:hAnsi="Arial" w:cs="Arial"/>
          <w:bCs/>
        </w:rPr>
      </w:pPr>
      <w:r w:rsidRPr="000A03DD">
        <w:rPr>
          <w:rFonts w:ascii="Arial" w:hAnsi="Arial" w:cs="Arial"/>
          <w:bCs/>
        </w:rPr>
        <w:t xml:space="preserve">Consent </w:t>
      </w:r>
    </w:p>
    <w:p w14:paraId="009CD957" w14:textId="77777777" w:rsidR="001A29D8" w:rsidRPr="000A03DD" w:rsidRDefault="001A29D8" w:rsidP="00441B6F">
      <w:pPr>
        <w:pStyle w:val="ReferHead"/>
        <w:spacing w:after="0"/>
        <w:jc w:val="both"/>
        <w:rPr>
          <w:rFonts w:ascii="Arial" w:hAnsi="Arial" w:cs="Arial"/>
          <w:b w:val="0"/>
          <w:caps w:val="0"/>
          <w:sz w:val="20"/>
        </w:rPr>
      </w:pPr>
    </w:p>
    <w:p w14:paraId="348D911D" w14:textId="77777777" w:rsidR="008B4598" w:rsidRPr="000A03DD" w:rsidRDefault="008B4598" w:rsidP="008B4598">
      <w:pPr>
        <w:pStyle w:val="ReferHead"/>
        <w:spacing w:after="0"/>
        <w:jc w:val="both"/>
        <w:rPr>
          <w:rFonts w:ascii="Arial" w:hAnsi="Arial" w:cs="Arial"/>
          <w:b w:val="0"/>
          <w:caps w:val="0"/>
          <w:sz w:val="20"/>
        </w:rPr>
      </w:pPr>
      <w:r w:rsidRPr="000A03DD">
        <w:rPr>
          <w:rFonts w:ascii="Arial" w:hAnsi="Arial" w:cs="Arial"/>
          <w:b w:val="0"/>
          <w:caps w:val="0"/>
          <w:sz w:val="20"/>
        </w:rPr>
        <w:t>Written informed consent for publication of the clinical data and images was obtained from the patient.</w:t>
      </w:r>
    </w:p>
    <w:p w14:paraId="6F898D13" w14:textId="77777777" w:rsidR="005C784C" w:rsidRPr="000A03DD" w:rsidRDefault="005C784C" w:rsidP="00441B6F">
      <w:pPr>
        <w:pStyle w:val="ReferHead"/>
        <w:spacing w:after="0"/>
        <w:jc w:val="both"/>
        <w:rPr>
          <w:rFonts w:ascii="Arial" w:hAnsi="Arial" w:cs="Arial"/>
          <w:b w:val="0"/>
          <w:caps w:val="0"/>
          <w:sz w:val="20"/>
        </w:rPr>
      </w:pPr>
    </w:p>
    <w:p w14:paraId="0AF5F2F0" w14:textId="2B8E6228" w:rsidR="005C784C" w:rsidRPr="000A03DD" w:rsidRDefault="005C784C" w:rsidP="00441B6F">
      <w:pPr>
        <w:pStyle w:val="ReferHead"/>
        <w:spacing w:after="0"/>
        <w:jc w:val="both"/>
        <w:rPr>
          <w:rFonts w:ascii="Arial" w:hAnsi="Arial" w:cs="Arial"/>
          <w:bCs/>
        </w:rPr>
      </w:pPr>
      <w:r w:rsidRPr="000A03DD">
        <w:rPr>
          <w:rFonts w:ascii="Arial" w:hAnsi="Arial" w:cs="Arial"/>
          <w:bCs/>
        </w:rPr>
        <w:t xml:space="preserve">Ethical approval </w:t>
      </w:r>
    </w:p>
    <w:p w14:paraId="18759D5C" w14:textId="77777777" w:rsidR="005C784C" w:rsidRPr="000A03DD" w:rsidRDefault="005C784C" w:rsidP="00441B6F">
      <w:pPr>
        <w:pStyle w:val="ReferHead"/>
        <w:spacing w:after="0"/>
        <w:jc w:val="both"/>
        <w:rPr>
          <w:rFonts w:ascii="Arial" w:hAnsi="Arial" w:cs="Arial"/>
          <w:bCs/>
        </w:rPr>
      </w:pPr>
    </w:p>
    <w:p w14:paraId="674842FC" w14:textId="1F5A6223" w:rsidR="0041027F" w:rsidRDefault="008B4598" w:rsidP="00441B6F">
      <w:pPr>
        <w:pStyle w:val="ReferHead"/>
        <w:spacing w:after="0"/>
        <w:jc w:val="both"/>
        <w:rPr>
          <w:rFonts w:ascii="Arial" w:hAnsi="Arial" w:cs="Arial"/>
          <w:b w:val="0"/>
          <w:caps w:val="0"/>
          <w:sz w:val="20"/>
        </w:rPr>
      </w:pPr>
      <w:r w:rsidRPr="000A03DD">
        <w:rPr>
          <w:rFonts w:ascii="Arial" w:hAnsi="Arial" w:cs="Arial"/>
          <w:b w:val="0"/>
          <w:caps w:val="0"/>
          <w:sz w:val="20"/>
        </w:rPr>
        <w:t>This study was conducted in accordance with institutional ethical standards after approval was obtained from the Ethics Committee of the Faculty of Medicine and Pharmacy of Tangier, Abdelmalek Essaâdi University, Morocco.</w:t>
      </w:r>
    </w:p>
    <w:p w14:paraId="568F9B3E" w14:textId="77777777" w:rsidR="00D66F04" w:rsidRDefault="00D66F04" w:rsidP="00441B6F">
      <w:pPr>
        <w:pStyle w:val="ReferHead"/>
        <w:spacing w:after="0"/>
        <w:jc w:val="both"/>
        <w:rPr>
          <w:rFonts w:ascii="Arial" w:hAnsi="Arial" w:cs="Arial"/>
          <w:b w:val="0"/>
          <w:caps w:val="0"/>
          <w:sz w:val="20"/>
        </w:rPr>
      </w:pPr>
    </w:p>
    <w:p w14:paraId="6EB02405" w14:textId="77777777" w:rsidR="00D66F04" w:rsidRPr="00D66F04" w:rsidRDefault="00D66F04" w:rsidP="00D66F04">
      <w:pPr>
        <w:pStyle w:val="ReferHead"/>
        <w:jc w:val="both"/>
        <w:rPr>
          <w:rFonts w:ascii="Arial" w:hAnsi="Arial" w:cs="Arial"/>
          <w:b w:val="0"/>
          <w:caps w:val="0"/>
          <w:sz w:val="20"/>
        </w:rPr>
      </w:pPr>
      <w:r w:rsidRPr="00D66F04">
        <w:rPr>
          <w:rFonts w:ascii="Arial" w:hAnsi="Arial" w:cs="Arial"/>
          <w:b w:val="0"/>
          <w:caps w:val="0"/>
          <w:sz w:val="20"/>
        </w:rPr>
        <w:t>COMPETING INTERESTS DISCLAIMER:</w:t>
      </w:r>
    </w:p>
    <w:p w14:paraId="4A9C9577" w14:textId="7662B9A4" w:rsidR="00D66F04" w:rsidRPr="000A03DD" w:rsidRDefault="00D66F04" w:rsidP="00D66F04">
      <w:pPr>
        <w:pStyle w:val="ReferHead"/>
        <w:spacing w:after="0"/>
        <w:jc w:val="both"/>
        <w:rPr>
          <w:rFonts w:ascii="Arial" w:hAnsi="Arial" w:cs="Arial"/>
          <w:b w:val="0"/>
          <w:caps w:val="0"/>
          <w:sz w:val="20"/>
        </w:rPr>
      </w:pPr>
      <w:r w:rsidRPr="00D66F0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CE26838" w14:textId="77777777" w:rsidR="008B4598" w:rsidRPr="000A03DD" w:rsidRDefault="008B4598" w:rsidP="00441B6F">
      <w:pPr>
        <w:pStyle w:val="ReferHead"/>
        <w:spacing w:after="0"/>
        <w:jc w:val="both"/>
        <w:rPr>
          <w:rFonts w:ascii="Arial" w:hAnsi="Arial" w:cs="Arial"/>
        </w:rPr>
      </w:pPr>
    </w:p>
    <w:p w14:paraId="302E0C86" w14:textId="5FC393D4" w:rsidR="00B01FCD" w:rsidRPr="000A03DD" w:rsidRDefault="00B01FCD" w:rsidP="00441B6F">
      <w:pPr>
        <w:pStyle w:val="ReferHead"/>
        <w:spacing w:after="0"/>
        <w:jc w:val="both"/>
        <w:rPr>
          <w:rFonts w:ascii="Arial" w:hAnsi="Arial" w:cs="Arial"/>
        </w:rPr>
      </w:pPr>
      <w:commentRangeStart w:id="18"/>
      <w:commentRangeStart w:id="19"/>
      <w:commentRangeStart w:id="20"/>
      <w:commentRangeStart w:id="21"/>
      <w:r w:rsidRPr="000A03DD">
        <w:rPr>
          <w:rFonts w:ascii="Arial" w:hAnsi="Arial" w:cs="Arial"/>
        </w:rPr>
        <w:t>References</w:t>
      </w:r>
      <w:commentRangeEnd w:id="18"/>
      <w:r w:rsidR="0023096B">
        <w:rPr>
          <w:rStyle w:val="CommentReference"/>
          <w:rFonts w:ascii="Times New Roman" w:hAnsi="Times New Roman"/>
          <w:b w:val="0"/>
          <w:caps w:val="0"/>
          <w:lang w:val="nb-NO" w:eastAsia="nb-NO"/>
        </w:rPr>
        <w:commentReference w:id="18"/>
      </w:r>
      <w:commentRangeEnd w:id="19"/>
      <w:r w:rsidR="0023096B">
        <w:rPr>
          <w:rStyle w:val="CommentReference"/>
          <w:rFonts w:ascii="Times New Roman" w:hAnsi="Times New Roman"/>
          <w:b w:val="0"/>
          <w:caps w:val="0"/>
          <w:lang w:val="nb-NO" w:eastAsia="nb-NO"/>
        </w:rPr>
        <w:commentReference w:id="19"/>
      </w:r>
      <w:commentRangeEnd w:id="20"/>
      <w:r w:rsidR="00B54B5D">
        <w:rPr>
          <w:rStyle w:val="CommentReference"/>
          <w:rFonts w:ascii="Times New Roman" w:hAnsi="Times New Roman"/>
          <w:b w:val="0"/>
          <w:caps w:val="0"/>
          <w:lang w:val="nb-NO" w:eastAsia="nb-NO"/>
        </w:rPr>
        <w:commentReference w:id="20"/>
      </w:r>
      <w:commentRangeEnd w:id="21"/>
      <w:r w:rsidR="00B54B5D">
        <w:rPr>
          <w:rStyle w:val="CommentReference"/>
          <w:rFonts w:ascii="Times New Roman" w:hAnsi="Times New Roman"/>
          <w:b w:val="0"/>
          <w:caps w:val="0"/>
          <w:lang w:val="nb-NO" w:eastAsia="nb-NO"/>
        </w:rPr>
        <w:commentReference w:id="21"/>
      </w:r>
    </w:p>
    <w:p w14:paraId="71A33BE8" w14:textId="77777777" w:rsidR="00790ADA" w:rsidRPr="000A03DD" w:rsidRDefault="00790ADA" w:rsidP="00441B6F">
      <w:pPr>
        <w:pStyle w:val="ReferHead"/>
        <w:spacing w:after="0"/>
        <w:jc w:val="both"/>
        <w:rPr>
          <w:rFonts w:ascii="Arial" w:hAnsi="Arial" w:cs="Arial"/>
        </w:rPr>
      </w:pPr>
    </w:p>
    <w:p w14:paraId="0DBB89F8" w14:textId="00C32EA0" w:rsidR="00987A82" w:rsidRPr="000A03DD" w:rsidRDefault="00987A82" w:rsidP="00987A82">
      <w:pPr>
        <w:pStyle w:val="Bibliography"/>
        <w:rPr>
          <w:sz w:val="18"/>
          <w:szCs w:val="18"/>
        </w:rPr>
      </w:pPr>
      <w:r w:rsidRPr="000A03DD">
        <w:rPr>
          <w:sz w:val="18"/>
          <w:szCs w:val="18"/>
        </w:rPr>
        <w:t xml:space="preserve">1. </w:t>
      </w:r>
      <w:r w:rsidR="000F6261" w:rsidRPr="000A03DD">
        <w:rPr>
          <w:sz w:val="18"/>
          <w:szCs w:val="18"/>
        </w:rPr>
        <w:t>European Association of Urology. EAU guidelines on non-muscle-invasive bladder cancer (TaT1 and CIS). Arnhem: EAU Guidelines Office; 2024. Available from: https://uroweb.org/guidelines/non-muscle-invasive-bladder-cancer</w:t>
      </w:r>
    </w:p>
    <w:p w14:paraId="6EA89920" w14:textId="787089EF" w:rsidR="00987A82" w:rsidRPr="000A03DD" w:rsidRDefault="00987A82" w:rsidP="00987A82">
      <w:pPr>
        <w:pStyle w:val="Bibliography"/>
        <w:rPr>
          <w:sz w:val="18"/>
          <w:szCs w:val="18"/>
        </w:rPr>
      </w:pPr>
      <w:r w:rsidRPr="000A03DD">
        <w:rPr>
          <w:sz w:val="18"/>
          <w:szCs w:val="18"/>
        </w:rPr>
        <w:t xml:space="preserve">2. Green DB, Kawashima A, </w:t>
      </w:r>
      <w:proofErr w:type="spellStart"/>
      <w:r w:rsidRPr="000A03DD">
        <w:rPr>
          <w:sz w:val="18"/>
          <w:szCs w:val="18"/>
        </w:rPr>
        <w:t>Menias</w:t>
      </w:r>
      <w:proofErr w:type="spellEnd"/>
      <w:r w:rsidRPr="000A03DD">
        <w:rPr>
          <w:sz w:val="18"/>
          <w:szCs w:val="18"/>
        </w:rPr>
        <w:t xml:space="preserve"> CO, Tanaka T, Redelman-Sidi G, Bhalla S, et al. Complications of Intravesical BCG Immunotherapy for Bladder Cancer. </w:t>
      </w:r>
      <w:proofErr w:type="spellStart"/>
      <w:r w:rsidRPr="000A03DD">
        <w:rPr>
          <w:sz w:val="18"/>
          <w:szCs w:val="18"/>
        </w:rPr>
        <w:t>Radiographics</w:t>
      </w:r>
      <w:proofErr w:type="spellEnd"/>
      <w:r w:rsidRPr="000A03DD">
        <w:rPr>
          <w:sz w:val="18"/>
          <w:szCs w:val="18"/>
        </w:rPr>
        <w:t>. 2019;39(1):80</w:t>
      </w:r>
      <w:r w:rsidRPr="000A03DD">
        <w:rPr>
          <w:rFonts w:ascii="Cambria Math" w:hAnsi="Cambria Math" w:cs="Cambria Math"/>
          <w:sz w:val="18"/>
          <w:szCs w:val="18"/>
        </w:rPr>
        <w:t>‑</w:t>
      </w:r>
      <w:r w:rsidRPr="000A03DD">
        <w:rPr>
          <w:sz w:val="18"/>
          <w:szCs w:val="18"/>
        </w:rPr>
        <w:t xml:space="preserve">94. </w:t>
      </w:r>
    </w:p>
    <w:p w14:paraId="55075D01" w14:textId="3DB481B8" w:rsidR="00987A82" w:rsidRPr="000A03DD" w:rsidRDefault="00987A82" w:rsidP="00987A82">
      <w:pPr>
        <w:pStyle w:val="Bibliography"/>
        <w:rPr>
          <w:sz w:val="18"/>
          <w:szCs w:val="18"/>
        </w:rPr>
      </w:pPr>
      <w:r w:rsidRPr="000A03DD">
        <w:rPr>
          <w:sz w:val="18"/>
          <w:szCs w:val="18"/>
        </w:rPr>
        <w:t xml:space="preserve">3. </w:t>
      </w:r>
      <w:proofErr w:type="spellStart"/>
      <w:r w:rsidRPr="000A03DD">
        <w:rPr>
          <w:sz w:val="18"/>
          <w:szCs w:val="18"/>
        </w:rPr>
        <w:t>Babjuk</w:t>
      </w:r>
      <w:proofErr w:type="spellEnd"/>
      <w:r w:rsidRPr="000A03DD">
        <w:rPr>
          <w:sz w:val="18"/>
          <w:szCs w:val="18"/>
        </w:rPr>
        <w:t xml:space="preserve"> M, Burger M, </w:t>
      </w:r>
      <w:proofErr w:type="spellStart"/>
      <w:r w:rsidRPr="000A03DD">
        <w:rPr>
          <w:sz w:val="18"/>
          <w:szCs w:val="18"/>
        </w:rPr>
        <w:t>Capoun</w:t>
      </w:r>
      <w:proofErr w:type="spellEnd"/>
      <w:r w:rsidRPr="000A03DD">
        <w:rPr>
          <w:sz w:val="18"/>
          <w:szCs w:val="18"/>
        </w:rPr>
        <w:t xml:space="preserve"> O, Cohen D, </w:t>
      </w:r>
      <w:proofErr w:type="spellStart"/>
      <w:r w:rsidRPr="000A03DD">
        <w:rPr>
          <w:sz w:val="18"/>
          <w:szCs w:val="18"/>
        </w:rPr>
        <w:t>Compérat</w:t>
      </w:r>
      <w:proofErr w:type="spellEnd"/>
      <w:r w:rsidRPr="000A03DD">
        <w:rPr>
          <w:sz w:val="18"/>
          <w:szCs w:val="18"/>
        </w:rPr>
        <w:t xml:space="preserve"> EM, Dominguez </w:t>
      </w:r>
      <w:proofErr w:type="spellStart"/>
      <w:r w:rsidRPr="000A03DD">
        <w:rPr>
          <w:sz w:val="18"/>
          <w:szCs w:val="18"/>
        </w:rPr>
        <w:t>Escrig</w:t>
      </w:r>
      <w:proofErr w:type="spellEnd"/>
      <w:r w:rsidRPr="000A03DD">
        <w:rPr>
          <w:sz w:val="18"/>
          <w:szCs w:val="18"/>
        </w:rPr>
        <w:t xml:space="preserve"> JL, et al. European Association of Urology Guidelines on Non-muscle-invasive Bladder Cancer (Ta, T1, and Carcinoma in Situ). Eur Urol. </w:t>
      </w:r>
      <w:proofErr w:type="spellStart"/>
      <w:r w:rsidRPr="000A03DD">
        <w:rPr>
          <w:sz w:val="18"/>
          <w:szCs w:val="18"/>
        </w:rPr>
        <w:t>janv</w:t>
      </w:r>
      <w:proofErr w:type="spellEnd"/>
      <w:r w:rsidRPr="000A03DD">
        <w:rPr>
          <w:sz w:val="18"/>
          <w:szCs w:val="18"/>
        </w:rPr>
        <w:t xml:space="preserve"> 2022;81(1):75</w:t>
      </w:r>
      <w:r w:rsidRPr="000A03DD">
        <w:rPr>
          <w:rFonts w:ascii="Cambria Math" w:hAnsi="Cambria Math" w:cs="Cambria Math"/>
          <w:sz w:val="18"/>
          <w:szCs w:val="18"/>
        </w:rPr>
        <w:t>‑</w:t>
      </w:r>
      <w:r w:rsidRPr="000A03DD">
        <w:rPr>
          <w:sz w:val="18"/>
          <w:szCs w:val="18"/>
        </w:rPr>
        <w:t xml:space="preserve">94. </w:t>
      </w:r>
    </w:p>
    <w:p w14:paraId="1687DD49" w14:textId="21AFAE39" w:rsidR="00987A82" w:rsidRPr="000A03DD" w:rsidRDefault="00987A82" w:rsidP="00987A82">
      <w:pPr>
        <w:pStyle w:val="Bibliography"/>
        <w:rPr>
          <w:sz w:val="18"/>
          <w:szCs w:val="18"/>
        </w:rPr>
      </w:pPr>
      <w:r w:rsidRPr="000A03DD">
        <w:rPr>
          <w:sz w:val="18"/>
          <w:szCs w:val="18"/>
        </w:rPr>
        <w:t>4. Sylvester RJ, van der </w:t>
      </w:r>
      <w:proofErr w:type="spellStart"/>
      <w:r w:rsidRPr="000A03DD">
        <w:rPr>
          <w:sz w:val="18"/>
          <w:szCs w:val="18"/>
        </w:rPr>
        <w:t>Meijden</w:t>
      </w:r>
      <w:proofErr w:type="spellEnd"/>
      <w:r w:rsidRPr="000A03DD">
        <w:rPr>
          <w:sz w:val="18"/>
          <w:szCs w:val="18"/>
        </w:rPr>
        <w:t xml:space="preserve"> APM, </w:t>
      </w:r>
      <w:proofErr w:type="spellStart"/>
      <w:r w:rsidRPr="000A03DD">
        <w:rPr>
          <w:sz w:val="18"/>
          <w:szCs w:val="18"/>
        </w:rPr>
        <w:t>Witjes</w:t>
      </w:r>
      <w:proofErr w:type="spellEnd"/>
      <w:r w:rsidRPr="000A03DD">
        <w:rPr>
          <w:sz w:val="18"/>
          <w:szCs w:val="18"/>
        </w:rPr>
        <w:t xml:space="preserve"> JA, Kurth K. Bacillus </w:t>
      </w:r>
      <w:proofErr w:type="spellStart"/>
      <w:r w:rsidRPr="000A03DD">
        <w:rPr>
          <w:sz w:val="18"/>
          <w:szCs w:val="18"/>
        </w:rPr>
        <w:t>calmette-guerin</w:t>
      </w:r>
      <w:proofErr w:type="spellEnd"/>
      <w:r w:rsidRPr="000A03DD">
        <w:rPr>
          <w:sz w:val="18"/>
          <w:szCs w:val="18"/>
        </w:rPr>
        <w:t xml:space="preserve"> versus chemotherapy for the intravesical treatment of patients with carcinoma in situ of the bladder: a meta-analysis of the published results of randomized clinical trials. J Urol. </w:t>
      </w:r>
      <w:proofErr w:type="spellStart"/>
      <w:r w:rsidRPr="000A03DD">
        <w:rPr>
          <w:sz w:val="18"/>
          <w:szCs w:val="18"/>
        </w:rPr>
        <w:t>juill</w:t>
      </w:r>
      <w:proofErr w:type="spellEnd"/>
      <w:r w:rsidRPr="000A03DD">
        <w:rPr>
          <w:sz w:val="18"/>
          <w:szCs w:val="18"/>
        </w:rPr>
        <w:t xml:space="preserve"> 2005;174(1):86</w:t>
      </w:r>
      <w:r w:rsidRPr="000A03DD">
        <w:rPr>
          <w:rFonts w:ascii="Cambria Math" w:hAnsi="Cambria Math" w:cs="Cambria Math"/>
          <w:sz w:val="18"/>
          <w:szCs w:val="18"/>
        </w:rPr>
        <w:t>‑</w:t>
      </w:r>
      <w:r w:rsidRPr="000A03DD">
        <w:rPr>
          <w:sz w:val="18"/>
          <w:szCs w:val="18"/>
        </w:rPr>
        <w:t xml:space="preserve">91; discussion 91-92. </w:t>
      </w:r>
    </w:p>
    <w:p w14:paraId="7540FEE6" w14:textId="34D38881" w:rsidR="00987A82" w:rsidRPr="00FB229A" w:rsidRDefault="00987A82" w:rsidP="00987A82">
      <w:pPr>
        <w:pStyle w:val="Bibliography"/>
        <w:rPr>
          <w:sz w:val="18"/>
          <w:szCs w:val="18"/>
          <w:lang w:val="nl-NL"/>
        </w:rPr>
      </w:pPr>
      <w:r w:rsidRPr="000A03DD">
        <w:rPr>
          <w:sz w:val="18"/>
          <w:szCs w:val="18"/>
        </w:rPr>
        <w:t xml:space="preserve">5. Sylvester RJ, van der MEIJDEN APM, Lamm DL. Intravesical bacillus Calmette-Guerin reduces the risk of progression in patients with superficial bladder cancer: a meta-analysis of the published results of randomized clinical trials. </w:t>
      </w:r>
      <w:r w:rsidRPr="00FB229A">
        <w:rPr>
          <w:sz w:val="18"/>
          <w:szCs w:val="18"/>
          <w:lang w:val="nl-NL"/>
        </w:rPr>
        <w:t>J Urol. nov 2002;168(5):1964</w:t>
      </w:r>
      <w:r w:rsidRPr="00FB229A">
        <w:rPr>
          <w:rFonts w:ascii="Cambria Math" w:hAnsi="Cambria Math" w:cs="Cambria Math"/>
          <w:sz w:val="18"/>
          <w:szCs w:val="18"/>
          <w:lang w:val="nl-NL"/>
        </w:rPr>
        <w:t>‑</w:t>
      </w:r>
      <w:r w:rsidRPr="00FB229A">
        <w:rPr>
          <w:sz w:val="18"/>
          <w:szCs w:val="18"/>
          <w:lang w:val="nl-NL"/>
        </w:rPr>
        <w:t xml:space="preserve">70. </w:t>
      </w:r>
    </w:p>
    <w:p w14:paraId="597FC566" w14:textId="0CC8C5A2" w:rsidR="00987A82" w:rsidRPr="000A03DD" w:rsidRDefault="00987A82" w:rsidP="00987A82">
      <w:pPr>
        <w:pStyle w:val="Bibliography"/>
        <w:rPr>
          <w:sz w:val="18"/>
          <w:szCs w:val="18"/>
        </w:rPr>
      </w:pPr>
      <w:r w:rsidRPr="00FB229A">
        <w:rPr>
          <w:sz w:val="18"/>
          <w:szCs w:val="18"/>
          <w:lang w:val="nl-NL"/>
        </w:rPr>
        <w:t xml:space="preserve">6. Larsen ES, Nordholm AC, Lillebaek T, Holden IK, Johansen IS. </w:t>
      </w:r>
      <w:r w:rsidRPr="000A03DD">
        <w:rPr>
          <w:sz w:val="18"/>
          <w:szCs w:val="18"/>
        </w:rPr>
        <w:t xml:space="preserve">The epidemiology of bacille Calmette-Guérin infections after bladder instillation from 2002 through 2017: a nationwide retrospective cohort study. BJU Int. </w:t>
      </w:r>
      <w:proofErr w:type="spellStart"/>
      <w:r w:rsidRPr="000A03DD">
        <w:rPr>
          <w:sz w:val="18"/>
          <w:szCs w:val="18"/>
        </w:rPr>
        <w:t>déc</w:t>
      </w:r>
      <w:proofErr w:type="spellEnd"/>
      <w:r w:rsidRPr="000A03DD">
        <w:rPr>
          <w:sz w:val="18"/>
          <w:szCs w:val="18"/>
        </w:rPr>
        <w:t xml:space="preserve"> 2019;124(6):910</w:t>
      </w:r>
      <w:r w:rsidRPr="000A03DD">
        <w:rPr>
          <w:rFonts w:ascii="Cambria Math" w:hAnsi="Cambria Math" w:cs="Cambria Math"/>
          <w:sz w:val="18"/>
          <w:szCs w:val="18"/>
        </w:rPr>
        <w:t>‑</w:t>
      </w:r>
      <w:r w:rsidRPr="000A03DD">
        <w:rPr>
          <w:sz w:val="18"/>
          <w:szCs w:val="18"/>
        </w:rPr>
        <w:t xml:space="preserve">6. </w:t>
      </w:r>
    </w:p>
    <w:p w14:paraId="15C4C009" w14:textId="1388C555" w:rsidR="00987A82" w:rsidRPr="000A03DD" w:rsidRDefault="00987A82" w:rsidP="00987A82">
      <w:pPr>
        <w:pStyle w:val="Bibliography"/>
        <w:rPr>
          <w:sz w:val="18"/>
          <w:szCs w:val="18"/>
        </w:rPr>
      </w:pPr>
      <w:r w:rsidRPr="000A03DD">
        <w:rPr>
          <w:sz w:val="18"/>
          <w:szCs w:val="18"/>
        </w:rPr>
        <w:t xml:space="preserve">7. Tominaga Y, </w:t>
      </w:r>
      <w:proofErr w:type="spellStart"/>
      <w:r w:rsidRPr="000A03DD">
        <w:rPr>
          <w:sz w:val="18"/>
          <w:szCs w:val="18"/>
        </w:rPr>
        <w:t>Fujii</w:t>
      </w:r>
      <w:proofErr w:type="spellEnd"/>
      <w:r w:rsidRPr="000A03DD">
        <w:rPr>
          <w:sz w:val="18"/>
          <w:szCs w:val="18"/>
        </w:rPr>
        <w:t xml:space="preserve"> M, </w:t>
      </w:r>
      <w:proofErr w:type="spellStart"/>
      <w:r w:rsidRPr="000A03DD">
        <w:rPr>
          <w:sz w:val="18"/>
          <w:szCs w:val="18"/>
        </w:rPr>
        <w:t>Sadahira</w:t>
      </w:r>
      <w:proofErr w:type="spellEnd"/>
      <w:r w:rsidRPr="000A03DD">
        <w:rPr>
          <w:sz w:val="18"/>
          <w:szCs w:val="18"/>
        </w:rPr>
        <w:t xml:space="preserve"> T, Katayama S, Iwata T, Nishimura S, et al. Bladder tuberculosis with ureteral strictures after bacillus Calmette</w:t>
      </w:r>
      <w:r w:rsidRPr="000A03DD">
        <w:rPr>
          <w:rFonts w:ascii="Cambria Math" w:hAnsi="Cambria Math" w:cs="Cambria Math"/>
          <w:sz w:val="18"/>
          <w:szCs w:val="18"/>
        </w:rPr>
        <w:t>‑</w:t>
      </w:r>
      <w:r w:rsidRPr="000A03DD">
        <w:rPr>
          <w:sz w:val="18"/>
          <w:szCs w:val="18"/>
        </w:rPr>
        <w:t xml:space="preserve">Guérin therapy for urinary bladder cancer: A case report. Mol Clin Oncol. </w:t>
      </w:r>
      <w:proofErr w:type="spellStart"/>
      <w:r w:rsidRPr="000A03DD">
        <w:rPr>
          <w:sz w:val="18"/>
          <w:szCs w:val="18"/>
        </w:rPr>
        <w:t>févr</w:t>
      </w:r>
      <w:proofErr w:type="spellEnd"/>
      <w:r w:rsidRPr="000A03DD">
        <w:rPr>
          <w:sz w:val="18"/>
          <w:szCs w:val="18"/>
        </w:rPr>
        <w:t xml:space="preserve"> 2023;18(2):7. </w:t>
      </w:r>
    </w:p>
    <w:p w14:paraId="3807D4EA" w14:textId="0B91FA7A" w:rsidR="00987A82" w:rsidRPr="000A03DD" w:rsidRDefault="00987A82" w:rsidP="00987A82">
      <w:pPr>
        <w:pStyle w:val="Bibliography"/>
        <w:rPr>
          <w:sz w:val="18"/>
          <w:szCs w:val="18"/>
        </w:rPr>
      </w:pPr>
      <w:r w:rsidRPr="000A03DD">
        <w:rPr>
          <w:sz w:val="18"/>
          <w:szCs w:val="18"/>
        </w:rPr>
        <w:t xml:space="preserve">8. Liu Y, Lu J, Huang Y, Ma L. Clinical Spectrum of Complications Induced by Intravesical Immunotherapy of Bacillus Calmette-Guérin for Bladder Cancer. J Oncol. </w:t>
      </w:r>
      <w:proofErr w:type="gramStart"/>
      <w:r w:rsidRPr="000A03DD">
        <w:rPr>
          <w:sz w:val="18"/>
          <w:szCs w:val="18"/>
        </w:rPr>
        <w:t>2019;2019:6230409</w:t>
      </w:r>
      <w:proofErr w:type="gramEnd"/>
      <w:r w:rsidRPr="000A03DD">
        <w:rPr>
          <w:sz w:val="18"/>
          <w:szCs w:val="18"/>
        </w:rPr>
        <w:t xml:space="preserve">. </w:t>
      </w:r>
    </w:p>
    <w:p w14:paraId="1F7FDEF7" w14:textId="6CC11CB5" w:rsidR="00987A82" w:rsidRPr="000A03DD" w:rsidRDefault="00987A82" w:rsidP="00987A82">
      <w:pPr>
        <w:pStyle w:val="Bibliography"/>
        <w:rPr>
          <w:sz w:val="18"/>
          <w:szCs w:val="18"/>
        </w:rPr>
      </w:pPr>
      <w:r w:rsidRPr="000A03DD">
        <w:rPr>
          <w:sz w:val="18"/>
          <w:szCs w:val="18"/>
        </w:rPr>
        <w:t>9. Muneer A, Macrae B, Krishnamoorthy S, Zumla A. Urogenital tuberculosis - epidemiology, pathogenesis and clinical features. Nat Rev Urol. oct 2019;16(10):573</w:t>
      </w:r>
      <w:r w:rsidRPr="000A03DD">
        <w:rPr>
          <w:rFonts w:ascii="Cambria Math" w:hAnsi="Cambria Math" w:cs="Cambria Math"/>
          <w:sz w:val="18"/>
          <w:szCs w:val="18"/>
        </w:rPr>
        <w:t>‑</w:t>
      </w:r>
      <w:r w:rsidRPr="000A03DD">
        <w:rPr>
          <w:sz w:val="18"/>
          <w:szCs w:val="18"/>
        </w:rPr>
        <w:t xml:space="preserve">98. </w:t>
      </w:r>
    </w:p>
    <w:p w14:paraId="079967ED" w14:textId="196FB822" w:rsidR="00987A82" w:rsidRPr="000A03DD" w:rsidRDefault="00987A82" w:rsidP="00987A82">
      <w:pPr>
        <w:pStyle w:val="Bibliography"/>
        <w:rPr>
          <w:sz w:val="18"/>
          <w:szCs w:val="18"/>
        </w:rPr>
      </w:pPr>
      <w:r w:rsidRPr="000A03DD">
        <w:rPr>
          <w:sz w:val="18"/>
          <w:szCs w:val="18"/>
        </w:rPr>
        <w:t xml:space="preserve">10. </w:t>
      </w:r>
      <w:r w:rsidR="000F6261" w:rsidRPr="000A03DD">
        <w:rPr>
          <w:sz w:val="18"/>
          <w:szCs w:val="18"/>
        </w:rPr>
        <w:t>World Health Organization. Treatment of tuberculosis: guidelines. Geneva: World Health Organization; 2010. Available from: https://iris.who.int/items/d6548430-74c3-4acc-8b44-10cdb3a5c770</w:t>
      </w:r>
    </w:p>
    <w:p w14:paraId="44AE953C" w14:textId="585EFEBB" w:rsidR="000A03DD" w:rsidRPr="000A03DD" w:rsidRDefault="00987A82" w:rsidP="000A03DD">
      <w:pPr>
        <w:pStyle w:val="Bibliography"/>
        <w:rPr>
          <w:sz w:val="18"/>
          <w:szCs w:val="18"/>
        </w:rPr>
      </w:pPr>
      <w:r w:rsidRPr="000A03DD">
        <w:rPr>
          <w:sz w:val="18"/>
          <w:szCs w:val="18"/>
        </w:rPr>
        <w:t xml:space="preserve">11. </w:t>
      </w:r>
      <w:proofErr w:type="spellStart"/>
      <w:r w:rsidRPr="000A03DD">
        <w:rPr>
          <w:sz w:val="18"/>
          <w:szCs w:val="18"/>
        </w:rPr>
        <w:t>Kulchavenya</w:t>
      </w:r>
      <w:proofErr w:type="spellEnd"/>
      <w:r w:rsidRPr="000A03DD">
        <w:rPr>
          <w:sz w:val="18"/>
          <w:szCs w:val="18"/>
        </w:rPr>
        <w:t xml:space="preserve"> E. Urogenital tuberculosis: definition and classification. Ther Adv Infect Dis. oct 2014;2(5</w:t>
      </w:r>
      <w:r w:rsidRPr="000A03DD">
        <w:rPr>
          <w:rFonts w:ascii="Cambria Math" w:hAnsi="Cambria Math" w:cs="Cambria Math"/>
          <w:sz w:val="18"/>
          <w:szCs w:val="18"/>
        </w:rPr>
        <w:t>‑</w:t>
      </w:r>
      <w:r w:rsidRPr="000A03DD">
        <w:rPr>
          <w:sz w:val="18"/>
          <w:szCs w:val="18"/>
        </w:rPr>
        <w:t>6):117</w:t>
      </w:r>
      <w:r w:rsidRPr="000A03DD">
        <w:rPr>
          <w:rFonts w:ascii="Cambria Math" w:hAnsi="Cambria Math" w:cs="Cambria Math"/>
          <w:sz w:val="18"/>
          <w:szCs w:val="18"/>
        </w:rPr>
        <w:t>‑</w:t>
      </w:r>
      <w:r w:rsidRPr="000A03DD">
        <w:rPr>
          <w:sz w:val="18"/>
          <w:szCs w:val="18"/>
        </w:rPr>
        <w:t>22.</w:t>
      </w:r>
    </w:p>
    <w:p w14:paraId="661F16C4" w14:textId="77777777" w:rsidR="000A03DD" w:rsidRPr="000A03DD" w:rsidRDefault="000A03DD" w:rsidP="009E7890">
      <w:pPr>
        <w:pStyle w:val="Appendix"/>
        <w:rPr>
          <w:b w:val="0"/>
          <w:caps w:val="0"/>
          <w:sz w:val="18"/>
          <w:szCs w:val="18"/>
        </w:rPr>
      </w:pPr>
    </w:p>
    <w:p w14:paraId="66DA5630" w14:textId="6D6C12EE" w:rsidR="009E7890" w:rsidRPr="00C8734D" w:rsidRDefault="009E7890" w:rsidP="00C8734D">
      <w:pPr>
        <w:pStyle w:val="ReferHead"/>
        <w:spacing w:after="0"/>
        <w:jc w:val="both"/>
        <w:rPr>
          <w:rFonts w:ascii="Arial" w:hAnsi="Arial" w:cs="Arial"/>
        </w:rPr>
      </w:pPr>
      <w:r w:rsidRPr="00C8734D">
        <w:rPr>
          <w:rFonts w:ascii="Arial" w:hAnsi="Arial" w:cs="Arial"/>
        </w:rPr>
        <w:t>ABREVIATIONS</w:t>
      </w:r>
    </w:p>
    <w:p w14:paraId="10A0C406" w14:textId="77777777" w:rsidR="00616EE6" w:rsidRDefault="00616EE6" w:rsidP="00616EE6">
      <w:pPr>
        <w:pStyle w:val="Appendix"/>
        <w:spacing w:after="0"/>
        <w:rPr>
          <w:b w:val="0"/>
          <w:caps w:val="0"/>
          <w:sz w:val="18"/>
          <w:szCs w:val="18"/>
        </w:rPr>
      </w:pPr>
    </w:p>
    <w:p w14:paraId="52987623" w14:textId="34E0015B" w:rsidR="009E7890" w:rsidRDefault="00C8734D" w:rsidP="00616EE6">
      <w:pPr>
        <w:pStyle w:val="Appendix"/>
        <w:spacing w:after="0"/>
        <w:rPr>
          <w:b w:val="0"/>
          <w:caps w:val="0"/>
          <w:sz w:val="18"/>
          <w:szCs w:val="18"/>
        </w:rPr>
      </w:pPr>
      <w:r w:rsidRPr="00616EE6">
        <w:rPr>
          <w:bCs/>
          <w:caps w:val="0"/>
          <w:sz w:val="18"/>
          <w:szCs w:val="18"/>
        </w:rPr>
        <w:t>BCG:</w:t>
      </w:r>
      <w:r w:rsidRPr="00C8734D">
        <w:rPr>
          <w:b w:val="0"/>
          <w:caps w:val="0"/>
          <w:sz w:val="18"/>
          <w:szCs w:val="18"/>
        </w:rPr>
        <w:t xml:space="preserve"> Bacillus Calmette–Guérin</w:t>
      </w:r>
    </w:p>
    <w:p w14:paraId="7811C5CC" w14:textId="338AA406" w:rsidR="000A03DD" w:rsidRDefault="00616EE6" w:rsidP="00927E09">
      <w:pPr>
        <w:pStyle w:val="Appendix"/>
        <w:spacing w:after="0"/>
        <w:rPr>
          <w:b w:val="0"/>
          <w:caps w:val="0"/>
          <w:sz w:val="18"/>
          <w:szCs w:val="18"/>
        </w:rPr>
      </w:pPr>
      <w:r w:rsidRPr="00616EE6">
        <w:rPr>
          <w:bCs/>
          <w:caps w:val="0"/>
          <w:sz w:val="18"/>
          <w:szCs w:val="18"/>
        </w:rPr>
        <w:t>EAU:</w:t>
      </w:r>
      <w:r>
        <w:rPr>
          <w:b w:val="0"/>
          <w:caps w:val="0"/>
          <w:sz w:val="18"/>
          <w:szCs w:val="18"/>
        </w:rPr>
        <w:t xml:space="preserve"> </w:t>
      </w:r>
      <w:r w:rsidRPr="00616EE6">
        <w:rPr>
          <w:b w:val="0"/>
          <w:caps w:val="0"/>
          <w:sz w:val="18"/>
          <w:szCs w:val="18"/>
        </w:rPr>
        <w:t xml:space="preserve">European Association of Urology </w:t>
      </w:r>
    </w:p>
    <w:p w14:paraId="78F26610" w14:textId="0BC374D5" w:rsidR="00927E09" w:rsidRDefault="00927E09" w:rsidP="00927E09">
      <w:pPr>
        <w:pStyle w:val="Appendix"/>
        <w:rPr>
          <w:b w:val="0"/>
          <w:caps w:val="0"/>
          <w:sz w:val="18"/>
          <w:szCs w:val="18"/>
        </w:rPr>
      </w:pPr>
      <w:r w:rsidRPr="00927E09">
        <w:rPr>
          <w:bCs/>
          <w:caps w:val="0"/>
          <w:sz w:val="18"/>
          <w:szCs w:val="18"/>
        </w:rPr>
        <w:t>CT:</w:t>
      </w:r>
      <w:r w:rsidRPr="00927E09">
        <w:rPr>
          <w:b w:val="0"/>
          <w:caps w:val="0"/>
          <w:sz w:val="18"/>
          <w:szCs w:val="18"/>
        </w:rPr>
        <w:t xml:space="preserve"> Computed tomography</w:t>
      </w:r>
    </w:p>
    <w:p w14:paraId="5E446CEE" w14:textId="11515F4E" w:rsidR="00BA2D3E" w:rsidRDefault="00BA2D3E" w:rsidP="00927E09">
      <w:pPr>
        <w:pStyle w:val="Appendix"/>
        <w:rPr>
          <w:b w:val="0"/>
          <w:caps w:val="0"/>
          <w:sz w:val="18"/>
          <w:szCs w:val="18"/>
        </w:rPr>
      </w:pPr>
      <w:r w:rsidRPr="00BA2D3E">
        <w:rPr>
          <w:rFonts w:ascii="Times New Roman" w:hAnsi="Times New Roman"/>
          <w:bCs/>
          <w:noProof/>
          <w:sz w:val="30"/>
          <w:szCs w:val="30"/>
          <w:lang w:val="fr-FR" w:eastAsia="fr-FR"/>
        </w:rPr>
        <w:drawing>
          <wp:anchor distT="0" distB="0" distL="114300" distR="114300" simplePos="0" relativeHeight="251659264" behindDoc="0" locked="0" layoutInCell="1" allowOverlap="1" wp14:anchorId="2A2FD43B" wp14:editId="292FC0B4">
            <wp:simplePos x="0" y="0"/>
            <wp:positionH relativeFrom="margin">
              <wp:align>left</wp:align>
            </wp:positionH>
            <wp:positionV relativeFrom="paragraph">
              <wp:posOffset>19213</wp:posOffset>
            </wp:positionV>
            <wp:extent cx="6053455" cy="3238500"/>
            <wp:effectExtent l="0" t="0" r="4445" b="0"/>
            <wp:wrapSquare wrapText="bothSides"/>
            <wp:docPr id="1561827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345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36FEA" w14:textId="77777777" w:rsidR="00BA2D3E" w:rsidRDefault="00BA2D3E" w:rsidP="00927E09">
      <w:pPr>
        <w:pStyle w:val="Appendix"/>
        <w:rPr>
          <w:b w:val="0"/>
          <w:caps w:val="0"/>
          <w:sz w:val="18"/>
          <w:szCs w:val="18"/>
        </w:rPr>
      </w:pPr>
    </w:p>
    <w:p w14:paraId="6A99BAC8" w14:textId="27B5A4FF" w:rsidR="00BA2D3E" w:rsidRDefault="00BA2D3E" w:rsidP="00927E09">
      <w:pPr>
        <w:pStyle w:val="Appendix"/>
        <w:rPr>
          <w:b w:val="0"/>
          <w:caps w:val="0"/>
          <w:sz w:val="18"/>
          <w:szCs w:val="18"/>
        </w:rPr>
      </w:pPr>
    </w:p>
    <w:p w14:paraId="496F33A9"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070CCA2B" w14:textId="41A48FDE" w:rsidR="00BA2D3E" w:rsidRDefault="00BA2D3E" w:rsidP="00BA2D3E">
      <w:pPr>
        <w:spacing w:after="160" w:line="259" w:lineRule="auto"/>
        <w:rPr>
          <w:rFonts w:ascii="Arial" w:eastAsia="Aptos" w:hAnsi="Arial" w:cs="Arial"/>
          <w:b/>
          <w:bCs/>
          <w:kern w:val="2"/>
          <w:sz w:val="22"/>
          <w:szCs w:val="22"/>
          <w14:ligatures w14:val="standardContextual"/>
        </w:rPr>
      </w:pPr>
    </w:p>
    <w:p w14:paraId="33F8EF2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E50D75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E4C54E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D51D6A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C1F14B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5DF1EA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694EA0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B112ED" w14:textId="36DF10D1" w:rsidR="00BA2D3E" w:rsidRDefault="00BA2D3E" w:rsidP="00BA2D3E">
      <w:pPr>
        <w:spacing w:after="160" w:line="259" w:lineRule="auto"/>
        <w:rPr>
          <w:rFonts w:ascii="Times New Roman" w:hAnsi="Times New Roman"/>
          <w:b/>
          <w:bCs/>
          <w:noProof/>
          <w:sz w:val="30"/>
          <w:szCs w:val="30"/>
          <w:lang w:eastAsia="fr-FR"/>
        </w:rPr>
      </w:pPr>
      <w:r w:rsidRPr="00BA2D3E">
        <w:rPr>
          <w:rFonts w:ascii="Arial" w:eastAsia="Aptos" w:hAnsi="Arial" w:cs="Arial"/>
          <w:b/>
          <w:bCs/>
          <w:kern w:val="2"/>
          <w:sz w:val="22"/>
          <w:szCs w:val="22"/>
          <w14:ligatures w14:val="standardContextual"/>
        </w:rPr>
        <w:t>Fig. 1. CT scan images showing bilateral uretero-hydronephrosis upstream of regular bladder wall thickening</w:t>
      </w:r>
      <w:r w:rsidRPr="00BA2D3E">
        <w:rPr>
          <w:rFonts w:ascii="Times New Roman" w:hAnsi="Times New Roman"/>
          <w:b/>
          <w:bCs/>
          <w:noProof/>
          <w:sz w:val="30"/>
          <w:szCs w:val="30"/>
          <w:lang w:eastAsia="fr-FR"/>
        </w:rPr>
        <w:t xml:space="preserve"> </w:t>
      </w:r>
    </w:p>
    <w:p w14:paraId="104956B6" w14:textId="77777777" w:rsidR="00BA2D3E" w:rsidRDefault="00BA2D3E" w:rsidP="00BA2D3E">
      <w:pPr>
        <w:spacing w:after="160" w:line="259" w:lineRule="auto"/>
        <w:rPr>
          <w:rFonts w:ascii="Times New Roman" w:hAnsi="Times New Roman"/>
          <w:b/>
          <w:bCs/>
          <w:noProof/>
          <w:sz w:val="30"/>
          <w:szCs w:val="30"/>
          <w:lang w:eastAsia="fr-FR"/>
        </w:rPr>
      </w:pPr>
    </w:p>
    <w:p w14:paraId="538C88A6" w14:textId="77777777" w:rsidR="00BA2D3E" w:rsidRPr="00BA2D3E" w:rsidRDefault="00BA2D3E" w:rsidP="00BA2D3E">
      <w:pPr>
        <w:spacing w:after="160" w:line="259" w:lineRule="auto"/>
        <w:rPr>
          <w:rFonts w:ascii="Aptos" w:eastAsia="Aptos" w:hAnsi="Aptos" w:cs="Arial"/>
          <w:kern w:val="2"/>
          <w:sz w:val="22"/>
          <w:szCs w:val="22"/>
          <w:lang w:val="fr-FR"/>
          <w14:ligatures w14:val="standardContextual"/>
        </w:rPr>
      </w:pPr>
      <w:r w:rsidRPr="00BA2D3E">
        <w:rPr>
          <w:rFonts w:ascii="Times New Roman" w:eastAsia="Aptos" w:hAnsi="Times New Roman"/>
          <w:b/>
          <w:bCs/>
          <w:noProof/>
          <w:kern w:val="2"/>
          <w:sz w:val="16"/>
          <w:szCs w:val="16"/>
          <w:lang w:val="fr-FR"/>
          <w14:ligatures w14:val="standardContextual"/>
        </w:rPr>
        <w:drawing>
          <wp:anchor distT="0" distB="0" distL="114300" distR="114300" simplePos="0" relativeHeight="251661312" behindDoc="0" locked="0" layoutInCell="1" allowOverlap="1" wp14:anchorId="32BDCFC7" wp14:editId="36D8DCF6">
            <wp:simplePos x="0" y="0"/>
            <wp:positionH relativeFrom="margin">
              <wp:align>center</wp:align>
            </wp:positionH>
            <wp:positionV relativeFrom="paragraph">
              <wp:posOffset>0</wp:posOffset>
            </wp:positionV>
            <wp:extent cx="6268720" cy="3081655"/>
            <wp:effectExtent l="0" t="0" r="0" b="4445"/>
            <wp:wrapSquare wrapText="bothSides"/>
            <wp:docPr id="2504640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129" t="6507" r="2717"/>
                    <a:stretch>
                      <a:fillRect/>
                    </a:stretch>
                  </pic:blipFill>
                  <pic:spPr bwMode="auto">
                    <a:xfrm>
                      <a:off x="0" y="0"/>
                      <a:ext cx="6268720" cy="308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33360" w14:textId="77777777" w:rsidR="00BA2D3E" w:rsidRPr="00BA2D3E" w:rsidRDefault="00BA2D3E" w:rsidP="00BA2D3E">
      <w:pPr>
        <w:spacing w:after="160" w:line="259" w:lineRule="auto"/>
        <w:rPr>
          <w:rFonts w:ascii="Times New Roman" w:hAnsi="Times New Roman"/>
          <w:lang w:eastAsia="fr-FR"/>
        </w:rPr>
      </w:pPr>
      <w:r w:rsidRPr="00BA2D3E">
        <w:rPr>
          <w:rFonts w:ascii="Arial" w:eastAsia="Aptos" w:hAnsi="Arial" w:cs="Arial"/>
          <w:b/>
          <w:bCs/>
          <w:kern w:val="2"/>
          <w:sz w:val="22"/>
          <w:szCs w:val="22"/>
          <w14:ligatures w14:val="standardContextual"/>
        </w:rPr>
        <w:lastRenderedPageBreak/>
        <w:t xml:space="preserve">Fig. 2. Retrograde </w:t>
      </w:r>
      <w:proofErr w:type="spellStart"/>
      <w:r w:rsidRPr="00BA2D3E">
        <w:rPr>
          <w:rFonts w:ascii="Arial" w:eastAsia="Aptos" w:hAnsi="Arial" w:cs="Arial"/>
          <w:b/>
          <w:bCs/>
          <w:kern w:val="2"/>
          <w:sz w:val="22"/>
          <w:szCs w:val="22"/>
          <w14:ligatures w14:val="standardContextual"/>
        </w:rPr>
        <w:t>ureteropyelography</w:t>
      </w:r>
      <w:proofErr w:type="spellEnd"/>
      <w:r w:rsidRPr="00BA2D3E">
        <w:rPr>
          <w:rFonts w:ascii="Arial" w:eastAsia="Aptos" w:hAnsi="Arial" w:cs="Arial"/>
          <w:b/>
          <w:bCs/>
          <w:kern w:val="2"/>
          <w:sz w:val="22"/>
          <w:szCs w:val="22"/>
          <w14:ligatures w14:val="standardContextual"/>
        </w:rPr>
        <w:t xml:space="preserve"> showing bilateral ureteral dilation upstream of distal pelvic ureteral narrowing; right ureter (a), left ureter (b).</w:t>
      </w:r>
    </w:p>
    <w:p w14:paraId="65B6D95E"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46EEB585" w14:textId="77777777"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Times New Roman" w:eastAsia="Aptos" w:hAnsi="Times New Roman"/>
          <w:b/>
          <w:bCs/>
          <w:noProof/>
          <w:kern w:val="2"/>
          <w14:ligatures w14:val="standardContextual"/>
        </w:rPr>
        <w:drawing>
          <wp:anchor distT="0" distB="0" distL="114300" distR="114300" simplePos="0" relativeHeight="251663360" behindDoc="0" locked="0" layoutInCell="1" allowOverlap="1" wp14:anchorId="2ABFF3D8" wp14:editId="20FA5D38">
            <wp:simplePos x="0" y="0"/>
            <wp:positionH relativeFrom="column">
              <wp:posOffset>-76200</wp:posOffset>
            </wp:positionH>
            <wp:positionV relativeFrom="paragraph">
              <wp:posOffset>0</wp:posOffset>
            </wp:positionV>
            <wp:extent cx="5716270" cy="3536950"/>
            <wp:effectExtent l="0" t="0" r="0" b="6350"/>
            <wp:wrapSquare wrapText="bothSides"/>
            <wp:docPr id="1945777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008" t="3422" r="2744" b="2933"/>
                    <a:stretch>
                      <a:fillRect/>
                    </a:stretch>
                  </pic:blipFill>
                  <pic:spPr bwMode="auto">
                    <a:xfrm>
                      <a:off x="0" y="0"/>
                      <a:ext cx="5716270" cy="353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9635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54C35A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E919A7C"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4EBD97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17564FD"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209848"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7094C5A"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BAB8FB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4360A2B"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A066B8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A0F4D8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7BEDD7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1F4EB1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EB684A9" w14:textId="6575596F"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Arial" w:eastAsia="Aptos" w:hAnsi="Arial" w:cs="Arial"/>
          <w:b/>
          <w:bCs/>
          <w:kern w:val="2"/>
          <w:sz w:val="22"/>
          <w:szCs w:val="22"/>
          <w14:ligatures w14:val="standardContextual"/>
        </w:rPr>
        <w:t>Fig. 3. Cystoscopy showing visualization of both ureteral orifices with diffuse inflammatory lesions, particularly peri-meatal on the left side and retro-trigonal.</w:t>
      </w:r>
    </w:p>
    <w:p w14:paraId="4B0C1CF6"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353F7CBC"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49DEA62C" w14:textId="77777777" w:rsidR="00BA2D3E" w:rsidRPr="000A03DD" w:rsidRDefault="00BA2D3E" w:rsidP="00927E09">
      <w:pPr>
        <w:pStyle w:val="Appendix"/>
        <w:rPr>
          <w:b w:val="0"/>
          <w:caps w:val="0"/>
          <w:sz w:val="18"/>
          <w:szCs w:val="18"/>
        </w:rPr>
      </w:pPr>
    </w:p>
    <w:sectPr w:rsidR="00BA2D3E" w:rsidRPr="000A03DD" w:rsidSect="00A33559">
      <w:headerReference w:type="even" r:id="rId21"/>
      <w:headerReference w:type="default" r:id="rId22"/>
      <w:footerReference w:type="default" r:id="rId23"/>
      <w:headerReference w:type="first" r:id="rId24"/>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olulope Ogunfowora" w:date="2026-03-24T12:11:00Z" w:initials="TO">
    <w:p w14:paraId="05208381" w14:textId="2C3125D1" w:rsidR="00DC22F1" w:rsidRDefault="00DC22F1">
      <w:pPr>
        <w:pStyle w:val="CommentText"/>
      </w:pPr>
      <w:r>
        <w:rPr>
          <w:rStyle w:val="CommentReference"/>
        </w:rPr>
        <w:annotationRef/>
      </w:r>
      <w:r>
        <w:t>Objective of the article highlighted.</w:t>
      </w:r>
    </w:p>
  </w:comment>
  <w:comment w:id="1" w:author="Tolulope Ogunfowora" w:date="2026-03-24T12:12:00Z" w:initials="TO">
    <w:p w14:paraId="74849B43" w14:textId="1E455F77" w:rsidR="00DC22F1" w:rsidRDefault="00DC22F1">
      <w:pPr>
        <w:pStyle w:val="CommentText"/>
      </w:pPr>
      <w:r>
        <w:rPr>
          <w:rStyle w:val="CommentReference"/>
        </w:rPr>
        <w:annotationRef/>
      </w:r>
    </w:p>
  </w:comment>
  <w:comment w:id="2" w:author="Tolulope Ogunfowora" w:date="2026-03-24T12:13:00Z" w:initials="TO">
    <w:p w14:paraId="666C1119" w14:textId="42CC8187" w:rsidR="00DC22F1" w:rsidRDefault="00DC22F1">
      <w:pPr>
        <w:pStyle w:val="CommentText"/>
      </w:pPr>
      <w:r>
        <w:rPr>
          <w:rStyle w:val="CommentReference"/>
        </w:rPr>
        <w:annotationRef/>
      </w:r>
      <w:r>
        <w:t>Well drafted abstract which gives an overview of the article</w:t>
      </w:r>
    </w:p>
  </w:comment>
  <w:comment w:id="3" w:author="Tolulope Ogunfowora" w:date="2026-03-24T12:14:00Z" w:initials="TO">
    <w:p w14:paraId="3A91F178" w14:textId="0BE96D73" w:rsidR="00DC22F1" w:rsidRDefault="00DC22F1">
      <w:pPr>
        <w:pStyle w:val="CommentText"/>
      </w:pPr>
      <w:r>
        <w:rPr>
          <w:rStyle w:val="CommentReference"/>
        </w:rPr>
        <w:annotationRef/>
      </w:r>
    </w:p>
  </w:comment>
  <w:comment w:id="4" w:author="Tolulope Ogunfowora" w:date="2026-03-24T12:14:00Z" w:initials="TO">
    <w:p w14:paraId="15189AFD" w14:textId="6BFE96F4" w:rsidR="00DC22F1" w:rsidRDefault="00DC22F1">
      <w:pPr>
        <w:pStyle w:val="CommentText"/>
      </w:pPr>
      <w:r>
        <w:rPr>
          <w:rStyle w:val="CommentReference"/>
        </w:rPr>
        <w:annotationRef/>
      </w:r>
    </w:p>
  </w:comment>
  <w:comment w:id="5" w:author="Tolulope Ogunfowora" w:date="2026-03-24T14:24:00Z" w:initials="TO">
    <w:p w14:paraId="65C75643" w14:textId="77777777" w:rsidR="00B947EF" w:rsidRDefault="00B947EF">
      <w:pPr>
        <w:pStyle w:val="CommentText"/>
      </w:pPr>
      <w:r>
        <w:rPr>
          <w:rStyle w:val="CommentReference"/>
        </w:rPr>
        <w:annotationRef/>
      </w:r>
      <w:r>
        <w:t>Representative Keywords.</w:t>
      </w:r>
    </w:p>
    <w:p w14:paraId="28E99FB3" w14:textId="7E4FCA87" w:rsidR="00B947EF" w:rsidRDefault="00B947EF">
      <w:pPr>
        <w:pStyle w:val="CommentText"/>
      </w:pPr>
      <w:r>
        <w:t xml:space="preserve">I would suggest adding Mycobacterium bovis to the list </w:t>
      </w:r>
    </w:p>
  </w:comment>
  <w:comment w:id="6" w:author="Tolulope Ogunfowora" w:date="2026-03-24T14:26:00Z" w:initials="TO">
    <w:p w14:paraId="56198AF6" w14:textId="2CF4EB31" w:rsidR="00B947EF" w:rsidRDefault="00B947EF">
      <w:pPr>
        <w:pStyle w:val="CommentText"/>
      </w:pPr>
      <w:r>
        <w:rPr>
          <w:rStyle w:val="CommentReference"/>
        </w:rPr>
        <w:annotationRef/>
      </w:r>
    </w:p>
  </w:comment>
  <w:comment w:id="7" w:author="Tolulope Ogunfowora" w:date="2026-03-24T12:15:00Z" w:initials="TO">
    <w:p w14:paraId="2C0E01C3" w14:textId="77777777" w:rsidR="00DC22F1" w:rsidRDefault="00DC22F1">
      <w:pPr>
        <w:pStyle w:val="CommentText"/>
      </w:pPr>
      <w:r>
        <w:rPr>
          <w:rStyle w:val="CommentReference"/>
        </w:rPr>
        <w:annotationRef/>
      </w:r>
      <w:r>
        <w:t>Would be good to reference this statement.</w:t>
      </w:r>
    </w:p>
    <w:p w14:paraId="20F1ED94" w14:textId="687E3E97" w:rsidR="00DC22F1" w:rsidRDefault="00DC22F1">
      <w:pPr>
        <w:pStyle w:val="CommentText"/>
      </w:pPr>
      <w:r>
        <w:t>It would be good to expand on this paragraph and define BCG i.e what is BCG?</w:t>
      </w:r>
      <w:r w:rsidR="00CE47F9">
        <w:t xml:space="preserve"> This would help readers appreciate the possible complications.</w:t>
      </w:r>
    </w:p>
  </w:comment>
  <w:comment w:id="8" w:author="Tolulope Ogunfowora" w:date="2026-03-24T12:15:00Z" w:initials="TO">
    <w:p w14:paraId="6B46A327" w14:textId="0FEDF8E5" w:rsidR="00DC22F1" w:rsidRDefault="00DC22F1">
      <w:pPr>
        <w:pStyle w:val="CommentText"/>
      </w:pPr>
      <w:r>
        <w:rPr>
          <w:rStyle w:val="CommentReference"/>
        </w:rPr>
        <w:annotationRef/>
      </w:r>
    </w:p>
  </w:comment>
  <w:comment w:id="9" w:author="Tolulope Ogunfowora" w:date="2026-03-24T12:16:00Z" w:initials="TO">
    <w:p w14:paraId="3772280F" w14:textId="31778A23" w:rsidR="00DC22F1" w:rsidRDefault="00DC22F1">
      <w:pPr>
        <w:pStyle w:val="CommentText"/>
      </w:pPr>
      <w:r>
        <w:rPr>
          <w:rStyle w:val="CommentReference"/>
        </w:rPr>
        <w:annotationRef/>
      </w:r>
    </w:p>
  </w:comment>
  <w:comment w:id="10" w:author="Tolulope Ogunfowora" w:date="2026-03-24T14:35:00Z" w:initials="TO">
    <w:p w14:paraId="1EE08A65" w14:textId="5172AE0E" w:rsidR="001C4768" w:rsidRDefault="001C4768">
      <w:pPr>
        <w:pStyle w:val="CommentText"/>
      </w:pPr>
      <w:r>
        <w:rPr>
          <w:rStyle w:val="CommentReference"/>
        </w:rPr>
        <w:annotationRef/>
      </w:r>
      <w:r>
        <w:t>It would be good to include the interval of time between the commencement of BCG treatment and onset of AKI.</w:t>
      </w:r>
    </w:p>
  </w:comment>
  <w:comment w:id="11" w:author="Tolulope Ogunfowora" w:date="2026-03-24T14:37:00Z" w:initials="TO">
    <w:p w14:paraId="378C3238" w14:textId="186F4DBC" w:rsidR="001C4768" w:rsidRDefault="001C4768">
      <w:pPr>
        <w:pStyle w:val="CommentText"/>
      </w:pPr>
      <w:r>
        <w:rPr>
          <w:rStyle w:val="CommentReference"/>
        </w:rPr>
        <w:annotationRef/>
      </w:r>
    </w:p>
  </w:comment>
  <w:comment w:id="12" w:author="Tolulope Ogunfowora" w:date="2026-03-24T14:19:00Z" w:initials="TO">
    <w:p w14:paraId="20B8C019" w14:textId="68F825C1" w:rsidR="008A6CA4" w:rsidRDefault="008A6CA4">
      <w:pPr>
        <w:pStyle w:val="CommentText"/>
      </w:pPr>
      <w:r>
        <w:rPr>
          <w:rStyle w:val="CommentReference"/>
        </w:rPr>
        <w:annotationRef/>
      </w:r>
      <w:r>
        <w:t xml:space="preserve">How </w:t>
      </w:r>
      <w:r>
        <w:t xml:space="preserve">long has the patient been followed-up after discontinuation of </w:t>
      </w:r>
      <w:r w:rsidR="00B947EF">
        <w:t xml:space="preserve">BCG </w:t>
      </w:r>
      <w:r>
        <w:t>therapy</w:t>
      </w:r>
    </w:p>
  </w:comment>
  <w:comment w:id="13" w:author="Tolulope Ogunfowora" w:date="2026-03-24T14:20:00Z" w:initials="TO">
    <w:p w14:paraId="12CD4AA9" w14:textId="68B5FE4C" w:rsidR="00B947EF" w:rsidRDefault="00B947EF">
      <w:pPr>
        <w:pStyle w:val="CommentText"/>
      </w:pPr>
      <w:r>
        <w:rPr>
          <w:rStyle w:val="CommentReference"/>
        </w:rPr>
        <w:annotationRef/>
      </w:r>
    </w:p>
  </w:comment>
  <w:comment w:id="14" w:author="Tolulope Ogunfowora" w:date="2026-03-24T16:39:00Z" w:initials="TO">
    <w:p w14:paraId="0797613F" w14:textId="7E37F55B" w:rsidR="00E73A8E" w:rsidRDefault="00E73A8E">
      <w:pPr>
        <w:pStyle w:val="CommentText"/>
      </w:pPr>
      <w:r>
        <w:rPr>
          <w:rStyle w:val="CommentReference"/>
        </w:rPr>
        <w:annotationRef/>
      </w:r>
      <w:r>
        <w:t xml:space="preserve">It would be good to state how long the patient had been followed-up on conservative mangement only. </w:t>
      </w:r>
    </w:p>
  </w:comment>
  <w:comment w:id="15" w:author="Tolulope Ogunfowora" w:date="2026-03-24T16:40:00Z" w:initials="TO">
    <w:p w14:paraId="43CCA8AF" w14:textId="1D7013EC" w:rsidR="00E73A8E" w:rsidRDefault="00E73A8E">
      <w:pPr>
        <w:pStyle w:val="CommentText"/>
      </w:pPr>
      <w:r>
        <w:rPr>
          <w:rStyle w:val="CommentReference"/>
        </w:rPr>
        <w:annotationRef/>
      </w:r>
    </w:p>
  </w:comment>
  <w:comment w:id="16" w:author="Tolulope Ogunfowora" w:date="2026-03-24T16:41:00Z" w:initials="TO">
    <w:p w14:paraId="6FB9101C" w14:textId="20B9ACDF" w:rsidR="00E73A8E" w:rsidRDefault="00E73A8E">
      <w:pPr>
        <w:pStyle w:val="CommentText"/>
      </w:pPr>
      <w:r>
        <w:rPr>
          <w:rStyle w:val="CommentReference"/>
        </w:rPr>
        <w:annotationRef/>
      </w:r>
      <w:r>
        <w:t>Good conclusion. I congratulate the authors for this interesting report. It has described this rare clinical entity and potential complication of intravesical BCG therapy.</w:t>
      </w:r>
    </w:p>
  </w:comment>
  <w:comment w:id="17" w:author="Tolulope Ogunfowora" w:date="2026-03-24T16:44:00Z" w:initials="TO">
    <w:p w14:paraId="0E29B1A5" w14:textId="7090B71E" w:rsidR="00E73A8E" w:rsidRDefault="00E73A8E">
      <w:pPr>
        <w:pStyle w:val="CommentText"/>
      </w:pPr>
      <w:r>
        <w:rPr>
          <w:rStyle w:val="CommentReference"/>
        </w:rPr>
        <w:annotationRef/>
      </w:r>
    </w:p>
  </w:comment>
  <w:comment w:id="18" w:author="Tolulope Ogunfowora" w:date="2026-03-24T16:50:00Z" w:initials="TO">
    <w:p w14:paraId="0F4990E4" w14:textId="1C96C1EC" w:rsidR="0023096B" w:rsidRDefault="0023096B">
      <w:pPr>
        <w:pStyle w:val="CommentText"/>
      </w:pPr>
      <w:r>
        <w:rPr>
          <w:rStyle w:val="CommentReference"/>
        </w:rPr>
        <w:annotationRef/>
      </w:r>
      <w:r>
        <w:t>36% of the references are more than 10 years. It would be good to cite some addition 2-3 more recent references.</w:t>
      </w:r>
    </w:p>
  </w:comment>
  <w:comment w:id="19" w:author="Tolulope Ogunfowora" w:date="2026-03-24T16:52:00Z" w:initials="TO">
    <w:p w14:paraId="5E9A4A28" w14:textId="601BCF0D" w:rsidR="0023096B" w:rsidRDefault="0023096B">
      <w:pPr>
        <w:pStyle w:val="CommentText"/>
      </w:pPr>
      <w:r>
        <w:rPr>
          <w:rStyle w:val="CommentReference"/>
        </w:rPr>
        <w:annotationRef/>
      </w:r>
    </w:p>
  </w:comment>
  <w:comment w:id="20" w:author="Tolulope Ogunfowora" w:date="2026-03-24T16:56:00Z" w:initials="TO">
    <w:p w14:paraId="49958A42" w14:textId="77777777" w:rsidR="00B54B5D" w:rsidRDefault="00B54B5D">
      <w:pPr>
        <w:pStyle w:val="CommentText"/>
      </w:pPr>
      <w:r>
        <w:rPr>
          <w:rStyle w:val="CommentReference"/>
        </w:rPr>
        <w:annotationRef/>
      </w:r>
      <w:r>
        <w:t>Relevant citations overall</w:t>
      </w:r>
    </w:p>
    <w:p w14:paraId="635BA2AA" w14:textId="77777777" w:rsidR="00B54B5D" w:rsidRDefault="00B54B5D">
      <w:pPr>
        <w:pStyle w:val="CommentText"/>
      </w:pPr>
      <w:r>
        <w:t>Authors to kindly check citations of reference 5 (authors -for consisitency of referencing style)</w:t>
      </w:r>
    </w:p>
    <w:p w14:paraId="0761CD99" w14:textId="77777777" w:rsidR="00B54B5D" w:rsidRDefault="00B54B5D">
      <w:pPr>
        <w:pStyle w:val="CommentText"/>
      </w:pPr>
      <w:r>
        <w:t>Number 7 (kindly check pagination)</w:t>
      </w:r>
    </w:p>
    <w:p w14:paraId="05CEC05C" w14:textId="62D64B5F" w:rsidR="00B54B5D" w:rsidRDefault="00B54B5D">
      <w:pPr>
        <w:pStyle w:val="CommentText"/>
      </w:pPr>
      <w:r>
        <w:t>Number 8 (kindly check pagination)</w:t>
      </w:r>
    </w:p>
  </w:comment>
  <w:comment w:id="21" w:author="Tolulope Ogunfowora" w:date="2026-03-24T16:59:00Z" w:initials="TO">
    <w:p w14:paraId="5216702D" w14:textId="41DA4112" w:rsidR="00B54B5D" w:rsidRDefault="00B54B5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5208381" w15:done="0"/>
  <w15:commentEx w15:paraId="74849B43" w15:paraIdParent="05208381" w15:done="0"/>
  <w15:commentEx w15:paraId="666C1119" w15:done="1"/>
  <w15:commentEx w15:paraId="3A91F178" w15:paraIdParent="666C1119" w15:done="0"/>
  <w15:commentEx w15:paraId="15189AFD" w15:paraIdParent="666C1119" w15:done="0"/>
  <w15:commentEx w15:paraId="28E99FB3" w15:done="0"/>
  <w15:commentEx w15:paraId="56198AF6" w15:paraIdParent="28E99FB3" w15:done="0"/>
  <w15:commentEx w15:paraId="20F1ED94" w15:done="0"/>
  <w15:commentEx w15:paraId="6B46A327" w15:paraIdParent="20F1ED94" w15:done="0"/>
  <w15:commentEx w15:paraId="3772280F" w15:done="0"/>
  <w15:commentEx w15:paraId="1EE08A65" w15:done="0"/>
  <w15:commentEx w15:paraId="378C3238" w15:paraIdParent="1EE08A65" w15:done="0"/>
  <w15:commentEx w15:paraId="20B8C019" w15:done="0"/>
  <w15:commentEx w15:paraId="12CD4AA9" w15:paraIdParent="20B8C019" w15:done="0"/>
  <w15:commentEx w15:paraId="0797613F" w15:done="0"/>
  <w15:commentEx w15:paraId="43CCA8AF" w15:paraIdParent="0797613F" w15:done="0"/>
  <w15:commentEx w15:paraId="6FB9101C" w15:done="0"/>
  <w15:commentEx w15:paraId="0E29B1A5" w15:paraIdParent="6FB9101C" w15:done="0"/>
  <w15:commentEx w15:paraId="0F4990E4" w15:done="0"/>
  <w15:commentEx w15:paraId="5E9A4A28" w15:paraIdParent="0F4990E4" w15:done="0"/>
  <w15:commentEx w15:paraId="05CEC05C" w15:done="0"/>
  <w15:commentEx w15:paraId="5216702D" w15:paraIdParent="05CEC0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D29530D" w16cex:dateUtc="2026-03-24T12:11:00Z"/>
  <w16cex:commentExtensible w16cex:durableId="63E4667D" w16cex:dateUtc="2026-03-24T12:12:00Z"/>
  <w16cex:commentExtensible w16cex:durableId="3E3F84AE" w16cex:dateUtc="2026-03-24T12:13:00Z"/>
  <w16cex:commentExtensible w16cex:durableId="756B1E21" w16cex:dateUtc="2026-03-24T12:14:00Z"/>
  <w16cex:commentExtensible w16cex:durableId="0A766B28" w16cex:dateUtc="2026-03-24T12:14:00Z"/>
  <w16cex:commentExtensible w16cex:durableId="5F131F7F" w16cex:dateUtc="2026-03-24T14:24:00Z"/>
  <w16cex:commentExtensible w16cex:durableId="7E5A2FBC" w16cex:dateUtc="2026-03-24T14:26:00Z"/>
  <w16cex:commentExtensible w16cex:durableId="02FD042F" w16cex:dateUtc="2026-03-24T12:15:00Z"/>
  <w16cex:commentExtensible w16cex:durableId="6ACA1AAF" w16cex:dateUtc="2026-03-24T12:15:00Z"/>
  <w16cex:commentExtensible w16cex:durableId="34350BD0" w16cex:dateUtc="2026-03-24T12:16:00Z"/>
  <w16cex:commentExtensible w16cex:durableId="071DF96E" w16cex:dateUtc="2026-03-24T14:35:00Z"/>
  <w16cex:commentExtensible w16cex:durableId="7A0C0F72" w16cex:dateUtc="2026-03-24T14:37:00Z"/>
  <w16cex:commentExtensible w16cex:durableId="53E2026B" w16cex:dateUtc="2026-03-24T14:19:00Z"/>
  <w16cex:commentExtensible w16cex:durableId="10205CA5" w16cex:dateUtc="2026-03-24T14:20:00Z"/>
  <w16cex:commentExtensible w16cex:durableId="1478ABC4" w16cex:dateUtc="2026-03-24T16:39:00Z"/>
  <w16cex:commentExtensible w16cex:durableId="390019BE" w16cex:dateUtc="2026-03-24T16:40:00Z"/>
  <w16cex:commentExtensible w16cex:durableId="6EDFDE94" w16cex:dateUtc="2026-03-24T16:41:00Z"/>
  <w16cex:commentExtensible w16cex:durableId="7E79E92D" w16cex:dateUtc="2026-03-24T16:44:00Z"/>
  <w16cex:commentExtensible w16cex:durableId="5055F346" w16cex:dateUtc="2026-03-24T16:50:00Z"/>
  <w16cex:commentExtensible w16cex:durableId="417B940A" w16cex:dateUtc="2026-03-24T16:52:00Z"/>
  <w16cex:commentExtensible w16cex:durableId="2659D2DA" w16cex:dateUtc="2026-03-24T16:56:00Z"/>
  <w16cex:commentExtensible w16cex:durableId="5CA4CDC6" w16cex:dateUtc="2026-03-24T1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5208381" w16cid:durableId="7D29530D"/>
  <w16cid:commentId w16cid:paraId="74849B43" w16cid:durableId="63E4667D"/>
  <w16cid:commentId w16cid:paraId="666C1119" w16cid:durableId="3E3F84AE"/>
  <w16cid:commentId w16cid:paraId="3A91F178" w16cid:durableId="756B1E21"/>
  <w16cid:commentId w16cid:paraId="15189AFD" w16cid:durableId="0A766B28"/>
  <w16cid:commentId w16cid:paraId="28E99FB3" w16cid:durableId="5F131F7F"/>
  <w16cid:commentId w16cid:paraId="56198AF6" w16cid:durableId="7E5A2FBC"/>
  <w16cid:commentId w16cid:paraId="20F1ED94" w16cid:durableId="02FD042F"/>
  <w16cid:commentId w16cid:paraId="6B46A327" w16cid:durableId="6ACA1AAF"/>
  <w16cid:commentId w16cid:paraId="3772280F" w16cid:durableId="34350BD0"/>
  <w16cid:commentId w16cid:paraId="1EE08A65" w16cid:durableId="071DF96E"/>
  <w16cid:commentId w16cid:paraId="378C3238" w16cid:durableId="7A0C0F72"/>
  <w16cid:commentId w16cid:paraId="20B8C019" w16cid:durableId="53E2026B"/>
  <w16cid:commentId w16cid:paraId="12CD4AA9" w16cid:durableId="10205CA5"/>
  <w16cid:commentId w16cid:paraId="0797613F" w16cid:durableId="1478ABC4"/>
  <w16cid:commentId w16cid:paraId="43CCA8AF" w16cid:durableId="390019BE"/>
  <w16cid:commentId w16cid:paraId="6FB9101C" w16cid:durableId="6EDFDE94"/>
  <w16cid:commentId w16cid:paraId="0E29B1A5" w16cid:durableId="7E79E92D"/>
  <w16cid:commentId w16cid:paraId="0F4990E4" w16cid:durableId="5055F346"/>
  <w16cid:commentId w16cid:paraId="5E9A4A28" w16cid:durableId="417B940A"/>
  <w16cid:commentId w16cid:paraId="05CEC05C" w16cid:durableId="2659D2DA"/>
  <w16cid:commentId w16cid:paraId="5216702D" w16cid:durableId="5CA4CD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904B0" w14:textId="77777777" w:rsidR="003D797F" w:rsidRPr="000A03DD" w:rsidRDefault="003D797F" w:rsidP="00C37E61">
      <w:r w:rsidRPr="000A03DD">
        <w:separator/>
      </w:r>
    </w:p>
  </w:endnote>
  <w:endnote w:type="continuationSeparator" w:id="0">
    <w:p w14:paraId="2D2D3FB3" w14:textId="77777777" w:rsidR="003D797F" w:rsidRPr="000A03DD" w:rsidRDefault="003D797F" w:rsidP="00C37E61">
      <w:r w:rsidRPr="000A03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BD958" w14:textId="77777777" w:rsidR="00A33559" w:rsidRDefault="00A335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1E43" w14:textId="4D20BF5C" w:rsidR="00C37E61" w:rsidRPr="000A03DD" w:rsidRDefault="00FB229A" w:rsidP="00C37E61">
    <w:pPr>
      <w:pStyle w:val="Footer"/>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6E1B0" w14:textId="77777777" w:rsidR="009E048A" w:rsidRPr="000A03DD" w:rsidRDefault="009E048A">
    <w:pPr>
      <w:pStyle w:val="Footer"/>
      <w:rPr>
        <w:rFonts w:ascii="Arial" w:hAnsi="Arial" w:cs="Arial"/>
        <w:sz w:val="16"/>
      </w:rPr>
    </w:pPr>
  </w:p>
  <w:p w14:paraId="668CD01D" w14:textId="77777777" w:rsidR="009E048A" w:rsidRPr="000A03DD" w:rsidRDefault="009E048A" w:rsidP="009E048A">
    <w:pPr>
      <w:pStyle w:val="Footer"/>
      <w:jc w:val="center"/>
      <w:rPr>
        <w:rFonts w:ascii="Arial" w:hAnsi="Arial" w:cs="Arial"/>
        <w:sz w:val="16"/>
      </w:rPr>
    </w:pPr>
    <w:r w:rsidRPr="000A03DD">
      <w:rPr>
        <w:rFonts w:ascii="Arial" w:hAnsi="Arial" w:cs="Arial"/>
        <w:sz w:val="16"/>
      </w:rPr>
      <w:t>______________________________________________________________________</w:t>
    </w:r>
    <w:r w:rsidR="00BF121F" w:rsidRPr="000A03DD">
      <w:rPr>
        <w:rFonts w:ascii="Arial" w:hAnsi="Arial" w:cs="Arial"/>
        <w:sz w:val="16"/>
      </w:rPr>
      <w:t>______________________</w:t>
    </w:r>
  </w:p>
  <w:p w14:paraId="4318C4B2" w14:textId="77777777" w:rsidR="009E048A" w:rsidRPr="000A03DD" w:rsidRDefault="009E048A">
    <w:pPr>
      <w:pStyle w:val="Footer"/>
      <w:rPr>
        <w:rFonts w:ascii="Arial" w:hAnsi="Arial" w:cs="Arial"/>
        <w:sz w:val="16"/>
      </w:rPr>
    </w:pPr>
  </w:p>
  <w:p w14:paraId="283ECA8A" w14:textId="77777777" w:rsidR="00754C9A" w:rsidRPr="000A03DD" w:rsidRDefault="00754C9A">
    <w:pPr>
      <w:pStyle w:val="Footer"/>
      <w:rPr>
        <w:rFonts w:ascii="Arial" w:hAnsi="Arial" w:cs="Arial"/>
        <w:i/>
        <w:sz w:val="16"/>
      </w:rPr>
    </w:pPr>
    <w:r w:rsidRPr="000A03DD">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70517"/>
      <w:docPartObj>
        <w:docPartGallery w:val="Page Numbers (Bottom of Page)"/>
        <w:docPartUnique/>
      </w:docPartObj>
    </w:sdtPr>
    <w:sdtContent>
      <w:p w14:paraId="17171DCE" w14:textId="354B712F" w:rsidR="00FB229A" w:rsidRDefault="00FB229A">
        <w:pPr>
          <w:pStyle w:val="Footer"/>
          <w:jc w:val="center"/>
        </w:pPr>
        <w:r>
          <w:fldChar w:fldCharType="begin"/>
        </w:r>
        <w:r>
          <w:instrText>PAGE   \* MERGEFORMAT</w:instrText>
        </w:r>
        <w:r>
          <w:fldChar w:fldCharType="separate"/>
        </w:r>
        <w:r>
          <w:rPr>
            <w:lang w:val="fr-FR"/>
          </w:rPr>
          <w:t>2</w:t>
        </w:r>
        <w:r>
          <w:fldChar w:fldCharType="end"/>
        </w:r>
      </w:p>
    </w:sdtContent>
  </w:sdt>
  <w:p w14:paraId="18E1BDC3" w14:textId="77777777" w:rsidR="00C37E61" w:rsidRPr="000A03DD"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B3D6F" w14:textId="77777777" w:rsidR="003D797F" w:rsidRPr="000A03DD" w:rsidRDefault="003D797F" w:rsidP="00C37E61">
      <w:r w:rsidRPr="000A03DD">
        <w:separator/>
      </w:r>
    </w:p>
  </w:footnote>
  <w:footnote w:type="continuationSeparator" w:id="0">
    <w:p w14:paraId="080DE595" w14:textId="77777777" w:rsidR="003D797F" w:rsidRPr="000A03DD" w:rsidRDefault="003D797F" w:rsidP="00C37E61">
      <w:r w:rsidRPr="000A03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8C8D" w14:textId="625F5112" w:rsidR="00A33559" w:rsidRDefault="00000000">
    <w:pPr>
      <w:pStyle w:val="Header"/>
    </w:pPr>
    <w:r>
      <w:rPr>
        <w:noProof/>
      </w:rPr>
      <w:pict w14:anchorId="4395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4"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48A68" w14:textId="7A4BB132" w:rsidR="00A33559" w:rsidRDefault="00000000">
    <w:pPr>
      <w:pStyle w:val="Header"/>
    </w:pPr>
    <w:r>
      <w:rPr>
        <w:noProof/>
      </w:rPr>
      <w:pict w14:anchorId="2B807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5"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21A4" w14:textId="3DD2C73E" w:rsidR="00296529" w:rsidRPr="000A03DD" w:rsidRDefault="00000000" w:rsidP="00296529">
    <w:pPr>
      <w:ind w:left="2160"/>
      <w:jc w:val="center"/>
      <w:rPr>
        <w:rFonts w:ascii="Times New Roman" w:eastAsia="Calibri" w:hAnsi="Times New Roman"/>
        <w:i/>
        <w:sz w:val="18"/>
        <w:szCs w:val="22"/>
      </w:rPr>
    </w:pPr>
    <w:r>
      <w:rPr>
        <w:noProof/>
      </w:rPr>
      <w:pict w14:anchorId="1CBDF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3"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034DDE" w14:textId="77777777" w:rsidR="00296529" w:rsidRPr="000A03DD" w:rsidRDefault="00754C9A" w:rsidP="00296529">
    <w:pPr>
      <w:ind w:left="4320"/>
      <w:rPr>
        <w:rFonts w:ascii="Times New Roman" w:eastAsia="Calibri" w:hAnsi="Times New Roman"/>
        <w:i/>
        <w:sz w:val="18"/>
        <w:szCs w:val="22"/>
      </w:rPr>
    </w:pPr>
    <w:r w:rsidRPr="000A03DD">
      <w:rPr>
        <w:rFonts w:ascii="Times New Roman" w:eastAsia="Calibri" w:hAnsi="Times New Roman"/>
        <w:i/>
        <w:sz w:val="18"/>
        <w:szCs w:val="22"/>
      </w:rPr>
      <w:t>.</w:t>
    </w:r>
    <w:r w:rsidR="00296529" w:rsidRPr="000A03DD">
      <w:rPr>
        <w:rFonts w:ascii="Times New Roman" w:eastAsia="Calibri" w:hAnsi="Times New Roman"/>
        <w:i/>
        <w:sz w:val="18"/>
        <w:szCs w:val="22"/>
      </w:rPr>
      <w:t xml:space="preserve">     </w:t>
    </w:r>
  </w:p>
  <w:p w14:paraId="05CF2DD2" w14:textId="77777777" w:rsidR="00296529" w:rsidRPr="000A03DD" w:rsidRDefault="00754C9A" w:rsidP="00296529">
    <w:pPr>
      <w:jc w:val="center"/>
      <w:rPr>
        <w:rFonts w:ascii="Times New Roman" w:eastAsia="Calibri" w:hAnsi="Times New Roman"/>
        <w:i/>
        <w:sz w:val="18"/>
        <w:szCs w:val="22"/>
      </w:rPr>
    </w:pPr>
    <w:r w:rsidRPr="000A03DD">
      <w:rPr>
        <w:rFonts w:ascii="Times New Roman" w:eastAsia="Calibri" w:hAnsi="Times New Roman"/>
        <w:i/>
        <w:sz w:val="18"/>
        <w:szCs w:val="22"/>
      </w:rPr>
      <w:t>.</w:t>
    </w:r>
  </w:p>
  <w:p w14:paraId="781D818A" w14:textId="77777777" w:rsidR="00296529" w:rsidRPr="000A03DD" w:rsidRDefault="00296529" w:rsidP="00296529">
    <w:pPr>
      <w:spacing w:after="200"/>
      <w:jc w:val="center"/>
      <w:rPr>
        <w:rFonts w:ascii="Times New Roman" w:eastAsia="Calibri" w:hAnsi="Times New Roman"/>
        <w:b/>
        <w:i/>
        <w:sz w:val="32"/>
        <w:szCs w:val="22"/>
      </w:rPr>
    </w:pPr>
    <w:r w:rsidRPr="000A03DD">
      <w:rPr>
        <w:rFonts w:ascii="Times New Roman" w:eastAsia="Calibri" w:hAnsi="Times New Roman"/>
        <w:b/>
        <w:i/>
        <w:sz w:val="32"/>
        <w:szCs w:val="22"/>
      </w:rPr>
      <w:t xml:space="preserve">              </w:t>
    </w:r>
    <w:r w:rsidR="00754C9A" w:rsidRPr="000A03DD">
      <w:rPr>
        <w:rFonts w:ascii="Times New Roman" w:eastAsia="Calibri" w:hAnsi="Times New Roman"/>
        <w:b/>
        <w:i/>
        <w:sz w:val="32"/>
        <w:szCs w:val="22"/>
      </w:rPr>
      <w:t>.</w:t>
    </w:r>
    <w:r w:rsidRPr="000A03DD">
      <w:rPr>
        <w:rFonts w:ascii="Times New Roman" w:eastAsia="Calibri" w:hAnsi="Times New Roman"/>
        <w:b/>
        <w:i/>
        <w:sz w:val="32"/>
        <w:szCs w:val="22"/>
      </w:rPr>
      <w:t xml:space="preserve"> </w:t>
    </w:r>
  </w:p>
  <w:p w14:paraId="1EFF8A70" w14:textId="77777777" w:rsidR="00296529" w:rsidRPr="000A03DD" w:rsidRDefault="00296529" w:rsidP="00296529">
    <w:pPr>
      <w:jc w:val="center"/>
      <w:rPr>
        <w:rFonts w:ascii="Times New Roman" w:eastAsia="Calibri" w:hAnsi="Times New Roman"/>
        <w:i/>
        <w:sz w:val="18"/>
        <w:szCs w:val="22"/>
      </w:rPr>
    </w:pPr>
    <w:r w:rsidRPr="000A03DD">
      <w:rPr>
        <w:rFonts w:ascii="Times New Roman" w:eastAsia="Calibri" w:hAnsi="Times New Roman"/>
        <w:i/>
        <w:sz w:val="18"/>
        <w:szCs w:val="22"/>
      </w:rPr>
      <w:t xml:space="preserve">                     </w:t>
    </w:r>
  </w:p>
  <w:p w14:paraId="4C6EB58A" w14:textId="77777777" w:rsidR="00296529" w:rsidRPr="000A03DD" w:rsidRDefault="00296529" w:rsidP="00296529">
    <w:pPr>
      <w:tabs>
        <w:tab w:val="left" w:pos="2145"/>
      </w:tabs>
      <w:rPr>
        <w:rFonts w:ascii="Times New Roman" w:eastAsia="Calibri" w:hAnsi="Times New Roman"/>
        <w:i/>
        <w:sz w:val="18"/>
        <w:szCs w:val="22"/>
      </w:rPr>
    </w:pPr>
    <w:r w:rsidRPr="000A03DD">
      <w:rPr>
        <w:rFonts w:ascii="Times New Roman" w:eastAsia="Calibri" w:hAnsi="Times New Roman"/>
        <w:i/>
        <w:sz w:val="18"/>
        <w:szCs w:val="22"/>
      </w:rPr>
      <w:tab/>
    </w:r>
    <w:r w:rsidR="00754C9A" w:rsidRPr="000A03DD">
      <w:rPr>
        <w:rFonts w:ascii="Times New Roman" w:eastAsia="Calibri" w:hAnsi="Times New Roman"/>
        <w:i/>
        <w:sz w:val="18"/>
        <w:szCs w:val="22"/>
      </w:rPr>
      <w:t>.</w:t>
    </w:r>
  </w:p>
  <w:p w14:paraId="4E375A94" w14:textId="77777777" w:rsidR="00296529" w:rsidRPr="000A03DD" w:rsidRDefault="00754C9A">
    <w:pPr>
      <w:pStyle w:val="Header"/>
    </w:pPr>
    <w:r w:rsidRPr="000A03D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6AD4F" w14:textId="595073B1" w:rsidR="00A33559" w:rsidRDefault="00000000">
    <w:pPr>
      <w:pStyle w:val="Header"/>
    </w:pPr>
    <w:r>
      <w:rPr>
        <w:noProof/>
      </w:rPr>
      <w:pict w14:anchorId="4539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7"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7680" w14:textId="53E3FB89" w:rsidR="00A33559" w:rsidRDefault="00000000">
    <w:pPr>
      <w:pStyle w:val="Header"/>
    </w:pPr>
    <w:r>
      <w:rPr>
        <w:noProof/>
      </w:rPr>
      <w:pict w14:anchorId="57A7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8"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063C" w14:textId="7B5E3DB2" w:rsidR="00A33559" w:rsidRDefault="00000000">
    <w:pPr>
      <w:pStyle w:val="Header"/>
    </w:pPr>
    <w:r>
      <w:rPr>
        <w:noProof/>
      </w:rPr>
      <w:pict w14:anchorId="3918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6"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8112689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57787611">
    <w:abstractNumId w:val="15"/>
  </w:num>
  <w:num w:numId="3" w16cid:durableId="45760157">
    <w:abstractNumId w:val="23"/>
  </w:num>
  <w:num w:numId="4" w16cid:durableId="80157583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57719165">
    <w:abstractNumId w:val="7"/>
  </w:num>
  <w:num w:numId="6" w16cid:durableId="1837840770">
    <w:abstractNumId w:val="6"/>
  </w:num>
  <w:num w:numId="7" w16cid:durableId="391776733">
    <w:abstractNumId w:val="1"/>
  </w:num>
  <w:num w:numId="8" w16cid:durableId="2005081656">
    <w:abstractNumId w:val="12"/>
  </w:num>
  <w:num w:numId="9" w16cid:durableId="451099524">
    <w:abstractNumId w:val="25"/>
  </w:num>
  <w:num w:numId="10" w16cid:durableId="299842250">
    <w:abstractNumId w:val="2"/>
  </w:num>
  <w:num w:numId="11" w16cid:durableId="1267423946">
    <w:abstractNumId w:val="18"/>
  </w:num>
  <w:num w:numId="12" w16cid:durableId="1600991961">
    <w:abstractNumId w:val="3"/>
  </w:num>
  <w:num w:numId="13" w16cid:durableId="1462265230">
    <w:abstractNumId w:val="17"/>
  </w:num>
  <w:num w:numId="14" w16cid:durableId="1327048386">
    <w:abstractNumId w:val="8"/>
  </w:num>
  <w:num w:numId="15" w16cid:durableId="387388839">
    <w:abstractNumId w:val="21"/>
  </w:num>
  <w:num w:numId="16" w16cid:durableId="1988045496">
    <w:abstractNumId w:val="5"/>
  </w:num>
  <w:num w:numId="17" w16cid:durableId="2000188472">
    <w:abstractNumId w:val="22"/>
  </w:num>
  <w:num w:numId="18" w16cid:durableId="1096512403">
    <w:abstractNumId w:val="14"/>
  </w:num>
  <w:num w:numId="19" w16cid:durableId="794711129">
    <w:abstractNumId w:val="28"/>
  </w:num>
  <w:num w:numId="20" w16cid:durableId="301352339">
    <w:abstractNumId w:val="11"/>
  </w:num>
  <w:num w:numId="21" w16cid:durableId="541328535">
    <w:abstractNumId w:val="9"/>
  </w:num>
  <w:num w:numId="22" w16cid:durableId="77093736">
    <w:abstractNumId w:val="13"/>
  </w:num>
  <w:num w:numId="23" w16cid:durableId="2100322532">
    <w:abstractNumId w:val="19"/>
  </w:num>
  <w:num w:numId="24" w16cid:durableId="79258404">
    <w:abstractNumId w:val="26"/>
  </w:num>
  <w:num w:numId="25" w16cid:durableId="1844316063">
    <w:abstractNumId w:val="4"/>
  </w:num>
  <w:num w:numId="26" w16cid:durableId="2134983923">
    <w:abstractNumId w:val="16"/>
  </w:num>
  <w:num w:numId="27" w16cid:durableId="1359236138">
    <w:abstractNumId w:val="20"/>
  </w:num>
  <w:num w:numId="28" w16cid:durableId="1054162853">
    <w:abstractNumId w:val="27"/>
  </w:num>
  <w:num w:numId="29" w16cid:durableId="1062830025">
    <w:abstractNumId w:val="24"/>
  </w:num>
  <w:num w:numId="30" w16cid:durableId="58827732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lulope Ogunfowora">
    <w15:presenceInfo w15:providerId="Windows Live" w15:userId="2d4c9384e5a75f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CD9"/>
    <w:rsid w:val="0004579C"/>
    <w:rsid w:val="000A03DD"/>
    <w:rsid w:val="000A47FA"/>
    <w:rsid w:val="000A65D3"/>
    <w:rsid w:val="000B1E33"/>
    <w:rsid w:val="000D278A"/>
    <w:rsid w:val="000D689F"/>
    <w:rsid w:val="000E7B7B"/>
    <w:rsid w:val="000E7D62"/>
    <w:rsid w:val="000F6261"/>
    <w:rsid w:val="00103357"/>
    <w:rsid w:val="00123C9F"/>
    <w:rsid w:val="00126190"/>
    <w:rsid w:val="00130F17"/>
    <w:rsid w:val="001320BF"/>
    <w:rsid w:val="00163BC4"/>
    <w:rsid w:val="00191062"/>
    <w:rsid w:val="00192B72"/>
    <w:rsid w:val="00195E30"/>
    <w:rsid w:val="001A29D8"/>
    <w:rsid w:val="001A5CAA"/>
    <w:rsid w:val="001B0427"/>
    <w:rsid w:val="001C4768"/>
    <w:rsid w:val="001D3A51"/>
    <w:rsid w:val="001E10D2"/>
    <w:rsid w:val="001E25B4"/>
    <w:rsid w:val="001E44FE"/>
    <w:rsid w:val="00200595"/>
    <w:rsid w:val="00204835"/>
    <w:rsid w:val="0023096B"/>
    <w:rsid w:val="00231920"/>
    <w:rsid w:val="0023195C"/>
    <w:rsid w:val="0024282C"/>
    <w:rsid w:val="002460DC"/>
    <w:rsid w:val="00250985"/>
    <w:rsid w:val="002556F6"/>
    <w:rsid w:val="002700B0"/>
    <w:rsid w:val="00273B62"/>
    <w:rsid w:val="00283105"/>
    <w:rsid w:val="00284C4C"/>
    <w:rsid w:val="00287E68"/>
    <w:rsid w:val="00296529"/>
    <w:rsid w:val="002B27FB"/>
    <w:rsid w:val="002B685A"/>
    <w:rsid w:val="002C57D2"/>
    <w:rsid w:val="002E0D56"/>
    <w:rsid w:val="002F3C30"/>
    <w:rsid w:val="00306AF5"/>
    <w:rsid w:val="00315186"/>
    <w:rsid w:val="0033343E"/>
    <w:rsid w:val="0034269B"/>
    <w:rsid w:val="00344216"/>
    <w:rsid w:val="003512C2"/>
    <w:rsid w:val="00371FB6"/>
    <w:rsid w:val="003763C1"/>
    <w:rsid w:val="00376BBE"/>
    <w:rsid w:val="003803D3"/>
    <w:rsid w:val="0039224F"/>
    <w:rsid w:val="003A238E"/>
    <w:rsid w:val="003A43A4"/>
    <w:rsid w:val="003A7E18"/>
    <w:rsid w:val="003C4C86"/>
    <w:rsid w:val="003C6258"/>
    <w:rsid w:val="003D797F"/>
    <w:rsid w:val="003E2904"/>
    <w:rsid w:val="00401927"/>
    <w:rsid w:val="0041027F"/>
    <w:rsid w:val="0041116D"/>
    <w:rsid w:val="00412475"/>
    <w:rsid w:val="00423789"/>
    <w:rsid w:val="00440F43"/>
    <w:rsid w:val="00441B6F"/>
    <w:rsid w:val="00446221"/>
    <w:rsid w:val="00450E62"/>
    <w:rsid w:val="004539DB"/>
    <w:rsid w:val="00471A80"/>
    <w:rsid w:val="004D305E"/>
    <w:rsid w:val="004D4277"/>
    <w:rsid w:val="004F5BE6"/>
    <w:rsid w:val="00502516"/>
    <w:rsid w:val="00505F06"/>
    <w:rsid w:val="005060FE"/>
    <w:rsid w:val="00506828"/>
    <w:rsid w:val="0053056E"/>
    <w:rsid w:val="00552EB4"/>
    <w:rsid w:val="00554FDA"/>
    <w:rsid w:val="005C784C"/>
    <w:rsid w:val="005D17F6"/>
    <w:rsid w:val="005E5539"/>
    <w:rsid w:val="005F01E7"/>
    <w:rsid w:val="00600D72"/>
    <w:rsid w:val="00602BF5"/>
    <w:rsid w:val="00616EE6"/>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C2BAE"/>
    <w:rsid w:val="006D30FF"/>
    <w:rsid w:val="006D6940"/>
    <w:rsid w:val="006F11EC"/>
    <w:rsid w:val="0070082C"/>
    <w:rsid w:val="00712C3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A6CA4"/>
    <w:rsid w:val="008B4598"/>
    <w:rsid w:val="008B459E"/>
    <w:rsid w:val="008E13AE"/>
    <w:rsid w:val="008E1506"/>
    <w:rsid w:val="008E710C"/>
    <w:rsid w:val="008F69D6"/>
    <w:rsid w:val="00902823"/>
    <w:rsid w:val="00915CA6"/>
    <w:rsid w:val="00922401"/>
    <w:rsid w:val="00927834"/>
    <w:rsid w:val="00927E09"/>
    <w:rsid w:val="00937768"/>
    <w:rsid w:val="00942859"/>
    <w:rsid w:val="009500A6"/>
    <w:rsid w:val="00957C18"/>
    <w:rsid w:val="009659BA"/>
    <w:rsid w:val="00983040"/>
    <w:rsid w:val="00987A82"/>
    <w:rsid w:val="009B3FB9"/>
    <w:rsid w:val="009C2465"/>
    <w:rsid w:val="009D35A0"/>
    <w:rsid w:val="009D7EB7"/>
    <w:rsid w:val="009E048A"/>
    <w:rsid w:val="009E08E9"/>
    <w:rsid w:val="009E3DB9"/>
    <w:rsid w:val="009E6E35"/>
    <w:rsid w:val="009E7890"/>
    <w:rsid w:val="009F0EDA"/>
    <w:rsid w:val="00A03B96"/>
    <w:rsid w:val="00A04BB1"/>
    <w:rsid w:val="00A05B19"/>
    <w:rsid w:val="00A1134E"/>
    <w:rsid w:val="00A24E7E"/>
    <w:rsid w:val="00A258C3"/>
    <w:rsid w:val="00A33559"/>
    <w:rsid w:val="00A347C0"/>
    <w:rsid w:val="00A51431"/>
    <w:rsid w:val="00A539AD"/>
    <w:rsid w:val="00A94063"/>
    <w:rsid w:val="00AA6219"/>
    <w:rsid w:val="00AA74E0"/>
    <w:rsid w:val="00AB703F"/>
    <w:rsid w:val="00AC6BB8"/>
    <w:rsid w:val="00AE008F"/>
    <w:rsid w:val="00B01FCD"/>
    <w:rsid w:val="00B0742D"/>
    <w:rsid w:val="00B1776C"/>
    <w:rsid w:val="00B20C45"/>
    <w:rsid w:val="00B52583"/>
    <w:rsid w:val="00B52896"/>
    <w:rsid w:val="00B54B5D"/>
    <w:rsid w:val="00B947EF"/>
    <w:rsid w:val="00B95236"/>
    <w:rsid w:val="00B96BD9"/>
    <w:rsid w:val="00BA1B01"/>
    <w:rsid w:val="00BA2641"/>
    <w:rsid w:val="00BA2D3E"/>
    <w:rsid w:val="00BB37AA"/>
    <w:rsid w:val="00BC53A0"/>
    <w:rsid w:val="00BE62AD"/>
    <w:rsid w:val="00BF121F"/>
    <w:rsid w:val="00BF1F80"/>
    <w:rsid w:val="00C048FF"/>
    <w:rsid w:val="00C166EF"/>
    <w:rsid w:val="00C17EB0"/>
    <w:rsid w:val="00C27F5F"/>
    <w:rsid w:val="00C30A0F"/>
    <w:rsid w:val="00C37E61"/>
    <w:rsid w:val="00C605A9"/>
    <w:rsid w:val="00C6699E"/>
    <w:rsid w:val="00C70F1B"/>
    <w:rsid w:val="00C71A47"/>
    <w:rsid w:val="00C7464C"/>
    <w:rsid w:val="00C85588"/>
    <w:rsid w:val="00C8734D"/>
    <w:rsid w:val="00CD6755"/>
    <w:rsid w:val="00CD6856"/>
    <w:rsid w:val="00CE0089"/>
    <w:rsid w:val="00CE47F9"/>
    <w:rsid w:val="00CE793C"/>
    <w:rsid w:val="00CF193C"/>
    <w:rsid w:val="00D173F1"/>
    <w:rsid w:val="00D63EAE"/>
    <w:rsid w:val="00D66F04"/>
    <w:rsid w:val="00D74CB0"/>
    <w:rsid w:val="00D8295D"/>
    <w:rsid w:val="00DC008B"/>
    <w:rsid w:val="00DC22F1"/>
    <w:rsid w:val="00DC2A65"/>
    <w:rsid w:val="00DE15F0"/>
    <w:rsid w:val="00DE5663"/>
    <w:rsid w:val="00DE78AA"/>
    <w:rsid w:val="00E053D0"/>
    <w:rsid w:val="00E15994"/>
    <w:rsid w:val="00E30A51"/>
    <w:rsid w:val="00E3114E"/>
    <w:rsid w:val="00E31A70"/>
    <w:rsid w:val="00E35B02"/>
    <w:rsid w:val="00E66496"/>
    <w:rsid w:val="00E66B35"/>
    <w:rsid w:val="00E66E10"/>
    <w:rsid w:val="00E73A8E"/>
    <w:rsid w:val="00E769F6"/>
    <w:rsid w:val="00E8407C"/>
    <w:rsid w:val="00E84F3C"/>
    <w:rsid w:val="00EA012C"/>
    <w:rsid w:val="00EC1B9C"/>
    <w:rsid w:val="00EC6A55"/>
    <w:rsid w:val="00ED0288"/>
    <w:rsid w:val="00EE52CB"/>
    <w:rsid w:val="00EF581D"/>
    <w:rsid w:val="00EF7FD8"/>
    <w:rsid w:val="00F06F59"/>
    <w:rsid w:val="00F17988"/>
    <w:rsid w:val="00F469F0"/>
    <w:rsid w:val="00F53273"/>
    <w:rsid w:val="00F755E4"/>
    <w:rsid w:val="00F77D02"/>
    <w:rsid w:val="00FB229A"/>
    <w:rsid w:val="00FB3A86"/>
    <w:rsid w:val="00FD36C8"/>
    <w:rsid w:val="00FD68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AF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DC008B"/>
    <w:rPr>
      <w:rFonts w:ascii="Helvetica" w:hAnsi="Helvetica"/>
    </w:rPr>
  </w:style>
  <w:style w:type="paragraph" w:styleId="NormalWeb">
    <w:name w:val="Normal (Web)"/>
    <w:basedOn w:val="Normal"/>
    <w:uiPriority w:val="99"/>
    <w:unhideWhenUsed/>
    <w:rsid w:val="005F01E7"/>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5F01E7"/>
    <w:rPr>
      <w:b/>
      <w:bCs/>
    </w:rPr>
  </w:style>
  <w:style w:type="paragraph" w:styleId="Bibliography">
    <w:name w:val="Bibliography"/>
    <w:basedOn w:val="Normal"/>
    <w:next w:val="Normal"/>
    <w:uiPriority w:val="37"/>
    <w:unhideWhenUsed/>
    <w:rsid w:val="00987A82"/>
  </w:style>
  <w:style w:type="paragraph" w:styleId="CommentSubject">
    <w:name w:val="annotation subject"/>
    <w:basedOn w:val="CommentText"/>
    <w:next w:val="CommentText"/>
    <w:link w:val="CommentSubjectChar"/>
    <w:semiHidden/>
    <w:unhideWhenUsed/>
    <w:rsid w:val="00DC22F1"/>
    <w:rPr>
      <w:rFonts w:ascii="Helvetica" w:hAnsi="Helvetica"/>
      <w:b/>
      <w:bCs/>
      <w:lang w:val="en-US" w:eastAsia="en-US"/>
    </w:rPr>
  </w:style>
  <w:style w:type="character" w:customStyle="1" w:styleId="CommentSubjectChar">
    <w:name w:val="Comment Subject Char"/>
    <w:basedOn w:val="CommentTextChar"/>
    <w:link w:val="CommentSubject"/>
    <w:semiHidden/>
    <w:rsid w:val="00DC22F1"/>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70E45-4266-49F6-8BB1-E709ADB1B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292</TotalTime>
  <Pages>6</Pages>
  <Words>2228</Words>
  <Characters>12704</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14903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Tolulope Ogunfowora</cp:lastModifiedBy>
  <cp:revision>51</cp:revision>
  <cp:lastPrinted>1999-07-06T11:00:00Z</cp:lastPrinted>
  <dcterms:created xsi:type="dcterms:W3CDTF">2026-03-19T00:29:00Z</dcterms:created>
  <dcterms:modified xsi:type="dcterms:W3CDTF">2026-03-24T17:04:00Z</dcterms:modified>
</cp:coreProperties>
</file>