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027C0">
      <w:pPr>
        <w:pStyle w:val="17"/>
        <w:spacing w:after="0"/>
        <w:jc w:val="both"/>
        <w:rPr>
          <w:rFonts w:ascii="Arial" w:hAnsi="Arial" w:eastAsia="Arial" w:cs="Arial"/>
        </w:rPr>
      </w:pPr>
    </w:p>
    <w:p w14:paraId="79816834">
      <w:pPr>
        <w:pBdr>
          <w:top w:val="none" w:color="auto" w:sz="0" w:space="0"/>
          <w:left w:val="none" w:color="auto" w:sz="0" w:space="0"/>
          <w:bottom w:val="none" w:color="auto" w:sz="0" w:space="0"/>
          <w:right w:val="none" w:color="auto" w:sz="0" w:space="0"/>
          <w:between w:val="none" w:color="auto" w:sz="0" w:space="0"/>
        </w:pBdr>
        <w:jc w:val="right"/>
        <w:rPr>
          <w:rFonts w:ascii="Arial" w:hAnsi="Arial" w:eastAsia="Arial" w:cs="Arial"/>
          <w:b/>
          <w:bCs/>
          <w:color w:val="000000"/>
          <w:sz w:val="36"/>
          <w:szCs w:val="36"/>
        </w:rPr>
      </w:pPr>
      <w:r>
        <w:rPr>
          <w:rFonts w:ascii="Times New Roman" w:hAnsi="Times New Roman" w:cs="Times New Roman"/>
        </w:rPr>
        <w:t>Original Research Article</w:t>
      </w:r>
    </w:p>
    <w:p w14:paraId="4EE1DA06">
      <w:pPr>
        <w:pBdr>
          <w:top w:val="none" w:color="auto" w:sz="0" w:space="0"/>
          <w:left w:val="none" w:color="auto" w:sz="0" w:space="0"/>
          <w:bottom w:val="none" w:color="auto" w:sz="0" w:space="0"/>
          <w:right w:val="none" w:color="auto" w:sz="0" w:space="0"/>
          <w:between w:val="none" w:color="auto" w:sz="0" w:space="0"/>
        </w:pBdr>
        <w:jc w:val="right"/>
        <w:rPr>
          <w:rFonts w:ascii="Arial" w:hAnsi="Arial" w:eastAsia="Arial" w:cs="Arial"/>
          <w:b/>
          <w:bCs/>
          <w:color w:val="000000"/>
          <w:sz w:val="36"/>
          <w:szCs w:val="36"/>
        </w:rPr>
      </w:pPr>
      <w:r>
        <w:rPr>
          <w:rFonts w:ascii="Arial" w:hAnsi="Arial" w:eastAsia="Arial" w:cs="Arial"/>
          <w:b/>
          <w:bCs/>
          <w:color w:val="000000"/>
          <w:sz w:val="36"/>
          <w:szCs w:val="36"/>
        </w:rPr>
        <w:t xml:space="preserve">Herbal Plants: Knowledge, Attitude, and Practice among Households in Rural Community </w:t>
      </w:r>
    </w:p>
    <w:p w14:paraId="4975F9E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36"/>
          <w:szCs w:val="36"/>
        </w:rPr>
      </w:pPr>
    </w:p>
    <w:p w14:paraId="5449B4B9">
      <w:pPr>
        <w:pBdr>
          <w:top w:val="none" w:color="auto" w:sz="0" w:space="0"/>
          <w:left w:val="none" w:color="auto" w:sz="0" w:space="0"/>
          <w:bottom w:val="none" w:color="auto" w:sz="0" w:space="0"/>
          <w:right w:val="none" w:color="auto" w:sz="0" w:space="0"/>
          <w:between w:val="none" w:color="auto" w:sz="0" w:space="0"/>
        </w:pBdr>
        <w:jc w:val="right"/>
        <w:rPr>
          <w:rFonts w:ascii="Arial" w:hAnsi="Arial" w:eastAsia="Arial" w:cs="Arial"/>
          <w:color w:val="000000"/>
        </w:rPr>
      </w:pPr>
    </w:p>
    <w:p w14:paraId="75E9247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0C2911E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sz w:val="16"/>
          <w:szCs w:val="16"/>
        </w:rPr>
        <w:sectPr>
          <w:headerReference r:id="rId7" w:type="first"/>
          <w:footerReference r:id="rId10" w:type="first"/>
          <w:headerReference r:id="rId5" w:type="default"/>
          <w:footerReference r:id="rId8" w:type="default"/>
          <w:headerReference r:id="rId6" w:type="even"/>
          <w:footerReference r:id="rId9" w:type="even"/>
          <w:pgSz w:w="12240" w:h="15840"/>
          <w:pgMar w:top="1440" w:right="2016" w:bottom="2016" w:left="2016" w:header="720" w:footer="1296" w:gutter="0"/>
          <w:pgNumType w:start="1"/>
          <w:cols w:space="720" w:num="1"/>
          <w:docGrid w:linePitch="272" w:charSpace="0"/>
        </w:sectPr>
      </w:pPr>
      <w:r>
        <w:rPr>
          <w:rFonts w:ascii="Arial" w:hAnsi="Arial" w:eastAsia="Arial" w:cs="Arial"/>
          <w:color w:val="000000"/>
          <w:sz w:val="16"/>
          <w:szCs w:val="16"/>
        </w:rPr>
        <mc:AlternateContent>
          <mc:Choice Requires="wps">
            <w:drawing>
              <wp:inline distT="0" distB="0" distL="0" distR="0">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hAnsi="Arial" w:eastAsia="Arial" w:cs="Arial"/>
          <w:color w:val="000000"/>
          <w:sz w:val="16"/>
          <w:szCs w:val="16"/>
        </w:rPr>
        <w:t>.</w:t>
      </w:r>
    </w:p>
    <w:p w14:paraId="1EA0533D">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 xml:space="preserve">ABSTRACT </w:t>
      </w:r>
    </w:p>
    <w:p w14:paraId="07A604DC">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tbl>
      <w:tblPr>
        <w:tblStyle w:val="19"/>
        <w:tblW w:w="81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98"/>
      </w:tblGrid>
      <w:tr w14:paraId="7612F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98" w:type="dxa"/>
            <w:shd w:val="clear" w:color="auto" w:fill="F2F2F2"/>
          </w:tcPr>
          <w:p w14:paraId="07151A2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 xml:space="preserve">Background: </w:t>
            </w:r>
            <w:r>
              <w:rPr>
                <w:rFonts w:ascii="Arial" w:hAnsi="Arial" w:eastAsia="Arial" w:cs="Arial"/>
                <w:color w:val="000000"/>
              </w:rPr>
              <w:t>Herbal plants continue to be widely utilized in households, particularly in rural communities, due to their affordability, accessibility, and cultural significance. however, concerns regarding their safety, quality, and the lack of standardized knowledge underscore the need to assess individuals’ knowledge, attitudes, and practices toward their appropriate use.</w:t>
            </w:r>
          </w:p>
          <w:p w14:paraId="4F9926C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Aims:</w:t>
            </w:r>
            <w:r>
              <w:rPr>
                <w:rFonts w:ascii="Arial" w:hAnsi="Arial" w:eastAsia="Arial" w:cs="Arial"/>
                <w:color w:val="000000"/>
              </w:rPr>
              <w:t xml:space="preserve"> </w:t>
            </w:r>
            <w:commentRangeStart w:id="0"/>
            <w:r>
              <w:rPr>
                <w:rFonts w:ascii="Arial" w:hAnsi="Arial" w:eastAsia="Arial" w:cs="Arial"/>
                <w:color w:val="000000"/>
              </w:rPr>
              <w:t>Herbal plants constitute an essential component of primary health care in rural communities attributable to their accessibility, affordability, and cultural significance.</w:t>
            </w:r>
            <w:commentRangeEnd w:id="0"/>
            <w:r>
              <w:commentReference w:id="0"/>
            </w:r>
            <w:r>
              <w:rPr>
                <w:rFonts w:ascii="Arial" w:hAnsi="Arial" w:eastAsia="Arial" w:cs="Arial"/>
                <w:color w:val="000000"/>
              </w:rPr>
              <w:t xml:space="preserve"> This study aimed to assess the level of knowledge, attitude, and practice (KAP) respecting Department of Health (DOH)-approved herbal plants among households in a particular rural community in </w:t>
            </w:r>
            <w:commentRangeStart w:id="1"/>
            <w:r>
              <w:rPr>
                <w:rFonts w:ascii="Arial" w:hAnsi="Arial" w:eastAsia="Arial" w:cs="Arial"/>
                <w:color w:val="000000"/>
              </w:rPr>
              <w:t>Iloilo Province</w:t>
            </w:r>
            <w:commentRangeEnd w:id="1"/>
            <w:r>
              <w:commentReference w:id="1"/>
            </w:r>
            <w:r>
              <w:rPr>
                <w:rFonts w:ascii="Arial" w:hAnsi="Arial" w:eastAsia="Arial" w:cs="Arial"/>
                <w:color w:val="000000"/>
              </w:rPr>
              <w:t xml:space="preserve"> and to determine the relationships among these variables.</w:t>
            </w:r>
          </w:p>
          <w:p w14:paraId="41718D9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Study Design:</w:t>
            </w:r>
            <w:r>
              <w:rPr>
                <w:rFonts w:ascii="Arial" w:hAnsi="Arial" w:eastAsia="Arial" w:cs="Arial"/>
                <w:color w:val="000000"/>
              </w:rPr>
              <w:t xml:space="preserve"> A descriptive-correlational approach to research was applied.</w:t>
            </w:r>
          </w:p>
          <w:p w14:paraId="3C529A6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Place and Duration of Study:</w:t>
            </w:r>
            <w:r>
              <w:rPr>
                <w:rFonts w:ascii="Arial" w:hAnsi="Arial" w:eastAsia="Arial" w:cs="Arial"/>
                <w:color w:val="000000"/>
              </w:rPr>
              <w:t xml:space="preserve"> The study was conducted among households in a selected rural community in Iloilo Province during the academic year 2025–2026.</w:t>
            </w:r>
          </w:p>
          <w:p w14:paraId="47FA172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Methodology:</w:t>
            </w:r>
            <w:r>
              <w:rPr>
                <w:rFonts w:ascii="Arial" w:hAnsi="Arial" w:eastAsia="Arial" w:cs="Arial"/>
                <w:color w:val="000000"/>
              </w:rPr>
              <w:t xml:space="preserve"> Data was collected from 117 households’ respondents utilizing a validated questionnaire that was developed and prepared by the researchers.</w:t>
            </w:r>
          </w:p>
          <w:p w14:paraId="6056A2F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Results:</w:t>
            </w:r>
            <w:r>
              <w:rPr>
                <w:rFonts w:ascii="Arial" w:hAnsi="Arial" w:eastAsia="Arial" w:cs="Arial"/>
                <w:color w:val="000000"/>
              </w:rPr>
              <w:t xml:space="preserve"> The findings demonstrated that the survey respondents had an acceptable moderate knowledge of herbal plants, especially about their safety and common uses. The respondents exhibited a markedly favorable disposition towards herbal plants, demonstrating substantial attitudes regarding their therapeutic value, safety, and continual relevance in health care. The respondents demonstrated a significant degree of practice, as numerous households consistently produced and utilized herbal plants for prevalent health issues and adhered to suggested preparation techniques. It was indicated there was no significant correlation between knowledge and attitude, nor between knowledge and practice. A notable moderate positive correlation was identified between attitude and practice, indicating that good attitudes toward herbal plants are linked to their regular utilization within homes.</w:t>
            </w:r>
          </w:p>
          <w:p w14:paraId="76B76E6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Conclusion:</w:t>
            </w:r>
            <w:r>
              <w:rPr>
                <w:rFonts w:ascii="Arial" w:hAnsi="Arial" w:eastAsia="Arial" w:cs="Arial"/>
                <w:color w:val="000000"/>
              </w:rPr>
              <w:t xml:space="preserve"> The findings underscore the necessity of enhancing community-based health education initiatives to augment understanding of the accurate identification, preparation, and dose of herbal plants. Improving awareness through culturally appropriate and evidence-based health education may further encourage the safe and effective utilization of DOH-approved herbal plants as complementary health practices in rural communities.</w:t>
            </w:r>
          </w:p>
        </w:tc>
      </w:tr>
    </w:tbl>
    <w:p w14:paraId="4FE0BDE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iCs/>
          <w:color w:val="000000"/>
        </w:rPr>
      </w:pPr>
    </w:p>
    <w:p w14:paraId="7BE1100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iCs/>
          <w:color w:val="000000"/>
        </w:rPr>
      </w:pPr>
      <w:r>
        <w:rPr>
          <w:rFonts w:ascii="Arial" w:hAnsi="Arial" w:eastAsia="Arial" w:cs="Arial"/>
          <w:i/>
          <w:iCs/>
          <w:color w:val="000000"/>
        </w:rPr>
        <w:t>Keywords: Herbal Plants, Rural area, DOH, Knowledge, Attitude, Practice, Community</w:t>
      </w:r>
    </w:p>
    <w:p w14:paraId="55AD3BD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iCs/>
          <w:color w:val="000000"/>
        </w:rPr>
      </w:pPr>
    </w:p>
    <w:p w14:paraId="3333708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iCs/>
          <w:color w:val="000000"/>
        </w:rPr>
      </w:pPr>
    </w:p>
    <w:p w14:paraId="04305AE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iCs/>
          <w:color w:val="000000"/>
          <w:sz w:val="18"/>
          <w:szCs w:val="18"/>
        </w:rPr>
      </w:pPr>
    </w:p>
    <w:p w14:paraId="4E1BDD5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iCs/>
          <w:color w:val="000000"/>
        </w:rPr>
      </w:pPr>
    </w:p>
    <w:p w14:paraId="1E06CD1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 xml:space="preserve">1. INTRODUCTION </w:t>
      </w:r>
    </w:p>
    <w:p w14:paraId="05F5A7B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3C300D91">
      <w:pPr>
        <w:pBdr>
          <w:top w:val="none" w:color="auto" w:sz="0" w:space="0"/>
          <w:left w:val="none" w:color="auto" w:sz="0" w:space="0"/>
          <w:bottom w:val="none" w:color="auto" w:sz="0" w:space="0"/>
          <w:right w:val="none" w:color="auto" w:sz="0" w:space="0"/>
          <w:between w:val="none" w:color="auto" w:sz="0" w:space="0"/>
        </w:pBdr>
        <w:spacing w:after="240"/>
        <w:jc w:val="both"/>
        <w:rPr>
          <w:rFonts w:ascii="Arial" w:hAnsi="Arial" w:eastAsia="Arial" w:cs="Arial"/>
          <w:color w:val="000000"/>
        </w:rPr>
      </w:pPr>
      <w:commentRangeStart w:id="2"/>
      <w:r>
        <w:rPr>
          <w:rFonts w:ascii="Arial" w:hAnsi="Arial" w:eastAsia="Arial" w:cs="Arial"/>
          <w:color w:val="000000"/>
          <w:sz w:val="22"/>
          <w:szCs w:val="22"/>
        </w:rPr>
        <w:t>The Earth, by itself, possessed a purpose toward nature, wherein each illness has a remedy for it, and every individual has a designated mission for healing</w:t>
      </w:r>
      <w:commentRangeEnd w:id="2"/>
      <w:r>
        <w:commentReference w:id="2"/>
      </w:r>
      <w:r>
        <w:rPr>
          <w:rFonts w:ascii="Arial" w:hAnsi="Arial" w:eastAsia="Arial" w:cs="Arial"/>
          <w:color w:val="000000"/>
          <w:sz w:val="22"/>
          <w:szCs w:val="22"/>
        </w:rPr>
        <w:t xml:space="preserve"> (Nawaz, 2024). Herbal plants had been a fundamental component of households' health practices, especially in rural communities, particularly in areas where access to formal healthcare treatment was restricted and limited (WHO, 2023). The prevalence of beliefs that nature was nature’s healer supported the use of herbal plants as primary and complementary treatment options in one’s household. The escalating recognition of their worth, whether justified or not, contributed to a steady expansion of their market. Comprehensive data concerning the quality, safety, and efficacy of numerous plants, their extracts, preparations, and active compounds remained limited (Dori, 2020). Herbal plants were highly acknowledged for their affordability, accessibility, and cultural significance, which correlated them as a fundamental component of traditional healthcare in ample numbers of rural areas. Ensuring their quality was of paramount importance to guaranteeing their safety and effectiveness (Muyumba, 2021). The</w:t>
      </w:r>
      <w:r>
        <w:rPr>
          <w:rFonts w:hint="default" w:ascii="Arial" w:hAnsi="Arial" w:eastAsia="Arial" w:cs="Arial"/>
          <w:color w:val="000000"/>
          <w:sz w:val="22"/>
          <w:szCs w:val="22"/>
          <w:lang w:val="en-US"/>
        </w:rPr>
        <w:t xml:space="preserve"> </w:t>
      </w:r>
      <w:r>
        <w:rPr>
          <w:rFonts w:ascii="Arial" w:hAnsi="Arial" w:eastAsia="Arial" w:cs="Arial"/>
          <w:color w:val="000000"/>
          <w:sz w:val="22"/>
          <w:szCs w:val="22"/>
        </w:rPr>
        <w:t>Philippine Institute of Traditional and Alternative Health Care recognized 10 herbal plants sanctioned by the Department of Health for secure and efficacious community utilization (PITAHC, 2021).        Nonetheless, numerous traditions continue to be shaped by ancestral knowledge transmitted through generations and informal information sources (De Guzman et al., 2021). This dependence may result in inadequate preparation, erroneous dosing, and possible herb-drug interactions (Salvador, 2022). D</w:t>
      </w:r>
      <w:bookmarkStart w:id="3" w:name="_GoBack"/>
      <w:bookmarkEnd w:id="3"/>
      <w:r>
        <w:rPr>
          <w:rFonts w:ascii="Arial" w:hAnsi="Arial" w:eastAsia="Arial" w:cs="Arial"/>
          <w:color w:val="000000"/>
          <w:sz w:val="22"/>
          <w:szCs w:val="22"/>
        </w:rPr>
        <w:t>espite the Department of Health advocating for the standardized application of certified herbal plants, domestic practices remain influenced by cultural beliefs and the perceived safety of natural treatments (Javier, 2020; Gyasi et al., 2022). Consequently, evaluating knowledge, attitudes, and practices of herbal plant utilization is crucial to facilitate safe, evidence-based, community-focused programs for health education.</w:t>
      </w:r>
    </w:p>
    <w:p w14:paraId="1A8557B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0882810A">
      <w:pPr>
        <w:pBdr>
          <w:top w:val="none" w:color="auto" w:sz="0" w:space="0"/>
          <w:left w:val="none" w:color="auto" w:sz="0" w:space="0"/>
          <w:bottom w:val="none" w:color="auto" w:sz="0" w:space="0"/>
          <w:right w:val="none" w:color="auto" w:sz="0" w:space="0"/>
          <w:between w:val="none" w:color="auto" w:sz="0" w:space="0"/>
        </w:pBdr>
        <w:spacing w:after="240"/>
        <w:jc w:val="both"/>
        <w:rPr>
          <w:rFonts w:ascii="Arial" w:hAnsi="Arial" w:eastAsia="Arial" w:cs="Arial"/>
          <w:b/>
          <w:bCs/>
          <w:smallCaps/>
          <w:color w:val="000000"/>
          <w:sz w:val="22"/>
          <w:szCs w:val="22"/>
        </w:rPr>
      </w:pPr>
      <w:commentRangeStart w:id="3"/>
      <w:r>
        <w:rPr>
          <w:rFonts w:ascii="Arial" w:hAnsi="Arial" w:eastAsia="Arial" w:cs="Arial"/>
          <w:b/>
          <w:bCs/>
          <w:smallCaps/>
          <w:color w:val="000000"/>
          <w:sz w:val="22"/>
          <w:szCs w:val="22"/>
        </w:rPr>
        <w:t>2. methodology</w:t>
      </w:r>
      <w:commentRangeEnd w:id="3"/>
      <w:r>
        <w:commentReference w:id="3"/>
      </w:r>
    </w:p>
    <w:p w14:paraId="119D1EA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2.1 RESEARCH DESIGN</w:t>
      </w:r>
    </w:p>
    <w:p w14:paraId="53AD7AC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This study employed a descriptive-correlational research design to determine the level of knowledge, attitude, and practice (KAP) of household members regarding DOH-approved herbal plants in a rural community. Descriptive research was used to systematically describe the current status of KAP in its natural setting without manipulation of variables (Polit &amp; Beck, 2017). Correlational research was applied to examine the relationship among knowledge, attitude, and practice (Burns &amp; Grove, 2009). Data were collected at a single point in time to capture existing behaviors and perceptions related to herbal plant use. This design was appropriate for rural settings as it allowed assessment of culturally influenced practices while maintaining objectivity and standardization of data collection.</w:t>
      </w:r>
    </w:p>
    <w:p w14:paraId="414B1DA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p w14:paraId="79BD337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22"/>
          <w:szCs w:val="22"/>
        </w:rPr>
      </w:pPr>
      <w:r>
        <w:rPr>
          <w:rFonts w:ascii="Arial" w:hAnsi="Arial" w:eastAsia="Arial" w:cs="Arial"/>
          <w:b/>
          <w:bCs/>
          <w:smallCaps/>
          <w:color w:val="000000"/>
          <w:sz w:val="22"/>
          <w:szCs w:val="22"/>
        </w:rPr>
        <w:t>2.2</w:t>
      </w:r>
      <w:r>
        <w:rPr>
          <w:rFonts w:ascii="Arial" w:hAnsi="Arial" w:eastAsia="Arial" w:cs="Arial"/>
          <w:b/>
          <w:bCs/>
          <w:color w:val="000000"/>
          <w:sz w:val="22"/>
          <w:szCs w:val="22"/>
        </w:rPr>
        <w:t xml:space="preserve"> Study Setting</w:t>
      </w:r>
    </w:p>
    <w:p w14:paraId="6A6CEF2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22"/>
          <w:szCs w:val="22"/>
        </w:rPr>
      </w:pPr>
    </w:p>
    <w:p w14:paraId="701F22D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The study was conducted in Barangay Dalid, Santa Barbara, Iloilo Province. The barangay is a predominantly agricultural community with limited access to healthcare facilities, with the nearest rural health units located at a distance and tertiary hospitals situated in Iloilo City. Due to limited healthcare access, residents commonly rely on herbal plants and traditional remedies for common illnesses such as fever, cough, diarrhea, and wounds. The area was selected due to the observable prevalence of herbal plant use and its relevance to the study objectives.</w:t>
      </w:r>
    </w:p>
    <w:p w14:paraId="7588D8D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1DF298A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22"/>
          <w:szCs w:val="22"/>
        </w:rPr>
      </w:pPr>
      <w:r>
        <w:rPr>
          <w:rFonts w:ascii="Arial" w:hAnsi="Arial" w:eastAsia="Arial" w:cs="Arial"/>
          <w:b/>
          <w:bCs/>
          <w:smallCaps/>
          <w:color w:val="000000"/>
          <w:sz w:val="22"/>
          <w:szCs w:val="22"/>
        </w:rPr>
        <w:t xml:space="preserve">2.3 </w:t>
      </w:r>
      <w:r>
        <w:rPr>
          <w:rFonts w:ascii="Arial" w:hAnsi="Arial" w:eastAsia="Arial" w:cs="Arial"/>
          <w:b/>
          <w:bCs/>
          <w:color w:val="000000"/>
          <w:sz w:val="22"/>
          <w:szCs w:val="22"/>
        </w:rPr>
        <w:t>Population and Sampling</w:t>
      </w:r>
    </w:p>
    <w:p w14:paraId="7ED7FB1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3EC87DD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The respondents were household members aged 18 years old and above from the selected rural barangay. A minimum of 100 respondents were included, while 30 participants were used for pilot testing and excluded from the final analysis. The study focused on individuals familiar with herbal plant use to assess their knowledge, attitudes, and practices. Included respondents were: (1) household members residing in the selected barangay, (2) aged 18 years and above, (3) willing to participate and sign informed consent, and (4) knowledgeable or familiar with herbal plant use and traditional remedies.Excluded respondents were: (1) those who refused to participate or sign informed consent, (2) those included in pilot testing, and (3) individuals unable to complete the questionnaire due to medical or physical limitations.</w:t>
      </w:r>
    </w:p>
    <w:p w14:paraId="2C8F9A7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Purposive sampling was used to select 117 households based on inclusion criteria. Respondents were identified with the assistance of barangay officials and health workers to ensure relevance and appropriateness. This method ensured that participants had sufficient experience and knowledge regarding herbal plant use in the community.</w:t>
      </w:r>
    </w:p>
    <w:p w14:paraId="1C256B0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62887E7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22"/>
          <w:szCs w:val="22"/>
        </w:rPr>
      </w:pPr>
      <w:r>
        <w:rPr>
          <w:rFonts w:ascii="Arial" w:hAnsi="Arial" w:eastAsia="Arial" w:cs="Arial"/>
          <w:b/>
          <w:bCs/>
          <w:smallCaps/>
          <w:color w:val="000000"/>
          <w:sz w:val="22"/>
          <w:szCs w:val="22"/>
        </w:rPr>
        <w:t xml:space="preserve">2.4 </w:t>
      </w:r>
      <w:r>
        <w:rPr>
          <w:rFonts w:ascii="Arial" w:hAnsi="Arial" w:eastAsia="Arial" w:cs="Arial"/>
          <w:b/>
          <w:bCs/>
          <w:color w:val="000000"/>
          <w:sz w:val="22"/>
          <w:szCs w:val="22"/>
        </w:rPr>
        <w:t>Instrument</w:t>
      </w:r>
    </w:p>
    <w:p w14:paraId="296812D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22"/>
          <w:szCs w:val="22"/>
        </w:rPr>
      </w:pPr>
    </w:p>
    <w:p w14:paraId="18A78EC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A researcher-made questionnaire was used, guided by DOH, PITAHC, and WHO standards on herbal medicine use. The instrument consisted of four parts: (1) demographic profile (age, sex, educational attainment), (2) knowledge section, (3) attitude section, and (4) practice section. The knowledge component contained multiple-choice questions scored as correct or incorrect. The attitude and practice sections used a 5-point Likert scale ranging from strongly disagree (1) to strongly agree (5) for attitude, and never (1) to always (5) for practice. Items assessed awareness, perception, and behavioral application of herbal plant use in household settings.</w:t>
      </w:r>
    </w:p>
    <w:p w14:paraId="6F1C7B5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Content validity was established through expert evaluation by three faculty members with expertise in nursing, community health nursing, and public health. The instrument was assessed using the Good and Scates criteria. Results showed that the knowledge instrument obtained a mean of 3.64, attitude 3.89, and practice 4.10, with an overall mean of 3.87 interpreted as “very good,” indicating that the instrument was valid in terms of clarity, relevance, and appropriateness.</w:t>
      </w:r>
    </w:p>
    <w:p w14:paraId="32B4DB20">
      <w:pPr>
        <w:rPr>
          <w:rFonts w:ascii="Arial" w:hAnsi="Arial" w:eastAsia="Times New Roman" w:cs="Arial"/>
          <w:sz w:val="24"/>
          <w:szCs w:val="24"/>
        </w:rPr>
      </w:pPr>
    </w:p>
    <w:p w14:paraId="5F4733B7">
      <w:pPr>
        <w:jc w:val="both"/>
        <w:rPr>
          <w:rFonts w:ascii="Arial" w:hAnsi="Arial" w:eastAsia="Times New Roman" w:cs="Arial"/>
          <w:sz w:val="24"/>
          <w:szCs w:val="24"/>
        </w:rPr>
      </w:pPr>
      <w:r>
        <w:rPr>
          <w:rFonts w:ascii="Arial" w:hAnsi="Arial" w:eastAsia="Arial" w:cs="Arial"/>
          <w:b/>
          <w:bCs/>
          <w:smallCaps/>
          <w:color w:val="000000"/>
          <w:sz w:val="22"/>
          <w:szCs w:val="22"/>
        </w:rPr>
        <w:t xml:space="preserve">2.5 </w:t>
      </w:r>
      <w:r>
        <w:rPr>
          <w:rFonts w:ascii="Arial" w:hAnsi="Arial" w:eastAsia="Arial" w:cs="Arial"/>
          <w:b/>
          <w:bCs/>
          <w:color w:val="000000"/>
          <w:sz w:val="22"/>
          <w:szCs w:val="22"/>
        </w:rPr>
        <w:t>Data Gathering Procedure</w:t>
      </w:r>
    </w:p>
    <w:p w14:paraId="4997CC3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5F81766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A pilot test involving 30 respondents was conducted in a similar community and excluded from the final sample. The knowledge section was analyzed using KR-20, yielding a reliability coefficient of 0.743, indicating acceptable internal consistency. The attitude and practice sections were analyzed using Cronbach’s Alpha, obtaining values of 0.868 and 0.909 respectively, indicating high reliability.</w:t>
      </w:r>
    </w:p>
    <w:p w14:paraId="04A817E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After securing permissions from academic and barangay authorities, data collection was conducted in coordination with barangay officials and health workers. Researchers personally administered questionnaires to ensure clarity and completeness of responses. </w:t>
      </w:r>
    </w:p>
    <w:p w14:paraId="3FA99B2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Data collection was conducted in January 2026. Respondents were informed of the study purpose, provided informed consent, and assured of confidentiality. Completed questionnaires were collected, checked, encoded, and securely stored for analysis.</w:t>
      </w:r>
    </w:p>
    <w:p w14:paraId="68B24E1B">
      <w:pPr>
        <w:jc w:val="both"/>
        <w:rPr>
          <w:rFonts w:ascii="Arial" w:hAnsi="Arial" w:eastAsia="Arial" w:cs="Arial"/>
          <w:b/>
          <w:bCs/>
          <w:smallCaps/>
          <w:color w:val="000000"/>
          <w:sz w:val="22"/>
          <w:szCs w:val="22"/>
        </w:rPr>
      </w:pPr>
    </w:p>
    <w:p w14:paraId="1B6B5653">
      <w:pPr>
        <w:jc w:val="both"/>
        <w:rPr>
          <w:rFonts w:ascii="Arial" w:hAnsi="Arial" w:eastAsia="Arial" w:cs="Arial"/>
          <w:b/>
          <w:bCs/>
          <w:color w:val="000000"/>
          <w:sz w:val="22"/>
          <w:szCs w:val="22"/>
        </w:rPr>
      </w:pPr>
      <w:bookmarkStart w:id="0" w:name="_kw1n1jjlbbuf" w:colFirst="0" w:colLast="0"/>
      <w:bookmarkEnd w:id="0"/>
      <w:r>
        <w:rPr>
          <w:rFonts w:ascii="Arial" w:hAnsi="Arial" w:eastAsia="Arial" w:cs="Arial"/>
          <w:b/>
          <w:bCs/>
          <w:smallCaps/>
          <w:color w:val="000000"/>
          <w:sz w:val="22"/>
          <w:szCs w:val="22"/>
        </w:rPr>
        <w:t xml:space="preserve">2.6 </w:t>
      </w:r>
      <w:r>
        <w:rPr>
          <w:rFonts w:ascii="Arial" w:hAnsi="Arial" w:eastAsia="Arial" w:cs="Arial"/>
          <w:b/>
          <w:bCs/>
          <w:color w:val="000000"/>
          <w:sz w:val="22"/>
          <w:szCs w:val="22"/>
        </w:rPr>
        <w:t>Data Analysis Procedure</w:t>
      </w:r>
    </w:p>
    <w:p w14:paraId="7FDB72EF">
      <w:pPr>
        <w:jc w:val="both"/>
        <w:rPr>
          <w:rFonts w:ascii="Arial" w:hAnsi="Arial" w:eastAsia="Arial" w:cs="Arial"/>
          <w:b/>
          <w:bCs/>
          <w:color w:val="000000"/>
          <w:sz w:val="22"/>
          <w:szCs w:val="22"/>
        </w:rPr>
      </w:pPr>
    </w:p>
    <w:p w14:paraId="20D5314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Data were analyzed using descriptive and inferential statistics. Frequency and percentage were used for demographic profiling, while mean and standard deviation were used to describe KAP levels. Kolmogorov–Smirnov test was used to assess normality. Since data were not normally distributed, Spearman’s rho was used to determine the correlation between knowledge, attitude, and practice. Results were interpreted at a 0.05 level of significance.</w:t>
      </w:r>
    </w:p>
    <w:p w14:paraId="2DD09E1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374E2A7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3. results and discussion</w:t>
      </w:r>
    </w:p>
    <w:p w14:paraId="4CBF8A4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p w14:paraId="6B2842A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Descriptive Analysis</w:t>
      </w:r>
    </w:p>
    <w:p w14:paraId="02919C0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Profile of the Respondents</w:t>
      </w:r>
    </w:p>
    <w:p w14:paraId="271B2AD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Unicode MS" w:cs="Arial"/>
          <w:color w:val="000000"/>
        </w:rPr>
        <w:t>A total of 117 household members participated in the study. The sex distribution was almost equal, with males (51.28%) and females (48.72%). Most respondents were aged 18–39 years (45.3%), followed by ≥60 years (21.4%), 40–49 years (17.1%), and 51–59 years (16.2%). In terms of education, most were high school graduates (43.6%), followed by college (32.5%), elementary (13.7%), and vocational (10.3%). This indicates a moderately educated and diverse age group of respondents. Table 1 presents the profile.</w:t>
      </w:r>
    </w:p>
    <w:p w14:paraId="5846FE0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68B47ED">
      <w:pPr>
        <w:spacing w:line="480" w:lineRule="auto"/>
        <w:ind w:right="-90"/>
        <w:rPr>
          <w:rFonts w:ascii="Arial" w:hAnsi="Arial" w:eastAsia="Times New Roman" w:cs="Arial"/>
          <w:b/>
          <w:bCs/>
        </w:rPr>
      </w:pPr>
      <w:r>
        <w:rPr>
          <w:rFonts w:ascii="Arial" w:hAnsi="Arial" w:eastAsia="Times New Roman" w:cs="Arial"/>
          <w:b/>
          <w:bCs/>
        </w:rPr>
        <w:t>Table 1</w:t>
      </w:r>
    </w:p>
    <w:p w14:paraId="18532797">
      <w:pPr>
        <w:ind w:right="-90"/>
        <w:rPr>
          <w:rFonts w:ascii="Arial" w:hAnsi="Arial" w:eastAsia="Times New Roman" w:cs="Arial"/>
          <w:i/>
          <w:iCs/>
        </w:rPr>
      </w:pPr>
      <w:r>
        <w:rPr>
          <w:rFonts w:ascii="Arial" w:hAnsi="Arial" w:eastAsia="Times New Roman" w:cs="Arial"/>
          <w:i/>
          <w:iCs/>
        </w:rPr>
        <w:t xml:space="preserve">Distribution of respondents according to sex, age, and highest educational attainment (n=117) </w:t>
      </w:r>
    </w:p>
    <w:tbl>
      <w:tblPr>
        <w:tblStyle w:val="20"/>
        <w:tblW w:w="88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5910"/>
        <w:gridCol w:w="1170"/>
        <w:gridCol w:w="1770"/>
      </w:tblGrid>
      <w:tr w14:paraId="106225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42" w:hRule="atLeast"/>
        </w:trPr>
        <w:tc>
          <w:tcPr>
            <w:tcW w:w="5910" w:type="dxa"/>
            <w:tcBorders>
              <w:left w:val="nil"/>
              <w:right w:val="nil"/>
            </w:tcBorders>
            <w:tcMar>
              <w:top w:w="0" w:type="dxa"/>
              <w:left w:w="0" w:type="dxa"/>
              <w:bottom w:w="0" w:type="dxa"/>
              <w:right w:w="0" w:type="dxa"/>
            </w:tcMar>
            <w:vAlign w:val="bottom"/>
          </w:tcPr>
          <w:p w14:paraId="49229330">
            <w:pPr>
              <w:widowControl w:val="0"/>
              <w:rPr>
                <w:rFonts w:ascii="Arial" w:hAnsi="Arial" w:eastAsia="Times New Roman" w:cs="Arial"/>
              </w:rPr>
            </w:pPr>
            <w:r>
              <w:rPr>
                <w:rFonts w:ascii="Arial" w:hAnsi="Arial" w:eastAsia="Times New Roman" w:cs="Arial"/>
              </w:rPr>
              <w:t xml:space="preserve">Variables </w:t>
            </w:r>
          </w:p>
        </w:tc>
        <w:tc>
          <w:tcPr>
            <w:tcW w:w="1170" w:type="dxa"/>
            <w:tcBorders>
              <w:left w:val="nil"/>
              <w:right w:val="nil"/>
            </w:tcBorders>
            <w:tcMar>
              <w:top w:w="0" w:type="dxa"/>
              <w:left w:w="0" w:type="dxa"/>
              <w:bottom w:w="0" w:type="dxa"/>
              <w:right w:w="0" w:type="dxa"/>
            </w:tcMar>
            <w:vAlign w:val="bottom"/>
          </w:tcPr>
          <w:p w14:paraId="4E756F47">
            <w:pPr>
              <w:widowControl w:val="0"/>
              <w:jc w:val="center"/>
              <w:rPr>
                <w:rFonts w:ascii="Arial" w:hAnsi="Arial" w:eastAsia="Times New Roman" w:cs="Arial"/>
                <w:i/>
                <w:iCs/>
              </w:rPr>
            </w:pPr>
            <w:r>
              <w:rPr>
                <w:rFonts w:ascii="Arial" w:hAnsi="Arial" w:eastAsia="Times New Roman" w:cs="Arial"/>
                <w:i/>
                <w:iCs/>
              </w:rPr>
              <w:t>f</w:t>
            </w:r>
          </w:p>
        </w:tc>
        <w:tc>
          <w:tcPr>
            <w:tcW w:w="1770" w:type="dxa"/>
            <w:tcBorders>
              <w:left w:val="nil"/>
              <w:right w:val="nil"/>
            </w:tcBorders>
            <w:tcMar>
              <w:top w:w="0" w:type="dxa"/>
              <w:left w:w="0" w:type="dxa"/>
              <w:bottom w:w="0" w:type="dxa"/>
              <w:right w:w="0" w:type="dxa"/>
            </w:tcMar>
            <w:vAlign w:val="bottom"/>
          </w:tcPr>
          <w:p w14:paraId="0A3AE4A4">
            <w:pPr>
              <w:widowControl w:val="0"/>
              <w:jc w:val="center"/>
              <w:rPr>
                <w:rFonts w:ascii="Arial" w:hAnsi="Arial" w:eastAsia="Times New Roman" w:cs="Arial"/>
                <w:i/>
                <w:iCs/>
              </w:rPr>
            </w:pPr>
            <w:r>
              <w:rPr>
                <w:rFonts w:ascii="Arial" w:hAnsi="Arial" w:eastAsia="Times New Roman" w:cs="Arial"/>
                <w:i/>
                <w:iCs/>
              </w:rPr>
              <w:t>%</w:t>
            </w:r>
          </w:p>
        </w:tc>
      </w:tr>
      <w:tr w14:paraId="79C9DB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42" w:hRule="atLeast"/>
        </w:trPr>
        <w:tc>
          <w:tcPr>
            <w:tcW w:w="5910" w:type="dxa"/>
            <w:tcBorders>
              <w:left w:val="nil"/>
              <w:bottom w:val="nil"/>
              <w:right w:val="nil"/>
            </w:tcBorders>
            <w:tcMar>
              <w:top w:w="0" w:type="dxa"/>
              <w:left w:w="0" w:type="dxa"/>
              <w:bottom w:w="0" w:type="dxa"/>
              <w:right w:w="0" w:type="dxa"/>
            </w:tcMar>
            <w:vAlign w:val="bottom"/>
          </w:tcPr>
          <w:p w14:paraId="205866E1">
            <w:pPr>
              <w:widowControl w:val="0"/>
              <w:rPr>
                <w:rFonts w:ascii="Arial" w:hAnsi="Arial" w:eastAsia="Times New Roman" w:cs="Arial"/>
              </w:rPr>
            </w:pPr>
            <w:r>
              <w:rPr>
                <w:rFonts w:ascii="Arial" w:hAnsi="Arial" w:eastAsia="Times New Roman" w:cs="Arial"/>
              </w:rPr>
              <w:t xml:space="preserve">Age </w:t>
            </w:r>
          </w:p>
        </w:tc>
        <w:tc>
          <w:tcPr>
            <w:tcW w:w="1170" w:type="dxa"/>
            <w:tcBorders>
              <w:left w:val="nil"/>
              <w:bottom w:val="nil"/>
              <w:right w:val="nil"/>
            </w:tcBorders>
            <w:tcMar>
              <w:top w:w="0" w:type="dxa"/>
              <w:left w:w="0" w:type="dxa"/>
              <w:bottom w:w="0" w:type="dxa"/>
              <w:right w:w="0" w:type="dxa"/>
            </w:tcMar>
            <w:vAlign w:val="bottom"/>
          </w:tcPr>
          <w:p w14:paraId="7A6F84E6">
            <w:pPr>
              <w:widowControl w:val="0"/>
              <w:jc w:val="center"/>
              <w:rPr>
                <w:rFonts w:ascii="Arial" w:hAnsi="Arial" w:eastAsia="Times New Roman" w:cs="Arial"/>
              </w:rPr>
            </w:pPr>
          </w:p>
        </w:tc>
        <w:tc>
          <w:tcPr>
            <w:tcW w:w="1770" w:type="dxa"/>
            <w:tcBorders>
              <w:left w:val="nil"/>
              <w:bottom w:val="nil"/>
              <w:right w:val="nil"/>
            </w:tcBorders>
            <w:tcMar>
              <w:top w:w="0" w:type="dxa"/>
              <w:left w:w="0" w:type="dxa"/>
              <w:bottom w:w="0" w:type="dxa"/>
              <w:right w:w="0" w:type="dxa"/>
            </w:tcMar>
            <w:vAlign w:val="bottom"/>
          </w:tcPr>
          <w:p w14:paraId="234A707B">
            <w:pPr>
              <w:widowControl w:val="0"/>
              <w:jc w:val="center"/>
              <w:rPr>
                <w:rFonts w:ascii="Arial" w:hAnsi="Arial" w:eastAsia="Times New Roman" w:cs="Arial"/>
              </w:rPr>
            </w:pPr>
          </w:p>
        </w:tc>
      </w:tr>
      <w:tr w14:paraId="2BF39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70" w:hRule="atLeast"/>
        </w:trPr>
        <w:tc>
          <w:tcPr>
            <w:tcW w:w="5910" w:type="dxa"/>
            <w:tcBorders>
              <w:top w:val="nil"/>
              <w:left w:val="nil"/>
              <w:right w:val="nil"/>
            </w:tcBorders>
            <w:tcMar>
              <w:top w:w="0" w:type="dxa"/>
              <w:left w:w="0" w:type="dxa"/>
              <w:bottom w:w="0" w:type="dxa"/>
              <w:right w:w="0" w:type="dxa"/>
            </w:tcMar>
            <w:vAlign w:val="bottom"/>
          </w:tcPr>
          <w:p w14:paraId="4FE9310C">
            <w:pPr>
              <w:widowControl w:val="0"/>
              <w:ind w:right="-90"/>
              <w:jc w:val="center"/>
              <w:rPr>
                <w:rFonts w:ascii="Arial" w:hAnsi="Arial" w:eastAsia="Times New Roman" w:cs="Arial"/>
              </w:rPr>
            </w:pPr>
            <w:r>
              <w:rPr>
                <w:rFonts w:ascii="Arial" w:hAnsi="Arial" w:eastAsia="Times New Roman" w:cs="Arial"/>
              </w:rPr>
              <w:t xml:space="preserve">18-39 years old   </w:t>
            </w:r>
          </w:p>
          <w:p w14:paraId="400B7718">
            <w:pPr>
              <w:widowControl w:val="0"/>
              <w:ind w:right="-90"/>
              <w:jc w:val="center"/>
              <w:rPr>
                <w:rFonts w:ascii="Arial" w:hAnsi="Arial" w:eastAsia="Times New Roman" w:cs="Arial"/>
              </w:rPr>
            </w:pPr>
            <w:r>
              <w:rPr>
                <w:rFonts w:ascii="Arial" w:hAnsi="Arial" w:eastAsia="Times New Roman" w:cs="Arial"/>
              </w:rPr>
              <w:t xml:space="preserve"> 40-49 years old </w:t>
            </w:r>
          </w:p>
          <w:p w14:paraId="12E4B67A">
            <w:pPr>
              <w:widowControl w:val="0"/>
              <w:ind w:right="-90"/>
              <w:jc w:val="center"/>
              <w:rPr>
                <w:rFonts w:ascii="Arial" w:hAnsi="Arial" w:eastAsia="Times New Roman" w:cs="Arial"/>
              </w:rPr>
            </w:pPr>
            <w:r>
              <w:rPr>
                <w:rFonts w:ascii="Arial" w:hAnsi="Arial" w:eastAsia="Times New Roman" w:cs="Arial"/>
              </w:rPr>
              <w:t>51-59 years old</w:t>
            </w:r>
          </w:p>
          <w:p w14:paraId="6B39293B">
            <w:pPr>
              <w:widowControl w:val="0"/>
              <w:ind w:right="-90"/>
              <w:jc w:val="center"/>
              <w:rPr>
                <w:rFonts w:ascii="Arial" w:hAnsi="Arial" w:eastAsia="Times New Roman" w:cs="Arial"/>
              </w:rPr>
            </w:pPr>
            <w:r>
              <w:rPr>
                <w:rFonts w:ascii="Arial" w:hAnsi="Arial" w:eastAsia="Gungsuh" w:cs="Arial"/>
              </w:rPr>
              <w:t xml:space="preserve"> ≥60 years old   </w:t>
            </w:r>
          </w:p>
        </w:tc>
        <w:tc>
          <w:tcPr>
            <w:tcW w:w="1170" w:type="dxa"/>
            <w:tcBorders>
              <w:top w:val="nil"/>
              <w:left w:val="nil"/>
              <w:right w:val="nil"/>
            </w:tcBorders>
            <w:tcMar>
              <w:top w:w="0" w:type="dxa"/>
              <w:left w:w="0" w:type="dxa"/>
              <w:bottom w:w="0" w:type="dxa"/>
              <w:right w:w="0" w:type="dxa"/>
            </w:tcMar>
            <w:vAlign w:val="bottom"/>
          </w:tcPr>
          <w:p w14:paraId="0AEF9E25">
            <w:pPr>
              <w:widowControl w:val="0"/>
              <w:ind w:right="-90"/>
              <w:jc w:val="center"/>
              <w:rPr>
                <w:rFonts w:ascii="Arial" w:hAnsi="Arial" w:eastAsia="Times New Roman" w:cs="Arial"/>
              </w:rPr>
            </w:pPr>
            <w:r>
              <w:rPr>
                <w:rFonts w:ascii="Arial" w:hAnsi="Arial" w:eastAsia="Times New Roman" w:cs="Arial"/>
              </w:rPr>
              <w:t>53</w:t>
            </w:r>
          </w:p>
          <w:p w14:paraId="25929F86">
            <w:pPr>
              <w:widowControl w:val="0"/>
              <w:ind w:right="-90"/>
              <w:jc w:val="center"/>
              <w:rPr>
                <w:rFonts w:ascii="Arial" w:hAnsi="Arial" w:eastAsia="Times New Roman" w:cs="Arial"/>
              </w:rPr>
            </w:pPr>
            <w:r>
              <w:rPr>
                <w:rFonts w:ascii="Arial" w:hAnsi="Arial" w:eastAsia="Times New Roman" w:cs="Arial"/>
              </w:rPr>
              <w:t>20</w:t>
            </w:r>
          </w:p>
          <w:p w14:paraId="04FEA65C">
            <w:pPr>
              <w:widowControl w:val="0"/>
              <w:ind w:right="-90"/>
              <w:jc w:val="center"/>
              <w:rPr>
                <w:rFonts w:ascii="Arial" w:hAnsi="Arial" w:eastAsia="Times New Roman" w:cs="Arial"/>
              </w:rPr>
            </w:pPr>
            <w:r>
              <w:rPr>
                <w:rFonts w:ascii="Arial" w:hAnsi="Arial" w:eastAsia="Times New Roman" w:cs="Arial"/>
              </w:rPr>
              <w:t>19</w:t>
            </w:r>
          </w:p>
          <w:p w14:paraId="3840C042">
            <w:pPr>
              <w:widowControl w:val="0"/>
              <w:ind w:right="-90"/>
              <w:jc w:val="center"/>
              <w:rPr>
                <w:rFonts w:ascii="Arial" w:hAnsi="Arial" w:eastAsia="Times New Roman" w:cs="Arial"/>
              </w:rPr>
            </w:pPr>
            <w:r>
              <w:rPr>
                <w:rFonts w:ascii="Arial" w:hAnsi="Arial" w:eastAsia="Times New Roman" w:cs="Arial"/>
              </w:rPr>
              <w:t>25</w:t>
            </w:r>
          </w:p>
        </w:tc>
        <w:tc>
          <w:tcPr>
            <w:tcW w:w="1770" w:type="dxa"/>
            <w:tcBorders>
              <w:top w:val="nil"/>
              <w:left w:val="nil"/>
              <w:right w:val="nil"/>
            </w:tcBorders>
            <w:tcMar>
              <w:top w:w="0" w:type="dxa"/>
              <w:left w:w="0" w:type="dxa"/>
              <w:bottom w:w="0" w:type="dxa"/>
              <w:right w:w="0" w:type="dxa"/>
            </w:tcMar>
            <w:vAlign w:val="bottom"/>
          </w:tcPr>
          <w:p w14:paraId="271C7D98">
            <w:pPr>
              <w:widowControl w:val="0"/>
              <w:ind w:right="-90"/>
              <w:jc w:val="center"/>
              <w:rPr>
                <w:rFonts w:ascii="Arial" w:hAnsi="Arial" w:eastAsia="Times New Roman" w:cs="Arial"/>
              </w:rPr>
            </w:pPr>
            <w:r>
              <w:rPr>
                <w:rFonts w:ascii="Arial" w:hAnsi="Arial" w:eastAsia="Times New Roman" w:cs="Arial"/>
              </w:rPr>
              <w:t>45.3%</w:t>
            </w:r>
          </w:p>
          <w:p w14:paraId="0B0AECFD">
            <w:pPr>
              <w:widowControl w:val="0"/>
              <w:ind w:right="-90"/>
              <w:jc w:val="center"/>
              <w:rPr>
                <w:rFonts w:ascii="Arial" w:hAnsi="Arial" w:eastAsia="Times New Roman" w:cs="Arial"/>
              </w:rPr>
            </w:pPr>
            <w:r>
              <w:rPr>
                <w:rFonts w:ascii="Arial" w:hAnsi="Arial" w:eastAsia="Times New Roman" w:cs="Arial"/>
              </w:rPr>
              <w:t>17.1%</w:t>
            </w:r>
          </w:p>
          <w:p w14:paraId="3D32654D">
            <w:pPr>
              <w:widowControl w:val="0"/>
              <w:ind w:right="-90"/>
              <w:jc w:val="center"/>
              <w:rPr>
                <w:rFonts w:ascii="Arial" w:hAnsi="Arial" w:eastAsia="Times New Roman" w:cs="Arial"/>
              </w:rPr>
            </w:pPr>
            <w:r>
              <w:rPr>
                <w:rFonts w:ascii="Arial" w:hAnsi="Arial" w:eastAsia="Times New Roman" w:cs="Arial"/>
              </w:rPr>
              <w:t>16.2%</w:t>
            </w:r>
          </w:p>
          <w:p w14:paraId="51650813">
            <w:pPr>
              <w:widowControl w:val="0"/>
              <w:ind w:right="-90"/>
              <w:jc w:val="center"/>
              <w:rPr>
                <w:rFonts w:ascii="Arial" w:hAnsi="Arial" w:eastAsia="Times New Roman" w:cs="Arial"/>
              </w:rPr>
            </w:pPr>
            <w:r>
              <w:rPr>
                <w:rFonts w:ascii="Arial" w:hAnsi="Arial" w:eastAsia="Times New Roman" w:cs="Arial"/>
              </w:rPr>
              <w:t>21.4%</w:t>
            </w:r>
          </w:p>
        </w:tc>
      </w:tr>
      <w:tr w14:paraId="54B08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42" w:hRule="atLeast"/>
        </w:trPr>
        <w:tc>
          <w:tcPr>
            <w:tcW w:w="5910" w:type="dxa"/>
            <w:tcBorders>
              <w:left w:val="nil"/>
              <w:bottom w:val="nil"/>
              <w:right w:val="nil"/>
            </w:tcBorders>
            <w:tcMar>
              <w:top w:w="0" w:type="dxa"/>
              <w:left w:w="0" w:type="dxa"/>
              <w:bottom w:w="0" w:type="dxa"/>
              <w:right w:w="0" w:type="dxa"/>
            </w:tcMar>
            <w:vAlign w:val="bottom"/>
          </w:tcPr>
          <w:p w14:paraId="3AFD22C6">
            <w:pPr>
              <w:widowControl w:val="0"/>
              <w:rPr>
                <w:rFonts w:ascii="Arial" w:hAnsi="Arial" w:eastAsia="Times New Roman" w:cs="Arial"/>
              </w:rPr>
            </w:pPr>
            <w:r>
              <w:rPr>
                <w:rFonts w:ascii="Arial" w:hAnsi="Arial" w:eastAsia="Times New Roman" w:cs="Arial"/>
              </w:rPr>
              <w:t xml:space="preserve">Sex </w:t>
            </w:r>
          </w:p>
        </w:tc>
        <w:tc>
          <w:tcPr>
            <w:tcW w:w="1170" w:type="dxa"/>
            <w:tcBorders>
              <w:left w:val="nil"/>
              <w:bottom w:val="nil"/>
              <w:right w:val="nil"/>
            </w:tcBorders>
            <w:tcMar>
              <w:top w:w="0" w:type="dxa"/>
              <w:left w:w="0" w:type="dxa"/>
              <w:bottom w:w="0" w:type="dxa"/>
              <w:right w:w="0" w:type="dxa"/>
            </w:tcMar>
            <w:vAlign w:val="bottom"/>
          </w:tcPr>
          <w:p w14:paraId="1C2BE132">
            <w:pPr>
              <w:widowControl w:val="0"/>
              <w:jc w:val="center"/>
              <w:rPr>
                <w:rFonts w:ascii="Arial" w:hAnsi="Arial" w:eastAsia="Times New Roman" w:cs="Arial"/>
              </w:rPr>
            </w:pPr>
          </w:p>
        </w:tc>
        <w:tc>
          <w:tcPr>
            <w:tcW w:w="1770" w:type="dxa"/>
            <w:tcBorders>
              <w:left w:val="nil"/>
              <w:bottom w:val="nil"/>
              <w:right w:val="nil"/>
            </w:tcBorders>
            <w:tcMar>
              <w:top w:w="0" w:type="dxa"/>
              <w:left w:w="0" w:type="dxa"/>
              <w:bottom w:w="0" w:type="dxa"/>
              <w:right w:w="0" w:type="dxa"/>
            </w:tcMar>
            <w:vAlign w:val="bottom"/>
          </w:tcPr>
          <w:p w14:paraId="5A6AF7C8">
            <w:pPr>
              <w:widowControl w:val="0"/>
              <w:jc w:val="center"/>
              <w:rPr>
                <w:rFonts w:ascii="Arial" w:hAnsi="Arial" w:eastAsia="Times New Roman" w:cs="Arial"/>
              </w:rPr>
            </w:pPr>
          </w:p>
        </w:tc>
      </w:tr>
      <w:tr w14:paraId="1FD2C5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85" w:hRule="atLeast"/>
        </w:trPr>
        <w:tc>
          <w:tcPr>
            <w:tcW w:w="5910" w:type="dxa"/>
            <w:tcBorders>
              <w:top w:val="nil"/>
              <w:left w:val="nil"/>
              <w:right w:val="nil"/>
            </w:tcBorders>
            <w:tcMar>
              <w:top w:w="0" w:type="dxa"/>
              <w:left w:w="0" w:type="dxa"/>
              <w:bottom w:w="0" w:type="dxa"/>
              <w:right w:w="0" w:type="dxa"/>
            </w:tcMar>
            <w:vAlign w:val="bottom"/>
          </w:tcPr>
          <w:p w14:paraId="13E3764E">
            <w:pPr>
              <w:widowControl w:val="0"/>
              <w:jc w:val="center"/>
              <w:rPr>
                <w:rFonts w:ascii="Arial" w:hAnsi="Arial" w:eastAsia="Times New Roman" w:cs="Arial"/>
              </w:rPr>
            </w:pPr>
            <w:r>
              <w:rPr>
                <w:rFonts w:ascii="Arial" w:hAnsi="Arial" w:eastAsia="Times New Roman" w:cs="Arial"/>
              </w:rPr>
              <w:t xml:space="preserve">Male </w:t>
            </w:r>
          </w:p>
          <w:p w14:paraId="183E3D8B">
            <w:pPr>
              <w:widowControl w:val="0"/>
              <w:jc w:val="center"/>
              <w:rPr>
                <w:rFonts w:ascii="Arial" w:hAnsi="Arial" w:eastAsia="Times New Roman" w:cs="Arial"/>
              </w:rPr>
            </w:pPr>
            <w:r>
              <w:rPr>
                <w:rFonts w:ascii="Arial" w:hAnsi="Arial" w:eastAsia="Times New Roman" w:cs="Arial"/>
              </w:rPr>
              <w:t xml:space="preserve">Female </w:t>
            </w:r>
          </w:p>
        </w:tc>
        <w:tc>
          <w:tcPr>
            <w:tcW w:w="1170" w:type="dxa"/>
            <w:tcBorders>
              <w:top w:val="nil"/>
              <w:left w:val="nil"/>
              <w:right w:val="nil"/>
            </w:tcBorders>
            <w:tcMar>
              <w:top w:w="0" w:type="dxa"/>
              <w:left w:w="0" w:type="dxa"/>
              <w:bottom w:w="0" w:type="dxa"/>
              <w:right w:w="0" w:type="dxa"/>
            </w:tcMar>
            <w:vAlign w:val="bottom"/>
          </w:tcPr>
          <w:p w14:paraId="26CBC19C">
            <w:pPr>
              <w:widowControl w:val="0"/>
              <w:ind w:right="-90"/>
              <w:jc w:val="center"/>
              <w:rPr>
                <w:rFonts w:ascii="Arial" w:hAnsi="Arial" w:eastAsia="Times New Roman" w:cs="Arial"/>
              </w:rPr>
            </w:pPr>
            <w:r>
              <w:rPr>
                <w:rFonts w:ascii="Arial" w:hAnsi="Arial" w:eastAsia="Times New Roman" w:cs="Arial"/>
              </w:rPr>
              <w:t xml:space="preserve">60                                                                                                                                      57  </w:t>
            </w:r>
          </w:p>
        </w:tc>
        <w:tc>
          <w:tcPr>
            <w:tcW w:w="1770" w:type="dxa"/>
            <w:tcBorders>
              <w:top w:val="nil"/>
              <w:left w:val="nil"/>
              <w:right w:val="nil"/>
            </w:tcBorders>
            <w:tcMar>
              <w:top w:w="0" w:type="dxa"/>
              <w:left w:w="0" w:type="dxa"/>
              <w:bottom w:w="0" w:type="dxa"/>
              <w:right w:w="0" w:type="dxa"/>
            </w:tcMar>
            <w:vAlign w:val="bottom"/>
          </w:tcPr>
          <w:p w14:paraId="71CF356A">
            <w:pPr>
              <w:widowControl w:val="0"/>
              <w:ind w:right="-90"/>
              <w:jc w:val="center"/>
              <w:rPr>
                <w:rFonts w:ascii="Arial" w:hAnsi="Arial" w:eastAsia="Times New Roman" w:cs="Arial"/>
              </w:rPr>
            </w:pPr>
            <w:r>
              <w:rPr>
                <w:rFonts w:ascii="Arial" w:hAnsi="Arial" w:eastAsia="Times New Roman" w:cs="Arial"/>
              </w:rPr>
              <w:t xml:space="preserve">51.28%                                  </w:t>
            </w:r>
          </w:p>
          <w:p w14:paraId="3541291B">
            <w:pPr>
              <w:widowControl w:val="0"/>
              <w:ind w:right="-90"/>
              <w:jc w:val="center"/>
              <w:rPr>
                <w:rFonts w:ascii="Arial" w:hAnsi="Arial" w:eastAsia="Times New Roman" w:cs="Arial"/>
              </w:rPr>
            </w:pPr>
            <w:r>
              <w:rPr>
                <w:rFonts w:ascii="Arial" w:hAnsi="Arial" w:eastAsia="Times New Roman" w:cs="Arial"/>
              </w:rPr>
              <w:t>48.72%</w:t>
            </w:r>
          </w:p>
        </w:tc>
      </w:tr>
      <w:tr w14:paraId="5FFE3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42" w:hRule="atLeast"/>
        </w:trPr>
        <w:tc>
          <w:tcPr>
            <w:tcW w:w="5910" w:type="dxa"/>
            <w:tcBorders>
              <w:left w:val="nil"/>
              <w:bottom w:val="nil"/>
              <w:right w:val="nil"/>
            </w:tcBorders>
            <w:tcMar>
              <w:top w:w="0" w:type="dxa"/>
              <w:left w:w="0" w:type="dxa"/>
              <w:bottom w:w="0" w:type="dxa"/>
              <w:right w:w="0" w:type="dxa"/>
            </w:tcMar>
            <w:vAlign w:val="bottom"/>
          </w:tcPr>
          <w:p w14:paraId="73F19CC5">
            <w:pPr>
              <w:widowControl w:val="0"/>
              <w:rPr>
                <w:rFonts w:ascii="Arial" w:hAnsi="Arial" w:eastAsia="Times New Roman" w:cs="Arial"/>
              </w:rPr>
            </w:pPr>
            <w:r>
              <w:rPr>
                <w:rFonts w:ascii="Arial" w:hAnsi="Arial" w:eastAsia="Times New Roman" w:cs="Arial"/>
              </w:rPr>
              <w:t xml:space="preserve">Highest Educational Attainment </w:t>
            </w:r>
          </w:p>
        </w:tc>
        <w:tc>
          <w:tcPr>
            <w:tcW w:w="1170" w:type="dxa"/>
            <w:tcBorders>
              <w:left w:val="nil"/>
              <w:bottom w:val="nil"/>
              <w:right w:val="nil"/>
            </w:tcBorders>
            <w:tcMar>
              <w:top w:w="0" w:type="dxa"/>
              <w:left w:w="0" w:type="dxa"/>
              <w:bottom w:w="0" w:type="dxa"/>
              <w:right w:w="0" w:type="dxa"/>
            </w:tcMar>
            <w:vAlign w:val="bottom"/>
          </w:tcPr>
          <w:p w14:paraId="171816A6">
            <w:pPr>
              <w:widowControl w:val="0"/>
              <w:jc w:val="center"/>
              <w:rPr>
                <w:rFonts w:ascii="Arial" w:hAnsi="Arial" w:eastAsia="Times New Roman" w:cs="Arial"/>
              </w:rPr>
            </w:pPr>
          </w:p>
        </w:tc>
        <w:tc>
          <w:tcPr>
            <w:tcW w:w="1770" w:type="dxa"/>
            <w:tcBorders>
              <w:left w:val="nil"/>
              <w:bottom w:val="nil"/>
              <w:right w:val="nil"/>
            </w:tcBorders>
            <w:tcMar>
              <w:top w:w="0" w:type="dxa"/>
              <w:left w:w="0" w:type="dxa"/>
              <w:bottom w:w="0" w:type="dxa"/>
              <w:right w:w="0" w:type="dxa"/>
            </w:tcMar>
            <w:vAlign w:val="bottom"/>
          </w:tcPr>
          <w:p w14:paraId="12299322">
            <w:pPr>
              <w:widowControl w:val="0"/>
              <w:jc w:val="center"/>
              <w:rPr>
                <w:rFonts w:ascii="Arial" w:hAnsi="Arial" w:eastAsia="Times New Roman" w:cs="Arial"/>
              </w:rPr>
            </w:pPr>
          </w:p>
        </w:tc>
      </w:tr>
      <w:tr w14:paraId="70324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70" w:hRule="atLeast"/>
        </w:trPr>
        <w:tc>
          <w:tcPr>
            <w:tcW w:w="5910" w:type="dxa"/>
            <w:tcBorders>
              <w:top w:val="nil"/>
              <w:left w:val="nil"/>
              <w:right w:val="nil"/>
            </w:tcBorders>
            <w:tcMar>
              <w:top w:w="0" w:type="dxa"/>
              <w:left w:w="0" w:type="dxa"/>
              <w:bottom w:w="0" w:type="dxa"/>
              <w:right w:w="0" w:type="dxa"/>
            </w:tcMar>
            <w:vAlign w:val="bottom"/>
          </w:tcPr>
          <w:p w14:paraId="36441CF0">
            <w:pPr>
              <w:widowControl w:val="0"/>
              <w:ind w:right="-90"/>
              <w:jc w:val="center"/>
              <w:rPr>
                <w:rFonts w:ascii="Arial" w:hAnsi="Arial" w:eastAsia="Times New Roman" w:cs="Arial"/>
              </w:rPr>
            </w:pPr>
            <w:r>
              <w:rPr>
                <w:rFonts w:ascii="Arial" w:hAnsi="Arial" w:eastAsia="Times New Roman" w:cs="Arial"/>
              </w:rPr>
              <w:t xml:space="preserve">Elementary   </w:t>
            </w:r>
          </w:p>
          <w:p w14:paraId="6E16F827">
            <w:pPr>
              <w:widowControl w:val="0"/>
              <w:ind w:right="-90"/>
              <w:jc w:val="center"/>
              <w:rPr>
                <w:rFonts w:ascii="Arial" w:hAnsi="Arial" w:eastAsia="Times New Roman" w:cs="Arial"/>
              </w:rPr>
            </w:pPr>
            <w:r>
              <w:rPr>
                <w:rFonts w:ascii="Arial" w:hAnsi="Arial" w:eastAsia="Times New Roman" w:cs="Arial"/>
              </w:rPr>
              <w:t xml:space="preserve">High school    </w:t>
            </w:r>
          </w:p>
          <w:p w14:paraId="023AEFA0">
            <w:pPr>
              <w:widowControl w:val="0"/>
              <w:ind w:right="-90"/>
              <w:jc w:val="center"/>
              <w:rPr>
                <w:rFonts w:ascii="Arial" w:hAnsi="Arial" w:eastAsia="Times New Roman" w:cs="Arial"/>
              </w:rPr>
            </w:pPr>
            <w:r>
              <w:rPr>
                <w:rFonts w:ascii="Arial" w:hAnsi="Arial" w:eastAsia="Times New Roman" w:cs="Arial"/>
              </w:rPr>
              <w:t>Vocational</w:t>
            </w:r>
          </w:p>
          <w:p w14:paraId="2A077F8E">
            <w:pPr>
              <w:widowControl w:val="0"/>
              <w:ind w:right="-90"/>
              <w:jc w:val="center"/>
              <w:rPr>
                <w:rFonts w:ascii="Arial" w:hAnsi="Arial" w:eastAsia="Times New Roman" w:cs="Arial"/>
              </w:rPr>
            </w:pPr>
            <w:r>
              <w:rPr>
                <w:rFonts w:ascii="Arial" w:hAnsi="Arial" w:eastAsia="Times New Roman" w:cs="Arial"/>
              </w:rPr>
              <w:t>College</w:t>
            </w:r>
          </w:p>
        </w:tc>
        <w:tc>
          <w:tcPr>
            <w:tcW w:w="1170" w:type="dxa"/>
            <w:tcBorders>
              <w:top w:val="nil"/>
              <w:left w:val="nil"/>
              <w:right w:val="nil"/>
            </w:tcBorders>
            <w:tcMar>
              <w:top w:w="0" w:type="dxa"/>
              <w:left w:w="0" w:type="dxa"/>
              <w:bottom w:w="0" w:type="dxa"/>
              <w:right w:w="0" w:type="dxa"/>
            </w:tcMar>
            <w:vAlign w:val="bottom"/>
          </w:tcPr>
          <w:p w14:paraId="7CB5276D">
            <w:pPr>
              <w:widowControl w:val="0"/>
              <w:ind w:right="-90"/>
              <w:jc w:val="center"/>
              <w:rPr>
                <w:rFonts w:ascii="Arial" w:hAnsi="Arial" w:eastAsia="Times New Roman" w:cs="Arial"/>
              </w:rPr>
            </w:pPr>
            <w:r>
              <w:rPr>
                <w:rFonts w:ascii="Arial" w:hAnsi="Arial" w:eastAsia="Times New Roman" w:cs="Arial"/>
              </w:rPr>
              <w:t>16</w:t>
            </w:r>
          </w:p>
          <w:p w14:paraId="4CB68452">
            <w:pPr>
              <w:widowControl w:val="0"/>
              <w:ind w:right="-90"/>
              <w:jc w:val="center"/>
              <w:rPr>
                <w:rFonts w:ascii="Arial" w:hAnsi="Arial" w:eastAsia="Times New Roman" w:cs="Arial"/>
              </w:rPr>
            </w:pPr>
            <w:r>
              <w:rPr>
                <w:rFonts w:ascii="Arial" w:hAnsi="Arial" w:eastAsia="Times New Roman" w:cs="Arial"/>
              </w:rPr>
              <w:t>51</w:t>
            </w:r>
          </w:p>
          <w:p w14:paraId="10FF2438">
            <w:pPr>
              <w:widowControl w:val="0"/>
              <w:ind w:right="-90"/>
              <w:jc w:val="center"/>
              <w:rPr>
                <w:rFonts w:ascii="Arial" w:hAnsi="Arial" w:eastAsia="Times New Roman" w:cs="Arial"/>
              </w:rPr>
            </w:pPr>
            <w:r>
              <w:rPr>
                <w:rFonts w:ascii="Arial" w:hAnsi="Arial" w:eastAsia="Times New Roman" w:cs="Arial"/>
              </w:rPr>
              <w:t>12</w:t>
            </w:r>
          </w:p>
          <w:p w14:paraId="271D376F">
            <w:pPr>
              <w:widowControl w:val="0"/>
              <w:ind w:right="-90"/>
              <w:jc w:val="center"/>
              <w:rPr>
                <w:rFonts w:ascii="Arial" w:hAnsi="Arial" w:eastAsia="Times New Roman" w:cs="Arial"/>
              </w:rPr>
            </w:pPr>
            <w:r>
              <w:rPr>
                <w:rFonts w:ascii="Arial" w:hAnsi="Arial" w:eastAsia="Times New Roman" w:cs="Arial"/>
              </w:rPr>
              <w:t>38</w:t>
            </w:r>
          </w:p>
        </w:tc>
        <w:tc>
          <w:tcPr>
            <w:tcW w:w="1770" w:type="dxa"/>
            <w:tcBorders>
              <w:top w:val="nil"/>
              <w:left w:val="nil"/>
              <w:right w:val="nil"/>
            </w:tcBorders>
            <w:tcMar>
              <w:top w:w="0" w:type="dxa"/>
              <w:left w:w="0" w:type="dxa"/>
              <w:bottom w:w="0" w:type="dxa"/>
              <w:right w:w="0" w:type="dxa"/>
            </w:tcMar>
            <w:vAlign w:val="bottom"/>
          </w:tcPr>
          <w:p w14:paraId="26E474EB">
            <w:pPr>
              <w:widowControl w:val="0"/>
              <w:ind w:right="-90"/>
              <w:jc w:val="center"/>
              <w:rPr>
                <w:rFonts w:ascii="Arial" w:hAnsi="Arial" w:eastAsia="Times New Roman" w:cs="Arial"/>
              </w:rPr>
            </w:pPr>
            <w:r>
              <w:rPr>
                <w:rFonts w:ascii="Arial" w:hAnsi="Arial" w:eastAsia="Times New Roman" w:cs="Arial"/>
              </w:rPr>
              <w:t>13.7</w:t>
            </w:r>
          </w:p>
          <w:p w14:paraId="25661BD0">
            <w:pPr>
              <w:widowControl w:val="0"/>
              <w:ind w:right="-90"/>
              <w:jc w:val="center"/>
              <w:rPr>
                <w:rFonts w:ascii="Arial" w:hAnsi="Arial" w:eastAsia="Times New Roman" w:cs="Arial"/>
              </w:rPr>
            </w:pPr>
            <w:r>
              <w:rPr>
                <w:rFonts w:ascii="Arial" w:hAnsi="Arial" w:eastAsia="Times New Roman" w:cs="Arial"/>
              </w:rPr>
              <w:t>43.6</w:t>
            </w:r>
          </w:p>
          <w:p w14:paraId="5945B621">
            <w:pPr>
              <w:widowControl w:val="0"/>
              <w:ind w:right="-90"/>
              <w:jc w:val="center"/>
              <w:rPr>
                <w:rFonts w:ascii="Arial" w:hAnsi="Arial" w:eastAsia="Times New Roman" w:cs="Arial"/>
              </w:rPr>
            </w:pPr>
            <w:r>
              <w:rPr>
                <w:rFonts w:ascii="Arial" w:hAnsi="Arial" w:eastAsia="Times New Roman" w:cs="Arial"/>
              </w:rPr>
              <w:t>10.3</w:t>
            </w:r>
          </w:p>
          <w:p w14:paraId="6268F956">
            <w:pPr>
              <w:widowControl w:val="0"/>
              <w:ind w:right="-90"/>
              <w:jc w:val="center"/>
              <w:rPr>
                <w:rFonts w:ascii="Arial" w:hAnsi="Arial" w:eastAsia="Times New Roman" w:cs="Arial"/>
              </w:rPr>
            </w:pPr>
            <w:r>
              <w:rPr>
                <w:rFonts w:ascii="Arial" w:hAnsi="Arial" w:eastAsia="Times New Roman" w:cs="Arial"/>
              </w:rPr>
              <w:t>32.5</w:t>
            </w:r>
          </w:p>
        </w:tc>
      </w:tr>
      <w:tr w14:paraId="50FC3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42" w:hRule="atLeast"/>
        </w:trPr>
        <w:tc>
          <w:tcPr>
            <w:tcW w:w="5910" w:type="dxa"/>
            <w:tcBorders>
              <w:left w:val="nil"/>
              <w:right w:val="nil"/>
            </w:tcBorders>
            <w:tcMar>
              <w:top w:w="0" w:type="dxa"/>
              <w:left w:w="0" w:type="dxa"/>
              <w:bottom w:w="0" w:type="dxa"/>
              <w:right w:w="0" w:type="dxa"/>
            </w:tcMar>
            <w:vAlign w:val="bottom"/>
          </w:tcPr>
          <w:p w14:paraId="52F147B2">
            <w:pPr>
              <w:widowControl w:val="0"/>
              <w:rPr>
                <w:rFonts w:ascii="Arial" w:hAnsi="Arial" w:eastAsia="Times New Roman" w:cs="Arial"/>
              </w:rPr>
            </w:pPr>
            <w:r>
              <w:rPr>
                <w:rFonts w:ascii="Arial" w:hAnsi="Arial" w:eastAsia="Times New Roman" w:cs="Arial"/>
              </w:rPr>
              <w:t xml:space="preserve">Total </w:t>
            </w:r>
          </w:p>
        </w:tc>
        <w:tc>
          <w:tcPr>
            <w:tcW w:w="1170" w:type="dxa"/>
            <w:tcBorders>
              <w:left w:val="nil"/>
              <w:right w:val="nil"/>
            </w:tcBorders>
            <w:tcMar>
              <w:top w:w="0" w:type="dxa"/>
              <w:left w:w="0" w:type="dxa"/>
              <w:bottom w:w="0" w:type="dxa"/>
              <w:right w:w="0" w:type="dxa"/>
            </w:tcMar>
            <w:vAlign w:val="bottom"/>
          </w:tcPr>
          <w:p w14:paraId="0D5846B8">
            <w:pPr>
              <w:widowControl w:val="0"/>
              <w:jc w:val="center"/>
              <w:rPr>
                <w:rFonts w:ascii="Arial" w:hAnsi="Arial" w:eastAsia="Times New Roman" w:cs="Arial"/>
              </w:rPr>
            </w:pPr>
            <w:r>
              <w:rPr>
                <w:rFonts w:ascii="Arial" w:hAnsi="Arial" w:eastAsia="Times New Roman" w:cs="Arial"/>
              </w:rPr>
              <w:t>117</w:t>
            </w:r>
          </w:p>
        </w:tc>
        <w:tc>
          <w:tcPr>
            <w:tcW w:w="1770" w:type="dxa"/>
            <w:tcBorders>
              <w:left w:val="nil"/>
              <w:right w:val="nil"/>
            </w:tcBorders>
            <w:tcMar>
              <w:top w:w="0" w:type="dxa"/>
              <w:left w:w="0" w:type="dxa"/>
              <w:bottom w:w="0" w:type="dxa"/>
              <w:right w:w="0" w:type="dxa"/>
            </w:tcMar>
            <w:vAlign w:val="bottom"/>
          </w:tcPr>
          <w:p w14:paraId="0E9DA629">
            <w:pPr>
              <w:widowControl w:val="0"/>
              <w:jc w:val="center"/>
              <w:rPr>
                <w:rFonts w:ascii="Arial" w:hAnsi="Arial" w:eastAsia="Times New Roman" w:cs="Arial"/>
              </w:rPr>
            </w:pPr>
            <w:r>
              <w:rPr>
                <w:rFonts w:ascii="Arial" w:hAnsi="Arial" w:eastAsia="Times New Roman" w:cs="Arial"/>
              </w:rPr>
              <w:t>100%</w:t>
            </w:r>
          </w:p>
        </w:tc>
      </w:tr>
    </w:tbl>
    <w:p w14:paraId="76F97DEB">
      <w:pPr>
        <w:ind w:right="-90"/>
        <w:rPr>
          <w:rFonts w:ascii="Arial" w:hAnsi="Arial" w:eastAsia="Arial" w:cs="Arial"/>
        </w:rPr>
      </w:pPr>
    </w:p>
    <w:p w14:paraId="5C609AE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Level of Knowledge on Herbal Plants</w:t>
      </w:r>
    </w:p>
    <w:p w14:paraId="012282F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Respondents obtained a mean knowledge score of 11.39/15 (75.90%), interpreted as moderate knowledge. Most respondents demonstrated awareness of common herbal plants such as Tsaang Gubat and Akapulko, while lower scores were observed in specific uses like Sambong and Ulasimang Bato. Overall, 54.7% had moderate knowledge, 35.0% high, and 10.3% low </w:t>
      </w:r>
    </w:p>
    <w:p w14:paraId="24079779">
      <w:pPr>
        <w:ind w:right="-90"/>
        <w:jc w:val="both"/>
        <w:rPr>
          <w:rFonts w:ascii="Arial" w:hAnsi="Arial" w:eastAsia="Times New Roman" w:cs="Arial"/>
          <w:b/>
          <w:bCs/>
        </w:rPr>
      </w:pPr>
      <w:r>
        <w:rPr>
          <w:rFonts w:ascii="Arial" w:hAnsi="Arial" w:eastAsia="Times New Roman" w:cs="Arial"/>
          <w:b/>
          <w:bCs/>
        </w:rPr>
        <w:t>Table 2a.</w:t>
      </w:r>
    </w:p>
    <w:p w14:paraId="524AD0F4">
      <w:pPr>
        <w:ind w:right="-90"/>
        <w:jc w:val="both"/>
        <w:rPr>
          <w:rFonts w:ascii="Arial" w:hAnsi="Arial" w:eastAsia="Times New Roman" w:cs="Arial"/>
          <w:b/>
          <w:bCs/>
        </w:rPr>
      </w:pPr>
    </w:p>
    <w:p w14:paraId="1B3EF75F">
      <w:pPr>
        <w:ind w:right="-90"/>
        <w:jc w:val="both"/>
        <w:rPr>
          <w:rFonts w:ascii="Arial" w:hAnsi="Arial" w:eastAsia="Times New Roman" w:cs="Arial"/>
          <w:b/>
          <w:bCs/>
        </w:rPr>
      </w:pPr>
      <w:r>
        <w:rPr>
          <w:rFonts w:ascii="Arial" w:hAnsi="Arial" w:eastAsia="Times New Roman" w:cs="Arial"/>
          <w:i/>
          <w:iCs/>
        </w:rPr>
        <w:t>Level of Knowledge towards herbal plants among households in the rural community (n=117)</w:t>
      </w:r>
    </w:p>
    <w:tbl>
      <w:tblPr>
        <w:tblStyle w:val="21"/>
        <w:tblW w:w="928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6285"/>
        <w:gridCol w:w="1350"/>
        <w:gridCol w:w="1650"/>
      </w:tblGrid>
      <w:tr w14:paraId="75AD3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446" w:hRule="atLeast"/>
        </w:trPr>
        <w:tc>
          <w:tcPr>
            <w:tcW w:w="6285" w:type="dxa"/>
            <w:tcBorders>
              <w:top w:val="single" w:color="000000" w:sz="6" w:space="0"/>
              <w:bottom w:val="single" w:color="000000" w:sz="6" w:space="0"/>
            </w:tcBorders>
            <w:tcMar>
              <w:top w:w="0" w:type="dxa"/>
              <w:left w:w="100" w:type="dxa"/>
              <w:bottom w:w="0" w:type="dxa"/>
              <w:right w:w="100" w:type="dxa"/>
            </w:tcMar>
          </w:tcPr>
          <w:p w14:paraId="59A4C7AF">
            <w:pPr>
              <w:widowControl w:val="0"/>
              <w:ind w:right="-90"/>
              <w:rPr>
                <w:rFonts w:ascii="Arial" w:hAnsi="Arial" w:eastAsia="Times New Roman" w:cs="Arial"/>
              </w:rPr>
            </w:pPr>
            <w:r>
              <w:rPr>
                <w:rFonts w:ascii="Arial" w:hAnsi="Arial" w:eastAsia="Times New Roman" w:cs="Arial"/>
              </w:rPr>
              <w:t>Items</w:t>
            </w:r>
          </w:p>
        </w:tc>
        <w:tc>
          <w:tcPr>
            <w:tcW w:w="1350" w:type="dxa"/>
            <w:tcBorders>
              <w:top w:val="single" w:color="000000" w:sz="6" w:space="0"/>
              <w:bottom w:val="single" w:color="000000" w:sz="6" w:space="0"/>
            </w:tcBorders>
            <w:tcMar>
              <w:top w:w="0" w:type="dxa"/>
              <w:left w:w="100" w:type="dxa"/>
              <w:bottom w:w="0" w:type="dxa"/>
              <w:right w:w="100" w:type="dxa"/>
            </w:tcMar>
          </w:tcPr>
          <w:p w14:paraId="218D6C0D">
            <w:pPr>
              <w:widowControl w:val="0"/>
              <w:ind w:right="-90"/>
              <w:rPr>
                <w:rFonts w:ascii="Arial" w:hAnsi="Arial" w:eastAsia="Times New Roman" w:cs="Arial"/>
              </w:rPr>
            </w:pPr>
            <w:r>
              <w:rPr>
                <w:rFonts w:ascii="Arial" w:hAnsi="Arial" w:eastAsia="Times New Roman" w:cs="Arial"/>
              </w:rPr>
              <w:t>Correct Answers (f)</w:t>
            </w:r>
          </w:p>
        </w:tc>
        <w:tc>
          <w:tcPr>
            <w:tcW w:w="1650" w:type="dxa"/>
            <w:tcBorders>
              <w:top w:val="single" w:color="000000" w:sz="6" w:space="0"/>
              <w:bottom w:val="single" w:color="000000" w:sz="6" w:space="0"/>
            </w:tcBorders>
            <w:tcMar>
              <w:top w:w="0" w:type="dxa"/>
              <w:left w:w="100" w:type="dxa"/>
              <w:bottom w:w="0" w:type="dxa"/>
              <w:right w:w="100" w:type="dxa"/>
            </w:tcMar>
          </w:tcPr>
          <w:p w14:paraId="497702A4">
            <w:pPr>
              <w:widowControl w:val="0"/>
              <w:ind w:right="-90"/>
              <w:rPr>
                <w:rFonts w:ascii="Arial" w:hAnsi="Arial" w:eastAsia="Times New Roman" w:cs="Arial"/>
              </w:rPr>
            </w:pPr>
            <w:r>
              <w:rPr>
                <w:rFonts w:ascii="Arial" w:hAnsi="Arial" w:eastAsia="Times New Roman" w:cs="Arial"/>
              </w:rPr>
              <w:t>Correct Answers (%)</w:t>
            </w:r>
          </w:p>
        </w:tc>
      </w:tr>
      <w:tr w14:paraId="31B6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85" w:hRule="atLeast"/>
        </w:trPr>
        <w:tc>
          <w:tcPr>
            <w:tcW w:w="6285" w:type="dxa"/>
            <w:tcBorders>
              <w:top w:val="nil"/>
              <w:bottom w:val="single" w:color="FFFFFF" w:sz="6" w:space="0"/>
            </w:tcBorders>
            <w:tcMar>
              <w:top w:w="0" w:type="dxa"/>
              <w:left w:w="100" w:type="dxa"/>
              <w:bottom w:w="0" w:type="dxa"/>
              <w:right w:w="100" w:type="dxa"/>
            </w:tcMar>
          </w:tcPr>
          <w:p w14:paraId="1151E894">
            <w:pPr>
              <w:widowControl w:val="0"/>
              <w:ind w:right="-90"/>
              <w:rPr>
                <w:rFonts w:ascii="Arial" w:hAnsi="Arial" w:eastAsia="Times New Roman" w:cs="Arial"/>
              </w:rPr>
            </w:pPr>
            <w:r>
              <w:rPr>
                <w:rFonts w:ascii="Arial" w:hAnsi="Arial" w:eastAsia="Times New Roman" w:cs="Arial"/>
              </w:rPr>
              <w:t>To ensure safety, DOH-approved herbal plants should be used:</w:t>
            </w:r>
          </w:p>
        </w:tc>
        <w:tc>
          <w:tcPr>
            <w:tcW w:w="1350" w:type="dxa"/>
            <w:tcBorders>
              <w:top w:val="nil"/>
              <w:bottom w:val="single" w:color="FFFFFF" w:sz="6" w:space="0"/>
            </w:tcBorders>
            <w:tcMar>
              <w:top w:w="0" w:type="dxa"/>
              <w:left w:w="100" w:type="dxa"/>
              <w:bottom w:w="0" w:type="dxa"/>
              <w:right w:w="100" w:type="dxa"/>
            </w:tcMar>
          </w:tcPr>
          <w:p w14:paraId="0E54268C">
            <w:pPr>
              <w:widowControl w:val="0"/>
              <w:ind w:right="-90"/>
              <w:rPr>
                <w:rFonts w:ascii="Arial" w:hAnsi="Arial" w:eastAsia="Times New Roman" w:cs="Arial"/>
              </w:rPr>
            </w:pPr>
            <w:r>
              <w:rPr>
                <w:rFonts w:ascii="Arial" w:hAnsi="Arial" w:eastAsia="Times New Roman" w:cs="Arial"/>
              </w:rPr>
              <w:t>96</w:t>
            </w:r>
          </w:p>
        </w:tc>
        <w:tc>
          <w:tcPr>
            <w:tcW w:w="1650" w:type="dxa"/>
            <w:tcBorders>
              <w:top w:val="nil"/>
              <w:bottom w:val="single" w:color="FFFFFF" w:sz="6" w:space="0"/>
            </w:tcBorders>
            <w:tcMar>
              <w:top w:w="0" w:type="dxa"/>
              <w:left w:w="100" w:type="dxa"/>
              <w:bottom w:w="0" w:type="dxa"/>
              <w:right w:w="100" w:type="dxa"/>
            </w:tcMar>
          </w:tcPr>
          <w:p w14:paraId="4D5785DA">
            <w:pPr>
              <w:widowControl w:val="0"/>
              <w:ind w:right="-90"/>
              <w:rPr>
                <w:rFonts w:ascii="Arial" w:hAnsi="Arial" w:eastAsia="Times New Roman" w:cs="Arial"/>
              </w:rPr>
            </w:pPr>
            <w:r>
              <w:rPr>
                <w:rFonts w:ascii="Arial" w:hAnsi="Arial" w:eastAsia="Times New Roman" w:cs="Arial"/>
              </w:rPr>
              <w:t>82.05%</w:t>
            </w:r>
          </w:p>
        </w:tc>
      </w:tr>
      <w:tr w14:paraId="79D86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top w:val="single" w:color="FFFFFF" w:sz="6" w:space="0"/>
              <w:right w:val="single" w:color="FFFFFF" w:sz="6" w:space="0"/>
            </w:tcBorders>
            <w:tcMar>
              <w:top w:w="0" w:type="dxa"/>
              <w:left w:w="100" w:type="dxa"/>
              <w:bottom w:w="0" w:type="dxa"/>
              <w:right w:w="100" w:type="dxa"/>
            </w:tcMar>
          </w:tcPr>
          <w:p w14:paraId="4D693283">
            <w:pPr>
              <w:widowControl w:val="0"/>
              <w:ind w:right="-90"/>
              <w:rPr>
                <w:rFonts w:ascii="Arial" w:hAnsi="Arial" w:eastAsia="Times New Roman" w:cs="Arial"/>
              </w:rPr>
            </w:pPr>
            <w:r>
              <w:rPr>
                <w:rFonts w:ascii="Arial" w:hAnsi="Arial" w:eastAsia="Times New Roman" w:cs="Arial"/>
              </w:rPr>
              <w:t>How is Tsaang Gubat usually prepared for medicinal use?</w:t>
            </w:r>
          </w:p>
        </w:tc>
        <w:tc>
          <w:tcPr>
            <w:tcW w:w="1350" w:type="dxa"/>
            <w:tcBorders>
              <w:top w:val="single" w:color="FFFFFF" w:sz="6" w:space="0"/>
              <w:left w:val="single" w:color="FFFFFF" w:sz="6" w:space="0"/>
            </w:tcBorders>
            <w:tcMar>
              <w:top w:w="0" w:type="dxa"/>
              <w:left w:w="100" w:type="dxa"/>
              <w:bottom w:w="0" w:type="dxa"/>
              <w:right w:w="100" w:type="dxa"/>
            </w:tcMar>
          </w:tcPr>
          <w:p w14:paraId="57C3A308">
            <w:pPr>
              <w:widowControl w:val="0"/>
              <w:ind w:right="-90"/>
              <w:rPr>
                <w:rFonts w:ascii="Arial" w:hAnsi="Arial" w:eastAsia="Times New Roman" w:cs="Arial"/>
              </w:rPr>
            </w:pPr>
            <w:r>
              <w:rPr>
                <w:rFonts w:ascii="Arial" w:hAnsi="Arial" w:eastAsia="Times New Roman" w:cs="Arial"/>
              </w:rPr>
              <w:t>95</w:t>
            </w:r>
          </w:p>
        </w:tc>
        <w:tc>
          <w:tcPr>
            <w:tcW w:w="1650" w:type="dxa"/>
            <w:tcBorders>
              <w:top w:val="single" w:color="FFFFFF" w:sz="6" w:space="0"/>
              <w:bottom w:val="single" w:color="FFFFFF" w:sz="6" w:space="0"/>
              <w:right w:val="single" w:color="FFFFFF" w:sz="6" w:space="0"/>
            </w:tcBorders>
            <w:tcMar>
              <w:top w:w="0" w:type="dxa"/>
              <w:left w:w="100" w:type="dxa"/>
              <w:bottom w:w="0" w:type="dxa"/>
              <w:right w:w="100" w:type="dxa"/>
            </w:tcMar>
          </w:tcPr>
          <w:p w14:paraId="075242C6">
            <w:pPr>
              <w:widowControl w:val="0"/>
              <w:ind w:right="-90"/>
              <w:rPr>
                <w:rFonts w:ascii="Arial" w:hAnsi="Arial" w:eastAsia="Times New Roman" w:cs="Arial"/>
              </w:rPr>
            </w:pPr>
            <w:r>
              <w:rPr>
                <w:rFonts w:ascii="Arial" w:hAnsi="Arial" w:eastAsia="Times New Roman" w:cs="Arial"/>
              </w:rPr>
              <w:t>81.20%</w:t>
            </w:r>
          </w:p>
        </w:tc>
      </w:tr>
      <w:tr w14:paraId="6BE86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Mar>
              <w:top w:w="0" w:type="dxa"/>
              <w:left w:w="100" w:type="dxa"/>
              <w:bottom w:w="0" w:type="dxa"/>
              <w:right w:w="100" w:type="dxa"/>
            </w:tcMar>
          </w:tcPr>
          <w:p w14:paraId="7E5D6042">
            <w:pPr>
              <w:widowControl w:val="0"/>
              <w:ind w:right="-90"/>
              <w:rPr>
                <w:rFonts w:ascii="Arial" w:hAnsi="Arial" w:eastAsia="Times New Roman" w:cs="Arial"/>
              </w:rPr>
            </w:pPr>
            <w:r>
              <w:rPr>
                <w:rFonts w:ascii="Arial" w:hAnsi="Arial" w:eastAsia="Times New Roman" w:cs="Arial"/>
              </w:rPr>
              <w:t>The active components of Akapulko are used mainly in:</w:t>
            </w:r>
          </w:p>
        </w:tc>
        <w:tc>
          <w:tcPr>
            <w:tcW w:w="1350" w:type="dxa"/>
            <w:tcBorders>
              <w:right w:val="single" w:color="FFFFFF" w:sz="6" w:space="0"/>
            </w:tcBorders>
            <w:tcMar>
              <w:top w:w="0" w:type="dxa"/>
              <w:left w:w="100" w:type="dxa"/>
              <w:bottom w:w="0" w:type="dxa"/>
              <w:right w:w="100" w:type="dxa"/>
            </w:tcMar>
          </w:tcPr>
          <w:p w14:paraId="5F42B3B1">
            <w:pPr>
              <w:widowControl w:val="0"/>
              <w:ind w:right="-90"/>
              <w:rPr>
                <w:rFonts w:ascii="Arial" w:hAnsi="Arial" w:eastAsia="Times New Roman" w:cs="Arial"/>
              </w:rPr>
            </w:pPr>
            <w:r>
              <w:rPr>
                <w:rFonts w:ascii="Arial" w:hAnsi="Arial" w:eastAsia="Times New Roman" w:cs="Arial"/>
              </w:rPr>
              <w:t>95</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1CF486E9">
            <w:pPr>
              <w:widowControl w:val="0"/>
              <w:ind w:right="-90"/>
              <w:rPr>
                <w:rFonts w:ascii="Arial" w:hAnsi="Arial" w:eastAsia="Times New Roman" w:cs="Arial"/>
              </w:rPr>
            </w:pPr>
            <w:r>
              <w:rPr>
                <w:rFonts w:ascii="Arial" w:hAnsi="Arial" w:eastAsia="Times New Roman" w:cs="Arial"/>
              </w:rPr>
              <w:t>81.20%</w:t>
            </w:r>
          </w:p>
        </w:tc>
      </w:tr>
      <w:tr w14:paraId="3D7B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90" w:hRule="atLeast"/>
        </w:trPr>
        <w:tc>
          <w:tcPr>
            <w:tcW w:w="6285" w:type="dxa"/>
            <w:tcMar>
              <w:top w:w="0" w:type="dxa"/>
              <w:left w:w="100" w:type="dxa"/>
              <w:bottom w:w="0" w:type="dxa"/>
              <w:right w:w="100" w:type="dxa"/>
            </w:tcMar>
          </w:tcPr>
          <w:p w14:paraId="4E5A7DC8">
            <w:pPr>
              <w:widowControl w:val="0"/>
              <w:ind w:right="-90"/>
              <w:rPr>
                <w:rFonts w:ascii="Arial" w:hAnsi="Arial" w:eastAsia="Times New Roman" w:cs="Arial"/>
              </w:rPr>
            </w:pPr>
            <w:r>
              <w:rPr>
                <w:rFonts w:ascii="Arial" w:hAnsi="Arial" w:eastAsia="Times New Roman" w:cs="Arial"/>
              </w:rPr>
              <w:t>Which herb is used to relieve gout and arthritis</w:t>
            </w:r>
          </w:p>
        </w:tc>
        <w:tc>
          <w:tcPr>
            <w:tcW w:w="1350" w:type="dxa"/>
            <w:tcBorders>
              <w:right w:val="single" w:color="FFFFFF" w:sz="6" w:space="0"/>
            </w:tcBorders>
            <w:tcMar>
              <w:top w:w="0" w:type="dxa"/>
              <w:left w:w="100" w:type="dxa"/>
              <w:bottom w:w="0" w:type="dxa"/>
              <w:right w:w="100" w:type="dxa"/>
            </w:tcMar>
          </w:tcPr>
          <w:p w14:paraId="0098355B">
            <w:pPr>
              <w:widowControl w:val="0"/>
              <w:ind w:right="-90"/>
              <w:rPr>
                <w:rFonts w:ascii="Arial" w:hAnsi="Arial" w:eastAsia="Times New Roman" w:cs="Arial"/>
              </w:rPr>
            </w:pPr>
            <w:r>
              <w:rPr>
                <w:rFonts w:ascii="Arial" w:hAnsi="Arial" w:eastAsia="Times New Roman" w:cs="Arial"/>
              </w:rPr>
              <w:t>92</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6A439369">
            <w:pPr>
              <w:widowControl w:val="0"/>
              <w:ind w:right="-90"/>
              <w:rPr>
                <w:rFonts w:ascii="Arial" w:hAnsi="Arial" w:eastAsia="Times New Roman" w:cs="Arial"/>
              </w:rPr>
            </w:pPr>
            <w:r>
              <w:rPr>
                <w:rFonts w:ascii="Arial" w:hAnsi="Arial" w:eastAsia="Times New Roman" w:cs="Arial"/>
              </w:rPr>
              <w:t>78.63%</w:t>
            </w:r>
          </w:p>
        </w:tc>
      </w:tr>
      <w:tr w14:paraId="13F96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35" w:hRule="atLeast"/>
        </w:trPr>
        <w:tc>
          <w:tcPr>
            <w:tcW w:w="6285" w:type="dxa"/>
            <w:tcMar>
              <w:top w:w="0" w:type="dxa"/>
              <w:left w:w="100" w:type="dxa"/>
              <w:bottom w:w="0" w:type="dxa"/>
              <w:right w:w="100" w:type="dxa"/>
            </w:tcMar>
          </w:tcPr>
          <w:p w14:paraId="36DCF7EB">
            <w:pPr>
              <w:widowControl w:val="0"/>
              <w:ind w:right="-90"/>
              <w:rPr>
                <w:rFonts w:ascii="Arial" w:hAnsi="Arial" w:eastAsia="Times New Roman" w:cs="Arial"/>
              </w:rPr>
            </w:pPr>
            <w:r>
              <w:rPr>
                <w:rFonts w:ascii="Arial" w:hAnsi="Arial" w:eastAsia="Times New Roman" w:cs="Arial"/>
              </w:rPr>
              <w:t>Which DOH-approved herbal medicine is used for cough and asthma?</w:t>
            </w:r>
          </w:p>
        </w:tc>
        <w:tc>
          <w:tcPr>
            <w:tcW w:w="1350" w:type="dxa"/>
            <w:tcBorders>
              <w:right w:val="single" w:color="FFFFFF" w:sz="6" w:space="0"/>
            </w:tcBorders>
            <w:tcMar>
              <w:top w:w="0" w:type="dxa"/>
              <w:left w:w="100" w:type="dxa"/>
              <w:bottom w:w="0" w:type="dxa"/>
              <w:right w:w="100" w:type="dxa"/>
            </w:tcMar>
          </w:tcPr>
          <w:p w14:paraId="561FCA56">
            <w:pPr>
              <w:widowControl w:val="0"/>
              <w:ind w:right="-90"/>
              <w:rPr>
                <w:rFonts w:ascii="Arial" w:hAnsi="Arial" w:eastAsia="Times New Roman" w:cs="Arial"/>
              </w:rPr>
            </w:pPr>
            <w:r>
              <w:rPr>
                <w:rFonts w:ascii="Arial" w:hAnsi="Arial" w:eastAsia="Times New Roman" w:cs="Arial"/>
              </w:rPr>
              <w:t>91</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1CA22886">
            <w:pPr>
              <w:widowControl w:val="0"/>
              <w:ind w:right="-90"/>
              <w:rPr>
                <w:rFonts w:ascii="Arial" w:hAnsi="Arial" w:eastAsia="Times New Roman" w:cs="Arial"/>
              </w:rPr>
            </w:pPr>
            <w:r>
              <w:rPr>
                <w:rFonts w:ascii="Arial" w:hAnsi="Arial" w:eastAsia="Times New Roman" w:cs="Arial"/>
              </w:rPr>
              <w:t>77.78%</w:t>
            </w:r>
          </w:p>
        </w:tc>
      </w:tr>
      <w:tr w14:paraId="05E11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Mar>
              <w:top w:w="0" w:type="dxa"/>
              <w:left w:w="100" w:type="dxa"/>
              <w:bottom w:w="0" w:type="dxa"/>
              <w:right w:w="100" w:type="dxa"/>
            </w:tcMar>
          </w:tcPr>
          <w:p w14:paraId="62649395">
            <w:pPr>
              <w:widowControl w:val="0"/>
              <w:ind w:right="-90"/>
              <w:rPr>
                <w:rFonts w:ascii="Arial" w:hAnsi="Arial" w:eastAsia="Times New Roman" w:cs="Arial"/>
              </w:rPr>
            </w:pPr>
            <w:r>
              <w:rPr>
                <w:rFonts w:ascii="Arial" w:hAnsi="Arial" w:eastAsia="Times New Roman" w:cs="Arial"/>
              </w:rPr>
              <w:t>Akapulko is a DOH-approved herbal medicine used to treat:</w:t>
            </w:r>
          </w:p>
        </w:tc>
        <w:tc>
          <w:tcPr>
            <w:tcW w:w="1350" w:type="dxa"/>
            <w:tcBorders>
              <w:right w:val="single" w:color="FFFFFF" w:sz="6" w:space="0"/>
            </w:tcBorders>
            <w:tcMar>
              <w:top w:w="0" w:type="dxa"/>
              <w:left w:w="100" w:type="dxa"/>
              <w:bottom w:w="0" w:type="dxa"/>
              <w:right w:w="100" w:type="dxa"/>
            </w:tcMar>
          </w:tcPr>
          <w:p w14:paraId="477EB88F">
            <w:pPr>
              <w:widowControl w:val="0"/>
              <w:ind w:right="-90"/>
              <w:rPr>
                <w:rFonts w:ascii="Arial" w:hAnsi="Arial" w:eastAsia="Times New Roman" w:cs="Arial"/>
              </w:rPr>
            </w:pPr>
            <w:r>
              <w:rPr>
                <w:rFonts w:ascii="Arial" w:hAnsi="Arial" w:eastAsia="Times New Roman" w:cs="Arial"/>
              </w:rPr>
              <w:t>89</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637B2255">
            <w:pPr>
              <w:widowControl w:val="0"/>
              <w:ind w:right="-90"/>
              <w:rPr>
                <w:rFonts w:ascii="Arial" w:hAnsi="Arial" w:eastAsia="Times New Roman" w:cs="Arial"/>
              </w:rPr>
            </w:pPr>
            <w:r>
              <w:rPr>
                <w:rFonts w:ascii="Arial" w:hAnsi="Arial" w:eastAsia="Times New Roman" w:cs="Arial"/>
              </w:rPr>
              <w:t>76.07%</w:t>
            </w:r>
          </w:p>
        </w:tc>
      </w:tr>
      <w:tr w14:paraId="64919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Mar>
              <w:top w:w="0" w:type="dxa"/>
              <w:left w:w="100" w:type="dxa"/>
              <w:bottom w:w="0" w:type="dxa"/>
              <w:right w:w="100" w:type="dxa"/>
            </w:tcMar>
          </w:tcPr>
          <w:p w14:paraId="2708B4C3">
            <w:pPr>
              <w:widowControl w:val="0"/>
              <w:ind w:right="-90"/>
              <w:rPr>
                <w:rFonts w:ascii="Arial" w:hAnsi="Arial" w:eastAsia="Times New Roman" w:cs="Arial"/>
              </w:rPr>
            </w:pPr>
            <w:r>
              <w:rPr>
                <w:rFonts w:ascii="Arial" w:hAnsi="Arial" w:eastAsia="Times New Roman" w:cs="Arial"/>
              </w:rPr>
              <w:t>Which herbal plant is known for lowering blood pressure?</w:t>
            </w:r>
          </w:p>
        </w:tc>
        <w:tc>
          <w:tcPr>
            <w:tcW w:w="1350" w:type="dxa"/>
            <w:tcBorders>
              <w:right w:val="single" w:color="FFFFFF" w:sz="6" w:space="0"/>
            </w:tcBorders>
            <w:tcMar>
              <w:top w:w="0" w:type="dxa"/>
              <w:left w:w="100" w:type="dxa"/>
              <w:bottom w:w="0" w:type="dxa"/>
              <w:right w:w="100" w:type="dxa"/>
            </w:tcMar>
          </w:tcPr>
          <w:p w14:paraId="140B5171">
            <w:pPr>
              <w:widowControl w:val="0"/>
              <w:ind w:right="-90"/>
              <w:rPr>
                <w:rFonts w:ascii="Arial" w:hAnsi="Arial" w:eastAsia="Times New Roman" w:cs="Arial"/>
              </w:rPr>
            </w:pPr>
            <w:r>
              <w:rPr>
                <w:rFonts w:ascii="Arial" w:hAnsi="Arial" w:eastAsia="Times New Roman" w:cs="Arial"/>
              </w:rPr>
              <w:t>89</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11402329">
            <w:pPr>
              <w:widowControl w:val="0"/>
              <w:ind w:right="-90"/>
              <w:rPr>
                <w:rFonts w:ascii="Arial" w:hAnsi="Arial" w:eastAsia="Times New Roman" w:cs="Arial"/>
              </w:rPr>
            </w:pPr>
            <w:r>
              <w:rPr>
                <w:rFonts w:ascii="Arial" w:hAnsi="Arial" w:eastAsia="Times New Roman" w:cs="Arial"/>
              </w:rPr>
              <w:t>76.07%</w:t>
            </w:r>
          </w:p>
        </w:tc>
      </w:tr>
      <w:tr w14:paraId="4E7B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Mar>
              <w:top w:w="0" w:type="dxa"/>
              <w:left w:w="100" w:type="dxa"/>
              <w:bottom w:w="0" w:type="dxa"/>
              <w:right w:w="100" w:type="dxa"/>
            </w:tcMar>
          </w:tcPr>
          <w:p w14:paraId="4160C839">
            <w:pPr>
              <w:widowControl w:val="0"/>
              <w:ind w:right="-90"/>
              <w:rPr>
                <w:rFonts w:ascii="Arial" w:hAnsi="Arial" w:eastAsia="Times New Roman" w:cs="Arial"/>
              </w:rPr>
            </w:pPr>
            <w:r>
              <w:rPr>
                <w:rFonts w:ascii="Arial" w:hAnsi="Arial" w:eastAsia="Times New Roman" w:cs="Arial"/>
              </w:rPr>
              <w:t>Lagundi syrup is most used in:</w:t>
            </w:r>
          </w:p>
        </w:tc>
        <w:tc>
          <w:tcPr>
            <w:tcW w:w="1350" w:type="dxa"/>
            <w:tcBorders>
              <w:right w:val="single" w:color="FFFFFF" w:sz="6" w:space="0"/>
            </w:tcBorders>
            <w:tcMar>
              <w:top w:w="0" w:type="dxa"/>
              <w:left w:w="100" w:type="dxa"/>
              <w:bottom w:w="0" w:type="dxa"/>
              <w:right w:w="100" w:type="dxa"/>
            </w:tcMar>
          </w:tcPr>
          <w:p w14:paraId="38EE165D">
            <w:pPr>
              <w:widowControl w:val="0"/>
              <w:ind w:right="-90"/>
              <w:rPr>
                <w:rFonts w:ascii="Arial" w:hAnsi="Arial" w:eastAsia="Times New Roman" w:cs="Arial"/>
              </w:rPr>
            </w:pPr>
            <w:r>
              <w:rPr>
                <w:rFonts w:ascii="Arial" w:hAnsi="Arial" w:eastAsia="Times New Roman" w:cs="Arial"/>
              </w:rPr>
              <w:t>89</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20DCB797">
            <w:pPr>
              <w:widowControl w:val="0"/>
              <w:ind w:right="-90"/>
              <w:rPr>
                <w:rFonts w:ascii="Arial" w:hAnsi="Arial" w:eastAsia="Times New Roman" w:cs="Arial"/>
              </w:rPr>
            </w:pPr>
            <w:r>
              <w:rPr>
                <w:rFonts w:ascii="Arial" w:hAnsi="Arial" w:eastAsia="Times New Roman" w:cs="Arial"/>
              </w:rPr>
              <w:t>76.07%</w:t>
            </w:r>
          </w:p>
        </w:tc>
      </w:tr>
      <w:tr w14:paraId="359E5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Mar>
              <w:top w:w="0" w:type="dxa"/>
              <w:left w:w="100" w:type="dxa"/>
              <w:bottom w:w="0" w:type="dxa"/>
              <w:right w:w="100" w:type="dxa"/>
            </w:tcMar>
          </w:tcPr>
          <w:p w14:paraId="0411E4E7">
            <w:pPr>
              <w:widowControl w:val="0"/>
              <w:ind w:right="-90"/>
              <w:rPr>
                <w:rFonts w:ascii="Arial" w:hAnsi="Arial" w:eastAsia="Times New Roman" w:cs="Arial"/>
              </w:rPr>
            </w:pPr>
            <w:r>
              <w:rPr>
                <w:rFonts w:ascii="Arial" w:hAnsi="Arial" w:eastAsia="Times New Roman" w:cs="Arial"/>
              </w:rPr>
              <w:t>Which herbal plant is used as a deworming remedy?</w:t>
            </w:r>
          </w:p>
        </w:tc>
        <w:tc>
          <w:tcPr>
            <w:tcW w:w="1350" w:type="dxa"/>
            <w:tcBorders>
              <w:right w:val="single" w:color="FFFFFF" w:sz="6" w:space="0"/>
            </w:tcBorders>
            <w:tcMar>
              <w:top w:w="0" w:type="dxa"/>
              <w:left w:w="100" w:type="dxa"/>
              <w:bottom w:w="0" w:type="dxa"/>
              <w:right w:w="100" w:type="dxa"/>
            </w:tcMar>
          </w:tcPr>
          <w:p w14:paraId="3D871655">
            <w:pPr>
              <w:widowControl w:val="0"/>
              <w:ind w:right="-90"/>
              <w:rPr>
                <w:rFonts w:ascii="Arial" w:hAnsi="Arial" w:eastAsia="Times New Roman" w:cs="Arial"/>
              </w:rPr>
            </w:pPr>
            <w:r>
              <w:rPr>
                <w:rFonts w:ascii="Arial" w:hAnsi="Arial" w:eastAsia="Times New Roman" w:cs="Arial"/>
              </w:rPr>
              <w:t>87</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02709F5D">
            <w:pPr>
              <w:widowControl w:val="0"/>
              <w:ind w:right="-90"/>
              <w:rPr>
                <w:rFonts w:ascii="Arial" w:hAnsi="Arial" w:eastAsia="Times New Roman" w:cs="Arial"/>
              </w:rPr>
            </w:pPr>
            <w:r>
              <w:rPr>
                <w:rFonts w:ascii="Arial" w:hAnsi="Arial" w:eastAsia="Times New Roman" w:cs="Arial"/>
              </w:rPr>
              <w:t>74.36%</w:t>
            </w:r>
          </w:p>
        </w:tc>
      </w:tr>
      <w:tr w14:paraId="0106D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Mar>
              <w:top w:w="0" w:type="dxa"/>
              <w:left w:w="100" w:type="dxa"/>
              <w:bottom w:w="0" w:type="dxa"/>
              <w:right w:w="100" w:type="dxa"/>
            </w:tcMar>
          </w:tcPr>
          <w:p w14:paraId="165BE5D2">
            <w:pPr>
              <w:widowControl w:val="0"/>
              <w:ind w:right="-90"/>
              <w:rPr>
                <w:rFonts w:ascii="Arial" w:hAnsi="Arial" w:eastAsia="Times New Roman" w:cs="Arial"/>
              </w:rPr>
            </w:pPr>
            <w:r>
              <w:rPr>
                <w:rFonts w:ascii="Arial" w:hAnsi="Arial" w:eastAsia="Times New Roman" w:cs="Arial"/>
              </w:rPr>
              <w:t>Bawang (garlic) has which additional medicinal property?</w:t>
            </w:r>
          </w:p>
        </w:tc>
        <w:tc>
          <w:tcPr>
            <w:tcW w:w="1350" w:type="dxa"/>
            <w:tcBorders>
              <w:right w:val="single" w:color="FFFFFF" w:sz="6" w:space="0"/>
            </w:tcBorders>
            <w:tcMar>
              <w:top w:w="0" w:type="dxa"/>
              <w:left w:w="100" w:type="dxa"/>
              <w:bottom w:w="0" w:type="dxa"/>
              <w:right w:w="100" w:type="dxa"/>
            </w:tcMar>
          </w:tcPr>
          <w:p w14:paraId="5E8C76FD">
            <w:pPr>
              <w:widowControl w:val="0"/>
              <w:ind w:right="-90"/>
              <w:rPr>
                <w:rFonts w:ascii="Arial" w:hAnsi="Arial" w:eastAsia="Times New Roman" w:cs="Arial"/>
              </w:rPr>
            </w:pPr>
            <w:r>
              <w:rPr>
                <w:rFonts w:ascii="Arial" w:hAnsi="Arial" w:eastAsia="Times New Roman" w:cs="Arial"/>
              </w:rPr>
              <w:t>87</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4DBDAF9C">
            <w:pPr>
              <w:widowControl w:val="0"/>
              <w:ind w:right="-90"/>
              <w:rPr>
                <w:rFonts w:ascii="Arial" w:hAnsi="Arial" w:eastAsia="Times New Roman" w:cs="Arial"/>
              </w:rPr>
            </w:pPr>
            <w:r>
              <w:rPr>
                <w:rFonts w:ascii="Arial" w:hAnsi="Arial" w:eastAsia="Times New Roman" w:cs="Arial"/>
              </w:rPr>
              <w:t>74.36%</w:t>
            </w:r>
          </w:p>
        </w:tc>
      </w:tr>
      <w:tr w14:paraId="1CD79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right w:val="single" w:color="FFFFFF" w:sz="6" w:space="0"/>
            </w:tcBorders>
            <w:tcMar>
              <w:top w:w="0" w:type="dxa"/>
              <w:left w:w="100" w:type="dxa"/>
              <w:bottom w:w="0" w:type="dxa"/>
              <w:right w:w="100" w:type="dxa"/>
            </w:tcMar>
          </w:tcPr>
          <w:p w14:paraId="7F45D265">
            <w:pPr>
              <w:widowControl w:val="0"/>
              <w:ind w:right="-90"/>
              <w:rPr>
                <w:rFonts w:ascii="Arial" w:hAnsi="Arial" w:eastAsia="Times New Roman" w:cs="Arial"/>
              </w:rPr>
            </w:pPr>
            <w:r>
              <w:rPr>
                <w:rFonts w:ascii="Arial" w:hAnsi="Arial" w:eastAsia="Times New Roman" w:cs="Arial"/>
              </w:rPr>
              <w:t>Yerba Buena can be prepared by</w:t>
            </w:r>
          </w:p>
        </w:tc>
        <w:tc>
          <w:tcPr>
            <w:tcW w:w="1350" w:type="dxa"/>
            <w:tcBorders>
              <w:left w:val="single" w:color="FFFFFF" w:sz="6" w:space="0"/>
              <w:right w:val="single" w:color="FFFFFF" w:sz="6" w:space="0"/>
            </w:tcBorders>
            <w:tcMar>
              <w:top w:w="0" w:type="dxa"/>
              <w:left w:w="100" w:type="dxa"/>
              <w:bottom w:w="0" w:type="dxa"/>
              <w:right w:w="100" w:type="dxa"/>
            </w:tcMar>
          </w:tcPr>
          <w:p w14:paraId="34A559DD">
            <w:pPr>
              <w:widowControl w:val="0"/>
              <w:ind w:right="-90"/>
              <w:rPr>
                <w:rFonts w:ascii="Arial" w:hAnsi="Arial" w:eastAsia="Times New Roman" w:cs="Arial"/>
              </w:rPr>
            </w:pPr>
            <w:r>
              <w:rPr>
                <w:rFonts w:ascii="Arial" w:hAnsi="Arial" w:eastAsia="Times New Roman" w:cs="Arial"/>
              </w:rPr>
              <w:t>87</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46754B53">
            <w:pPr>
              <w:widowControl w:val="0"/>
              <w:ind w:right="-90"/>
              <w:rPr>
                <w:rFonts w:ascii="Arial" w:hAnsi="Arial" w:eastAsia="Times New Roman" w:cs="Arial"/>
              </w:rPr>
            </w:pPr>
            <w:r>
              <w:rPr>
                <w:rFonts w:ascii="Arial" w:hAnsi="Arial" w:eastAsia="Times New Roman" w:cs="Arial"/>
              </w:rPr>
              <w:t>74.36%</w:t>
            </w:r>
          </w:p>
        </w:tc>
      </w:tr>
      <w:tr w14:paraId="7EC19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right w:val="single" w:color="FFFFFF" w:sz="6" w:space="0"/>
            </w:tcBorders>
            <w:tcMar>
              <w:top w:w="0" w:type="dxa"/>
              <w:left w:w="100" w:type="dxa"/>
              <w:bottom w:w="0" w:type="dxa"/>
              <w:right w:w="100" w:type="dxa"/>
            </w:tcMar>
          </w:tcPr>
          <w:p w14:paraId="1624CDA0">
            <w:pPr>
              <w:widowControl w:val="0"/>
              <w:ind w:right="-90"/>
              <w:rPr>
                <w:rFonts w:ascii="Arial" w:hAnsi="Arial" w:eastAsia="Times New Roman" w:cs="Arial"/>
              </w:rPr>
            </w:pPr>
            <w:r>
              <w:rPr>
                <w:rFonts w:ascii="Arial" w:hAnsi="Arial" w:eastAsia="Times New Roman" w:cs="Arial"/>
              </w:rPr>
              <w:t>Which DOH-approved herbal plant is used primarily as a diuretic and for kidney stones</w:t>
            </w:r>
          </w:p>
        </w:tc>
        <w:tc>
          <w:tcPr>
            <w:tcW w:w="1350" w:type="dxa"/>
            <w:tcBorders>
              <w:left w:val="single" w:color="FFFFFF" w:sz="6" w:space="0"/>
              <w:right w:val="single" w:color="FFFFFF" w:sz="6" w:space="0"/>
            </w:tcBorders>
            <w:tcMar>
              <w:top w:w="0" w:type="dxa"/>
              <w:left w:w="100" w:type="dxa"/>
              <w:bottom w:w="0" w:type="dxa"/>
              <w:right w:w="100" w:type="dxa"/>
            </w:tcMar>
          </w:tcPr>
          <w:p w14:paraId="1CF1385C">
            <w:pPr>
              <w:widowControl w:val="0"/>
              <w:ind w:right="-90"/>
              <w:rPr>
                <w:rFonts w:ascii="Arial" w:hAnsi="Arial" w:eastAsia="Times New Roman" w:cs="Arial"/>
              </w:rPr>
            </w:pPr>
            <w:r>
              <w:rPr>
                <w:rFonts w:ascii="Arial" w:hAnsi="Arial" w:eastAsia="Times New Roman" w:cs="Arial"/>
              </w:rPr>
              <w:t>86</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6D0BF4F7">
            <w:pPr>
              <w:widowControl w:val="0"/>
              <w:ind w:right="-90"/>
              <w:rPr>
                <w:rFonts w:ascii="Arial" w:hAnsi="Arial" w:eastAsia="Times New Roman" w:cs="Arial"/>
              </w:rPr>
            </w:pPr>
            <w:r>
              <w:rPr>
                <w:rFonts w:ascii="Arial" w:hAnsi="Arial" w:eastAsia="Times New Roman" w:cs="Arial"/>
              </w:rPr>
              <w:t>73.50%</w:t>
            </w:r>
          </w:p>
        </w:tc>
      </w:tr>
      <w:tr w14:paraId="1BD3D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right w:val="single" w:color="FFFFFF" w:sz="6" w:space="0"/>
            </w:tcBorders>
            <w:tcMar>
              <w:top w:w="0" w:type="dxa"/>
              <w:left w:w="100" w:type="dxa"/>
              <w:bottom w:w="0" w:type="dxa"/>
              <w:right w:w="100" w:type="dxa"/>
            </w:tcMar>
          </w:tcPr>
          <w:p w14:paraId="639F8CD0">
            <w:pPr>
              <w:widowControl w:val="0"/>
              <w:ind w:right="-90"/>
              <w:rPr>
                <w:rFonts w:ascii="Arial" w:hAnsi="Arial" w:eastAsia="Times New Roman" w:cs="Arial"/>
              </w:rPr>
            </w:pPr>
            <w:r>
              <w:rPr>
                <w:rFonts w:ascii="Arial" w:hAnsi="Arial" w:eastAsia="Times New Roman" w:cs="Arial"/>
              </w:rPr>
              <w:t>Tsaang Gubat is commonly used to treat which condition?</w:t>
            </w:r>
          </w:p>
        </w:tc>
        <w:tc>
          <w:tcPr>
            <w:tcW w:w="1350" w:type="dxa"/>
            <w:tcBorders>
              <w:left w:val="single" w:color="FFFFFF" w:sz="6" w:space="0"/>
              <w:right w:val="single" w:color="FFFFFF" w:sz="6" w:space="0"/>
            </w:tcBorders>
            <w:tcMar>
              <w:top w:w="0" w:type="dxa"/>
              <w:left w:w="100" w:type="dxa"/>
              <w:bottom w:w="0" w:type="dxa"/>
              <w:right w:w="100" w:type="dxa"/>
            </w:tcMar>
          </w:tcPr>
          <w:p w14:paraId="7AE9EAB0">
            <w:pPr>
              <w:widowControl w:val="0"/>
              <w:ind w:right="-90"/>
              <w:rPr>
                <w:rFonts w:ascii="Arial" w:hAnsi="Arial" w:eastAsia="Times New Roman" w:cs="Arial"/>
              </w:rPr>
            </w:pPr>
            <w:r>
              <w:rPr>
                <w:rFonts w:ascii="Arial" w:hAnsi="Arial" w:eastAsia="Times New Roman" w:cs="Arial"/>
              </w:rPr>
              <w:t>86</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7ADD6E0D">
            <w:pPr>
              <w:widowControl w:val="0"/>
              <w:ind w:right="-90"/>
              <w:rPr>
                <w:rFonts w:ascii="Arial" w:hAnsi="Arial" w:eastAsia="Times New Roman" w:cs="Arial"/>
              </w:rPr>
            </w:pPr>
            <w:r>
              <w:rPr>
                <w:rFonts w:ascii="Arial" w:hAnsi="Arial" w:eastAsia="Times New Roman" w:cs="Arial"/>
              </w:rPr>
              <w:t>73.50%</w:t>
            </w:r>
          </w:p>
        </w:tc>
      </w:tr>
      <w:tr w14:paraId="10EB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right w:val="single" w:color="FFFFFF" w:sz="6" w:space="0"/>
            </w:tcBorders>
            <w:tcMar>
              <w:top w:w="0" w:type="dxa"/>
              <w:left w:w="100" w:type="dxa"/>
              <w:bottom w:w="0" w:type="dxa"/>
              <w:right w:w="100" w:type="dxa"/>
            </w:tcMar>
          </w:tcPr>
          <w:p w14:paraId="29B8B393">
            <w:pPr>
              <w:widowControl w:val="0"/>
              <w:ind w:right="-90"/>
              <w:rPr>
                <w:rFonts w:ascii="Arial" w:hAnsi="Arial" w:eastAsia="Times New Roman" w:cs="Arial"/>
              </w:rPr>
            </w:pPr>
            <w:r>
              <w:rPr>
                <w:rFonts w:ascii="Arial" w:hAnsi="Arial" w:eastAsia="Times New Roman" w:cs="Arial"/>
              </w:rPr>
              <w:t>Ulasimang Bato is commonly prepared by</w:t>
            </w:r>
          </w:p>
        </w:tc>
        <w:tc>
          <w:tcPr>
            <w:tcW w:w="1350" w:type="dxa"/>
            <w:tcBorders>
              <w:left w:val="single" w:color="FFFFFF" w:sz="6" w:space="0"/>
              <w:right w:val="single" w:color="FFFFFF" w:sz="6" w:space="0"/>
            </w:tcBorders>
            <w:tcMar>
              <w:top w:w="0" w:type="dxa"/>
              <w:left w:w="100" w:type="dxa"/>
              <w:bottom w:w="0" w:type="dxa"/>
              <w:right w:w="100" w:type="dxa"/>
            </w:tcMar>
          </w:tcPr>
          <w:p w14:paraId="2DCDCA32">
            <w:pPr>
              <w:widowControl w:val="0"/>
              <w:ind w:right="-90"/>
              <w:rPr>
                <w:rFonts w:ascii="Arial" w:hAnsi="Arial" w:eastAsia="Times New Roman" w:cs="Arial"/>
              </w:rPr>
            </w:pPr>
            <w:r>
              <w:rPr>
                <w:rFonts w:ascii="Arial" w:hAnsi="Arial" w:eastAsia="Times New Roman" w:cs="Arial"/>
              </w:rPr>
              <w:t>83</w:t>
            </w:r>
          </w:p>
        </w:tc>
        <w:tc>
          <w:tcPr>
            <w:tcW w:w="1650" w:type="dxa"/>
            <w:tcBorders>
              <w:top w:val="single" w:color="FFFFFF" w:sz="6" w:space="0"/>
              <w:left w:val="single" w:color="FFFFFF" w:sz="6" w:space="0"/>
              <w:bottom w:val="single" w:color="FFFFFF" w:sz="6" w:space="0"/>
              <w:right w:val="single" w:color="FFFFFF" w:sz="6" w:space="0"/>
            </w:tcBorders>
            <w:tcMar>
              <w:top w:w="0" w:type="dxa"/>
              <w:left w:w="100" w:type="dxa"/>
              <w:bottom w:w="0" w:type="dxa"/>
              <w:right w:w="100" w:type="dxa"/>
            </w:tcMar>
          </w:tcPr>
          <w:p w14:paraId="4AD2B80E">
            <w:pPr>
              <w:widowControl w:val="0"/>
              <w:ind w:right="-90"/>
              <w:rPr>
                <w:rFonts w:ascii="Arial" w:hAnsi="Arial" w:eastAsia="Times New Roman" w:cs="Arial"/>
              </w:rPr>
            </w:pPr>
            <w:r>
              <w:rPr>
                <w:rFonts w:ascii="Arial" w:hAnsi="Arial" w:eastAsia="Times New Roman" w:cs="Arial"/>
              </w:rPr>
              <w:t>70.94%</w:t>
            </w:r>
          </w:p>
        </w:tc>
      </w:tr>
      <w:tr w14:paraId="36561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bottom w:val="single" w:color="000000" w:sz="8" w:space="0"/>
              <w:right w:val="single" w:color="FFFFFF" w:sz="6" w:space="0"/>
            </w:tcBorders>
            <w:tcMar>
              <w:top w:w="0" w:type="dxa"/>
              <w:left w:w="100" w:type="dxa"/>
              <w:bottom w:w="0" w:type="dxa"/>
              <w:right w:w="100" w:type="dxa"/>
            </w:tcMar>
          </w:tcPr>
          <w:p w14:paraId="41339381">
            <w:pPr>
              <w:widowControl w:val="0"/>
              <w:ind w:right="-90"/>
              <w:rPr>
                <w:rFonts w:ascii="Arial" w:hAnsi="Arial" w:eastAsia="Times New Roman" w:cs="Arial"/>
              </w:rPr>
            </w:pPr>
            <w:r>
              <w:rPr>
                <w:rFonts w:ascii="Arial" w:hAnsi="Arial" w:eastAsia="Times New Roman" w:cs="Arial"/>
              </w:rPr>
              <w:t>The recommended use of Sambong includes which condition?</w:t>
            </w:r>
          </w:p>
        </w:tc>
        <w:tc>
          <w:tcPr>
            <w:tcW w:w="1350" w:type="dxa"/>
            <w:tcBorders>
              <w:left w:val="single" w:color="FFFFFF" w:sz="6" w:space="0"/>
              <w:bottom w:val="single" w:color="000000" w:sz="6" w:space="0"/>
              <w:right w:val="single" w:color="FFFFFF" w:sz="6" w:space="0"/>
            </w:tcBorders>
            <w:tcMar>
              <w:top w:w="0" w:type="dxa"/>
              <w:left w:w="100" w:type="dxa"/>
              <w:bottom w:w="0" w:type="dxa"/>
              <w:right w:w="100" w:type="dxa"/>
            </w:tcMar>
          </w:tcPr>
          <w:p w14:paraId="72AE8058">
            <w:pPr>
              <w:widowControl w:val="0"/>
              <w:ind w:right="-90"/>
              <w:rPr>
                <w:rFonts w:ascii="Arial" w:hAnsi="Arial" w:eastAsia="Times New Roman" w:cs="Arial"/>
              </w:rPr>
            </w:pPr>
            <w:r>
              <w:rPr>
                <w:rFonts w:ascii="Arial" w:hAnsi="Arial" w:eastAsia="Times New Roman" w:cs="Arial"/>
              </w:rPr>
              <w:t>80</w:t>
            </w:r>
          </w:p>
        </w:tc>
        <w:tc>
          <w:tcPr>
            <w:tcW w:w="1650" w:type="dxa"/>
            <w:tcBorders>
              <w:top w:val="single" w:color="FFFFFF" w:sz="6" w:space="0"/>
              <w:left w:val="single" w:color="FFFFFF" w:sz="6" w:space="0"/>
              <w:bottom w:val="single" w:color="000000" w:sz="6" w:space="0"/>
              <w:right w:val="single" w:color="FFFFFF" w:sz="6" w:space="0"/>
            </w:tcBorders>
            <w:tcMar>
              <w:top w:w="0" w:type="dxa"/>
              <w:left w:w="100" w:type="dxa"/>
              <w:bottom w:w="0" w:type="dxa"/>
              <w:right w:w="100" w:type="dxa"/>
            </w:tcMar>
          </w:tcPr>
          <w:p w14:paraId="2B7EB0EC">
            <w:pPr>
              <w:widowControl w:val="0"/>
              <w:ind w:right="-90"/>
              <w:rPr>
                <w:rFonts w:ascii="Arial" w:hAnsi="Arial" w:eastAsia="Times New Roman" w:cs="Arial"/>
              </w:rPr>
            </w:pPr>
            <w:r>
              <w:rPr>
                <w:rFonts w:ascii="Arial" w:hAnsi="Arial" w:eastAsia="Times New Roman" w:cs="Arial"/>
              </w:rPr>
              <w:t>68.38%</w:t>
            </w:r>
          </w:p>
        </w:tc>
      </w:tr>
      <w:tr w14:paraId="6F8CD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285" w:type="dxa"/>
            <w:tcBorders>
              <w:bottom w:val="single" w:color="000000" w:sz="8" w:space="0"/>
              <w:right w:val="single" w:color="FFFFFF" w:sz="6" w:space="0"/>
            </w:tcBorders>
            <w:tcMar>
              <w:top w:w="0" w:type="dxa"/>
              <w:left w:w="100" w:type="dxa"/>
              <w:bottom w:w="0" w:type="dxa"/>
              <w:right w:w="100" w:type="dxa"/>
            </w:tcMar>
          </w:tcPr>
          <w:p w14:paraId="1FF45E33">
            <w:pPr>
              <w:widowControl w:val="0"/>
              <w:ind w:right="-90"/>
              <w:rPr>
                <w:rFonts w:ascii="Arial" w:hAnsi="Arial" w:eastAsia="Times New Roman" w:cs="Arial"/>
              </w:rPr>
            </w:pPr>
            <w:r>
              <w:rPr>
                <w:rFonts w:ascii="Arial" w:hAnsi="Arial" w:eastAsia="Times New Roman" w:cs="Arial"/>
              </w:rPr>
              <w:t>Overall Mean (SD)</w:t>
            </w:r>
          </w:p>
        </w:tc>
        <w:tc>
          <w:tcPr>
            <w:tcW w:w="1350" w:type="dxa"/>
            <w:tcBorders>
              <w:left w:val="single" w:color="FFFFFF" w:sz="6" w:space="0"/>
              <w:bottom w:val="single" w:color="000000" w:sz="6" w:space="0"/>
              <w:right w:val="single" w:color="FFFFFF" w:sz="6" w:space="0"/>
            </w:tcBorders>
            <w:tcMar>
              <w:top w:w="0" w:type="dxa"/>
              <w:left w:w="100" w:type="dxa"/>
              <w:bottom w:w="0" w:type="dxa"/>
              <w:right w:w="100" w:type="dxa"/>
            </w:tcMar>
          </w:tcPr>
          <w:p w14:paraId="7CCE9860">
            <w:pPr>
              <w:widowControl w:val="0"/>
              <w:ind w:right="-90"/>
              <w:rPr>
                <w:rFonts w:ascii="Arial" w:hAnsi="Arial" w:eastAsia="Times New Roman" w:cs="Arial"/>
              </w:rPr>
            </w:pPr>
            <w:r>
              <w:rPr>
                <w:rFonts w:ascii="Arial" w:hAnsi="Arial" w:eastAsia="Times New Roman" w:cs="Arial"/>
              </w:rPr>
              <w:t>11.39/15</w:t>
            </w:r>
          </w:p>
        </w:tc>
        <w:tc>
          <w:tcPr>
            <w:tcW w:w="1650" w:type="dxa"/>
            <w:tcBorders>
              <w:top w:val="single" w:color="FFFFFF" w:sz="6" w:space="0"/>
              <w:left w:val="single" w:color="FFFFFF" w:sz="6" w:space="0"/>
              <w:bottom w:val="single" w:color="000000" w:sz="6" w:space="0"/>
              <w:right w:val="single" w:color="FFFFFF" w:sz="6" w:space="0"/>
            </w:tcBorders>
            <w:tcMar>
              <w:top w:w="0" w:type="dxa"/>
              <w:left w:w="100" w:type="dxa"/>
              <w:bottom w:w="0" w:type="dxa"/>
              <w:right w:w="100" w:type="dxa"/>
            </w:tcMar>
          </w:tcPr>
          <w:p w14:paraId="1CB89084">
            <w:pPr>
              <w:widowControl w:val="0"/>
              <w:ind w:right="-90"/>
              <w:rPr>
                <w:rFonts w:ascii="Arial" w:hAnsi="Arial" w:eastAsia="Times New Roman" w:cs="Arial"/>
              </w:rPr>
            </w:pPr>
            <w:r>
              <w:rPr>
                <w:rFonts w:ascii="Arial" w:hAnsi="Arial" w:eastAsia="Times New Roman" w:cs="Arial"/>
              </w:rPr>
              <w:t>75.90%</w:t>
            </w:r>
          </w:p>
        </w:tc>
      </w:tr>
    </w:tbl>
    <w:p w14:paraId="086D80BD">
      <w:pPr>
        <w:spacing w:line="480" w:lineRule="auto"/>
        <w:ind w:right="-90"/>
        <w:rPr>
          <w:rFonts w:ascii="Arial" w:hAnsi="Arial" w:eastAsia="Arial" w:cs="Arial"/>
        </w:rPr>
      </w:pPr>
    </w:p>
    <w:p w14:paraId="6BF08A54">
      <w:pPr>
        <w:ind w:right="-90"/>
        <w:rPr>
          <w:rFonts w:ascii="Arial" w:hAnsi="Arial" w:eastAsia="Times New Roman" w:cs="Arial"/>
          <w:b/>
          <w:bCs/>
        </w:rPr>
      </w:pPr>
      <w:r>
        <w:rPr>
          <w:rFonts w:ascii="Arial" w:hAnsi="Arial" w:eastAsia="Times New Roman" w:cs="Arial"/>
          <w:b/>
          <w:bCs/>
        </w:rPr>
        <w:t xml:space="preserve">Table 2b. </w:t>
      </w:r>
    </w:p>
    <w:p w14:paraId="05F7B726">
      <w:pPr>
        <w:ind w:right="-90"/>
        <w:rPr>
          <w:rFonts w:ascii="Arial" w:hAnsi="Arial" w:eastAsia="Times New Roman" w:cs="Arial"/>
          <w:b/>
          <w:bCs/>
        </w:rPr>
      </w:pPr>
    </w:p>
    <w:p w14:paraId="0B39DF63">
      <w:pPr>
        <w:ind w:right="-90"/>
        <w:rPr>
          <w:rFonts w:ascii="Arial" w:hAnsi="Arial" w:eastAsia="Times New Roman" w:cs="Arial"/>
        </w:rPr>
      </w:pPr>
      <w:r>
        <w:rPr>
          <w:rFonts w:ascii="Arial" w:hAnsi="Arial" w:eastAsia="Times New Roman" w:cs="Arial"/>
          <w:i/>
          <w:iCs/>
        </w:rPr>
        <w:t>Distribution of Respondents according to Level of Knowledge (n=117)</w:t>
      </w:r>
    </w:p>
    <w:tbl>
      <w:tblPr>
        <w:tblStyle w:val="22"/>
        <w:tblW w:w="89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5745"/>
        <w:gridCol w:w="1245"/>
        <w:gridCol w:w="1935"/>
      </w:tblGrid>
      <w:tr w14:paraId="31474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5745" w:type="dxa"/>
            <w:tcBorders>
              <w:top w:val="single" w:color="000000" w:sz="6" w:space="0"/>
              <w:left w:val="nil"/>
              <w:bottom w:val="single" w:color="000000" w:sz="4" w:space="0"/>
              <w:right w:val="nil"/>
            </w:tcBorders>
            <w:shd w:val="clear" w:color="auto" w:fill="FFFFFF"/>
            <w:tcMar>
              <w:top w:w="40" w:type="dxa"/>
              <w:left w:w="40" w:type="dxa"/>
              <w:bottom w:w="40" w:type="dxa"/>
              <w:right w:w="40" w:type="dxa"/>
            </w:tcMar>
            <w:vAlign w:val="bottom"/>
          </w:tcPr>
          <w:p w14:paraId="463B7D61">
            <w:pPr>
              <w:ind w:right="-90"/>
              <w:rPr>
                <w:rFonts w:ascii="Arial" w:hAnsi="Arial" w:eastAsia="Times New Roman" w:cs="Arial"/>
              </w:rPr>
            </w:pPr>
          </w:p>
        </w:tc>
        <w:tc>
          <w:tcPr>
            <w:tcW w:w="1245" w:type="dxa"/>
            <w:tcBorders>
              <w:top w:val="single" w:color="000000" w:sz="6" w:space="0"/>
              <w:left w:val="nil"/>
              <w:bottom w:val="single" w:color="000000" w:sz="4" w:space="0"/>
              <w:right w:val="nil"/>
            </w:tcBorders>
            <w:shd w:val="clear" w:color="auto" w:fill="FFFFFF"/>
            <w:tcMar>
              <w:top w:w="40" w:type="dxa"/>
              <w:left w:w="40" w:type="dxa"/>
              <w:bottom w:w="40" w:type="dxa"/>
              <w:right w:w="40" w:type="dxa"/>
            </w:tcMar>
            <w:vAlign w:val="bottom"/>
          </w:tcPr>
          <w:p w14:paraId="7345D6B7">
            <w:pPr>
              <w:spacing w:line="349" w:lineRule="auto"/>
              <w:ind w:right="-90"/>
              <w:jc w:val="center"/>
              <w:rPr>
                <w:rFonts w:ascii="Arial" w:hAnsi="Arial" w:eastAsia="Times New Roman" w:cs="Arial"/>
              </w:rPr>
            </w:pPr>
            <w:r>
              <w:rPr>
                <w:rFonts w:ascii="Arial" w:hAnsi="Arial" w:eastAsia="Times New Roman" w:cs="Arial"/>
              </w:rPr>
              <w:t>f</w:t>
            </w:r>
          </w:p>
        </w:tc>
        <w:tc>
          <w:tcPr>
            <w:tcW w:w="1935" w:type="dxa"/>
            <w:tcBorders>
              <w:top w:val="single" w:color="000000" w:sz="6" w:space="0"/>
              <w:left w:val="nil"/>
              <w:bottom w:val="single" w:color="000000" w:sz="4" w:space="0"/>
              <w:right w:val="nil"/>
            </w:tcBorders>
            <w:shd w:val="clear" w:color="auto" w:fill="FFFFFF"/>
            <w:tcMar>
              <w:top w:w="0" w:type="dxa"/>
              <w:left w:w="40" w:type="dxa"/>
              <w:bottom w:w="0" w:type="dxa"/>
              <w:right w:w="40" w:type="dxa"/>
            </w:tcMar>
          </w:tcPr>
          <w:p w14:paraId="594B1A92">
            <w:pPr>
              <w:spacing w:line="349" w:lineRule="auto"/>
              <w:ind w:right="-90"/>
              <w:jc w:val="center"/>
              <w:rPr>
                <w:rFonts w:ascii="Arial" w:hAnsi="Arial" w:eastAsia="Times New Roman" w:cs="Arial"/>
              </w:rPr>
            </w:pPr>
            <w:r>
              <w:rPr>
                <w:rFonts w:ascii="Arial" w:hAnsi="Arial" w:eastAsia="Times New Roman" w:cs="Arial"/>
              </w:rPr>
              <w:t>%</w:t>
            </w:r>
          </w:p>
        </w:tc>
      </w:tr>
      <w:tr w14:paraId="5F5AC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50" w:hRule="atLeast"/>
        </w:trPr>
        <w:tc>
          <w:tcPr>
            <w:tcW w:w="5745" w:type="dxa"/>
            <w:tcBorders>
              <w:top w:val="single" w:color="000000" w:sz="4" w:space="0"/>
              <w:left w:val="nil"/>
              <w:bottom w:val="nil"/>
              <w:right w:val="nil"/>
            </w:tcBorders>
            <w:shd w:val="clear" w:color="auto" w:fill="FFFFFF"/>
            <w:tcMar>
              <w:top w:w="40" w:type="dxa"/>
              <w:left w:w="40" w:type="dxa"/>
              <w:bottom w:w="40" w:type="dxa"/>
              <w:right w:w="40" w:type="dxa"/>
            </w:tcMar>
          </w:tcPr>
          <w:p w14:paraId="16CA54C9">
            <w:pPr>
              <w:ind w:right="-90"/>
              <w:rPr>
                <w:rFonts w:ascii="Arial" w:hAnsi="Arial" w:eastAsia="Times New Roman" w:cs="Arial"/>
              </w:rPr>
            </w:pPr>
            <w:r>
              <w:rPr>
                <w:rFonts w:ascii="Arial" w:hAnsi="Arial" w:eastAsia="Times New Roman" w:cs="Arial"/>
              </w:rPr>
              <w:t>High (13 and above)</w:t>
            </w:r>
          </w:p>
        </w:tc>
        <w:tc>
          <w:tcPr>
            <w:tcW w:w="1245" w:type="dxa"/>
            <w:tcBorders>
              <w:top w:val="single" w:color="000000" w:sz="4" w:space="0"/>
              <w:left w:val="nil"/>
              <w:bottom w:val="nil"/>
              <w:right w:val="nil"/>
            </w:tcBorders>
            <w:shd w:val="clear" w:color="auto" w:fill="FFFFFF"/>
            <w:tcMar>
              <w:top w:w="40" w:type="dxa"/>
              <w:left w:w="40" w:type="dxa"/>
              <w:bottom w:w="40" w:type="dxa"/>
              <w:right w:w="40" w:type="dxa"/>
            </w:tcMar>
          </w:tcPr>
          <w:p w14:paraId="6B236D6C">
            <w:pPr>
              <w:ind w:right="-90"/>
              <w:jc w:val="center"/>
              <w:rPr>
                <w:rFonts w:ascii="Arial" w:hAnsi="Arial" w:eastAsia="Times New Roman" w:cs="Arial"/>
              </w:rPr>
            </w:pPr>
            <w:r>
              <w:rPr>
                <w:rFonts w:ascii="Arial" w:hAnsi="Arial" w:eastAsia="Times New Roman" w:cs="Arial"/>
              </w:rPr>
              <w:t>41</w:t>
            </w:r>
          </w:p>
        </w:tc>
        <w:tc>
          <w:tcPr>
            <w:tcW w:w="1935" w:type="dxa"/>
            <w:tcBorders>
              <w:top w:val="single" w:color="000000" w:sz="4" w:space="0"/>
              <w:left w:val="nil"/>
              <w:bottom w:val="nil"/>
              <w:right w:val="nil"/>
            </w:tcBorders>
            <w:shd w:val="clear" w:color="auto" w:fill="FFFFFF"/>
            <w:tcMar>
              <w:top w:w="0" w:type="dxa"/>
              <w:left w:w="40" w:type="dxa"/>
              <w:bottom w:w="0" w:type="dxa"/>
              <w:right w:w="40" w:type="dxa"/>
            </w:tcMar>
          </w:tcPr>
          <w:p w14:paraId="4929B03C">
            <w:pPr>
              <w:ind w:right="-90"/>
              <w:jc w:val="center"/>
              <w:rPr>
                <w:rFonts w:ascii="Arial" w:hAnsi="Arial" w:eastAsia="Times New Roman" w:cs="Arial"/>
              </w:rPr>
            </w:pPr>
            <w:r>
              <w:rPr>
                <w:rFonts w:ascii="Arial" w:hAnsi="Arial" w:eastAsia="Times New Roman" w:cs="Arial"/>
              </w:rPr>
              <w:t>35.0</w:t>
            </w:r>
          </w:p>
        </w:tc>
      </w:tr>
      <w:tr w14:paraId="1B565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5745" w:type="dxa"/>
            <w:tcBorders>
              <w:top w:val="nil"/>
              <w:left w:val="nil"/>
              <w:bottom w:val="nil"/>
              <w:right w:val="nil"/>
            </w:tcBorders>
            <w:shd w:val="clear" w:color="auto" w:fill="FFFFFF"/>
            <w:tcMar>
              <w:top w:w="40" w:type="dxa"/>
              <w:left w:w="40" w:type="dxa"/>
              <w:bottom w:w="40" w:type="dxa"/>
              <w:right w:w="40" w:type="dxa"/>
            </w:tcMar>
          </w:tcPr>
          <w:p w14:paraId="39560221">
            <w:pPr>
              <w:ind w:right="-90"/>
              <w:rPr>
                <w:rFonts w:ascii="Arial" w:hAnsi="Arial" w:eastAsia="Times New Roman" w:cs="Arial"/>
              </w:rPr>
            </w:pPr>
            <w:r>
              <w:rPr>
                <w:rFonts w:ascii="Arial" w:hAnsi="Arial" w:eastAsia="Times New Roman" w:cs="Arial"/>
              </w:rPr>
              <w:t>Average (9–12)</w:t>
            </w:r>
          </w:p>
        </w:tc>
        <w:tc>
          <w:tcPr>
            <w:tcW w:w="1245" w:type="dxa"/>
            <w:tcBorders>
              <w:top w:val="nil"/>
              <w:left w:val="nil"/>
              <w:bottom w:val="nil"/>
              <w:right w:val="nil"/>
            </w:tcBorders>
            <w:shd w:val="clear" w:color="auto" w:fill="FFFFFF"/>
            <w:tcMar>
              <w:top w:w="40" w:type="dxa"/>
              <w:left w:w="40" w:type="dxa"/>
              <w:bottom w:w="40" w:type="dxa"/>
              <w:right w:w="40" w:type="dxa"/>
            </w:tcMar>
          </w:tcPr>
          <w:p w14:paraId="339C744C">
            <w:pPr>
              <w:ind w:right="-90"/>
              <w:jc w:val="center"/>
              <w:rPr>
                <w:rFonts w:ascii="Arial" w:hAnsi="Arial" w:eastAsia="Times New Roman" w:cs="Arial"/>
              </w:rPr>
            </w:pPr>
            <w:r>
              <w:rPr>
                <w:rFonts w:ascii="Arial" w:hAnsi="Arial" w:eastAsia="Times New Roman" w:cs="Arial"/>
              </w:rPr>
              <w:t>64</w:t>
            </w:r>
          </w:p>
        </w:tc>
        <w:tc>
          <w:tcPr>
            <w:tcW w:w="1935" w:type="dxa"/>
            <w:tcBorders>
              <w:top w:val="nil"/>
              <w:left w:val="nil"/>
              <w:bottom w:val="nil"/>
              <w:right w:val="nil"/>
            </w:tcBorders>
            <w:shd w:val="clear" w:color="auto" w:fill="FFFFFF"/>
            <w:tcMar>
              <w:top w:w="0" w:type="dxa"/>
              <w:left w:w="40" w:type="dxa"/>
              <w:bottom w:w="0" w:type="dxa"/>
              <w:right w:w="40" w:type="dxa"/>
            </w:tcMar>
          </w:tcPr>
          <w:p w14:paraId="142645F4">
            <w:pPr>
              <w:ind w:right="-90"/>
              <w:jc w:val="center"/>
              <w:rPr>
                <w:rFonts w:ascii="Arial" w:hAnsi="Arial" w:eastAsia="Times New Roman" w:cs="Arial"/>
              </w:rPr>
            </w:pPr>
            <w:r>
              <w:rPr>
                <w:rFonts w:ascii="Arial" w:hAnsi="Arial" w:eastAsia="Times New Roman" w:cs="Arial"/>
              </w:rPr>
              <w:t>54.7</w:t>
            </w:r>
          </w:p>
        </w:tc>
      </w:tr>
      <w:tr w14:paraId="5904B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5745" w:type="dxa"/>
            <w:tcBorders>
              <w:top w:val="nil"/>
              <w:left w:val="nil"/>
              <w:bottom w:val="single" w:color="000000" w:sz="6" w:space="0"/>
              <w:right w:val="nil"/>
            </w:tcBorders>
            <w:shd w:val="clear" w:color="auto" w:fill="FFFFFF"/>
            <w:tcMar>
              <w:top w:w="40" w:type="dxa"/>
              <w:left w:w="40" w:type="dxa"/>
              <w:bottom w:w="40" w:type="dxa"/>
              <w:right w:w="40" w:type="dxa"/>
            </w:tcMar>
          </w:tcPr>
          <w:p w14:paraId="5AC4294B">
            <w:pPr>
              <w:ind w:right="-90"/>
              <w:rPr>
                <w:rFonts w:ascii="Arial" w:hAnsi="Arial" w:eastAsia="Times New Roman" w:cs="Arial"/>
              </w:rPr>
            </w:pPr>
            <w:r>
              <w:rPr>
                <w:rFonts w:ascii="Arial" w:hAnsi="Arial" w:eastAsia="Times New Roman" w:cs="Arial"/>
              </w:rPr>
              <w:t>Low (8 and below)</w:t>
            </w:r>
          </w:p>
        </w:tc>
        <w:tc>
          <w:tcPr>
            <w:tcW w:w="1245" w:type="dxa"/>
            <w:tcBorders>
              <w:top w:val="nil"/>
              <w:left w:val="nil"/>
              <w:bottom w:val="single" w:color="000000" w:sz="6" w:space="0"/>
              <w:right w:val="nil"/>
            </w:tcBorders>
            <w:shd w:val="clear" w:color="auto" w:fill="FFFFFF"/>
            <w:tcMar>
              <w:top w:w="40" w:type="dxa"/>
              <w:left w:w="40" w:type="dxa"/>
              <w:bottom w:w="40" w:type="dxa"/>
              <w:right w:w="40" w:type="dxa"/>
            </w:tcMar>
          </w:tcPr>
          <w:p w14:paraId="3271006F">
            <w:pPr>
              <w:ind w:right="-90"/>
              <w:jc w:val="center"/>
              <w:rPr>
                <w:rFonts w:ascii="Arial" w:hAnsi="Arial" w:eastAsia="Times New Roman" w:cs="Arial"/>
              </w:rPr>
            </w:pPr>
            <w:r>
              <w:rPr>
                <w:rFonts w:ascii="Arial" w:hAnsi="Arial" w:eastAsia="Times New Roman" w:cs="Arial"/>
              </w:rPr>
              <w:t>12</w:t>
            </w:r>
          </w:p>
        </w:tc>
        <w:tc>
          <w:tcPr>
            <w:tcW w:w="1935" w:type="dxa"/>
            <w:tcBorders>
              <w:top w:val="nil"/>
              <w:left w:val="nil"/>
              <w:bottom w:val="single" w:color="000000" w:sz="6" w:space="0"/>
              <w:right w:val="nil"/>
            </w:tcBorders>
            <w:shd w:val="clear" w:color="auto" w:fill="FFFFFF"/>
            <w:tcMar>
              <w:top w:w="0" w:type="dxa"/>
              <w:left w:w="40" w:type="dxa"/>
              <w:bottom w:w="0" w:type="dxa"/>
              <w:right w:w="40" w:type="dxa"/>
            </w:tcMar>
          </w:tcPr>
          <w:p w14:paraId="342A622A">
            <w:pPr>
              <w:ind w:right="-90"/>
              <w:jc w:val="center"/>
              <w:rPr>
                <w:rFonts w:ascii="Arial" w:hAnsi="Arial" w:eastAsia="Times New Roman" w:cs="Arial"/>
              </w:rPr>
            </w:pPr>
            <w:r>
              <w:rPr>
                <w:rFonts w:ascii="Arial" w:hAnsi="Arial" w:eastAsia="Times New Roman" w:cs="Arial"/>
              </w:rPr>
              <w:t>10.3</w:t>
            </w:r>
          </w:p>
        </w:tc>
      </w:tr>
      <w:tr w14:paraId="47CF0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5745" w:type="dxa"/>
            <w:tcBorders>
              <w:top w:val="nil"/>
              <w:left w:val="nil"/>
              <w:bottom w:val="single" w:color="000000" w:sz="6" w:space="0"/>
              <w:right w:val="nil"/>
            </w:tcBorders>
            <w:shd w:val="clear" w:color="auto" w:fill="FFFFFF"/>
            <w:tcMar>
              <w:top w:w="40" w:type="dxa"/>
              <w:left w:w="40" w:type="dxa"/>
              <w:bottom w:w="40" w:type="dxa"/>
              <w:right w:w="40" w:type="dxa"/>
            </w:tcMar>
          </w:tcPr>
          <w:p w14:paraId="24BF83CB">
            <w:pPr>
              <w:ind w:right="-90"/>
              <w:jc w:val="center"/>
              <w:rPr>
                <w:rFonts w:ascii="Arial" w:hAnsi="Arial" w:eastAsia="Times New Roman" w:cs="Arial"/>
              </w:rPr>
            </w:pPr>
            <w:r>
              <w:rPr>
                <w:rFonts w:ascii="Arial" w:hAnsi="Arial" w:eastAsia="Times New Roman" w:cs="Arial"/>
              </w:rPr>
              <w:t>Total</w:t>
            </w:r>
          </w:p>
        </w:tc>
        <w:tc>
          <w:tcPr>
            <w:tcW w:w="1245" w:type="dxa"/>
            <w:tcBorders>
              <w:top w:val="nil"/>
              <w:left w:val="nil"/>
              <w:bottom w:val="single" w:color="000000" w:sz="6" w:space="0"/>
              <w:right w:val="nil"/>
            </w:tcBorders>
            <w:shd w:val="clear" w:color="auto" w:fill="FFFFFF"/>
            <w:tcMar>
              <w:top w:w="40" w:type="dxa"/>
              <w:left w:w="40" w:type="dxa"/>
              <w:bottom w:w="40" w:type="dxa"/>
              <w:right w:w="40" w:type="dxa"/>
            </w:tcMar>
          </w:tcPr>
          <w:p w14:paraId="622FC20F">
            <w:pPr>
              <w:ind w:right="-90"/>
              <w:jc w:val="center"/>
              <w:rPr>
                <w:rFonts w:ascii="Arial" w:hAnsi="Arial" w:eastAsia="Times New Roman" w:cs="Arial"/>
              </w:rPr>
            </w:pPr>
            <w:r>
              <w:rPr>
                <w:rFonts w:ascii="Arial" w:hAnsi="Arial" w:eastAsia="Times New Roman" w:cs="Arial"/>
              </w:rPr>
              <w:t>117</w:t>
            </w:r>
          </w:p>
        </w:tc>
        <w:tc>
          <w:tcPr>
            <w:tcW w:w="1935" w:type="dxa"/>
            <w:tcBorders>
              <w:top w:val="nil"/>
              <w:left w:val="nil"/>
              <w:bottom w:val="single" w:color="000000" w:sz="6" w:space="0"/>
              <w:right w:val="nil"/>
            </w:tcBorders>
            <w:shd w:val="clear" w:color="auto" w:fill="FFFFFF"/>
            <w:tcMar>
              <w:top w:w="0" w:type="dxa"/>
              <w:left w:w="40" w:type="dxa"/>
              <w:bottom w:w="0" w:type="dxa"/>
              <w:right w:w="40" w:type="dxa"/>
            </w:tcMar>
          </w:tcPr>
          <w:p w14:paraId="5D34A5F2">
            <w:pPr>
              <w:ind w:right="-90"/>
              <w:jc w:val="center"/>
              <w:rPr>
                <w:rFonts w:ascii="Arial" w:hAnsi="Arial" w:eastAsia="Times New Roman" w:cs="Arial"/>
              </w:rPr>
            </w:pPr>
            <w:r>
              <w:rPr>
                <w:rFonts w:ascii="Arial" w:hAnsi="Arial" w:eastAsia="Times New Roman" w:cs="Arial"/>
              </w:rPr>
              <w:t>100.0</w:t>
            </w:r>
          </w:p>
        </w:tc>
      </w:tr>
    </w:tbl>
    <w:p w14:paraId="5EFF4FB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bookmarkStart w:id="1" w:name="_3v5y5w4riowh" w:colFirst="0" w:colLast="0"/>
      <w:bookmarkEnd w:id="1"/>
    </w:p>
    <w:p w14:paraId="4E7DEE8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Level of Attitude Toward Herbal Plants</w:t>
      </w:r>
    </w:p>
    <w:p w14:paraId="5034CF1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The respondents showed a very positive attitude (</w:t>
      </w:r>
      <w:r>
        <w:rPr>
          <w:rFonts w:ascii="Arial" w:hAnsi="Arial" w:eastAsia="Arial" w:cs="Arial"/>
          <w:i/>
          <w:iCs/>
          <w:color w:val="000000"/>
        </w:rPr>
        <w:t xml:space="preserve">M </w:t>
      </w:r>
      <w:r>
        <w:rPr>
          <w:rFonts w:ascii="Arial" w:hAnsi="Arial" w:eastAsia="Arial" w:cs="Arial"/>
          <w:color w:val="000000"/>
        </w:rPr>
        <w:t>= 4.46). They strongly believed herbal plants are effective and culturally important, and trusted health workers who recommend them. Slight hesitation was noted in recommending herbal plants to family members, indicating concerns about proper use.</w:t>
      </w:r>
    </w:p>
    <w:p w14:paraId="2088DAD3">
      <w:pPr>
        <w:widowControl w:val="0"/>
        <w:ind w:right="-90"/>
        <w:rPr>
          <w:rFonts w:ascii="Arial" w:hAnsi="Arial" w:eastAsia="Times New Roman" w:cs="Arial"/>
          <w:b/>
          <w:bCs/>
        </w:rPr>
      </w:pPr>
    </w:p>
    <w:p w14:paraId="29EA288B">
      <w:pPr>
        <w:widowControl w:val="0"/>
        <w:ind w:right="-90"/>
        <w:rPr>
          <w:rFonts w:ascii="Arial" w:hAnsi="Arial" w:eastAsia="Times New Roman" w:cs="Arial"/>
          <w:b/>
          <w:bCs/>
        </w:rPr>
      </w:pPr>
      <w:r>
        <w:rPr>
          <w:rFonts w:ascii="Arial" w:hAnsi="Arial" w:eastAsia="Times New Roman" w:cs="Arial"/>
          <w:b/>
          <w:bCs/>
        </w:rPr>
        <w:t>Table 3.</w:t>
      </w:r>
    </w:p>
    <w:p w14:paraId="3D3F9A88">
      <w:pPr>
        <w:widowControl w:val="0"/>
        <w:ind w:right="-90"/>
        <w:rPr>
          <w:rFonts w:ascii="Arial" w:hAnsi="Arial" w:eastAsia="Times New Roman" w:cs="Arial"/>
          <w:i/>
          <w:iCs/>
        </w:rPr>
      </w:pPr>
      <w:r>
        <w:rPr>
          <w:rFonts w:ascii="Arial" w:hAnsi="Arial" w:eastAsia="Times New Roman" w:cs="Arial"/>
          <w:i/>
          <w:iCs/>
        </w:rPr>
        <w:t xml:space="preserve">Level of Attitude towards Herbal Plants among Households in the Rural Community(n=117) </w:t>
      </w:r>
    </w:p>
    <w:tbl>
      <w:tblPr>
        <w:tblStyle w:val="23"/>
        <w:tblpPr w:leftFromText="180" w:rightFromText="180" w:topFromText="180" w:bottomFromText="180" w:vertAnchor="text" w:horzAnchor="margin" w:tblpY="80"/>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7035"/>
        <w:gridCol w:w="840"/>
        <w:gridCol w:w="630"/>
      </w:tblGrid>
      <w:tr w14:paraId="4E0E2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15" w:hRule="atLeast"/>
        </w:trPr>
        <w:tc>
          <w:tcPr>
            <w:tcW w:w="7035" w:type="dxa"/>
            <w:tcBorders>
              <w:top w:val="single" w:color="000000" w:sz="8" w:space="0"/>
              <w:left w:val="nil"/>
              <w:bottom w:val="single" w:color="000000" w:sz="8" w:space="0"/>
              <w:right w:val="nil"/>
            </w:tcBorders>
          </w:tcPr>
          <w:p w14:paraId="378F3F48">
            <w:pPr>
              <w:widowControl w:val="0"/>
              <w:ind w:right="-90"/>
              <w:rPr>
                <w:rFonts w:ascii="Arial" w:hAnsi="Arial" w:eastAsia="Times New Roman" w:cs="Arial"/>
              </w:rPr>
            </w:pPr>
            <w:r>
              <w:rPr>
                <w:rFonts w:ascii="Arial" w:hAnsi="Arial" w:eastAsia="Times New Roman" w:cs="Arial"/>
              </w:rPr>
              <w:t>Statement</w:t>
            </w:r>
          </w:p>
        </w:tc>
        <w:tc>
          <w:tcPr>
            <w:tcW w:w="840" w:type="dxa"/>
            <w:tcBorders>
              <w:top w:val="single" w:color="000000" w:sz="8" w:space="0"/>
              <w:left w:val="nil"/>
              <w:bottom w:val="single" w:color="000000" w:sz="8" w:space="0"/>
              <w:right w:val="nil"/>
            </w:tcBorders>
          </w:tcPr>
          <w:p w14:paraId="0D7B7CBC">
            <w:pPr>
              <w:widowControl w:val="0"/>
              <w:ind w:right="-90"/>
              <w:jc w:val="center"/>
              <w:rPr>
                <w:rFonts w:ascii="Arial" w:hAnsi="Arial" w:eastAsia="Times New Roman" w:cs="Arial"/>
              </w:rPr>
            </w:pPr>
            <w:r>
              <w:rPr>
                <w:rFonts w:ascii="Arial" w:hAnsi="Arial" w:eastAsia="Times New Roman" w:cs="Arial"/>
              </w:rPr>
              <w:t>Mean</w:t>
            </w:r>
          </w:p>
        </w:tc>
        <w:tc>
          <w:tcPr>
            <w:tcW w:w="630" w:type="dxa"/>
            <w:tcBorders>
              <w:top w:val="single" w:color="000000" w:sz="8" w:space="0"/>
              <w:left w:val="nil"/>
              <w:bottom w:val="single" w:color="000000" w:sz="8" w:space="0"/>
              <w:right w:val="nil"/>
            </w:tcBorders>
            <w:tcMar>
              <w:top w:w="144" w:type="dxa"/>
              <w:left w:w="144" w:type="dxa"/>
              <w:bottom w:w="144" w:type="dxa"/>
              <w:right w:w="144" w:type="dxa"/>
            </w:tcMar>
          </w:tcPr>
          <w:p w14:paraId="556CE806">
            <w:pPr>
              <w:widowControl w:val="0"/>
              <w:ind w:right="-90"/>
              <w:rPr>
                <w:rFonts w:ascii="Arial" w:hAnsi="Arial" w:eastAsia="Times New Roman" w:cs="Arial"/>
              </w:rPr>
            </w:pPr>
            <w:r>
              <w:rPr>
                <w:rFonts w:ascii="Arial" w:hAnsi="Arial" w:eastAsia="Times New Roman" w:cs="Arial"/>
              </w:rPr>
              <w:t>SD</w:t>
            </w:r>
          </w:p>
        </w:tc>
      </w:tr>
      <w:tr w14:paraId="52F2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single" w:color="000000" w:sz="8" w:space="0"/>
              <w:left w:val="nil"/>
              <w:bottom w:val="nil"/>
              <w:right w:val="nil"/>
            </w:tcBorders>
            <w:tcMar>
              <w:top w:w="0" w:type="dxa"/>
              <w:left w:w="0" w:type="dxa"/>
              <w:bottom w:w="0" w:type="dxa"/>
              <w:right w:w="0" w:type="dxa"/>
            </w:tcMar>
          </w:tcPr>
          <w:p w14:paraId="0F642ACE">
            <w:pPr>
              <w:widowControl w:val="0"/>
              <w:ind w:right="-90"/>
              <w:rPr>
                <w:rFonts w:ascii="Arial" w:hAnsi="Arial" w:eastAsia="Times New Roman" w:cs="Arial"/>
              </w:rPr>
            </w:pPr>
            <w:r>
              <w:rPr>
                <w:rFonts w:ascii="Arial" w:hAnsi="Arial" w:eastAsia="Times New Roman" w:cs="Arial"/>
              </w:rPr>
              <w:t>Herbal plants are effective in managing common illnesses.</w:t>
            </w:r>
          </w:p>
        </w:tc>
        <w:tc>
          <w:tcPr>
            <w:tcW w:w="840" w:type="dxa"/>
            <w:tcBorders>
              <w:top w:val="single" w:color="000000" w:sz="8" w:space="0"/>
              <w:left w:val="nil"/>
              <w:bottom w:val="nil"/>
              <w:right w:val="nil"/>
            </w:tcBorders>
            <w:tcMar>
              <w:top w:w="0" w:type="dxa"/>
              <w:left w:w="0" w:type="dxa"/>
              <w:bottom w:w="0" w:type="dxa"/>
              <w:right w:w="0" w:type="dxa"/>
            </w:tcMar>
          </w:tcPr>
          <w:p w14:paraId="10CADC55">
            <w:pPr>
              <w:widowControl w:val="0"/>
              <w:ind w:right="-90"/>
              <w:jc w:val="center"/>
              <w:rPr>
                <w:rFonts w:ascii="Arial" w:hAnsi="Arial" w:eastAsia="Times New Roman" w:cs="Arial"/>
              </w:rPr>
            </w:pPr>
            <w:r>
              <w:rPr>
                <w:rFonts w:ascii="Arial" w:hAnsi="Arial" w:eastAsia="Times New Roman" w:cs="Arial"/>
              </w:rPr>
              <w:t>4.75</w:t>
            </w:r>
          </w:p>
        </w:tc>
        <w:tc>
          <w:tcPr>
            <w:tcW w:w="630" w:type="dxa"/>
            <w:tcBorders>
              <w:top w:val="single" w:color="000000" w:sz="8" w:space="0"/>
              <w:left w:val="nil"/>
              <w:bottom w:val="nil"/>
              <w:right w:val="nil"/>
            </w:tcBorders>
            <w:tcMar>
              <w:top w:w="0" w:type="dxa"/>
              <w:left w:w="0" w:type="dxa"/>
              <w:bottom w:w="0" w:type="dxa"/>
              <w:right w:w="0" w:type="dxa"/>
            </w:tcMar>
          </w:tcPr>
          <w:p w14:paraId="517364E5">
            <w:pPr>
              <w:widowControl w:val="0"/>
              <w:ind w:right="-90"/>
              <w:rPr>
                <w:rFonts w:ascii="Arial" w:hAnsi="Arial" w:eastAsia="Times New Roman" w:cs="Arial"/>
              </w:rPr>
            </w:pPr>
            <w:r>
              <w:rPr>
                <w:rFonts w:ascii="Arial" w:hAnsi="Arial" w:eastAsia="Times New Roman" w:cs="Arial"/>
              </w:rPr>
              <w:t>0.43</w:t>
            </w:r>
          </w:p>
        </w:tc>
      </w:tr>
      <w:tr w14:paraId="1B5F1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3ED766DC">
            <w:pPr>
              <w:widowControl w:val="0"/>
              <w:ind w:right="-90"/>
              <w:rPr>
                <w:rFonts w:ascii="Arial" w:hAnsi="Arial" w:eastAsia="Times New Roman" w:cs="Arial"/>
              </w:rPr>
            </w:pPr>
            <w:r>
              <w:rPr>
                <w:rFonts w:ascii="Arial" w:hAnsi="Arial" w:eastAsia="Times New Roman" w:cs="Arial"/>
              </w:rPr>
              <w:t>I trust health workers who recommend DOH-approved herbal plants.</w:t>
            </w:r>
          </w:p>
        </w:tc>
        <w:tc>
          <w:tcPr>
            <w:tcW w:w="840" w:type="dxa"/>
            <w:tcBorders>
              <w:top w:val="nil"/>
              <w:left w:val="nil"/>
              <w:bottom w:val="nil"/>
              <w:right w:val="nil"/>
            </w:tcBorders>
            <w:tcMar>
              <w:top w:w="0" w:type="dxa"/>
              <w:left w:w="0" w:type="dxa"/>
              <w:bottom w:w="0" w:type="dxa"/>
              <w:right w:w="0" w:type="dxa"/>
            </w:tcMar>
          </w:tcPr>
          <w:p w14:paraId="6891D87E">
            <w:pPr>
              <w:widowControl w:val="0"/>
              <w:ind w:right="-90"/>
              <w:jc w:val="center"/>
              <w:rPr>
                <w:rFonts w:ascii="Arial" w:hAnsi="Arial" w:eastAsia="Times New Roman" w:cs="Arial"/>
              </w:rPr>
            </w:pPr>
            <w:r>
              <w:rPr>
                <w:rFonts w:ascii="Arial" w:hAnsi="Arial" w:eastAsia="Times New Roman" w:cs="Arial"/>
              </w:rPr>
              <w:t>4.63</w:t>
            </w:r>
          </w:p>
        </w:tc>
        <w:tc>
          <w:tcPr>
            <w:tcW w:w="630" w:type="dxa"/>
            <w:tcBorders>
              <w:top w:val="nil"/>
              <w:left w:val="nil"/>
              <w:bottom w:val="nil"/>
              <w:right w:val="nil"/>
            </w:tcBorders>
            <w:tcMar>
              <w:top w:w="0" w:type="dxa"/>
              <w:left w:w="0" w:type="dxa"/>
              <w:bottom w:w="0" w:type="dxa"/>
              <w:right w:w="0" w:type="dxa"/>
            </w:tcMar>
          </w:tcPr>
          <w:p w14:paraId="3E2B3A0F">
            <w:pPr>
              <w:widowControl w:val="0"/>
              <w:ind w:right="-90"/>
              <w:rPr>
                <w:rFonts w:ascii="Arial" w:hAnsi="Arial" w:eastAsia="Times New Roman" w:cs="Arial"/>
              </w:rPr>
            </w:pPr>
            <w:r>
              <w:rPr>
                <w:rFonts w:ascii="Arial" w:hAnsi="Arial" w:eastAsia="Times New Roman" w:cs="Arial"/>
              </w:rPr>
              <w:t>0.55</w:t>
            </w:r>
          </w:p>
        </w:tc>
      </w:tr>
      <w:tr w14:paraId="69528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05" w:hRule="atLeast"/>
        </w:trPr>
        <w:tc>
          <w:tcPr>
            <w:tcW w:w="7035" w:type="dxa"/>
            <w:tcBorders>
              <w:top w:val="nil"/>
              <w:left w:val="nil"/>
              <w:bottom w:val="nil"/>
              <w:right w:val="nil"/>
            </w:tcBorders>
            <w:tcMar>
              <w:top w:w="0" w:type="dxa"/>
              <w:left w:w="0" w:type="dxa"/>
              <w:bottom w:w="0" w:type="dxa"/>
              <w:right w:w="0" w:type="dxa"/>
            </w:tcMar>
          </w:tcPr>
          <w:p w14:paraId="29A58EBE">
            <w:pPr>
              <w:widowControl w:val="0"/>
              <w:ind w:right="-90"/>
              <w:rPr>
                <w:rFonts w:ascii="Arial" w:hAnsi="Arial" w:eastAsia="Times New Roman" w:cs="Arial"/>
              </w:rPr>
            </w:pPr>
            <w:r>
              <w:rPr>
                <w:rFonts w:ascii="Arial" w:hAnsi="Arial" w:eastAsia="Times New Roman" w:cs="Arial"/>
              </w:rPr>
              <w:t>Herbal plants will continue to be important in future healthcare practices.</w:t>
            </w:r>
          </w:p>
        </w:tc>
        <w:tc>
          <w:tcPr>
            <w:tcW w:w="840" w:type="dxa"/>
            <w:tcBorders>
              <w:top w:val="nil"/>
              <w:left w:val="nil"/>
              <w:bottom w:val="nil"/>
              <w:right w:val="nil"/>
            </w:tcBorders>
            <w:tcMar>
              <w:top w:w="0" w:type="dxa"/>
              <w:left w:w="0" w:type="dxa"/>
              <w:bottom w:w="0" w:type="dxa"/>
              <w:right w:w="0" w:type="dxa"/>
            </w:tcMar>
          </w:tcPr>
          <w:p w14:paraId="4F61D71B">
            <w:pPr>
              <w:widowControl w:val="0"/>
              <w:ind w:right="-90"/>
              <w:jc w:val="center"/>
              <w:rPr>
                <w:rFonts w:ascii="Arial" w:hAnsi="Arial" w:eastAsia="Times New Roman" w:cs="Arial"/>
              </w:rPr>
            </w:pPr>
            <w:r>
              <w:rPr>
                <w:rFonts w:ascii="Arial" w:hAnsi="Arial" w:eastAsia="Times New Roman" w:cs="Arial"/>
              </w:rPr>
              <w:t>4.63</w:t>
            </w:r>
          </w:p>
        </w:tc>
        <w:tc>
          <w:tcPr>
            <w:tcW w:w="630" w:type="dxa"/>
            <w:tcBorders>
              <w:top w:val="nil"/>
              <w:left w:val="nil"/>
              <w:bottom w:val="nil"/>
              <w:right w:val="nil"/>
            </w:tcBorders>
            <w:tcMar>
              <w:top w:w="0" w:type="dxa"/>
              <w:left w:w="0" w:type="dxa"/>
              <w:bottom w:w="0" w:type="dxa"/>
              <w:right w:w="0" w:type="dxa"/>
            </w:tcMar>
          </w:tcPr>
          <w:p w14:paraId="7785F69B">
            <w:pPr>
              <w:widowControl w:val="0"/>
              <w:ind w:right="-90"/>
              <w:rPr>
                <w:rFonts w:ascii="Arial" w:hAnsi="Arial" w:eastAsia="Times New Roman" w:cs="Arial"/>
              </w:rPr>
            </w:pPr>
            <w:r>
              <w:rPr>
                <w:rFonts w:ascii="Arial" w:hAnsi="Arial" w:eastAsia="Times New Roman" w:cs="Arial"/>
              </w:rPr>
              <w:t>0.50</w:t>
            </w:r>
          </w:p>
        </w:tc>
      </w:tr>
      <w:tr w14:paraId="1E31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1D842FDD">
            <w:pPr>
              <w:widowControl w:val="0"/>
              <w:ind w:right="-90"/>
              <w:rPr>
                <w:rFonts w:ascii="Arial" w:hAnsi="Arial" w:eastAsia="Times New Roman" w:cs="Arial"/>
              </w:rPr>
            </w:pPr>
            <w:r>
              <w:rPr>
                <w:rFonts w:ascii="Arial" w:hAnsi="Arial" w:eastAsia="Times New Roman" w:cs="Arial"/>
              </w:rPr>
              <w:t>Schools and barangays should teach the proper use of herbal plants.</w:t>
            </w:r>
          </w:p>
        </w:tc>
        <w:tc>
          <w:tcPr>
            <w:tcW w:w="840" w:type="dxa"/>
            <w:tcBorders>
              <w:top w:val="nil"/>
              <w:left w:val="nil"/>
              <w:bottom w:val="nil"/>
              <w:right w:val="nil"/>
            </w:tcBorders>
            <w:tcMar>
              <w:top w:w="0" w:type="dxa"/>
              <w:left w:w="0" w:type="dxa"/>
              <w:bottom w:w="0" w:type="dxa"/>
              <w:right w:w="0" w:type="dxa"/>
            </w:tcMar>
          </w:tcPr>
          <w:p w14:paraId="732CF3AB">
            <w:pPr>
              <w:widowControl w:val="0"/>
              <w:ind w:right="-90"/>
              <w:jc w:val="center"/>
              <w:rPr>
                <w:rFonts w:ascii="Arial" w:hAnsi="Arial" w:eastAsia="Times New Roman" w:cs="Arial"/>
              </w:rPr>
            </w:pPr>
            <w:r>
              <w:rPr>
                <w:rFonts w:ascii="Arial" w:hAnsi="Arial" w:eastAsia="Times New Roman" w:cs="Arial"/>
              </w:rPr>
              <w:t>4.54</w:t>
            </w:r>
          </w:p>
        </w:tc>
        <w:tc>
          <w:tcPr>
            <w:tcW w:w="630" w:type="dxa"/>
            <w:tcBorders>
              <w:top w:val="nil"/>
              <w:left w:val="nil"/>
              <w:bottom w:val="nil"/>
              <w:right w:val="nil"/>
            </w:tcBorders>
            <w:tcMar>
              <w:top w:w="0" w:type="dxa"/>
              <w:left w:w="0" w:type="dxa"/>
              <w:bottom w:w="0" w:type="dxa"/>
              <w:right w:w="0" w:type="dxa"/>
            </w:tcMar>
          </w:tcPr>
          <w:p w14:paraId="1E8CE4C7">
            <w:pPr>
              <w:widowControl w:val="0"/>
              <w:ind w:right="-90"/>
              <w:rPr>
                <w:rFonts w:ascii="Arial" w:hAnsi="Arial" w:eastAsia="Times New Roman" w:cs="Arial"/>
              </w:rPr>
            </w:pPr>
            <w:r>
              <w:rPr>
                <w:rFonts w:ascii="Arial" w:hAnsi="Arial" w:eastAsia="Times New Roman" w:cs="Arial"/>
              </w:rPr>
              <w:t>0.56</w:t>
            </w:r>
          </w:p>
        </w:tc>
      </w:tr>
      <w:tr w14:paraId="56250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69D443A1">
            <w:pPr>
              <w:widowControl w:val="0"/>
              <w:ind w:right="-90"/>
              <w:rPr>
                <w:rFonts w:ascii="Arial" w:hAnsi="Arial" w:eastAsia="Times New Roman" w:cs="Arial"/>
              </w:rPr>
            </w:pPr>
            <w:r>
              <w:rPr>
                <w:rFonts w:ascii="Arial" w:hAnsi="Arial" w:eastAsia="Times New Roman" w:cs="Arial"/>
              </w:rPr>
              <w:t>Herbal plants are environmentally friendly sources of treatment.</w:t>
            </w:r>
          </w:p>
        </w:tc>
        <w:tc>
          <w:tcPr>
            <w:tcW w:w="840" w:type="dxa"/>
            <w:tcBorders>
              <w:top w:val="nil"/>
              <w:left w:val="nil"/>
              <w:bottom w:val="nil"/>
              <w:right w:val="nil"/>
            </w:tcBorders>
            <w:tcMar>
              <w:top w:w="0" w:type="dxa"/>
              <w:left w:w="0" w:type="dxa"/>
              <w:bottom w:w="0" w:type="dxa"/>
              <w:right w:w="0" w:type="dxa"/>
            </w:tcMar>
          </w:tcPr>
          <w:p w14:paraId="0F335B39">
            <w:pPr>
              <w:widowControl w:val="0"/>
              <w:ind w:right="-90"/>
              <w:jc w:val="center"/>
              <w:rPr>
                <w:rFonts w:ascii="Arial" w:hAnsi="Arial" w:eastAsia="Times New Roman" w:cs="Arial"/>
              </w:rPr>
            </w:pPr>
            <w:r>
              <w:rPr>
                <w:rFonts w:ascii="Arial" w:hAnsi="Arial" w:eastAsia="Times New Roman" w:cs="Arial"/>
              </w:rPr>
              <w:t>4.51</w:t>
            </w:r>
          </w:p>
        </w:tc>
        <w:tc>
          <w:tcPr>
            <w:tcW w:w="630" w:type="dxa"/>
            <w:tcBorders>
              <w:top w:val="nil"/>
              <w:left w:val="nil"/>
              <w:bottom w:val="nil"/>
              <w:right w:val="nil"/>
            </w:tcBorders>
            <w:tcMar>
              <w:top w:w="0" w:type="dxa"/>
              <w:left w:w="0" w:type="dxa"/>
              <w:bottom w:w="0" w:type="dxa"/>
              <w:right w:w="0" w:type="dxa"/>
            </w:tcMar>
          </w:tcPr>
          <w:p w14:paraId="403F441E">
            <w:pPr>
              <w:widowControl w:val="0"/>
              <w:ind w:right="-90"/>
              <w:rPr>
                <w:rFonts w:ascii="Arial" w:hAnsi="Arial" w:eastAsia="Times New Roman" w:cs="Arial"/>
              </w:rPr>
            </w:pPr>
            <w:r>
              <w:rPr>
                <w:rFonts w:ascii="Arial" w:hAnsi="Arial" w:eastAsia="Times New Roman" w:cs="Arial"/>
              </w:rPr>
              <w:t>0.55</w:t>
            </w:r>
          </w:p>
        </w:tc>
      </w:tr>
      <w:tr w14:paraId="0141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654CCD01">
            <w:pPr>
              <w:widowControl w:val="0"/>
              <w:ind w:right="-90"/>
              <w:rPr>
                <w:rFonts w:ascii="Arial" w:hAnsi="Arial" w:eastAsia="Times New Roman" w:cs="Arial"/>
              </w:rPr>
            </w:pPr>
            <w:r>
              <w:rPr>
                <w:rFonts w:ascii="Arial" w:hAnsi="Arial" w:eastAsia="Times New Roman" w:cs="Arial"/>
              </w:rPr>
              <w:t>DOH-approved herbal plants are safe when prepared properly.</w:t>
            </w:r>
          </w:p>
        </w:tc>
        <w:tc>
          <w:tcPr>
            <w:tcW w:w="840" w:type="dxa"/>
            <w:tcBorders>
              <w:top w:val="nil"/>
              <w:left w:val="nil"/>
              <w:bottom w:val="nil"/>
              <w:right w:val="nil"/>
            </w:tcBorders>
            <w:tcMar>
              <w:top w:w="0" w:type="dxa"/>
              <w:left w:w="0" w:type="dxa"/>
              <w:bottom w:w="0" w:type="dxa"/>
              <w:right w:w="0" w:type="dxa"/>
            </w:tcMar>
          </w:tcPr>
          <w:p w14:paraId="4E618CFC">
            <w:pPr>
              <w:widowControl w:val="0"/>
              <w:ind w:right="-90"/>
              <w:jc w:val="center"/>
              <w:rPr>
                <w:rFonts w:ascii="Arial" w:hAnsi="Arial" w:eastAsia="Times New Roman" w:cs="Arial"/>
              </w:rPr>
            </w:pPr>
            <w:r>
              <w:rPr>
                <w:rFonts w:ascii="Arial" w:hAnsi="Arial" w:eastAsia="Times New Roman" w:cs="Arial"/>
              </w:rPr>
              <w:t>4.50</w:t>
            </w:r>
          </w:p>
        </w:tc>
        <w:tc>
          <w:tcPr>
            <w:tcW w:w="630" w:type="dxa"/>
            <w:tcBorders>
              <w:top w:val="nil"/>
              <w:left w:val="nil"/>
              <w:bottom w:val="nil"/>
              <w:right w:val="nil"/>
            </w:tcBorders>
            <w:tcMar>
              <w:top w:w="0" w:type="dxa"/>
              <w:left w:w="0" w:type="dxa"/>
              <w:bottom w:w="0" w:type="dxa"/>
              <w:right w:w="0" w:type="dxa"/>
            </w:tcMar>
          </w:tcPr>
          <w:p w14:paraId="0F6A6F6C">
            <w:pPr>
              <w:widowControl w:val="0"/>
              <w:ind w:right="-90"/>
              <w:rPr>
                <w:rFonts w:ascii="Arial" w:hAnsi="Arial" w:eastAsia="Times New Roman" w:cs="Arial"/>
              </w:rPr>
            </w:pPr>
            <w:r>
              <w:rPr>
                <w:rFonts w:ascii="Arial" w:hAnsi="Arial" w:eastAsia="Times New Roman" w:cs="Arial"/>
              </w:rPr>
              <w:t>0.58</w:t>
            </w:r>
          </w:p>
        </w:tc>
      </w:tr>
      <w:tr w14:paraId="5CF41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4153EF25">
            <w:pPr>
              <w:widowControl w:val="0"/>
              <w:ind w:right="-90"/>
              <w:rPr>
                <w:rFonts w:ascii="Arial" w:hAnsi="Arial" w:eastAsia="Times New Roman" w:cs="Arial"/>
              </w:rPr>
            </w:pPr>
            <w:r>
              <w:rPr>
                <w:rFonts w:ascii="Arial" w:hAnsi="Arial" w:eastAsia="Times New Roman" w:cs="Arial"/>
              </w:rPr>
              <w:t>Herbal plants are integrated to be included in community health programs.</w:t>
            </w:r>
          </w:p>
        </w:tc>
        <w:tc>
          <w:tcPr>
            <w:tcW w:w="840" w:type="dxa"/>
            <w:tcBorders>
              <w:top w:val="nil"/>
              <w:left w:val="nil"/>
              <w:bottom w:val="nil"/>
              <w:right w:val="nil"/>
            </w:tcBorders>
            <w:tcMar>
              <w:top w:w="0" w:type="dxa"/>
              <w:left w:w="0" w:type="dxa"/>
              <w:bottom w:w="0" w:type="dxa"/>
              <w:right w:w="0" w:type="dxa"/>
            </w:tcMar>
          </w:tcPr>
          <w:p w14:paraId="4C0A4791">
            <w:pPr>
              <w:widowControl w:val="0"/>
              <w:ind w:right="-90"/>
              <w:jc w:val="center"/>
              <w:rPr>
                <w:rFonts w:ascii="Arial" w:hAnsi="Arial" w:eastAsia="Times New Roman" w:cs="Arial"/>
              </w:rPr>
            </w:pPr>
            <w:r>
              <w:rPr>
                <w:rFonts w:ascii="Arial" w:hAnsi="Arial" w:eastAsia="Times New Roman" w:cs="Arial"/>
              </w:rPr>
              <w:t>4.50</w:t>
            </w:r>
          </w:p>
        </w:tc>
        <w:tc>
          <w:tcPr>
            <w:tcW w:w="630" w:type="dxa"/>
            <w:tcBorders>
              <w:top w:val="nil"/>
              <w:left w:val="nil"/>
              <w:bottom w:val="nil"/>
              <w:right w:val="nil"/>
            </w:tcBorders>
            <w:tcMar>
              <w:top w:w="0" w:type="dxa"/>
              <w:left w:w="0" w:type="dxa"/>
              <w:bottom w:w="0" w:type="dxa"/>
              <w:right w:w="0" w:type="dxa"/>
            </w:tcMar>
          </w:tcPr>
          <w:p w14:paraId="416864E9">
            <w:pPr>
              <w:widowControl w:val="0"/>
              <w:ind w:right="-90"/>
              <w:rPr>
                <w:rFonts w:ascii="Arial" w:hAnsi="Arial" w:eastAsia="Times New Roman" w:cs="Arial"/>
              </w:rPr>
            </w:pPr>
            <w:r>
              <w:rPr>
                <w:rFonts w:ascii="Arial" w:hAnsi="Arial" w:eastAsia="Times New Roman" w:cs="Arial"/>
              </w:rPr>
              <w:t>0.58</w:t>
            </w:r>
          </w:p>
        </w:tc>
      </w:tr>
      <w:tr w14:paraId="5D9C2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1A95C7A5">
            <w:pPr>
              <w:widowControl w:val="0"/>
              <w:ind w:right="-90"/>
              <w:rPr>
                <w:rFonts w:ascii="Arial" w:hAnsi="Arial" w:eastAsia="Times New Roman" w:cs="Arial"/>
              </w:rPr>
            </w:pPr>
            <w:r>
              <w:rPr>
                <w:rFonts w:ascii="Arial" w:hAnsi="Arial" w:eastAsia="Times New Roman" w:cs="Arial"/>
              </w:rPr>
              <w:t>Using herbal plants is part of our culture.</w:t>
            </w:r>
          </w:p>
        </w:tc>
        <w:tc>
          <w:tcPr>
            <w:tcW w:w="840" w:type="dxa"/>
            <w:tcBorders>
              <w:top w:val="nil"/>
              <w:left w:val="nil"/>
              <w:bottom w:val="nil"/>
              <w:right w:val="nil"/>
            </w:tcBorders>
            <w:tcMar>
              <w:top w:w="0" w:type="dxa"/>
              <w:left w:w="0" w:type="dxa"/>
              <w:bottom w:w="0" w:type="dxa"/>
              <w:right w:w="0" w:type="dxa"/>
            </w:tcMar>
          </w:tcPr>
          <w:p w14:paraId="7F18C7C6">
            <w:pPr>
              <w:widowControl w:val="0"/>
              <w:ind w:right="-90"/>
              <w:jc w:val="center"/>
              <w:rPr>
                <w:rFonts w:ascii="Arial" w:hAnsi="Arial" w:eastAsia="Times New Roman" w:cs="Arial"/>
              </w:rPr>
            </w:pPr>
            <w:r>
              <w:rPr>
                <w:rFonts w:ascii="Arial" w:hAnsi="Arial" w:eastAsia="Times New Roman" w:cs="Arial"/>
              </w:rPr>
              <w:t>4.49</w:t>
            </w:r>
          </w:p>
        </w:tc>
        <w:tc>
          <w:tcPr>
            <w:tcW w:w="630" w:type="dxa"/>
            <w:tcBorders>
              <w:top w:val="nil"/>
              <w:left w:val="nil"/>
              <w:bottom w:val="nil"/>
              <w:right w:val="nil"/>
            </w:tcBorders>
            <w:tcMar>
              <w:top w:w="0" w:type="dxa"/>
              <w:left w:w="0" w:type="dxa"/>
              <w:bottom w:w="0" w:type="dxa"/>
              <w:right w:w="0" w:type="dxa"/>
            </w:tcMar>
          </w:tcPr>
          <w:p w14:paraId="74B4F807">
            <w:pPr>
              <w:widowControl w:val="0"/>
              <w:ind w:right="-90"/>
              <w:rPr>
                <w:rFonts w:ascii="Arial" w:hAnsi="Arial" w:eastAsia="Times New Roman" w:cs="Arial"/>
              </w:rPr>
            </w:pPr>
            <w:r>
              <w:rPr>
                <w:rFonts w:ascii="Arial" w:hAnsi="Arial" w:eastAsia="Times New Roman" w:cs="Arial"/>
              </w:rPr>
              <w:t>0.55</w:t>
            </w:r>
          </w:p>
        </w:tc>
      </w:tr>
      <w:tr w14:paraId="58360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4A0C8734">
            <w:pPr>
              <w:widowControl w:val="0"/>
              <w:ind w:right="-90"/>
              <w:rPr>
                <w:rFonts w:ascii="Arial" w:hAnsi="Arial" w:eastAsia="Times New Roman" w:cs="Arial"/>
              </w:rPr>
            </w:pPr>
            <w:r>
              <w:rPr>
                <w:rFonts w:ascii="Arial" w:hAnsi="Arial" w:eastAsia="Times New Roman" w:cs="Arial"/>
              </w:rPr>
              <w:t>Herbal plants are integrated to be used carefully to avoid misuse.</w:t>
            </w:r>
          </w:p>
        </w:tc>
        <w:tc>
          <w:tcPr>
            <w:tcW w:w="840" w:type="dxa"/>
            <w:tcBorders>
              <w:top w:val="nil"/>
              <w:left w:val="nil"/>
              <w:bottom w:val="nil"/>
              <w:right w:val="nil"/>
            </w:tcBorders>
            <w:tcMar>
              <w:top w:w="0" w:type="dxa"/>
              <w:left w:w="0" w:type="dxa"/>
              <w:bottom w:w="0" w:type="dxa"/>
              <w:right w:w="0" w:type="dxa"/>
            </w:tcMar>
          </w:tcPr>
          <w:p w14:paraId="5DABAB75">
            <w:pPr>
              <w:widowControl w:val="0"/>
              <w:ind w:right="-90"/>
              <w:jc w:val="center"/>
              <w:rPr>
                <w:rFonts w:ascii="Arial" w:hAnsi="Arial" w:eastAsia="Times New Roman" w:cs="Arial"/>
              </w:rPr>
            </w:pPr>
            <w:r>
              <w:rPr>
                <w:rFonts w:ascii="Arial" w:hAnsi="Arial" w:eastAsia="Times New Roman" w:cs="Arial"/>
              </w:rPr>
              <w:t>4.48</w:t>
            </w:r>
          </w:p>
        </w:tc>
        <w:tc>
          <w:tcPr>
            <w:tcW w:w="630" w:type="dxa"/>
            <w:tcBorders>
              <w:top w:val="nil"/>
              <w:left w:val="nil"/>
              <w:bottom w:val="nil"/>
              <w:right w:val="nil"/>
            </w:tcBorders>
            <w:tcMar>
              <w:top w:w="0" w:type="dxa"/>
              <w:left w:w="0" w:type="dxa"/>
              <w:bottom w:w="0" w:type="dxa"/>
              <w:right w:w="0" w:type="dxa"/>
            </w:tcMar>
          </w:tcPr>
          <w:p w14:paraId="1DDD91FB">
            <w:pPr>
              <w:widowControl w:val="0"/>
              <w:ind w:right="-90"/>
              <w:rPr>
                <w:rFonts w:ascii="Arial" w:hAnsi="Arial" w:eastAsia="Times New Roman" w:cs="Arial"/>
              </w:rPr>
            </w:pPr>
            <w:r>
              <w:rPr>
                <w:rFonts w:ascii="Arial" w:hAnsi="Arial" w:eastAsia="Times New Roman" w:cs="Arial"/>
              </w:rPr>
              <w:t>0.59</w:t>
            </w:r>
          </w:p>
        </w:tc>
      </w:tr>
      <w:tr w14:paraId="38E75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2AF4E6B2">
            <w:pPr>
              <w:widowControl w:val="0"/>
              <w:ind w:right="-90"/>
              <w:rPr>
                <w:rFonts w:ascii="Arial" w:hAnsi="Arial" w:eastAsia="Times New Roman" w:cs="Arial"/>
              </w:rPr>
            </w:pPr>
            <w:r>
              <w:rPr>
                <w:rFonts w:ascii="Arial" w:hAnsi="Arial" w:eastAsia="Times New Roman" w:cs="Arial"/>
              </w:rPr>
              <w:t>DOH-approved herbal plants are safe to use as a complementary medicine to synthetic medicines.</w:t>
            </w:r>
          </w:p>
        </w:tc>
        <w:tc>
          <w:tcPr>
            <w:tcW w:w="840" w:type="dxa"/>
            <w:tcBorders>
              <w:top w:val="nil"/>
              <w:left w:val="nil"/>
              <w:bottom w:val="nil"/>
              <w:right w:val="nil"/>
            </w:tcBorders>
            <w:tcMar>
              <w:top w:w="0" w:type="dxa"/>
              <w:left w:w="0" w:type="dxa"/>
              <w:bottom w:w="0" w:type="dxa"/>
              <w:right w:w="0" w:type="dxa"/>
            </w:tcMar>
          </w:tcPr>
          <w:p w14:paraId="10430F56">
            <w:pPr>
              <w:widowControl w:val="0"/>
              <w:ind w:right="-90"/>
              <w:jc w:val="center"/>
              <w:rPr>
                <w:rFonts w:ascii="Arial" w:hAnsi="Arial" w:eastAsia="Times New Roman" w:cs="Arial"/>
              </w:rPr>
            </w:pPr>
            <w:r>
              <w:rPr>
                <w:rFonts w:ascii="Arial" w:hAnsi="Arial" w:eastAsia="Times New Roman" w:cs="Arial"/>
              </w:rPr>
              <w:t>4.46</w:t>
            </w:r>
          </w:p>
        </w:tc>
        <w:tc>
          <w:tcPr>
            <w:tcW w:w="630" w:type="dxa"/>
            <w:tcBorders>
              <w:top w:val="nil"/>
              <w:left w:val="nil"/>
              <w:bottom w:val="nil"/>
              <w:right w:val="nil"/>
            </w:tcBorders>
            <w:tcMar>
              <w:top w:w="0" w:type="dxa"/>
              <w:left w:w="0" w:type="dxa"/>
              <w:bottom w:w="0" w:type="dxa"/>
              <w:right w:w="0" w:type="dxa"/>
            </w:tcMar>
          </w:tcPr>
          <w:p w14:paraId="77B01375">
            <w:pPr>
              <w:widowControl w:val="0"/>
              <w:ind w:right="-90"/>
              <w:rPr>
                <w:rFonts w:ascii="Arial" w:hAnsi="Arial" w:eastAsia="Times New Roman" w:cs="Arial"/>
              </w:rPr>
            </w:pPr>
            <w:r>
              <w:rPr>
                <w:rFonts w:ascii="Arial" w:hAnsi="Arial" w:eastAsia="Times New Roman" w:cs="Arial"/>
              </w:rPr>
              <w:t>0.53</w:t>
            </w:r>
          </w:p>
        </w:tc>
      </w:tr>
      <w:tr w14:paraId="09760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1E42CC22">
            <w:pPr>
              <w:widowControl w:val="0"/>
              <w:ind w:right="-90"/>
              <w:rPr>
                <w:rFonts w:ascii="Arial" w:hAnsi="Arial" w:eastAsia="Times New Roman" w:cs="Arial"/>
              </w:rPr>
            </w:pPr>
            <w:r>
              <w:rPr>
                <w:rFonts w:ascii="Arial" w:hAnsi="Arial" w:eastAsia="Times New Roman" w:cs="Arial"/>
              </w:rPr>
              <w:t>DOH-approved herbal plants are reliable because they are tested and proven safe.</w:t>
            </w:r>
          </w:p>
        </w:tc>
        <w:tc>
          <w:tcPr>
            <w:tcW w:w="840" w:type="dxa"/>
            <w:tcBorders>
              <w:top w:val="nil"/>
              <w:left w:val="nil"/>
              <w:bottom w:val="nil"/>
              <w:right w:val="nil"/>
            </w:tcBorders>
            <w:tcMar>
              <w:top w:w="0" w:type="dxa"/>
              <w:left w:w="0" w:type="dxa"/>
              <w:bottom w:w="0" w:type="dxa"/>
              <w:right w:w="0" w:type="dxa"/>
            </w:tcMar>
          </w:tcPr>
          <w:p w14:paraId="039DE68F">
            <w:pPr>
              <w:widowControl w:val="0"/>
              <w:ind w:right="-90"/>
              <w:jc w:val="center"/>
              <w:rPr>
                <w:rFonts w:ascii="Arial" w:hAnsi="Arial" w:eastAsia="Times New Roman" w:cs="Arial"/>
              </w:rPr>
            </w:pPr>
            <w:r>
              <w:rPr>
                <w:rFonts w:ascii="Arial" w:hAnsi="Arial" w:eastAsia="Times New Roman" w:cs="Arial"/>
              </w:rPr>
              <w:t>4.46</w:t>
            </w:r>
          </w:p>
        </w:tc>
        <w:tc>
          <w:tcPr>
            <w:tcW w:w="630" w:type="dxa"/>
            <w:tcBorders>
              <w:top w:val="nil"/>
              <w:left w:val="nil"/>
              <w:bottom w:val="nil"/>
              <w:right w:val="nil"/>
            </w:tcBorders>
            <w:tcMar>
              <w:top w:w="0" w:type="dxa"/>
              <w:left w:w="0" w:type="dxa"/>
              <w:bottom w:w="0" w:type="dxa"/>
              <w:right w:w="0" w:type="dxa"/>
            </w:tcMar>
          </w:tcPr>
          <w:p w14:paraId="5BA2A3E2">
            <w:pPr>
              <w:widowControl w:val="0"/>
              <w:ind w:right="-90"/>
              <w:rPr>
                <w:rFonts w:ascii="Arial" w:hAnsi="Arial" w:eastAsia="Times New Roman" w:cs="Arial"/>
              </w:rPr>
            </w:pPr>
            <w:r>
              <w:rPr>
                <w:rFonts w:ascii="Arial" w:hAnsi="Arial" w:eastAsia="Times New Roman" w:cs="Arial"/>
              </w:rPr>
              <w:t>0.58</w:t>
            </w:r>
          </w:p>
        </w:tc>
      </w:tr>
      <w:tr w14:paraId="075E2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95" w:hRule="atLeast"/>
        </w:trPr>
        <w:tc>
          <w:tcPr>
            <w:tcW w:w="7035" w:type="dxa"/>
            <w:tcBorders>
              <w:top w:val="nil"/>
              <w:left w:val="nil"/>
              <w:bottom w:val="nil"/>
              <w:right w:val="nil"/>
            </w:tcBorders>
            <w:tcMar>
              <w:top w:w="0" w:type="dxa"/>
              <w:left w:w="0" w:type="dxa"/>
              <w:bottom w:w="0" w:type="dxa"/>
              <w:right w:w="0" w:type="dxa"/>
            </w:tcMar>
          </w:tcPr>
          <w:p w14:paraId="110B0F4C">
            <w:pPr>
              <w:widowControl w:val="0"/>
              <w:ind w:right="-90"/>
              <w:rPr>
                <w:rFonts w:ascii="Arial" w:hAnsi="Arial" w:eastAsia="Times New Roman" w:cs="Arial"/>
              </w:rPr>
            </w:pPr>
            <w:r>
              <w:rPr>
                <w:rFonts w:ascii="Arial" w:hAnsi="Arial" w:eastAsia="Times New Roman" w:cs="Arial"/>
              </w:rPr>
              <w:t>Herbal plants should be tried before taking synthetic drugs as a complement.</w:t>
            </w:r>
          </w:p>
        </w:tc>
        <w:tc>
          <w:tcPr>
            <w:tcW w:w="840" w:type="dxa"/>
            <w:tcBorders>
              <w:top w:val="nil"/>
              <w:left w:val="nil"/>
              <w:bottom w:val="nil"/>
              <w:right w:val="nil"/>
            </w:tcBorders>
            <w:tcMar>
              <w:top w:w="0" w:type="dxa"/>
              <w:left w:w="0" w:type="dxa"/>
              <w:bottom w:w="0" w:type="dxa"/>
              <w:right w:w="0" w:type="dxa"/>
            </w:tcMar>
          </w:tcPr>
          <w:p w14:paraId="70569180">
            <w:pPr>
              <w:widowControl w:val="0"/>
              <w:ind w:right="-90"/>
              <w:jc w:val="center"/>
              <w:rPr>
                <w:rFonts w:ascii="Arial" w:hAnsi="Arial" w:eastAsia="Times New Roman" w:cs="Arial"/>
              </w:rPr>
            </w:pPr>
            <w:r>
              <w:rPr>
                <w:rFonts w:ascii="Arial" w:hAnsi="Arial" w:eastAsia="Times New Roman" w:cs="Arial"/>
              </w:rPr>
              <w:t>4.45</w:t>
            </w:r>
          </w:p>
        </w:tc>
        <w:tc>
          <w:tcPr>
            <w:tcW w:w="630" w:type="dxa"/>
            <w:tcBorders>
              <w:top w:val="nil"/>
              <w:left w:val="nil"/>
              <w:bottom w:val="nil"/>
              <w:right w:val="nil"/>
            </w:tcBorders>
            <w:tcMar>
              <w:top w:w="0" w:type="dxa"/>
              <w:left w:w="0" w:type="dxa"/>
              <w:bottom w:w="0" w:type="dxa"/>
              <w:right w:w="0" w:type="dxa"/>
            </w:tcMar>
          </w:tcPr>
          <w:p w14:paraId="4418D2DC">
            <w:pPr>
              <w:widowControl w:val="0"/>
              <w:ind w:right="-90"/>
              <w:rPr>
                <w:rFonts w:ascii="Arial" w:hAnsi="Arial" w:eastAsia="Times New Roman" w:cs="Arial"/>
              </w:rPr>
            </w:pPr>
            <w:r>
              <w:rPr>
                <w:rFonts w:ascii="Arial" w:hAnsi="Arial" w:eastAsia="Times New Roman" w:cs="Arial"/>
              </w:rPr>
              <w:t>0.60</w:t>
            </w:r>
          </w:p>
        </w:tc>
      </w:tr>
      <w:tr w14:paraId="598D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426701F9">
            <w:pPr>
              <w:widowControl w:val="0"/>
              <w:ind w:right="-90"/>
              <w:rPr>
                <w:rFonts w:ascii="Arial" w:hAnsi="Arial" w:eastAsia="Times New Roman" w:cs="Arial"/>
              </w:rPr>
            </w:pPr>
            <w:r>
              <w:rPr>
                <w:rFonts w:ascii="Arial" w:hAnsi="Arial" w:eastAsia="Times New Roman" w:cs="Arial"/>
              </w:rPr>
              <w:t>Families are encouraged to grow DOH-approved herbal plants at home.</w:t>
            </w:r>
          </w:p>
        </w:tc>
        <w:tc>
          <w:tcPr>
            <w:tcW w:w="840" w:type="dxa"/>
            <w:tcBorders>
              <w:top w:val="nil"/>
              <w:left w:val="nil"/>
              <w:bottom w:val="nil"/>
              <w:right w:val="nil"/>
            </w:tcBorders>
            <w:tcMar>
              <w:top w:w="0" w:type="dxa"/>
              <w:left w:w="0" w:type="dxa"/>
              <w:bottom w:w="0" w:type="dxa"/>
              <w:right w:w="0" w:type="dxa"/>
            </w:tcMar>
          </w:tcPr>
          <w:p w14:paraId="04C39815">
            <w:pPr>
              <w:widowControl w:val="0"/>
              <w:ind w:right="-90"/>
              <w:jc w:val="center"/>
              <w:rPr>
                <w:rFonts w:ascii="Arial" w:hAnsi="Arial" w:eastAsia="Times New Roman" w:cs="Arial"/>
              </w:rPr>
            </w:pPr>
            <w:r>
              <w:rPr>
                <w:rFonts w:ascii="Arial" w:hAnsi="Arial" w:eastAsia="Times New Roman" w:cs="Arial"/>
              </w:rPr>
              <w:t>4.45</w:t>
            </w:r>
          </w:p>
        </w:tc>
        <w:tc>
          <w:tcPr>
            <w:tcW w:w="630" w:type="dxa"/>
            <w:tcBorders>
              <w:top w:val="nil"/>
              <w:left w:val="nil"/>
              <w:bottom w:val="nil"/>
              <w:right w:val="nil"/>
            </w:tcBorders>
            <w:tcMar>
              <w:top w:w="0" w:type="dxa"/>
              <w:left w:w="0" w:type="dxa"/>
              <w:bottom w:w="0" w:type="dxa"/>
              <w:right w:w="0" w:type="dxa"/>
            </w:tcMar>
          </w:tcPr>
          <w:p w14:paraId="5EAE2350">
            <w:pPr>
              <w:widowControl w:val="0"/>
              <w:ind w:right="-90"/>
              <w:rPr>
                <w:rFonts w:ascii="Arial" w:hAnsi="Arial" w:eastAsia="Times New Roman" w:cs="Arial"/>
              </w:rPr>
            </w:pPr>
            <w:r>
              <w:rPr>
                <w:rFonts w:ascii="Arial" w:hAnsi="Arial" w:eastAsia="Times New Roman" w:cs="Arial"/>
              </w:rPr>
              <w:t>0.59</w:t>
            </w:r>
          </w:p>
        </w:tc>
      </w:tr>
      <w:tr w14:paraId="0D7D2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261C6D82">
            <w:pPr>
              <w:widowControl w:val="0"/>
              <w:ind w:right="-90"/>
              <w:rPr>
                <w:rFonts w:ascii="Arial" w:hAnsi="Arial" w:eastAsia="Times New Roman" w:cs="Arial"/>
              </w:rPr>
            </w:pPr>
            <w:r>
              <w:rPr>
                <w:rFonts w:ascii="Arial" w:hAnsi="Arial" w:eastAsia="Times New Roman" w:cs="Arial"/>
              </w:rPr>
              <w:t>Using herbal plants as complementary medicine helps lower healthcare costs.</w:t>
            </w:r>
          </w:p>
        </w:tc>
        <w:tc>
          <w:tcPr>
            <w:tcW w:w="840" w:type="dxa"/>
            <w:tcBorders>
              <w:top w:val="nil"/>
              <w:left w:val="nil"/>
              <w:bottom w:val="nil"/>
              <w:right w:val="nil"/>
            </w:tcBorders>
            <w:tcMar>
              <w:top w:w="0" w:type="dxa"/>
              <w:left w:w="0" w:type="dxa"/>
              <w:bottom w:w="0" w:type="dxa"/>
              <w:right w:w="0" w:type="dxa"/>
            </w:tcMar>
          </w:tcPr>
          <w:p w14:paraId="2BA1CA67">
            <w:pPr>
              <w:widowControl w:val="0"/>
              <w:ind w:right="-90"/>
              <w:jc w:val="center"/>
              <w:rPr>
                <w:rFonts w:ascii="Arial" w:hAnsi="Arial" w:eastAsia="Times New Roman" w:cs="Arial"/>
              </w:rPr>
            </w:pPr>
            <w:r>
              <w:rPr>
                <w:rFonts w:ascii="Arial" w:hAnsi="Arial" w:eastAsia="Times New Roman" w:cs="Arial"/>
              </w:rPr>
              <w:t>4.38</w:t>
            </w:r>
          </w:p>
        </w:tc>
        <w:tc>
          <w:tcPr>
            <w:tcW w:w="630" w:type="dxa"/>
            <w:tcBorders>
              <w:top w:val="nil"/>
              <w:left w:val="nil"/>
              <w:bottom w:val="nil"/>
              <w:right w:val="nil"/>
            </w:tcBorders>
            <w:tcMar>
              <w:top w:w="0" w:type="dxa"/>
              <w:left w:w="0" w:type="dxa"/>
              <w:bottom w:w="0" w:type="dxa"/>
              <w:right w:w="0" w:type="dxa"/>
            </w:tcMar>
          </w:tcPr>
          <w:p w14:paraId="78DE9167">
            <w:pPr>
              <w:widowControl w:val="0"/>
              <w:ind w:right="-90"/>
              <w:rPr>
                <w:rFonts w:ascii="Arial" w:hAnsi="Arial" w:eastAsia="Times New Roman" w:cs="Arial"/>
              </w:rPr>
            </w:pPr>
            <w:r>
              <w:rPr>
                <w:rFonts w:ascii="Arial" w:hAnsi="Arial" w:eastAsia="Times New Roman" w:cs="Arial"/>
              </w:rPr>
              <w:t>0.62</w:t>
            </w:r>
          </w:p>
        </w:tc>
      </w:tr>
      <w:tr w14:paraId="639D1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1472097E">
            <w:pPr>
              <w:widowControl w:val="0"/>
              <w:ind w:right="-90"/>
              <w:rPr>
                <w:rFonts w:ascii="Arial" w:hAnsi="Arial" w:eastAsia="Times New Roman" w:cs="Arial"/>
              </w:rPr>
            </w:pPr>
            <w:r>
              <w:rPr>
                <w:rFonts w:ascii="Arial" w:hAnsi="Arial" w:eastAsia="Times New Roman" w:cs="Arial"/>
              </w:rPr>
              <w:t>Herbal plants can be as scientifically supported as complementary medicines to modern medicines.</w:t>
            </w:r>
          </w:p>
        </w:tc>
        <w:tc>
          <w:tcPr>
            <w:tcW w:w="840" w:type="dxa"/>
            <w:tcBorders>
              <w:top w:val="nil"/>
              <w:left w:val="nil"/>
              <w:bottom w:val="nil"/>
              <w:right w:val="nil"/>
            </w:tcBorders>
            <w:tcMar>
              <w:top w:w="0" w:type="dxa"/>
              <w:left w:w="0" w:type="dxa"/>
              <w:bottom w:w="0" w:type="dxa"/>
              <w:right w:w="0" w:type="dxa"/>
            </w:tcMar>
          </w:tcPr>
          <w:p w14:paraId="75E2EDCD">
            <w:pPr>
              <w:widowControl w:val="0"/>
              <w:ind w:right="-90"/>
              <w:jc w:val="center"/>
              <w:rPr>
                <w:rFonts w:ascii="Arial" w:hAnsi="Arial" w:eastAsia="Times New Roman" w:cs="Arial"/>
              </w:rPr>
            </w:pPr>
            <w:r>
              <w:rPr>
                <w:rFonts w:ascii="Arial" w:hAnsi="Arial" w:eastAsia="Times New Roman" w:cs="Arial"/>
              </w:rPr>
              <w:t>4.37</w:t>
            </w:r>
          </w:p>
        </w:tc>
        <w:tc>
          <w:tcPr>
            <w:tcW w:w="630" w:type="dxa"/>
            <w:tcBorders>
              <w:top w:val="nil"/>
              <w:left w:val="nil"/>
              <w:bottom w:val="nil"/>
              <w:right w:val="nil"/>
            </w:tcBorders>
            <w:tcMar>
              <w:top w:w="0" w:type="dxa"/>
              <w:left w:w="0" w:type="dxa"/>
              <w:bottom w:w="0" w:type="dxa"/>
              <w:right w:w="0" w:type="dxa"/>
            </w:tcMar>
          </w:tcPr>
          <w:p w14:paraId="1DC9D92C">
            <w:pPr>
              <w:widowControl w:val="0"/>
              <w:ind w:right="-90"/>
              <w:rPr>
                <w:rFonts w:ascii="Arial" w:hAnsi="Arial" w:eastAsia="Times New Roman" w:cs="Arial"/>
              </w:rPr>
            </w:pPr>
            <w:r>
              <w:rPr>
                <w:rFonts w:ascii="Arial" w:hAnsi="Arial" w:eastAsia="Times New Roman" w:cs="Arial"/>
              </w:rPr>
              <w:t>0.69</w:t>
            </w:r>
          </w:p>
        </w:tc>
      </w:tr>
      <w:tr w14:paraId="66571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14" w:hRule="atLeast"/>
        </w:trPr>
        <w:tc>
          <w:tcPr>
            <w:tcW w:w="7035" w:type="dxa"/>
            <w:tcBorders>
              <w:top w:val="nil"/>
              <w:left w:val="nil"/>
              <w:bottom w:val="nil"/>
              <w:right w:val="nil"/>
            </w:tcBorders>
            <w:tcMar>
              <w:top w:w="0" w:type="dxa"/>
              <w:left w:w="0" w:type="dxa"/>
              <w:bottom w:w="0" w:type="dxa"/>
              <w:right w:w="0" w:type="dxa"/>
            </w:tcMar>
          </w:tcPr>
          <w:p w14:paraId="1DAE23A5">
            <w:pPr>
              <w:widowControl w:val="0"/>
              <w:ind w:right="-90"/>
              <w:rPr>
                <w:rFonts w:ascii="Arial" w:hAnsi="Arial" w:eastAsia="Times New Roman" w:cs="Arial"/>
              </w:rPr>
            </w:pPr>
            <w:r>
              <w:rPr>
                <w:rFonts w:ascii="Arial" w:hAnsi="Arial" w:eastAsia="Times New Roman" w:cs="Arial"/>
              </w:rPr>
              <w:t>Herbal plants can give fast relief the same as store-bought medicines.</w:t>
            </w:r>
          </w:p>
        </w:tc>
        <w:tc>
          <w:tcPr>
            <w:tcW w:w="840" w:type="dxa"/>
            <w:tcBorders>
              <w:top w:val="nil"/>
              <w:left w:val="nil"/>
              <w:bottom w:val="nil"/>
              <w:right w:val="nil"/>
            </w:tcBorders>
            <w:tcMar>
              <w:top w:w="0" w:type="dxa"/>
              <w:left w:w="0" w:type="dxa"/>
              <w:bottom w:w="0" w:type="dxa"/>
              <w:right w:w="0" w:type="dxa"/>
            </w:tcMar>
          </w:tcPr>
          <w:p w14:paraId="3C9A3A26">
            <w:pPr>
              <w:widowControl w:val="0"/>
              <w:ind w:right="-90"/>
              <w:jc w:val="center"/>
              <w:rPr>
                <w:rFonts w:ascii="Arial" w:hAnsi="Arial" w:eastAsia="Times New Roman" w:cs="Arial"/>
              </w:rPr>
            </w:pPr>
            <w:r>
              <w:rPr>
                <w:rFonts w:ascii="Arial" w:hAnsi="Arial" w:eastAsia="Times New Roman" w:cs="Arial"/>
              </w:rPr>
              <w:t>4.36</w:t>
            </w:r>
          </w:p>
        </w:tc>
        <w:tc>
          <w:tcPr>
            <w:tcW w:w="630" w:type="dxa"/>
            <w:tcBorders>
              <w:top w:val="nil"/>
              <w:left w:val="nil"/>
              <w:bottom w:val="nil"/>
              <w:right w:val="nil"/>
            </w:tcBorders>
            <w:tcMar>
              <w:top w:w="0" w:type="dxa"/>
              <w:left w:w="0" w:type="dxa"/>
              <w:bottom w:w="0" w:type="dxa"/>
              <w:right w:w="0" w:type="dxa"/>
            </w:tcMar>
          </w:tcPr>
          <w:p w14:paraId="03B5890B">
            <w:pPr>
              <w:widowControl w:val="0"/>
              <w:ind w:right="-90"/>
              <w:rPr>
                <w:rFonts w:ascii="Arial" w:hAnsi="Arial" w:eastAsia="Times New Roman" w:cs="Arial"/>
              </w:rPr>
            </w:pPr>
            <w:r>
              <w:rPr>
                <w:rFonts w:ascii="Arial" w:hAnsi="Arial" w:eastAsia="Times New Roman" w:cs="Arial"/>
              </w:rPr>
              <w:t>0.62</w:t>
            </w:r>
          </w:p>
        </w:tc>
      </w:tr>
      <w:tr w14:paraId="7190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3647647E">
            <w:pPr>
              <w:widowControl w:val="0"/>
              <w:ind w:right="-90"/>
              <w:rPr>
                <w:rFonts w:ascii="Arial" w:hAnsi="Arial" w:eastAsia="Times New Roman" w:cs="Arial"/>
              </w:rPr>
            </w:pPr>
            <w:r>
              <w:rPr>
                <w:rFonts w:ascii="Arial" w:hAnsi="Arial" w:eastAsia="Times New Roman" w:cs="Arial"/>
              </w:rPr>
              <w:t>Herbal plants are safe across age groups when used correctly, following required doses and procedures.</w:t>
            </w:r>
          </w:p>
        </w:tc>
        <w:tc>
          <w:tcPr>
            <w:tcW w:w="840" w:type="dxa"/>
            <w:tcBorders>
              <w:top w:val="nil"/>
              <w:left w:val="nil"/>
              <w:bottom w:val="nil"/>
              <w:right w:val="nil"/>
            </w:tcBorders>
            <w:tcMar>
              <w:top w:w="0" w:type="dxa"/>
              <w:left w:w="0" w:type="dxa"/>
              <w:bottom w:w="0" w:type="dxa"/>
              <w:right w:w="0" w:type="dxa"/>
            </w:tcMar>
          </w:tcPr>
          <w:p w14:paraId="6BE7100F">
            <w:pPr>
              <w:widowControl w:val="0"/>
              <w:ind w:right="-90"/>
              <w:jc w:val="center"/>
              <w:rPr>
                <w:rFonts w:ascii="Arial" w:hAnsi="Arial" w:eastAsia="Times New Roman" w:cs="Arial"/>
              </w:rPr>
            </w:pPr>
            <w:r>
              <w:rPr>
                <w:rFonts w:ascii="Arial" w:hAnsi="Arial" w:eastAsia="Times New Roman" w:cs="Arial"/>
              </w:rPr>
              <w:t>4.33</w:t>
            </w:r>
          </w:p>
        </w:tc>
        <w:tc>
          <w:tcPr>
            <w:tcW w:w="630" w:type="dxa"/>
            <w:tcBorders>
              <w:top w:val="nil"/>
              <w:left w:val="nil"/>
              <w:bottom w:val="nil"/>
              <w:right w:val="nil"/>
            </w:tcBorders>
            <w:tcMar>
              <w:top w:w="0" w:type="dxa"/>
              <w:left w:w="0" w:type="dxa"/>
              <w:bottom w:w="0" w:type="dxa"/>
              <w:right w:w="0" w:type="dxa"/>
            </w:tcMar>
          </w:tcPr>
          <w:p w14:paraId="1A600AEF">
            <w:pPr>
              <w:widowControl w:val="0"/>
              <w:ind w:right="-90"/>
              <w:rPr>
                <w:rFonts w:ascii="Arial" w:hAnsi="Arial" w:eastAsia="Times New Roman" w:cs="Arial"/>
              </w:rPr>
            </w:pPr>
            <w:r>
              <w:rPr>
                <w:rFonts w:ascii="Arial" w:hAnsi="Arial" w:eastAsia="Times New Roman" w:cs="Arial"/>
              </w:rPr>
              <w:t>0.69</w:t>
            </w:r>
          </w:p>
        </w:tc>
      </w:tr>
      <w:tr w14:paraId="69AD7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441412E2">
            <w:pPr>
              <w:widowControl w:val="0"/>
              <w:ind w:right="-90"/>
              <w:rPr>
                <w:rFonts w:ascii="Arial" w:hAnsi="Arial" w:eastAsia="Times New Roman" w:cs="Arial"/>
              </w:rPr>
            </w:pPr>
            <w:r>
              <w:rPr>
                <w:rFonts w:ascii="Arial" w:hAnsi="Arial" w:eastAsia="Times New Roman" w:cs="Arial"/>
              </w:rPr>
              <w:t>Families are encouraged to know how to prepare remedies using herbal plants.</w:t>
            </w:r>
          </w:p>
        </w:tc>
        <w:tc>
          <w:tcPr>
            <w:tcW w:w="840" w:type="dxa"/>
            <w:tcBorders>
              <w:top w:val="nil"/>
              <w:left w:val="nil"/>
              <w:bottom w:val="nil"/>
              <w:right w:val="nil"/>
            </w:tcBorders>
            <w:tcMar>
              <w:top w:w="0" w:type="dxa"/>
              <w:left w:w="0" w:type="dxa"/>
              <w:bottom w:w="0" w:type="dxa"/>
              <w:right w:w="0" w:type="dxa"/>
            </w:tcMar>
          </w:tcPr>
          <w:p w14:paraId="5125453D">
            <w:pPr>
              <w:widowControl w:val="0"/>
              <w:ind w:right="-90"/>
              <w:jc w:val="center"/>
              <w:rPr>
                <w:rFonts w:ascii="Arial" w:hAnsi="Arial" w:eastAsia="Times New Roman" w:cs="Arial"/>
              </w:rPr>
            </w:pPr>
            <w:r>
              <w:rPr>
                <w:rFonts w:ascii="Arial" w:hAnsi="Arial" w:eastAsia="Times New Roman" w:cs="Arial"/>
              </w:rPr>
              <w:t>4.32</w:t>
            </w:r>
          </w:p>
        </w:tc>
        <w:tc>
          <w:tcPr>
            <w:tcW w:w="630" w:type="dxa"/>
            <w:tcBorders>
              <w:top w:val="nil"/>
              <w:left w:val="nil"/>
              <w:bottom w:val="nil"/>
              <w:right w:val="nil"/>
            </w:tcBorders>
            <w:tcMar>
              <w:top w:w="0" w:type="dxa"/>
              <w:left w:w="0" w:type="dxa"/>
              <w:bottom w:w="0" w:type="dxa"/>
              <w:right w:w="0" w:type="dxa"/>
            </w:tcMar>
          </w:tcPr>
          <w:p w14:paraId="1DDE0689">
            <w:pPr>
              <w:widowControl w:val="0"/>
              <w:ind w:right="-90"/>
              <w:rPr>
                <w:rFonts w:ascii="Arial" w:hAnsi="Arial" w:eastAsia="Times New Roman" w:cs="Arial"/>
              </w:rPr>
            </w:pPr>
            <w:r>
              <w:rPr>
                <w:rFonts w:ascii="Arial" w:hAnsi="Arial" w:eastAsia="Times New Roman" w:cs="Arial"/>
              </w:rPr>
              <w:t>0.66</w:t>
            </w:r>
          </w:p>
        </w:tc>
      </w:tr>
      <w:tr w14:paraId="53D04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nil"/>
              <w:right w:val="nil"/>
            </w:tcBorders>
            <w:tcMar>
              <w:top w:w="0" w:type="dxa"/>
              <w:left w:w="0" w:type="dxa"/>
              <w:bottom w:w="0" w:type="dxa"/>
              <w:right w:w="0" w:type="dxa"/>
            </w:tcMar>
          </w:tcPr>
          <w:p w14:paraId="3E2C963B">
            <w:pPr>
              <w:widowControl w:val="0"/>
              <w:ind w:right="-90"/>
              <w:rPr>
                <w:rFonts w:ascii="Arial" w:hAnsi="Arial" w:eastAsia="Times New Roman" w:cs="Arial"/>
              </w:rPr>
            </w:pPr>
            <w:r>
              <w:rPr>
                <w:rFonts w:ascii="Arial" w:hAnsi="Arial" w:eastAsia="Times New Roman" w:cs="Arial"/>
              </w:rPr>
              <w:t>I am comfortable recommending herbal plants to family members.</w:t>
            </w:r>
          </w:p>
        </w:tc>
        <w:tc>
          <w:tcPr>
            <w:tcW w:w="840" w:type="dxa"/>
            <w:tcBorders>
              <w:top w:val="nil"/>
              <w:left w:val="nil"/>
              <w:bottom w:val="nil"/>
              <w:right w:val="nil"/>
            </w:tcBorders>
            <w:tcMar>
              <w:top w:w="0" w:type="dxa"/>
              <w:left w:w="0" w:type="dxa"/>
              <w:bottom w:w="0" w:type="dxa"/>
              <w:right w:w="0" w:type="dxa"/>
            </w:tcMar>
          </w:tcPr>
          <w:p w14:paraId="4F8C1FB0">
            <w:pPr>
              <w:widowControl w:val="0"/>
              <w:ind w:right="-90"/>
              <w:jc w:val="center"/>
              <w:rPr>
                <w:rFonts w:ascii="Arial" w:hAnsi="Arial" w:eastAsia="Times New Roman" w:cs="Arial"/>
              </w:rPr>
            </w:pPr>
            <w:r>
              <w:rPr>
                <w:rFonts w:ascii="Arial" w:hAnsi="Arial" w:eastAsia="Times New Roman" w:cs="Arial"/>
              </w:rPr>
              <w:t>4.29</w:t>
            </w:r>
          </w:p>
        </w:tc>
        <w:tc>
          <w:tcPr>
            <w:tcW w:w="630" w:type="dxa"/>
            <w:tcBorders>
              <w:top w:val="nil"/>
              <w:left w:val="nil"/>
              <w:bottom w:val="nil"/>
              <w:right w:val="nil"/>
            </w:tcBorders>
            <w:tcMar>
              <w:top w:w="0" w:type="dxa"/>
              <w:left w:w="0" w:type="dxa"/>
              <w:bottom w:w="0" w:type="dxa"/>
              <w:right w:w="0" w:type="dxa"/>
            </w:tcMar>
          </w:tcPr>
          <w:p w14:paraId="4DA87D00">
            <w:pPr>
              <w:widowControl w:val="0"/>
              <w:ind w:right="-90"/>
              <w:rPr>
                <w:rFonts w:ascii="Arial" w:hAnsi="Arial" w:eastAsia="Times New Roman" w:cs="Arial"/>
              </w:rPr>
            </w:pPr>
            <w:r>
              <w:rPr>
                <w:rFonts w:ascii="Arial" w:hAnsi="Arial" w:eastAsia="Times New Roman" w:cs="Arial"/>
              </w:rPr>
              <w:t>0.73</w:t>
            </w:r>
          </w:p>
        </w:tc>
      </w:tr>
      <w:tr w14:paraId="2D714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single" w:color="000000" w:sz="4" w:space="0"/>
              <w:right w:val="nil"/>
            </w:tcBorders>
            <w:tcMar>
              <w:top w:w="0" w:type="dxa"/>
              <w:left w:w="0" w:type="dxa"/>
              <w:bottom w:w="0" w:type="dxa"/>
              <w:right w:w="0" w:type="dxa"/>
            </w:tcMar>
          </w:tcPr>
          <w:p w14:paraId="7989ADCA">
            <w:pPr>
              <w:widowControl w:val="0"/>
              <w:ind w:right="-90"/>
              <w:rPr>
                <w:rFonts w:ascii="Arial" w:hAnsi="Arial" w:eastAsia="Times New Roman" w:cs="Arial"/>
              </w:rPr>
            </w:pPr>
            <w:r>
              <w:rPr>
                <w:rFonts w:ascii="Arial" w:hAnsi="Arial" w:eastAsia="Times New Roman" w:cs="Arial"/>
              </w:rPr>
              <w:t>Herbal plants are cheap and easy to find.</w:t>
            </w:r>
          </w:p>
        </w:tc>
        <w:tc>
          <w:tcPr>
            <w:tcW w:w="840" w:type="dxa"/>
            <w:tcBorders>
              <w:top w:val="nil"/>
              <w:left w:val="nil"/>
              <w:bottom w:val="single" w:color="000000" w:sz="4" w:space="0"/>
              <w:right w:val="nil"/>
            </w:tcBorders>
            <w:tcMar>
              <w:top w:w="0" w:type="dxa"/>
              <w:left w:w="0" w:type="dxa"/>
              <w:bottom w:w="0" w:type="dxa"/>
              <w:right w:w="0" w:type="dxa"/>
            </w:tcMar>
          </w:tcPr>
          <w:p w14:paraId="31DD1419">
            <w:pPr>
              <w:widowControl w:val="0"/>
              <w:ind w:right="-90"/>
              <w:jc w:val="center"/>
              <w:rPr>
                <w:rFonts w:ascii="Arial" w:hAnsi="Arial" w:eastAsia="Times New Roman" w:cs="Arial"/>
              </w:rPr>
            </w:pPr>
            <w:r>
              <w:rPr>
                <w:rFonts w:ascii="Arial" w:hAnsi="Arial" w:eastAsia="Times New Roman" w:cs="Arial"/>
              </w:rPr>
              <w:t>4.26</w:t>
            </w:r>
          </w:p>
        </w:tc>
        <w:tc>
          <w:tcPr>
            <w:tcW w:w="630" w:type="dxa"/>
            <w:tcBorders>
              <w:top w:val="nil"/>
              <w:left w:val="nil"/>
              <w:bottom w:val="single" w:color="000000" w:sz="4" w:space="0"/>
              <w:right w:val="nil"/>
            </w:tcBorders>
            <w:tcMar>
              <w:top w:w="0" w:type="dxa"/>
              <w:left w:w="0" w:type="dxa"/>
              <w:bottom w:w="0" w:type="dxa"/>
              <w:right w:w="0" w:type="dxa"/>
            </w:tcMar>
          </w:tcPr>
          <w:p w14:paraId="0958C459">
            <w:pPr>
              <w:widowControl w:val="0"/>
              <w:ind w:right="-90"/>
              <w:rPr>
                <w:rFonts w:ascii="Arial" w:hAnsi="Arial" w:eastAsia="Times New Roman" w:cs="Arial"/>
              </w:rPr>
            </w:pPr>
            <w:r>
              <w:rPr>
                <w:rFonts w:ascii="Arial" w:hAnsi="Arial" w:eastAsia="Times New Roman" w:cs="Arial"/>
              </w:rPr>
              <w:t>0.68</w:t>
            </w:r>
          </w:p>
        </w:tc>
      </w:tr>
      <w:tr w14:paraId="18401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7035" w:type="dxa"/>
            <w:tcBorders>
              <w:top w:val="nil"/>
              <w:left w:val="nil"/>
              <w:bottom w:val="single" w:color="000000" w:sz="4" w:space="0"/>
              <w:right w:val="nil"/>
            </w:tcBorders>
            <w:tcMar>
              <w:top w:w="0" w:type="dxa"/>
              <w:left w:w="0" w:type="dxa"/>
              <w:bottom w:w="0" w:type="dxa"/>
              <w:right w:w="0" w:type="dxa"/>
            </w:tcMar>
          </w:tcPr>
          <w:p w14:paraId="6D909208">
            <w:pPr>
              <w:widowControl w:val="0"/>
              <w:ind w:right="-90"/>
              <w:rPr>
                <w:rFonts w:ascii="Arial" w:hAnsi="Arial" w:eastAsia="Times New Roman" w:cs="Arial"/>
              </w:rPr>
            </w:pPr>
            <w:r>
              <w:rPr>
                <w:rFonts w:ascii="Arial" w:hAnsi="Arial" w:eastAsia="Times New Roman" w:cs="Arial"/>
              </w:rPr>
              <w:t>Overall</w:t>
            </w:r>
          </w:p>
        </w:tc>
        <w:tc>
          <w:tcPr>
            <w:tcW w:w="840" w:type="dxa"/>
            <w:tcBorders>
              <w:top w:val="nil"/>
              <w:left w:val="nil"/>
              <w:bottom w:val="single" w:color="000000" w:sz="4" w:space="0"/>
              <w:right w:val="nil"/>
            </w:tcBorders>
            <w:tcMar>
              <w:top w:w="0" w:type="dxa"/>
              <w:left w:w="0" w:type="dxa"/>
              <w:bottom w:w="0" w:type="dxa"/>
              <w:right w:w="0" w:type="dxa"/>
            </w:tcMar>
          </w:tcPr>
          <w:p w14:paraId="5E3F29B3">
            <w:pPr>
              <w:widowControl w:val="0"/>
              <w:ind w:right="-90"/>
              <w:jc w:val="center"/>
              <w:rPr>
                <w:rFonts w:ascii="Arial" w:hAnsi="Arial" w:eastAsia="Times New Roman" w:cs="Arial"/>
              </w:rPr>
            </w:pPr>
            <w:r>
              <w:rPr>
                <w:rFonts w:ascii="Arial" w:hAnsi="Arial" w:eastAsia="Times New Roman" w:cs="Arial"/>
              </w:rPr>
              <w:t>4.46</w:t>
            </w:r>
          </w:p>
        </w:tc>
        <w:tc>
          <w:tcPr>
            <w:tcW w:w="630" w:type="dxa"/>
            <w:tcBorders>
              <w:top w:val="nil"/>
              <w:left w:val="nil"/>
              <w:bottom w:val="single" w:color="000000" w:sz="4" w:space="0"/>
              <w:right w:val="nil"/>
            </w:tcBorders>
            <w:tcMar>
              <w:top w:w="0" w:type="dxa"/>
              <w:left w:w="0" w:type="dxa"/>
              <w:bottom w:w="0" w:type="dxa"/>
              <w:right w:w="0" w:type="dxa"/>
            </w:tcMar>
          </w:tcPr>
          <w:p w14:paraId="382FAE57">
            <w:pPr>
              <w:widowControl w:val="0"/>
              <w:ind w:right="-90"/>
              <w:rPr>
                <w:rFonts w:ascii="Arial" w:hAnsi="Arial" w:eastAsia="Times New Roman" w:cs="Arial"/>
              </w:rPr>
            </w:pPr>
            <w:r>
              <w:rPr>
                <w:rFonts w:ascii="Arial" w:hAnsi="Arial" w:eastAsia="Times New Roman" w:cs="Arial"/>
              </w:rPr>
              <w:t>0.20</w:t>
            </w:r>
          </w:p>
        </w:tc>
      </w:tr>
    </w:tbl>
    <w:p w14:paraId="21EAF0E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 xml:space="preserve"> Level of Practice Toward Herbal Plants</w:t>
      </w:r>
    </w:p>
    <w:p w14:paraId="4D285BE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Respondents demonstrated a high level of practice (</w:t>
      </w:r>
      <w:r>
        <w:rPr>
          <w:rFonts w:ascii="Arial" w:hAnsi="Arial" w:eastAsia="Arial" w:cs="Arial"/>
          <w:i/>
          <w:iCs/>
          <w:color w:val="000000"/>
        </w:rPr>
        <w:t>M</w:t>
      </w:r>
      <w:r>
        <w:rPr>
          <w:rFonts w:ascii="Arial" w:hAnsi="Arial" w:eastAsia="Arial" w:cs="Arial"/>
          <w:color w:val="000000"/>
        </w:rPr>
        <w:t xml:space="preserve"> = 4.48). Common practices included preparing herbal remedies at home and checking for allergies in children. However, proper dosage and washing of leaves showed slightly lower scores, indicating areas for improvement.</w:t>
      </w:r>
    </w:p>
    <w:p w14:paraId="205B9207">
      <w:pPr>
        <w:spacing w:before="240"/>
        <w:ind w:right="-90"/>
        <w:rPr>
          <w:rFonts w:ascii="Arial" w:hAnsi="Arial" w:eastAsia="Times New Roman" w:cs="Arial"/>
          <w:b/>
          <w:bCs/>
        </w:rPr>
      </w:pPr>
      <w:r>
        <w:rPr>
          <w:rFonts w:ascii="Arial" w:hAnsi="Arial" w:eastAsia="Times New Roman" w:cs="Arial"/>
          <w:b/>
          <w:bCs/>
        </w:rPr>
        <w:t>Table 4</w:t>
      </w:r>
    </w:p>
    <w:p w14:paraId="73FDE4D7">
      <w:pPr>
        <w:spacing w:before="240"/>
        <w:ind w:right="-90"/>
        <w:rPr>
          <w:rFonts w:ascii="Arial" w:hAnsi="Arial" w:eastAsia="Times New Roman" w:cs="Arial"/>
          <w:b/>
          <w:bCs/>
          <w:i/>
          <w:iCs/>
        </w:rPr>
      </w:pPr>
      <w:r>
        <w:rPr>
          <w:rFonts w:ascii="Arial" w:hAnsi="Arial" w:eastAsia="Times New Roman" w:cs="Arial"/>
          <w:i/>
          <w:iCs/>
        </w:rPr>
        <w:t>Level and distribution of Practice towards Herbal Plants among Household in the Rural Community (n=117)</w:t>
      </w:r>
    </w:p>
    <w:tbl>
      <w:tblPr>
        <w:tblStyle w:val="24"/>
        <w:tblW w:w="9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6930"/>
        <w:gridCol w:w="1215"/>
        <w:gridCol w:w="930"/>
      </w:tblGrid>
      <w:tr w14:paraId="6EDE4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single" w:color="000000" w:sz="4" w:space="0"/>
              <w:left w:val="nil"/>
              <w:bottom w:val="single" w:color="000000" w:sz="4" w:space="0"/>
              <w:right w:val="nil"/>
            </w:tcBorders>
            <w:tcMar>
              <w:top w:w="0" w:type="dxa"/>
              <w:left w:w="0" w:type="dxa"/>
              <w:bottom w:w="0" w:type="dxa"/>
              <w:right w:w="0" w:type="dxa"/>
            </w:tcMar>
          </w:tcPr>
          <w:p w14:paraId="6E410530">
            <w:pPr>
              <w:ind w:right="-90"/>
              <w:rPr>
                <w:rFonts w:ascii="Arial" w:hAnsi="Arial" w:eastAsia="Times New Roman" w:cs="Arial"/>
              </w:rPr>
            </w:pPr>
            <w:r>
              <w:rPr>
                <w:rFonts w:ascii="Arial" w:hAnsi="Arial" w:eastAsia="Times New Roman" w:cs="Arial"/>
              </w:rPr>
              <w:t>Statement</w:t>
            </w:r>
          </w:p>
        </w:tc>
        <w:tc>
          <w:tcPr>
            <w:tcW w:w="1215" w:type="dxa"/>
            <w:tcBorders>
              <w:top w:val="single" w:color="000000" w:sz="4" w:space="0"/>
              <w:left w:val="nil"/>
              <w:bottom w:val="single" w:color="000000" w:sz="4" w:space="0"/>
              <w:right w:val="nil"/>
            </w:tcBorders>
            <w:tcMar>
              <w:top w:w="0" w:type="dxa"/>
              <w:left w:w="0" w:type="dxa"/>
              <w:bottom w:w="0" w:type="dxa"/>
              <w:right w:w="0" w:type="dxa"/>
            </w:tcMar>
          </w:tcPr>
          <w:p w14:paraId="4F70F0A8">
            <w:pPr>
              <w:ind w:right="-90"/>
              <w:rPr>
                <w:rFonts w:ascii="Arial" w:hAnsi="Arial" w:eastAsia="Times New Roman" w:cs="Arial"/>
              </w:rPr>
            </w:pPr>
            <w:r>
              <w:rPr>
                <w:rFonts w:ascii="Arial" w:hAnsi="Arial" w:eastAsia="Times New Roman" w:cs="Arial"/>
              </w:rPr>
              <w:t>Mean</w:t>
            </w:r>
          </w:p>
        </w:tc>
        <w:tc>
          <w:tcPr>
            <w:tcW w:w="930" w:type="dxa"/>
            <w:tcBorders>
              <w:top w:val="single" w:color="000000" w:sz="4" w:space="0"/>
              <w:left w:val="nil"/>
              <w:bottom w:val="single" w:color="000000" w:sz="4" w:space="0"/>
              <w:right w:val="nil"/>
            </w:tcBorders>
            <w:tcMar>
              <w:top w:w="0" w:type="dxa"/>
              <w:left w:w="0" w:type="dxa"/>
              <w:bottom w:w="0" w:type="dxa"/>
              <w:right w:w="0" w:type="dxa"/>
            </w:tcMar>
          </w:tcPr>
          <w:p w14:paraId="3ACD3E5D">
            <w:pPr>
              <w:ind w:right="-90"/>
              <w:rPr>
                <w:rFonts w:ascii="Arial" w:hAnsi="Arial" w:eastAsia="Times New Roman" w:cs="Arial"/>
              </w:rPr>
            </w:pPr>
            <w:r>
              <w:rPr>
                <w:rFonts w:ascii="Arial" w:hAnsi="Arial" w:eastAsia="Times New Roman" w:cs="Arial"/>
              </w:rPr>
              <w:t>SD</w:t>
            </w:r>
          </w:p>
        </w:tc>
      </w:tr>
      <w:tr w14:paraId="226E1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single" w:color="000000" w:sz="4" w:space="0"/>
              <w:left w:val="nil"/>
              <w:bottom w:val="nil"/>
              <w:right w:val="nil"/>
            </w:tcBorders>
            <w:tcMar>
              <w:top w:w="0" w:type="dxa"/>
              <w:left w:w="0" w:type="dxa"/>
              <w:bottom w:w="0" w:type="dxa"/>
              <w:right w:w="0" w:type="dxa"/>
            </w:tcMar>
          </w:tcPr>
          <w:p w14:paraId="6159A207">
            <w:pPr>
              <w:ind w:right="-90"/>
              <w:rPr>
                <w:rFonts w:ascii="Arial" w:hAnsi="Arial" w:eastAsia="Times New Roman" w:cs="Arial"/>
              </w:rPr>
            </w:pPr>
            <w:r>
              <w:rPr>
                <w:rFonts w:ascii="Arial" w:hAnsi="Arial" w:eastAsia="Times New Roman" w:cs="Arial"/>
              </w:rPr>
              <w:t>I prepare herbal plant remedies at home when needed.</w:t>
            </w:r>
          </w:p>
        </w:tc>
        <w:tc>
          <w:tcPr>
            <w:tcW w:w="1215" w:type="dxa"/>
            <w:tcBorders>
              <w:top w:val="single" w:color="000000" w:sz="4" w:space="0"/>
              <w:left w:val="nil"/>
              <w:bottom w:val="nil"/>
              <w:right w:val="nil"/>
            </w:tcBorders>
            <w:tcMar>
              <w:top w:w="0" w:type="dxa"/>
              <w:left w:w="0" w:type="dxa"/>
              <w:bottom w:w="0" w:type="dxa"/>
              <w:right w:w="0" w:type="dxa"/>
            </w:tcMar>
          </w:tcPr>
          <w:p w14:paraId="46A9DA4F">
            <w:pPr>
              <w:ind w:right="-90"/>
              <w:rPr>
                <w:rFonts w:ascii="Arial" w:hAnsi="Arial" w:eastAsia="Times New Roman" w:cs="Arial"/>
              </w:rPr>
            </w:pPr>
            <w:r>
              <w:rPr>
                <w:rFonts w:ascii="Arial" w:hAnsi="Arial" w:eastAsia="Times New Roman" w:cs="Arial"/>
              </w:rPr>
              <w:t>4.67</w:t>
            </w:r>
          </w:p>
        </w:tc>
        <w:tc>
          <w:tcPr>
            <w:tcW w:w="930" w:type="dxa"/>
            <w:tcBorders>
              <w:top w:val="single" w:color="000000" w:sz="4" w:space="0"/>
              <w:left w:val="nil"/>
              <w:bottom w:val="nil"/>
              <w:right w:val="nil"/>
            </w:tcBorders>
            <w:tcMar>
              <w:top w:w="0" w:type="dxa"/>
              <w:left w:w="0" w:type="dxa"/>
              <w:bottom w:w="0" w:type="dxa"/>
              <w:right w:w="0" w:type="dxa"/>
            </w:tcMar>
          </w:tcPr>
          <w:p w14:paraId="7D28D486">
            <w:pPr>
              <w:ind w:right="-90"/>
              <w:rPr>
                <w:rFonts w:ascii="Arial" w:hAnsi="Arial" w:eastAsia="Times New Roman" w:cs="Arial"/>
              </w:rPr>
            </w:pPr>
            <w:r>
              <w:rPr>
                <w:rFonts w:ascii="Arial" w:hAnsi="Arial" w:eastAsia="Times New Roman" w:cs="Arial"/>
              </w:rPr>
              <w:t>0.52</w:t>
            </w:r>
          </w:p>
        </w:tc>
      </w:tr>
      <w:tr w14:paraId="66FE3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1" w:hRule="atLeast"/>
        </w:trPr>
        <w:tc>
          <w:tcPr>
            <w:tcW w:w="6930" w:type="dxa"/>
            <w:tcBorders>
              <w:top w:val="nil"/>
              <w:left w:val="nil"/>
              <w:bottom w:val="nil"/>
              <w:right w:val="nil"/>
            </w:tcBorders>
            <w:tcMar>
              <w:top w:w="0" w:type="dxa"/>
              <w:left w:w="0" w:type="dxa"/>
              <w:bottom w:w="0" w:type="dxa"/>
              <w:right w:w="0" w:type="dxa"/>
            </w:tcMar>
          </w:tcPr>
          <w:p w14:paraId="73B4F3BE">
            <w:pPr>
              <w:ind w:right="-90"/>
              <w:rPr>
                <w:rFonts w:ascii="Arial" w:hAnsi="Arial" w:eastAsia="Times New Roman" w:cs="Arial"/>
              </w:rPr>
            </w:pPr>
            <w:r>
              <w:rPr>
                <w:rFonts w:ascii="Arial" w:hAnsi="Arial" w:eastAsia="Times New Roman" w:cs="Arial"/>
              </w:rPr>
              <w:t>I check for possible allergies before giving herbal plant remedies to children.</w:t>
            </w:r>
          </w:p>
        </w:tc>
        <w:tc>
          <w:tcPr>
            <w:tcW w:w="1215" w:type="dxa"/>
            <w:tcBorders>
              <w:top w:val="nil"/>
              <w:left w:val="nil"/>
              <w:bottom w:val="nil"/>
              <w:right w:val="nil"/>
            </w:tcBorders>
            <w:tcMar>
              <w:top w:w="0" w:type="dxa"/>
              <w:left w:w="0" w:type="dxa"/>
              <w:bottom w:w="0" w:type="dxa"/>
              <w:right w:w="0" w:type="dxa"/>
            </w:tcMar>
          </w:tcPr>
          <w:p w14:paraId="7FF7C23F">
            <w:pPr>
              <w:ind w:right="-90"/>
              <w:rPr>
                <w:rFonts w:ascii="Arial" w:hAnsi="Arial" w:eastAsia="Times New Roman" w:cs="Arial"/>
              </w:rPr>
            </w:pPr>
            <w:r>
              <w:rPr>
                <w:rFonts w:ascii="Arial" w:hAnsi="Arial" w:eastAsia="Times New Roman" w:cs="Arial"/>
              </w:rPr>
              <w:t>4.66</w:t>
            </w:r>
          </w:p>
        </w:tc>
        <w:tc>
          <w:tcPr>
            <w:tcW w:w="930" w:type="dxa"/>
            <w:tcBorders>
              <w:top w:val="nil"/>
              <w:left w:val="nil"/>
              <w:bottom w:val="nil"/>
              <w:right w:val="nil"/>
            </w:tcBorders>
            <w:tcMar>
              <w:top w:w="0" w:type="dxa"/>
              <w:left w:w="0" w:type="dxa"/>
              <w:bottom w:w="0" w:type="dxa"/>
              <w:right w:w="0" w:type="dxa"/>
            </w:tcMar>
          </w:tcPr>
          <w:p w14:paraId="5EE3DF66">
            <w:pPr>
              <w:ind w:right="-90"/>
              <w:rPr>
                <w:rFonts w:ascii="Arial" w:hAnsi="Arial" w:eastAsia="Times New Roman" w:cs="Arial"/>
              </w:rPr>
            </w:pPr>
            <w:r>
              <w:rPr>
                <w:rFonts w:ascii="Arial" w:hAnsi="Arial" w:eastAsia="Times New Roman" w:cs="Arial"/>
              </w:rPr>
              <w:t>0.49</w:t>
            </w:r>
          </w:p>
        </w:tc>
      </w:tr>
      <w:tr w14:paraId="1FF38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419B75DC">
            <w:pPr>
              <w:ind w:right="-90"/>
              <w:rPr>
                <w:rFonts w:ascii="Arial" w:hAnsi="Arial" w:eastAsia="Times New Roman" w:cs="Arial"/>
              </w:rPr>
            </w:pPr>
            <w:r>
              <w:rPr>
                <w:rFonts w:ascii="Arial" w:hAnsi="Arial" w:eastAsia="Times New Roman" w:cs="Arial"/>
              </w:rPr>
              <w:t>I keep basic herbal plant remedies at home for first aid needs.</w:t>
            </w:r>
          </w:p>
        </w:tc>
        <w:tc>
          <w:tcPr>
            <w:tcW w:w="1215" w:type="dxa"/>
            <w:tcBorders>
              <w:top w:val="nil"/>
              <w:left w:val="nil"/>
              <w:bottom w:val="nil"/>
              <w:right w:val="nil"/>
            </w:tcBorders>
            <w:tcMar>
              <w:top w:w="0" w:type="dxa"/>
              <w:left w:w="0" w:type="dxa"/>
              <w:bottom w:w="0" w:type="dxa"/>
              <w:right w:w="0" w:type="dxa"/>
            </w:tcMar>
          </w:tcPr>
          <w:p w14:paraId="04055550">
            <w:pPr>
              <w:ind w:right="-90"/>
              <w:rPr>
                <w:rFonts w:ascii="Arial" w:hAnsi="Arial" w:eastAsia="Times New Roman" w:cs="Arial"/>
              </w:rPr>
            </w:pPr>
            <w:r>
              <w:rPr>
                <w:rFonts w:ascii="Arial" w:hAnsi="Arial" w:eastAsia="Times New Roman" w:cs="Arial"/>
              </w:rPr>
              <w:t>4.63</w:t>
            </w:r>
          </w:p>
        </w:tc>
        <w:tc>
          <w:tcPr>
            <w:tcW w:w="930" w:type="dxa"/>
            <w:tcBorders>
              <w:top w:val="nil"/>
              <w:left w:val="nil"/>
              <w:bottom w:val="nil"/>
              <w:right w:val="nil"/>
            </w:tcBorders>
            <w:tcMar>
              <w:top w:w="0" w:type="dxa"/>
              <w:left w:w="0" w:type="dxa"/>
              <w:bottom w:w="0" w:type="dxa"/>
              <w:right w:w="0" w:type="dxa"/>
            </w:tcMar>
          </w:tcPr>
          <w:p w14:paraId="5BA6901D">
            <w:pPr>
              <w:ind w:right="-90"/>
              <w:rPr>
                <w:rFonts w:ascii="Arial" w:hAnsi="Arial" w:eastAsia="Times New Roman" w:cs="Arial"/>
              </w:rPr>
            </w:pPr>
            <w:r>
              <w:rPr>
                <w:rFonts w:ascii="Arial" w:hAnsi="Arial" w:eastAsia="Times New Roman" w:cs="Arial"/>
              </w:rPr>
              <w:t>0.53</w:t>
            </w:r>
          </w:p>
        </w:tc>
      </w:tr>
      <w:tr w14:paraId="1FA71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5DCBD84D">
            <w:pPr>
              <w:ind w:right="-90"/>
              <w:rPr>
                <w:rFonts w:ascii="Arial" w:hAnsi="Arial" w:eastAsia="Times New Roman" w:cs="Arial"/>
              </w:rPr>
            </w:pPr>
            <w:r>
              <w:rPr>
                <w:rFonts w:ascii="Arial" w:hAnsi="Arial" w:eastAsia="Times New Roman" w:cs="Arial"/>
              </w:rPr>
              <w:t>I follow DOH guidelines on the proper use of herbal plants.</w:t>
            </w:r>
          </w:p>
        </w:tc>
        <w:tc>
          <w:tcPr>
            <w:tcW w:w="1215" w:type="dxa"/>
            <w:tcBorders>
              <w:top w:val="nil"/>
              <w:left w:val="nil"/>
              <w:bottom w:val="nil"/>
              <w:right w:val="nil"/>
            </w:tcBorders>
            <w:tcMar>
              <w:top w:w="0" w:type="dxa"/>
              <w:left w:w="0" w:type="dxa"/>
              <w:bottom w:w="0" w:type="dxa"/>
              <w:right w:w="0" w:type="dxa"/>
            </w:tcMar>
          </w:tcPr>
          <w:p w14:paraId="7035EF71">
            <w:pPr>
              <w:ind w:right="-90"/>
              <w:rPr>
                <w:rFonts w:ascii="Arial" w:hAnsi="Arial" w:eastAsia="Times New Roman" w:cs="Arial"/>
              </w:rPr>
            </w:pPr>
            <w:r>
              <w:rPr>
                <w:rFonts w:ascii="Arial" w:hAnsi="Arial" w:eastAsia="Times New Roman" w:cs="Arial"/>
              </w:rPr>
              <w:t>4.54</w:t>
            </w:r>
          </w:p>
        </w:tc>
        <w:tc>
          <w:tcPr>
            <w:tcW w:w="930" w:type="dxa"/>
            <w:tcBorders>
              <w:top w:val="nil"/>
              <w:left w:val="nil"/>
              <w:bottom w:val="nil"/>
              <w:right w:val="nil"/>
            </w:tcBorders>
            <w:tcMar>
              <w:top w:w="0" w:type="dxa"/>
              <w:left w:w="0" w:type="dxa"/>
              <w:bottom w:w="0" w:type="dxa"/>
              <w:right w:w="0" w:type="dxa"/>
            </w:tcMar>
          </w:tcPr>
          <w:p w14:paraId="602FAA59">
            <w:pPr>
              <w:ind w:right="-90"/>
              <w:rPr>
                <w:rFonts w:ascii="Arial" w:hAnsi="Arial" w:eastAsia="Times New Roman" w:cs="Arial"/>
              </w:rPr>
            </w:pPr>
            <w:r>
              <w:rPr>
                <w:rFonts w:ascii="Arial" w:hAnsi="Arial" w:eastAsia="Times New Roman" w:cs="Arial"/>
              </w:rPr>
              <w:t>0.56</w:t>
            </w:r>
          </w:p>
        </w:tc>
      </w:tr>
      <w:tr w14:paraId="4DFB2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677F1BC9">
            <w:pPr>
              <w:ind w:right="-90"/>
              <w:rPr>
                <w:rFonts w:ascii="Arial" w:hAnsi="Arial" w:eastAsia="Times New Roman" w:cs="Arial"/>
              </w:rPr>
            </w:pPr>
            <w:r>
              <w:rPr>
                <w:rFonts w:ascii="Arial" w:hAnsi="Arial" w:eastAsia="Times New Roman" w:cs="Arial"/>
              </w:rPr>
              <w:t>I prepare herbal plants correctly based on recommended preparation methods.</w:t>
            </w:r>
          </w:p>
        </w:tc>
        <w:tc>
          <w:tcPr>
            <w:tcW w:w="1215" w:type="dxa"/>
            <w:tcBorders>
              <w:top w:val="nil"/>
              <w:left w:val="nil"/>
              <w:bottom w:val="nil"/>
              <w:right w:val="nil"/>
            </w:tcBorders>
            <w:tcMar>
              <w:top w:w="0" w:type="dxa"/>
              <w:left w:w="0" w:type="dxa"/>
              <w:bottom w:w="0" w:type="dxa"/>
              <w:right w:w="0" w:type="dxa"/>
            </w:tcMar>
          </w:tcPr>
          <w:p w14:paraId="1259DE31">
            <w:pPr>
              <w:ind w:right="-90"/>
              <w:rPr>
                <w:rFonts w:ascii="Arial" w:hAnsi="Arial" w:eastAsia="Times New Roman" w:cs="Arial"/>
              </w:rPr>
            </w:pPr>
            <w:r>
              <w:rPr>
                <w:rFonts w:ascii="Arial" w:hAnsi="Arial" w:eastAsia="Times New Roman" w:cs="Arial"/>
              </w:rPr>
              <w:t>4.53</w:t>
            </w:r>
          </w:p>
        </w:tc>
        <w:tc>
          <w:tcPr>
            <w:tcW w:w="930" w:type="dxa"/>
            <w:tcBorders>
              <w:top w:val="nil"/>
              <w:left w:val="nil"/>
              <w:bottom w:val="nil"/>
              <w:right w:val="nil"/>
            </w:tcBorders>
            <w:tcMar>
              <w:top w:w="0" w:type="dxa"/>
              <w:left w:w="0" w:type="dxa"/>
              <w:bottom w:w="0" w:type="dxa"/>
              <w:right w:w="0" w:type="dxa"/>
            </w:tcMar>
          </w:tcPr>
          <w:p w14:paraId="1CADAE0F">
            <w:pPr>
              <w:ind w:right="-90"/>
              <w:rPr>
                <w:rFonts w:ascii="Arial" w:hAnsi="Arial" w:eastAsia="Times New Roman" w:cs="Arial"/>
              </w:rPr>
            </w:pPr>
            <w:r>
              <w:rPr>
                <w:rFonts w:ascii="Arial" w:hAnsi="Arial" w:eastAsia="Times New Roman" w:cs="Arial"/>
              </w:rPr>
              <w:t>0.55</w:t>
            </w:r>
          </w:p>
        </w:tc>
      </w:tr>
      <w:tr w14:paraId="546DF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373B5F53">
            <w:pPr>
              <w:ind w:right="-90"/>
              <w:rPr>
                <w:rFonts w:ascii="Arial" w:hAnsi="Arial" w:eastAsia="Times New Roman" w:cs="Arial"/>
              </w:rPr>
            </w:pPr>
            <w:r>
              <w:rPr>
                <w:rFonts w:ascii="Arial" w:hAnsi="Arial" w:eastAsia="Times New Roman" w:cs="Arial"/>
              </w:rPr>
              <w:t>I use Ulasimang Bato for joint pains or gout.</w:t>
            </w:r>
          </w:p>
        </w:tc>
        <w:tc>
          <w:tcPr>
            <w:tcW w:w="1215" w:type="dxa"/>
            <w:tcBorders>
              <w:top w:val="nil"/>
              <w:left w:val="nil"/>
              <w:bottom w:val="nil"/>
              <w:right w:val="nil"/>
            </w:tcBorders>
            <w:tcMar>
              <w:top w:w="0" w:type="dxa"/>
              <w:left w:w="0" w:type="dxa"/>
              <w:bottom w:w="0" w:type="dxa"/>
              <w:right w:w="0" w:type="dxa"/>
            </w:tcMar>
          </w:tcPr>
          <w:p w14:paraId="7BC4B144">
            <w:pPr>
              <w:ind w:right="-90"/>
              <w:rPr>
                <w:rFonts w:ascii="Arial" w:hAnsi="Arial" w:eastAsia="Times New Roman" w:cs="Arial"/>
              </w:rPr>
            </w:pPr>
            <w:r>
              <w:rPr>
                <w:rFonts w:ascii="Arial" w:hAnsi="Arial" w:eastAsia="Times New Roman" w:cs="Arial"/>
              </w:rPr>
              <w:t>4.50</w:t>
            </w:r>
          </w:p>
        </w:tc>
        <w:tc>
          <w:tcPr>
            <w:tcW w:w="930" w:type="dxa"/>
            <w:tcBorders>
              <w:top w:val="nil"/>
              <w:left w:val="nil"/>
              <w:bottom w:val="nil"/>
              <w:right w:val="nil"/>
            </w:tcBorders>
            <w:tcMar>
              <w:top w:w="0" w:type="dxa"/>
              <w:left w:w="0" w:type="dxa"/>
              <w:bottom w:w="0" w:type="dxa"/>
              <w:right w:w="0" w:type="dxa"/>
            </w:tcMar>
          </w:tcPr>
          <w:p w14:paraId="43D16DCC">
            <w:pPr>
              <w:ind w:right="-90"/>
              <w:rPr>
                <w:rFonts w:ascii="Arial" w:hAnsi="Arial" w:eastAsia="Times New Roman" w:cs="Arial"/>
              </w:rPr>
            </w:pPr>
            <w:r>
              <w:rPr>
                <w:rFonts w:ascii="Arial" w:hAnsi="Arial" w:eastAsia="Times New Roman" w:cs="Arial"/>
              </w:rPr>
              <w:t>0.55</w:t>
            </w:r>
          </w:p>
        </w:tc>
      </w:tr>
      <w:tr w14:paraId="2C91B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1A39C18A">
            <w:pPr>
              <w:ind w:right="-90"/>
              <w:rPr>
                <w:rFonts w:ascii="Arial" w:hAnsi="Arial" w:eastAsia="Times New Roman" w:cs="Arial"/>
              </w:rPr>
            </w:pPr>
            <w:r>
              <w:rPr>
                <w:rFonts w:ascii="Arial" w:hAnsi="Arial" w:eastAsia="Times New Roman" w:cs="Arial"/>
              </w:rPr>
              <w:t>I store herbal plants properly at home by drying them under the sun, keeping them in airtight containers, covered with cloth, and storing them at room temperature.</w:t>
            </w:r>
          </w:p>
        </w:tc>
        <w:tc>
          <w:tcPr>
            <w:tcW w:w="1215" w:type="dxa"/>
            <w:tcBorders>
              <w:top w:val="nil"/>
              <w:left w:val="nil"/>
              <w:bottom w:val="nil"/>
              <w:right w:val="nil"/>
            </w:tcBorders>
            <w:tcMar>
              <w:top w:w="0" w:type="dxa"/>
              <w:left w:w="0" w:type="dxa"/>
              <w:bottom w:w="0" w:type="dxa"/>
              <w:right w:w="0" w:type="dxa"/>
            </w:tcMar>
          </w:tcPr>
          <w:p w14:paraId="34C2958A">
            <w:pPr>
              <w:ind w:right="-90"/>
              <w:rPr>
                <w:rFonts w:ascii="Arial" w:hAnsi="Arial" w:eastAsia="Times New Roman" w:cs="Arial"/>
              </w:rPr>
            </w:pPr>
            <w:r>
              <w:rPr>
                <w:rFonts w:ascii="Arial" w:hAnsi="Arial" w:eastAsia="Times New Roman" w:cs="Arial"/>
              </w:rPr>
              <w:t>4.49</w:t>
            </w:r>
          </w:p>
        </w:tc>
        <w:tc>
          <w:tcPr>
            <w:tcW w:w="930" w:type="dxa"/>
            <w:tcBorders>
              <w:top w:val="nil"/>
              <w:left w:val="nil"/>
              <w:bottom w:val="nil"/>
              <w:right w:val="nil"/>
            </w:tcBorders>
            <w:tcMar>
              <w:top w:w="0" w:type="dxa"/>
              <w:left w:w="0" w:type="dxa"/>
              <w:bottom w:w="0" w:type="dxa"/>
              <w:right w:w="0" w:type="dxa"/>
            </w:tcMar>
          </w:tcPr>
          <w:p w14:paraId="27EF90C6">
            <w:pPr>
              <w:ind w:right="-90"/>
              <w:rPr>
                <w:rFonts w:ascii="Arial" w:hAnsi="Arial" w:eastAsia="Times New Roman" w:cs="Arial"/>
              </w:rPr>
            </w:pPr>
            <w:r>
              <w:rPr>
                <w:rFonts w:ascii="Arial" w:hAnsi="Arial" w:eastAsia="Times New Roman" w:cs="Arial"/>
              </w:rPr>
              <w:t>0.58</w:t>
            </w:r>
          </w:p>
        </w:tc>
      </w:tr>
      <w:tr w14:paraId="0F8CB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6CAF72B1">
            <w:pPr>
              <w:ind w:right="-90"/>
              <w:rPr>
                <w:rFonts w:ascii="Arial" w:hAnsi="Arial" w:eastAsia="Times New Roman" w:cs="Arial"/>
              </w:rPr>
            </w:pPr>
            <w:r>
              <w:rPr>
                <w:rFonts w:ascii="Arial" w:hAnsi="Arial" w:eastAsia="Times New Roman" w:cs="Arial"/>
              </w:rPr>
              <w:t>I teach family members how to prepare herbal plant remedies.</w:t>
            </w:r>
          </w:p>
        </w:tc>
        <w:tc>
          <w:tcPr>
            <w:tcW w:w="1215" w:type="dxa"/>
            <w:tcBorders>
              <w:top w:val="nil"/>
              <w:left w:val="nil"/>
              <w:bottom w:val="nil"/>
              <w:right w:val="nil"/>
            </w:tcBorders>
            <w:tcMar>
              <w:top w:w="0" w:type="dxa"/>
              <w:left w:w="0" w:type="dxa"/>
              <w:bottom w:w="0" w:type="dxa"/>
              <w:right w:w="0" w:type="dxa"/>
            </w:tcMar>
          </w:tcPr>
          <w:p w14:paraId="21CFDEF9">
            <w:pPr>
              <w:ind w:right="-90"/>
              <w:rPr>
                <w:rFonts w:ascii="Arial" w:hAnsi="Arial" w:eastAsia="Times New Roman" w:cs="Arial"/>
              </w:rPr>
            </w:pPr>
            <w:r>
              <w:rPr>
                <w:rFonts w:ascii="Arial" w:hAnsi="Arial" w:eastAsia="Times New Roman" w:cs="Arial"/>
              </w:rPr>
              <w:t>4.49</w:t>
            </w:r>
          </w:p>
        </w:tc>
        <w:tc>
          <w:tcPr>
            <w:tcW w:w="930" w:type="dxa"/>
            <w:tcBorders>
              <w:top w:val="nil"/>
              <w:left w:val="nil"/>
              <w:bottom w:val="nil"/>
              <w:right w:val="nil"/>
            </w:tcBorders>
            <w:tcMar>
              <w:top w:w="0" w:type="dxa"/>
              <w:left w:w="0" w:type="dxa"/>
              <w:bottom w:w="0" w:type="dxa"/>
              <w:right w:w="0" w:type="dxa"/>
            </w:tcMar>
          </w:tcPr>
          <w:p w14:paraId="3EA9B4DF">
            <w:pPr>
              <w:ind w:right="-90"/>
              <w:rPr>
                <w:rFonts w:ascii="Arial" w:hAnsi="Arial" w:eastAsia="Times New Roman" w:cs="Arial"/>
              </w:rPr>
            </w:pPr>
            <w:r>
              <w:rPr>
                <w:rFonts w:ascii="Arial" w:hAnsi="Arial" w:eastAsia="Times New Roman" w:cs="Arial"/>
              </w:rPr>
              <w:t>0.59</w:t>
            </w:r>
          </w:p>
        </w:tc>
      </w:tr>
      <w:tr w14:paraId="72FD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23F9D091">
            <w:pPr>
              <w:ind w:right="-90"/>
              <w:rPr>
                <w:rFonts w:ascii="Arial" w:hAnsi="Arial" w:eastAsia="Times New Roman" w:cs="Arial"/>
              </w:rPr>
            </w:pPr>
            <w:r>
              <w:rPr>
                <w:rFonts w:ascii="Arial" w:hAnsi="Arial" w:eastAsia="Times New Roman" w:cs="Arial"/>
              </w:rPr>
              <w:t>I use Sambong leaves for urinary or kidney-related concerns.</w:t>
            </w:r>
          </w:p>
        </w:tc>
        <w:tc>
          <w:tcPr>
            <w:tcW w:w="1215" w:type="dxa"/>
            <w:tcBorders>
              <w:top w:val="nil"/>
              <w:left w:val="nil"/>
              <w:bottom w:val="nil"/>
              <w:right w:val="nil"/>
            </w:tcBorders>
            <w:tcMar>
              <w:top w:w="0" w:type="dxa"/>
              <w:left w:w="0" w:type="dxa"/>
              <w:bottom w:w="0" w:type="dxa"/>
              <w:right w:w="0" w:type="dxa"/>
            </w:tcMar>
          </w:tcPr>
          <w:p w14:paraId="41C302DF">
            <w:pPr>
              <w:ind w:right="-90"/>
              <w:rPr>
                <w:rFonts w:ascii="Arial" w:hAnsi="Arial" w:eastAsia="Times New Roman" w:cs="Arial"/>
              </w:rPr>
            </w:pPr>
            <w:r>
              <w:rPr>
                <w:rFonts w:ascii="Arial" w:hAnsi="Arial" w:eastAsia="Times New Roman" w:cs="Arial"/>
              </w:rPr>
              <w:t>4.48</w:t>
            </w:r>
          </w:p>
        </w:tc>
        <w:tc>
          <w:tcPr>
            <w:tcW w:w="930" w:type="dxa"/>
            <w:tcBorders>
              <w:top w:val="nil"/>
              <w:left w:val="nil"/>
              <w:bottom w:val="nil"/>
              <w:right w:val="nil"/>
            </w:tcBorders>
            <w:tcMar>
              <w:top w:w="0" w:type="dxa"/>
              <w:left w:w="0" w:type="dxa"/>
              <w:bottom w:w="0" w:type="dxa"/>
              <w:right w:w="0" w:type="dxa"/>
            </w:tcMar>
          </w:tcPr>
          <w:p w14:paraId="715207B1">
            <w:pPr>
              <w:ind w:right="-90"/>
              <w:rPr>
                <w:rFonts w:ascii="Arial" w:hAnsi="Arial" w:eastAsia="Times New Roman" w:cs="Arial"/>
              </w:rPr>
            </w:pPr>
            <w:r>
              <w:rPr>
                <w:rFonts w:ascii="Arial" w:hAnsi="Arial" w:eastAsia="Times New Roman" w:cs="Arial"/>
              </w:rPr>
              <w:t>0.59</w:t>
            </w:r>
          </w:p>
        </w:tc>
      </w:tr>
      <w:tr w14:paraId="5D023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13776724">
            <w:pPr>
              <w:ind w:right="-90"/>
              <w:rPr>
                <w:rFonts w:ascii="Arial" w:hAnsi="Arial" w:eastAsia="Times New Roman" w:cs="Arial"/>
              </w:rPr>
            </w:pPr>
            <w:r>
              <w:rPr>
                <w:rFonts w:ascii="Arial" w:hAnsi="Arial" w:eastAsia="Times New Roman" w:cs="Arial"/>
              </w:rPr>
              <w:t>I use boiled Bayabas leaves to clean wounds as an antiseptic and to alleviate diarrhea.</w:t>
            </w:r>
          </w:p>
        </w:tc>
        <w:tc>
          <w:tcPr>
            <w:tcW w:w="1215" w:type="dxa"/>
            <w:tcBorders>
              <w:top w:val="nil"/>
              <w:left w:val="nil"/>
              <w:bottom w:val="nil"/>
              <w:right w:val="nil"/>
            </w:tcBorders>
            <w:tcMar>
              <w:top w:w="0" w:type="dxa"/>
              <w:left w:w="0" w:type="dxa"/>
              <w:bottom w:w="0" w:type="dxa"/>
              <w:right w:w="0" w:type="dxa"/>
            </w:tcMar>
          </w:tcPr>
          <w:p w14:paraId="66BC7DDB">
            <w:pPr>
              <w:ind w:right="-90"/>
              <w:rPr>
                <w:rFonts w:ascii="Arial" w:hAnsi="Arial" w:eastAsia="Times New Roman" w:cs="Arial"/>
              </w:rPr>
            </w:pPr>
            <w:r>
              <w:rPr>
                <w:rFonts w:ascii="Arial" w:hAnsi="Arial" w:eastAsia="Times New Roman" w:cs="Arial"/>
              </w:rPr>
              <w:t>4.48</w:t>
            </w:r>
          </w:p>
        </w:tc>
        <w:tc>
          <w:tcPr>
            <w:tcW w:w="930" w:type="dxa"/>
            <w:tcBorders>
              <w:top w:val="nil"/>
              <w:left w:val="nil"/>
              <w:bottom w:val="nil"/>
              <w:right w:val="nil"/>
            </w:tcBorders>
            <w:tcMar>
              <w:top w:w="0" w:type="dxa"/>
              <w:left w:w="0" w:type="dxa"/>
              <w:bottom w:w="0" w:type="dxa"/>
              <w:right w:w="0" w:type="dxa"/>
            </w:tcMar>
          </w:tcPr>
          <w:p w14:paraId="68353A16">
            <w:pPr>
              <w:ind w:right="-90"/>
              <w:rPr>
                <w:rFonts w:ascii="Arial" w:hAnsi="Arial" w:eastAsia="Times New Roman" w:cs="Arial"/>
              </w:rPr>
            </w:pPr>
            <w:r>
              <w:rPr>
                <w:rFonts w:ascii="Arial" w:hAnsi="Arial" w:eastAsia="Times New Roman" w:cs="Arial"/>
              </w:rPr>
              <w:t>0.55</w:t>
            </w:r>
          </w:p>
        </w:tc>
      </w:tr>
      <w:tr w14:paraId="55BC3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3A04EDF7">
            <w:pPr>
              <w:ind w:right="-90"/>
              <w:rPr>
                <w:rFonts w:ascii="Arial" w:hAnsi="Arial" w:eastAsia="Times New Roman" w:cs="Arial"/>
              </w:rPr>
            </w:pPr>
            <w:r>
              <w:rPr>
                <w:rFonts w:ascii="Arial" w:hAnsi="Arial" w:eastAsia="Times New Roman" w:cs="Arial"/>
              </w:rPr>
              <w:t>I give herbal plant preparation to other household members when appropriate.</w:t>
            </w:r>
          </w:p>
        </w:tc>
        <w:tc>
          <w:tcPr>
            <w:tcW w:w="1215" w:type="dxa"/>
            <w:tcBorders>
              <w:top w:val="nil"/>
              <w:left w:val="nil"/>
              <w:bottom w:val="nil"/>
              <w:right w:val="nil"/>
            </w:tcBorders>
            <w:tcMar>
              <w:top w:w="0" w:type="dxa"/>
              <w:left w:w="0" w:type="dxa"/>
              <w:bottom w:w="0" w:type="dxa"/>
              <w:right w:w="0" w:type="dxa"/>
            </w:tcMar>
          </w:tcPr>
          <w:p w14:paraId="6A29E795">
            <w:pPr>
              <w:ind w:right="-90"/>
              <w:rPr>
                <w:rFonts w:ascii="Arial" w:hAnsi="Arial" w:eastAsia="Times New Roman" w:cs="Arial"/>
              </w:rPr>
            </w:pPr>
            <w:r>
              <w:rPr>
                <w:rFonts w:ascii="Arial" w:hAnsi="Arial" w:eastAsia="Times New Roman" w:cs="Arial"/>
              </w:rPr>
              <w:t>4.48</w:t>
            </w:r>
          </w:p>
        </w:tc>
        <w:tc>
          <w:tcPr>
            <w:tcW w:w="930" w:type="dxa"/>
            <w:tcBorders>
              <w:top w:val="nil"/>
              <w:left w:val="nil"/>
              <w:bottom w:val="nil"/>
              <w:right w:val="nil"/>
            </w:tcBorders>
            <w:tcMar>
              <w:top w:w="0" w:type="dxa"/>
              <w:left w:w="0" w:type="dxa"/>
              <w:bottom w:w="0" w:type="dxa"/>
              <w:right w:w="0" w:type="dxa"/>
            </w:tcMar>
          </w:tcPr>
          <w:p w14:paraId="64A62A93">
            <w:pPr>
              <w:ind w:right="-90"/>
              <w:rPr>
                <w:rFonts w:ascii="Arial" w:hAnsi="Arial" w:eastAsia="Times New Roman" w:cs="Arial"/>
              </w:rPr>
            </w:pPr>
            <w:r>
              <w:rPr>
                <w:rFonts w:ascii="Arial" w:hAnsi="Arial" w:eastAsia="Times New Roman" w:cs="Arial"/>
              </w:rPr>
              <w:t>0.56</w:t>
            </w:r>
          </w:p>
        </w:tc>
      </w:tr>
      <w:tr w14:paraId="6BE69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305873E6">
            <w:pPr>
              <w:ind w:right="-90"/>
              <w:rPr>
                <w:rFonts w:ascii="Arial" w:hAnsi="Arial" w:eastAsia="Times New Roman" w:cs="Arial"/>
              </w:rPr>
            </w:pPr>
            <w:r>
              <w:rPr>
                <w:rFonts w:ascii="Arial" w:hAnsi="Arial" w:eastAsia="Times New Roman" w:cs="Arial"/>
              </w:rPr>
              <w:t>I use Lagundi leaves to help relieve cough.</w:t>
            </w:r>
          </w:p>
        </w:tc>
        <w:tc>
          <w:tcPr>
            <w:tcW w:w="1215" w:type="dxa"/>
            <w:tcBorders>
              <w:top w:val="nil"/>
              <w:left w:val="nil"/>
              <w:bottom w:val="nil"/>
              <w:right w:val="nil"/>
            </w:tcBorders>
            <w:tcMar>
              <w:top w:w="0" w:type="dxa"/>
              <w:left w:w="0" w:type="dxa"/>
              <w:bottom w:w="0" w:type="dxa"/>
              <w:right w:w="0" w:type="dxa"/>
            </w:tcMar>
          </w:tcPr>
          <w:p w14:paraId="4C631818">
            <w:pPr>
              <w:ind w:right="-90"/>
              <w:rPr>
                <w:rFonts w:ascii="Arial" w:hAnsi="Arial" w:eastAsia="Times New Roman" w:cs="Arial"/>
              </w:rPr>
            </w:pPr>
            <w:r>
              <w:rPr>
                <w:rFonts w:ascii="Arial" w:hAnsi="Arial" w:eastAsia="Times New Roman" w:cs="Arial"/>
              </w:rPr>
              <w:t>4.44</w:t>
            </w:r>
          </w:p>
        </w:tc>
        <w:tc>
          <w:tcPr>
            <w:tcW w:w="930" w:type="dxa"/>
            <w:tcBorders>
              <w:top w:val="nil"/>
              <w:left w:val="nil"/>
              <w:bottom w:val="nil"/>
              <w:right w:val="nil"/>
            </w:tcBorders>
            <w:tcMar>
              <w:top w:w="0" w:type="dxa"/>
              <w:left w:w="0" w:type="dxa"/>
              <w:bottom w:w="0" w:type="dxa"/>
              <w:right w:w="0" w:type="dxa"/>
            </w:tcMar>
          </w:tcPr>
          <w:p w14:paraId="10A02CE2">
            <w:pPr>
              <w:ind w:right="-90"/>
              <w:rPr>
                <w:rFonts w:ascii="Arial" w:hAnsi="Arial" w:eastAsia="Times New Roman" w:cs="Arial"/>
              </w:rPr>
            </w:pPr>
            <w:r>
              <w:rPr>
                <w:rFonts w:ascii="Arial" w:hAnsi="Arial" w:eastAsia="Times New Roman" w:cs="Arial"/>
              </w:rPr>
              <w:t>0.60</w:t>
            </w:r>
          </w:p>
        </w:tc>
      </w:tr>
      <w:tr w14:paraId="61787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09395CC4">
            <w:pPr>
              <w:ind w:right="-90"/>
              <w:rPr>
                <w:rFonts w:ascii="Arial" w:hAnsi="Arial" w:eastAsia="Times New Roman" w:cs="Arial"/>
              </w:rPr>
            </w:pPr>
            <w:r>
              <w:rPr>
                <w:rFonts w:ascii="Arial" w:hAnsi="Arial" w:eastAsia="Times New Roman" w:cs="Arial"/>
              </w:rPr>
              <w:t>I consult health workers before using herbal plants for serious conditions.</w:t>
            </w:r>
          </w:p>
        </w:tc>
        <w:tc>
          <w:tcPr>
            <w:tcW w:w="1215" w:type="dxa"/>
            <w:tcBorders>
              <w:top w:val="nil"/>
              <w:left w:val="nil"/>
              <w:bottom w:val="nil"/>
              <w:right w:val="nil"/>
            </w:tcBorders>
            <w:tcMar>
              <w:top w:w="0" w:type="dxa"/>
              <w:left w:w="0" w:type="dxa"/>
              <w:bottom w:w="0" w:type="dxa"/>
              <w:right w:w="0" w:type="dxa"/>
            </w:tcMar>
          </w:tcPr>
          <w:p w14:paraId="78A87EAD">
            <w:pPr>
              <w:ind w:right="-90"/>
              <w:rPr>
                <w:rFonts w:ascii="Arial" w:hAnsi="Arial" w:eastAsia="Times New Roman" w:cs="Arial"/>
              </w:rPr>
            </w:pPr>
            <w:r>
              <w:rPr>
                <w:rFonts w:ascii="Arial" w:hAnsi="Arial" w:eastAsia="Times New Roman" w:cs="Arial"/>
              </w:rPr>
              <w:t>4.44</w:t>
            </w:r>
          </w:p>
        </w:tc>
        <w:tc>
          <w:tcPr>
            <w:tcW w:w="930" w:type="dxa"/>
            <w:tcBorders>
              <w:top w:val="nil"/>
              <w:left w:val="nil"/>
              <w:bottom w:val="nil"/>
              <w:right w:val="nil"/>
            </w:tcBorders>
            <w:tcMar>
              <w:top w:w="0" w:type="dxa"/>
              <w:left w:w="0" w:type="dxa"/>
              <w:bottom w:w="0" w:type="dxa"/>
              <w:right w:w="0" w:type="dxa"/>
            </w:tcMar>
          </w:tcPr>
          <w:p w14:paraId="7310AAE1">
            <w:pPr>
              <w:ind w:right="-90"/>
              <w:rPr>
                <w:rFonts w:ascii="Arial" w:hAnsi="Arial" w:eastAsia="Times New Roman" w:cs="Arial"/>
              </w:rPr>
            </w:pPr>
            <w:r>
              <w:rPr>
                <w:rFonts w:ascii="Arial" w:hAnsi="Arial" w:eastAsia="Times New Roman" w:cs="Arial"/>
              </w:rPr>
              <w:t>0.63</w:t>
            </w:r>
          </w:p>
        </w:tc>
      </w:tr>
      <w:tr w14:paraId="6428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65DF64D0">
            <w:pPr>
              <w:ind w:right="-90"/>
              <w:rPr>
                <w:rFonts w:ascii="Arial" w:hAnsi="Arial" w:eastAsia="Times New Roman" w:cs="Arial"/>
              </w:rPr>
            </w:pPr>
            <w:r>
              <w:rPr>
                <w:rFonts w:ascii="Arial" w:hAnsi="Arial" w:eastAsia="Times New Roman" w:cs="Arial"/>
              </w:rPr>
              <w:t>I grow at least one DOH-approved herbal plant at home.</w:t>
            </w:r>
          </w:p>
        </w:tc>
        <w:tc>
          <w:tcPr>
            <w:tcW w:w="1215" w:type="dxa"/>
            <w:tcBorders>
              <w:top w:val="nil"/>
              <w:left w:val="nil"/>
              <w:bottom w:val="nil"/>
              <w:right w:val="nil"/>
            </w:tcBorders>
            <w:tcMar>
              <w:top w:w="0" w:type="dxa"/>
              <w:left w:w="0" w:type="dxa"/>
              <w:bottom w:w="0" w:type="dxa"/>
              <w:right w:w="0" w:type="dxa"/>
            </w:tcMar>
          </w:tcPr>
          <w:p w14:paraId="462B7068">
            <w:pPr>
              <w:ind w:right="-90"/>
              <w:rPr>
                <w:rFonts w:ascii="Arial" w:hAnsi="Arial" w:eastAsia="Times New Roman" w:cs="Arial"/>
              </w:rPr>
            </w:pPr>
            <w:r>
              <w:rPr>
                <w:rFonts w:ascii="Arial" w:hAnsi="Arial" w:eastAsia="Times New Roman" w:cs="Arial"/>
              </w:rPr>
              <w:t>4.41</w:t>
            </w:r>
          </w:p>
        </w:tc>
        <w:tc>
          <w:tcPr>
            <w:tcW w:w="930" w:type="dxa"/>
            <w:tcBorders>
              <w:top w:val="nil"/>
              <w:left w:val="nil"/>
              <w:bottom w:val="nil"/>
              <w:right w:val="nil"/>
            </w:tcBorders>
            <w:tcMar>
              <w:top w:w="0" w:type="dxa"/>
              <w:left w:w="0" w:type="dxa"/>
              <w:bottom w:w="0" w:type="dxa"/>
              <w:right w:w="0" w:type="dxa"/>
            </w:tcMar>
          </w:tcPr>
          <w:p w14:paraId="0B840E64">
            <w:pPr>
              <w:ind w:right="-90"/>
              <w:rPr>
                <w:rFonts w:ascii="Arial" w:hAnsi="Arial" w:eastAsia="Times New Roman" w:cs="Arial"/>
              </w:rPr>
            </w:pPr>
            <w:r>
              <w:rPr>
                <w:rFonts w:ascii="Arial" w:hAnsi="Arial" w:eastAsia="Times New Roman" w:cs="Arial"/>
              </w:rPr>
              <w:t>0.64</w:t>
            </w:r>
          </w:p>
        </w:tc>
      </w:tr>
      <w:tr w14:paraId="5F17E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96" w:hRule="atLeast"/>
        </w:trPr>
        <w:tc>
          <w:tcPr>
            <w:tcW w:w="6930" w:type="dxa"/>
            <w:tcBorders>
              <w:top w:val="nil"/>
              <w:left w:val="nil"/>
              <w:bottom w:val="nil"/>
              <w:right w:val="nil"/>
            </w:tcBorders>
            <w:tcMar>
              <w:top w:w="0" w:type="dxa"/>
              <w:left w:w="0" w:type="dxa"/>
              <w:bottom w:w="0" w:type="dxa"/>
              <w:right w:w="0" w:type="dxa"/>
            </w:tcMar>
          </w:tcPr>
          <w:p w14:paraId="0B47A0DD">
            <w:pPr>
              <w:ind w:right="-90"/>
              <w:rPr>
                <w:rFonts w:ascii="Arial" w:hAnsi="Arial" w:eastAsia="Times New Roman" w:cs="Arial"/>
              </w:rPr>
            </w:pPr>
            <w:r>
              <w:rPr>
                <w:rFonts w:ascii="Arial" w:hAnsi="Arial" w:eastAsia="Times New Roman" w:cs="Arial"/>
              </w:rPr>
              <w:t>I prepare Yerba Buena for muscle pain or stomach discomfort.</w:t>
            </w:r>
          </w:p>
        </w:tc>
        <w:tc>
          <w:tcPr>
            <w:tcW w:w="1215" w:type="dxa"/>
            <w:tcBorders>
              <w:top w:val="nil"/>
              <w:left w:val="nil"/>
              <w:bottom w:val="nil"/>
              <w:right w:val="nil"/>
            </w:tcBorders>
            <w:tcMar>
              <w:top w:w="0" w:type="dxa"/>
              <w:left w:w="0" w:type="dxa"/>
              <w:bottom w:w="0" w:type="dxa"/>
              <w:right w:w="0" w:type="dxa"/>
            </w:tcMar>
          </w:tcPr>
          <w:p w14:paraId="55F30311">
            <w:pPr>
              <w:ind w:right="-90"/>
              <w:rPr>
                <w:rFonts w:ascii="Arial" w:hAnsi="Arial" w:eastAsia="Times New Roman" w:cs="Arial"/>
              </w:rPr>
            </w:pPr>
            <w:r>
              <w:rPr>
                <w:rFonts w:ascii="Arial" w:hAnsi="Arial" w:eastAsia="Times New Roman" w:cs="Arial"/>
              </w:rPr>
              <w:t>4.39</w:t>
            </w:r>
          </w:p>
        </w:tc>
        <w:tc>
          <w:tcPr>
            <w:tcW w:w="930" w:type="dxa"/>
            <w:tcBorders>
              <w:top w:val="nil"/>
              <w:left w:val="nil"/>
              <w:bottom w:val="nil"/>
              <w:right w:val="nil"/>
            </w:tcBorders>
            <w:tcMar>
              <w:top w:w="0" w:type="dxa"/>
              <w:left w:w="0" w:type="dxa"/>
              <w:bottom w:w="0" w:type="dxa"/>
              <w:right w:w="0" w:type="dxa"/>
            </w:tcMar>
          </w:tcPr>
          <w:p w14:paraId="66C999A3">
            <w:pPr>
              <w:ind w:right="-90"/>
              <w:rPr>
                <w:rFonts w:ascii="Arial" w:hAnsi="Arial" w:eastAsia="Times New Roman" w:cs="Arial"/>
              </w:rPr>
            </w:pPr>
            <w:r>
              <w:rPr>
                <w:rFonts w:ascii="Arial" w:hAnsi="Arial" w:eastAsia="Times New Roman" w:cs="Arial"/>
              </w:rPr>
              <w:t>0.64</w:t>
            </w:r>
          </w:p>
        </w:tc>
      </w:tr>
      <w:tr w14:paraId="03037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3261AB40">
            <w:pPr>
              <w:ind w:right="-90"/>
              <w:rPr>
                <w:rFonts w:ascii="Arial" w:hAnsi="Arial" w:eastAsia="Times New Roman" w:cs="Arial"/>
              </w:rPr>
            </w:pPr>
            <w:r>
              <w:rPr>
                <w:rFonts w:ascii="Arial" w:hAnsi="Arial" w:eastAsia="Times New Roman" w:cs="Arial"/>
              </w:rPr>
              <w:t>I asked for further information about using herbal plants together with prescribed medicines.</w:t>
            </w:r>
          </w:p>
        </w:tc>
        <w:tc>
          <w:tcPr>
            <w:tcW w:w="1215" w:type="dxa"/>
            <w:tcBorders>
              <w:top w:val="nil"/>
              <w:left w:val="nil"/>
              <w:bottom w:val="nil"/>
              <w:right w:val="nil"/>
            </w:tcBorders>
            <w:tcMar>
              <w:top w:w="0" w:type="dxa"/>
              <w:left w:w="0" w:type="dxa"/>
              <w:bottom w:w="0" w:type="dxa"/>
              <w:right w:w="0" w:type="dxa"/>
            </w:tcMar>
          </w:tcPr>
          <w:p w14:paraId="67F37A22">
            <w:pPr>
              <w:ind w:right="-90"/>
              <w:rPr>
                <w:rFonts w:ascii="Arial" w:hAnsi="Arial" w:eastAsia="Times New Roman" w:cs="Arial"/>
              </w:rPr>
            </w:pPr>
            <w:r>
              <w:rPr>
                <w:rFonts w:ascii="Arial" w:hAnsi="Arial" w:eastAsia="Times New Roman" w:cs="Arial"/>
              </w:rPr>
              <w:t>4.37</w:t>
            </w:r>
          </w:p>
        </w:tc>
        <w:tc>
          <w:tcPr>
            <w:tcW w:w="930" w:type="dxa"/>
            <w:tcBorders>
              <w:top w:val="nil"/>
              <w:left w:val="nil"/>
              <w:bottom w:val="nil"/>
              <w:right w:val="nil"/>
            </w:tcBorders>
            <w:tcMar>
              <w:top w:w="0" w:type="dxa"/>
              <w:left w:w="0" w:type="dxa"/>
              <w:bottom w:w="0" w:type="dxa"/>
              <w:right w:w="0" w:type="dxa"/>
            </w:tcMar>
          </w:tcPr>
          <w:p w14:paraId="02A159ED">
            <w:pPr>
              <w:ind w:right="-90"/>
              <w:rPr>
                <w:rFonts w:ascii="Arial" w:hAnsi="Arial" w:eastAsia="Times New Roman" w:cs="Arial"/>
              </w:rPr>
            </w:pPr>
            <w:r>
              <w:rPr>
                <w:rFonts w:ascii="Arial" w:hAnsi="Arial" w:eastAsia="Times New Roman" w:cs="Arial"/>
              </w:rPr>
              <w:t>0.63</w:t>
            </w:r>
          </w:p>
        </w:tc>
      </w:tr>
      <w:tr w14:paraId="406DE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371E38A4">
            <w:pPr>
              <w:ind w:right="-90"/>
              <w:rPr>
                <w:rFonts w:ascii="Arial" w:hAnsi="Arial" w:eastAsia="Times New Roman" w:cs="Arial"/>
              </w:rPr>
            </w:pPr>
            <w:r>
              <w:rPr>
                <w:rFonts w:ascii="Arial" w:hAnsi="Arial" w:eastAsia="Times New Roman" w:cs="Arial"/>
              </w:rPr>
              <w:t>I follow correct dosage when taking herbal plant remedies.</w:t>
            </w:r>
          </w:p>
        </w:tc>
        <w:tc>
          <w:tcPr>
            <w:tcW w:w="1215" w:type="dxa"/>
            <w:tcBorders>
              <w:top w:val="nil"/>
              <w:left w:val="nil"/>
              <w:bottom w:val="nil"/>
              <w:right w:val="nil"/>
            </w:tcBorders>
            <w:tcMar>
              <w:top w:w="0" w:type="dxa"/>
              <w:left w:w="0" w:type="dxa"/>
              <w:bottom w:w="0" w:type="dxa"/>
              <w:right w:w="0" w:type="dxa"/>
            </w:tcMar>
          </w:tcPr>
          <w:p w14:paraId="1D6FCA5C">
            <w:pPr>
              <w:ind w:right="-90"/>
              <w:rPr>
                <w:rFonts w:ascii="Arial" w:hAnsi="Arial" w:eastAsia="Times New Roman" w:cs="Arial"/>
              </w:rPr>
            </w:pPr>
            <w:r>
              <w:rPr>
                <w:rFonts w:ascii="Arial" w:hAnsi="Arial" w:eastAsia="Times New Roman" w:cs="Arial"/>
              </w:rPr>
              <w:t>4.32</w:t>
            </w:r>
          </w:p>
        </w:tc>
        <w:tc>
          <w:tcPr>
            <w:tcW w:w="930" w:type="dxa"/>
            <w:tcBorders>
              <w:top w:val="nil"/>
              <w:left w:val="nil"/>
              <w:bottom w:val="nil"/>
              <w:right w:val="nil"/>
            </w:tcBorders>
            <w:tcMar>
              <w:top w:w="0" w:type="dxa"/>
              <w:left w:w="0" w:type="dxa"/>
              <w:bottom w:w="0" w:type="dxa"/>
              <w:right w:w="0" w:type="dxa"/>
            </w:tcMar>
          </w:tcPr>
          <w:p w14:paraId="64B2F500">
            <w:pPr>
              <w:ind w:right="-90"/>
              <w:rPr>
                <w:rFonts w:ascii="Arial" w:hAnsi="Arial" w:eastAsia="Times New Roman" w:cs="Arial"/>
              </w:rPr>
            </w:pPr>
            <w:r>
              <w:rPr>
                <w:rFonts w:ascii="Arial" w:hAnsi="Arial" w:eastAsia="Times New Roman" w:cs="Arial"/>
              </w:rPr>
              <w:t>0.65</w:t>
            </w:r>
          </w:p>
        </w:tc>
      </w:tr>
      <w:tr w14:paraId="46D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nil"/>
              <w:right w:val="nil"/>
            </w:tcBorders>
            <w:tcMar>
              <w:top w:w="0" w:type="dxa"/>
              <w:left w:w="0" w:type="dxa"/>
              <w:bottom w:w="0" w:type="dxa"/>
              <w:right w:w="0" w:type="dxa"/>
            </w:tcMar>
          </w:tcPr>
          <w:p w14:paraId="53936334">
            <w:pPr>
              <w:ind w:right="-90"/>
              <w:rPr>
                <w:rFonts w:ascii="Arial" w:hAnsi="Arial" w:eastAsia="Times New Roman" w:cs="Arial"/>
              </w:rPr>
            </w:pPr>
            <w:r>
              <w:rPr>
                <w:rFonts w:ascii="Arial" w:hAnsi="Arial" w:eastAsia="Times New Roman" w:cs="Arial"/>
              </w:rPr>
              <w:t>I wash the leaves thoroughly before preparing them.</w:t>
            </w:r>
          </w:p>
        </w:tc>
        <w:tc>
          <w:tcPr>
            <w:tcW w:w="1215" w:type="dxa"/>
            <w:tcBorders>
              <w:top w:val="nil"/>
              <w:left w:val="nil"/>
              <w:bottom w:val="nil"/>
              <w:right w:val="nil"/>
            </w:tcBorders>
            <w:tcMar>
              <w:top w:w="0" w:type="dxa"/>
              <w:left w:w="0" w:type="dxa"/>
              <w:bottom w:w="0" w:type="dxa"/>
              <w:right w:w="0" w:type="dxa"/>
            </w:tcMar>
          </w:tcPr>
          <w:p w14:paraId="5851B1E8">
            <w:pPr>
              <w:ind w:right="-90"/>
              <w:rPr>
                <w:rFonts w:ascii="Arial" w:hAnsi="Arial" w:eastAsia="Times New Roman" w:cs="Arial"/>
              </w:rPr>
            </w:pPr>
            <w:r>
              <w:rPr>
                <w:rFonts w:ascii="Arial" w:hAnsi="Arial" w:eastAsia="Times New Roman" w:cs="Arial"/>
              </w:rPr>
              <w:t>4.32</w:t>
            </w:r>
          </w:p>
        </w:tc>
        <w:tc>
          <w:tcPr>
            <w:tcW w:w="930" w:type="dxa"/>
            <w:tcBorders>
              <w:top w:val="nil"/>
              <w:left w:val="nil"/>
              <w:bottom w:val="nil"/>
              <w:right w:val="nil"/>
            </w:tcBorders>
            <w:tcMar>
              <w:top w:w="0" w:type="dxa"/>
              <w:left w:w="0" w:type="dxa"/>
              <w:bottom w:w="0" w:type="dxa"/>
              <w:right w:w="0" w:type="dxa"/>
            </w:tcMar>
          </w:tcPr>
          <w:p w14:paraId="51230053">
            <w:pPr>
              <w:ind w:right="-90"/>
              <w:rPr>
                <w:rFonts w:ascii="Arial" w:hAnsi="Arial" w:eastAsia="Times New Roman" w:cs="Arial"/>
              </w:rPr>
            </w:pPr>
            <w:r>
              <w:rPr>
                <w:rFonts w:ascii="Arial" w:hAnsi="Arial" w:eastAsia="Times New Roman" w:cs="Arial"/>
              </w:rPr>
              <w:t>0.65</w:t>
            </w:r>
          </w:p>
        </w:tc>
      </w:tr>
      <w:tr w14:paraId="56785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single" w:color="000000" w:sz="4" w:space="0"/>
              <w:right w:val="nil"/>
            </w:tcBorders>
            <w:tcMar>
              <w:top w:w="0" w:type="dxa"/>
              <w:left w:w="0" w:type="dxa"/>
              <w:bottom w:w="0" w:type="dxa"/>
              <w:right w:w="0" w:type="dxa"/>
            </w:tcMar>
          </w:tcPr>
          <w:p w14:paraId="40CD1A46">
            <w:pPr>
              <w:ind w:right="-90"/>
              <w:rPr>
                <w:rFonts w:ascii="Arial" w:hAnsi="Arial" w:eastAsia="Times New Roman" w:cs="Arial"/>
              </w:rPr>
            </w:pPr>
            <w:r>
              <w:rPr>
                <w:rFonts w:ascii="Arial" w:hAnsi="Arial" w:eastAsia="Times New Roman" w:cs="Arial"/>
              </w:rPr>
              <w:t>I use Niyog-niyogan for deworming when recommended.</w:t>
            </w:r>
          </w:p>
        </w:tc>
        <w:tc>
          <w:tcPr>
            <w:tcW w:w="1215" w:type="dxa"/>
            <w:tcBorders>
              <w:top w:val="nil"/>
              <w:left w:val="nil"/>
              <w:bottom w:val="single" w:color="000000" w:sz="4" w:space="0"/>
              <w:right w:val="nil"/>
            </w:tcBorders>
            <w:tcMar>
              <w:top w:w="0" w:type="dxa"/>
              <w:left w:w="0" w:type="dxa"/>
              <w:bottom w:w="0" w:type="dxa"/>
              <w:right w:w="0" w:type="dxa"/>
            </w:tcMar>
          </w:tcPr>
          <w:p w14:paraId="1775B497">
            <w:pPr>
              <w:ind w:right="-90"/>
              <w:rPr>
                <w:rFonts w:ascii="Arial" w:hAnsi="Arial" w:eastAsia="Times New Roman" w:cs="Arial"/>
              </w:rPr>
            </w:pPr>
            <w:r>
              <w:rPr>
                <w:rFonts w:ascii="Arial" w:hAnsi="Arial" w:eastAsia="Times New Roman" w:cs="Arial"/>
              </w:rPr>
              <w:t>4.29</w:t>
            </w:r>
          </w:p>
        </w:tc>
        <w:tc>
          <w:tcPr>
            <w:tcW w:w="930" w:type="dxa"/>
            <w:tcBorders>
              <w:top w:val="nil"/>
              <w:left w:val="nil"/>
              <w:bottom w:val="single" w:color="000000" w:sz="4" w:space="0"/>
              <w:right w:val="nil"/>
            </w:tcBorders>
            <w:tcMar>
              <w:top w:w="0" w:type="dxa"/>
              <w:left w:w="0" w:type="dxa"/>
              <w:bottom w:w="0" w:type="dxa"/>
              <w:right w:w="0" w:type="dxa"/>
            </w:tcMar>
          </w:tcPr>
          <w:p w14:paraId="199DD16F">
            <w:pPr>
              <w:ind w:right="-90"/>
              <w:rPr>
                <w:rFonts w:ascii="Arial" w:hAnsi="Arial" w:eastAsia="Times New Roman" w:cs="Arial"/>
              </w:rPr>
            </w:pPr>
            <w:r>
              <w:rPr>
                <w:rFonts w:ascii="Arial" w:hAnsi="Arial" w:eastAsia="Times New Roman" w:cs="Arial"/>
              </w:rPr>
              <w:t>0.68</w:t>
            </w:r>
          </w:p>
        </w:tc>
      </w:tr>
      <w:tr w14:paraId="0455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44" w:hRule="atLeast"/>
        </w:trPr>
        <w:tc>
          <w:tcPr>
            <w:tcW w:w="6930" w:type="dxa"/>
            <w:tcBorders>
              <w:top w:val="nil"/>
              <w:left w:val="nil"/>
              <w:bottom w:val="single" w:color="000000" w:sz="4" w:space="0"/>
              <w:right w:val="nil"/>
            </w:tcBorders>
            <w:tcMar>
              <w:top w:w="0" w:type="dxa"/>
              <w:left w:w="0" w:type="dxa"/>
              <w:bottom w:w="0" w:type="dxa"/>
              <w:right w:w="0" w:type="dxa"/>
            </w:tcMar>
          </w:tcPr>
          <w:p w14:paraId="625099FC">
            <w:pPr>
              <w:ind w:right="-90"/>
              <w:rPr>
                <w:rFonts w:ascii="Arial" w:hAnsi="Arial" w:eastAsia="Times New Roman" w:cs="Arial"/>
              </w:rPr>
            </w:pPr>
            <w:r>
              <w:rPr>
                <w:rFonts w:ascii="Arial" w:hAnsi="Arial" w:eastAsia="Times New Roman" w:cs="Arial"/>
              </w:rPr>
              <w:t>Overall Mean:</w:t>
            </w:r>
          </w:p>
        </w:tc>
        <w:tc>
          <w:tcPr>
            <w:tcW w:w="1215" w:type="dxa"/>
            <w:tcBorders>
              <w:top w:val="nil"/>
              <w:left w:val="nil"/>
              <w:bottom w:val="single" w:color="000000" w:sz="4" w:space="0"/>
              <w:right w:val="nil"/>
            </w:tcBorders>
            <w:tcMar>
              <w:top w:w="0" w:type="dxa"/>
              <w:left w:w="0" w:type="dxa"/>
              <w:bottom w:w="0" w:type="dxa"/>
              <w:right w:w="0" w:type="dxa"/>
            </w:tcMar>
          </w:tcPr>
          <w:p w14:paraId="49303130">
            <w:pPr>
              <w:ind w:right="-90"/>
              <w:rPr>
                <w:rFonts w:ascii="Arial" w:hAnsi="Arial" w:eastAsia="Times New Roman" w:cs="Arial"/>
              </w:rPr>
            </w:pPr>
            <w:r>
              <w:rPr>
                <w:rFonts w:ascii="Arial" w:hAnsi="Arial" w:eastAsia="Times New Roman" w:cs="Arial"/>
              </w:rPr>
              <w:t>4.48</w:t>
            </w:r>
          </w:p>
        </w:tc>
        <w:tc>
          <w:tcPr>
            <w:tcW w:w="930" w:type="dxa"/>
            <w:tcBorders>
              <w:top w:val="nil"/>
              <w:left w:val="nil"/>
              <w:bottom w:val="single" w:color="000000" w:sz="4" w:space="0"/>
              <w:right w:val="nil"/>
            </w:tcBorders>
            <w:tcMar>
              <w:top w:w="0" w:type="dxa"/>
              <w:left w:w="0" w:type="dxa"/>
              <w:bottom w:w="0" w:type="dxa"/>
              <w:right w:w="0" w:type="dxa"/>
            </w:tcMar>
          </w:tcPr>
          <w:p w14:paraId="58DBD3B4">
            <w:pPr>
              <w:ind w:right="-90"/>
              <w:rPr>
                <w:rFonts w:ascii="Arial" w:hAnsi="Arial" w:eastAsia="Times New Roman" w:cs="Arial"/>
              </w:rPr>
            </w:pPr>
            <w:r>
              <w:rPr>
                <w:rFonts w:ascii="Arial" w:hAnsi="Arial" w:eastAsia="Times New Roman" w:cs="Arial"/>
              </w:rPr>
              <w:t>0.20</w:t>
            </w:r>
          </w:p>
        </w:tc>
      </w:tr>
    </w:tbl>
    <w:p w14:paraId="20C5D09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bookmarkStart w:id="2" w:name="_xstrvoh57q2s" w:colFirst="0" w:colLast="0"/>
      <w:bookmarkEnd w:id="2"/>
    </w:p>
    <w:p w14:paraId="5FE1202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Inferential Analysis</w:t>
      </w:r>
    </w:p>
    <w:p w14:paraId="5A9B617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r>
        <w:rPr>
          <w:rFonts w:ascii="Arial" w:hAnsi="Arial" w:eastAsia="Arial" w:cs="Arial"/>
          <w:b/>
          <w:bCs/>
          <w:color w:val="000000"/>
        </w:rPr>
        <w:t>Relationship Between Knowledge, Attitude, and Practice</w:t>
      </w:r>
    </w:p>
    <w:p w14:paraId="15F60DC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Normality testing showed non-normal data for knowledge (</w:t>
      </w:r>
      <w:r>
        <w:rPr>
          <w:rFonts w:ascii="Arial" w:hAnsi="Arial" w:eastAsia="Arial" w:cs="Arial"/>
          <w:i/>
          <w:iCs/>
          <w:color w:val="000000"/>
        </w:rPr>
        <w:t>P</w:t>
      </w:r>
      <w:r>
        <w:rPr>
          <w:rFonts w:ascii="Arial" w:hAnsi="Arial" w:eastAsia="Arial" w:cs="Arial"/>
          <w:color w:val="000000"/>
        </w:rPr>
        <w:t xml:space="preserve"> = 0.005), so Spearman’s rho was used. No significant relationship was found between knowledge and practice (</w:t>
      </w:r>
      <w:r>
        <w:rPr>
          <w:rFonts w:ascii="Arial" w:hAnsi="Arial" w:eastAsia="Arial" w:cs="Arial"/>
          <w:i/>
          <w:iCs/>
          <w:color w:val="000000"/>
        </w:rPr>
        <w:t xml:space="preserve">rs </w:t>
      </w:r>
      <w:r>
        <w:rPr>
          <w:rFonts w:ascii="Arial" w:hAnsi="Arial" w:eastAsia="Arial" w:cs="Arial"/>
          <w:color w:val="000000"/>
        </w:rPr>
        <w:t>= 0.019, P = .841), and between knowledge and attitude (</w:t>
      </w:r>
      <w:r>
        <w:rPr>
          <w:rFonts w:ascii="Arial" w:hAnsi="Arial" w:eastAsia="Arial" w:cs="Arial"/>
          <w:i/>
          <w:iCs/>
          <w:color w:val="000000"/>
        </w:rPr>
        <w:t>rs</w:t>
      </w:r>
      <w:r>
        <w:rPr>
          <w:rFonts w:ascii="Arial" w:hAnsi="Arial" w:eastAsia="Arial" w:cs="Arial"/>
          <w:color w:val="000000"/>
        </w:rPr>
        <w:t xml:space="preserve"> = 0.030, P = .748). However, attitude had a significant moderate positive relationship with practice (</w:t>
      </w:r>
      <w:r>
        <w:rPr>
          <w:rFonts w:ascii="Arial" w:hAnsi="Arial" w:eastAsia="Arial" w:cs="Arial"/>
          <w:i/>
          <w:iCs/>
          <w:color w:val="000000"/>
        </w:rPr>
        <w:t>rs</w:t>
      </w:r>
      <w:r>
        <w:rPr>
          <w:rFonts w:ascii="Arial" w:hAnsi="Arial" w:eastAsia="Arial" w:cs="Arial"/>
          <w:color w:val="000000"/>
        </w:rPr>
        <w:t xml:space="preserve"> = 0.448, P = .001), indicating that attitude strongly influences herbal plant use. These findings suggest that while knowledge is moderate, actual practice is more strongly influenced by attitudes rather than information alone.</w:t>
      </w:r>
    </w:p>
    <w:p w14:paraId="1B7A9FE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4A55EF69">
      <w:pPr>
        <w:spacing w:line="480" w:lineRule="auto"/>
        <w:ind w:right="-90"/>
        <w:rPr>
          <w:rFonts w:ascii="Arial" w:hAnsi="Arial" w:eastAsia="Times New Roman" w:cs="Arial"/>
          <w:b/>
          <w:bCs/>
        </w:rPr>
      </w:pPr>
      <w:r>
        <w:rPr>
          <w:rFonts w:ascii="Arial" w:hAnsi="Arial" w:eastAsia="Times New Roman" w:cs="Arial"/>
          <w:b/>
          <w:bCs/>
        </w:rPr>
        <w:t>Table 5a</w:t>
      </w:r>
    </w:p>
    <w:p w14:paraId="5DCE5E58">
      <w:pPr>
        <w:ind w:right="-90"/>
        <w:rPr>
          <w:rFonts w:ascii="Arial" w:hAnsi="Arial" w:eastAsia="Times New Roman" w:cs="Arial"/>
          <w:i/>
          <w:iCs/>
        </w:rPr>
      </w:pPr>
      <w:r>
        <w:rPr>
          <w:rFonts w:ascii="Arial" w:hAnsi="Arial" w:eastAsia="Times New Roman" w:cs="Arial"/>
          <w:i/>
          <w:iCs/>
        </w:rPr>
        <w:t xml:space="preserve">Relationship between knowledge, attitude, and practice of herbal plants among households in the rural community       </w:t>
      </w:r>
    </w:p>
    <w:tbl>
      <w:tblPr>
        <w:tblStyle w:val="25"/>
        <w:tblW w:w="86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880"/>
        <w:gridCol w:w="2880"/>
        <w:gridCol w:w="2850"/>
      </w:tblGrid>
      <w:tr w14:paraId="525DF2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8" w:hRule="atLeast"/>
        </w:trPr>
        <w:tc>
          <w:tcPr>
            <w:tcW w:w="2880" w:type="dxa"/>
            <w:tcBorders>
              <w:left w:val="single" w:color="FFFFFF" w:sz="8" w:space="0"/>
              <w:bottom w:val="single" w:color="FFFFFF" w:sz="8" w:space="0"/>
              <w:right w:val="single" w:color="FFFFFF" w:sz="8" w:space="0"/>
            </w:tcBorders>
            <w:tcMar>
              <w:top w:w="0" w:type="dxa"/>
              <w:left w:w="0" w:type="dxa"/>
              <w:bottom w:w="0" w:type="dxa"/>
              <w:right w:w="0" w:type="dxa"/>
            </w:tcMar>
          </w:tcPr>
          <w:p w14:paraId="51062F95">
            <w:pPr>
              <w:widowControl w:val="0"/>
              <w:ind w:right="-90"/>
              <w:rPr>
                <w:rFonts w:ascii="Arial" w:hAnsi="Arial" w:eastAsia="Times New Roman" w:cs="Arial"/>
              </w:rPr>
            </w:pPr>
          </w:p>
        </w:tc>
        <w:tc>
          <w:tcPr>
            <w:tcW w:w="2880" w:type="dxa"/>
            <w:tcBorders>
              <w:left w:val="single" w:color="FFFFFF" w:sz="8" w:space="0"/>
              <w:right w:val="single" w:color="FFFFFF" w:sz="8" w:space="0"/>
            </w:tcBorders>
            <w:tcMar>
              <w:top w:w="0" w:type="dxa"/>
              <w:left w:w="0" w:type="dxa"/>
              <w:bottom w:w="0" w:type="dxa"/>
              <w:right w:w="0" w:type="dxa"/>
            </w:tcMar>
          </w:tcPr>
          <w:p w14:paraId="755C4A42">
            <w:pPr>
              <w:widowControl w:val="0"/>
              <w:ind w:right="-90"/>
              <w:jc w:val="center"/>
              <w:rPr>
                <w:rFonts w:ascii="Arial" w:hAnsi="Arial" w:eastAsia="Times New Roman" w:cs="Arial"/>
              </w:rPr>
            </w:pPr>
          </w:p>
        </w:tc>
        <w:tc>
          <w:tcPr>
            <w:tcW w:w="2850" w:type="dxa"/>
            <w:tcBorders>
              <w:left w:val="single" w:color="FFFFFF" w:sz="8" w:space="0"/>
              <w:right w:val="single" w:color="FFFFFF" w:sz="8" w:space="0"/>
            </w:tcBorders>
            <w:tcMar>
              <w:top w:w="0" w:type="dxa"/>
              <w:left w:w="0" w:type="dxa"/>
              <w:bottom w:w="0" w:type="dxa"/>
              <w:right w:w="0" w:type="dxa"/>
            </w:tcMar>
          </w:tcPr>
          <w:p w14:paraId="7099ABBA">
            <w:pPr>
              <w:widowControl w:val="0"/>
              <w:ind w:right="-90"/>
              <w:jc w:val="center"/>
              <w:rPr>
                <w:rFonts w:ascii="Arial" w:hAnsi="Arial" w:eastAsia="Times New Roman" w:cs="Arial"/>
              </w:rPr>
            </w:pPr>
            <w:r>
              <w:rPr>
                <w:rFonts w:ascii="Arial" w:hAnsi="Arial" w:eastAsia="Times New Roman" w:cs="Arial"/>
              </w:rPr>
              <w:t>Practice of herbal</w:t>
            </w:r>
          </w:p>
        </w:tc>
      </w:tr>
      <w:tr w14:paraId="3286FC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8" w:hRule="atLeast"/>
        </w:trPr>
        <w:tc>
          <w:tcPr>
            <w:tcW w:w="2880" w:type="dxa"/>
            <w:tcBorders>
              <w:top w:val="single" w:color="FFFFFF" w:sz="8" w:space="0"/>
              <w:left w:val="single" w:color="FFFFFF" w:sz="8" w:space="0"/>
              <w:right w:val="single" w:color="FFFFFF" w:sz="8" w:space="0"/>
            </w:tcBorders>
            <w:tcMar>
              <w:top w:w="0" w:type="dxa"/>
              <w:left w:w="0" w:type="dxa"/>
              <w:bottom w:w="0" w:type="dxa"/>
              <w:right w:w="0" w:type="dxa"/>
            </w:tcMar>
          </w:tcPr>
          <w:p w14:paraId="7920D966">
            <w:pPr>
              <w:widowControl w:val="0"/>
              <w:ind w:right="-90"/>
              <w:rPr>
                <w:rFonts w:ascii="Arial" w:hAnsi="Arial" w:eastAsia="Times New Roman" w:cs="Arial"/>
              </w:rPr>
            </w:pPr>
          </w:p>
          <w:p w14:paraId="7C412692">
            <w:pPr>
              <w:widowControl w:val="0"/>
              <w:ind w:right="-90"/>
              <w:rPr>
                <w:rFonts w:ascii="Arial" w:hAnsi="Arial" w:eastAsia="Times New Roman" w:cs="Arial"/>
              </w:rPr>
            </w:pPr>
          </w:p>
        </w:tc>
        <w:tc>
          <w:tcPr>
            <w:tcW w:w="2880" w:type="dxa"/>
            <w:tcBorders>
              <w:left w:val="single" w:color="FFFFFF" w:sz="8" w:space="0"/>
              <w:right w:val="single" w:color="FFFFFF" w:sz="8" w:space="0"/>
            </w:tcBorders>
            <w:tcMar>
              <w:top w:w="0" w:type="dxa"/>
              <w:left w:w="0" w:type="dxa"/>
              <w:bottom w:w="0" w:type="dxa"/>
              <w:right w:w="0" w:type="dxa"/>
            </w:tcMar>
          </w:tcPr>
          <w:p w14:paraId="6A71AD71">
            <w:pPr>
              <w:widowControl w:val="0"/>
              <w:ind w:right="-90"/>
              <w:jc w:val="center"/>
              <w:rPr>
                <w:rFonts w:ascii="Arial" w:hAnsi="Arial" w:eastAsia="Times New Roman" w:cs="Arial"/>
              </w:rPr>
            </w:pPr>
            <w:r>
              <w:rPr>
                <w:rFonts w:ascii="Arial" w:hAnsi="Arial" w:eastAsia="Times New Roman" w:cs="Arial"/>
              </w:rPr>
              <w:t>r-value</w:t>
            </w:r>
          </w:p>
        </w:tc>
        <w:tc>
          <w:tcPr>
            <w:tcW w:w="2850" w:type="dxa"/>
            <w:tcBorders>
              <w:left w:val="single" w:color="FFFFFF" w:sz="8" w:space="0"/>
              <w:right w:val="single" w:color="FFFFFF" w:sz="8" w:space="0"/>
            </w:tcBorders>
            <w:tcMar>
              <w:top w:w="0" w:type="dxa"/>
              <w:left w:w="0" w:type="dxa"/>
              <w:bottom w:w="0" w:type="dxa"/>
              <w:right w:w="0" w:type="dxa"/>
            </w:tcMar>
          </w:tcPr>
          <w:p w14:paraId="2617B260">
            <w:pPr>
              <w:widowControl w:val="0"/>
              <w:ind w:right="-90"/>
              <w:jc w:val="center"/>
              <w:rPr>
                <w:rFonts w:ascii="Arial" w:hAnsi="Arial" w:eastAsia="Times New Roman" w:cs="Arial"/>
              </w:rPr>
            </w:pPr>
            <w:r>
              <w:rPr>
                <w:rFonts w:ascii="Arial" w:hAnsi="Arial" w:eastAsia="Times New Roman" w:cs="Arial"/>
              </w:rPr>
              <w:t>Sig. (2-tailed)</w:t>
            </w:r>
          </w:p>
          <w:p w14:paraId="7622DD0C">
            <w:pPr>
              <w:widowControl w:val="0"/>
              <w:ind w:right="-90"/>
              <w:jc w:val="center"/>
              <w:rPr>
                <w:rFonts w:ascii="Arial" w:hAnsi="Arial" w:eastAsia="Times New Roman" w:cs="Arial"/>
              </w:rPr>
            </w:pPr>
          </w:p>
        </w:tc>
      </w:tr>
      <w:tr w14:paraId="42D88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8" w:hRule="atLeast"/>
        </w:trPr>
        <w:tc>
          <w:tcPr>
            <w:tcW w:w="2880" w:type="dxa"/>
            <w:tcBorders>
              <w:left w:val="single" w:color="FFFFFF" w:sz="8" w:space="0"/>
              <w:bottom w:val="single" w:color="FFFFFF" w:sz="8" w:space="0"/>
              <w:right w:val="single" w:color="FFFFFF" w:sz="8" w:space="0"/>
            </w:tcBorders>
            <w:tcMar>
              <w:top w:w="0" w:type="dxa"/>
              <w:left w:w="0" w:type="dxa"/>
              <w:bottom w:w="0" w:type="dxa"/>
              <w:right w:w="0" w:type="dxa"/>
            </w:tcMar>
          </w:tcPr>
          <w:p w14:paraId="7F9E71BC">
            <w:pPr>
              <w:widowControl w:val="0"/>
              <w:ind w:right="-90"/>
              <w:rPr>
                <w:rFonts w:ascii="Arial" w:hAnsi="Arial" w:eastAsia="Times New Roman" w:cs="Arial"/>
              </w:rPr>
            </w:pPr>
            <w:r>
              <w:rPr>
                <w:rFonts w:ascii="Arial" w:hAnsi="Arial" w:eastAsia="Times New Roman" w:cs="Arial"/>
              </w:rPr>
              <w:t xml:space="preserve">Knowledge </w:t>
            </w:r>
          </w:p>
          <w:p w14:paraId="7C7E2AE3">
            <w:pPr>
              <w:widowControl w:val="0"/>
              <w:ind w:right="-90"/>
              <w:rPr>
                <w:rFonts w:ascii="Arial" w:hAnsi="Arial" w:eastAsia="Times New Roman" w:cs="Arial"/>
              </w:rPr>
            </w:pPr>
          </w:p>
        </w:tc>
        <w:tc>
          <w:tcPr>
            <w:tcW w:w="2880" w:type="dxa"/>
            <w:tcBorders>
              <w:left w:val="single" w:color="FFFFFF" w:sz="8" w:space="0"/>
              <w:bottom w:val="single" w:color="FFFFFF" w:sz="8" w:space="0"/>
              <w:right w:val="single" w:color="FFFFFF" w:sz="8" w:space="0"/>
            </w:tcBorders>
            <w:tcMar>
              <w:top w:w="0" w:type="dxa"/>
              <w:left w:w="0" w:type="dxa"/>
              <w:bottom w:w="0" w:type="dxa"/>
              <w:right w:w="0" w:type="dxa"/>
            </w:tcMar>
          </w:tcPr>
          <w:p w14:paraId="0F402E65">
            <w:pPr>
              <w:widowControl w:val="0"/>
              <w:ind w:right="-90"/>
              <w:jc w:val="center"/>
              <w:rPr>
                <w:rFonts w:ascii="Arial" w:hAnsi="Arial" w:eastAsia="Times New Roman" w:cs="Arial"/>
              </w:rPr>
            </w:pPr>
            <w:r>
              <w:rPr>
                <w:rFonts w:ascii="Arial" w:hAnsi="Arial" w:eastAsia="Times New Roman" w:cs="Arial"/>
                <w:i/>
                <w:iCs/>
              </w:rPr>
              <w:t>r</w:t>
            </w:r>
            <w:r>
              <w:rPr>
                <w:rFonts w:ascii="Arial" w:hAnsi="Arial" w:eastAsia="Times New Roman" w:cs="Arial"/>
                <w:i/>
                <w:iCs/>
                <w:vertAlign w:val="subscript"/>
              </w:rPr>
              <w:t>s</w:t>
            </w:r>
            <w:r>
              <w:rPr>
                <w:rFonts w:ascii="Arial" w:hAnsi="Arial" w:eastAsia="Times New Roman" w:cs="Arial"/>
                <w:i/>
                <w:iCs/>
              </w:rPr>
              <w:t xml:space="preserve"> </w:t>
            </w:r>
            <w:r>
              <w:rPr>
                <w:rFonts w:ascii="Arial" w:hAnsi="Arial" w:eastAsia="Times New Roman" w:cs="Arial"/>
              </w:rPr>
              <w:t>= 0.019</w:t>
            </w:r>
          </w:p>
          <w:p w14:paraId="2C4089C5">
            <w:pPr>
              <w:widowControl w:val="0"/>
              <w:ind w:right="-90"/>
              <w:jc w:val="center"/>
              <w:rPr>
                <w:rFonts w:ascii="Arial" w:hAnsi="Arial" w:eastAsia="Times New Roman" w:cs="Arial"/>
              </w:rPr>
            </w:pPr>
          </w:p>
        </w:tc>
        <w:tc>
          <w:tcPr>
            <w:tcW w:w="2850" w:type="dxa"/>
            <w:tcBorders>
              <w:left w:val="single" w:color="FFFFFF" w:sz="8" w:space="0"/>
              <w:bottom w:val="single" w:color="FFFFFF" w:sz="8" w:space="0"/>
              <w:right w:val="single" w:color="FFFFFF" w:sz="8" w:space="0"/>
            </w:tcBorders>
            <w:tcMar>
              <w:top w:w="0" w:type="dxa"/>
              <w:left w:w="0" w:type="dxa"/>
              <w:bottom w:w="0" w:type="dxa"/>
              <w:right w:w="0" w:type="dxa"/>
            </w:tcMar>
          </w:tcPr>
          <w:p w14:paraId="42F2236E">
            <w:pPr>
              <w:widowControl w:val="0"/>
              <w:ind w:right="-90"/>
              <w:jc w:val="center"/>
              <w:rPr>
                <w:rFonts w:ascii="Arial" w:hAnsi="Arial" w:eastAsia="Times New Roman" w:cs="Arial"/>
              </w:rPr>
            </w:pPr>
            <w:r>
              <w:rPr>
                <w:rFonts w:ascii="Arial" w:hAnsi="Arial" w:eastAsia="Times New Roman" w:cs="Arial"/>
              </w:rPr>
              <w:t>0.841</w:t>
            </w:r>
          </w:p>
          <w:p w14:paraId="5E461D22">
            <w:pPr>
              <w:widowControl w:val="0"/>
              <w:ind w:right="-90"/>
              <w:jc w:val="center"/>
              <w:rPr>
                <w:rFonts w:ascii="Arial" w:hAnsi="Arial" w:eastAsia="Times New Roman" w:cs="Arial"/>
              </w:rPr>
            </w:pPr>
          </w:p>
        </w:tc>
      </w:tr>
      <w:tr w14:paraId="7D0754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8" w:hRule="atLeast"/>
        </w:trPr>
        <w:tc>
          <w:tcPr>
            <w:tcW w:w="2880" w:type="dxa"/>
            <w:tcBorders>
              <w:top w:val="single" w:color="FFFFFF" w:sz="8" w:space="0"/>
              <w:left w:val="single" w:color="FFFFFF" w:sz="8" w:space="0"/>
              <w:right w:val="single" w:color="FFFFFF" w:sz="8" w:space="0"/>
            </w:tcBorders>
            <w:tcMar>
              <w:top w:w="0" w:type="dxa"/>
              <w:left w:w="0" w:type="dxa"/>
              <w:bottom w:w="0" w:type="dxa"/>
              <w:right w:w="0" w:type="dxa"/>
            </w:tcMar>
          </w:tcPr>
          <w:p w14:paraId="08311F00">
            <w:pPr>
              <w:widowControl w:val="0"/>
              <w:ind w:right="-90"/>
              <w:rPr>
                <w:rFonts w:ascii="Arial" w:hAnsi="Arial" w:eastAsia="Times New Roman" w:cs="Arial"/>
              </w:rPr>
            </w:pPr>
            <w:r>
              <w:rPr>
                <w:rFonts w:ascii="Arial" w:hAnsi="Arial" w:eastAsia="Times New Roman" w:cs="Arial"/>
              </w:rPr>
              <w:t>Attitude</w:t>
            </w:r>
          </w:p>
        </w:tc>
        <w:tc>
          <w:tcPr>
            <w:tcW w:w="2880" w:type="dxa"/>
            <w:tcBorders>
              <w:top w:val="single" w:color="FFFFFF" w:sz="8" w:space="0"/>
              <w:left w:val="single" w:color="FFFFFF" w:sz="8" w:space="0"/>
              <w:right w:val="single" w:color="FFFFFF" w:sz="8" w:space="0"/>
            </w:tcBorders>
            <w:tcMar>
              <w:top w:w="0" w:type="dxa"/>
              <w:left w:w="0" w:type="dxa"/>
              <w:bottom w:w="0" w:type="dxa"/>
              <w:right w:w="0" w:type="dxa"/>
            </w:tcMar>
          </w:tcPr>
          <w:p w14:paraId="5F7EEFCE">
            <w:pPr>
              <w:widowControl w:val="0"/>
              <w:ind w:right="-90"/>
              <w:jc w:val="center"/>
              <w:rPr>
                <w:rFonts w:ascii="Arial" w:hAnsi="Arial" w:eastAsia="Times New Roman" w:cs="Arial"/>
              </w:rPr>
            </w:pPr>
            <w:r>
              <w:rPr>
                <w:rFonts w:ascii="Arial" w:hAnsi="Arial" w:eastAsia="Times New Roman" w:cs="Arial"/>
                <w:i/>
                <w:iCs/>
              </w:rPr>
              <w:t>r</w:t>
            </w:r>
            <w:r>
              <w:rPr>
                <w:rFonts w:ascii="Arial" w:hAnsi="Arial" w:eastAsia="Times New Roman" w:cs="Arial"/>
                <w:i/>
                <w:iCs/>
                <w:vertAlign w:val="subscript"/>
              </w:rPr>
              <w:t>s</w:t>
            </w:r>
            <w:r>
              <w:rPr>
                <w:rFonts w:ascii="Arial" w:hAnsi="Arial" w:eastAsia="Times New Roman" w:cs="Arial"/>
                <w:i/>
                <w:iCs/>
              </w:rPr>
              <w:t xml:space="preserve"> </w:t>
            </w:r>
            <w:r>
              <w:rPr>
                <w:rFonts w:ascii="Arial" w:hAnsi="Arial" w:eastAsia="Times New Roman" w:cs="Arial"/>
              </w:rPr>
              <w:t>= 0.448</w:t>
            </w:r>
          </w:p>
        </w:tc>
        <w:tc>
          <w:tcPr>
            <w:tcW w:w="2850" w:type="dxa"/>
            <w:tcBorders>
              <w:top w:val="single" w:color="FFFFFF" w:sz="8" w:space="0"/>
              <w:left w:val="single" w:color="FFFFFF" w:sz="8" w:space="0"/>
              <w:right w:val="single" w:color="FFFFFF" w:sz="8" w:space="0"/>
            </w:tcBorders>
            <w:tcMar>
              <w:top w:w="0" w:type="dxa"/>
              <w:left w:w="0" w:type="dxa"/>
              <w:bottom w:w="0" w:type="dxa"/>
              <w:right w:w="0" w:type="dxa"/>
            </w:tcMar>
          </w:tcPr>
          <w:p w14:paraId="23C2A381">
            <w:pPr>
              <w:widowControl w:val="0"/>
              <w:ind w:right="-90"/>
              <w:jc w:val="center"/>
              <w:rPr>
                <w:rFonts w:ascii="Arial" w:hAnsi="Arial" w:eastAsia="Times New Roman" w:cs="Arial"/>
              </w:rPr>
            </w:pPr>
            <w:r>
              <w:rPr>
                <w:rFonts w:ascii="Arial" w:hAnsi="Arial" w:eastAsia="Times New Roman" w:cs="Arial"/>
                <w:i/>
                <w:iCs/>
              </w:rPr>
              <w:t>p</w:t>
            </w:r>
            <w:r>
              <w:rPr>
                <w:rFonts w:ascii="Arial" w:hAnsi="Arial" w:eastAsia="Times New Roman" w:cs="Arial"/>
              </w:rPr>
              <w:t>=0.001*</w:t>
            </w:r>
          </w:p>
        </w:tc>
      </w:tr>
    </w:tbl>
    <w:p w14:paraId="1D3D79F0">
      <w:pPr>
        <w:spacing w:line="480" w:lineRule="auto"/>
        <w:ind w:right="-90"/>
        <w:rPr>
          <w:rFonts w:ascii="Arial" w:hAnsi="Arial" w:eastAsia="Times New Roman" w:cs="Arial"/>
          <w:i/>
          <w:iCs/>
        </w:rPr>
      </w:pPr>
      <w:r>
        <w:rPr>
          <w:rFonts w:ascii="Arial" w:hAnsi="Arial" w:eastAsia="Times New Roman" w:cs="Arial"/>
          <w:i/>
          <w:iCs/>
        </w:rPr>
        <w:t>Correlation is significant at the 0.05 level (2-tailed).</w:t>
      </w:r>
    </w:p>
    <w:p w14:paraId="5A7BBE88">
      <w:pPr>
        <w:spacing w:line="480" w:lineRule="auto"/>
        <w:ind w:right="-90"/>
        <w:rPr>
          <w:rFonts w:ascii="Arial" w:hAnsi="Arial" w:eastAsia="Times New Roman" w:cs="Arial"/>
          <w:b/>
          <w:bCs/>
        </w:rPr>
      </w:pPr>
      <w:r>
        <w:rPr>
          <w:rFonts w:ascii="Arial" w:hAnsi="Arial" w:eastAsia="Times New Roman" w:cs="Arial"/>
          <w:b/>
          <w:bCs/>
        </w:rPr>
        <w:t xml:space="preserve">Table 5b </w:t>
      </w:r>
    </w:p>
    <w:p w14:paraId="58495925">
      <w:pPr>
        <w:ind w:right="-90"/>
        <w:rPr>
          <w:rFonts w:ascii="Arial" w:hAnsi="Arial" w:eastAsia="Times New Roman" w:cs="Arial"/>
          <w:i/>
          <w:iCs/>
        </w:rPr>
      </w:pPr>
      <w:r>
        <w:rPr>
          <w:rFonts w:ascii="Arial" w:hAnsi="Arial" w:eastAsia="Times New Roman" w:cs="Arial"/>
          <w:i/>
          <w:iCs/>
        </w:rPr>
        <w:t>Relationship between knowledge and attitude of herbal plants among households in the rural community</w:t>
      </w:r>
    </w:p>
    <w:tbl>
      <w:tblPr>
        <w:tblStyle w:val="26"/>
        <w:tblW w:w="86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320"/>
        <w:gridCol w:w="2160"/>
        <w:gridCol w:w="2160"/>
      </w:tblGrid>
      <w:tr w14:paraId="2199AA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40" w:hRule="atLeast"/>
        </w:trPr>
        <w:tc>
          <w:tcPr>
            <w:tcW w:w="4320" w:type="dxa"/>
            <w:tcBorders>
              <w:left w:val="single" w:color="FFFFFF" w:sz="8" w:space="0"/>
              <w:bottom w:val="single" w:color="FFFFFF" w:sz="8" w:space="0"/>
              <w:right w:val="single" w:color="FFFFFF" w:sz="8" w:space="0"/>
            </w:tcBorders>
            <w:tcMar>
              <w:top w:w="100" w:type="dxa"/>
              <w:left w:w="100" w:type="dxa"/>
              <w:bottom w:w="100" w:type="dxa"/>
              <w:right w:w="100" w:type="dxa"/>
            </w:tcMar>
          </w:tcPr>
          <w:p w14:paraId="10EDD64F">
            <w:pPr>
              <w:widowControl w:val="0"/>
              <w:ind w:right="-90"/>
              <w:jc w:val="right"/>
              <w:rPr>
                <w:rFonts w:ascii="Arial" w:hAnsi="Arial" w:eastAsia="Times New Roman" w:cs="Arial"/>
              </w:rPr>
            </w:pPr>
          </w:p>
        </w:tc>
        <w:tc>
          <w:tcPr>
            <w:tcW w:w="4320" w:type="dxa"/>
            <w:gridSpan w:val="2"/>
            <w:tcBorders>
              <w:left w:val="single" w:color="FFFFFF" w:sz="8" w:space="0"/>
            </w:tcBorders>
            <w:tcMar>
              <w:top w:w="100" w:type="dxa"/>
              <w:left w:w="100" w:type="dxa"/>
              <w:bottom w:w="100" w:type="dxa"/>
              <w:right w:w="100" w:type="dxa"/>
            </w:tcMar>
          </w:tcPr>
          <w:p w14:paraId="0F433D77">
            <w:pPr>
              <w:widowControl w:val="0"/>
              <w:ind w:right="-90"/>
              <w:jc w:val="center"/>
              <w:rPr>
                <w:rFonts w:ascii="Arial" w:hAnsi="Arial" w:eastAsia="Times New Roman" w:cs="Arial"/>
              </w:rPr>
            </w:pPr>
            <w:r>
              <w:rPr>
                <w:rFonts w:ascii="Arial" w:hAnsi="Arial" w:eastAsia="Times New Roman" w:cs="Arial"/>
              </w:rPr>
              <w:t>Attitude</w:t>
            </w:r>
          </w:p>
        </w:tc>
      </w:tr>
      <w:tr w14:paraId="721D73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40" w:hRule="atLeast"/>
        </w:trPr>
        <w:tc>
          <w:tcPr>
            <w:tcW w:w="4320" w:type="dxa"/>
            <w:tcBorders>
              <w:top w:val="single" w:color="FFFFFF" w:sz="8" w:space="0"/>
              <w:left w:val="single" w:color="FFFFFF" w:sz="8" w:space="0"/>
            </w:tcBorders>
            <w:tcMar>
              <w:top w:w="100" w:type="dxa"/>
              <w:left w:w="100" w:type="dxa"/>
              <w:bottom w:w="100" w:type="dxa"/>
              <w:right w:w="100" w:type="dxa"/>
            </w:tcMar>
          </w:tcPr>
          <w:p w14:paraId="1F2F4AD8">
            <w:pPr>
              <w:widowControl w:val="0"/>
              <w:ind w:right="-90"/>
              <w:jc w:val="center"/>
              <w:rPr>
                <w:rFonts w:ascii="Arial" w:hAnsi="Arial" w:eastAsia="Times New Roman" w:cs="Arial"/>
              </w:rPr>
            </w:pPr>
          </w:p>
        </w:tc>
        <w:tc>
          <w:tcPr>
            <w:tcW w:w="2160" w:type="dxa"/>
            <w:tcBorders>
              <w:left w:val="single" w:color="FFFFFF" w:sz="8" w:space="0"/>
              <w:right w:val="single" w:color="FFFFFF" w:sz="8" w:space="0"/>
            </w:tcBorders>
            <w:tcMar>
              <w:top w:w="100" w:type="dxa"/>
              <w:left w:w="100" w:type="dxa"/>
              <w:bottom w:w="100" w:type="dxa"/>
              <w:right w:w="100" w:type="dxa"/>
            </w:tcMar>
          </w:tcPr>
          <w:p w14:paraId="7456FF7B">
            <w:pPr>
              <w:widowControl w:val="0"/>
              <w:ind w:right="-90"/>
              <w:jc w:val="center"/>
              <w:rPr>
                <w:rFonts w:ascii="Arial" w:hAnsi="Arial" w:eastAsia="Times New Roman" w:cs="Arial"/>
              </w:rPr>
            </w:pPr>
            <w:r>
              <w:rPr>
                <w:rFonts w:ascii="Arial" w:hAnsi="Arial" w:eastAsia="Times New Roman" w:cs="Arial"/>
                <w:i/>
                <w:iCs/>
              </w:rPr>
              <w:t>r</w:t>
            </w:r>
            <w:r>
              <w:rPr>
                <w:rFonts w:ascii="Arial" w:hAnsi="Arial" w:eastAsia="Times New Roman" w:cs="Arial"/>
                <w:i/>
                <w:iCs/>
                <w:vertAlign w:val="subscript"/>
              </w:rPr>
              <w:t>-</w:t>
            </w:r>
            <w:r>
              <w:rPr>
                <w:rFonts w:ascii="Arial" w:hAnsi="Arial" w:eastAsia="Times New Roman" w:cs="Arial"/>
              </w:rPr>
              <w:t>value</w:t>
            </w:r>
          </w:p>
        </w:tc>
        <w:tc>
          <w:tcPr>
            <w:tcW w:w="2160" w:type="dxa"/>
            <w:tcBorders>
              <w:right w:val="single" w:color="FFFFFF" w:sz="8" w:space="0"/>
            </w:tcBorders>
            <w:tcMar>
              <w:top w:w="100" w:type="dxa"/>
              <w:left w:w="100" w:type="dxa"/>
              <w:bottom w:w="100" w:type="dxa"/>
              <w:right w:w="100" w:type="dxa"/>
            </w:tcMar>
          </w:tcPr>
          <w:p w14:paraId="489408AB">
            <w:pPr>
              <w:widowControl w:val="0"/>
              <w:ind w:right="-90"/>
              <w:jc w:val="center"/>
              <w:rPr>
                <w:rFonts w:ascii="Arial" w:hAnsi="Arial" w:eastAsia="Times New Roman" w:cs="Arial"/>
              </w:rPr>
            </w:pPr>
            <w:r>
              <w:rPr>
                <w:rFonts w:ascii="Arial" w:hAnsi="Arial" w:eastAsia="Times New Roman" w:cs="Arial"/>
              </w:rPr>
              <w:t>Sig. (2-tailed)</w:t>
            </w:r>
          </w:p>
        </w:tc>
      </w:tr>
      <w:tr w14:paraId="2A4AC6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44" w:hRule="atLeast"/>
        </w:trPr>
        <w:tc>
          <w:tcPr>
            <w:tcW w:w="4320" w:type="dxa"/>
            <w:tcBorders>
              <w:left w:val="single" w:color="FFFFFF" w:sz="8" w:space="0"/>
              <w:right w:val="single" w:color="FFFFFF" w:sz="8" w:space="0"/>
            </w:tcBorders>
            <w:tcMar>
              <w:top w:w="100" w:type="dxa"/>
              <w:left w:w="100" w:type="dxa"/>
              <w:bottom w:w="100" w:type="dxa"/>
              <w:right w:w="100" w:type="dxa"/>
            </w:tcMar>
          </w:tcPr>
          <w:p w14:paraId="6ED34E8D">
            <w:pPr>
              <w:widowControl w:val="0"/>
              <w:ind w:right="-90"/>
              <w:rPr>
                <w:rFonts w:ascii="Arial" w:hAnsi="Arial" w:eastAsia="Times New Roman" w:cs="Arial"/>
              </w:rPr>
            </w:pPr>
            <w:r>
              <w:rPr>
                <w:rFonts w:ascii="Arial" w:hAnsi="Arial" w:eastAsia="Times New Roman" w:cs="Arial"/>
              </w:rPr>
              <w:t>Knowledge</w:t>
            </w:r>
          </w:p>
        </w:tc>
        <w:tc>
          <w:tcPr>
            <w:tcW w:w="2160" w:type="dxa"/>
            <w:tcBorders>
              <w:left w:val="single" w:color="FFFFFF" w:sz="8" w:space="0"/>
              <w:right w:val="single" w:color="FFFFFF" w:sz="8" w:space="0"/>
            </w:tcBorders>
            <w:tcMar>
              <w:top w:w="0" w:type="dxa"/>
              <w:left w:w="0" w:type="dxa"/>
              <w:bottom w:w="0" w:type="dxa"/>
              <w:right w:w="0" w:type="dxa"/>
            </w:tcMar>
          </w:tcPr>
          <w:p w14:paraId="3B79643E">
            <w:pPr>
              <w:widowControl w:val="0"/>
              <w:ind w:right="-90"/>
              <w:jc w:val="center"/>
              <w:rPr>
                <w:rFonts w:ascii="Arial" w:hAnsi="Arial" w:eastAsia="Times New Roman" w:cs="Arial"/>
              </w:rPr>
            </w:pPr>
            <w:r>
              <w:rPr>
                <w:rFonts w:ascii="Arial" w:hAnsi="Arial" w:eastAsia="Times New Roman" w:cs="Arial"/>
              </w:rPr>
              <w:t>0.030</w:t>
            </w:r>
          </w:p>
        </w:tc>
        <w:tc>
          <w:tcPr>
            <w:tcW w:w="2160" w:type="dxa"/>
            <w:tcBorders>
              <w:left w:val="single" w:color="FFFFFF" w:sz="8" w:space="0"/>
              <w:right w:val="single" w:color="FFFFFF" w:sz="8" w:space="0"/>
            </w:tcBorders>
            <w:tcMar>
              <w:top w:w="100" w:type="dxa"/>
              <w:left w:w="100" w:type="dxa"/>
              <w:bottom w:w="100" w:type="dxa"/>
              <w:right w:w="100" w:type="dxa"/>
            </w:tcMar>
          </w:tcPr>
          <w:p w14:paraId="3B078374">
            <w:pPr>
              <w:widowControl w:val="0"/>
              <w:ind w:right="-90"/>
              <w:jc w:val="center"/>
              <w:rPr>
                <w:rFonts w:ascii="Arial" w:hAnsi="Arial" w:eastAsia="Times New Roman" w:cs="Arial"/>
              </w:rPr>
            </w:pPr>
            <w:r>
              <w:rPr>
                <w:rFonts w:ascii="Arial" w:hAnsi="Arial" w:eastAsia="Times New Roman" w:cs="Arial"/>
              </w:rPr>
              <w:t>0.748</w:t>
            </w:r>
          </w:p>
        </w:tc>
      </w:tr>
    </w:tbl>
    <w:p w14:paraId="11A6EEB7">
      <w:pPr>
        <w:ind w:right="-90"/>
        <w:rPr>
          <w:rFonts w:ascii="Arial" w:hAnsi="Arial" w:eastAsia="Times New Roman" w:cs="Arial"/>
          <w:b/>
          <w:bCs/>
        </w:rPr>
      </w:pPr>
      <w:r>
        <w:rPr>
          <w:rFonts w:ascii="Arial" w:hAnsi="Arial" w:eastAsia="Times New Roman" w:cs="Arial"/>
          <w:i/>
          <w:iCs/>
        </w:rPr>
        <w:t>Correlation is not significant at the 0.05 level (2-tailed).</w:t>
      </w:r>
    </w:p>
    <w:p w14:paraId="4C209B6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sz w:val="16"/>
          <w:szCs w:val="16"/>
        </w:rPr>
      </w:pPr>
    </w:p>
    <w:p w14:paraId="19F7803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sz w:val="16"/>
          <w:szCs w:val="16"/>
        </w:rPr>
      </w:pPr>
    </w:p>
    <w:p w14:paraId="46FF5D41">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commentRangeStart w:id="4"/>
      <w:r>
        <w:rPr>
          <w:rFonts w:ascii="Arial" w:hAnsi="Arial" w:eastAsia="Arial" w:cs="Arial"/>
          <w:b/>
          <w:bCs/>
          <w:smallCaps/>
          <w:color w:val="000000"/>
          <w:sz w:val="22"/>
          <w:szCs w:val="22"/>
        </w:rPr>
        <w:t>4. Conclusion</w:t>
      </w:r>
      <w:commentRangeEnd w:id="4"/>
      <w:r>
        <w:commentReference w:id="4"/>
      </w:r>
    </w:p>
    <w:p w14:paraId="4DA97030">
      <w:pPr>
        <w:pBdr>
          <w:top w:val="none" w:color="auto" w:sz="0" w:space="0"/>
          <w:left w:val="none" w:color="auto" w:sz="0" w:space="0"/>
          <w:bottom w:val="none" w:color="auto" w:sz="0" w:space="0"/>
          <w:right w:val="none" w:color="auto" w:sz="0" w:space="0"/>
          <w:between w:val="none" w:color="auto" w:sz="0" w:space="0"/>
        </w:pBdr>
        <w:spacing w:after="240"/>
        <w:jc w:val="both"/>
        <w:rPr>
          <w:rFonts w:ascii="Arial" w:hAnsi="Arial" w:eastAsia="Arial" w:cs="Arial"/>
          <w:color w:val="000000"/>
        </w:rPr>
      </w:pPr>
      <w:r>
        <w:rPr>
          <w:rFonts w:ascii="Arial" w:hAnsi="Arial" w:eastAsia="Arial" w:cs="Arial"/>
          <w:color w:val="000000"/>
        </w:rPr>
        <w:t>The study demonstrated that herbal plants are prevalent in terms of usage among the households in the selected rural barangay, particularly among the first age group, as a result of considering that the result is almost equally distributed between male and female and the majority have completed high school education. The respondents demonstrated an average level of knowledge, wherein it reflects the practical DOH-approved herbal plants as well as their basic applications, though some specific uses and prior preparations for the methods used still require further study and clarification. In terms of attitude, it possessed a high level, wherein it highlighted a strong cultural acceptance, trust in health workers, and positive beliefs about safety as well as the effectiveness of herbal plants as complementary medicine. In terms of practice, a high level was indicated as well, wherein the households in the selected barangay actively prepared, used, and incorporated herbal plants as part of their medications and remedies into their health routines. The inferential analysis showed that there was no significant relationship between knowledge and practice, even in knowledge and practice; it suggests that technical knowledge alone does not strongly influence the usage of herbal plants in the community. However, the positive relationship between attitude and practice confirms the favorable perceptions towards herbal plants are associated with the consistency and effectiveness of use.  </w:t>
      </w:r>
    </w:p>
    <w:p w14:paraId="7B00BCA3">
      <w:pPr>
        <w:rPr>
          <w:rFonts w:ascii="Arial" w:hAnsi="Arial" w:cs="Arial"/>
        </w:rPr>
      </w:pPr>
    </w:p>
    <w:p w14:paraId="6651A436">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Competing interests</w:t>
      </w:r>
    </w:p>
    <w:p w14:paraId="65159424">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p w14:paraId="07E111D5">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Authors have declared that no competing interests exist.</w:t>
      </w:r>
    </w:p>
    <w:p w14:paraId="6075C94E">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rPr>
      </w:pPr>
    </w:p>
    <w:p w14:paraId="55083EF2">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 xml:space="preserve">Consent </w:t>
      </w:r>
    </w:p>
    <w:p w14:paraId="38639FEF">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p w14:paraId="60FB5B61">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The respondents were provided with a signed informed consent form that included the study, its goal, objectives, risks, benefits, and learning outcomes of participation. The form clearly stated that participation was not and will never be mandatory. To facilitate the understanding, the researcher presented the informed consent in a dialect used in the area. The respondents who submitted and signed the form were deemed eligible to partake in the study.</w:t>
      </w:r>
    </w:p>
    <w:p w14:paraId="25ED83FD">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23ED3C0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 xml:space="preserve">Ethical approval </w:t>
      </w:r>
    </w:p>
    <w:p w14:paraId="5F24BE72">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smallCaps/>
          <w:color w:val="000000"/>
        </w:rPr>
      </w:pPr>
      <w:r>
        <w:rPr>
          <w:rFonts w:ascii="Arial" w:hAnsi="Arial" w:eastAsia="Arial" w:cs="Arial"/>
          <w:color w:val="000000"/>
        </w:rPr>
        <w:t>this research was submitted to the INSTITUTIONAL RESEARCH DEPARTMENT OF ILOILO DOCTORS' COLLEGE (IDIREC) and was granted ethical clearance (IDIREC-2025. O-249), ensuring compliance with ethical tenets of respect, beneficence, and justice.</w:t>
      </w:r>
    </w:p>
    <w:p w14:paraId="1FAAF674">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color w:val="000000"/>
          <w:sz w:val="22"/>
          <w:szCs w:val="22"/>
        </w:rPr>
      </w:pPr>
    </w:p>
    <w:p w14:paraId="7CBD8E36">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smallCaps/>
          <w:color w:val="000000"/>
          <w:sz w:val="22"/>
          <w:szCs w:val="22"/>
        </w:rPr>
      </w:pPr>
      <w:r>
        <w:rPr>
          <w:rFonts w:ascii="Arial" w:hAnsi="Arial" w:eastAsia="Arial" w:cs="Arial"/>
          <w:b/>
          <w:bCs/>
          <w:color w:val="000000"/>
          <w:sz w:val="22"/>
          <w:szCs w:val="22"/>
        </w:rPr>
        <w:t>AI Disclosure:</w:t>
      </w:r>
      <w:r>
        <w:rPr>
          <w:rFonts w:ascii="Arial" w:hAnsi="Arial" w:eastAsia="Arial" w:cs="Arial"/>
          <w:smallCaps/>
          <w:color w:val="000000"/>
          <w:sz w:val="22"/>
          <w:szCs w:val="22"/>
        </w:rPr>
        <w:t xml:space="preserve"> </w:t>
      </w:r>
      <w:r>
        <w:rPr>
          <w:rFonts w:ascii="Arial" w:hAnsi="Arial" w:eastAsia="Arial" w:cs="Arial"/>
          <w:color w:val="000000"/>
          <w:sz w:val="22"/>
          <w:szCs w:val="22"/>
        </w:rPr>
        <w:t>the researchers used chatgpt and perplexity for assistance but ensured the accuracy, integrity, and originality of the study.</w:t>
      </w:r>
    </w:p>
    <w:p w14:paraId="0F05B82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p w14:paraId="6976D13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p>
    <w:p w14:paraId="0E44058B">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References</w:t>
      </w:r>
    </w:p>
    <w:p w14:paraId="6295569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Abebe, W. (2009). Herbal medication: Potential for adverse interactions with analgesic drugs. </w:t>
      </w:r>
      <w:r>
        <w:rPr>
          <w:rFonts w:ascii="Arial" w:hAnsi="Arial" w:eastAsia="Arial" w:cs="Arial"/>
          <w:i/>
          <w:iCs/>
          <w:color w:val="000000"/>
        </w:rPr>
        <w:t>Journal of Clinical Pharmacy and Therapeutics, 27</w:t>
      </w:r>
      <w:r>
        <w:rPr>
          <w:rFonts w:ascii="Arial" w:hAnsi="Arial" w:eastAsia="Arial" w:cs="Arial"/>
          <w:color w:val="000000"/>
        </w:rPr>
        <w:t>(6), 391–401.</w:t>
      </w:r>
      <w:r>
        <w:fldChar w:fldCharType="begin"/>
      </w:r>
      <w:r>
        <w:instrText xml:space="preserve"> HYPERLINK "https://doi.org/10.1046/j.1365-2710.2002.00444.x" \h </w:instrText>
      </w:r>
      <w:r>
        <w:fldChar w:fldCharType="separate"/>
      </w:r>
      <w:r>
        <w:rPr>
          <w:rFonts w:ascii="Arial" w:hAnsi="Arial" w:eastAsia="Arial" w:cs="Arial"/>
          <w:color w:val="FF0080"/>
          <w:u w:val="single"/>
        </w:rPr>
        <w:t xml:space="preserve"> https://doi.org/10.1046/j.1365-2710.2002.00444.x</w:t>
      </w:r>
      <w:r>
        <w:rPr>
          <w:rFonts w:ascii="Arial" w:hAnsi="Arial" w:eastAsia="Arial" w:cs="Arial"/>
          <w:color w:val="FF0080"/>
          <w:u w:val="single"/>
        </w:rPr>
        <w:fldChar w:fldCharType="end"/>
      </w:r>
    </w:p>
    <w:p w14:paraId="16271E4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Aljawarneh, A. H., Al-Shaqsi, M. A., &amp; Al-Salmi, S. A. (2023). Public perception and usage of complementary and alternative medicine in the United Arab Emirates: A cross-sectional study. </w:t>
      </w:r>
      <w:r>
        <w:rPr>
          <w:rFonts w:ascii="Arial" w:hAnsi="Arial" w:eastAsia="Arial" w:cs="Arial"/>
          <w:i/>
          <w:iCs/>
          <w:color w:val="000000"/>
        </w:rPr>
        <w:t>Journal of Complementary Medicine Research, 14</w:t>
      </w:r>
      <w:r>
        <w:rPr>
          <w:rFonts w:ascii="Arial" w:hAnsi="Arial" w:eastAsia="Arial" w:cs="Arial"/>
          <w:color w:val="000000"/>
        </w:rPr>
        <w:t>(2), 115–123.</w:t>
      </w:r>
    </w:p>
    <w:p w14:paraId="75C100E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Alqahtani, A. M., Ali, A. M., &amp; Alowais, M. A. (2020). Knowledge, attitude, and practice of herbal medicines among Saudi people. </w:t>
      </w:r>
      <w:r>
        <w:rPr>
          <w:rFonts w:ascii="Arial" w:hAnsi="Arial" w:eastAsia="Arial" w:cs="Arial"/>
          <w:i/>
          <w:iCs/>
          <w:color w:val="000000"/>
        </w:rPr>
        <w:t>Saudi Journal of Biological Sciences, 27</w:t>
      </w:r>
      <w:r>
        <w:rPr>
          <w:rFonts w:ascii="Arial" w:hAnsi="Arial" w:eastAsia="Arial" w:cs="Arial"/>
          <w:color w:val="000000"/>
        </w:rPr>
        <w:t>(5), 1431–1437.</w:t>
      </w:r>
      <w:r>
        <w:fldChar w:fldCharType="begin"/>
      </w:r>
      <w:r>
        <w:instrText xml:space="preserve"> HYPERLINK "https://doi.org/10.1016/j.sjbs.2019.12.002" \h </w:instrText>
      </w:r>
      <w:r>
        <w:fldChar w:fldCharType="separate"/>
      </w:r>
      <w:r>
        <w:rPr>
          <w:rFonts w:ascii="Arial" w:hAnsi="Arial" w:eastAsia="Arial" w:cs="Arial"/>
          <w:color w:val="FF0080"/>
          <w:u w:val="single"/>
        </w:rPr>
        <w:t xml:space="preserve"> https://doi.org/10.1016/j.sjbs.2019.12.002</w:t>
      </w:r>
      <w:r>
        <w:rPr>
          <w:rFonts w:ascii="Arial" w:hAnsi="Arial" w:eastAsia="Arial" w:cs="Arial"/>
          <w:color w:val="FF0080"/>
          <w:u w:val="single"/>
        </w:rPr>
        <w:fldChar w:fldCharType="end"/>
      </w:r>
    </w:p>
    <w:p w14:paraId="084B79F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Alrowais, N. A., &amp; Alyousefi, N. A. (2022). The prevalence and extent of herbal medicine use among Saudi patients. </w:t>
      </w:r>
      <w:r>
        <w:rPr>
          <w:rFonts w:ascii="Arial" w:hAnsi="Arial" w:eastAsia="Arial" w:cs="Arial"/>
          <w:i/>
          <w:iCs/>
          <w:color w:val="000000"/>
        </w:rPr>
        <w:t>BMC Complementary Medicine and Therapies, 22</w:t>
      </w:r>
      <w:r>
        <w:rPr>
          <w:rFonts w:ascii="Arial" w:hAnsi="Arial" w:eastAsia="Arial" w:cs="Arial"/>
          <w:color w:val="000000"/>
        </w:rPr>
        <w:t>(1), 200.</w:t>
      </w:r>
    </w:p>
    <w:p w14:paraId="5293352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Al-Riyami, M. S., Al-Busaidi, I. H., &amp; Al-Mamari, A. H. (2023). Knowledge, attitude, and practice toward herbal medicines among adults in Oman: A national cross-sectional survey. </w:t>
      </w:r>
      <w:r>
        <w:rPr>
          <w:rFonts w:ascii="Arial" w:hAnsi="Arial" w:eastAsia="Arial" w:cs="Arial"/>
          <w:i/>
          <w:iCs/>
          <w:color w:val="000000"/>
        </w:rPr>
        <w:t>BMC Complementary Medicine and Therapies, 23</w:t>
      </w:r>
      <w:r>
        <w:rPr>
          <w:rFonts w:ascii="Arial" w:hAnsi="Arial" w:eastAsia="Arial" w:cs="Arial"/>
          <w:color w:val="000000"/>
        </w:rPr>
        <w:t>(1), 1–10.</w:t>
      </w:r>
    </w:p>
    <w:p w14:paraId="746BD28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Alzahrani, S. H., Bashawri, J., Salawati, E. M., &amp; Bakarman, M. A. (2016). Knowledge and attitudes towards complementary and alternative medicine among senior medical students in King Abdulaziz University, Saudi Arabia. </w:t>
      </w:r>
      <w:r>
        <w:rPr>
          <w:rFonts w:ascii="Arial" w:hAnsi="Arial" w:eastAsia="Arial" w:cs="Arial"/>
          <w:i/>
          <w:iCs/>
          <w:color w:val="000000"/>
        </w:rPr>
        <w:t>Evidence-Based Complementary and Alternative Medicine, 2016</w:t>
      </w:r>
      <w:r>
        <w:rPr>
          <w:rFonts w:ascii="Arial" w:hAnsi="Arial" w:eastAsia="Arial" w:cs="Arial"/>
          <w:color w:val="000000"/>
        </w:rPr>
        <w:t>, Article 9370721.</w:t>
      </w:r>
      <w:r>
        <w:fldChar w:fldCharType="begin"/>
      </w:r>
      <w:r>
        <w:instrText xml:space="preserve"> HYPERLINK "https://doi.org/10.1155/2016/9370721" \h </w:instrText>
      </w:r>
      <w:r>
        <w:fldChar w:fldCharType="separate"/>
      </w:r>
      <w:r>
        <w:rPr>
          <w:rFonts w:ascii="Arial" w:hAnsi="Arial" w:eastAsia="Arial" w:cs="Arial"/>
          <w:color w:val="FF0080"/>
          <w:u w:val="single"/>
        </w:rPr>
        <w:t xml:space="preserve"> https://doi.org/10.1155/2016/9370721</w:t>
      </w:r>
      <w:r>
        <w:rPr>
          <w:rFonts w:ascii="Arial" w:hAnsi="Arial" w:eastAsia="Arial" w:cs="Arial"/>
          <w:color w:val="FF0080"/>
          <w:u w:val="single"/>
        </w:rPr>
        <w:fldChar w:fldCharType="end"/>
      </w:r>
    </w:p>
    <w:p w14:paraId="6778039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Alzahrani SH, Bashawri J, Salawati EM, Bakarman MA (2016). Knowledge and Attitudes towards Complementary and Alternative Medicine among Senior Medical Students in King Abdulaziz University, Saudi Arabia. </w:t>
      </w:r>
      <w:r>
        <w:rPr>
          <w:rFonts w:ascii="Arial" w:hAnsi="Arial" w:eastAsia="Arial" w:cs="Arial"/>
          <w:i/>
          <w:iCs/>
          <w:color w:val="000000"/>
        </w:rPr>
        <w:t>Evidence-Based Complement Altern Med</w:t>
      </w:r>
      <w:r>
        <w:rPr>
          <w:rFonts w:ascii="Arial" w:hAnsi="Arial" w:eastAsia="Arial" w:cs="Arial"/>
          <w:color w:val="000000"/>
        </w:rPr>
        <w:t>, 9370721.</w:t>
      </w:r>
      <w:r>
        <w:fldChar w:fldCharType="begin"/>
      </w:r>
      <w:r>
        <w:instrText xml:space="preserve"> HYPERLINK "https://doi.org/10.1155/2016/9370721" \h </w:instrText>
      </w:r>
      <w:r>
        <w:fldChar w:fldCharType="separate"/>
      </w:r>
      <w:r>
        <w:rPr>
          <w:rFonts w:ascii="Arial" w:hAnsi="Arial" w:eastAsia="Arial" w:cs="Arial"/>
          <w:color w:val="FF0080"/>
          <w:u w:val="single"/>
        </w:rPr>
        <w:t xml:space="preserve"> https://doi.org/10.1155/2016/9370721</w:t>
      </w:r>
      <w:r>
        <w:rPr>
          <w:rFonts w:ascii="Arial" w:hAnsi="Arial" w:eastAsia="Arial" w:cs="Arial"/>
          <w:color w:val="FF0080"/>
          <w:u w:val="single"/>
        </w:rPr>
        <w:fldChar w:fldCharType="end"/>
      </w:r>
    </w:p>
    <w:p w14:paraId="022FB35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Ayalew, M., Mekonnen, T., &amp; Abebe, M. (2017). Knowledge, attitude and practice towards traditional medicine among communities in Ethiopia. </w:t>
      </w:r>
      <w:r>
        <w:rPr>
          <w:rFonts w:ascii="Arial" w:hAnsi="Arial" w:eastAsia="Arial" w:cs="Arial"/>
          <w:i/>
          <w:iCs/>
          <w:color w:val="000000"/>
        </w:rPr>
        <w:t>BMC Complementary and Alternative Medicine, 17</w:t>
      </w:r>
      <w:r>
        <w:rPr>
          <w:rFonts w:ascii="Arial" w:hAnsi="Arial" w:eastAsia="Arial" w:cs="Arial"/>
          <w:color w:val="000000"/>
        </w:rPr>
        <w:t>(1), 1–7.</w:t>
      </w:r>
      <w:r>
        <w:fldChar w:fldCharType="begin"/>
      </w:r>
      <w:r>
        <w:instrText xml:space="preserve"> HYPERLINK "https://doi.org/10.1186/s12906-017-1903-9" \h </w:instrText>
      </w:r>
      <w:r>
        <w:fldChar w:fldCharType="separate"/>
      </w:r>
      <w:r>
        <w:rPr>
          <w:rFonts w:ascii="Arial" w:hAnsi="Arial" w:eastAsia="Arial" w:cs="Arial"/>
          <w:color w:val="FF0080"/>
          <w:u w:val="single"/>
        </w:rPr>
        <w:t xml:space="preserve"> https://doi.org/10.1186/s12906-017-1903-9</w:t>
      </w:r>
      <w:r>
        <w:rPr>
          <w:rFonts w:ascii="Arial" w:hAnsi="Arial" w:eastAsia="Arial" w:cs="Arial"/>
          <w:color w:val="FF0080"/>
          <w:u w:val="single"/>
        </w:rPr>
        <w:fldChar w:fldCharType="end"/>
      </w:r>
    </w:p>
    <w:p w14:paraId="7B00F75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Baharum, N., et al. (2024). Newly employed nurses’ adaptation scale [Instrument].</w:t>
      </w:r>
    </w:p>
    <w:p w14:paraId="6F1E78E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Baharum, N., Ismail, A., &amp; Yusof, N. (2024). Newly Employed Nurses’ Adaptation Scale: Validation and reliability testing. </w:t>
      </w:r>
      <w:r>
        <w:rPr>
          <w:rFonts w:ascii="Arial" w:hAnsi="Arial" w:eastAsia="Arial" w:cs="Arial"/>
          <w:i/>
          <w:iCs/>
          <w:color w:val="000000"/>
        </w:rPr>
        <w:t>Journal of Nursing Management, 32</w:t>
      </w:r>
      <w:r>
        <w:rPr>
          <w:rFonts w:ascii="Arial" w:hAnsi="Arial" w:eastAsia="Arial" w:cs="Arial"/>
          <w:color w:val="000000"/>
        </w:rPr>
        <w:t>(2), 112–120.</w:t>
      </w:r>
      <w:r>
        <w:fldChar w:fldCharType="begin"/>
      </w:r>
      <w:r>
        <w:instrText xml:space="preserve"> HYPERLINK "https://doi.org/10.1016/j.jnma.2024.01.005" \h </w:instrText>
      </w:r>
      <w:r>
        <w:fldChar w:fldCharType="separate"/>
      </w:r>
      <w:r>
        <w:rPr>
          <w:rFonts w:ascii="Arial" w:hAnsi="Arial" w:eastAsia="Arial" w:cs="Arial"/>
          <w:color w:val="FF0080"/>
          <w:u w:val="single"/>
        </w:rPr>
        <w:t xml:space="preserve"> https://doi.org/10.1016/j.jnma.2024.01.005</w:t>
      </w:r>
      <w:r>
        <w:rPr>
          <w:rFonts w:ascii="Arial" w:hAnsi="Arial" w:eastAsia="Arial" w:cs="Arial"/>
          <w:color w:val="FF0080"/>
          <w:u w:val="single"/>
        </w:rPr>
        <w:fldChar w:fldCharType="end"/>
      </w:r>
    </w:p>
    <w:p w14:paraId="7F126AF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Baharum, N., Rahman, N. A., &amp; Ismail, M. (2024). Newly Employed Nurses’ Adaptation Likert Scale: Development and validation study. </w:t>
      </w:r>
      <w:r>
        <w:rPr>
          <w:rFonts w:ascii="Arial" w:hAnsi="Arial" w:eastAsia="Arial" w:cs="Arial"/>
          <w:i/>
          <w:iCs/>
          <w:color w:val="000000"/>
        </w:rPr>
        <w:t>Journal of Nursing Measurement, 32</w:t>
      </w:r>
      <w:r>
        <w:rPr>
          <w:rFonts w:ascii="Arial" w:hAnsi="Arial" w:eastAsia="Arial" w:cs="Arial"/>
          <w:color w:val="000000"/>
        </w:rPr>
        <w:t>(1), 45–57.</w:t>
      </w:r>
      <w:r>
        <w:fldChar w:fldCharType="begin"/>
      </w:r>
      <w:r>
        <w:instrText xml:space="preserve"> HYPERLINK "https://doi.org/10.1891/JNM-2024-0021" \h </w:instrText>
      </w:r>
      <w:r>
        <w:fldChar w:fldCharType="separate"/>
      </w:r>
      <w:r>
        <w:rPr>
          <w:rFonts w:ascii="Arial" w:hAnsi="Arial" w:eastAsia="Arial" w:cs="Arial"/>
          <w:color w:val="FF0080"/>
          <w:u w:val="single"/>
        </w:rPr>
        <w:t xml:space="preserve"> https://doi.org/10.1891/JNM-2024-0021</w:t>
      </w:r>
      <w:r>
        <w:rPr>
          <w:rFonts w:ascii="Arial" w:hAnsi="Arial" w:eastAsia="Arial" w:cs="Arial"/>
          <w:color w:val="FF0080"/>
          <w:u w:val="single"/>
        </w:rPr>
        <w:fldChar w:fldCharType="end"/>
      </w:r>
    </w:p>
    <w:p w14:paraId="009EBFE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Baharum, N., Rahman, N. A., &amp; Ismail, M. (2024). Newly employed nurses’ adaptation scale [Instrument].</w:t>
      </w:r>
    </w:p>
    <w:p w14:paraId="6535CF7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Balangcod, T., &amp; Balangcod, A. (2018). Ethnobotanical knowledge of rural communities in Northern Luzon, Philippines. </w:t>
      </w:r>
      <w:r>
        <w:rPr>
          <w:rFonts w:ascii="Arial" w:hAnsi="Arial" w:eastAsia="Arial" w:cs="Arial"/>
          <w:i/>
          <w:iCs/>
          <w:color w:val="000000"/>
        </w:rPr>
        <w:t>Asian Journal of Ethnobiology, 2</w:t>
      </w:r>
      <w:r>
        <w:rPr>
          <w:rFonts w:ascii="Arial" w:hAnsi="Arial" w:eastAsia="Arial" w:cs="Arial"/>
          <w:color w:val="000000"/>
        </w:rPr>
        <w:t>(3), 145–160.</w:t>
      </w:r>
    </w:p>
    <w:p w14:paraId="5C652FC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Barnes, J. (2019). </w:t>
      </w:r>
      <w:r>
        <w:rPr>
          <w:rFonts w:ascii="Arial" w:hAnsi="Arial" w:eastAsia="Arial" w:cs="Arial"/>
          <w:i/>
          <w:iCs/>
          <w:color w:val="000000"/>
        </w:rPr>
        <w:t>Herbal medicines: Adverse effects and drug–herb interactions</w:t>
      </w:r>
      <w:r>
        <w:rPr>
          <w:rFonts w:ascii="Arial" w:hAnsi="Arial" w:eastAsia="Arial" w:cs="Arial"/>
          <w:color w:val="000000"/>
        </w:rPr>
        <w:t>. Pharmaceutical Press.</w:t>
      </w:r>
    </w:p>
    <w:p w14:paraId="30E6839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Burns, N., &amp; Grove, S. K. (2016). </w:t>
      </w:r>
      <w:r>
        <w:rPr>
          <w:rFonts w:ascii="Arial" w:hAnsi="Arial" w:eastAsia="Arial" w:cs="Arial"/>
          <w:i/>
          <w:iCs/>
          <w:color w:val="000000"/>
        </w:rPr>
        <w:t>The practice of nursing research: Appraisal, synthesis, and generation of evidence</w:t>
      </w:r>
      <w:r>
        <w:rPr>
          <w:rFonts w:ascii="Arial" w:hAnsi="Arial" w:eastAsia="Arial" w:cs="Arial"/>
          <w:color w:val="000000"/>
        </w:rPr>
        <w:t xml:space="preserve"> (8th ed.). Elsevier.</w:t>
      </w:r>
    </w:p>
    <w:p w14:paraId="165213D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Burcham, C. L., Florence, A. J., &amp; Johnson, M. D. (2018). Continuous manufacturing in pharmaceutical process development and manufacturing. </w:t>
      </w:r>
      <w:r>
        <w:rPr>
          <w:rFonts w:ascii="Arial" w:hAnsi="Arial" w:eastAsia="Arial" w:cs="Arial"/>
          <w:i/>
          <w:iCs/>
          <w:color w:val="000000"/>
        </w:rPr>
        <w:t>Annual Review of Chemical and Biomolecular Engineering, 9</w:t>
      </w:r>
      <w:r>
        <w:rPr>
          <w:rFonts w:ascii="Arial" w:hAnsi="Arial" w:eastAsia="Arial" w:cs="Arial"/>
          <w:color w:val="000000"/>
        </w:rPr>
        <w:t>, 253–281. https://doi.org/10.1146/annurev-chembioeng-060817-084355</w:t>
      </w:r>
    </w:p>
    <w:p w14:paraId="65CFE17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Cabachete, R. M. (2025). Knowledge, attitude, and practices on herbal medicine use among pharmacists in Eastern Visayas. </w:t>
      </w:r>
      <w:r>
        <w:rPr>
          <w:rFonts w:ascii="Arial" w:hAnsi="Arial" w:eastAsia="Arial" w:cs="Arial"/>
          <w:i/>
          <w:iCs/>
          <w:color w:val="000000"/>
        </w:rPr>
        <w:t>Philippine Journal of Allied Health Sciences, 6</w:t>
      </w:r>
      <w:r>
        <w:rPr>
          <w:rFonts w:ascii="Arial" w:hAnsi="Arial" w:eastAsia="Arial" w:cs="Arial"/>
          <w:color w:val="000000"/>
        </w:rPr>
        <w:t>(1), 22–30.</w:t>
      </w:r>
    </w:p>
    <w:p w14:paraId="730A761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Catublas, M. T. (2016). Knowledge, attitude, and practices of mothers regarding DOH-approved herbal medicine in urban and rural communities. </w:t>
      </w:r>
      <w:r>
        <w:rPr>
          <w:rFonts w:ascii="Arial" w:hAnsi="Arial" w:eastAsia="Arial" w:cs="Arial"/>
          <w:i/>
          <w:iCs/>
          <w:color w:val="000000"/>
        </w:rPr>
        <w:t>Philippine Journal of Community Health, 8</w:t>
      </w:r>
      <w:r>
        <w:rPr>
          <w:rFonts w:ascii="Arial" w:hAnsi="Arial" w:eastAsia="Arial" w:cs="Arial"/>
          <w:color w:val="000000"/>
        </w:rPr>
        <w:t>(2), 55–63.</w:t>
      </w:r>
    </w:p>
    <w:p w14:paraId="7360351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De Guzman, M. C., Santos, L. J., &amp; Dela Cruz, J. M. (2021). Awareness and utilization of DOH-approved herbal medicines among rural households in the Philippines. </w:t>
      </w:r>
      <w:r>
        <w:rPr>
          <w:rFonts w:ascii="Arial" w:hAnsi="Arial" w:eastAsia="Arial" w:cs="Arial"/>
          <w:i/>
          <w:iCs/>
          <w:color w:val="000000"/>
        </w:rPr>
        <w:t>Philippine Journal of Health Research and Development, 25</w:t>
      </w:r>
      <w:r>
        <w:rPr>
          <w:rFonts w:ascii="Arial" w:hAnsi="Arial" w:eastAsia="Arial" w:cs="Arial"/>
          <w:color w:val="000000"/>
        </w:rPr>
        <w:t>(2), 55–63.</w:t>
      </w:r>
    </w:p>
    <w:p w14:paraId="4CE218D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Department of Health (DOH). (2020). Ten DOH-approved medicinal plants. Manila: DOH.</w:t>
      </w:r>
    </w:p>
    <w:p w14:paraId="18E097D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Department of Health. (2020). Ten medicinal plants approved by the Department of Health as herbal medicine. Republic of the Philippines.</w:t>
      </w:r>
      <w:r>
        <w:fldChar w:fldCharType="begin"/>
      </w:r>
      <w:r>
        <w:instrText xml:space="preserve"> HYPERLINK "https://doh.gov.ph/" \h </w:instrText>
      </w:r>
      <w:r>
        <w:fldChar w:fldCharType="separate"/>
      </w:r>
      <w:r>
        <w:rPr>
          <w:rFonts w:ascii="Arial" w:hAnsi="Arial" w:eastAsia="Arial" w:cs="Arial"/>
          <w:color w:val="FF0080"/>
          <w:u w:val="single"/>
        </w:rPr>
        <w:t xml:space="preserve"> https://doh.gov.ph/</w:t>
      </w:r>
      <w:r>
        <w:rPr>
          <w:rFonts w:ascii="Arial" w:hAnsi="Arial" w:eastAsia="Arial" w:cs="Arial"/>
          <w:color w:val="FF0080"/>
          <w:u w:val="single"/>
        </w:rPr>
        <w:fldChar w:fldCharType="end"/>
      </w:r>
    </w:p>
    <w:p w14:paraId="7B2E373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Department of Health (DOH). (2023). National Deployment and Development Program (NDDP) Framework.</w:t>
      </w:r>
      <w:r>
        <w:fldChar w:fldCharType="begin"/>
      </w:r>
      <w:r>
        <w:instrText xml:space="preserve"> HYPERLINK "https://doh.gov.ph" \h </w:instrText>
      </w:r>
      <w:r>
        <w:fldChar w:fldCharType="separate"/>
      </w:r>
      <w:r>
        <w:rPr>
          <w:rFonts w:ascii="Arial" w:hAnsi="Arial" w:eastAsia="Arial" w:cs="Arial"/>
          <w:color w:val="FF0080"/>
          <w:u w:val="single"/>
        </w:rPr>
        <w:t xml:space="preserve"> https://doh.gov.ph</w:t>
      </w:r>
      <w:r>
        <w:rPr>
          <w:rFonts w:ascii="Arial" w:hAnsi="Arial" w:eastAsia="Arial" w:cs="Arial"/>
          <w:color w:val="FF0080"/>
          <w:u w:val="single"/>
        </w:rPr>
        <w:fldChar w:fldCharType="end"/>
      </w:r>
    </w:p>
    <w:p w14:paraId="3708716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Department of Health (DOH). (2023). Ten DOH-approved herbal medicines and their uses.</w:t>
      </w:r>
      <w:r>
        <w:fldChar w:fldCharType="begin"/>
      </w:r>
      <w:r>
        <w:instrText xml:space="preserve"> HYPERLINK "https://doh.gov.ph" \h </w:instrText>
      </w:r>
      <w:r>
        <w:fldChar w:fldCharType="separate"/>
      </w:r>
      <w:r>
        <w:rPr>
          <w:rFonts w:ascii="Arial" w:hAnsi="Arial" w:eastAsia="Arial" w:cs="Arial"/>
          <w:color w:val="FF0080"/>
          <w:u w:val="single"/>
        </w:rPr>
        <w:t xml:space="preserve"> https://doh.gov.ph</w:t>
      </w:r>
      <w:r>
        <w:rPr>
          <w:rFonts w:ascii="Arial" w:hAnsi="Arial" w:eastAsia="Arial" w:cs="Arial"/>
          <w:color w:val="FF0080"/>
          <w:u w:val="single"/>
        </w:rPr>
        <w:fldChar w:fldCharType="end"/>
      </w:r>
    </w:p>
    <w:p w14:paraId="59F42A9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Ekor, M. (2014). The growing use of herbal medicines: Issues relating to adverse reactions and challenges in monitoring safety. </w:t>
      </w:r>
      <w:r>
        <w:rPr>
          <w:rFonts w:ascii="Arial" w:hAnsi="Arial" w:eastAsia="Arial" w:cs="Arial"/>
          <w:i/>
          <w:iCs/>
          <w:color w:val="000000"/>
        </w:rPr>
        <w:t>Frontiers in Pharmacology, 4</w:t>
      </w:r>
      <w:r>
        <w:rPr>
          <w:rFonts w:ascii="Arial" w:hAnsi="Arial" w:eastAsia="Arial" w:cs="Arial"/>
          <w:color w:val="000000"/>
        </w:rPr>
        <w:t>, 177.</w:t>
      </w:r>
    </w:p>
    <w:p w14:paraId="0713452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El-Ghazouani, F., El-Ouahmani, N., Teixidor-Toneu, I., Yacoubi, B., &amp; Zekhnini, A. (2021). A survey of medicinal plants used in traditional medicine by women and herbalists from the city of Agadir, southwest of Morocco. </w:t>
      </w:r>
      <w:r>
        <w:rPr>
          <w:rFonts w:ascii="Arial" w:hAnsi="Arial" w:eastAsia="Arial" w:cs="Arial"/>
          <w:i/>
          <w:iCs/>
          <w:color w:val="000000"/>
        </w:rPr>
        <w:t>European Journal of Integrative Medicine, 42</w:t>
      </w:r>
      <w:r>
        <w:rPr>
          <w:rFonts w:ascii="Arial" w:hAnsi="Arial" w:eastAsia="Arial" w:cs="Arial"/>
          <w:color w:val="000000"/>
        </w:rPr>
        <w:t>, 101284–101292.</w:t>
      </w:r>
      <w:r>
        <w:fldChar w:fldCharType="begin"/>
      </w:r>
      <w:r>
        <w:instrText xml:space="preserve"> HYPERLINK "https://doi.org/10.1016/j.eujim.2021.101284" \h </w:instrText>
      </w:r>
      <w:r>
        <w:fldChar w:fldCharType="separate"/>
      </w:r>
      <w:r>
        <w:rPr>
          <w:rFonts w:ascii="Arial" w:hAnsi="Arial" w:eastAsia="Arial" w:cs="Arial"/>
          <w:color w:val="FF0080"/>
          <w:u w:val="single"/>
        </w:rPr>
        <w:t xml:space="preserve"> https://doi.org/10.1016/j.eujim.2021.101284</w:t>
      </w:r>
      <w:r>
        <w:rPr>
          <w:rFonts w:ascii="Arial" w:hAnsi="Arial" w:eastAsia="Arial" w:cs="Arial"/>
          <w:color w:val="FF0080"/>
          <w:u w:val="single"/>
        </w:rPr>
        <w:fldChar w:fldCharType="end"/>
      </w:r>
    </w:p>
    <w:p w14:paraId="09503ED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Frost, J. (2022). Statistics by Jim: Cronbach’s Alpha and reliability.</w:t>
      </w:r>
      <w:r>
        <w:fldChar w:fldCharType="begin"/>
      </w:r>
      <w:r>
        <w:instrText xml:space="preserve"> HYPERLINK "https://statisticsbyjim.com" \h </w:instrText>
      </w:r>
      <w:r>
        <w:fldChar w:fldCharType="separate"/>
      </w:r>
      <w:r>
        <w:rPr>
          <w:rFonts w:ascii="Arial" w:hAnsi="Arial" w:eastAsia="Arial" w:cs="Arial"/>
          <w:color w:val="FF0080"/>
          <w:u w:val="single"/>
        </w:rPr>
        <w:t xml:space="preserve"> https://statisticsbyjim.com</w:t>
      </w:r>
      <w:r>
        <w:rPr>
          <w:rFonts w:ascii="Arial" w:hAnsi="Arial" w:eastAsia="Arial" w:cs="Arial"/>
          <w:color w:val="FF0080"/>
          <w:u w:val="single"/>
        </w:rPr>
        <w:fldChar w:fldCharType="end"/>
      </w:r>
    </w:p>
    <w:p w14:paraId="6687598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Goitom, A., Yemane, F., Tsegay, M., Kifleyesus, A., Siele, S. M., Tesfamariam, E. H., et al. (2022). Herbal medicine (HM) among pharmacy professionals working in drug retail outlets in Asmara, Eritrea: Knowledge, attitude and prevalence of use. </w:t>
      </w:r>
      <w:r>
        <w:rPr>
          <w:rFonts w:ascii="Arial" w:hAnsi="Arial" w:eastAsia="Arial" w:cs="Arial"/>
          <w:i/>
          <w:iCs/>
          <w:color w:val="000000"/>
        </w:rPr>
        <w:t>BMC Complementary Medicine and Therapies, 22</w:t>
      </w:r>
      <w:r>
        <w:rPr>
          <w:rFonts w:ascii="Arial" w:hAnsi="Arial" w:eastAsia="Arial" w:cs="Arial"/>
          <w:color w:val="000000"/>
        </w:rPr>
        <w:t>.</w:t>
      </w:r>
      <w:r>
        <w:fldChar w:fldCharType="begin"/>
      </w:r>
      <w:r>
        <w:instrText xml:space="preserve"> HYPERLINK "https://doi.org/10.1186/s12906-022-03698-8" \h </w:instrText>
      </w:r>
      <w:r>
        <w:fldChar w:fldCharType="separate"/>
      </w:r>
      <w:r>
        <w:rPr>
          <w:rFonts w:ascii="Arial" w:hAnsi="Arial" w:eastAsia="Arial" w:cs="Arial"/>
          <w:color w:val="FF0080"/>
          <w:u w:val="single"/>
        </w:rPr>
        <w:t xml:space="preserve"> https://doi.org/10.1186/s12906-022-03698-8</w:t>
      </w:r>
      <w:r>
        <w:rPr>
          <w:rFonts w:ascii="Arial" w:hAnsi="Arial" w:eastAsia="Arial" w:cs="Arial"/>
          <w:color w:val="FF0080"/>
          <w:u w:val="single"/>
        </w:rPr>
        <w:fldChar w:fldCharType="end"/>
      </w:r>
    </w:p>
    <w:p w14:paraId="71827C5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Goitom A, Yemane F, Tsegay M, Kifleyesus A, Siele SM, Tesfamariam EH, et al. (2022). Herbal Medicine (HM) among pharmacy professionals working in drug retail outlets in Asmara, Eritrea: knowledge, attitude and prevalence of use. </w:t>
      </w:r>
      <w:r>
        <w:rPr>
          <w:rFonts w:ascii="Arial" w:hAnsi="Arial" w:eastAsia="Arial" w:cs="Arial"/>
          <w:i/>
          <w:iCs/>
          <w:color w:val="000000"/>
        </w:rPr>
        <w:t>BMC Complement Med Ther, 22</w:t>
      </w:r>
      <w:r>
        <w:rPr>
          <w:rFonts w:ascii="Arial" w:hAnsi="Arial" w:eastAsia="Arial" w:cs="Arial"/>
          <w:color w:val="000000"/>
        </w:rPr>
        <w:t>, 1–11.</w:t>
      </w:r>
      <w:r>
        <w:fldChar w:fldCharType="begin"/>
      </w:r>
      <w:r>
        <w:instrText xml:space="preserve"> HYPERLINK "https://doi.org/10.1186/s12906-022-03698-8" \h </w:instrText>
      </w:r>
      <w:r>
        <w:fldChar w:fldCharType="separate"/>
      </w:r>
      <w:r>
        <w:rPr>
          <w:rFonts w:ascii="Arial" w:hAnsi="Arial" w:eastAsia="Arial" w:cs="Arial"/>
          <w:color w:val="FF0080"/>
          <w:u w:val="single"/>
        </w:rPr>
        <w:t xml:space="preserve"> https://doi.org/10.1186/s12906-022-03698-8</w:t>
      </w:r>
      <w:r>
        <w:rPr>
          <w:rFonts w:ascii="Arial" w:hAnsi="Arial" w:eastAsia="Arial" w:cs="Arial"/>
          <w:color w:val="FF0080"/>
          <w:u w:val="single"/>
        </w:rPr>
        <w:fldChar w:fldCharType="end"/>
      </w:r>
    </w:p>
    <w:p w14:paraId="35E7F4F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Gonzaga, L. P., &amp; Rebueno Santos, M. A. (2024). Attitudes and awareness toward herbal remedies among oral medicine patients in Manila. </w:t>
      </w:r>
      <w:r>
        <w:rPr>
          <w:rFonts w:ascii="Arial" w:hAnsi="Arial" w:eastAsia="Arial" w:cs="Arial"/>
          <w:i/>
          <w:iCs/>
          <w:color w:val="000000"/>
        </w:rPr>
        <w:t>Asian Journal of Oral Health Research, 5</w:t>
      </w:r>
      <w:r>
        <w:rPr>
          <w:rFonts w:ascii="Arial" w:hAnsi="Arial" w:eastAsia="Arial" w:cs="Arial"/>
          <w:color w:val="000000"/>
        </w:rPr>
        <w:t>(3), 40–48.</w:t>
      </w:r>
    </w:p>
    <w:p w14:paraId="1EAD4A6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Gyasi, R. M., Tagoe-Darko, E., &amp; Mensah, C. M. (2022). The use of traditional and complementary medicine: A global review of patterns, practices, and outcomes. </w:t>
      </w:r>
      <w:r>
        <w:rPr>
          <w:rFonts w:ascii="Arial" w:hAnsi="Arial" w:eastAsia="Arial" w:cs="Arial"/>
          <w:i/>
          <w:iCs/>
          <w:color w:val="000000"/>
        </w:rPr>
        <w:t>Global Public Health, 17</w:t>
      </w:r>
      <w:r>
        <w:rPr>
          <w:rFonts w:ascii="Arial" w:hAnsi="Arial" w:eastAsia="Arial" w:cs="Arial"/>
          <w:color w:val="000000"/>
        </w:rPr>
        <w:t>(1), 134–150.</w:t>
      </w:r>
    </w:p>
    <w:p w14:paraId="790CEEE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Ismail, Z., Rahman, M., &amp; Nordin, N. (2021). Community attitudes and practices toward herbal medicine in Malaysia. </w:t>
      </w:r>
      <w:r>
        <w:rPr>
          <w:rFonts w:ascii="Arial" w:hAnsi="Arial" w:eastAsia="Arial" w:cs="Arial"/>
          <w:i/>
          <w:iCs/>
          <w:color w:val="000000"/>
        </w:rPr>
        <w:t>Journal of Traditional and Complementary Medicine, 11</w:t>
      </w:r>
      <w:r>
        <w:rPr>
          <w:rFonts w:ascii="Arial" w:hAnsi="Arial" w:eastAsia="Arial" w:cs="Arial"/>
          <w:color w:val="000000"/>
        </w:rPr>
        <w:t>(4), 321–329.</w:t>
      </w:r>
    </w:p>
    <w:p w14:paraId="0035A2F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James, P. B., Bah, A. J., &amp; Tommy, M. S. (2018). Prevalence and correlates of herbal medicine use among women in Sierra Leone. </w:t>
      </w:r>
      <w:r>
        <w:rPr>
          <w:rFonts w:ascii="Arial" w:hAnsi="Arial" w:eastAsia="Arial" w:cs="Arial"/>
          <w:i/>
          <w:iCs/>
          <w:color w:val="000000"/>
        </w:rPr>
        <w:t>BMC Complementary and Alternative Medicine, 18</w:t>
      </w:r>
      <w:r>
        <w:rPr>
          <w:rFonts w:ascii="Arial" w:hAnsi="Arial" w:eastAsia="Arial" w:cs="Arial"/>
          <w:color w:val="000000"/>
        </w:rPr>
        <w:t>(1), 1–9.</w:t>
      </w:r>
      <w:r>
        <w:fldChar w:fldCharType="begin"/>
      </w:r>
      <w:r>
        <w:instrText xml:space="preserve"> HYPERLINK "https://doi.org/10.1186/s12906-018-2186-z" \h </w:instrText>
      </w:r>
      <w:r>
        <w:fldChar w:fldCharType="separate"/>
      </w:r>
      <w:r>
        <w:rPr>
          <w:rFonts w:ascii="Arial" w:hAnsi="Arial" w:eastAsia="Arial" w:cs="Arial"/>
          <w:color w:val="FF0080"/>
          <w:u w:val="single"/>
        </w:rPr>
        <w:t xml:space="preserve"> https://doi.org/10.1186/s12906-018-2186-z</w:t>
      </w:r>
      <w:r>
        <w:rPr>
          <w:rFonts w:ascii="Arial" w:hAnsi="Arial" w:eastAsia="Arial" w:cs="Arial"/>
          <w:color w:val="FF0080"/>
          <w:u w:val="single"/>
        </w:rPr>
        <w:fldChar w:fldCharType="end"/>
      </w:r>
    </w:p>
    <w:p w14:paraId="24BA3E4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Javier, A. M. (2020). </w:t>
      </w:r>
      <w:r>
        <w:rPr>
          <w:rFonts w:ascii="Arial" w:hAnsi="Arial" w:eastAsia="Arial" w:cs="Arial"/>
          <w:i/>
          <w:iCs/>
          <w:color w:val="000000"/>
        </w:rPr>
        <w:t>Traditional health practices and beliefs among Filipinos</w:t>
      </w:r>
      <w:r>
        <w:rPr>
          <w:rFonts w:ascii="Arial" w:hAnsi="Arial" w:eastAsia="Arial" w:cs="Arial"/>
          <w:color w:val="000000"/>
        </w:rPr>
        <w:t>. University of the Philippines Press.</w:t>
      </w:r>
    </w:p>
    <w:p w14:paraId="17F4853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Kunwar, R. M., Mahat, L., Acharya, R. P., &amp; Bussmann, R. W. (2013). Medicinal plants, traditional medicine, markets and management in far-west Nepal. </w:t>
      </w:r>
      <w:r>
        <w:rPr>
          <w:rFonts w:ascii="Arial" w:hAnsi="Arial" w:eastAsia="Arial" w:cs="Arial"/>
          <w:i/>
          <w:iCs/>
          <w:color w:val="000000"/>
        </w:rPr>
        <w:t>Journal of Ethnobiology and Ethnomedicine, 9</w:t>
      </w:r>
      <w:r>
        <w:rPr>
          <w:rFonts w:ascii="Arial" w:hAnsi="Arial" w:eastAsia="Arial" w:cs="Arial"/>
          <w:color w:val="000000"/>
        </w:rPr>
        <w:t>, Article 24.</w:t>
      </w:r>
      <w:r>
        <w:fldChar w:fldCharType="begin"/>
      </w:r>
      <w:r>
        <w:instrText xml:space="preserve"> HYPERLINK "https://doi.org/10.1186/1746-4269-9-24" \h </w:instrText>
      </w:r>
      <w:r>
        <w:fldChar w:fldCharType="separate"/>
      </w:r>
      <w:r>
        <w:rPr>
          <w:rFonts w:ascii="Arial" w:hAnsi="Arial" w:eastAsia="Arial" w:cs="Arial"/>
          <w:color w:val="FF0080"/>
          <w:u w:val="single"/>
        </w:rPr>
        <w:t xml:space="preserve"> https://doi.org/10.1186/1746-4269-9-24</w:t>
      </w:r>
      <w:r>
        <w:rPr>
          <w:rFonts w:ascii="Arial" w:hAnsi="Arial" w:eastAsia="Arial" w:cs="Arial"/>
          <w:color w:val="FF0080"/>
          <w:u w:val="single"/>
        </w:rPr>
        <w:fldChar w:fldCharType="end"/>
      </w:r>
    </w:p>
    <w:p w14:paraId="1AA63E4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Kunwar RM, Mahat L, Acharya RP, Bussmann RW (2013). Medicinal plants, traditional medicine, markets and management in far-west Nepal. </w:t>
      </w:r>
      <w:r>
        <w:rPr>
          <w:rFonts w:ascii="Arial" w:hAnsi="Arial" w:eastAsia="Arial" w:cs="Arial"/>
          <w:i/>
          <w:iCs/>
          <w:color w:val="000000"/>
        </w:rPr>
        <w:t>J Ethnobiol Ethnomed, 9</w:t>
      </w:r>
      <w:r>
        <w:rPr>
          <w:rFonts w:ascii="Arial" w:hAnsi="Arial" w:eastAsia="Arial" w:cs="Arial"/>
          <w:color w:val="000000"/>
        </w:rPr>
        <w:t>, 1–10.</w:t>
      </w:r>
      <w:r>
        <w:fldChar w:fldCharType="begin"/>
      </w:r>
      <w:r>
        <w:instrText xml:space="preserve"> HYPERLINK "https://doi.org/10.1186/1746-4269-9-24" \h </w:instrText>
      </w:r>
      <w:r>
        <w:fldChar w:fldCharType="separate"/>
      </w:r>
      <w:r>
        <w:rPr>
          <w:rFonts w:ascii="Arial" w:hAnsi="Arial" w:eastAsia="Arial" w:cs="Arial"/>
          <w:color w:val="FF0080"/>
          <w:u w:val="single"/>
        </w:rPr>
        <w:t xml:space="preserve"> https://doi.org/10.1186/1746-4269-9-24</w:t>
      </w:r>
      <w:r>
        <w:rPr>
          <w:rFonts w:ascii="Arial" w:hAnsi="Arial" w:eastAsia="Arial" w:cs="Arial"/>
          <w:color w:val="FF0080"/>
          <w:u w:val="single"/>
        </w:rPr>
        <w:fldChar w:fldCharType="end"/>
      </w:r>
    </w:p>
    <w:p w14:paraId="76B1153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Kretchy, I. A., Owusu-Daaku, F., &amp; Danquah, S. (2020). Patterns and determinants of herbal medicine use in Ghana. </w:t>
      </w:r>
      <w:r>
        <w:rPr>
          <w:rFonts w:ascii="Arial" w:hAnsi="Arial" w:eastAsia="Arial" w:cs="Arial"/>
          <w:i/>
          <w:iCs/>
          <w:color w:val="000000"/>
        </w:rPr>
        <w:t>BMC Public Health, 20</w:t>
      </w:r>
      <w:r>
        <w:rPr>
          <w:rFonts w:ascii="Arial" w:hAnsi="Arial" w:eastAsia="Arial" w:cs="Arial"/>
          <w:color w:val="000000"/>
        </w:rPr>
        <w:t>(1), 1–10.</w:t>
      </w:r>
    </w:p>
    <w:p w14:paraId="0286F75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Ng, J. H., Lim, S. H., &amp; Lee, K. Y. (2022). Cultural determinants of herbal medicine use in Asia: A comparative review. </w:t>
      </w:r>
      <w:r>
        <w:rPr>
          <w:rFonts w:ascii="Arial" w:hAnsi="Arial" w:eastAsia="Arial" w:cs="Arial"/>
          <w:i/>
          <w:iCs/>
          <w:color w:val="000000"/>
        </w:rPr>
        <w:t>Complementary Therapies in Clinical Practice, 48</w:t>
      </w:r>
      <w:r>
        <w:rPr>
          <w:rFonts w:ascii="Arial" w:hAnsi="Arial" w:eastAsia="Arial" w:cs="Arial"/>
          <w:color w:val="000000"/>
        </w:rPr>
        <w:t>, 101568.</w:t>
      </w:r>
    </w:p>
    <w:p w14:paraId="0ECC2FF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Ng, J. Y., et al. (2022). Exploring public knowledge, attitudes, and practices toward herbal medicine use: A global perspective. </w:t>
      </w:r>
      <w:r>
        <w:rPr>
          <w:rFonts w:ascii="Arial" w:hAnsi="Arial" w:eastAsia="Arial" w:cs="Arial"/>
          <w:i/>
          <w:iCs/>
          <w:color w:val="000000"/>
        </w:rPr>
        <w:t>Complementary Therapies in Medicine, 67</w:t>
      </w:r>
      <w:r>
        <w:rPr>
          <w:rFonts w:ascii="Arial" w:hAnsi="Arial" w:eastAsia="Arial" w:cs="Arial"/>
          <w:color w:val="000000"/>
        </w:rPr>
        <w:t>, 102–109.</w:t>
      </w:r>
    </w:p>
    <w:p w14:paraId="4A5891F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Ng, J. Y., Wong, E. L. Y., &amp; Chung, K. F. (2022). Global utilization of traditional and complementary medicine: Systematic review. </w:t>
      </w:r>
      <w:r>
        <w:rPr>
          <w:rFonts w:ascii="Arial" w:hAnsi="Arial" w:eastAsia="Arial" w:cs="Arial"/>
          <w:i/>
          <w:iCs/>
          <w:color w:val="000000"/>
        </w:rPr>
        <w:t>BMJ Open, 12</w:t>
      </w:r>
      <w:r>
        <w:rPr>
          <w:rFonts w:ascii="Arial" w:hAnsi="Arial" w:eastAsia="Arial" w:cs="Arial"/>
          <w:color w:val="000000"/>
        </w:rPr>
        <w:t>(8), e058667.</w:t>
      </w:r>
    </w:p>
    <w:p w14:paraId="42E37D0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Nicolas, E. (2020). Reliability in nursing research: A guide to quantitative consistency. </w:t>
      </w:r>
      <w:r>
        <w:rPr>
          <w:rFonts w:ascii="Arial" w:hAnsi="Arial" w:eastAsia="Arial" w:cs="Arial"/>
          <w:i/>
          <w:iCs/>
          <w:color w:val="000000"/>
        </w:rPr>
        <w:t>Philippine Journal of Nursing Research and Education, 15</w:t>
      </w:r>
      <w:r>
        <w:rPr>
          <w:rFonts w:ascii="Arial" w:hAnsi="Arial" w:eastAsia="Arial" w:cs="Arial"/>
          <w:color w:val="000000"/>
        </w:rPr>
        <w:t>(2), 45–58.</w:t>
      </w:r>
    </w:p>
    <w:p w14:paraId="2C4145E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Owusu, A. F., Mensah, K. O., &amp; Addai, B. (2025). Determinants of knowledge, attitude, and practice of herbal medicine in Ghana: A nationwide survey. </w:t>
      </w:r>
      <w:r>
        <w:rPr>
          <w:rFonts w:ascii="Arial" w:hAnsi="Arial" w:eastAsia="Arial" w:cs="Arial"/>
          <w:i/>
          <w:iCs/>
          <w:color w:val="000000"/>
        </w:rPr>
        <w:t>African Journal of Traditional, Complementary and Alternative Medicines, 22</w:t>
      </w:r>
      <w:r>
        <w:rPr>
          <w:rFonts w:ascii="Arial" w:hAnsi="Arial" w:eastAsia="Arial" w:cs="Arial"/>
          <w:color w:val="000000"/>
        </w:rPr>
        <w:t>(1), 77–89.</w:t>
      </w:r>
    </w:p>
    <w:p w14:paraId="5F234AC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Palileo-Villanueva, L. M., Tan, A. C., &amp; De la Cruz, J. M. (2022). Use of traditional and herbal medicine among hypertensive adults in the Philippines: A mixed-methods approach. </w:t>
      </w:r>
      <w:r>
        <w:rPr>
          <w:rFonts w:ascii="Arial" w:hAnsi="Arial" w:eastAsia="Arial" w:cs="Arial"/>
          <w:i/>
          <w:iCs/>
          <w:color w:val="000000"/>
        </w:rPr>
        <w:t>Philippine Journal of Health Research and Development, 26</w:t>
      </w:r>
      <w:r>
        <w:rPr>
          <w:rFonts w:ascii="Arial" w:hAnsi="Arial" w:eastAsia="Arial" w:cs="Arial"/>
          <w:color w:val="000000"/>
        </w:rPr>
        <w:t>(3), 90–101.</w:t>
      </w:r>
    </w:p>
    <w:p w14:paraId="67F9171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Philippine Institute of Traditional and Alternative Health Care (PITAHC). (2023). Annual report on traditional medicine programs. Department of Health, Manila.</w:t>
      </w:r>
    </w:p>
    <w:p w14:paraId="59F8139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Pineda, J. (2014). </w:t>
      </w:r>
      <w:r>
        <w:rPr>
          <w:rFonts w:ascii="Arial" w:hAnsi="Arial" w:eastAsia="Arial" w:cs="Arial"/>
          <w:i/>
          <w:iCs/>
          <w:color w:val="000000"/>
        </w:rPr>
        <w:t>Educational measurement and evaluation for nursing research</w:t>
      </w:r>
      <w:r>
        <w:rPr>
          <w:rFonts w:ascii="Arial" w:hAnsi="Arial" w:eastAsia="Arial" w:cs="Arial"/>
          <w:color w:val="000000"/>
        </w:rPr>
        <w:t>. Quezon City: C&amp;E Publishing.</w:t>
      </w:r>
    </w:p>
    <w:p w14:paraId="1D155FB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Picking, D., Younger, N., Mitchell, S., &amp; Delgoda, R. (2018). The prevalence of herbal medicine home use and concomitant use with pharmaceutical medicines in Jamaica. </w:t>
      </w:r>
      <w:r>
        <w:rPr>
          <w:rFonts w:ascii="Arial" w:hAnsi="Arial" w:eastAsia="Arial" w:cs="Arial"/>
          <w:i/>
          <w:iCs/>
          <w:color w:val="000000"/>
        </w:rPr>
        <w:t>Journal of Ethnopharmacology, 27</w:t>
      </w:r>
      <w:r>
        <w:rPr>
          <w:rFonts w:ascii="Arial" w:hAnsi="Arial" w:eastAsia="Arial" w:cs="Arial"/>
          <w:color w:val="000000"/>
        </w:rPr>
        <w:t>(30), 268–273.</w:t>
      </w:r>
      <w:r>
        <w:fldChar w:fldCharType="begin"/>
      </w:r>
      <w:r>
        <w:instrText xml:space="preserve"> HYPERLINK "https://doi.org/10.1016/j.jep.2018.04.006" \h </w:instrText>
      </w:r>
      <w:r>
        <w:fldChar w:fldCharType="separate"/>
      </w:r>
      <w:r>
        <w:rPr>
          <w:rFonts w:ascii="Arial" w:hAnsi="Arial" w:eastAsia="Arial" w:cs="Arial"/>
          <w:color w:val="FF0080"/>
          <w:u w:val="single"/>
        </w:rPr>
        <w:t xml:space="preserve"> https://doi.org/10.1016/j.jep.2018.04.006</w:t>
      </w:r>
      <w:r>
        <w:rPr>
          <w:rFonts w:ascii="Arial" w:hAnsi="Arial" w:eastAsia="Arial" w:cs="Arial"/>
          <w:color w:val="FF0080"/>
          <w:u w:val="single"/>
        </w:rPr>
        <w:fldChar w:fldCharType="end"/>
      </w:r>
    </w:p>
    <w:p w14:paraId="580544E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PITAHC (Philippine Institute of Traditional and Alternative Health Care). (2023). Annual report on traditional and alternative medicine in the Philippines. Quezon City: Department of Health.</w:t>
      </w:r>
    </w:p>
    <w:p w14:paraId="5D31E4F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Polit, D. F., &amp; Beck, C. T. (2017). </w:t>
      </w:r>
      <w:r>
        <w:rPr>
          <w:rFonts w:ascii="Arial" w:hAnsi="Arial" w:eastAsia="Arial" w:cs="Arial"/>
          <w:i/>
          <w:iCs/>
          <w:color w:val="000000"/>
        </w:rPr>
        <w:t>Nursing research: Generating and assessing evidence for nursing practice</w:t>
      </w:r>
      <w:r>
        <w:rPr>
          <w:rFonts w:ascii="Arial" w:hAnsi="Arial" w:eastAsia="Arial" w:cs="Arial"/>
          <w:color w:val="000000"/>
        </w:rPr>
        <w:t xml:space="preserve"> (10th ed.). Wolters Kluwer.</w:t>
      </w:r>
    </w:p>
    <w:p w14:paraId="5E2A437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Posadzki, P., Watson, L. K., &amp; Ernst, E. (2013). Contamination and adulteration of herbal medicinal products: An overview of systematic reviews. </w:t>
      </w:r>
      <w:r>
        <w:rPr>
          <w:rFonts w:ascii="Arial" w:hAnsi="Arial" w:eastAsia="Arial" w:cs="Arial"/>
          <w:i/>
          <w:iCs/>
          <w:color w:val="000000"/>
        </w:rPr>
        <w:t>European Journal of Clinical Pharmacology, 69</w:t>
      </w:r>
      <w:r>
        <w:rPr>
          <w:rFonts w:ascii="Arial" w:hAnsi="Arial" w:eastAsia="Arial" w:cs="Arial"/>
          <w:color w:val="000000"/>
        </w:rPr>
        <w:t>(3), 295–307.</w:t>
      </w:r>
    </w:p>
    <w:p w14:paraId="166AA3E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Rojas-Silva, P., Jäger, R., &amp; Smith, S. (2020). Quality control challenges in herbal medicine production. </w:t>
      </w:r>
      <w:r>
        <w:rPr>
          <w:rFonts w:ascii="Arial" w:hAnsi="Arial" w:eastAsia="Arial" w:cs="Arial"/>
          <w:i/>
          <w:iCs/>
          <w:color w:val="000000"/>
        </w:rPr>
        <w:t>HerbalGram, 126</w:t>
      </w:r>
      <w:r>
        <w:rPr>
          <w:rFonts w:ascii="Arial" w:hAnsi="Arial" w:eastAsia="Arial" w:cs="Arial"/>
          <w:color w:val="000000"/>
        </w:rPr>
        <w:t>(5), 50–57.</w:t>
      </w:r>
    </w:p>
    <w:p w14:paraId="141F1BA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Rondilla, E. M. (2021). Cultural familiarity and educational exposure on herbal medicine use in the Philippines: A qualitative inquiry. </w:t>
      </w:r>
      <w:r>
        <w:rPr>
          <w:rFonts w:ascii="Arial" w:hAnsi="Arial" w:eastAsia="Arial" w:cs="Arial"/>
          <w:i/>
          <w:iCs/>
          <w:color w:val="000000"/>
        </w:rPr>
        <w:t>Asia Pacific Journal of Nursing Research, 12</w:t>
      </w:r>
      <w:r>
        <w:rPr>
          <w:rFonts w:ascii="Arial" w:hAnsi="Arial" w:eastAsia="Arial" w:cs="Arial"/>
          <w:color w:val="000000"/>
        </w:rPr>
        <w:t>(4), 211–222.</w:t>
      </w:r>
    </w:p>
    <w:p w14:paraId="0873BE3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Salvador, M. E. (2022). Implementation challenges of DOH herbal medicine programs in local health units. </w:t>
      </w:r>
      <w:r>
        <w:rPr>
          <w:rFonts w:ascii="Arial" w:hAnsi="Arial" w:eastAsia="Arial" w:cs="Arial"/>
          <w:i/>
          <w:iCs/>
          <w:color w:val="000000"/>
        </w:rPr>
        <w:t>Asian Journal of Public Health, 8</w:t>
      </w:r>
      <w:r>
        <w:rPr>
          <w:rFonts w:ascii="Arial" w:hAnsi="Arial" w:eastAsia="Arial" w:cs="Arial"/>
          <w:color w:val="000000"/>
        </w:rPr>
        <w:t>(3), 44–53.</w:t>
      </w:r>
    </w:p>
    <w:p w14:paraId="5B56005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See, C. R. (2024). Educational attainment and knowledge toward herbal self-care among adults in Metro Cebu. </w:t>
      </w:r>
      <w:r>
        <w:rPr>
          <w:rFonts w:ascii="Arial" w:hAnsi="Arial" w:eastAsia="Arial" w:cs="Arial"/>
          <w:i/>
          <w:iCs/>
          <w:color w:val="000000"/>
        </w:rPr>
        <w:t>Philippine Journal of Nursing Practice, 19</w:t>
      </w:r>
      <w:r>
        <w:rPr>
          <w:rFonts w:ascii="Arial" w:hAnsi="Arial" w:eastAsia="Arial" w:cs="Arial"/>
          <w:color w:val="000000"/>
        </w:rPr>
        <w:t>(1), 65–73.</w:t>
      </w:r>
    </w:p>
    <w:p w14:paraId="0D576C0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Sukadarma, I. D., Putri, K. A., &amp; Wirawan, I. M. (2022). Blended learning satisfaction among nursing students: Development and validation of a satisfaction scale. </w:t>
      </w:r>
      <w:r>
        <w:rPr>
          <w:rFonts w:ascii="Arial" w:hAnsi="Arial" w:eastAsia="Arial" w:cs="Arial"/>
          <w:i/>
          <w:iCs/>
          <w:color w:val="000000"/>
        </w:rPr>
        <w:t>International Journal of Nursing Education Scholarship, 19</w:t>
      </w:r>
      <w:r>
        <w:rPr>
          <w:rFonts w:ascii="Arial" w:hAnsi="Arial" w:eastAsia="Arial" w:cs="Arial"/>
          <w:color w:val="000000"/>
        </w:rPr>
        <w:t>(3), 55–63.</w:t>
      </w:r>
      <w:r>
        <w:fldChar w:fldCharType="begin"/>
      </w:r>
      <w:r>
        <w:instrText xml:space="preserve"> HYPERLINK "https://doi.org/10.1515/ijnes-2022-0031" \h </w:instrText>
      </w:r>
      <w:r>
        <w:fldChar w:fldCharType="separate"/>
      </w:r>
      <w:r>
        <w:rPr>
          <w:rFonts w:ascii="Arial" w:hAnsi="Arial" w:eastAsia="Arial" w:cs="Arial"/>
          <w:color w:val="FF0080"/>
          <w:u w:val="single"/>
        </w:rPr>
        <w:t xml:space="preserve"> https://doi.org/10.1515/ijnes-2022-0031</w:t>
      </w:r>
      <w:r>
        <w:rPr>
          <w:rFonts w:ascii="Arial" w:hAnsi="Arial" w:eastAsia="Arial" w:cs="Arial"/>
          <w:color w:val="FF0080"/>
          <w:u w:val="single"/>
        </w:rPr>
        <w:fldChar w:fldCharType="end"/>
      </w:r>
    </w:p>
    <w:p w14:paraId="6DD76C3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Taherdoost, H. (2016). Validity and reliability of the research instrument: How to test the validation of a questionnaire/survey in a research. </w:t>
      </w:r>
      <w:r>
        <w:rPr>
          <w:rFonts w:ascii="Arial" w:hAnsi="Arial" w:eastAsia="Arial" w:cs="Arial"/>
          <w:i/>
          <w:iCs/>
          <w:color w:val="000000"/>
        </w:rPr>
        <w:t>International Journal of Academic Research in Management, 5</w:t>
      </w:r>
      <w:r>
        <w:rPr>
          <w:rFonts w:ascii="Arial" w:hAnsi="Arial" w:eastAsia="Arial" w:cs="Arial"/>
          <w:color w:val="000000"/>
        </w:rPr>
        <w:t>(3), 28–36.</w:t>
      </w:r>
    </w:p>
    <w:p w14:paraId="7C5FF5A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WHO (World Health Organization). (2023). </w:t>
      </w:r>
      <w:r>
        <w:rPr>
          <w:rFonts w:ascii="Arial" w:hAnsi="Arial" w:eastAsia="Arial" w:cs="Arial"/>
          <w:i/>
          <w:iCs/>
          <w:color w:val="000000"/>
        </w:rPr>
        <w:t>Global report on traditional and complementary medicine</w:t>
      </w:r>
      <w:r>
        <w:rPr>
          <w:rFonts w:ascii="Arial" w:hAnsi="Arial" w:eastAsia="Arial" w:cs="Arial"/>
          <w:color w:val="000000"/>
        </w:rPr>
        <w:t>. Geneva: WHO Press.</w:t>
      </w:r>
    </w:p>
    <w:p w14:paraId="086059B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World Health Organization. (2019). </w:t>
      </w:r>
      <w:r>
        <w:rPr>
          <w:rFonts w:ascii="Arial" w:hAnsi="Arial" w:eastAsia="Arial" w:cs="Arial"/>
          <w:i/>
          <w:iCs/>
          <w:color w:val="000000"/>
        </w:rPr>
        <w:t>WHO global report on traditional and complementary medicine 2019</w:t>
      </w:r>
      <w:r>
        <w:rPr>
          <w:rFonts w:ascii="Arial" w:hAnsi="Arial" w:eastAsia="Arial" w:cs="Arial"/>
          <w:color w:val="000000"/>
        </w:rPr>
        <w:t>. World Health Organization.</w:t>
      </w:r>
    </w:p>
    <w:p w14:paraId="735DBA8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World Health Organization. (2021). </w:t>
      </w:r>
      <w:r>
        <w:rPr>
          <w:rFonts w:ascii="Arial" w:hAnsi="Arial" w:eastAsia="Arial" w:cs="Arial"/>
          <w:i/>
          <w:iCs/>
          <w:color w:val="000000"/>
        </w:rPr>
        <w:t>WHO global report on traditional and complementary medicine 2019</w:t>
      </w:r>
      <w:r>
        <w:rPr>
          <w:rFonts w:ascii="Arial" w:hAnsi="Arial" w:eastAsia="Arial" w:cs="Arial"/>
          <w:color w:val="000000"/>
        </w:rPr>
        <w:t>.</w:t>
      </w:r>
      <w:r>
        <w:fldChar w:fldCharType="begin"/>
      </w:r>
      <w:r>
        <w:instrText xml:space="preserve"> HYPERLINK "https://www.who.int/publications/i/item/9789241515436" \h </w:instrText>
      </w:r>
      <w:r>
        <w:fldChar w:fldCharType="separate"/>
      </w:r>
      <w:r>
        <w:rPr>
          <w:rFonts w:ascii="Arial" w:hAnsi="Arial" w:eastAsia="Arial" w:cs="Arial"/>
          <w:color w:val="FF0080"/>
          <w:u w:val="single"/>
        </w:rPr>
        <w:t xml:space="preserve"> https://www.who.int/publications/i/item/9789241515436</w:t>
      </w:r>
      <w:r>
        <w:rPr>
          <w:rFonts w:ascii="Arial" w:hAnsi="Arial" w:eastAsia="Arial" w:cs="Arial"/>
          <w:color w:val="FF0080"/>
          <w:u w:val="single"/>
        </w:rPr>
        <w:fldChar w:fldCharType="end"/>
      </w:r>
    </w:p>
    <w:p w14:paraId="6DC9EE70">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World Health Organization. (2022). </w:t>
      </w:r>
      <w:r>
        <w:rPr>
          <w:rFonts w:ascii="Arial" w:hAnsi="Arial" w:eastAsia="Arial" w:cs="Arial"/>
          <w:i/>
          <w:iCs/>
          <w:color w:val="000000"/>
        </w:rPr>
        <w:t>Community health nursing: Framework for practice and competencies</w:t>
      </w:r>
      <w:r>
        <w:rPr>
          <w:rFonts w:ascii="Arial" w:hAnsi="Arial" w:eastAsia="Arial" w:cs="Arial"/>
          <w:color w:val="000000"/>
        </w:rPr>
        <w:t>. WHO Press.</w:t>
      </w:r>
    </w:p>
    <w:p w14:paraId="76CD226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World Health Organization. (2023). </w:t>
      </w:r>
      <w:r>
        <w:rPr>
          <w:rFonts w:ascii="Arial" w:hAnsi="Arial" w:eastAsia="Arial" w:cs="Arial"/>
          <w:i/>
          <w:iCs/>
          <w:color w:val="000000"/>
        </w:rPr>
        <w:t>Global report on traditional and complementary medicine 2023</w:t>
      </w:r>
      <w:r>
        <w:rPr>
          <w:rFonts w:ascii="Arial" w:hAnsi="Arial" w:eastAsia="Arial" w:cs="Arial"/>
          <w:color w:val="000000"/>
        </w:rPr>
        <w:t>. Geneva: WHO.</w:t>
      </w:r>
    </w:p>
    <w:p w14:paraId="36AE33B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Zaidi, S. T., Alotaibi, N. A., &amp; Khan, M. A. (2022). Knowledge, attitude, and practice toward herbal medicine use among adults in Jeddah, Saudi Arabia. </w:t>
      </w:r>
      <w:r>
        <w:rPr>
          <w:rFonts w:ascii="Arial" w:hAnsi="Arial" w:eastAsia="Arial" w:cs="Arial"/>
          <w:i/>
          <w:iCs/>
          <w:color w:val="000000"/>
        </w:rPr>
        <w:t>Saudi Journal of Health Sciences, 11</w:t>
      </w:r>
      <w:r>
        <w:rPr>
          <w:rFonts w:ascii="Arial" w:hAnsi="Arial" w:eastAsia="Arial" w:cs="Arial"/>
          <w:color w:val="000000"/>
        </w:rPr>
        <w:t>(4), 260–268.</w:t>
      </w:r>
    </w:p>
    <w:p w14:paraId="5402F36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Department of Health &amp; Philippine Institute of Traditional and Alternative Health Care. (2020). </w:t>
      </w:r>
      <w:r>
        <w:rPr>
          <w:rFonts w:ascii="Arial" w:hAnsi="Arial" w:eastAsia="Arial" w:cs="Arial"/>
          <w:i/>
          <w:iCs/>
          <w:color w:val="000000"/>
        </w:rPr>
        <w:t>Philippine herbal medicine guidelines</w:t>
      </w:r>
      <w:r>
        <w:rPr>
          <w:rFonts w:ascii="Arial" w:hAnsi="Arial" w:eastAsia="Arial" w:cs="Arial"/>
          <w:color w:val="000000"/>
        </w:rPr>
        <w:t>.</w:t>
      </w:r>
    </w:p>
    <w:p w14:paraId="103FD2C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Maramba-Lazarte, C. C., Cavinta, L. L., &amp; Sara, M. C. L. (2020). </w:t>
      </w:r>
      <w:r>
        <w:rPr>
          <w:rFonts w:ascii="Arial" w:hAnsi="Arial" w:eastAsia="Arial" w:cs="Arial"/>
          <w:i/>
          <w:iCs/>
          <w:color w:val="000000"/>
        </w:rPr>
        <w:t>Antibacterial activity of selected Philippine medicinal plants</w:t>
      </w:r>
      <w:r>
        <w:rPr>
          <w:rFonts w:ascii="Arial" w:hAnsi="Arial" w:eastAsia="Arial" w:cs="Arial"/>
          <w:color w:val="000000"/>
        </w:rPr>
        <w:t xml:space="preserve">. </w:t>
      </w:r>
      <w:r>
        <w:rPr>
          <w:rFonts w:ascii="Arial" w:hAnsi="Arial" w:eastAsia="Arial" w:cs="Arial"/>
          <w:i/>
          <w:iCs/>
          <w:color w:val="000000"/>
        </w:rPr>
        <w:t>Acta Medica Philippina</w:t>
      </w:r>
      <w:r>
        <w:rPr>
          <w:rFonts w:ascii="Arial" w:hAnsi="Arial" w:eastAsia="Arial" w:cs="Arial"/>
          <w:color w:val="000000"/>
        </w:rPr>
        <w:t>, 54(1).</w:t>
      </w:r>
    </w:p>
    <w:p w14:paraId="7B856CB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Department of Health &amp; Philippine Institute of Traditional and Alternative Health Care. (2020). </w:t>
      </w:r>
      <w:r>
        <w:rPr>
          <w:rFonts w:ascii="Arial" w:hAnsi="Arial" w:eastAsia="Arial" w:cs="Arial"/>
          <w:i/>
          <w:iCs/>
          <w:color w:val="000000"/>
        </w:rPr>
        <w:t>Guidelines on the proper use of medicinal plants</w:t>
      </w:r>
      <w:r>
        <w:rPr>
          <w:rFonts w:ascii="Arial" w:hAnsi="Arial" w:eastAsia="Arial" w:cs="Arial"/>
          <w:color w:val="000000"/>
        </w:rPr>
        <w:t>.</w:t>
      </w:r>
    </w:p>
    <w:p w14:paraId="48A8753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World Health Organization. (2019). </w:t>
      </w:r>
      <w:r>
        <w:rPr>
          <w:rFonts w:ascii="Arial" w:hAnsi="Arial" w:eastAsia="Arial" w:cs="Arial"/>
          <w:i/>
          <w:iCs/>
          <w:color w:val="000000"/>
        </w:rPr>
        <w:t>WHO global report on traditional and complementary medicine</w:t>
      </w:r>
      <w:r>
        <w:rPr>
          <w:rFonts w:ascii="Arial" w:hAnsi="Arial" w:eastAsia="Arial" w:cs="Arial"/>
          <w:color w:val="000000"/>
        </w:rPr>
        <w:t>. Geneva: WHO.</w:t>
      </w:r>
    </w:p>
    <w:p w14:paraId="01A54C1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Department of Health &amp; Philippine Institute of Traditional and Alternative Health Care. (2020). </w:t>
      </w:r>
      <w:r>
        <w:rPr>
          <w:rFonts w:ascii="Arial" w:hAnsi="Arial" w:eastAsia="Arial" w:cs="Arial"/>
          <w:i/>
          <w:iCs/>
          <w:color w:val="000000"/>
        </w:rPr>
        <w:t>Guidelines on the proper use of medicinal plants</w:t>
      </w:r>
      <w:r>
        <w:rPr>
          <w:rFonts w:ascii="Arial" w:hAnsi="Arial" w:eastAsia="Arial" w:cs="Arial"/>
          <w:color w:val="000000"/>
        </w:rPr>
        <w:t>.</w:t>
      </w:r>
    </w:p>
    <w:p w14:paraId="3D65066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color w:val="000000"/>
        </w:rPr>
        <w:t xml:space="preserve">World Health Organization. (2019). </w:t>
      </w:r>
      <w:r>
        <w:rPr>
          <w:rFonts w:ascii="Arial" w:hAnsi="Arial" w:eastAsia="Arial" w:cs="Arial"/>
          <w:i/>
          <w:iCs/>
          <w:color w:val="000000"/>
        </w:rPr>
        <w:t>WHO global report on traditional and complementary medicine</w:t>
      </w:r>
      <w:r>
        <w:rPr>
          <w:rFonts w:ascii="Arial" w:hAnsi="Arial" w:eastAsia="Arial" w:cs="Arial"/>
          <w:color w:val="000000"/>
        </w:rPr>
        <w:t>.</w:t>
      </w:r>
    </w:p>
    <w:p w14:paraId="67B303B7">
      <w:pPr>
        <w:pBdr>
          <w:top w:val="none" w:color="auto" w:sz="0" w:space="0"/>
          <w:left w:val="none" w:color="auto" w:sz="0" w:space="0"/>
          <w:bottom w:val="none" w:color="auto" w:sz="0" w:space="0"/>
          <w:right w:val="none" w:color="auto" w:sz="0" w:space="0"/>
          <w:between w:val="none" w:color="auto" w:sz="0" w:space="0"/>
        </w:pBdr>
        <w:jc w:val="both"/>
        <w:rPr>
          <w:rFonts w:ascii="Arial" w:hAnsi="Arial" w:cs="Arial"/>
          <w:i/>
          <w:iCs/>
          <w:color w:val="000000"/>
        </w:rPr>
      </w:pPr>
    </w:p>
    <w:p w14:paraId="59A2838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bCs/>
          <w:smallCaps/>
          <w:color w:val="000000"/>
          <w:sz w:val="22"/>
          <w:szCs w:val="22"/>
        </w:rPr>
      </w:pPr>
      <w:r>
        <w:rPr>
          <w:rFonts w:ascii="Arial" w:hAnsi="Arial" w:eastAsia="Arial" w:cs="Arial"/>
          <w:b/>
          <w:bCs/>
          <w:smallCaps/>
          <w:color w:val="000000"/>
          <w:sz w:val="22"/>
          <w:szCs w:val="22"/>
        </w:rPr>
        <w:t>Definitions, Acronyms, Abbreviations</w:t>
      </w:r>
    </w:p>
    <w:p w14:paraId="4A9CE28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Knowledge:</w:t>
      </w:r>
      <w:r>
        <w:rPr>
          <w:rFonts w:ascii="Arial" w:hAnsi="Arial" w:eastAsia="Arial" w:cs="Arial"/>
          <w:color w:val="000000"/>
        </w:rPr>
        <w:t xml:space="preserve"> Refers to the respondents’ understanding of DOH-endorsed herbal plants, including their uses, preparation, and limitations. It was measured through a multiple-choice questionnaire, where higher scores indicate greater knowledge.</w:t>
      </w:r>
    </w:p>
    <w:p w14:paraId="7FAA507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Attitude:</w:t>
      </w:r>
      <w:r>
        <w:rPr>
          <w:rFonts w:ascii="Arial" w:hAnsi="Arial" w:eastAsia="Arial" w:cs="Arial"/>
          <w:color w:val="000000"/>
        </w:rPr>
        <w:t xml:space="preserve"> Involves individuals’ perceptions and feelings about the safety, effectiveness, and acceptability of DOH-approved herbal plants. It was assessed using a 5-point Likert scale, with higher scores reflecting more positive attitudes.</w:t>
      </w:r>
    </w:p>
    <w:p w14:paraId="43DEE59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Practice:</w:t>
      </w:r>
      <w:r>
        <w:rPr>
          <w:rFonts w:ascii="Arial" w:hAnsi="Arial" w:eastAsia="Arial" w:cs="Arial"/>
          <w:color w:val="000000"/>
        </w:rPr>
        <w:t xml:space="preserve"> Describes the actual use and promotion of DOH-approved herbal plants in daily life, reflecting applied knowledge and attitudes. It was measured through a Likert-scale checklist, where higher mean scores indicate better practices.</w:t>
      </w:r>
    </w:p>
    <w:p w14:paraId="591B8AF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bCs/>
          <w:color w:val="000000"/>
        </w:rPr>
        <w:t>Herbal Plants:</w:t>
      </w:r>
      <w:r>
        <w:rPr>
          <w:rFonts w:ascii="Arial" w:hAnsi="Arial" w:eastAsia="Arial" w:cs="Arial"/>
          <w:color w:val="000000"/>
        </w:rPr>
        <w:t xml:space="preserve"> Refers to plant-based remedies used for preventing or treating illnesses, specifically the ten DOH-approved medicinal plants in the Philippines. In this study, it encompasses respondents’ knowledge, attitudes, and practices regarding these alternative therapies.</w:t>
      </w:r>
    </w:p>
    <w:p w14:paraId="10AF9BF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sectPr>
          <w:headerReference r:id="rId13" w:type="first"/>
          <w:headerReference r:id="rId11" w:type="default"/>
          <w:footerReference r:id="rId14" w:type="default"/>
          <w:headerReference r:id="rId12" w:type="even"/>
          <w:type w:val="continuous"/>
          <w:pgSz w:w="12240" w:h="15840"/>
          <w:pgMar w:top="1440" w:right="2016" w:bottom="2016" w:left="2016" w:header="720" w:footer="1123" w:gutter="0"/>
          <w:cols w:space="720" w:num="1"/>
          <w:docGrid w:linePitch="272" w:charSpace="0"/>
        </w:sectPr>
      </w:pPr>
    </w:p>
    <w:p w14:paraId="3BFE67CF">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smallCaps/>
          <w:color w:val="000000"/>
          <w:sz w:val="22"/>
          <w:szCs w:val="22"/>
        </w:rPr>
      </w:pPr>
    </w:p>
    <w:sectPr>
      <w:type w:val="continuous"/>
      <w:pgSz w:w="12240" w:h="15840"/>
      <w:pgMar w:top="720" w:right="720" w:bottom="720" w:left="720" w:header="720" w:footer="720" w:gutter="0"/>
      <w:cols w:space="720" w:num="1"/>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 w:date="2026-04-15T09:04:38Z" w:initials="J">
    <w:p w14:paraId="2D6A7E71">
      <w:pPr>
        <w:pStyle w:val="10"/>
        <w:rPr>
          <w:rFonts w:hint="default"/>
          <w:lang w:val="en-US"/>
        </w:rPr>
      </w:pPr>
      <w:r>
        <w:rPr>
          <w:rFonts w:hint="default"/>
          <w:lang w:val="en-US"/>
        </w:rPr>
        <w:t>This should be moved to the background section</w:t>
      </w:r>
    </w:p>
  </w:comment>
  <w:comment w:id="1" w:author="J" w:date="2026-04-15T09:06:03Z" w:initials="J">
    <w:p w14:paraId="01E375CA">
      <w:pPr>
        <w:pStyle w:val="10"/>
        <w:rPr>
          <w:rFonts w:hint="default"/>
          <w:lang w:val="en-US"/>
        </w:rPr>
      </w:pPr>
      <w:r>
        <w:rPr>
          <w:rFonts w:hint="default"/>
          <w:lang w:val="en-US"/>
        </w:rPr>
        <w:t>Indicate the country</w:t>
      </w:r>
    </w:p>
  </w:comment>
  <w:comment w:id="2" w:author="J" w:date="2026-04-15T09:10:51Z" w:initials="J">
    <w:p w14:paraId="0EC38AF8">
      <w:pPr>
        <w:pStyle w:val="10"/>
        <w:rPr>
          <w:rFonts w:hint="default"/>
          <w:lang w:val="en-US"/>
        </w:rPr>
      </w:pPr>
      <w:r>
        <w:rPr>
          <w:rFonts w:hint="default"/>
          <w:lang w:val="en-US"/>
        </w:rPr>
        <w:t>This is not grammatically sound</w:t>
      </w:r>
    </w:p>
  </w:comment>
  <w:comment w:id="3" w:author="J" w:date="2026-04-15T09:46:10Z" w:initials="J">
    <w:p w14:paraId="6F6692A4">
      <w:pPr>
        <w:pStyle w:val="10"/>
        <w:rPr>
          <w:rFonts w:hint="default"/>
          <w:lang w:val="en-US"/>
        </w:rPr>
      </w:pPr>
      <w:r>
        <w:rPr>
          <w:rFonts w:hint="default"/>
          <w:lang w:val="en-US"/>
        </w:rPr>
        <w:t>Provide the aim, objectives and hypothesis for this research, before the methodology</w:t>
      </w:r>
    </w:p>
  </w:comment>
  <w:comment w:id="4" w:author="J" w:date="2026-04-15T09:31:46Z" w:initials="J">
    <w:p w14:paraId="4AAA2A0D">
      <w:pPr>
        <w:pStyle w:val="10"/>
        <w:rPr>
          <w:rFonts w:hint="default"/>
          <w:lang w:val="en-US"/>
        </w:rPr>
      </w:pPr>
      <w:r>
        <w:rPr>
          <w:rFonts w:hint="default"/>
          <w:lang w:val="en-US"/>
        </w:rPr>
        <w:t>Must provide a discussion section and discuss your findings in context of extant literature. Compare with WHO frameworks and DOH standards. Also, the implications of your findings should be discussed and the limitations of your method addressed. You can also provide recommendations, if any, for future research and practice in this area.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D6A7E71" w15:done="0"/>
  <w15:commentEx w15:paraId="01E375CA" w15:done="0"/>
  <w15:commentEx w15:paraId="0EC38AF8" w15:done="0"/>
  <w15:commentEx w15:paraId="6F6692A4" w15:done="0"/>
  <w15:commentEx w15:paraId="4AAA2A0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CC907C9E-9CBC-4658-B416-F7C0145188D6}"/>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41819F55-28B1-43B0-BD0E-CAC5E176DC04}"/>
  </w:font>
  <w:font w:name="Wingdings">
    <w:panose1 w:val="05000000000000000000"/>
    <w:charset w:val="02"/>
    <w:family w:val="auto"/>
    <w:pitch w:val="default"/>
    <w:sig w:usb0="00000000" w:usb1="00000000" w:usb2="00000000" w:usb3="00000000" w:csb0="80000000" w:csb1="00000000"/>
    <w:embedRegular r:id="rId3" w:fontKey="{92EE0F80-9B02-46BF-8095-5202D2984CD9}"/>
  </w:font>
  <w:font w:name="Calibri">
    <w:panose1 w:val="020F0502020204030204"/>
    <w:charset w:val="00"/>
    <w:family w:val="swiss"/>
    <w:pitch w:val="default"/>
    <w:sig w:usb0="E4002EFF" w:usb1="C000247B" w:usb2="00000009" w:usb3="00000000" w:csb0="200001FF" w:csb1="00000000"/>
    <w:embedRegular r:id="rId4" w:fontKey="{F563C58F-BF0D-4688-A3BB-A781CB07E41D}"/>
  </w:font>
  <w:font w:name="等线">
    <w:altName w:val="Arial Unicode MS"/>
    <w:panose1 w:val="00000000000000000000"/>
    <w:charset w:val="86"/>
    <w:family w:val="auto"/>
    <w:pitch w:val="default"/>
    <w:sig w:usb0="00000000" w:usb1="00000000" w:usb2="00000000" w:usb3="00000000" w:csb0="00000000" w:csb1="00000000"/>
  </w:font>
  <w:font w:name="Helvetica Neue">
    <w:altName w:val="SimSun"/>
    <w:panose1 w:val="00000000000000000000"/>
    <w:charset w:val="86"/>
    <w:family w:val="auto"/>
    <w:pitch w:val="default"/>
    <w:sig w:usb0="00000000" w:usb1="00000000" w:usb2="00000000" w:usb3="00000000" w:csb0="00000000" w:csb1="00000000"/>
    <w:embedRegular r:id="rId5" w:fontKey="{C8A5280F-C320-473C-9FDE-BE8C4EA19325}"/>
  </w:font>
  <w:font w:name="Cambria">
    <w:panose1 w:val="02040503050406030204"/>
    <w:charset w:val="00"/>
    <w:family w:val="roman"/>
    <w:pitch w:val="default"/>
    <w:sig w:usb0="E00006FF" w:usb1="420024FF" w:usb2="02000000" w:usb3="00000000" w:csb0="2000019F" w:csb1="00000000"/>
    <w:embedRegular r:id="rId6" w:fontKey="{27FCB8C2-0ADE-4C75-9A8D-BCCF6F7606B2}"/>
  </w:font>
  <w:font w:name="Georgia">
    <w:panose1 w:val="02040502050405020303"/>
    <w:charset w:val="00"/>
    <w:family w:val="roman"/>
    <w:pitch w:val="default"/>
    <w:sig w:usb0="00000287" w:usb1="00000000" w:usb2="00000000" w:usb3="00000000" w:csb0="2000009F" w:csb1="00000000"/>
    <w:embedRegular r:id="rId7" w:fontKey="{5DB2C032-EF2F-4E21-A118-DA31AE3896F4}"/>
  </w:font>
  <w:font w:name="Arial Unicode MS">
    <w:panose1 w:val="020B0604020202020204"/>
    <w:charset w:val="80"/>
    <w:family w:val="swiss"/>
    <w:pitch w:val="default"/>
    <w:sig w:usb0="FFFFFFFF" w:usb1="E9FFFFFF" w:usb2="0000003F" w:usb3="00000000" w:csb0="603F01FF" w:csb1="FFFF0000"/>
    <w:embedRegular r:id="rId8" w:fontKey="{BA347B57-8004-421E-8080-67239ADC3322}"/>
  </w:font>
  <w:font w:name="Gungsuh">
    <w:altName w:val="Malgun Gothic"/>
    <w:panose1 w:val="00000000000000000000"/>
    <w:charset w:val="81"/>
    <w:family w:val="roman"/>
    <w:pitch w:val="default"/>
    <w:sig w:usb0="00000000" w:usb1="00000000" w:usb2="00000030" w:usb3="00000000" w:csb0="0008009F" w:csb1="00000000"/>
    <w:embedRegular r:id="rId9" w:fontKey="{88418C8B-6D7F-4D28-B7AA-64783537CE8F}"/>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B284B">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42C9C">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B317A">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0F530">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13AAF">
    <w:pPr>
      <w:pStyle w:val="12"/>
    </w:pPr>
    <w:r>
      <w:pict>
        <v:shape id="PowerPlusWaterMarkObject74808377" o:spid="_x0000_s2051"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 Neue;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9A9BA">
    <w:pPr>
      <w:pStyle w:val="12"/>
    </w:pPr>
    <w:r>
      <w:pict>
        <v:shape id="PowerPlusWaterMarkObject74808376" o:spid="_x0000_s2050"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 Neue;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EDA75">
    <w:pPr>
      <w:ind w:left="2160"/>
      <w:jc w:val="center"/>
      <w:rPr>
        <w:rFonts w:ascii="Times New Roman" w:hAnsi="Times New Roman" w:eastAsia="Times New Roman" w:cs="Times New Roman"/>
        <w:i/>
        <w:iCs/>
        <w:sz w:val="18"/>
        <w:szCs w:val="18"/>
      </w:rPr>
    </w:pPr>
    <w:r>
      <w:pict>
        <v:shape id="PowerPlusWaterMarkObject74808375" o:spid="_x0000_s2049"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 Neue;font-size:1pt;v-text-align:center;"/>
        </v:shape>
      </w:pict>
    </w:r>
  </w:p>
  <w:p w14:paraId="04EF8DE7">
    <w:pPr>
      <w:ind w:left="4320"/>
      <w:rPr>
        <w:rFonts w:ascii="Times New Roman" w:hAnsi="Times New Roman" w:eastAsia="Times New Roman" w:cs="Times New Roman"/>
        <w:i/>
        <w:iCs/>
        <w:sz w:val="18"/>
        <w:szCs w:val="18"/>
      </w:rPr>
    </w:pPr>
    <w:r>
      <w:rPr>
        <w:rFonts w:ascii="Times New Roman" w:hAnsi="Times New Roman" w:eastAsia="Times New Roman" w:cs="Times New Roman"/>
        <w:i/>
        <w:iCs/>
        <w:sz w:val="18"/>
        <w:szCs w:val="18"/>
      </w:rPr>
      <w:t xml:space="preserve">.     </w:t>
    </w:r>
  </w:p>
  <w:p w14:paraId="752390C2">
    <w:pPr>
      <w:jc w:val="center"/>
      <w:rPr>
        <w:rFonts w:ascii="Times New Roman" w:hAnsi="Times New Roman" w:eastAsia="Times New Roman" w:cs="Times New Roman"/>
        <w:i/>
        <w:iCs/>
        <w:sz w:val="18"/>
        <w:szCs w:val="18"/>
      </w:rPr>
    </w:pPr>
    <w:r>
      <w:rPr>
        <w:rFonts w:ascii="Times New Roman" w:hAnsi="Times New Roman" w:eastAsia="Times New Roman" w:cs="Times New Roman"/>
        <w:i/>
        <w:iCs/>
        <w:sz w:val="18"/>
        <w:szCs w:val="18"/>
      </w:rPr>
      <w:t>.</w:t>
    </w:r>
  </w:p>
  <w:p w14:paraId="70756B5E">
    <w:pPr>
      <w:spacing w:after="200"/>
      <w:jc w:val="center"/>
      <w:rPr>
        <w:rFonts w:ascii="Times New Roman" w:hAnsi="Times New Roman" w:eastAsia="Times New Roman" w:cs="Times New Roman"/>
        <w:b/>
        <w:bCs/>
        <w:i/>
        <w:iCs/>
        <w:sz w:val="32"/>
        <w:szCs w:val="32"/>
      </w:rPr>
    </w:pPr>
    <w:r>
      <w:rPr>
        <w:rFonts w:ascii="Times New Roman" w:hAnsi="Times New Roman" w:eastAsia="Times New Roman" w:cs="Times New Roman"/>
        <w:b/>
        <w:bCs/>
        <w:i/>
        <w:iCs/>
        <w:sz w:val="32"/>
        <w:szCs w:val="32"/>
      </w:rPr>
      <w:t xml:space="preserve">              . </w:t>
    </w:r>
  </w:p>
  <w:p w14:paraId="63A4EFF4">
    <w:pPr>
      <w:jc w:val="center"/>
      <w:rPr>
        <w:rFonts w:ascii="Times New Roman" w:hAnsi="Times New Roman" w:eastAsia="Times New Roman" w:cs="Times New Roman"/>
        <w:i/>
        <w:iCs/>
        <w:sz w:val="18"/>
        <w:szCs w:val="18"/>
      </w:rPr>
    </w:pPr>
    <w:r>
      <w:rPr>
        <w:rFonts w:ascii="Times New Roman" w:hAnsi="Times New Roman" w:eastAsia="Times New Roman" w:cs="Times New Roman"/>
        <w:i/>
        <w:iCs/>
        <w:sz w:val="18"/>
        <w:szCs w:val="18"/>
      </w:rPr>
      <w:t xml:space="preserve">                     </w:t>
    </w:r>
  </w:p>
  <w:p w14:paraId="499658C1">
    <w:pPr>
      <w:tabs>
        <w:tab w:val="left" w:pos="2145"/>
      </w:tabs>
      <w:rPr>
        <w:rFonts w:ascii="Times New Roman" w:hAnsi="Times New Roman" w:eastAsia="Times New Roman" w:cs="Times New Roman"/>
        <w:i/>
        <w:iCs/>
        <w:sz w:val="18"/>
        <w:szCs w:val="18"/>
      </w:rPr>
    </w:pPr>
    <w:r>
      <w:rPr>
        <w:rFonts w:ascii="Times New Roman" w:hAnsi="Times New Roman" w:eastAsia="Times New Roman" w:cs="Times New Roman"/>
        <w:i/>
        <w:iCs/>
        <w:sz w:val="18"/>
        <w:szCs w:val="18"/>
      </w:rPr>
      <w:tab/>
    </w:r>
    <w:r>
      <w:rPr>
        <w:rFonts w:ascii="Times New Roman" w:hAnsi="Times New Roman" w:eastAsia="Times New Roman" w:cs="Times New Roman"/>
        <w:i/>
        <w:iCs/>
        <w:sz w:val="18"/>
        <w:szCs w:val="18"/>
      </w:rPr>
      <w:t>.</w:t>
    </w:r>
  </w:p>
  <w:p w14:paraId="27D7BA48">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color w:val="000000"/>
      </w:rPr>
    </w:pPr>
    <w:r>
      <w:rPr>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28824">
    <w:pPr>
      <w:pStyle w:val="12"/>
    </w:pPr>
    <w:r>
      <w:pict>
        <v:shape id="PowerPlusWaterMarkObject74808380" o:spid="_x0000_s2054"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 Neue;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0A7A0">
    <w:pPr>
      <w:pStyle w:val="12"/>
    </w:pPr>
    <w:r>
      <w:pict>
        <v:shape id="PowerPlusWaterMarkObject74808379" o:spid="_x0000_s2053"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 Neue;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7A1B7">
    <w:pPr>
      <w:pStyle w:val="12"/>
    </w:pPr>
    <w:r>
      <w:pict>
        <v:shape id="PowerPlusWaterMarkObject74808378" o:spid="_x0000_s2052"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 Neue;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
    <w15:presenceInfo w15:providerId="None" w15:userId="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documentProtection w:enforcement="0"/>
  <w:defaultTabStop w:val="720"/>
  <w:characterSpacingControl w:val="doNotCompress"/>
  <w:hdrShapeDefaults>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681"/>
    <w:rsid w:val="00120C99"/>
    <w:rsid w:val="00151BF4"/>
    <w:rsid w:val="0061193B"/>
    <w:rsid w:val="00800AA6"/>
    <w:rsid w:val="008A1270"/>
    <w:rsid w:val="00970517"/>
    <w:rsid w:val="00A60182"/>
    <w:rsid w:val="00AC2CBA"/>
    <w:rsid w:val="00AD0E12"/>
    <w:rsid w:val="00DF6F26"/>
    <w:rsid w:val="00ED6BE4"/>
    <w:rsid w:val="00EE1681"/>
    <w:rsid w:val="0CE67EB1"/>
    <w:rsid w:val="675E0171"/>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Helvetica Neue" w:hAnsi="Helvetica Neue" w:eastAsia="Helvetica Neue" w:cs="Helvetica Neue"/>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Neue" w:hAnsi="Helvetica Neue" w:eastAsia="Helvetica Neue" w:cs="Helvetica Neue"/>
      <w:lang w:val="en-PH" w:eastAsia="en-PH" w:bidi="ar-SA"/>
    </w:rPr>
  </w:style>
  <w:style w:type="paragraph" w:styleId="2">
    <w:name w:val="heading 1"/>
    <w:basedOn w:val="1"/>
    <w:next w:val="1"/>
    <w:qFormat/>
    <w:uiPriority w:val="9"/>
    <w:pPr>
      <w:keepNext/>
      <w:spacing w:before="240" w:after="60"/>
      <w:outlineLvl w:val="0"/>
    </w:pPr>
    <w:rPr>
      <w:rFonts w:ascii="Arial" w:hAnsi="Arial" w:eastAsia="Arial" w:cs="Arial"/>
      <w:b/>
      <w:bCs/>
      <w:sz w:val="28"/>
      <w:szCs w:val="28"/>
    </w:rPr>
  </w:style>
  <w:style w:type="paragraph" w:styleId="3">
    <w:name w:val="heading 2"/>
    <w:basedOn w:val="1"/>
    <w:next w:val="1"/>
    <w:unhideWhenUsed/>
    <w:qFormat/>
    <w:uiPriority w:val="9"/>
    <w:pPr>
      <w:keepNext/>
      <w:keepLines/>
      <w:spacing w:before="360" w:after="80"/>
      <w:outlineLvl w:val="1"/>
    </w:pPr>
    <w:rPr>
      <w:b/>
      <w:bCs/>
      <w:sz w:val="36"/>
      <w:szCs w:val="36"/>
    </w:rPr>
  </w:style>
  <w:style w:type="paragraph" w:styleId="4">
    <w:name w:val="heading 3"/>
    <w:basedOn w:val="1"/>
    <w:next w:val="1"/>
    <w:unhideWhenUsed/>
    <w:qFormat/>
    <w:uiPriority w:val="9"/>
    <w:pPr>
      <w:keepNext/>
      <w:keepLines/>
      <w:spacing w:before="40"/>
      <w:outlineLvl w:val="2"/>
    </w:pPr>
    <w:rPr>
      <w:rFonts w:ascii="Cambria" w:hAnsi="Cambria" w:eastAsia="Cambria" w:cs="Cambria"/>
      <w:color w:val="243F61"/>
      <w:sz w:val="24"/>
      <w:szCs w:val="24"/>
    </w:rPr>
  </w:style>
  <w:style w:type="paragraph" w:styleId="5">
    <w:name w:val="heading 4"/>
    <w:basedOn w:val="1"/>
    <w:next w:val="1"/>
    <w:semiHidden/>
    <w:unhideWhenUsed/>
    <w:qFormat/>
    <w:uiPriority w:val="9"/>
    <w:pPr>
      <w:keepNext/>
      <w:keepLines/>
      <w:spacing w:before="240" w:after="40"/>
      <w:outlineLvl w:val="3"/>
    </w:pPr>
    <w:rPr>
      <w:b/>
      <w:bCs/>
      <w:sz w:val="24"/>
      <w:szCs w:val="24"/>
    </w:rPr>
  </w:style>
  <w:style w:type="paragraph" w:styleId="6">
    <w:name w:val="heading 5"/>
    <w:basedOn w:val="1"/>
    <w:next w:val="1"/>
    <w:semiHidden/>
    <w:unhideWhenUsed/>
    <w:qFormat/>
    <w:uiPriority w:val="9"/>
    <w:pPr>
      <w:keepNext/>
      <w:keepLines/>
      <w:spacing w:before="220" w:after="40"/>
      <w:outlineLvl w:val="4"/>
    </w:pPr>
    <w:rPr>
      <w:b/>
      <w:bCs/>
      <w:sz w:val="22"/>
      <w:szCs w:val="22"/>
    </w:rPr>
  </w:style>
  <w:style w:type="paragraph" w:styleId="7">
    <w:name w:val="heading 6"/>
    <w:basedOn w:val="1"/>
    <w:next w:val="1"/>
    <w:semiHidden/>
    <w:unhideWhenUsed/>
    <w:qFormat/>
    <w:uiPriority w:val="9"/>
    <w:pPr>
      <w:keepNext/>
      <w:keepLines/>
      <w:spacing w:before="200" w:after="40"/>
      <w:outlineLvl w:val="5"/>
    </w:pPr>
    <w:rPr>
      <w:b/>
      <w:bCs/>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annotation text"/>
    <w:basedOn w:val="1"/>
    <w:semiHidden/>
    <w:unhideWhenUsed/>
    <w:uiPriority w:val="99"/>
    <w:pPr>
      <w:jc w:val="left"/>
    </w:pPr>
  </w:style>
  <w:style w:type="paragraph" w:styleId="11">
    <w:name w:val="footer"/>
    <w:basedOn w:val="1"/>
    <w:link w:val="27"/>
    <w:unhideWhenUsed/>
    <w:qFormat/>
    <w:uiPriority w:val="99"/>
    <w:pPr>
      <w:tabs>
        <w:tab w:val="center" w:pos="4513"/>
        <w:tab w:val="right" w:pos="9026"/>
      </w:tabs>
    </w:pPr>
  </w:style>
  <w:style w:type="paragraph" w:styleId="12">
    <w:name w:val="header"/>
    <w:basedOn w:val="1"/>
    <w:link w:val="29"/>
    <w:unhideWhenUsed/>
    <w:uiPriority w:val="99"/>
    <w:pPr>
      <w:tabs>
        <w:tab w:val="center" w:pos="4680"/>
        <w:tab w:val="right" w:pos="9360"/>
      </w:tabs>
    </w:pPr>
  </w:style>
  <w:style w:type="character" w:styleId="13">
    <w:name w:val="Hyperlink"/>
    <w:basedOn w:val="8"/>
    <w:unhideWhenUsed/>
    <w:qFormat/>
    <w:uiPriority w:val="99"/>
    <w:rPr>
      <w:color w:val="0000FF" w:themeColor="hyperlink"/>
      <w:u w:val="single"/>
      <w14:textFill>
        <w14:solidFill>
          <w14:schemeClr w14:val="hlink"/>
        </w14:solidFill>
      </w14:textFill>
    </w:rPr>
  </w:style>
  <w:style w:type="character" w:styleId="14">
    <w:name w:val="line number"/>
    <w:basedOn w:val="8"/>
    <w:semiHidden/>
    <w:unhideWhenUsed/>
    <w:qFormat/>
    <w:uiPriority w:val="99"/>
  </w:style>
  <w:style w:type="paragraph" w:styleId="15">
    <w:name w:val="Subtitle"/>
    <w:basedOn w:val="1"/>
    <w:next w:val="1"/>
    <w:qFormat/>
    <w:uiPriority w:val="11"/>
    <w:pPr>
      <w:keepNext/>
      <w:keepLines/>
      <w:spacing w:before="360" w:after="80"/>
    </w:pPr>
    <w:rPr>
      <w:rFonts w:ascii="Georgia" w:hAnsi="Georgia" w:eastAsia="Georgia" w:cs="Georgia"/>
      <w:i/>
      <w:iCs/>
      <w:color w:val="666666"/>
      <w:sz w:val="48"/>
      <w:szCs w:val="48"/>
    </w:rPr>
  </w:style>
  <w:style w:type="table" w:styleId="16">
    <w:name w:val="Table Grid"/>
    <w:basedOn w:val="9"/>
    <w:qFormat/>
    <w:uiPriority w:val="39"/>
    <w:rPr>
      <w:rFonts w:asciiTheme="minorHAnsi" w:hAnsiTheme="minorHAnsi" w:eastAsia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qFormat/>
    <w:uiPriority w:val="10"/>
    <w:pPr>
      <w:spacing w:after="360"/>
      <w:jc w:val="right"/>
    </w:pPr>
    <w:rPr>
      <w:b/>
      <w:bCs/>
      <w:sz w:val="36"/>
      <w:szCs w:val="36"/>
    </w:rPr>
  </w:style>
  <w:style w:type="table" w:customStyle="1" w:styleId="18">
    <w:name w:val="TableNormal"/>
    <w:qFormat/>
    <w:uiPriority w:val="0"/>
    <w:tblPr>
      <w:tblCellMar>
        <w:top w:w="100" w:type="dxa"/>
        <w:left w:w="100" w:type="dxa"/>
        <w:bottom w:w="100" w:type="dxa"/>
        <w:right w:w="100" w:type="dxa"/>
      </w:tblCellMar>
    </w:tblPr>
  </w:style>
  <w:style w:type="table" w:customStyle="1" w:styleId="19">
    <w:name w:val="_Style 12"/>
    <w:basedOn w:val="18"/>
    <w:qFormat/>
    <w:uiPriority w:val="0"/>
    <w:tblPr>
      <w:tblCellMar>
        <w:top w:w="0" w:type="dxa"/>
        <w:left w:w="115" w:type="dxa"/>
        <w:bottom w:w="0" w:type="dxa"/>
        <w:right w:w="115" w:type="dxa"/>
      </w:tblCellMar>
    </w:tblPr>
  </w:style>
  <w:style w:type="table" w:customStyle="1" w:styleId="20">
    <w:name w:val="_Style 13"/>
    <w:basedOn w:val="18"/>
    <w:qFormat/>
    <w:uiPriority w:val="0"/>
  </w:style>
  <w:style w:type="table" w:customStyle="1" w:styleId="21">
    <w:name w:val="_Style 14"/>
    <w:basedOn w:val="18"/>
    <w:qFormat/>
    <w:uiPriority w:val="0"/>
  </w:style>
  <w:style w:type="table" w:customStyle="1" w:styleId="22">
    <w:name w:val="_Style 15"/>
    <w:basedOn w:val="18"/>
    <w:qFormat/>
    <w:uiPriority w:val="0"/>
  </w:style>
  <w:style w:type="table" w:customStyle="1" w:styleId="23">
    <w:name w:val="_Style 16"/>
    <w:basedOn w:val="18"/>
    <w:qFormat/>
    <w:uiPriority w:val="0"/>
  </w:style>
  <w:style w:type="table" w:customStyle="1" w:styleId="24">
    <w:name w:val="_Style 17"/>
    <w:basedOn w:val="18"/>
    <w:qFormat/>
    <w:uiPriority w:val="0"/>
  </w:style>
  <w:style w:type="table" w:customStyle="1" w:styleId="25">
    <w:name w:val="_Style 18"/>
    <w:basedOn w:val="18"/>
    <w:qFormat/>
    <w:uiPriority w:val="0"/>
  </w:style>
  <w:style w:type="table" w:customStyle="1" w:styleId="26">
    <w:name w:val="_Style 19"/>
    <w:basedOn w:val="18"/>
    <w:uiPriority w:val="0"/>
  </w:style>
  <w:style w:type="character" w:customStyle="1" w:styleId="27">
    <w:name w:val="Footer Char"/>
    <w:basedOn w:val="8"/>
    <w:link w:val="11"/>
    <w:qFormat/>
    <w:uiPriority w:val="99"/>
  </w:style>
  <w:style w:type="character" w:customStyle="1" w:styleId="28">
    <w:name w:val="Unresolved Mention"/>
    <w:basedOn w:val="8"/>
    <w:semiHidden/>
    <w:unhideWhenUsed/>
    <w:qFormat/>
    <w:uiPriority w:val="99"/>
    <w:rPr>
      <w:color w:val="605E5C"/>
      <w:shd w:val="clear" w:color="auto" w:fill="E1DFDD"/>
    </w:rPr>
  </w:style>
  <w:style w:type="character" w:customStyle="1" w:styleId="29">
    <w:name w:val="Header Char"/>
    <w:basedOn w:val="8"/>
    <w:link w:val="12"/>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5200</Words>
  <Characters>29645</Characters>
  <Lines>247</Lines>
  <Paragraphs>69</Paragraphs>
  <TotalTime>59</TotalTime>
  <ScaleCrop>false</ScaleCrop>
  <LinksUpToDate>false</LinksUpToDate>
  <CharactersWithSpaces>34776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2026-04-13T22:54:00Z</dcterms:created>
  <dc:creator>j</dc:creator>
  <cp:lastModifiedBy>J</cp:lastModifiedBy>
  <dcterms:modified xsi:type="dcterms:W3CDTF">2026-04-15T08:47:05Z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81AA9D08C2CD4DEF83DA8C6B1795A7E8_13</vt:lpwstr>
  </property>
</Properties>
</file>