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0E9FB" w14:textId="77777777" w:rsidR="00FB1D97" w:rsidRDefault="00FB1D97">
      <w:pPr>
        <w:pStyle w:val="Title"/>
        <w:spacing w:after="0"/>
        <w:jc w:val="both"/>
        <w:rPr>
          <w:rFonts w:ascii="Arial" w:eastAsia="Arial" w:hAnsi="Arial" w:cs="Arial"/>
        </w:rPr>
      </w:pPr>
    </w:p>
    <w:p w14:paraId="582D2B02" w14:textId="77777777" w:rsidR="002D2840" w:rsidRDefault="002D2840" w:rsidP="002D2840">
      <w:pPr>
        <w:rPr>
          <w:rFonts w:ascii="Times New Roman" w:hAnsi="Times New Roman" w:cs="Times New Roman"/>
        </w:rPr>
      </w:pPr>
      <w:r>
        <w:rPr>
          <w:rFonts w:ascii="Times New Roman" w:hAnsi="Times New Roman" w:cs="Times New Roman"/>
        </w:rPr>
        <w:t>Original Research Article</w:t>
      </w:r>
    </w:p>
    <w:p w14:paraId="57D7C9FC" w14:textId="77777777" w:rsidR="002D2840" w:rsidRDefault="002D2840">
      <w:pPr>
        <w:keepLines/>
        <w:jc w:val="right"/>
        <w:rPr>
          <w:rFonts w:ascii="Arial" w:eastAsia="Arial" w:hAnsi="Arial" w:cs="Arial"/>
          <w:b/>
          <w:bCs/>
          <w:sz w:val="36"/>
          <w:szCs w:val="36"/>
        </w:rPr>
      </w:pPr>
    </w:p>
    <w:p w14:paraId="0C6CB5B9" w14:textId="77777777" w:rsidR="00FB1D97" w:rsidRDefault="00DC7A6B">
      <w:pPr>
        <w:keepLines/>
        <w:jc w:val="right"/>
        <w:rPr>
          <w:rFonts w:ascii="Arial" w:eastAsia="Arial" w:hAnsi="Arial" w:cs="Arial"/>
          <w:b/>
          <w:bCs/>
          <w:sz w:val="36"/>
          <w:szCs w:val="36"/>
        </w:rPr>
      </w:pPr>
      <w:r>
        <w:rPr>
          <w:rFonts w:ascii="Arial" w:eastAsia="Arial" w:hAnsi="Arial" w:cs="Arial"/>
          <w:b/>
          <w:bCs/>
          <w:sz w:val="36"/>
          <w:szCs w:val="36"/>
        </w:rPr>
        <w:t>Nursing Students’ Intent to Learn Sign</w:t>
      </w:r>
    </w:p>
    <w:p w14:paraId="41842045" w14:textId="77777777" w:rsidR="00FB1D97" w:rsidRDefault="00DC7A6B">
      <w:pPr>
        <w:keepLines/>
        <w:jc w:val="right"/>
        <w:rPr>
          <w:rFonts w:ascii="Arial" w:eastAsia="Arial" w:hAnsi="Arial" w:cs="Arial"/>
          <w:b/>
          <w:bCs/>
          <w:sz w:val="36"/>
          <w:szCs w:val="36"/>
        </w:rPr>
      </w:pPr>
      <w:r>
        <w:rPr>
          <w:rFonts w:ascii="Arial" w:eastAsia="Arial" w:hAnsi="Arial" w:cs="Arial"/>
          <w:b/>
          <w:bCs/>
          <w:sz w:val="36"/>
          <w:szCs w:val="36"/>
        </w:rPr>
        <w:t>Language in Iloilo City</w:t>
      </w:r>
    </w:p>
    <w:p w14:paraId="04D6DB66" w14:textId="77777777" w:rsidR="00FB1D97" w:rsidRDefault="00FB1D97">
      <w:pPr>
        <w:pBdr>
          <w:top w:val="nil"/>
          <w:left w:val="nil"/>
          <w:bottom w:val="nil"/>
          <w:right w:val="nil"/>
          <w:between w:val="nil"/>
        </w:pBdr>
        <w:jc w:val="both"/>
        <w:rPr>
          <w:rFonts w:ascii="Arial" w:eastAsia="Arial" w:hAnsi="Arial" w:cs="Arial"/>
          <w:color w:val="000000"/>
        </w:rPr>
      </w:pPr>
    </w:p>
    <w:p w14:paraId="41AB93D9" w14:textId="77777777" w:rsidR="00FB1D97" w:rsidRDefault="00FB1D97">
      <w:pPr>
        <w:pBdr>
          <w:top w:val="nil"/>
          <w:left w:val="nil"/>
          <w:bottom w:val="nil"/>
          <w:right w:val="nil"/>
          <w:between w:val="nil"/>
        </w:pBdr>
        <w:jc w:val="both"/>
        <w:rPr>
          <w:rFonts w:ascii="Arial" w:eastAsia="Arial" w:hAnsi="Arial" w:cs="Arial"/>
          <w:color w:val="000000"/>
        </w:rPr>
      </w:pPr>
    </w:p>
    <w:p w14:paraId="6E53C3B8" w14:textId="77777777" w:rsidR="00FB1D97" w:rsidRDefault="00DC7A6B">
      <w:pPr>
        <w:pBdr>
          <w:top w:val="nil"/>
          <w:left w:val="nil"/>
          <w:bottom w:val="nil"/>
          <w:right w:val="nil"/>
          <w:between w:val="nil"/>
        </w:pBdr>
        <w:jc w:val="both"/>
        <w:rPr>
          <w:rFonts w:ascii="Arial" w:eastAsia="Arial" w:hAnsi="Arial" w:cs="Arial"/>
          <w:color w:val="000000"/>
          <w:sz w:val="16"/>
          <w:szCs w:val="16"/>
        </w:rPr>
        <w:sectPr w:rsidR="00FB1D97" w:rsidSect="009D1323">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eastAsia="en-US"/>
        </w:rPr>
        <mc:AlternateContent>
          <mc:Choice Requires="wpg">
            <w:drawing>
              <wp:inline distT="0" distB="0" distL="114300" distR="114300" wp14:anchorId="798E5BBA" wp14:editId="6561ED03">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1E886C85" w14:textId="77777777" w:rsidR="00FB1D97" w:rsidRDefault="00DC7A6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B1D97" w14:paraId="4241BB1D" w14:textId="77777777">
        <w:tc>
          <w:tcPr>
            <w:tcW w:w="8424" w:type="dxa"/>
            <w:shd w:val="clear" w:color="auto" w:fill="F2F2F2"/>
          </w:tcPr>
          <w:p w14:paraId="72B7FBC3" w14:textId="77777777" w:rsidR="00FB1D97" w:rsidRDefault="00FB1D97">
            <w:pPr>
              <w:pBdr>
                <w:top w:val="nil"/>
                <w:left w:val="nil"/>
                <w:bottom w:val="nil"/>
                <w:right w:val="nil"/>
                <w:between w:val="nil"/>
              </w:pBdr>
              <w:jc w:val="both"/>
              <w:rPr>
                <w:rFonts w:ascii="Arial" w:eastAsia="Arial" w:hAnsi="Arial" w:cs="Arial"/>
                <w:b/>
                <w:bCs/>
                <w:color w:val="000000"/>
              </w:rPr>
            </w:pPr>
          </w:p>
          <w:p w14:paraId="174252B1" w14:textId="77777777" w:rsidR="00FB1D97" w:rsidRDefault="00DC7A6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Aims:</w:t>
            </w:r>
            <w:r>
              <w:rPr>
                <w:rFonts w:ascii="Arial" w:eastAsia="Arial" w:hAnsi="Arial" w:cs="Arial"/>
                <w:b/>
                <w:bCs/>
              </w:rPr>
              <w:t xml:space="preserve"> </w:t>
            </w:r>
            <w:r>
              <w:rPr>
                <w:rFonts w:ascii="Arial" w:eastAsia="Arial" w:hAnsi="Arial" w:cs="Arial"/>
              </w:rPr>
              <w:t>The study aimed to assess the perceptions and intent of nursing students in a private institution in Iloilo toward learning sign language and to identify factors that influence their willingness to learn. The results served as a basis for recommending the integration of sign language into the nursing curriculum in order to provide a more equitable healthcare to patients</w:t>
            </w:r>
          </w:p>
          <w:p w14:paraId="666B04AC" w14:textId="77777777" w:rsidR="00FB1D97" w:rsidRDefault="00DC7A6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rPr>
              <w:t xml:space="preserve"> A descriptive-correlational research design was used to determine the relationship between perceived interest, perceived importance, perceived barriers, and the intent of students in learning sign language.</w:t>
            </w:r>
          </w:p>
          <w:p w14:paraId="329F396A"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was conducted at a private school in Iloilo City during the first and second semesters in the academic year 2025-2026</w:t>
            </w:r>
          </w:p>
          <w:p w14:paraId="216A65CF" w14:textId="77777777" w:rsidR="00FB1D97" w:rsidRDefault="00DC7A6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Methodology:</w:t>
            </w:r>
            <w:r>
              <w:rPr>
                <w:rFonts w:ascii="Arial" w:eastAsia="Arial" w:hAnsi="Arial" w:cs="Arial"/>
                <w:color w:val="000000"/>
              </w:rPr>
              <w:t xml:space="preserve"> W</w:t>
            </w:r>
            <w:r>
              <w:rPr>
                <w:rFonts w:ascii="Arial" w:eastAsia="Arial" w:hAnsi="Arial" w:cs="Arial"/>
              </w:rPr>
              <w:t>e included 325 nursing students from 1st to 4th year, enrolled in the academic year 2025-2026. Respondents were selected using stratified random sampling  Where 96 were first year, 88 were second year, 80 were third year and 81 were 4th year nursing students. Data were collected through 2 adapted questionnaires ‘Knowledge, Attitudes, and Practices Toward Deaf Patients Among Healthcare Workers in Saudi Arabia’’ (</w:t>
            </w:r>
            <w:proofErr w:type="spellStart"/>
            <w:r>
              <w:rPr>
                <w:rFonts w:ascii="Arial" w:eastAsia="Arial" w:hAnsi="Arial" w:cs="Arial"/>
              </w:rPr>
              <w:t>Alamro</w:t>
            </w:r>
            <w:proofErr w:type="spellEnd"/>
            <w:r>
              <w:rPr>
                <w:rFonts w:ascii="Arial" w:eastAsia="Arial" w:hAnsi="Arial" w:cs="Arial"/>
              </w:rPr>
              <w:t xml:space="preserve"> et al., 2023) and “Nursing and Midwifery Students’ Perceptions of Sign Language Training in Ghana: Relevance, Instructional Methods, and Assessment Practices” (Opoku et al., 2025), and a researcher-made questionnaire, which measures perceived interest, perceived importance, perceived communication-related barriers and intent to learn sign language. Descriptive statistics and Spearman-Rank Correlation Analysis were used to analyze the data. </w:t>
            </w:r>
          </w:p>
          <w:p w14:paraId="09D088EC"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color w:val="000000"/>
              </w:rPr>
              <w:t xml:space="preserve"> </w:t>
            </w:r>
            <w:r>
              <w:rPr>
                <w:rFonts w:ascii="Arial" w:eastAsia="Arial" w:hAnsi="Arial" w:cs="Arial"/>
              </w:rPr>
              <w:t>Findings revealed that nursing students possessed a high level of intent to learn sign language, a neutral attitude in terms of Perceived Communication-Related Barriers, strongly positive regarding the importance of learning sign language, and a positive attitude in terms of Personal Interest. Spearman's Rank-Order Correlation Analysis showed a significant relationship between the importance of learning sign language and personal interest in learning it. This suggests that students who perceive sign language as important are more likely to have a stronger personal interest in learning it. However, these factors do not necessarily influence their overall intent to learn sign language. On the other hand, perceived communication-related barriers showed no significant relationship with learning sign language. This suggests that students’ intent to learn sign language is not significantly affected by the barriers they perceive, indicating that their motivation to learn remains consistent regardless of such challenges.</w:t>
            </w:r>
          </w:p>
          <w:p w14:paraId="20218D98" w14:textId="77777777" w:rsidR="00FB1D97" w:rsidRDefault="00DC7A6B">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 xml:space="preserve">The intent to learn sign language among nursing students is high, accompanied by a strong recognition of its importance and a positive level of personal interest. The significant relationship between perceived importance and personal interest highlights that valuing sign language enhances students’ inclination to engage with it. However, these factors do not significantly influence their overall intent to learn, suggesting that motivation remains consistently high regardless of varying levels of interest and perceived importance. </w:t>
            </w:r>
            <w:r>
              <w:rPr>
                <w:rFonts w:ascii="Arial" w:eastAsia="Arial" w:hAnsi="Arial" w:cs="Arial"/>
              </w:rPr>
              <w:lastRenderedPageBreak/>
              <w:t>Additionally, perceived communication-related barriers do not significantly affect students’ intent, indicating that such challenges do not hinder their willingness to learn. These findings suggest the need for educational strategies that further strengthen interest and awareness while sustaining students’ motivation to learn sign language.</w:t>
            </w:r>
          </w:p>
        </w:tc>
      </w:tr>
    </w:tbl>
    <w:p w14:paraId="6EB41888" w14:textId="77777777" w:rsidR="00FB1D97" w:rsidRDefault="00FB1D97">
      <w:pPr>
        <w:pBdr>
          <w:top w:val="nil"/>
          <w:left w:val="nil"/>
          <w:bottom w:val="nil"/>
          <w:right w:val="nil"/>
          <w:between w:val="nil"/>
        </w:pBdr>
        <w:jc w:val="both"/>
        <w:rPr>
          <w:rFonts w:ascii="Arial" w:eastAsia="Arial" w:hAnsi="Arial" w:cs="Arial"/>
          <w:i/>
          <w:iCs/>
          <w:color w:val="000000"/>
        </w:rPr>
      </w:pPr>
    </w:p>
    <w:p w14:paraId="0E1E00D0" w14:textId="77777777" w:rsidR="00FB1D97" w:rsidRDefault="00DC7A6B">
      <w:pPr>
        <w:pBdr>
          <w:top w:val="nil"/>
          <w:left w:val="nil"/>
          <w:bottom w:val="nil"/>
          <w:right w:val="nil"/>
          <w:between w:val="nil"/>
        </w:pBdr>
        <w:jc w:val="both"/>
        <w:rPr>
          <w:rFonts w:ascii="Arial" w:eastAsia="Arial" w:hAnsi="Arial" w:cs="Arial"/>
          <w:i/>
          <w:iCs/>
          <w:color w:val="000000"/>
          <w:sz w:val="18"/>
          <w:szCs w:val="18"/>
        </w:rPr>
      </w:pPr>
      <w:r>
        <w:rPr>
          <w:rFonts w:ascii="Arial" w:eastAsia="Arial" w:hAnsi="Arial" w:cs="Arial"/>
          <w:i/>
          <w:iCs/>
          <w:color w:val="000000"/>
        </w:rPr>
        <w:t xml:space="preserve">Keywords: </w:t>
      </w:r>
      <w:r>
        <w:rPr>
          <w:rFonts w:ascii="Arial" w:eastAsia="Arial" w:hAnsi="Arial" w:cs="Arial"/>
          <w:i/>
          <w:iCs/>
          <w:highlight w:val="white"/>
        </w:rPr>
        <w:t>Intent, Inclusive Healthcare, Nursing Students, Perception, Sign Language</w:t>
      </w:r>
    </w:p>
    <w:p w14:paraId="3011D227" w14:textId="77777777" w:rsidR="00FB1D97" w:rsidRDefault="00FB1D97">
      <w:pPr>
        <w:pBdr>
          <w:top w:val="nil"/>
          <w:left w:val="nil"/>
          <w:bottom w:val="nil"/>
          <w:right w:val="nil"/>
          <w:between w:val="nil"/>
        </w:pBdr>
        <w:jc w:val="both"/>
        <w:rPr>
          <w:rFonts w:ascii="Arial" w:eastAsia="Arial" w:hAnsi="Arial" w:cs="Arial"/>
          <w:i/>
          <w:iCs/>
          <w:color w:val="000000"/>
        </w:rPr>
      </w:pPr>
    </w:p>
    <w:p w14:paraId="36B7EA8D" w14:textId="77777777" w:rsidR="00FB1D97" w:rsidRDefault="00DC7A6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w:t>
      </w:r>
      <w:commentRangeStart w:id="0"/>
      <w:r>
        <w:rPr>
          <w:rFonts w:ascii="Arial" w:eastAsia="Arial" w:hAnsi="Arial" w:cs="Arial"/>
          <w:b/>
          <w:bCs/>
          <w:smallCaps/>
          <w:color w:val="000000"/>
          <w:sz w:val="22"/>
          <w:szCs w:val="22"/>
        </w:rPr>
        <w:t>INTRODUCTION</w:t>
      </w:r>
      <w:commentRangeEnd w:id="0"/>
      <w:r w:rsidR="00201A25">
        <w:rPr>
          <w:rStyle w:val="CommentReference"/>
          <w:rtl/>
        </w:rPr>
        <w:commentReference w:id="0"/>
      </w:r>
    </w:p>
    <w:p w14:paraId="48ADE888" w14:textId="77777777" w:rsidR="00FB1D97" w:rsidRDefault="00FB1D97">
      <w:pPr>
        <w:pBdr>
          <w:top w:val="nil"/>
          <w:left w:val="nil"/>
          <w:bottom w:val="nil"/>
          <w:right w:val="nil"/>
          <w:between w:val="nil"/>
        </w:pBdr>
        <w:jc w:val="both"/>
        <w:rPr>
          <w:rFonts w:ascii="Arial" w:eastAsia="Arial" w:hAnsi="Arial" w:cs="Arial"/>
        </w:rPr>
      </w:pPr>
    </w:p>
    <w:p w14:paraId="52BE83EB"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Sign language is a visual and gestural method of communication for deaf and hard-of-hearing individuals, enabling them to communicate with others without difficulty                             (National Institute on Deafness and Other Communication Disorders, n.d.). However, nurses have felt difficulties in successfully communicating with deaf and hearing-impaired patients and providing quality care because of their lack of knowledge, usage, and comprehension of sign language, which affects their ability to provide quality healthcare (Qadhi, 2025). Establishing rapport through effective communication with a patient is generally considered the initial objective of a health care provider, specifically of a nurse during a health assessment. </w:t>
      </w:r>
    </w:p>
    <w:p w14:paraId="71D7B864" w14:textId="77777777" w:rsidR="00FB1D97" w:rsidRDefault="00FB1D97">
      <w:pPr>
        <w:pBdr>
          <w:top w:val="nil"/>
          <w:left w:val="nil"/>
          <w:bottom w:val="nil"/>
          <w:right w:val="nil"/>
          <w:between w:val="nil"/>
        </w:pBdr>
        <w:jc w:val="both"/>
        <w:rPr>
          <w:rFonts w:ascii="Arial" w:eastAsia="Arial" w:hAnsi="Arial" w:cs="Arial"/>
        </w:rPr>
      </w:pPr>
    </w:p>
    <w:p w14:paraId="7BC9D55A"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Globally, effective communication between health care providers and impaired hearing and speech patients remains an adversity. Studies consistently show that health care providers, including nurses, have insufficient knowledge to converse with deaf and speech-impaired patients (Newall et al., 2020; </w:t>
      </w:r>
      <w:proofErr w:type="spellStart"/>
      <w:r>
        <w:rPr>
          <w:rFonts w:ascii="Arial" w:eastAsia="Arial" w:hAnsi="Arial" w:cs="Arial"/>
        </w:rPr>
        <w:t>Bialza</w:t>
      </w:r>
      <w:proofErr w:type="spellEnd"/>
      <w:r>
        <w:rPr>
          <w:rFonts w:ascii="Arial" w:eastAsia="Arial" w:hAnsi="Arial" w:cs="Arial"/>
        </w:rPr>
        <w:t xml:space="preserve"> et al., 2023). As a result, nurses rely on ineffective communication methods like lip-reading, which is only understood 30%-45% of the time, and written communication, which can be difficult for many sign language users because of different grammatical structures. (</w:t>
      </w:r>
      <w:proofErr w:type="spellStart"/>
      <w:r>
        <w:rPr>
          <w:rFonts w:ascii="Arial" w:eastAsia="Arial" w:hAnsi="Arial" w:cs="Arial"/>
        </w:rPr>
        <w:t>Haambozi</w:t>
      </w:r>
      <w:proofErr w:type="spellEnd"/>
      <w:r>
        <w:rPr>
          <w:rFonts w:ascii="Arial" w:eastAsia="Arial" w:hAnsi="Arial" w:cs="Arial"/>
        </w:rPr>
        <w:t xml:space="preserve"> et al., 2024). </w:t>
      </w:r>
    </w:p>
    <w:p w14:paraId="090AD5CF" w14:textId="77777777" w:rsidR="00FB1D97" w:rsidRDefault="00FB1D97">
      <w:pPr>
        <w:pBdr>
          <w:top w:val="nil"/>
          <w:left w:val="nil"/>
          <w:bottom w:val="nil"/>
          <w:right w:val="nil"/>
          <w:between w:val="nil"/>
        </w:pBdr>
        <w:jc w:val="both"/>
        <w:rPr>
          <w:rFonts w:ascii="Arial" w:eastAsia="Arial" w:hAnsi="Arial" w:cs="Arial"/>
        </w:rPr>
      </w:pPr>
    </w:p>
    <w:p w14:paraId="7FB92044"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In the Philippines, the accessibility of effective communication for persons with disabilities is recognized by RA 11106, also known as The Filipino Sign Language Act. This law follows the rules of the UN Convention on the Rights of Persons with Disabilities, where Filipino Sign Language is formally recognized as the national sign language for the deaf and mandates its use in all areas of public life — such as medicine </w:t>
      </w:r>
      <w:proofErr w:type="gramStart"/>
      <w:r>
        <w:rPr>
          <w:rFonts w:ascii="Arial" w:eastAsia="Arial" w:hAnsi="Arial" w:cs="Arial"/>
        </w:rPr>
        <w:t>( Rogers</w:t>
      </w:r>
      <w:proofErr w:type="gramEnd"/>
      <w:r>
        <w:rPr>
          <w:rFonts w:ascii="Arial" w:eastAsia="Arial" w:hAnsi="Arial" w:cs="Arial"/>
        </w:rPr>
        <w:t xml:space="preserve">, 2020). This study was also supported by the United Nations Sustainable Development Goal (SDG) 10 Reduced Inequalities, which sought to promote the social, economic, and political inclusion of all individuals regardless of disability, age, sex, race, or status (United Nations, 2022). Similarly, policies under the Technical and Educational Skills Development Authority continue to report that barriers to participation and success are still being experienced by persons with disabilities in technical vocational training programs, highlighting gaps between policies and practice (TESDA, 2023). </w:t>
      </w:r>
    </w:p>
    <w:p w14:paraId="7C17C823" w14:textId="77777777" w:rsidR="00FB1D97" w:rsidRDefault="00FB1D97">
      <w:pPr>
        <w:pBdr>
          <w:top w:val="nil"/>
          <w:left w:val="nil"/>
          <w:bottom w:val="nil"/>
          <w:right w:val="nil"/>
          <w:between w:val="nil"/>
        </w:pBdr>
        <w:jc w:val="both"/>
        <w:rPr>
          <w:rFonts w:ascii="Arial" w:eastAsia="Arial" w:hAnsi="Arial" w:cs="Arial"/>
        </w:rPr>
      </w:pPr>
    </w:p>
    <w:p w14:paraId="3765D53C"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With all this existing literature and policies that have been implemented that promote inclusive education, the integration of sign language into the nursing curriculum, particularly within Iloilo City, remains limited, and students’ intent has not been fully explored.    Moreover, several global studies may have already acknowledged that there are difficulties and communication barriers between healthcare providers and deaf and mute patients, approaches remain limited in identifying the specific factors that influence the willingness of nursing students to learn sign language, what factors have no significant impact on their motivation, and data discussing whether nursing students recognize the importance of sign language in clinical settings have not yet been explored. In addition, data on what is the overall intent and perception in terms of their interest in learning sign language, whether or not they recognize the importance of sign language in healthcare, and whether communication-related barriers affect their willingness to learn SL in Iloilo city has not been examined. These gaps show the need to investigate further the perceived interest, importance, and communication-related barriers that </w:t>
      </w:r>
      <w:r>
        <w:rPr>
          <w:rFonts w:ascii="Arial" w:eastAsia="Arial" w:hAnsi="Arial" w:cs="Arial"/>
        </w:rPr>
        <w:lastRenderedPageBreak/>
        <w:t>affect the intent of nursing students in learning sign language in order to promote a more inclusive and effective healthcare delivery.</w:t>
      </w:r>
    </w:p>
    <w:p w14:paraId="58B235A3" w14:textId="77777777" w:rsidR="00FB1D97" w:rsidRDefault="00FB1D97">
      <w:pPr>
        <w:pBdr>
          <w:top w:val="nil"/>
          <w:left w:val="nil"/>
          <w:bottom w:val="nil"/>
          <w:right w:val="nil"/>
          <w:between w:val="nil"/>
        </w:pBdr>
        <w:jc w:val="both"/>
        <w:rPr>
          <w:rFonts w:ascii="Arial" w:eastAsia="Arial" w:hAnsi="Arial" w:cs="Arial"/>
          <w:color w:val="000000"/>
        </w:rPr>
      </w:pPr>
    </w:p>
    <w:p w14:paraId="47C09C0F" w14:textId="77777777" w:rsidR="00FB1D97" w:rsidRDefault="00DC7A6B">
      <w:pPr>
        <w:keepNext/>
        <w:pBdr>
          <w:top w:val="nil"/>
          <w:left w:val="nil"/>
          <w:bottom w:val="nil"/>
          <w:right w:val="nil"/>
          <w:between w:val="nil"/>
        </w:pBdr>
        <w:jc w:val="both"/>
        <w:rPr>
          <w:rFonts w:ascii="Arial" w:eastAsia="Arial" w:hAnsi="Arial" w:cs="Arial"/>
          <w:b/>
          <w:bCs/>
          <w:smallCaps/>
          <w:color w:val="000000"/>
          <w:sz w:val="22"/>
          <w:szCs w:val="22"/>
        </w:rPr>
      </w:pPr>
      <w:commentRangeStart w:id="1"/>
      <w:r>
        <w:rPr>
          <w:rFonts w:ascii="Arial" w:eastAsia="Arial" w:hAnsi="Arial" w:cs="Arial"/>
          <w:b/>
          <w:bCs/>
          <w:smallCaps/>
          <w:color w:val="000000"/>
          <w:sz w:val="22"/>
          <w:szCs w:val="22"/>
        </w:rPr>
        <w:t>2.</w:t>
      </w:r>
      <w:r>
        <w:rPr>
          <w:rFonts w:ascii="Arial" w:eastAsia="Arial" w:hAnsi="Arial" w:cs="Arial"/>
          <w:b/>
          <w:bCs/>
          <w:smallCaps/>
          <w:sz w:val="22"/>
          <w:szCs w:val="22"/>
        </w:rPr>
        <w:t xml:space="preserve"> </w:t>
      </w:r>
      <w:r>
        <w:rPr>
          <w:rFonts w:ascii="Arial" w:eastAsia="Arial" w:hAnsi="Arial" w:cs="Arial"/>
          <w:b/>
          <w:bCs/>
          <w:smallCaps/>
          <w:color w:val="000000"/>
          <w:sz w:val="22"/>
          <w:szCs w:val="22"/>
        </w:rPr>
        <w:t>M</w:t>
      </w:r>
      <w:r>
        <w:rPr>
          <w:rFonts w:ascii="Arial" w:eastAsia="Arial" w:hAnsi="Arial" w:cs="Arial"/>
          <w:b/>
          <w:bCs/>
          <w:smallCaps/>
          <w:sz w:val="22"/>
          <w:szCs w:val="22"/>
        </w:rPr>
        <w:t>ETHODOLOGY</w:t>
      </w:r>
      <w:commentRangeEnd w:id="1"/>
      <w:r w:rsidR="00231F1C">
        <w:rPr>
          <w:rStyle w:val="CommentReference"/>
          <w:rtl/>
        </w:rPr>
        <w:commentReference w:id="1"/>
      </w:r>
    </w:p>
    <w:p w14:paraId="432FD03A" w14:textId="77777777" w:rsidR="00FB1D97" w:rsidRDefault="00FB1D97">
      <w:pPr>
        <w:keepNext/>
        <w:pBdr>
          <w:top w:val="nil"/>
          <w:left w:val="nil"/>
          <w:bottom w:val="nil"/>
          <w:right w:val="nil"/>
          <w:between w:val="nil"/>
        </w:pBdr>
        <w:jc w:val="both"/>
        <w:rPr>
          <w:rFonts w:ascii="Arial" w:eastAsia="Arial" w:hAnsi="Arial" w:cs="Arial"/>
          <w:b/>
          <w:bCs/>
          <w:smallCaps/>
          <w:sz w:val="22"/>
          <w:szCs w:val="22"/>
        </w:rPr>
      </w:pPr>
    </w:p>
    <w:p w14:paraId="1C5426AD" w14:textId="77777777" w:rsidR="00FB1D97" w:rsidRDefault="00DC7A6B">
      <w:pPr>
        <w:keepNext/>
        <w:pBdr>
          <w:top w:val="nil"/>
          <w:left w:val="nil"/>
          <w:bottom w:val="nil"/>
          <w:right w:val="nil"/>
          <w:between w:val="nil"/>
        </w:pBdr>
        <w:jc w:val="both"/>
        <w:rPr>
          <w:rFonts w:ascii="Arial" w:eastAsia="Arial" w:hAnsi="Arial" w:cs="Arial"/>
          <w:b/>
          <w:bCs/>
        </w:rPr>
      </w:pPr>
      <w:r>
        <w:rPr>
          <w:rFonts w:ascii="Arial" w:eastAsia="Arial" w:hAnsi="Arial" w:cs="Arial"/>
          <w:b/>
          <w:bCs/>
          <w:smallCaps/>
        </w:rPr>
        <w:t xml:space="preserve">2.1 </w:t>
      </w:r>
      <w:commentRangeStart w:id="2"/>
      <w:r>
        <w:rPr>
          <w:rFonts w:ascii="Arial" w:eastAsia="Arial" w:hAnsi="Arial" w:cs="Arial"/>
          <w:b/>
          <w:bCs/>
        </w:rPr>
        <w:t xml:space="preserve">Design </w:t>
      </w:r>
      <w:commentRangeEnd w:id="2"/>
      <w:r w:rsidR="00830843">
        <w:rPr>
          <w:rStyle w:val="CommentReference"/>
          <w:rtl/>
        </w:rPr>
        <w:commentReference w:id="2"/>
      </w:r>
    </w:p>
    <w:p w14:paraId="635C7A03" w14:textId="77777777" w:rsidR="00FB1D97" w:rsidRDefault="00FB1D97">
      <w:pPr>
        <w:keepNext/>
        <w:pBdr>
          <w:top w:val="nil"/>
          <w:left w:val="nil"/>
          <w:bottom w:val="nil"/>
          <w:right w:val="nil"/>
          <w:between w:val="nil"/>
        </w:pBdr>
        <w:jc w:val="both"/>
        <w:rPr>
          <w:rFonts w:ascii="Arial" w:eastAsia="Arial" w:hAnsi="Arial" w:cs="Arial"/>
          <w:b/>
          <w:bCs/>
        </w:rPr>
      </w:pPr>
    </w:p>
    <w:p w14:paraId="6DC1A3A6"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This study utilized a descriptive-correlational research design to examine the relationship between perceived interest, perceived importance, perceived barriers, and the intent of students to learn sign language. Descriptive research focuses on illustrating the distribution of variables without inferring causal relationships, while the correlational approach enables the exploration of relationships among variables without manipulation (Devi et al., 2023). This design allowed the researchers to describe students’ perceptions and determine how these factors are associated with their intent to learn sign language.</w:t>
      </w:r>
    </w:p>
    <w:p w14:paraId="38AFF9FC" w14:textId="77777777" w:rsidR="00FB1D97" w:rsidRDefault="00FB1D97">
      <w:pPr>
        <w:pBdr>
          <w:top w:val="nil"/>
          <w:left w:val="nil"/>
          <w:bottom w:val="nil"/>
          <w:right w:val="nil"/>
          <w:between w:val="nil"/>
        </w:pBdr>
        <w:jc w:val="both"/>
        <w:rPr>
          <w:rFonts w:ascii="Arial" w:eastAsia="Arial" w:hAnsi="Arial" w:cs="Arial"/>
        </w:rPr>
      </w:pPr>
    </w:p>
    <w:p w14:paraId="52161AED" w14:textId="77777777" w:rsidR="00FB1D97" w:rsidRDefault="00DC7A6B">
      <w:pPr>
        <w:keepNext/>
        <w:jc w:val="both"/>
        <w:rPr>
          <w:rFonts w:ascii="Arial" w:eastAsia="Arial" w:hAnsi="Arial" w:cs="Arial"/>
          <w:b/>
          <w:bCs/>
        </w:rPr>
      </w:pPr>
      <w:commentRangeStart w:id="3"/>
      <w:r>
        <w:rPr>
          <w:rFonts w:ascii="Arial" w:eastAsia="Arial" w:hAnsi="Arial" w:cs="Arial"/>
          <w:b/>
          <w:bCs/>
          <w:smallCaps/>
        </w:rPr>
        <w:t xml:space="preserve">2.2 </w:t>
      </w:r>
      <w:r>
        <w:rPr>
          <w:rFonts w:ascii="Arial" w:eastAsia="Arial" w:hAnsi="Arial" w:cs="Arial"/>
          <w:b/>
          <w:bCs/>
        </w:rPr>
        <w:t>Research Participants</w:t>
      </w:r>
      <w:commentRangeEnd w:id="3"/>
      <w:r w:rsidR="007B4C4B">
        <w:rPr>
          <w:rStyle w:val="CommentReference"/>
          <w:rtl/>
        </w:rPr>
        <w:commentReference w:id="3"/>
      </w:r>
    </w:p>
    <w:p w14:paraId="3513E2E5" w14:textId="77777777" w:rsidR="00FB1D97" w:rsidRDefault="00FB1D97">
      <w:pPr>
        <w:pBdr>
          <w:top w:val="nil"/>
          <w:left w:val="nil"/>
          <w:bottom w:val="nil"/>
          <w:right w:val="nil"/>
          <w:between w:val="nil"/>
        </w:pBdr>
        <w:jc w:val="both"/>
        <w:rPr>
          <w:rFonts w:ascii="Arial" w:eastAsia="Arial" w:hAnsi="Arial" w:cs="Arial"/>
        </w:rPr>
      </w:pPr>
    </w:p>
    <w:p w14:paraId="56F43B24"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The study included nursing students from the first to fourth year enrolled at Iloilo Doctors’ College during the academic year 2025–2026. Respondents were selected using stratified random sampling, grouping students by year level. From a total population of 2,076 students, a sample of 325 was determined using the </w:t>
      </w:r>
      <w:proofErr w:type="spellStart"/>
      <w:r>
        <w:rPr>
          <w:rFonts w:ascii="Arial" w:eastAsia="Arial" w:hAnsi="Arial" w:cs="Arial"/>
        </w:rPr>
        <w:t>Raosoft</w:t>
      </w:r>
      <w:proofErr w:type="spellEnd"/>
      <w:r>
        <w:rPr>
          <w:rFonts w:ascii="Arial" w:eastAsia="Arial" w:hAnsi="Arial" w:cs="Arial"/>
        </w:rPr>
        <w:t xml:space="preserve"> sample size calculator with a 5% margin of error and a 95% confidence level. This approach ensured a representative sample, minimized bias, and improved the reliability and generalizability of the study findings.</w:t>
      </w:r>
    </w:p>
    <w:p w14:paraId="728DA6A5" w14:textId="77777777" w:rsidR="00FB1D97" w:rsidRDefault="00FB1D97">
      <w:pPr>
        <w:pBdr>
          <w:top w:val="nil"/>
          <w:left w:val="nil"/>
          <w:bottom w:val="nil"/>
          <w:right w:val="nil"/>
          <w:between w:val="nil"/>
        </w:pBdr>
        <w:jc w:val="both"/>
        <w:rPr>
          <w:rFonts w:ascii="Arial" w:eastAsia="Arial" w:hAnsi="Arial" w:cs="Arial"/>
        </w:rPr>
      </w:pPr>
    </w:p>
    <w:p w14:paraId="3F3F0E97" w14:textId="77777777" w:rsidR="00FB1D97" w:rsidRDefault="00DC7A6B">
      <w:pPr>
        <w:keepNext/>
        <w:jc w:val="both"/>
        <w:rPr>
          <w:rFonts w:ascii="Arial" w:eastAsia="Arial" w:hAnsi="Arial" w:cs="Arial"/>
          <w:color w:val="000000"/>
        </w:rPr>
      </w:pPr>
      <w:commentRangeStart w:id="4"/>
      <w:r>
        <w:rPr>
          <w:rFonts w:ascii="Arial" w:eastAsia="Arial" w:hAnsi="Arial" w:cs="Arial"/>
          <w:b/>
          <w:bCs/>
          <w:smallCaps/>
        </w:rPr>
        <w:t xml:space="preserve">2.3 </w:t>
      </w:r>
      <w:r>
        <w:rPr>
          <w:rFonts w:ascii="Arial" w:eastAsia="Arial" w:hAnsi="Arial" w:cs="Arial"/>
          <w:b/>
          <w:bCs/>
        </w:rPr>
        <w:t>Research Instruments</w:t>
      </w:r>
      <w:commentRangeEnd w:id="4"/>
      <w:r w:rsidR="007B4C4B">
        <w:rPr>
          <w:rStyle w:val="CommentReference"/>
          <w:rtl/>
        </w:rPr>
        <w:commentReference w:id="4"/>
      </w:r>
    </w:p>
    <w:p w14:paraId="711F7A10" w14:textId="77777777" w:rsidR="00FB1D97" w:rsidRDefault="00FB1D97">
      <w:pPr>
        <w:pBdr>
          <w:top w:val="nil"/>
          <w:left w:val="nil"/>
          <w:bottom w:val="nil"/>
          <w:right w:val="nil"/>
          <w:between w:val="nil"/>
        </w:pBdr>
        <w:jc w:val="both"/>
        <w:rPr>
          <w:rFonts w:ascii="Arial" w:eastAsia="Arial" w:hAnsi="Arial" w:cs="Arial"/>
          <w:color w:val="000000"/>
        </w:rPr>
      </w:pPr>
    </w:p>
    <w:p w14:paraId="5F9AB564" w14:textId="77777777" w:rsidR="00FB1D97" w:rsidRDefault="00DC7A6B">
      <w:pPr>
        <w:jc w:val="both"/>
        <w:rPr>
          <w:rFonts w:ascii="Arial" w:eastAsia="Arial" w:hAnsi="Arial" w:cs="Arial"/>
        </w:rPr>
      </w:pPr>
      <w:r>
        <w:rPr>
          <w:rFonts w:ascii="Arial" w:eastAsia="Arial" w:hAnsi="Arial" w:cs="Arial"/>
        </w:rPr>
        <w:t xml:space="preserve">Data were collected using an Adapted Sign Language Perception and Application Scale, developed from established questionnaires by </w:t>
      </w:r>
      <w:proofErr w:type="spellStart"/>
      <w:r>
        <w:rPr>
          <w:rFonts w:ascii="Arial" w:eastAsia="Arial" w:hAnsi="Arial" w:cs="Arial"/>
        </w:rPr>
        <w:t>Alamro</w:t>
      </w:r>
      <w:proofErr w:type="spellEnd"/>
      <w:r>
        <w:rPr>
          <w:rFonts w:ascii="Arial" w:eastAsia="Arial" w:hAnsi="Arial" w:cs="Arial"/>
        </w:rPr>
        <w:t xml:space="preserve"> et al. (2023) and Opoku et al. (2025), along with a researcher-made tool. The instrument consisted of two main parts: the first gathered demographic information such as year level and sex, while the second assessed perceived interest, perceived importance, communication-related barriers, and intent to learn sign language using a 5-point Likert scale (1 = strongly disagree, 5 = strongly agree). The adapted questionnaire included items measuring students’ personal interest, perceived importance of sign language in nursing, communication-related barriers, and their intent to learn, ensuring a comprehensive evaluation aligned with the study’s objectives.</w:t>
      </w:r>
    </w:p>
    <w:p w14:paraId="4D2DA7A7" w14:textId="77777777" w:rsidR="00FB1D97" w:rsidRDefault="00FB1D97">
      <w:pPr>
        <w:pBdr>
          <w:top w:val="nil"/>
          <w:left w:val="nil"/>
          <w:bottom w:val="nil"/>
          <w:right w:val="nil"/>
          <w:between w:val="nil"/>
        </w:pBdr>
        <w:jc w:val="both"/>
        <w:rPr>
          <w:rFonts w:ascii="Arial" w:eastAsia="Arial" w:hAnsi="Arial" w:cs="Arial"/>
        </w:rPr>
      </w:pPr>
    </w:p>
    <w:p w14:paraId="6B8581D7" w14:textId="77777777" w:rsidR="00FB1D97" w:rsidRDefault="00DC7A6B">
      <w:pPr>
        <w:keepNext/>
        <w:jc w:val="both"/>
        <w:rPr>
          <w:rFonts w:ascii="Arial" w:eastAsia="Arial" w:hAnsi="Arial" w:cs="Arial"/>
        </w:rPr>
      </w:pPr>
      <w:r>
        <w:rPr>
          <w:rFonts w:ascii="Arial" w:eastAsia="Arial" w:hAnsi="Arial" w:cs="Arial"/>
          <w:b/>
          <w:bCs/>
          <w:smallCaps/>
        </w:rPr>
        <w:t xml:space="preserve">2.4 </w:t>
      </w:r>
      <w:r>
        <w:rPr>
          <w:rFonts w:ascii="Arial" w:eastAsia="Arial" w:hAnsi="Arial" w:cs="Arial"/>
          <w:b/>
          <w:bCs/>
        </w:rPr>
        <w:t xml:space="preserve">Data Collection Procedures </w:t>
      </w:r>
    </w:p>
    <w:p w14:paraId="7BD2FC94" w14:textId="77777777" w:rsidR="00FB1D97" w:rsidRDefault="00FB1D97">
      <w:pPr>
        <w:pBdr>
          <w:top w:val="nil"/>
          <w:left w:val="nil"/>
          <w:bottom w:val="nil"/>
          <w:right w:val="nil"/>
          <w:between w:val="nil"/>
        </w:pBdr>
        <w:jc w:val="both"/>
        <w:rPr>
          <w:rFonts w:ascii="Arial" w:eastAsia="Arial" w:hAnsi="Arial" w:cs="Arial"/>
        </w:rPr>
      </w:pPr>
    </w:p>
    <w:p w14:paraId="6830B41F"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Prior to data collection, permission was secured from the college department dean to conduct the study among first- to fourth-year nursing students enrolled in the academic year 2025–2026. A total of 325 respondents were selected using stratified random sampling based on set inclusion and exclusion criteria to ensure reliability and minimize bias. Informed consent was obtained from all participants, ensuring they were fully aware of the study’s purpose, their rights, and the confidentiality of their responses. Data were collected through face-to-face administration of an adapted and researcher-made questionnaire over three weeks, with each respondent given sufficient time to complete it. Completed questionnaires were checked for accuracy and securely stored, with all data kept confidential and scheduled for deletion after five years.</w:t>
      </w:r>
    </w:p>
    <w:p w14:paraId="2F7AFAEE" w14:textId="77777777" w:rsidR="00FB1D97" w:rsidRDefault="00FB1D97">
      <w:pPr>
        <w:pBdr>
          <w:top w:val="nil"/>
          <w:left w:val="nil"/>
          <w:bottom w:val="nil"/>
          <w:right w:val="nil"/>
          <w:between w:val="nil"/>
        </w:pBdr>
        <w:jc w:val="both"/>
        <w:rPr>
          <w:rFonts w:ascii="Arial" w:eastAsia="Arial" w:hAnsi="Arial" w:cs="Arial"/>
        </w:rPr>
      </w:pPr>
    </w:p>
    <w:p w14:paraId="1BF944FE" w14:textId="77777777" w:rsidR="00FB1D97" w:rsidRDefault="00DC7A6B">
      <w:pPr>
        <w:keepNext/>
        <w:jc w:val="both"/>
        <w:rPr>
          <w:rFonts w:ascii="Arial" w:eastAsia="Arial" w:hAnsi="Arial" w:cs="Arial"/>
        </w:rPr>
      </w:pPr>
      <w:commentRangeStart w:id="5"/>
      <w:r>
        <w:rPr>
          <w:rFonts w:ascii="Arial" w:eastAsia="Arial" w:hAnsi="Arial" w:cs="Arial"/>
          <w:b/>
          <w:bCs/>
          <w:smallCaps/>
        </w:rPr>
        <w:t xml:space="preserve">2.5 </w:t>
      </w:r>
      <w:r>
        <w:rPr>
          <w:rFonts w:ascii="Arial" w:eastAsia="Arial" w:hAnsi="Arial" w:cs="Arial"/>
          <w:b/>
          <w:bCs/>
        </w:rPr>
        <w:t xml:space="preserve">Data Analysis Procedure </w:t>
      </w:r>
      <w:commentRangeEnd w:id="5"/>
      <w:r w:rsidR="00231F1C">
        <w:rPr>
          <w:rStyle w:val="CommentReference"/>
          <w:rtl/>
        </w:rPr>
        <w:commentReference w:id="5"/>
      </w:r>
    </w:p>
    <w:p w14:paraId="44D89785" w14:textId="77777777" w:rsidR="00FB1D97" w:rsidRDefault="00FB1D97">
      <w:pPr>
        <w:pBdr>
          <w:top w:val="nil"/>
          <w:left w:val="nil"/>
          <w:bottom w:val="nil"/>
          <w:right w:val="nil"/>
          <w:between w:val="nil"/>
        </w:pBdr>
        <w:jc w:val="both"/>
        <w:rPr>
          <w:rFonts w:ascii="Arial" w:eastAsia="Arial" w:hAnsi="Arial" w:cs="Arial"/>
        </w:rPr>
      </w:pPr>
    </w:p>
    <w:p w14:paraId="44399B96"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Data analysis involved the systematic application of statistical methods to organize, interpret, and draw conclusions from the data gathered in the study. The collected data were encoded </w:t>
      </w:r>
      <w:r>
        <w:rPr>
          <w:rFonts w:ascii="Arial" w:eastAsia="Arial" w:hAnsi="Arial" w:cs="Arial"/>
        </w:rPr>
        <w:lastRenderedPageBreak/>
        <w:t xml:space="preserve">in Microsoft Excel and analyzed using </w:t>
      </w:r>
      <w:proofErr w:type="spellStart"/>
      <w:r>
        <w:rPr>
          <w:rFonts w:ascii="Arial" w:eastAsia="Arial" w:hAnsi="Arial" w:cs="Arial"/>
        </w:rPr>
        <w:t>Jamovi</w:t>
      </w:r>
      <w:proofErr w:type="spellEnd"/>
      <w:r>
        <w:rPr>
          <w:rFonts w:ascii="Arial" w:eastAsia="Arial" w:hAnsi="Arial" w:cs="Arial"/>
        </w:rPr>
        <w:t xml:space="preserve"> Statistical Software. A 5-point Likert scale (1 = strongly disagree to 5 = strongly agree) was used to measure respondents’ perceptions. Descriptive statistics, including frequency, percentage, mean, and standard deviation, were applied to summarize respondents’ perceived interest, importance, communication-related barriers, and intent to learn sign language. Frequency and percentage described the distribution of responses, while mean and standard deviation measured central tendency and variability. For inferential analysis, the Shapiro-Wilk test was used to assess data normality, and Spearman’s rho was employed to determine the strength and direction of relationships among variables. All statistical tests were conducted at a 0.05 level of significance to identify meaningful relationships and support the study’s conclusions.</w:t>
      </w:r>
    </w:p>
    <w:p w14:paraId="7112B443" w14:textId="77777777" w:rsidR="00FB1D97" w:rsidRDefault="00FB1D97">
      <w:pPr>
        <w:pBdr>
          <w:top w:val="nil"/>
          <w:left w:val="nil"/>
          <w:bottom w:val="nil"/>
          <w:right w:val="nil"/>
          <w:between w:val="nil"/>
        </w:pBdr>
        <w:jc w:val="both"/>
        <w:rPr>
          <w:rFonts w:ascii="Arial" w:eastAsia="Arial" w:hAnsi="Arial" w:cs="Arial"/>
        </w:rPr>
      </w:pPr>
    </w:p>
    <w:p w14:paraId="759A6852" w14:textId="77777777" w:rsidR="00FB1D97" w:rsidRDefault="00DC7A6B">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3. </w:t>
      </w:r>
      <w:commentRangeStart w:id="6"/>
      <w:r>
        <w:rPr>
          <w:rFonts w:ascii="Arial" w:eastAsia="Arial" w:hAnsi="Arial" w:cs="Arial"/>
          <w:b/>
          <w:bCs/>
          <w:smallCaps/>
          <w:sz w:val="22"/>
          <w:szCs w:val="22"/>
        </w:rPr>
        <w:t>RESULTS AND DISCUSSION</w:t>
      </w:r>
      <w:commentRangeEnd w:id="6"/>
      <w:r w:rsidR="009B2929">
        <w:rPr>
          <w:rStyle w:val="CommentReference"/>
          <w:rtl/>
        </w:rPr>
        <w:commentReference w:id="6"/>
      </w:r>
    </w:p>
    <w:p w14:paraId="3FA106E7" w14:textId="77777777" w:rsidR="00FB1D97" w:rsidRDefault="00DC7A6B">
      <w:pPr>
        <w:keepNext/>
        <w:pBdr>
          <w:top w:val="nil"/>
          <w:left w:val="nil"/>
          <w:bottom w:val="nil"/>
          <w:right w:val="nil"/>
          <w:between w:val="nil"/>
        </w:pBdr>
        <w:jc w:val="both"/>
        <w:rPr>
          <w:rFonts w:ascii="Arial" w:eastAsia="Arial" w:hAnsi="Arial" w:cs="Arial"/>
          <w:b/>
          <w:bCs/>
          <w:smallCaps/>
        </w:rPr>
      </w:pPr>
      <w:r>
        <w:rPr>
          <w:rFonts w:ascii="Arial" w:eastAsia="Arial" w:hAnsi="Arial" w:cs="Arial"/>
          <w:b/>
          <w:bCs/>
          <w:smallCaps/>
        </w:rPr>
        <w:t xml:space="preserve">3.1 </w:t>
      </w:r>
      <w:r>
        <w:rPr>
          <w:rFonts w:ascii="Arial" w:eastAsia="Arial" w:hAnsi="Arial" w:cs="Arial"/>
          <w:b/>
          <w:bCs/>
        </w:rPr>
        <w:t xml:space="preserve">Demographic Profile of the Respondents   </w:t>
      </w:r>
    </w:p>
    <w:p w14:paraId="1F92A22A" w14:textId="77777777" w:rsidR="00FB1D97" w:rsidRDefault="00DC7A6B">
      <w:pPr>
        <w:pBdr>
          <w:top w:val="nil"/>
          <w:left w:val="nil"/>
          <w:bottom w:val="nil"/>
          <w:right w:val="nil"/>
          <w:between w:val="nil"/>
        </w:pBdr>
        <w:jc w:val="both"/>
        <w:rPr>
          <w:rFonts w:ascii="Times New Roman" w:eastAsia="Times New Roman" w:hAnsi="Times New Roman" w:cs="Times New Roman"/>
          <w:highlight w:val="white"/>
        </w:rPr>
      </w:pPr>
      <w:r>
        <w:rPr>
          <w:rFonts w:ascii="Arial" w:eastAsia="Arial" w:hAnsi="Arial" w:cs="Arial"/>
        </w:rPr>
        <w:t>The Demographic Profile of the Respondents revealed a well-distributed representation of each year level, where according to the results, the majority of the respondents were female. A total of 325 nursing students participated in the study. In terms of year level, the largest proportion of the population were first year students (</w:t>
      </w:r>
      <w:r>
        <w:rPr>
          <w:rFonts w:ascii="Times New Roman" w:eastAsia="Times New Roman" w:hAnsi="Times New Roman" w:cs="Times New Roman"/>
          <w:highlight w:val="white"/>
        </w:rPr>
        <w:t xml:space="preserve">29.5%), followed by fourth-year students (24.9%), second-year students (24.6%), and third-year students (20.9%). </w:t>
      </w:r>
    </w:p>
    <w:p w14:paraId="5763DB5B" w14:textId="77777777" w:rsidR="00FB1D97" w:rsidRDefault="00FB1D97">
      <w:pPr>
        <w:pBdr>
          <w:top w:val="nil"/>
          <w:left w:val="nil"/>
          <w:bottom w:val="nil"/>
          <w:right w:val="nil"/>
          <w:between w:val="nil"/>
        </w:pBdr>
        <w:jc w:val="both"/>
        <w:rPr>
          <w:rFonts w:ascii="Times New Roman" w:eastAsia="Times New Roman" w:hAnsi="Times New Roman" w:cs="Times New Roman"/>
          <w:highlight w:val="white"/>
        </w:rPr>
      </w:pPr>
    </w:p>
    <w:p w14:paraId="2CE31172" w14:textId="77777777" w:rsidR="00FB1D97" w:rsidRDefault="00DC7A6B">
      <w:pPr>
        <w:pBdr>
          <w:top w:val="nil"/>
          <w:left w:val="nil"/>
          <w:bottom w:val="nil"/>
          <w:right w:val="nil"/>
          <w:between w:val="nil"/>
        </w:pBdr>
        <w:jc w:val="both"/>
        <w:rPr>
          <w:rFonts w:ascii="Times New Roman" w:eastAsia="Times New Roman" w:hAnsi="Times New Roman" w:cs="Times New Roman"/>
          <w:highlight w:val="white"/>
        </w:rPr>
      </w:pPr>
      <w:commentRangeStart w:id="7"/>
      <w:r>
        <w:rPr>
          <w:rFonts w:ascii="Times New Roman" w:eastAsia="Times New Roman" w:hAnsi="Times New Roman" w:cs="Times New Roman"/>
          <w:highlight w:val="white"/>
        </w:rPr>
        <w:t>Most of the respondents were female (26.9%), while male students comprised 23.1% of the sample. This distribution shows the typical gender composition that is observed in nursing education, where female students outnumber male students.</w:t>
      </w:r>
    </w:p>
    <w:p w14:paraId="1E20FEA9" w14:textId="77777777" w:rsidR="00FB1D97" w:rsidRDefault="00FB1D97">
      <w:pPr>
        <w:pBdr>
          <w:top w:val="nil"/>
          <w:left w:val="nil"/>
          <w:bottom w:val="nil"/>
          <w:right w:val="nil"/>
          <w:between w:val="nil"/>
        </w:pBdr>
        <w:jc w:val="both"/>
        <w:rPr>
          <w:rFonts w:ascii="Times New Roman" w:eastAsia="Times New Roman" w:hAnsi="Times New Roman" w:cs="Times New Roman"/>
          <w:highlight w:val="white"/>
        </w:rPr>
      </w:pPr>
    </w:p>
    <w:p w14:paraId="72D64E5E" w14:textId="77777777" w:rsidR="00FB1D97" w:rsidRDefault="00DC7A6B">
      <w:pPr>
        <w:pBdr>
          <w:top w:val="nil"/>
          <w:left w:val="nil"/>
          <w:bottom w:val="nil"/>
          <w:right w:val="nil"/>
          <w:between w:val="nil"/>
        </w:pBdr>
        <w:jc w:val="both"/>
        <w:rPr>
          <w:rFonts w:ascii="Times New Roman" w:eastAsia="Times New Roman" w:hAnsi="Times New Roman" w:cs="Times New Roman"/>
          <w:i/>
          <w:iCs/>
          <w:sz w:val="24"/>
          <w:szCs w:val="24"/>
          <w:highlight w:val="white"/>
        </w:rPr>
      </w:pPr>
      <w:r>
        <w:rPr>
          <w:rFonts w:ascii="Arial" w:eastAsia="Arial" w:hAnsi="Arial" w:cs="Arial"/>
          <w:b/>
          <w:bCs/>
        </w:rPr>
        <w:t>Table 1. Summary of the Demographic Profile of the Respondents</w:t>
      </w:r>
    </w:p>
    <w:commentRangeEnd w:id="7"/>
    <w:p w14:paraId="22895619" w14:textId="77777777" w:rsidR="00FB1D97" w:rsidRDefault="00033749">
      <w:pPr>
        <w:rPr>
          <w:rFonts w:ascii="Times New Roman" w:eastAsia="Times New Roman" w:hAnsi="Times New Roman" w:cs="Times New Roman"/>
          <w:b/>
          <w:bCs/>
          <w:sz w:val="24"/>
          <w:szCs w:val="24"/>
          <w:highlight w:val="white"/>
        </w:rPr>
      </w:pPr>
      <w:r>
        <w:rPr>
          <w:rStyle w:val="CommentReference"/>
          <w:rtl/>
        </w:rPr>
        <w:commentReference w:id="7"/>
      </w:r>
    </w:p>
    <w:tbl>
      <w:tblPr>
        <w:tblStyle w:val="a0"/>
        <w:tblW w:w="895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2895"/>
        <w:gridCol w:w="3075"/>
      </w:tblGrid>
      <w:tr w:rsidR="00FB1D97" w14:paraId="1B5CBDFE" w14:textId="77777777">
        <w:tc>
          <w:tcPr>
            <w:tcW w:w="298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09B8D0EE"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Year Level</w:t>
            </w:r>
          </w:p>
        </w:tc>
        <w:tc>
          <w:tcPr>
            <w:tcW w:w="289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1233F7C1" w14:textId="77777777" w:rsidR="00FB1D97" w:rsidRDefault="00DC7A6B">
            <w:pPr>
              <w:widowControl w:val="0"/>
              <w:jc w:val="center"/>
              <w:rPr>
                <w:rFonts w:ascii="Times New Roman" w:eastAsia="Times New Roman" w:hAnsi="Times New Roman" w:cs="Times New Roman"/>
                <w:i/>
                <w:iCs/>
                <w:sz w:val="18"/>
                <w:szCs w:val="18"/>
                <w:highlight w:val="white"/>
              </w:rPr>
            </w:pPr>
            <w:r>
              <w:rPr>
                <w:rFonts w:ascii="Times New Roman" w:eastAsia="Times New Roman" w:hAnsi="Times New Roman" w:cs="Times New Roman"/>
                <w:i/>
                <w:iCs/>
                <w:sz w:val="18"/>
                <w:szCs w:val="18"/>
                <w:highlight w:val="white"/>
              </w:rPr>
              <w:t>f</w:t>
            </w:r>
          </w:p>
        </w:tc>
        <w:tc>
          <w:tcPr>
            <w:tcW w:w="307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6EB470EA"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w:t>
            </w:r>
          </w:p>
        </w:tc>
      </w:tr>
      <w:tr w:rsidR="00FB1D97" w14:paraId="7D8698FD" w14:textId="77777777">
        <w:trPr>
          <w:trHeight w:val="375"/>
        </w:trPr>
        <w:tc>
          <w:tcPr>
            <w:tcW w:w="298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4FF16BD9" w14:textId="77777777"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Level 1</w:t>
            </w:r>
          </w:p>
        </w:tc>
        <w:tc>
          <w:tcPr>
            <w:tcW w:w="289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7BC354F8"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96</w:t>
            </w:r>
          </w:p>
        </w:tc>
        <w:tc>
          <w:tcPr>
            <w:tcW w:w="307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0F9FB8F0"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29.5</w:t>
            </w:r>
          </w:p>
        </w:tc>
      </w:tr>
      <w:tr w:rsidR="00FB1D97" w14:paraId="0B321573" w14:textId="77777777">
        <w:trPr>
          <w:trHeight w:val="345"/>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FA81EE4" w14:textId="77777777"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Level 2</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FB5E9C4"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80</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0D5F558"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24.6</w:t>
            </w:r>
          </w:p>
        </w:tc>
      </w:tr>
      <w:tr w:rsidR="00FB1D97" w14:paraId="3D1FE118" w14:textId="77777777">
        <w:trPr>
          <w:trHeight w:val="330"/>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B6DA682" w14:textId="77777777"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Level 3</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89998E0"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68</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78AA670"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20.9</w:t>
            </w:r>
          </w:p>
        </w:tc>
      </w:tr>
      <w:tr w:rsidR="00FB1D97" w14:paraId="0820AFE7" w14:textId="77777777">
        <w:trPr>
          <w:trHeight w:val="345"/>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B0B175C" w14:textId="77777777"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Level 4</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38BDC65"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81</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792DC77"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24.9</w:t>
            </w:r>
          </w:p>
        </w:tc>
      </w:tr>
      <w:tr w:rsidR="00FB1D97" w14:paraId="2F4106FA" w14:textId="77777777">
        <w:trPr>
          <w:trHeight w:val="440"/>
        </w:trPr>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908EF42" w14:textId="77777777"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Sex</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6CF959D" w14:textId="77777777" w:rsidR="00FB1D97" w:rsidRDefault="00FB1D97">
            <w:pPr>
              <w:widowControl w:val="0"/>
              <w:rPr>
                <w:rFonts w:ascii="Times New Roman" w:eastAsia="Times New Roman" w:hAnsi="Times New Roman" w:cs="Times New Roman"/>
                <w:sz w:val="18"/>
                <w:szCs w:val="18"/>
                <w:highlight w:val="white"/>
              </w:rPr>
            </w:pP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4AB6B52" w14:textId="77777777" w:rsidR="00FB1D97" w:rsidRDefault="00FB1D97">
            <w:pPr>
              <w:widowControl w:val="0"/>
              <w:rPr>
                <w:rFonts w:ascii="Times New Roman" w:eastAsia="Times New Roman" w:hAnsi="Times New Roman" w:cs="Times New Roman"/>
                <w:sz w:val="18"/>
                <w:szCs w:val="18"/>
                <w:highlight w:val="white"/>
              </w:rPr>
            </w:pPr>
          </w:p>
        </w:tc>
      </w:tr>
      <w:tr w:rsidR="00FB1D97" w14:paraId="1989E66A" w14:textId="77777777">
        <w:tc>
          <w:tcPr>
            <w:tcW w:w="29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CB564A8" w14:textId="77777777"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Male</w:t>
            </w:r>
          </w:p>
        </w:tc>
        <w:tc>
          <w:tcPr>
            <w:tcW w:w="28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5E377F2"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75</w:t>
            </w:r>
          </w:p>
        </w:tc>
        <w:tc>
          <w:tcPr>
            <w:tcW w:w="307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27D3C96"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23.1</w:t>
            </w:r>
          </w:p>
        </w:tc>
      </w:tr>
      <w:tr w:rsidR="00FB1D97" w14:paraId="7501934A" w14:textId="77777777">
        <w:trPr>
          <w:trHeight w:val="260"/>
        </w:trPr>
        <w:tc>
          <w:tcPr>
            <w:tcW w:w="298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5A593285" w14:textId="77777777" w:rsidR="00FB1D97" w:rsidRDefault="00DC7A6B">
            <w:pPr>
              <w:widowControl w:val="0"/>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 xml:space="preserve">     Female</w:t>
            </w:r>
          </w:p>
        </w:tc>
        <w:tc>
          <w:tcPr>
            <w:tcW w:w="289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2AF40A22"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250</w:t>
            </w:r>
          </w:p>
        </w:tc>
        <w:tc>
          <w:tcPr>
            <w:tcW w:w="307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6F3590D1"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26.9</w:t>
            </w:r>
          </w:p>
        </w:tc>
      </w:tr>
      <w:tr w:rsidR="00FB1D97" w14:paraId="0CB119AD" w14:textId="77777777">
        <w:trPr>
          <w:trHeight w:val="315"/>
        </w:trPr>
        <w:tc>
          <w:tcPr>
            <w:tcW w:w="2985" w:type="dxa"/>
            <w:tcBorders>
              <w:left w:val="single" w:sz="8" w:space="0" w:color="FFFFFF"/>
              <w:right w:val="single" w:sz="8" w:space="0" w:color="FFFFFF"/>
            </w:tcBorders>
            <w:tcMar>
              <w:top w:w="0" w:type="dxa"/>
              <w:left w:w="0" w:type="dxa"/>
              <w:bottom w:w="0" w:type="dxa"/>
              <w:right w:w="0" w:type="dxa"/>
            </w:tcMar>
            <w:vAlign w:val="center"/>
          </w:tcPr>
          <w:p w14:paraId="587C7757"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Total</w:t>
            </w:r>
          </w:p>
        </w:tc>
        <w:tc>
          <w:tcPr>
            <w:tcW w:w="2895" w:type="dxa"/>
            <w:tcBorders>
              <w:left w:val="single" w:sz="8" w:space="0" w:color="FFFFFF"/>
              <w:right w:val="single" w:sz="8" w:space="0" w:color="FFFFFF"/>
            </w:tcBorders>
            <w:tcMar>
              <w:top w:w="0" w:type="dxa"/>
              <w:left w:w="0" w:type="dxa"/>
              <w:bottom w:w="0" w:type="dxa"/>
              <w:right w:w="0" w:type="dxa"/>
            </w:tcMar>
            <w:vAlign w:val="center"/>
          </w:tcPr>
          <w:p w14:paraId="39FB2F61"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325</w:t>
            </w:r>
          </w:p>
        </w:tc>
        <w:tc>
          <w:tcPr>
            <w:tcW w:w="3075" w:type="dxa"/>
            <w:tcBorders>
              <w:left w:val="single" w:sz="8" w:space="0" w:color="FFFFFF"/>
              <w:right w:val="single" w:sz="8" w:space="0" w:color="FFFFFF"/>
            </w:tcBorders>
            <w:tcMar>
              <w:top w:w="0" w:type="dxa"/>
              <w:left w:w="0" w:type="dxa"/>
              <w:bottom w:w="0" w:type="dxa"/>
              <w:right w:w="0" w:type="dxa"/>
            </w:tcMar>
            <w:vAlign w:val="center"/>
          </w:tcPr>
          <w:p w14:paraId="74556FDB" w14:textId="77777777" w:rsidR="00FB1D97" w:rsidRDefault="00DC7A6B">
            <w:pPr>
              <w:widowControl w:val="0"/>
              <w:jc w:val="center"/>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100</w:t>
            </w:r>
          </w:p>
        </w:tc>
      </w:tr>
    </w:tbl>
    <w:p w14:paraId="0132B1BB" w14:textId="77777777" w:rsidR="00FB1D97" w:rsidRDefault="00FB1D97">
      <w:pPr>
        <w:pBdr>
          <w:top w:val="nil"/>
          <w:left w:val="nil"/>
          <w:bottom w:val="nil"/>
          <w:right w:val="nil"/>
          <w:between w:val="nil"/>
        </w:pBdr>
        <w:jc w:val="both"/>
        <w:rPr>
          <w:rFonts w:ascii="Arial" w:eastAsia="Arial" w:hAnsi="Arial" w:cs="Arial"/>
          <w:color w:val="000000"/>
          <w:sz w:val="18"/>
          <w:szCs w:val="18"/>
        </w:rPr>
      </w:pPr>
    </w:p>
    <w:p w14:paraId="10D90909" w14:textId="77777777" w:rsidR="00FB1D97" w:rsidRDefault="00DC7A6B">
      <w:pPr>
        <w:jc w:val="both"/>
        <w:rPr>
          <w:rFonts w:ascii="Arial" w:eastAsia="Arial" w:hAnsi="Arial" w:cs="Arial"/>
          <w:color w:val="000000"/>
        </w:rPr>
      </w:pPr>
      <w:r>
        <w:rPr>
          <w:rFonts w:ascii="Arial" w:eastAsia="Arial" w:hAnsi="Arial" w:cs="Arial"/>
          <w:b/>
          <w:bCs/>
        </w:rPr>
        <w:t>3.2a. Perceived Interest</w:t>
      </w:r>
    </w:p>
    <w:p w14:paraId="713C574A"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The study examined the level of intent of nursing students in learning sign language in terms of personal interest. Results from Table </w:t>
      </w:r>
      <w:r w:rsidR="0032786F">
        <w:rPr>
          <w:rFonts w:ascii="Arial" w:eastAsia="Arial" w:hAnsi="Arial" w:cs="Arial"/>
        </w:rPr>
        <w:t>3</w:t>
      </w:r>
      <w:r>
        <w:rPr>
          <w:rFonts w:ascii="Arial" w:eastAsia="Arial" w:hAnsi="Arial" w:cs="Arial"/>
        </w:rPr>
        <w:t xml:space="preserve"> showed that all items were rated as having a Positive Attitude, with an overall percentage of 82%. The highest-rated item was the belief that knowing how to communicate with deaf people increased opportunities (85.6%), while the lowest-rated item was the desire to enroll in a sign language course in order to be able to communicate with deaf </w:t>
      </w:r>
      <w:proofErr w:type="gramStart"/>
      <w:r>
        <w:rPr>
          <w:rFonts w:ascii="Arial" w:eastAsia="Arial" w:hAnsi="Arial" w:cs="Arial"/>
        </w:rPr>
        <w:t>people(</w:t>
      </w:r>
      <w:proofErr w:type="gramEnd"/>
      <w:r>
        <w:rPr>
          <w:rFonts w:ascii="Arial" w:eastAsia="Arial" w:hAnsi="Arial" w:cs="Arial"/>
        </w:rPr>
        <w:t xml:space="preserve">78.4%), despite being the lowest rated item, it still falls under  Positive attitude. </w:t>
      </w:r>
    </w:p>
    <w:p w14:paraId="32ED9FFE"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These findings indicate that the majority of the nursing students demonstrate a strong personal interest in learning sign language, viewing it as beneficial for both personal and professional growth, despite some hesitation toward formal academic commitment. The findings align with Opoku et al. (2025), who reported that nursing students perceive sign language as an important skill for enhancing intercultural competence and improving employment opportunities in the healthcare field. Similarly, </w:t>
      </w:r>
      <w:proofErr w:type="spellStart"/>
      <w:r>
        <w:rPr>
          <w:rFonts w:ascii="Arial" w:eastAsia="Arial" w:hAnsi="Arial" w:cs="Arial"/>
        </w:rPr>
        <w:t>Hayford</w:t>
      </w:r>
      <w:proofErr w:type="spellEnd"/>
      <w:r>
        <w:rPr>
          <w:rFonts w:ascii="Arial" w:eastAsia="Arial" w:hAnsi="Arial" w:cs="Arial"/>
        </w:rPr>
        <w:t xml:space="preserve"> and </w:t>
      </w:r>
      <w:proofErr w:type="spellStart"/>
      <w:r>
        <w:rPr>
          <w:rFonts w:ascii="Arial" w:eastAsia="Arial" w:hAnsi="Arial" w:cs="Arial"/>
        </w:rPr>
        <w:t>Twum</w:t>
      </w:r>
      <w:proofErr w:type="spellEnd"/>
      <w:r>
        <w:rPr>
          <w:rFonts w:ascii="Arial" w:eastAsia="Arial" w:hAnsi="Arial" w:cs="Arial"/>
        </w:rPr>
        <w:t xml:space="preserve"> (2025) found that healthcare </w:t>
      </w:r>
      <w:r>
        <w:rPr>
          <w:rFonts w:ascii="Arial" w:eastAsia="Arial" w:hAnsi="Arial" w:cs="Arial"/>
        </w:rPr>
        <w:lastRenderedPageBreak/>
        <w:t>students recognize sign language as a means of promoting inclusive, high-quality care while also supporting their professional development. These studies suggest that students’ interest in learning sign language is largely driven by its perceived practical value and relevance in real-world healthcare settings.</w:t>
      </w:r>
    </w:p>
    <w:p w14:paraId="611F96EF"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 xml:space="preserve"> Overall, the results imply that personal interest plays a significant role in motivating nursing students to learn sign language. This supports the principles of Self-Determination Theory, which emphasize that intrinsic motivation is strengthened when individuals perceive a skill as meaningful and beneficial. Consequently, integrating the professional and personal advantages of sign language into nursing education may help sustain students’ engagement and willingness to learn, regardless of perceived challenges.</w:t>
      </w:r>
    </w:p>
    <w:p w14:paraId="13EE297E" w14:textId="77777777" w:rsidR="00FB1D97" w:rsidRDefault="00FB1D97">
      <w:pPr>
        <w:pBdr>
          <w:top w:val="nil"/>
          <w:left w:val="nil"/>
          <w:bottom w:val="nil"/>
          <w:right w:val="nil"/>
          <w:between w:val="nil"/>
        </w:pBdr>
        <w:jc w:val="both"/>
        <w:rPr>
          <w:rFonts w:ascii="Arial" w:eastAsia="Arial" w:hAnsi="Arial" w:cs="Arial"/>
        </w:rPr>
      </w:pPr>
    </w:p>
    <w:p w14:paraId="32BA7202" w14:textId="77777777" w:rsidR="00FB1D97" w:rsidRDefault="00DC7A6B">
      <w:pPr>
        <w:jc w:val="both"/>
        <w:rPr>
          <w:rFonts w:ascii="Arial" w:eastAsia="Arial" w:hAnsi="Arial" w:cs="Arial"/>
          <w:b/>
          <w:bCs/>
          <w:i/>
          <w:iCs/>
        </w:rPr>
      </w:pPr>
      <w:r>
        <w:rPr>
          <w:rFonts w:ascii="Arial" w:eastAsia="Arial" w:hAnsi="Arial" w:cs="Arial"/>
          <w:b/>
          <w:bCs/>
        </w:rPr>
        <w:t xml:space="preserve">Table </w:t>
      </w:r>
      <w:r w:rsidR="0032786F">
        <w:rPr>
          <w:rFonts w:ascii="Arial" w:eastAsia="Arial" w:hAnsi="Arial" w:cs="Arial"/>
          <w:b/>
          <w:bCs/>
        </w:rPr>
        <w:t>2</w:t>
      </w:r>
      <w:r>
        <w:rPr>
          <w:rFonts w:ascii="Arial" w:eastAsia="Arial" w:hAnsi="Arial" w:cs="Arial"/>
          <w:b/>
          <w:bCs/>
        </w:rPr>
        <w:t>. Level of intent of nursing students in learning sign language in terms of Perceived Interest</w:t>
      </w:r>
    </w:p>
    <w:tbl>
      <w:tblPr>
        <w:tblStyle w:val="a1"/>
        <w:tblW w:w="774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05"/>
        <w:gridCol w:w="1335"/>
      </w:tblGrid>
      <w:tr w:rsidR="00FB1D97" w14:paraId="5B49288B" w14:textId="77777777">
        <w:tc>
          <w:tcPr>
            <w:tcW w:w="640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35B48926"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Items</w:t>
            </w:r>
          </w:p>
        </w:tc>
        <w:tc>
          <w:tcPr>
            <w:tcW w:w="133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69FE4926"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Mean</w:t>
            </w:r>
          </w:p>
        </w:tc>
      </w:tr>
      <w:tr w:rsidR="00FB1D97" w14:paraId="43B26781" w14:textId="77777777">
        <w:trPr>
          <w:trHeight w:val="375"/>
        </w:trPr>
        <w:tc>
          <w:tcPr>
            <w:tcW w:w="6405" w:type="dxa"/>
            <w:tcBorders>
              <w:left w:val="single" w:sz="8" w:space="0" w:color="FFFFFF"/>
              <w:right w:val="single" w:sz="8" w:space="0" w:color="FFFFFF"/>
            </w:tcBorders>
            <w:tcMar>
              <w:top w:w="0" w:type="dxa"/>
              <w:left w:w="0" w:type="dxa"/>
              <w:bottom w:w="0" w:type="dxa"/>
              <w:right w:w="0" w:type="dxa"/>
            </w:tcMar>
            <w:vAlign w:val="center"/>
          </w:tcPr>
          <w:p w14:paraId="20A5525C" w14:textId="77777777" w:rsidR="00FB1D97" w:rsidRDefault="00DC7A6B">
            <w:pPr>
              <w:spacing w:line="276" w:lineRule="auto"/>
              <w:ind w:right="60"/>
              <w:rPr>
                <w:rFonts w:ascii="Arial" w:eastAsia="Arial" w:hAnsi="Arial" w:cs="Arial"/>
                <w:highlight w:val="white"/>
              </w:rPr>
            </w:pPr>
            <w:r>
              <w:rPr>
                <w:rFonts w:ascii="Arial" w:eastAsia="Arial" w:hAnsi="Arial" w:cs="Arial"/>
              </w:rPr>
              <w:t>Knowing how to communicate with Deaf people increase my opportunities</w:t>
            </w:r>
          </w:p>
        </w:tc>
        <w:tc>
          <w:tcPr>
            <w:tcW w:w="1335" w:type="dxa"/>
            <w:tcBorders>
              <w:left w:val="single" w:sz="8" w:space="0" w:color="FFFFFF"/>
              <w:right w:val="single" w:sz="8" w:space="0" w:color="FFFFFF"/>
            </w:tcBorders>
            <w:tcMar>
              <w:top w:w="0" w:type="dxa"/>
              <w:left w:w="0" w:type="dxa"/>
              <w:bottom w:w="0" w:type="dxa"/>
              <w:right w:w="0" w:type="dxa"/>
            </w:tcMar>
            <w:vAlign w:val="center"/>
          </w:tcPr>
          <w:p w14:paraId="0155628D"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4.28</w:t>
            </w:r>
          </w:p>
        </w:tc>
      </w:tr>
      <w:tr w:rsidR="00FB1D97" w14:paraId="75C7F5D7" w14:textId="77777777">
        <w:trPr>
          <w:trHeight w:val="345"/>
        </w:trPr>
        <w:tc>
          <w:tcPr>
            <w:tcW w:w="64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E39A71E" w14:textId="77777777" w:rsidR="00FB1D97" w:rsidRDefault="00DC7A6B">
            <w:pPr>
              <w:spacing w:line="276" w:lineRule="auto"/>
              <w:ind w:right="60"/>
              <w:rPr>
                <w:rFonts w:ascii="Arial" w:eastAsia="Arial" w:hAnsi="Arial" w:cs="Arial"/>
                <w:highlight w:val="white"/>
              </w:rPr>
            </w:pPr>
            <w:r>
              <w:rPr>
                <w:rFonts w:ascii="Arial" w:eastAsia="Arial" w:hAnsi="Arial" w:cs="Arial"/>
              </w:rPr>
              <w:t>Learning about communicating with Deaf people is worthwhile</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4CCF460"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4.19</w:t>
            </w:r>
          </w:p>
        </w:tc>
      </w:tr>
      <w:tr w:rsidR="00FB1D97" w14:paraId="25D23A1E" w14:textId="77777777">
        <w:trPr>
          <w:trHeight w:val="330"/>
        </w:trPr>
        <w:tc>
          <w:tcPr>
            <w:tcW w:w="640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132F39C3" w14:textId="77777777" w:rsidR="00FB1D97" w:rsidRDefault="00DC7A6B">
            <w:pPr>
              <w:tabs>
                <w:tab w:val="left" w:pos="1976"/>
              </w:tabs>
              <w:spacing w:line="276" w:lineRule="auto"/>
              <w:ind w:right="60"/>
              <w:rPr>
                <w:rFonts w:ascii="Arial" w:eastAsia="Arial" w:hAnsi="Arial" w:cs="Arial"/>
                <w:highlight w:val="white"/>
              </w:rPr>
            </w:pPr>
            <w:r>
              <w:rPr>
                <w:rFonts w:ascii="Arial" w:eastAsia="Arial" w:hAnsi="Arial" w:cs="Arial"/>
              </w:rPr>
              <w:t>I would like to communicate with Deaf people</w:t>
            </w:r>
          </w:p>
        </w:tc>
        <w:tc>
          <w:tcPr>
            <w:tcW w:w="133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15C79CAC" w14:textId="77777777" w:rsidR="00FB1D97" w:rsidRDefault="00DC7A6B">
            <w:pPr>
              <w:spacing w:line="276" w:lineRule="auto"/>
              <w:ind w:left="60" w:right="60"/>
              <w:jc w:val="center"/>
              <w:rPr>
                <w:rFonts w:ascii="Arial" w:eastAsia="Arial" w:hAnsi="Arial" w:cs="Arial"/>
                <w:highlight w:val="white"/>
              </w:rPr>
            </w:pPr>
            <w:r>
              <w:rPr>
                <w:rFonts w:ascii="Arial" w:eastAsia="Arial" w:hAnsi="Arial" w:cs="Arial"/>
              </w:rPr>
              <w:t>4.07</w:t>
            </w:r>
          </w:p>
        </w:tc>
      </w:tr>
      <w:tr w:rsidR="00FB1D97" w14:paraId="09E26FF4" w14:textId="77777777">
        <w:trPr>
          <w:trHeight w:val="345"/>
        </w:trPr>
        <w:tc>
          <w:tcPr>
            <w:tcW w:w="640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D0C5D41" w14:textId="77777777" w:rsidR="00FB1D97" w:rsidRDefault="00DC7A6B">
            <w:pPr>
              <w:spacing w:line="276" w:lineRule="auto"/>
              <w:ind w:right="60"/>
              <w:rPr>
                <w:rFonts w:ascii="Arial" w:eastAsia="Arial" w:hAnsi="Arial" w:cs="Arial"/>
                <w:highlight w:val="white"/>
              </w:rPr>
            </w:pPr>
            <w:r>
              <w:rPr>
                <w:rFonts w:ascii="Arial" w:eastAsia="Arial" w:hAnsi="Arial" w:cs="Arial"/>
              </w:rPr>
              <w:t>I think communicating with any Deaf would be enjoyable and stimulating</w:t>
            </w:r>
          </w:p>
        </w:tc>
        <w:tc>
          <w:tcPr>
            <w:tcW w:w="13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E623D9D"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4.06</w:t>
            </w:r>
          </w:p>
        </w:tc>
      </w:tr>
      <w:tr w:rsidR="00FB1D97" w14:paraId="31CC86D2" w14:textId="77777777">
        <w:trPr>
          <w:trHeight w:val="260"/>
        </w:trPr>
        <w:tc>
          <w:tcPr>
            <w:tcW w:w="640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4EED94CB" w14:textId="77777777" w:rsidR="00FB1D97" w:rsidRDefault="00DC7A6B">
            <w:pPr>
              <w:spacing w:line="276" w:lineRule="auto"/>
              <w:ind w:right="60"/>
              <w:rPr>
                <w:rFonts w:ascii="Arial" w:eastAsia="Arial" w:hAnsi="Arial" w:cs="Arial"/>
                <w:highlight w:val="white"/>
              </w:rPr>
            </w:pPr>
            <w:r>
              <w:rPr>
                <w:rFonts w:ascii="Arial" w:eastAsia="Arial" w:hAnsi="Arial" w:cs="Arial"/>
              </w:rPr>
              <w:t>I would like to take a sign language course to communicate with Deaf people</w:t>
            </w:r>
          </w:p>
        </w:tc>
        <w:tc>
          <w:tcPr>
            <w:tcW w:w="133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0B720F95"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3.92</w:t>
            </w:r>
          </w:p>
        </w:tc>
      </w:tr>
      <w:tr w:rsidR="00FB1D97" w14:paraId="7A4CC9AD" w14:textId="77777777">
        <w:trPr>
          <w:trHeight w:val="440"/>
        </w:trPr>
        <w:tc>
          <w:tcPr>
            <w:tcW w:w="6405" w:type="dxa"/>
            <w:tcBorders>
              <w:left w:val="single" w:sz="8" w:space="0" w:color="FFFFFF"/>
              <w:right w:val="single" w:sz="8" w:space="0" w:color="FFFFFF"/>
            </w:tcBorders>
            <w:tcMar>
              <w:top w:w="0" w:type="dxa"/>
              <w:left w:w="0" w:type="dxa"/>
              <w:bottom w:w="0" w:type="dxa"/>
              <w:right w:w="0" w:type="dxa"/>
            </w:tcMar>
            <w:vAlign w:val="center"/>
          </w:tcPr>
          <w:p w14:paraId="0E5CE8E7" w14:textId="77777777" w:rsidR="00FB1D97" w:rsidRDefault="00FB1D97">
            <w:pPr>
              <w:widowControl w:val="0"/>
              <w:jc w:val="center"/>
              <w:rPr>
                <w:rFonts w:ascii="Arial" w:eastAsia="Arial" w:hAnsi="Arial" w:cs="Arial"/>
                <w:highlight w:val="white"/>
              </w:rPr>
            </w:pPr>
          </w:p>
        </w:tc>
        <w:tc>
          <w:tcPr>
            <w:tcW w:w="1335" w:type="dxa"/>
            <w:tcBorders>
              <w:left w:val="single" w:sz="8" w:space="0" w:color="FFFFFF"/>
              <w:right w:val="single" w:sz="8" w:space="0" w:color="FFFFFF"/>
            </w:tcBorders>
            <w:tcMar>
              <w:top w:w="0" w:type="dxa"/>
              <w:left w:w="0" w:type="dxa"/>
              <w:bottom w:w="0" w:type="dxa"/>
              <w:right w:w="0" w:type="dxa"/>
            </w:tcMar>
            <w:vAlign w:val="center"/>
          </w:tcPr>
          <w:p w14:paraId="1D5FABC1"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Mean 4.10/5</w:t>
            </w:r>
          </w:p>
        </w:tc>
      </w:tr>
    </w:tbl>
    <w:p w14:paraId="6EE1E562" w14:textId="77777777" w:rsidR="00FB1D97" w:rsidRDefault="00DC7A6B">
      <w:pPr>
        <w:spacing w:line="276" w:lineRule="auto"/>
        <w:jc w:val="both"/>
        <w:rPr>
          <w:rFonts w:ascii="Arial" w:eastAsia="Arial" w:hAnsi="Arial" w:cs="Arial"/>
          <w:b/>
          <w:bCs/>
          <w:i/>
          <w:iCs/>
        </w:rPr>
      </w:pPr>
      <w:r>
        <w:rPr>
          <w:rFonts w:ascii="Arial" w:eastAsia="Arial" w:hAnsi="Arial" w:cs="Arial"/>
          <w:b/>
          <w:bCs/>
          <w:i/>
          <w:iCs/>
        </w:rPr>
        <w:t xml:space="preserve">Table </w:t>
      </w:r>
      <w:r w:rsidR="0032786F">
        <w:rPr>
          <w:rFonts w:ascii="Arial" w:eastAsia="Arial" w:hAnsi="Arial" w:cs="Arial"/>
          <w:b/>
          <w:bCs/>
          <w:i/>
          <w:iCs/>
        </w:rPr>
        <w:t>3</w:t>
      </w:r>
      <w:r>
        <w:rPr>
          <w:rFonts w:ascii="Arial" w:eastAsia="Arial" w:hAnsi="Arial" w:cs="Arial"/>
          <w:b/>
          <w:bCs/>
          <w:i/>
          <w:iCs/>
        </w:rPr>
        <w:t>.Level of intent of nursing students in learning sign language in terms of Perceived Interest</w:t>
      </w:r>
    </w:p>
    <w:tbl>
      <w:tblPr>
        <w:tblStyle w:val="a2"/>
        <w:tblW w:w="783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35"/>
        <w:gridCol w:w="1200"/>
        <w:gridCol w:w="1095"/>
      </w:tblGrid>
      <w:tr w:rsidR="00FB1D97" w14:paraId="2401E31F" w14:textId="77777777">
        <w:tc>
          <w:tcPr>
            <w:tcW w:w="553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6B29E466"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Items</w:t>
            </w:r>
          </w:p>
        </w:tc>
        <w:tc>
          <w:tcPr>
            <w:tcW w:w="1200"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412C0A60"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w:t>
            </w:r>
          </w:p>
        </w:tc>
        <w:tc>
          <w:tcPr>
            <w:tcW w:w="109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5196DF50" w14:textId="77777777" w:rsidR="00FB1D97" w:rsidRDefault="00DC7A6B">
            <w:pPr>
              <w:widowControl w:val="0"/>
              <w:rPr>
                <w:rFonts w:ascii="Arial" w:eastAsia="Arial" w:hAnsi="Arial" w:cs="Arial"/>
                <w:highlight w:val="white"/>
              </w:rPr>
            </w:pPr>
            <w:r>
              <w:rPr>
                <w:rFonts w:ascii="Arial" w:eastAsia="Arial" w:hAnsi="Arial" w:cs="Arial"/>
                <w:highlight w:val="white"/>
              </w:rPr>
              <w:t>Description</w:t>
            </w:r>
          </w:p>
        </w:tc>
      </w:tr>
      <w:tr w:rsidR="00FB1D97" w14:paraId="4C2A9FAC" w14:textId="77777777">
        <w:trPr>
          <w:trHeight w:val="375"/>
        </w:trPr>
        <w:tc>
          <w:tcPr>
            <w:tcW w:w="5535" w:type="dxa"/>
            <w:tcBorders>
              <w:left w:val="single" w:sz="8" w:space="0" w:color="FFFFFF"/>
              <w:right w:val="single" w:sz="8" w:space="0" w:color="FFFFFF"/>
            </w:tcBorders>
            <w:tcMar>
              <w:top w:w="0" w:type="dxa"/>
              <w:left w:w="0" w:type="dxa"/>
              <w:bottom w:w="0" w:type="dxa"/>
              <w:right w:w="0" w:type="dxa"/>
            </w:tcMar>
            <w:vAlign w:val="center"/>
          </w:tcPr>
          <w:p w14:paraId="7772D4AE" w14:textId="77777777" w:rsidR="00FB1D97" w:rsidRDefault="00DC7A6B">
            <w:pPr>
              <w:spacing w:line="276" w:lineRule="auto"/>
              <w:ind w:right="60"/>
              <w:rPr>
                <w:rFonts w:ascii="Arial" w:eastAsia="Arial" w:hAnsi="Arial" w:cs="Arial"/>
                <w:highlight w:val="white"/>
              </w:rPr>
            </w:pPr>
            <w:r>
              <w:rPr>
                <w:rFonts w:ascii="Arial" w:eastAsia="Arial" w:hAnsi="Arial" w:cs="Arial"/>
              </w:rPr>
              <w:t>Knowing how to communicate with Deaf people increase my opportunities</w:t>
            </w:r>
          </w:p>
        </w:tc>
        <w:tc>
          <w:tcPr>
            <w:tcW w:w="1200" w:type="dxa"/>
            <w:tcBorders>
              <w:left w:val="single" w:sz="8" w:space="0" w:color="FFFFFF"/>
              <w:right w:val="single" w:sz="8" w:space="0" w:color="FFFFFF"/>
            </w:tcBorders>
            <w:tcMar>
              <w:top w:w="0" w:type="dxa"/>
              <w:left w:w="0" w:type="dxa"/>
              <w:bottom w:w="0" w:type="dxa"/>
              <w:right w:w="0" w:type="dxa"/>
            </w:tcMar>
            <w:vAlign w:val="center"/>
          </w:tcPr>
          <w:p w14:paraId="0B560ECD"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85.6%</w:t>
            </w:r>
          </w:p>
        </w:tc>
        <w:tc>
          <w:tcPr>
            <w:tcW w:w="1095" w:type="dxa"/>
            <w:tcBorders>
              <w:left w:val="single" w:sz="8" w:space="0" w:color="FFFFFF"/>
              <w:right w:val="single" w:sz="8" w:space="0" w:color="FFFFFF"/>
            </w:tcBorders>
            <w:tcMar>
              <w:top w:w="0" w:type="dxa"/>
              <w:left w:w="0" w:type="dxa"/>
              <w:bottom w:w="0" w:type="dxa"/>
              <w:right w:w="0" w:type="dxa"/>
            </w:tcMar>
            <w:vAlign w:val="center"/>
          </w:tcPr>
          <w:p w14:paraId="7F827E0C"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r w:rsidR="00FB1D97" w14:paraId="1899C03E" w14:textId="77777777">
        <w:trPr>
          <w:trHeight w:val="345"/>
        </w:trPr>
        <w:tc>
          <w:tcPr>
            <w:tcW w:w="55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A3C7981" w14:textId="77777777" w:rsidR="00FB1D97" w:rsidRDefault="00DC7A6B">
            <w:pPr>
              <w:spacing w:line="276" w:lineRule="auto"/>
              <w:ind w:right="60"/>
              <w:rPr>
                <w:rFonts w:ascii="Arial" w:eastAsia="Arial" w:hAnsi="Arial" w:cs="Arial"/>
                <w:highlight w:val="white"/>
              </w:rPr>
            </w:pPr>
            <w:r>
              <w:rPr>
                <w:rFonts w:ascii="Arial" w:eastAsia="Arial" w:hAnsi="Arial" w:cs="Arial"/>
              </w:rPr>
              <w:t>Learning about communicating with Deaf people is worthwhile</w:t>
            </w:r>
          </w:p>
        </w:tc>
        <w:tc>
          <w:tcPr>
            <w:tcW w:w="12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D0E128C"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83.8%</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FEA3FAE"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r w:rsidR="00FB1D97" w14:paraId="622AE174" w14:textId="77777777">
        <w:trPr>
          <w:trHeight w:val="330"/>
        </w:trPr>
        <w:tc>
          <w:tcPr>
            <w:tcW w:w="553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5D70CFAE" w14:textId="77777777" w:rsidR="00FB1D97" w:rsidRDefault="00DC7A6B">
            <w:pPr>
              <w:tabs>
                <w:tab w:val="left" w:pos="1976"/>
              </w:tabs>
              <w:spacing w:line="276" w:lineRule="auto"/>
              <w:ind w:right="60"/>
              <w:rPr>
                <w:rFonts w:ascii="Arial" w:eastAsia="Arial" w:hAnsi="Arial" w:cs="Arial"/>
                <w:highlight w:val="white"/>
              </w:rPr>
            </w:pPr>
            <w:r>
              <w:rPr>
                <w:rFonts w:ascii="Arial" w:eastAsia="Arial" w:hAnsi="Arial" w:cs="Arial"/>
              </w:rPr>
              <w:t>I would like to communicate with Deaf people</w:t>
            </w:r>
          </w:p>
        </w:tc>
        <w:tc>
          <w:tcPr>
            <w:tcW w:w="120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4BDC3927" w14:textId="77777777" w:rsidR="00FB1D97" w:rsidRDefault="00DC7A6B">
            <w:pPr>
              <w:spacing w:line="276" w:lineRule="auto"/>
              <w:ind w:left="60" w:right="60"/>
              <w:jc w:val="center"/>
              <w:rPr>
                <w:rFonts w:ascii="Arial" w:eastAsia="Arial" w:hAnsi="Arial" w:cs="Arial"/>
              </w:rPr>
            </w:pPr>
            <w:r>
              <w:rPr>
                <w:rFonts w:ascii="Arial" w:eastAsia="Arial" w:hAnsi="Arial" w:cs="Arial"/>
              </w:rPr>
              <w:t>81.4%</w:t>
            </w:r>
          </w:p>
        </w:tc>
        <w:tc>
          <w:tcPr>
            <w:tcW w:w="109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5A895912"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r w:rsidR="00FB1D97" w14:paraId="01452D43" w14:textId="77777777">
        <w:trPr>
          <w:trHeight w:val="345"/>
        </w:trPr>
        <w:tc>
          <w:tcPr>
            <w:tcW w:w="553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217F7C8" w14:textId="77777777" w:rsidR="00FB1D97" w:rsidRDefault="00DC7A6B">
            <w:pPr>
              <w:spacing w:line="276" w:lineRule="auto"/>
              <w:ind w:right="60"/>
              <w:rPr>
                <w:rFonts w:ascii="Arial" w:eastAsia="Arial" w:hAnsi="Arial" w:cs="Arial"/>
                <w:highlight w:val="white"/>
              </w:rPr>
            </w:pPr>
            <w:r>
              <w:rPr>
                <w:rFonts w:ascii="Arial" w:eastAsia="Arial" w:hAnsi="Arial" w:cs="Arial"/>
              </w:rPr>
              <w:t>I think communicating with any Deaf would be enjoyable and stimulating</w:t>
            </w:r>
          </w:p>
        </w:tc>
        <w:tc>
          <w:tcPr>
            <w:tcW w:w="120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C8988EE"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81.2%</w:t>
            </w:r>
          </w:p>
        </w:tc>
        <w:tc>
          <w:tcPr>
            <w:tcW w:w="109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356BAB3"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r w:rsidR="00FB1D97" w14:paraId="0CFA0C98" w14:textId="77777777">
        <w:trPr>
          <w:trHeight w:val="260"/>
        </w:trPr>
        <w:tc>
          <w:tcPr>
            <w:tcW w:w="553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55E61AB6" w14:textId="77777777" w:rsidR="00FB1D97" w:rsidRDefault="00DC7A6B">
            <w:pPr>
              <w:spacing w:line="276" w:lineRule="auto"/>
              <w:ind w:right="60"/>
              <w:rPr>
                <w:rFonts w:ascii="Arial" w:eastAsia="Arial" w:hAnsi="Arial" w:cs="Arial"/>
                <w:highlight w:val="white"/>
              </w:rPr>
            </w:pPr>
            <w:r>
              <w:rPr>
                <w:rFonts w:ascii="Arial" w:eastAsia="Arial" w:hAnsi="Arial" w:cs="Arial"/>
              </w:rPr>
              <w:t>I would like to take a sign language course to communicate with Deaf people</w:t>
            </w:r>
          </w:p>
        </w:tc>
        <w:tc>
          <w:tcPr>
            <w:tcW w:w="120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779B9ADF"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78.4%</w:t>
            </w:r>
          </w:p>
        </w:tc>
        <w:tc>
          <w:tcPr>
            <w:tcW w:w="109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279151C0"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r w:rsidR="00FB1D97" w14:paraId="59EC36EB" w14:textId="77777777">
        <w:trPr>
          <w:trHeight w:val="440"/>
        </w:trPr>
        <w:tc>
          <w:tcPr>
            <w:tcW w:w="5535" w:type="dxa"/>
            <w:tcBorders>
              <w:left w:val="single" w:sz="8" w:space="0" w:color="FFFFFF"/>
              <w:right w:val="single" w:sz="8" w:space="0" w:color="FFFFFF"/>
            </w:tcBorders>
            <w:tcMar>
              <w:top w:w="0" w:type="dxa"/>
              <w:left w:w="0" w:type="dxa"/>
              <w:bottom w:w="0" w:type="dxa"/>
              <w:right w:w="0" w:type="dxa"/>
            </w:tcMar>
            <w:vAlign w:val="center"/>
          </w:tcPr>
          <w:p w14:paraId="6FC1CE86" w14:textId="77777777" w:rsidR="00FB1D97" w:rsidRDefault="00FB1D97">
            <w:pPr>
              <w:widowControl w:val="0"/>
              <w:jc w:val="center"/>
              <w:rPr>
                <w:rFonts w:ascii="Arial" w:eastAsia="Arial" w:hAnsi="Arial" w:cs="Arial"/>
                <w:highlight w:val="white"/>
              </w:rPr>
            </w:pPr>
          </w:p>
        </w:tc>
        <w:tc>
          <w:tcPr>
            <w:tcW w:w="1200" w:type="dxa"/>
            <w:tcBorders>
              <w:left w:val="single" w:sz="8" w:space="0" w:color="FFFFFF"/>
              <w:right w:val="single" w:sz="8" w:space="0" w:color="FFFFFF"/>
            </w:tcBorders>
            <w:tcMar>
              <w:top w:w="0" w:type="dxa"/>
              <w:left w:w="0" w:type="dxa"/>
              <w:bottom w:w="0" w:type="dxa"/>
              <w:right w:w="0" w:type="dxa"/>
            </w:tcMar>
            <w:vAlign w:val="center"/>
          </w:tcPr>
          <w:p w14:paraId="791CEA6E"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82%</w:t>
            </w:r>
          </w:p>
        </w:tc>
        <w:tc>
          <w:tcPr>
            <w:tcW w:w="1095" w:type="dxa"/>
            <w:tcBorders>
              <w:left w:val="single" w:sz="8" w:space="0" w:color="FFFFFF"/>
              <w:right w:val="single" w:sz="8" w:space="0" w:color="FFFFFF"/>
            </w:tcBorders>
            <w:tcMar>
              <w:top w:w="0" w:type="dxa"/>
              <w:left w:w="0" w:type="dxa"/>
              <w:bottom w:w="0" w:type="dxa"/>
              <w:right w:w="0" w:type="dxa"/>
            </w:tcMar>
            <w:vAlign w:val="center"/>
          </w:tcPr>
          <w:p w14:paraId="655A729F"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Positive Attitude</w:t>
            </w:r>
          </w:p>
        </w:tc>
      </w:tr>
    </w:tbl>
    <w:p w14:paraId="5603CA8F" w14:textId="77777777" w:rsidR="00FB1D97" w:rsidRDefault="00DC7A6B">
      <w:pPr>
        <w:jc w:val="both"/>
        <w:rPr>
          <w:rFonts w:ascii="Arial" w:eastAsia="Arial" w:hAnsi="Arial" w:cs="Arial"/>
          <w:i/>
          <w:iCs/>
        </w:rPr>
      </w:pPr>
      <w:r>
        <w:rPr>
          <w:rFonts w:ascii="Arial" w:eastAsia="Arial" w:hAnsi="Arial" w:cs="Arial"/>
          <w:i/>
          <w:iCs/>
        </w:rPr>
        <w:t>Legend: Negative Attitude (below 50%), Neutral Attitude (50%-75%), Positive Attitude (above 75%)</w:t>
      </w:r>
    </w:p>
    <w:p w14:paraId="6A7EAD15" w14:textId="77777777" w:rsidR="00FB1D97" w:rsidRDefault="00FB1D97">
      <w:pPr>
        <w:jc w:val="both"/>
        <w:rPr>
          <w:rFonts w:ascii="Arial" w:eastAsia="Arial" w:hAnsi="Arial" w:cs="Arial"/>
          <w:i/>
          <w:iCs/>
        </w:rPr>
      </w:pPr>
    </w:p>
    <w:tbl>
      <w:tblPr>
        <w:tblStyle w:val="a3"/>
        <w:tblW w:w="4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490"/>
      </w:tblGrid>
      <w:tr w:rsidR="00FB1D97" w14:paraId="59E82577" w14:textId="77777777">
        <w:tc>
          <w:tcPr>
            <w:tcW w:w="1755" w:type="dxa"/>
            <w:tcMar>
              <w:top w:w="100" w:type="dxa"/>
              <w:left w:w="100" w:type="dxa"/>
              <w:bottom w:w="100" w:type="dxa"/>
              <w:right w:w="100" w:type="dxa"/>
            </w:tcMar>
          </w:tcPr>
          <w:p w14:paraId="18C2F65E" w14:textId="77777777" w:rsidR="00FB1D97" w:rsidRDefault="00FB1D97">
            <w:pPr>
              <w:widowControl w:val="0"/>
              <w:pBdr>
                <w:top w:val="nil"/>
                <w:left w:val="nil"/>
                <w:bottom w:val="nil"/>
                <w:right w:val="nil"/>
                <w:between w:val="nil"/>
              </w:pBdr>
              <w:rPr>
                <w:rFonts w:ascii="Times New Roman" w:eastAsia="Times New Roman" w:hAnsi="Times New Roman" w:cs="Times New Roman"/>
                <w:sz w:val="18"/>
                <w:szCs w:val="18"/>
              </w:rPr>
            </w:pPr>
          </w:p>
        </w:tc>
        <w:tc>
          <w:tcPr>
            <w:tcW w:w="2490" w:type="dxa"/>
            <w:tcMar>
              <w:top w:w="100" w:type="dxa"/>
              <w:left w:w="100" w:type="dxa"/>
              <w:bottom w:w="100" w:type="dxa"/>
              <w:right w:w="100" w:type="dxa"/>
            </w:tcMar>
          </w:tcPr>
          <w:p w14:paraId="0A7231AB" w14:textId="77777777" w:rsidR="00FB1D97" w:rsidRDefault="00FB1D97">
            <w:pPr>
              <w:widowControl w:val="0"/>
              <w:pBdr>
                <w:top w:val="nil"/>
                <w:left w:val="nil"/>
                <w:bottom w:val="nil"/>
                <w:right w:val="nil"/>
                <w:between w:val="nil"/>
              </w:pBdr>
              <w:rPr>
                <w:rFonts w:ascii="Times New Roman" w:eastAsia="Times New Roman" w:hAnsi="Times New Roman" w:cs="Times New Roman"/>
                <w:sz w:val="18"/>
                <w:szCs w:val="18"/>
              </w:rPr>
            </w:pPr>
          </w:p>
        </w:tc>
      </w:tr>
      <w:tr w:rsidR="00FB1D97" w14:paraId="51A8C3C4" w14:textId="77777777">
        <w:tc>
          <w:tcPr>
            <w:tcW w:w="1755" w:type="dxa"/>
            <w:tcMar>
              <w:top w:w="100" w:type="dxa"/>
              <w:left w:w="100" w:type="dxa"/>
              <w:bottom w:w="100" w:type="dxa"/>
              <w:right w:w="100" w:type="dxa"/>
            </w:tcMar>
          </w:tcPr>
          <w:p w14:paraId="39F236D9" w14:textId="77777777"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Percentage</w:t>
            </w:r>
          </w:p>
        </w:tc>
        <w:tc>
          <w:tcPr>
            <w:tcW w:w="2490" w:type="dxa"/>
            <w:tcMar>
              <w:top w:w="100" w:type="dxa"/>
              <w:left w:w="100" w:type="dxa"/>
              <w:bottom w:w="100" w:type="dxa"/>
              <w:right w:w="100" w:type="dxa"/>
            </w:tcMar>
          </w:tcPr>
          <w:p w14:paraId="1C2EFCE6" w14:textId="77777777"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Interpretation</w:t>
            </w:r>
          </w:p>
        </w:tc>
      </w:tr>
      <w:tr w:rsidR="00FB1D97" w14:paraId="29BC513A" w14:textId="77777777">
        <w:tc>
          <w:tcPr>
            <w:tcW w:w="1755" w:type="dxa"/>
            <w:tcMar>
              <w:top w:w="100" w:type="dxa"/>
              <w:left w:w="100" w:type="dxa"/>
              <w:bottom w:w="100" w:type="dxa"/>
              <w:right w:w="100" w:type="dxa"/>
            </w:tcMar>
          </w:tcPr>
          <w:p w14:paraId="526B2998" w14:textId="77777777"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Below 50%</w:t>
            </w:r>
          </w:p>
        </w:tc>
        <w:tc>
          <w:tcPr>
            <w:tcW w:w="2490" w:type="dxa"/>
            <w:tcMar>
              <w:top w:w="100" w:type="dxa"/>
              <w:left w:w="100" w:type="dxa"/>
              <w:bottom w:w="100" w:type="dxa"/>
              <w:right w:w="100" w:type="dxa"/>
            </w:tcMar>
          </w:tcPr>
          <w:p w14:paraId="74277B91" w14:textId="77777777"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Negative Attitude</w:t>
            </w:r>
          </w:p>
        </w:tc>
      </w:tr>
      <w:tr w:rsidR="00FB1D97" w14:paraId="497FD611" w14:textId="77777777">
        <w:tc>
          <w:tcPr>
            <w:tcW w:w="1755" w:type="dxa"/>
            <w:tcMar>
              <w:top w:w="100" w:type="dxa"/>
              <w:left w:w="100" w:type="dxa"/>
              <w:bottom w:w="100" w:type="dxa"/>
              <w:right w:w="100" w:type="dxa"/>
            </w:tcMar>
          </w:tcPr>
          <w:p w14:paraId="3884F91C" w14:textId="77777777"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50%-70%</w:t>
            </w:r>
          </w:p>
        </w:tc>
        <w:tc>
          <w:tcPr>
            <w:tcW w:w="2490" w:type="dxa"/>
            <w:tcMar>
              <w:top w:w="100" w:type="dxa"/>
              <w:left w:w="100" w:type="dxa"/>
              <w:bottom w:w="100" w:type="dxa"/>
              <w:right w:w="100" w:type="dxa"/>
            </w:tcMar>
          </w:tcPr>
          <w:p w14:paraId="6055753F" w14:textId="77777777"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Neutral Attitude</w:t>
            </w:r>
          </w:p>
        </w:tc>
      </w:tr>
      <w:tr w:rsidR="00FB1D97" w14:paraId="0646C238" w14:textId="77777777">
        <w:tc>
          <w:tcPr>
            <w:tcW w:w="1755" w:type="dxa"/>
            <w:tcMar>
              <w:top w:w="100" w:type="dxa"/>
              <w:left w:w="100" w:type="dxa"/>
              <w:bottom w:w="100" w:type="dxa"/>
              <w:right w:w="100" w:type="dxa"/>
            </w:tcMar>
          </w:tcPr>
          <w:p w14:paraId="48441E65" w14:textId="77777777"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Above 75%</w:t>
            </w:r>
          </w:p>
        </w:tc>
        <w:tc>
          <w:tcPr>
            <w:tcW w:w="2490" w:type="dxa"/>
            <w:tcMar>
              <w:top w:w="100" w:type="dxa"/>
              <w:left w:w="100" w:type="dxa"/>
              <w:bottom w:w="100" w:type="dxa"/>
              <w:right w:w="100" w:type="dxa"/>
            </w:tcMar>
          </w:tcPr>
          <w:p w14:paraId="784EE8D2" w14:textId="77777777" w:rsidR="00FB1D97" w:rsidRDefault="00DC7A6B">
            <w:pPr>
              <w:widowControl w:val="0"/>
              <w:pBdr>
                <w:top w:val="nil"/>
                <w:left w:val="nil"/>
                <w:bottom w:val="nil"/>
                <w:right w:val="nil"/>
                <w:between w:val="nil"/>
              </w:pBdr>
              <w:rPr>
                <w:rFonts w:ascii="Times New Roman" w:eastAsia="Times New Roman" w:hAnsi="Times New Roman" w:cs="Times New Roman"/>
                <w:sz w:val="18"/>
                <w:szCs w:val="18"/>
              </w:rPr>
            </w:pPr>
            <w:r>
              <w:rPr>
                <w:rFonts w:ascii="Times New Roman" w:eastAsia="Times New Roman" w:hAnsi="Times New Roman" w:cs="Times New Roman"/>
                <w:sz w:val="18"/>
                <w:szCs w:val="18"/>
              </w:rPr>
              <w:t>Positive Attitude</w:t>
            </w:r>
          </w:p>
        </w:tc>
      </w:tr>
    </w:tbl>
    <w:p w14:paraId="6395909E" w14:textId="77777777" w:rsidR="00FB1D97" w:rsidRDefault="00FB1D97">
      <w:pPr>
        <w:pBdr>
          <w:top w:val="nil"/>
          <w:left w:val="nil"/>
          <w:bottom w:val="nil"/>
          <w:right w:val="nil"/>
          <w:between w:val="nil"/>
        </w:pBdr>
        <w:jc w:val="both"/>
        <w:rPr>
          <w:rFonts w:ascii="Arial" w:eastAsia="Arial" w:hAnsi="Arial" w:cs="Arial"/>
          <w:b/>
          <w:bCs/>
          <w:sz w:val="22"/>
          <w:szCs w:val="22"/>
        </w:rPr>
      </w:pPr>
    </w:p>
    <w:p w14:paraId="7BD9F907" w14:textId="77777777" w:rsidR="00FB1D97" w:rsidRDefault="00DC7A6B">
      <w:pPr>
        <w:jc w:val="both"/>
        <w:rPr>
          <w:rFonts w:ascii="Arial" w:eastAsia="Arial" w:hAnsi="Arial" w:cs="Arial"/>
          <w:b/>
          <w:bCs/>
        </w:rPr>
      </w:pPr>
      <w:r>
        <w:rPr>
          <w:rFonts w:ascii="Arial" w:eastAsia="Arial" w:hAnsi="Arial" w:cs="Arial"/>
          <w:b/>
          <w:bCs/>
        </w:rPr>
        <w:t>3.2b. Perceived Importance in Nursing</w:t>
      </w:r>
    </w:p>
    <w:p w14:paraId="74337681" w14:textId="77777777" w:rsidR="00FB1D97" w:rsidRDefault="00FB1D97">
      <w:pPr>
        <w:jc w:val="both"/>
        <w:rPr>
          <w:rFonts w:ascii="Arial" w:eastAsia="Arial" w:hAnsi="Arial" w:cs="Arial"/>
          <w:b/>
          <w:bCs/>
        </w:rPr>
      </w:pPr>
    </w:p>
    <w:p w14:paraId="75562188" w14:textId="77777777" w:rsidR="00FB1D97" w:rsidRDefault="00DC7A6B">
      <w:pPr>
        <w:jc w:val="both"/>
        <w:rPr>
          <w:rFonts w:ascii="Arial" w:eastAsia="Arial" w:hAnsi="Arial" w:cs="Arial"/>
        </w:rPr>
      </w:pPr>
      <w:r>
        <w:rPr>
          <w:rFonts w:ascii="Arial" w:eastAsia="Arial" w:hAnsi="Arial" w:cs="Arial"/>
        </w:rPr>
        <w:t xml:space="preserve">The study examined the perception of nursing students regarding the importance of learning sign language. As presented in Table </w:t>
      </w:r>
      <w:r w:rsidR="0032786F">
        <w:rPr>
          <w:rFonts w:ascii="Arial" w:eastAsia="Arial" w:hAnsi="Arial" w:cs="Arial"/>
        </w:rPr>
        <w:t>4</w:t>
      </w:r>
      <w:r>
        <w:rPr>
          <w:rFonts w:ascii="Arial" w:eastAsia="Arial" w:hAnsi="Arial" w:cs="Arial"/>
        </w:rPr>
        <w:t xml:space="preserve">, the findings revealed a strongly positive perception, with an overall mean score of 4.24. Based on the Likert scale used, respondents generally expressed agreement to strong agreement across all statements. This indicates that nursing students perceive sign language as highly important in their professional preparation and future practice. </w:t>
      </w:r>
    </w:p>
    <w:p w14:paraId="04514330" w14:textId="77777777" w:rsidR="00FB1D97" w:rsidRDefault="00DC7A6B">
      <w:pPr>
        <w:jc w:val="both"/>
        <w:rPr>
          <w:rFonts w:ascii="Arial" w:eastAsia="Arial" w:hAnsi="Arial" w:cs="Arial"/>
        </w:rPr>
      </w:pPr>
      <w:r>
        <w:rPr>
          <w:rFonts w:ascii="Arial" w:eastAsia="Arial" w:hAnsi="Arial" w:cs="Arial"/>
        </w:rPr>
        <w:t>The findings suggest that students recognize the relevance of sign language in communicating effectively with hearing-impaired patients and in improving the delivery of quality healthcare services. Moreover, respondents acknowledged that learning sign language enhances their understanding of deaf individuals and helps bridge communication gaps between deaf and hearing communities, thereby promoting inclusivity in healthcare settings. Students also viewed sign language as an essential skill for healthcare professionals rather than merely optional or specialized knowledge, as reflected in their support for its inclusion in the nursing curriculum.</w:t>
      </w:r>
    </w:p>
    <w:p w14:paraId="3C8B47C1" w14:textId="77777777" w:rsidR="00FB1D97" w:rsidRDefault="00DC7A6B">
      <w:pPr>
        <w:jc w:val="both"/>
        <w:rPr>
          <w:rFonts w:ascii="Arial" w:eastAsia="Arial" w:hAnsi="Arial" w:cs="Arial"/>
        </w:rPr>
      </w:pPr>
      <w:r>
        <w:rPr>
          <w:rFonts w:ascii="Arial" w:eastAsia="Arial" w:hAnsi="Arial" w:cs="Arial"/>
        </w:rPr>
        <w:t>These findings are supported by Napier and Kidd (2022), who emphasized that integrating inclusive communication training into healthcare education enhances cultural competence and professional readiness among future practitioners. Similarly, the World Health Organization (2021) highlights the importance of communication equity and inclusive practices in achieving quality patient-centered care. Overall, the results imply that nursing students hold a favorable perception of the importance of learning sign language, as evidenced by the consistent pattern of agreement across all items. This reflects their readiness, openness, and recognition of sign language as a valuable component of their professional development, reinforcing the need for institutional support and curriculum integration to promote inclusive healthcare practices.</w:t>
      </w:r>
    </w:p>
    <w:p w14:paraId="464C7D3F" w14:textId="77777777" w:rsidR="00FB1D97" w:rsidRDefault="00FB1D97">
      <w:pPr>
        <w:jc w:val="both"/>
        <w:rPr>
          <w:rFonts w:ascii="Arial" w:eastAsia="Arial" w:hAnsi="Arial" w:cs="Arial"/>
        </w:rPr>
      </w:pPr>
    </w:p>
    <w:p w14:paraId="7F6DB452" w14:textId="77777777" w:rsidR="00FB1D97" w:rsidRDefault="00DC7A6B">
      <w:pPr>
        <w:jc w:val="both"/>
        <w:rPr>
          <w:rFonts w:ascii="Arial" w:eastAsia="Arial" w:hAnsi="Arial" w:cs="Arial"/>
          <w:color w:val="000000"/>
        </w:rPr>
      </w:pPr>
      <w:r>
        <w:rPr>
          <w:rFonts w:ascii="Arial" w:eastAsia="Arial" w:hAnsi="Arial" w:cs="Arial"/>
          <w:b/>
          <w:bCs/>
        </w:rPr>
        <w:t xml:space="preserve">Table </w:t>
      </w:r>
      <w:r w:rsidR="0032786F">
        <w:rPr>
          <w:rFonts w:ascii="Arial" w:eastAsia="Arial" w:hAnsi="Arial" w:cs="Arial"/>
          <w:b/>
          <w:bCs/>
        </w:rPr>
        <w:t>4</w:t>
      </w:r>
      <w:r>
        <w:rPr>
          <w:rFonts w:ascii="Arial" w:eastAsia="Arial" w:hAnsi="Arial" w:cs="Arial"/>
          <w:b/>
          <w:bCs/>
        </w:rPr>
        <w:t>. Level of intent of nursing students in learning sign language in terms of Perceived Importance in Nursing</w:t>
      </w:r>
    </w:p>
    <w:p w14:paraId="2EABB735" w14:textId="77777777" w:rsidR="00FB1D97" w:rsidRDefault="00FB1D97">
      <w:pPr>
        <w:spacing w:line="276" w:lineRule="auto"/>
        <w:ind w:right="60"/>
        <w:rPr>
          <w:rFonts w:ascii="Times New Roman" w:eastAsia="Times New Roman" w:hAnsi="Times New Roman" w:cs="Times New Roman"/>
          <w:b/>
          <w:bCs/>
          <w:sz w:val="24"/>
          <w:szCs w:val="24"/>
          <w:highlight w:val="white"/>
        </w:rPr>
      </w:pPr>
    </w:p>
    <w:tbl>
      <w:tblPr>
        <w:tblStyle w:val="a4"/>
        <w:tblpPr w:leftFromText="180" w:rightFromText="180" w:topFromText="180" w:bottomFromText="180" w:vertAnchor="text"/>
        <w:tblW w:w="75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5"/>
        <w:gridCol w:w="1545"/>
      </w:tblGrid>
      <w:tr w:rsidR="00FB1D97" w14:paraId="22076E49" w14:textId="77777777">
        <w:tc>
          <w:tcPr>
            <w:tcW w:w="60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0CA04B31"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lastRenderedPageBreak/>
              <w:t>Items</w:t>
            </w:r>
          </w:p>
        </w:tc>
        <w:tc>
          <w:tcPr>
            <w:tcW w:w="154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7C714F98"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Mean</w:t>
            </w:r>
          </w:p>
        </w:tc>
      </w:tr>
      <w:tr w:rsidR="00FB1D97" w14:paraId="26F6A8C1" w14:textId="77777777">
        <w:trPr>
          <w:trHeight w:val="375"/>
        </w:trPr>
        <w:tc>
          <w:tcPr>
            <w:tcW w:w="601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121EA7EF" w14:textId="77777777" w:rsidR="00FB1D97" w:rsidRDefault="00DC7A6B">
            <w:pPr>
              <w:tabs>
                <w:tab w:val="left" w:pos="1976"/>
              </w:tabs>
              <w:spacing w:line="276" w:lineRule="auto"/>
              <w:ind w:right="60"/>
              <w:rPr>
                <w:rFonts w:ascii="Arial" w:eastAsia="Arial" w:hAnsi="Arial" w:cs="Arial"/>
                <w:sz w:val="18"/>
                <w:szCs w:val="18"/>
              </w:rPr>
            </w:pPr>
            <w:r>
              <w:rPr>
                <w:rFonts w:ascii="Arial" w:eastAsia="Arial" w:hAnsi="Arial" w:cs="Arial"/>
                <w:sz w:val="18"/>
                <w:szCs w:val="18"/>
              </w:rPr>
              <w:t>Sign language training is relevant in my interaction with         hearing-impaired patients.</w:t>
            </w:r>
          </w:p>
        </w:tc>
        <w:tc>
          <w:tcPr>
            <w:tcW w:w="154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3D1D4541" w14:textId="77777777" w:rsidR="00FB1D97" w:rsidRDefault="00DC7A6B">
            <w:pPr>
              <w:spacing w:line="276" w:lineRule="auto"/>
              <w:ind w:left="60" w:right="60"/>
              <w:jc w:val="center"/>
              <w:rPr>
                <w:rFonts w:ascii="Arial" w:eastAsia="Arial" w:hAnsi="Arial" w:cs="Arial"/>
                <w:sz w:val="18"/>
                <w:szCs w:val="18"/>
                <w:highlight w:val="white"/>
              </w:rPr>
            </w:pPr>
            <w:r>
              <w:rPr>
                <w:rFonts w:ascii="Arial" w:eastAsia="Arial" w:hAnsi="Arial" w:cs="Arial"/>
                <w:sz w:val="18"/>
                <w:szCs w:val="18"/>
              </w:rPr>
              <w:t>4.33</w:t>
            </w:r>
          </w:p>
        </w:tc>
      </w:tr>
      <w:tr w:rsidR="00FB1D97" w14:paraId="27DC2406" w14:textId="77777777">
        <w:trPr>
          <w:trHeight w:val="345"/>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FB4BB4B" w14:textId="77777777" w:rsidR="00FB1D97" w:rsidRDefault="00DC7A6B">
            <w:pPr>
              <w:spacing w:line="276" w:lineRule="auto"/>
              <w:ind w:right="60"/>
              <w:rPr>
                <w:rFonts w:ascii="Arial" w:eastAsia="Arial" w:hAnsi="Arial" w:cs="Arial"/>
                <w:sz w:val="18"/>
                <w:szCs w:val="18"/>
              </w:rPr>
            </w:pPr>
            <w:r>
              <w:rPr>
                <w:rFonts w:ascii="Arial" w:eastAsia="Arial" w:hAnsi="Arial" w:cs="Arial"/>
                <w:sz w:val="18"/>
                <w:szCs w:val="18"/>
              </w:rPr>
              <w:t xml:space="preserve">I have personally encountered situations where knowledge of    </w:t>
            </w:r>
          </w:p>
          <w:p w14:paraId="33821B84" w14:textId="77777777" w:rsidR="00FB1D97" w:rsidRDefault="00DC7A6B">
            <w:pPr>
              <w:spacing w:line="276" w:lineRule="auto"/>
              <w:ind w:right="60"/>
              <w:rPr>
                <w:rFonts w:ascii="Arial" w:eastAsia="Arial" w:hAnsi="Arial" w:cs="Arial"/>
                <w:sz w:val="18"/>
                <w:szCs w:val="18"/>
              </w:rPr>
            </w:pPr>
            <w:r>
              <w:rPr>
                <w:rFonts w:ascii="Arial" w:eastAsia="Arial" w:hAnsi="Arial" w:cs="Arial"/>
                <w:sz w:val="18"/>
                <w:szCs w:val="18"/>
              </w:rPr>
              <w:t xml:space="preserve">sign language has been beneficial in my interactions with </w:t>
            </w:r>
          </w:p>
          <w:p w14:paraId="216666AE" w14:textId="77777777" w:rsidR="00FB1D97" w:rsidRDefault="00DC7A6B">
            <w:pPr>
              <w:spacing w:line="276" w:lineRule="auto"/>
              <w:ind w:right="60"/>
              <w:rPr>
                <w:rFonts w:ascii="Arial" w:eastAsia="Arial" w:hAnsi="Arial" w:cs="Arial"/>
                <w:sz w:val="18"/>
                <w:szCs w:val="18"/>
              </w:rPr>
            </w:pPr>
            <w:r>
              <w:rPr>
                <w:rFonts w:ascii="Arial" w:eastAsia="Arial" w:hAnsi="Arial" w:cs="Arial"/>
                <w:sz w:val="18"/>
                <w:szCs w:val="18"/>
              </w:rPr>
              <w:t>patients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07DDEE0"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3.63</w:t>
            </w:r>
          </w:p>
        </w:tc>
      </w:tr>
      <w:tr w:rsidR="00FB1D97" w14:paraId="67A10059" w14:textId="77777777">
        <w:trPr>
          <w:trHeight w:val="33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35EBC57" w14:textId="77777777"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I learning sign language will help me provide efficient services to my deaf patients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46C3E5B"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4.42</w:t>
            </w:r>
          </w:p>
        </w:tc>
      </w:tr>
      <w:tr w:rsidR="00FB1D97" w14:paraId="62055332" w14:textId="77777777">
        <w:trPr>
          <w:trHeight w:val="3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69747A0" w14:textId="77777777"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 xml:space="preserve">Learning sign language will help me understand deaf people. </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4A3912E"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4.46</w:t>
            </w:r>
          </w:p>
        </w:tc>
      </w:tr>
      <w:tr w:rsidR="00FB1D97" w14:paraId="0DA3AB76" w14:textId="77777777">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1559BEE" w14:textId="77777777" w:rsidR="00FB1D97" w:rsidRDefault="00DC7A6B">
            <w:pPr>
              <w:spacing w:line="276" w:lineRule="auto"/>
              <w:ind w:right="60"/>
              <w:rPr>
                <w:rFonts w:ascii="Arial" w:eastAsia="Arial" w:hAnsi="Arial" w:cs="Arial"/>
                <w:sz w:val="18"/>
                <w:szCs w:val="18"/>
              </w:rPr>
            </w:pPr>
            <w:r>
              <w:rPr>
                <w:rFonts w:ascii="Arial" w:eastAsia="Arial" w:hAnsi="Arial" w:cs="Arial"/>
                <w:sz w:val="18"/>
                <w:szCs w:val="18"/>
              </w:rPr>
              <w:t>Learning sign language can help bring the deaf and hearing  people together</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4C4BA91D"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4.46</w:t>
            </w:r>
          </w:p>
        </w:tc>
      </w:tr>
      <w:tr w:rsidR="00FB1D97" w14:paraId="08BB7017" w14:textId="77777777">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5AF5785A" w14:textId="77777777" w:rsidR="00FB1D97" w:rsidRDefault="00DC7A6B">
            <w:pPr>
              <w:spacing w:line="276" w:lineRule="auto"/>
              <w:ind w:right="60"/>
              <w:rPr>
                <w:rFonts w:ascii="Arial" w:eastAsia="Arial" w:hAnsi="Arial" w:cs="Arial"/>
                <w:sz w:val="18"/>
                <w:szCs w:val="18"/>
              </w:rPr>
            </w:pPr>
            <w:r>
              <w:rPr>
                <w:rFonts w:ascii="Arial" w:eastAsia="Arial" w:hAnsi="Arial" w:cs="Arial"/>
                <w:sz w:val="18"/>
                <w:szCs w:val="18"/>
              </w:rPr>
              <w:t>Learning sign language can help me to become more diverse</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616EE2A"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4.41</w:t>
            </w:r>
          </w:p>
        </w:tc>
      </w:tr>
      <w:tr w:rsidR="00FB1D97" w14:paraId="2F81F6B4" w14:textId="77777777">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9C7E9FD" w14:textId="77777777" w:rsidR="00FB1D97" w:rsidRDefault="00DC7A6B">
            <w:pPr>
              <w:spacing w:line="276" w:lineRule="auto"/>
              <w:ind w:right="60"/>
              <w:rPr>
                <w:rFonts w:ascii="Arial" w:eastAsia="Arial" w:hAnsi="Arial" w:cs="Arial"/>
                <w:sz w:val="18"/>
                <w:szCs w:val="18"/>
              </w:rPr>
            </w:pPr>
            <w:r>
              <w:rPr>
                <w:rFonts w:ascii="Arial" w:eastAsia="Arial" w:hAnsi="Arial" w:cs="Arial"/>
                <w:sz w:val="18"/>
                <w:szCs w:val="18"/>
              </w:rPr>
              <w:t>Sign language should be maintained in the curriculum of health training institutions.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5685B44"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4.10</w:t>
            </w:r>
          </w:p>
        </w:tc>
      </w:tr>
      <w:tr w:rsidR="00FB1D97" w14:paraId="7B9FA506" w14:textId="77777777">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7E2174E" w14:textId="77777777" w:rsidR="00FB1D97" w:rsidRDefault="00DC7A6B">
            <w:pPr>
              <w:spacing w:line="276" w:lineRule="auto"/>
              <w:ind w:right="60"/>
              <w:rPr>
                <w:rFonts w:ascii="Arial" w:eastAsia="Arial" w:hAnsi="Arial" w:cs="Arial"/>
                <w:sz w:val="18"/>
                <w:szCs w:val="18"/>
              </w:rPr>
            </w:pPr>
            <w:r>
              <w:rPr>
                <w:rFonts w:ascii="Arial" w:eastAsia="Arial" w:hAnsi="Arial" w:cs="Arial"/>
                <w:sz w:val="18"/>
                <w:szCs w:val="18"/>
              </w:rPr>
              <w:t>Learning sign language is important to all health workers.</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7A4E2DB"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4.25</w:t>
            </w:r>
          </w:p>
        </w:tc>
      </w:tr>
      <w:tr w:rsidR="00FB1D97" w14:paraId="7CD42EBC" w14:textId="77777777">
        <w:trPr>
          <w:trHeight w:val="260"/>
        </w:trPr>
        <w:tc>
          <w:tcPr>
            <w:tcW w:w="601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368AE399" w14:textId="77777777" w:rsidR="00FB1D97" w:rsidRDefault="00DC7A6B">
            <w:pPr>
              <w:spacing w:line="276" w:lineRule="auto"/>
              <w:ind w:right="60"/>
              <w:rPr>
                <w:rFonts w:ascii="Arial" w:eastAsia="Arial" w:hAnsi="Arial" w:cs="Arial"/>
                <w:sz w:val="18"/>
                <w:szCs w:val="18"/>
              </w:rPr>
            </w:pPr>
            <w:r>
              <w:rPr>
                <w:rFonts w:ascii="Arial" w:eastAsia="Arial" w:hAnsi="Arial" w:cs="Arial"/>
                <w:sz w:val="18"/>
                <w:szCs w:val="18"/>
              </w:rPr>
              <w:t>Including sign language in the curriculum is a good initiative.</w:t>
            </w:r>
          </w:p>
        </w:tc>
        <w:tc>
          <w:tcPr>
            <w:tcW w:w="154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94A2759"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4.17</w:t>
            </w:r>
          </w:p>
        </w:tc>
      </w:tr>
      <w:tr w:rsidR="00FB1D97" w14:paraId="3F0E7B2A" w14:textId="77777777">
        <w:trPr>
          <w:trHeight w:val="260"/>
        </w:trPr>
        <w:tc>
          <w:tcPr>
            <w:tcW w:w="601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7311E558" w14:textId="77777777" w:rsidR="00FB1D97" w:rsidRDefault="00DC7A6B">
            <w:pPr>
              <w:spacing w:line="276" w:lineRule="auto"/>
              <w:ind w:right="60"/>
              <w:rPr>
                <w:rFonts w:ascii="Arial" w:eastAsia="Arial" w:hAnsi="Arial" w:cs="Arial"/>
                <w:sz w:val="18"/>
                <w:szCs w:val="18"/>
              </w:rPr>
            </w:pPr>
            <w:r>
              <w:rPr>
                <w:rFonts w:ascii="Arial" w:eastAsia="Arial" w:hAnsi="Arial" w:cs="Arial"/>
                <w:sz w:val="18"/>
                <w:szCs w:val="18"/>
              </w:rPr>
              <w:t>It is important for me to communicate with deaf people</w:t>
            </w:r>
          </w:p>
        </w:tc>
        <w:tc>
          <w:tcPr>
            <w:tcW w:w="154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10985556"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4.21</w:t>
            </w:r>
          </w:p>
        </w:tc>
      </w:tr>
      <w:tr w:rsidR="00FB1D97" w14:paraId="435BBB85" w14:textId="77777777">
        <w:trPr>
          <w:trHeight w:val="440"/>
        </w:trPr>
        <w:tc>
          <w:tcPr>
            <w:tcW w:w="6015" w:type="dxa"/>
            <w:tcBorders>
              <w:left w:val="single" w:sz="8" w:space="0" w:color="FFFFFF"/>
              <w:right w:val="single" w:sz="8" w:space="0" w:color="FFFFFF"/>
            </w:tcBorders>
            <w:tcMar>
              <w:top w:w="0" w:type="dxa"/>
              <w:left w:w="0" w:type="dxa"/>
              <w:bottom w:w="0" w:type="dxa"/>
              <w:right w:w="0" w:type="dxa"/>
            </w:tcMar>
            <w:vAlign w:val="center"/>
          </w:tcPr>
          <w:p w14:paraId="2997D991" w14:textId="77777777" w:rsidR="00FB1D97" w:rsidRDefault="00FB1D97">
            <w:pPr>
              <w:widowControl w:val="0"/>
              <w:jc w:val="center"/>
              <w:rPr>
                <w:rFonts w:ascii="Arial" w:eastAsia="Arial" w:hAnsi="Arial" w:cs="Arial"/>
                <w:sz w:val="18"/>
                <w:szCs w:val="18"/>
                <w:highlight w:val="white"/>
              </w:rPr>
            </w:pPr>
          </w:p>
        </w:tc>
        <w:tc>
          <w:tcPr>
            <w:tcW w:w="1545" w:type="dxa"/>
            <w:tcBorders>
              <w:left w:val="single" w:sz="8" w:space="0" w:color="FFFFFF"/>
              <w:right w:val="single" w:sz="8" w:space="0" w:color="FFFFFF"/>
            </w:tcBorders>
            <w:tcMar>
              <w:top w:w="0" w:type="dxa"/>
              <w:left w:w="0" w:type="dxa"/>
              <w:bottom w:w="0" w:type="dxa"/>
              <w:right w:w="0" w:type="dxa"/>
            </w:tcMar>
            <w:vAlign w:val="center"/>
          </w:tcPr>
          <w:p w14:paraId="41826B50" w14:textId="77777777" w:rsidR="00FB1D97" w:rsidRDefault="00DC7A6B">
            <w:pPr>
              <w:widowControl w:val="0"/>
              <w:rPr>
                <w:rFonts w:ascii="Arial" w:eastAsia="Arial" w:hAnsi="Arial" w:cs="Arial"/>
                <w:sz w:val="18"/>
                <w:szCs w:val="18"/>
                <w:highlight w:val="white"/>
              </w:rPr>
            </w:pPr>
            <w:r>
              <w:rPr>
                <w:rFonts w:ascii="Arial" w:eastAsia="Arial" w:hAnsi="Arial" w:cs="Arial"/>
                <w:sz w:val="18"/>
                <w:szCs w:val="18"/>
                <w:highlight w:val="white"/>
              </w:rPr>
              <w:t>Mean 4.24/5</w:t>
            </w:r>
          </w:p>
        </w:tc>
      </w:tr>
    </w:tbl>
    <w:p w14:paraId="3135C6E4" w14:textId="77777777" w:rsidR="00FB1D97" w:rsidRDefault="00FB1D97">
      <w:pPr>
        <w:pStyle w:val="Heading1"/>
        <w:keepLines/>
        <w:spacing w:before="200" w:after="0" w:line="480" w:lineRule="auto"/>
        <w:rPr>
          <w:rFonts w:ascii="Times New Roman" w:eastAsia="Times New Roman" w:hAnsi="Times New Roman" w:cs="Times New Roman"/>
          <w:sz w:val="24"/>
          <w:szCs w:val="24"/>
          <w:highlight w:val="white"/>
        </w:rPr>
      </w:pPr>
      <w:bookmarkStart w:id="8" w:name="_ufhh05r9a0k5" w:colFirst="0" w:colLast="0"/>
      <w:bookmarkEnd w:id="8"/>
    </w:p>
    <w:p w14:paraId="771BF00B" w14:textId="77777777" w:rsidR="00FB1D97" w:rsidRDefault="00FB1D97">
      <w:pPr>
        <w:keepNext/>
        <w:pBdr>
          <w:top w:val="nil"/>
          <w:left w:val="nil"/>
          <w:bottom w:val="nil"/>
          <w:right w:val="nil"/>
          <w:between w:val="nil"/>
        </w:pBdr>
        <w:jc w:val="both"/>
        <w:rPr>
          <w:rFonts w:ascii="Arial" w:eastAsia="Arial" w:hAnsi="Arial" w:cs="Arial"/>
          <w:b/>
          <w:bCs/>
          <w:smallCaps/>
          <w:sz w:val="22"/>
          <w:szCs w:val="22"/>
        </w:rPr>
      </w:pPr>
    </w:p>
    <w:p w14:paraId="05D4C053" w14:textId="77777777" w:rsidR="00FB1D97" w:rsidRDefault="00DC7A6B">
      <w:pPr>
        <w:jc w:val="both"/>
        <w:rPr>
          <w:rFonts w:ascii="Arial" w:eastAsia="Arial" w:hAnsi="Arial" w:cs="Arial"/>
          <w:b/>
          <w:bCs/>
        </w:rPr>
      </w:pPr>
      <w:r>
        <w:rPr>
          <w:rFonts w:ascii="Arial" w:eastAsia="Arial" w:hAnsi="Arial" w:cs="Arial"/>
          <w:b/>
          <w:bCs/>
        </w:rPr>
        <w:t xml:space="preserve">Table </w:t>
      </w:r>
      <w:r w:rsidR="0032786F">
        <w:rPr>
          <w:rFonts w:ascii="Arial" w:eastAsia="Arial" w:hAnsi="Arial" w:cs="Arial"/>
          <w:b/>
          <w:bCs/>
        </w:rPr>
        <w:t>5</w:t>
      </w:r>
      <w:r>
        <w:rPr>
          <w:rFonts w:ascii="Arial" w:eastAsia="Arial" w:hAnsi="Arial" w:cs="Arial"/>
          <w:b/>
          <w:bCs/>
        </w:rPr>
        <w:t xml:space="preserve"> Level of intent of nursing students in learning sign language in terms of Communication-Related Barriers</w:t>
      </w:r>
    </w:p>
    <w:p w14:paraId="4DE2DA09" w14:textId="77777777" w:rsidR="00FB1D97" w:rsidRDefault="00FB1D97">
      <w:pPr>
        <w:jc w:val="both"/>
        <w:rPr>
          <w:rFonts w:ascii="Arial" w:eastAsia="Arial" w:hAnsi="Arial" w:cs="Arial"/>
          <w:b/>
          <w:bCs/>
        </w:rPr>
      </w:pPr>
    </w:p>
    <w:p w14:paraId="12D379B8" w14:textId="77777777" w:rsidR="00FB1D97" w:rsidRDefault="00DC7A6B">
      <w:pPr>
        <w:jc w:val="both"/>
        <w:rPr>
          <w:rFonts w:ascii="Arial" w:eastAsia="Arial" w:hAnsi="Arial" w:cs="Arial"/>
        </w:rPr>
      </w:pPr>
      <w:r>
        <w:rPr>
          <w:rFonts w:ascii="Arial" w:eastAsia="Arial" w:hAnsi="Arial" w:cs="Arial"/>
        </w:rPr>
        <w:t xml:space="preserve">The study examined the level of intent of nursing students in learning sign language in terms of perceived communication-related barriers. As presented in Table </w:t>
      </w:r>
      <w:r w:rsidR="0032786F">
        <w:rPr>
          <w:rFonts w:ascii="Arial" w:eastAsia="Arial" w:hAnsi="Arial" w:cs="Arial"/>
        </w:rPr>
        <w:t>5</w:t>
      </w:r>
      <w:r>
        <w:rPr>
          <w:rFonts w:ascii="Arial" w:eastAsia="Arial" w:hAnsi="Arial" w:cs="Arial"/>
        </w:rPr>
        <w:t xml:space="preserve">, the overall percentage was 64.8%, interpreted as a Neutral Attitude. All items were similarly rated as Neutral Attitude, indicating a moderate perception of communication challenges among the respondents. The highest-rated item was the perception that communicating with deaf individuals is difficult (64.4%), while the lowest-rated item was the lack of confidence in communicating with deaf individuals (61.6%). These findings suggest that although students perceive communication with deaf individuals as challenging, they still maintain a certain level of confidence in their ability to engage, reflecting a balanced but cautious outlook. </w:t>
      </w:r>
      <w:r>
        <w:rPr>
          <w:rFonts w:ascii="Arial" w:eastAsia="Arial" w:hAnsi="Arial" w:cs="Arial"/>
        </w:rPr>
        <w:br/>
        <w:t xml:space="preserve">The results indicate that perceived communication-related barriers do not significantly influence the students’ intent to learn sign language. Despite acknowledging difficulties, these barriers do not substantially diminish their motivation to acquire sign language skills. Instead, </w:t>
      </w:r>
      <w:r>
        <w:rPr>
          <w:rFonts w:ascii="Arial" w:eastAsia="Arial" w:hAnsi="Arial" w:cs="Arial"/>
        </w:rPr>
        <w:lastRenderedPageBreak/>
        <w:t xml:space="preserve">students appear to recognize these challenges while remaining open to learning, suggesting that such barriers are not strong deterrents but rather areas that require support and development. These findings are consistent with </w:t>
      </w:r>
      <w:proofErr w:type="spellStart"/>
      <w:r>
        <w:rPr>
          <w:rFonts w:ascii="Arial" w:eastAsia="Arial" w:hAnsi="Arial" w:cs="Arial"/>
        </w:rPr>
        <w:t>Haambozi</w:t>
      </w:r>
      <w:proofErr w:type="spellEnd"/>
      <w:r>
        <w:rPr>
          <w:rFonts w:ascii="Arial" w:eastAsia="Arial" w:hAnsi="Arial" w:cs="Arial"/>
        </w:rPr>
        <w:t xml:space="preserve"> et al. (2024), who emphasized that communication breakdowns in healthcare interactions often contribute to patient anxiety and ineffective care. Similarly, Siddiqi et al. (2025) and Kung et al. (2021) identified the lack of practical competencies and knowledge of deaf language among healthcare providers as a major contributor to health inequities. However, </w:t>
      </w:r>
      <w:proofErr w:type="spellStart"/>
      <w:r>
        <w:rPr>
          <w:rFonts w:ascii="Arial" w:eastAsia="Arial" w:hAnsi="Arial" w:cs="Arial"/>
        </w:rPr>
        <w:t>Hosnjak</w:t>
      </w:r>
      <w:proofErr w:type="spellEnd"/>
      <w:r>
        <w:rPr>
          <w:rFonts w:ascii="Arial" w:eastAsia="Arial" w:hAnsi="Arial" w:cs="Arial"/>
        </w:rPr>
        <w:t xml:space="preserve"> et al. (2023) highlighted that overcoming such barriers is closely linked to maintaining a positive attitude toward learning, which supports the present findings where students demonstrate baseline confidence despite perceived challenges.</w:t>
      </w:r>
    </w:p>
    <w:p w14:paraId="55F13147" w14:textId="77777777" w:rsidR="00FB1D97" w:rsidRDefault="00DC7A6B">
      <w:pPr>
        <w:jc w:val="both"/>
        <w:rPr>
          <w:rFonts w:ascii="Arial" w:eastAsia="Arial" w:hAnsi="Arial" w:cs="Arial"/>
        </w:rPr>
      </w:pPr>
      <w:r>
        <w:rPr>
          <w:rFonts w:ascii="Arial" w:eastAsia="Arial" w:hAnsi="Arial" w:cs="Arial"/>
        </w:rPr>
        <w:t>Overall, the results imply that while nursing students acknowledge the presence of communication-related barriers, these do not significantly hinder their intent to learn sign language. This underscores the need for targeted educational interventions and institutional support to address these challenges, enhance students’ competencies, and bridge the gap between clinical practice requirements and inclusive communication policies such as the Filipino Sign Language Act.</w:t>
      </w:r>
    </w:p>
    <w:p w14:paraId="20FC5BCB" w14:textId="77777777" w:rsidR="00FB1D97" w:rsidRDefault="00FB1D97">
      <w:pPr>
        <w:jc w:val="both"/>
        <w:rPr>
          <w:rFonts w:ascii="Arial" w:eastAsia="Arial" w:hAnsi="Arial" w:cs="Arial"/>
        </w:rPr>
      </w:pPr>
    </w:p>
    <w:p w14:paraId="0C5A3CE9" w14:textId="77777777" w:rsidR="00FB1D97" w:rsidRDefault="00DC7A6B">
      <w:pPr>
        <w:jc w:val="both"/>
        <w:rPr>
          <w:rFonts w:ascii="Arial" w:eastAsia="Arial" w:hAnsi="Arial" w:cs="Arial"/>
          <w:b/>
          <w:bCs/>
        </w:rPr>
      </w:pPr>
      <w:r>
        <w:rPr>
          <w:rFonts w:ascii="Arial" w:eastAsia="Arial" w:hAnsi="Arial" w:cs="Arial"/>
          <w:b/>
          <w:bCs/>
        </w:rPr>
        <w:t xml:space="preserve">Table </w:t>
      </w:r>
      <w:r w:rsidR="0032786F">
        <w:rPr>
          <w:rFonts w:ascii="Arial" w:eastAsia="Arial" w:hAnsi="Arial" w:cs="Arial"/>
          <w:b/>
          <w:bCs/>
        </w:rPr>
        <w:t>6</w:t>
      </w:r>
      <w:r>
        <w:rPr>
          <w:rFonts w:ascii="Arial" w:eastAsia="Arial" w:hAnsi="Arial" w:cs="Arial"/>
          <w:b/>
          <w:bCs/>
        </w:rPr>
        <w:t>. Level of intent of nursing students in learning sign language in terms of Perceived Communication-Related Barriers</w:t>
      </w:r>
    </w:p>
    <w:p w14:paraId="7CDF7907" w14:textId="77777777" w:rsidR="00FB1D97" w:rsidRDefault="00FB1D97">
      <w:pPr>
        <w:spacing w:line="480" w:lineRule="auto"/>
        <w:ind w:right="60"/>
        <w:rPr>
          <w:rFonts w:ascii="Arial" w:eastAsia="Arial" w:hAnsi="Arial" w:cs="Arial"/>
          <w:b/>
          <w:bCs/>
          <w:highlight w:val="white"/>
        </w:rPr>
      </w:pPr>
    </w:p>
    <w:tbl>
      <w:tblPr>
        <w:tblStyle w:val="a5"/>
        <w:tblW w:w="871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0"/>
        <w:gridCol w:w="1320"/>
        <w:gridCol w:w="2265"/>
      </w:tblGrid>
      <w:tr w:rsidR="00FB1D97" w14:paraId="471A3F54" w14:textId="77777777">
        <w:tc>
          <w:tcPr>
            <w:tcW w:w="51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2432FF33"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Items</w:t>
            </w:r>
          </w:p>
        </w:tc>
        <w:tc>
          <w:tcPr>
            <w:tcW w:w="1320"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53751288" w14:textId="77777777" w:rsidR="00FB1D97" w:rsidRDefault="00FB1D97">
            <w:pPr>
              <w:widowControl w:val="0"/>
              <w:jc w:val="center"/>
              <w:rPr>
                <w:rFonts w:ascii="Arial" w:eastAsia="Arial" w:hAnsi="Arial" w:cs="Arial"/>
                <w:highlight w:val="white"/>
              </w:rPr>
            </w:pPr>
          </w:p>
        </w:tc>
        <w:tc>
          <w:tcPr>
            <w:tcW w:w="226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4D54BE6D"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Mean</w:t>
            </w:r>
          </w:p>
        </w:tc>
      </w:tr>
      <w:tr w:rsidR="00FB1D97" w14:paraId="09290BD9" w14:textId="77777777">
        <w:trPr>
          <w:trHeight w:val="375"/>
        </w:trPr>
        <w:tc>
          <w:tcPr>
            <w:tcW w:w="51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54FC4A4A" w14:textId="77777777" w:rsidR="00FB1D97" w:rsidRDefault="00DC7A6B">
            <w:pPr>
              <w:spacing w:line="276" w:lineRule="auto"/>
              <w:ind w:right="60"/>
              <w:rPr>
                <w:rFonts w:ascii="Arial" w:eastAsia="Arial" w:hAnsi="Arial" w:cs="Arial"/>
              </w:rPr>
            </w:pPr>
            <w:r>
              <w:rPr>
                <w:rFonts w:ascii="Arial" w:eastAsia="Arial" w:hAnsi="Arial" w:cs="Arial"/>
              </w:rPr>
              <w:t>I think communicating with Deaf people would be very hard for me</w:t>
            </w:r>
          </w:p>
        </w:tc>
        <w:tc>
          <w:tcPr>
            <w:tcW w:w="132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6DBACB60" w14:textId="77777777" w:rsidR="00FB1D97" w:rsidRDefault="00FB1D97">
            <w:pPr>
              <w:widowControl w:val="0"/>
              <w:jc w:val="center"/>
              <w:rPr>
                <w:rFonts w:ascii="Arial" w:eastAsia="Arial" w:hAnsi="Arial" w:cs="Arial"/>
                <w:highlight w:val="white"/>
              </w:rPr>
            </w:pPr>
          </w:p>
        </w:tc>
        <w:tc>
          <w:tcPr>
            <w:tcW w:w="226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3219218E"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3.43</w:t>
            </w:r>
          </w:p>
        </w:tc>
      </w:tr>
      <w:tr w:rsidR="00FB1D97" w14:paraId="76735D2C" w14:textId="77777777">
        <w:trPr>
          <w:trHeight w:val="345"/>
        </w:trPr>
        <w:tc>
          <w:tcPr>
            <w:tcW w:w="51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06B82D59" w14:textId="77777777" w:rsidR="00FB1D97" w:rsidRDefault="00DC7A6B">
            <w:pPr>
              <w:spacing w:line="276" w:lineRule="auto"/>
              <w:ind w:right="60"/>
              <w:rPr>
                <w:rFonts w:ascii="Arial" w:eastAsia="Arial" w:hAnsi="Arial" w:cs="Arial"/>
              </w:rPr>
            </w:pPr>
            <w:r>
              <w:rPr>
                <w:rFonts w:ascii="Arial" w:eastAsia="Arial" w:hAnsi="Arial" w:cs="Arial"/>
              </w:rPr>
              <w:t>Communicating with Deaf people would make me very nervous</w:t>
            </w:r>
          </w:p>
        </w:tc>
        <w:tc>
          <w:tcPr>
            <w:tcW w:w="132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62B05492" w14:textId="77777777" w:rsidR="00FB1D97" w:rsidRDefault="00FB1D97">
            <w:pPr>
              <w:spacing w:line="276" w:lineRule="auto"/>
              <w:ind w:left="60" w:right="60"/>
              <w:jc w:val="center"/>
              <w:rPr>
                <w:rFonts w:ascii="Arial" w:eastAsia="Arial" w:hAnsi="Arial" w:cs="Arial"/>
              </w:rPr>
            </w:pPr>
          </w:p>
        </w:tc>
        <w:tc>
          <w:tcPr>
            <w:tcW w:w="226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21A94972" w14:textId="77777777" w:rsidR="00FB1D97" w:rsidRDefault="00DC7A6B">
            <w:pPr>
              <w:spacing w:line="276" w:lineRule="auto"/>
              <w:ind w:left="60" w:right="60"/>
              <w:jc w:val="center"/>
              <w:rPr>
                <w:rFonts w:ascii="Arial" w:eastAsia="Arial" w:hAnsi="Arial" w:cs="Arial"/>
                <w:highlight w:val="white"/>
              </w:rPr>
            </w:pPr>
            <w:r>
              <w:rPr>
                <w:rFonts w:ascii="Arial" w:eastAsia="Arial" w:hAnsi="Arial" w:cs="Arial"/>
              </w:rPr>
              <w:t>3.22</w:t>
            </w:r>
          </w:p>
        </w:tc>
      </w:tr>
      <w:tr w:rsidR="00FB1D97" w14:paraId="6C0614E4" w14:textId="77777777">
        <w:trPr>
          <w:trHeight w:val="260"/>
        </w:trPr>
        <w:tc>
          <w:tcPr>
            <w:tcW w:w="51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42CA5B1E" w14:textId="77777777" w:rsidR="00FB1D97" w:rsidRDefault="00DC7A6B">
            <w:pPr>
              <w:spacing w:line="276" w:lineRule="auto"/>
              <w:ind w:right="60"/>
              <w:rPr>
                <w:rFonts w:ascii="Arial" w:eastAsia="Arial" w:hAnsi="Arial" w:cs="Arial"/>
              </w:rPr>
            </w:pPr>
            <w:r>
              <w:rPr>
                <w:rFonts w:ascii="Arial" w:eastAsia="Arial" w:hAnsi="Arial" w:cs="Arial"/>
              </w:rPr>
              <w:t>I have no confidence in communicating with Deaf people</w:t>
            </w:r>
          </w:p>
        </w:tc>
        <w:tc>
          <w:tcPr>
            <w:tcW w:w="132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68166ABC" w14:textId="77777777" w:rsidR="00FB1D97" w:rsidRDefault="00FB1D97">
            <w:pPr>
              <w:widowControl w:val="0"/>
              <w:jc w:val="center"/>
              <w:rPr>
                <w:rFonts w:ascii="Arial" w:eastAsia="Arial" w:hAnsi="Arial" w:cs="Arial"/>
                <w:highlight w:val="white"/>
              </w:rPr>
            </w:pPr>
          </w:p>
        </w:tc>
        <w:tc>
          <w:tcPr>
            <w:tcW w:w="226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3F098A29"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3.08</w:t>
            </w:r>
          </w:p>
        </w:tc>
      </w:tr>
      <w:tr w:rsidR="00FB1D97" w14:paraId="46BBBFE1" w14:textId="77777777">
        <w:trPr>
          <w:trHeight w:val="440"/>
        </w:trPr>
        <w:tc>
          <w:tcPr>
            <w:tcW w:w="5130" w:type="dxa"/>
            <w:tcBorders>
              <w:left w:val="single" w:sz="8" w:space="0" w:color="FFFFFF"/>
              <w:right w:val="single" w:sz="8" w:space="0" w:color="FFFFFF"/>
            </w:tcBorders>
            <w:tcMar>
              <w:top w:w="0" w:type="dxa"/>
              <w:left w:w="0" w:type="dxa"/>
              <w:bottom w:w="0" w:type="dxa"/>
              <w:right w:w="0" w:type="dxa"/>
            </w:tcMar>
            <w:vAlign w:val="center"/>
          </w:tcPr>
          <w:p w14:paraId="405C7267" w14:textId="77777777" w:rsidR="00FB1D97" w:rsidRDefault="00FB1D97">
            <w:pPr>
              <w:widowControl w:val="0"/>
              <w:jc w:val="center"/>
              <w:rPr>
                <w:rFonts w:ascii="Arial" w:eastAsia="Arial" w:hAnsi="Arial" w:cs="Arial"/>
                <w:highlight w:val="white"/>
              </w:rPr>
            </w:pPr>
          </w:p>
        </w:tc>
        <w:tc>
          <w:tcPr>
            <w:tcW w:w="1320" w:type="dxa"/>
            <w:tcBorders>
              <w:left w:val="single" w:sz="8" w:space="0" w:color="FFFFFF"/>
              <w:right w:val="single" w:sz="8" w:space="0" w:color="FFFFFF"/>
            </w:tcBorders>
            <w:tcMar>
              <w:top w:w="0" w:type="dxa"/>
              <w:left w:w="0" w:type="dxa"/>
              <w:bottom w:w="0" w:type="dxa"/>
              <w:right w:w="0" w:type="dxa"/>
            </w:tcMar>
            <w:vAlign w:val="center"/>
          </w:tcPr>
          <w:p w14:paraId="359DB1C2" w14:textId="77777777" w:rsidR="00FB1D97" w:rsidRDefault="00FB1D97">
            <w:pPr>
              <w:widowControl w:val="0"/>
              <w:rPr>
                <w:rFonts w:ascii="Arial" w:eastAsia="Arial" w:hAnsi="Arial" w:cs="Arial"/>
                <w:b/>
                <w:bCs/>
                <w:highlight w:val="white"/>
              </w:rPr>
            </w:pPr>
          </w:p>
        </w:tc>
        <w:tc>
          <w:tcPr>
            <w:tcW w:w="2265" w:type="dxa"/>
            <w:tcBorders>
              <w:left w:val="single" w:sz="8" w:space="0" w:color="FFFFFF"/>
              <w:right w:val="single" w:sz="8" w:space="0" w:color="FFFFFF"/>
            </w:tcBorders>
            <w:tcMar>
              <w:top w:w="0" w:type="dxa"/>
              <w:left w:w="0" w:type="dxa"/>
              <w:bottom w:w="0" w:type="dxa"/>
              <w:right w:w="0" w:type="dxa"/>
            </w:tcMar>
            <w:vAlign w:val="center"/>
          </w:tcPr>
          <w:p w14:paraId="7DB93F3B"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Mean 3.24/5</w:t>
            </w:r>
          </w:p>
        </w:tc>
      </w:tr>
    </w:tbl>
    <w:p w14:paraId="2BBD07E9" w14:textId="77777777" w:rsidR="00FB1D97" w:rsidRDefault="00DC7A6B">
      <w:pPr>
        <w:jc w:val="both"/>
        <w:rPr>
          <w:rFonts w:ascii="Arial" w:eastAsia="Arial" w:hAnsi="Arial" w:cs="Arial"/>
          <w:b/>
          <w:bCs/>
        </w:rPr>
      </w:pPr>
      <w:r>
        <w:rPr>
          <w:rFonts w:ascii="Arial" w:eastAsia="Arial" w:hAnsi="Arial" w:cs="Arial"/>
          <w:b/>
          <w:bCs/>
        </w:rPr>
        <w:lastRenderedPageBreak/>
        <w:t xml:space="preserve">Table </w:t>
      </w:r>
      <w:r w:rsidR="0032786F">
        <w:rPr>
          <w:rFonts w:ascii="Arial" w:eastAsia="Arial" w:hAnsi="Arial" w:cs="Arial"/>
          <w:b/>
          <w:bCs/>
        </w:rPr>
        <w:t>7</w:t>
      </w:r>
      <w:r>
        <w:rPr>
          <w:rFonts w:ascii="Arial" w:eastAsia="Arial" w:hAnsi="Arial" w:cs="Arial"/>
          <w:b/>
          <w:bCs/>
        </w:rPr>
        <w:t>. Level of intent of nursing students in learning sign language in terms of Perceived Communication-Related Barriers</w:t>
      </w:r>
    </w:p>
    <w:p w14:paraId="0DE54213" w14:textId="77777777" w:rsidR="00FB1D97" w:rsidRDefault="00FB1D97">
      <w:pPr>
        <w:jc w:val="both"/>
        <w:rPr>
          <w:rFonts w:ascii="Arial" w:eastAsia="Arial" w:hAnsi="Arial" w:cs="Arial"/>
          <w:b/>
          <w:bCs/>
        </w:rPr>
      </w:pPr>
    </w:p>
    <w:tbl>
      <w:tblPr>
        <w:tblStyle w:val="a6"/>
        <w:tblW w:w="876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6"/>
        <w:gridCol w:w="1319"/>
        <w:gridCol w:w="1319"/>
        <w:gridCol w:w="986"/>
      </w:tblGrid>
      <w:tr w:rsidR="00FB1D97" w14:paraId="03CCD28D" w14:textId="77777777">
        <w:tc>
          <w:tcPr>
            <w:tcW w:w="513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2F2490DF"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Items</w:t>
            </w:r>
          </w:p>
        </w:tc>
        <w:tc>
          <w:tcPr>
            <w:tcW w:w="1319"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28D676CE" w14:textId="77777777" w:rsidR="00FB1D97" w:rsidRDefault="00FB1D97">
            <w:pPr>
              <w:widowControl w:val="0"/>
              <w:jc w:val="center"/>
              <w:rPr>
                <w:rFonts w:ascii="Arial" w:eastAsia="Arial" w:hAnsi="Arial" w:cs="Arial"/>
                <w:highlight w:val="white"/>
              </w:rPr>
            </w:pPr>
          </w:p>
        </w:tc>
        <w:tc>
          <w:tcPr>
            <w:tcW w:w="1319"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469894BA"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w:t>
            </w:r>
          </w:p>
        </w:tc>
        <w:tc>
          <w:tcPr>
            <w:tcW w:w="986"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668E7FE1"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Description</w:t>
            </w:r>
          </w:p>
        </w:tc>
      </w:tr>
      <w:tr w:rsidR="00FB1D97" w14:paraId="26DC5C99" w14:textId="77777777">
        <w:trPr>
          <w:trHeight w:val="375"/>
        </w:trPr>
        <w:tc>
          <w:tcPr>
            <w:tcW w:w="513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63B62FB5" w14:textId="77777777" w:rsidR="00FB1D97" w:rsidRDefault="00DC7A6B">
            <w:pPr>
              <w:spacing w:line="276" w:lineRule="auto"/>
              <w:ind w:right="60"/>
              <w:rPr>
                <w:rFonts w:ascii="Arial" w:eastAsia="Arial" w:hAnsi="Arial" w:cs="Arial"/>
              </w:rPr>
            </w:pPr>
            <w:r>
              <w:rPr>
                <w:rFonts w:ascii="Arial" w:eastAsia="Arial" w:hAnsi="Arial" w:cs="Arial"/>
              </w:rPr>
              <w:t>I think communicating with Deaf people would be very hard for me</w:t>
            </w: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5F510D57" w14:textId="77777777" w:rsidR="00FB1D97" w:rsidRDefault="00FB1D97">
            <w:pPr>
              <w:widowControl w:val="0"/>
              <w:jc w:val="center"/>
              <w:rPr>
                <w:rFonts w:ascii="Arial" w:eastAsia="Arial" w:hAnsi="Arial" w:cs="Arial"/>
                <w:highlight w:val="white"/>
              </w:rPr>
            </w:pP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4379B399"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68.6%</w:t>
            </w:r>
          </w:p>
        </w:tc>
        <w:tc>
          <w:tcPr>
            <w:tcW w:w="986"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2EEBCB20"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Neutral Attitude</w:t>
            </w:r>
          </w:p>
        </w:tc>
      </w:tr>
      <w:tr w:rsidR="00FB1D97" w14:paraId="7F1CE9FE" w14:textId="77777777">
        <w:trPr>
          <w:trHeight w:val="345"/>
        </w:trPr>
        <w:tc>
          <w:tcPr>
            <w:tcW w:w="5135"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6ED9287B" w14:textId="77777777" w:rsidR="00FB1D97" w:rsidRDefault="00DC7A6B">
            <w:pPr>
              <w:spacing w:line="276" w:lineRule="auto"/>
              <w:ind w:right="60"/>
              <w:rPr>
                <w:rFonts w:ascii="Arial" w:eastAsia="Arial" w:hAnsi="Arial" w:cs="Arial"/>
              </w:rPr>
            </w:pPr>
            <w:r>
              <w:rPr>
                <w:rFonts w:ascii="Arial" w:eastAsia="Arial" w:hAnsi="Arial" w:cs="Arial"/>
              </w:rPr>
              <w:t>Communicating with Deaf people would make me very nervous</w:t>
            </w: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1BF2DACA" w14:textId="77777777" w:rsidR="00FB1D97" w:rsidRDefault="00FB1D97">
            <w:pPr>
              <w:spacing w:line="276" w:lineRule="auto"/>
              <w:ind w:left="60" w:right="60"/>
              <w:jc w:val="center"/>
              <w:rPr>
                <w:rFonts w:ascii="Arial" w:eastAsia="Arial" w:hAnsi="Arial" w:cs="Arial"/>
              </w:rPr>
            </w:pPr>
          </w:p>
        </w:tc>
        <w:tc>
          <w:tcPr>
            <w:tcW w:w="1319"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4EC044A2" w14:textId="77777777" w:rsidR="00FB1D97" w:rsidRDefault="00DC7A6B">
            <w:pPr>
              <w:spacing w:line="276" w:lineRule="auto"/>
              <w:ind w:left="60" w:right="60"/>
              <w:jc w:val="center"/>
              <w:rPr>
                <w:rFonts w:ascii="Arial" w:eastAsia="Arial" w:hAnsi="Arial" w:cs="Arial"/>
              </w:rPr>
            </w:pPr>
            <w:r>
              <w:rPr>
                <w:rFonts w:ascii="Arial" w:eastAsia="Arial" w:hAnsi="Arial" w:cs="Arial"/>
              </w:rPr>
              <w:t>64.4%</w:t>
            </w:r>
          </w:p>
        </w:tc>
        <w:tc>
          <w:tcPr>
            <w:tcW w:w="986"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4115DF1B"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Neutral Attitude</w:t>
            </w:r>
          </w:p>
        </w:tc>
      </w:tr>
      <w:tr w:rsidR="00FB1D97" w14:paraId="23FDF301" w14:textId="77777777">
        <w:trPr>
          <w:trHeight w:val="260"/>
        </w:trPr>
        <w:tc>
          <w:tcPr>
            <w:tcW w:w="5135"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1349B7A7" w14:textId="77777777" w:rsidR="00FB1D97" w:rsidRDefault="00DC7A6B">
            <w:pPr>
              <w:spacing w:line="276" w:lineRule="auto"/>
              <w:ind w:right="60"/>
              <w:rPr>
                <w:rFonts w:ascii="Arial" w:eastAsia="Arial" w:hAnsi="Arial" w:cs="Arial"/>
              </w:rPr>
            </w:pPr>
            <w:r>
              <w:rPr>
                <w:rFonts w:ascii="Arial" w:eastAsia="Arial" w:hAnsi="Arial" w:cs="Arial"/>
              </w:rPr>
              <w:t>I have no confidence in communicating with Deaf people</w:t>
            </w:r>
          </w:p>
        </w:tc>
        <w:tc>
          <w:tcPr>
            <w:tcW w:w="1319"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0E17373F" w14:textId="77777777" w:rsidR="00FB1D97" w:rsidRDefault="00FB1D97">
            <w:pPr>
              <w:widowControl w:val="0"/>
              <w:jc w:val="center"/>
              <w:rPr>
                <w:rFonts w:ascii="Arial" w:eastAsia="Arial" w:hAnsi="Arial" w:cs="Arial"/>
                <w:highlight w:val="white"/>
              </w:rPr>
            </w:pPr>
          </w:p>
        </w:tc>
        <w:tc>
          <w:tcPr>
            <w:tcW w:w="1319"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2BAF1A7E"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61.6%</w:t>
            </w:r>
          </w:p>
        </w:tc>
        <w:tc>
          <w:tcPr>
            <w:tcW w:w="986"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77982CDC"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Neutral Attitude</w:t>
            </w:r>
          </w:p>
        </w:tc>
      </w:tr>
      <w:tr w:rsidR="00FB1D97" w14:paraId="7E808B08" w14:textId="77777777">
        <w:trPr>
          <w:trHeight w:val="440"/>
        </w:trPr>
        <w:tc>
          <w:tcPr>
            <w:tcW w:w="5135" w:type="dxa"/>
            <w:tcBorders>
              <w:left w:val="single" w:sz="8" w:space="0" w:color="FFFFFF"/>
              <w:right w:val="single" w:sz="8" w:space="0" w:color="FFFFFF"/>
            </w:tcBorders>
            <w:tcMar>
              <w:top w:w="0" w:type="dxa"/>
              <w:left w:w="0" w:type="dxa"/>
              <w:bottom w:w="0" w:type="dxa"/>
              <w:right w:w="0" w:type="dxa"/>
            </w:tcMar>
            <w:vAlign w:val="center"/>
          </w:tcPr>
          <w:p w14:paraId="6060233C" w14:textId="77777777" w:rsidR="00FB1D97" w:rsidRDefault="00FB1D97">
            <w:pPr>
              <w:widowControl w:val="0"/>
              <w:jc w:val="center"/>
              <w:rPr>
                <w:rFonts w:ascii="Arial" w:eastAsia="Arial" w:hAnsi="Arial" w:cs="Arial"/>
                <w:highlight w:val="white"/>
              </w:rPr>
            </w:pPr>
          </w:p>
        </w:tc>
        <w:tc>
          <w:tcPr>
            <w:tcW w:w="1319" w:type="dxa"/>
            <w:tcBorders>
              <w:left w:val="single" w:sz="8" w:space="0" w:color="FFFFFF"/>
              <w:right w:val="single" w:sz="8" w:space="0" w:color="FFFFFF"/>
            </w:tcBorders>
            <w:tcMar>
              <w:top w:w="0" w:type="dxa"/>
              <w:left w:w="0" w:type="dxa"/>
              <w:bottom w:w="0" w:type="dxa"/>
              <w:right w:w="0" w:type="dxa"/>
            </w:tcMar>
            <w:vAlign w:val="center"/>
          </w:tcPr>
          <w:p w14:paraId="6334A5A3" w14:textId="77777777" w:rsidR="00FB1D97" w:rsidRDefault="00FB1D97">
            <w:pPr>
              <w:widowControl w:val="0"/>
              <w:rPr>
                <w:rFonts w:ascii="Arial" w:eastAsia="Arial" w:hAnsi="Arial" w:cs="Arial"/>
                <w:b/>
                <w:bCs/>
                <w:highlight w:val="white"/>
              </w:rPr>
            </w:pPr>
          </w:p>
        </w:tc>
        <w:tc>
          <w:tcPr>
            <w:tcW w:w="1319" w:type="dxa"/>
            <w:tcBorders>
              <w:left w:val="single" w:sz="8" w:space="0" w:color="FFFFFF"/>
              <w:right w:val="single" w:sz="8" w:space="0" w:color="FFFFFF"/>
            </w:tcBorders>
            <w:tcMar>
              <w:top w:w="0" w:type="dxa"/>
              <w:left w:w="0" w:type="dxa"/>
              <w:bottom w:w="0" w:type="dxa"/>
              <w:right w:w="0" w:type="dxa"/>
            </w:tcMar>
            <w:vAlign w:val="center"/>
          </w:tcPr>
          <w:p w14:paraId="75C34D2E" w14:textId="77777777" w:rsidR="00FB1D97" w:rsidRDefault="00DC7A6B">
            <w:pPr>
              <w:widowControl w:val="0"/>
              <w:rPr>
                <w:rFonts w:ascii="Arial" w:eastAsia="Arial" w:hAnsi="Arial" w:cs="Arial"/>
                <w:highlight w:val="white"/>
              </w:rPr>
            </w:pPr>
            <w:r>
              <w:rPr>
                <w:rFonts w:ascii="Arial" w:eastAsia="Arial" w:hAnsi="Arial" w:cs="Arial"/>
                <w:highlight w:val="white"/>
              </w:rPr>
              <w:t xml:space="preserve">      64.8%</w:t>
            </w:r>
          </w:p>
        </w:tc>
        <w:tc>
          <w:tcPr>
            <w:tcW w:w="986" w:type="dxa"/>
            <w:tcBorders>
              <w:left w:val="single" w:sz="8" w:space="0" w:color="FFFFFF"/>
              <w:right w:val="single" w:sz="8" w:space="0" w:color="FFFFFF"/>
            </w:tcBorders>
            <w:tcMar>
              <w:top w:w="0" w:type="dxa"/>
              <w:left w:w="0" w:type="dxa"/>
              <w:bottom w:w="0" w:type="dxa"/>
              <w:right w:w="0" w:type="dxa"/>
            </w:tcMar>
            <w:vAlign w:val="center"/>
          </w:tcPr>
          <w:p w14:paraId="6074DE49"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Neutral Attitude</w:t>
            </w:r>
          </w:p>
        </w:tc>
      </w:tr>
    </w:tbl>
    <w:p w14:paraId="24629D0E" w14:textId="77777777" w:rsidR="00FB1D97" w:rsidRDefault="00DC7A6B">
      <w:pPr>
        <w:spacing w:after="200"/>
        <w:jc w:val="both"/>
        <w:rPr>
          <w:rFonts w:ascii="Times New Roman" w:eastAsia="Times New Roman" w:hAnsi="Times New Roman" w:cs="Times New Roman"/>
          <w:b/>
          <w:bCs/>
          <w:sz w:val="24"/>
          <w:szCs w:val="24"/>
          <w:highlight w:val="white"/>
        </w:rPr>
      </w:pPr>
      <w:r>
        <w:rPr>
          <w:rFonts w:ascii="Arial" w:eastAsia="Arial" w:hAnsi="Arial" w:cs="Arial"/>
          <w:i/>
          <w:iCs/>
        </w:rPr>
        <w:t>Legend: Negative Attitude (below 50%), Neutral Attitude (50%-75%), Positive Attitude (above 75%)</w:t>
      </w:r>
    </w:p>
    <w:tbl>
      <w:tblPr>
        <w:tblStyle w:val="a7"/>
        <w:tblW w:w="4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490"/>
      </w:tblGrid>
      <w:tr w:rsidR="00FB1D97" w14:paraId="021D611B" w14:textId="77777777">
        <w:trPr>
          <w:trHeight w:val="431"/>
        </w:trPr>
        <w:tc>
          <w:tcPr>
            <w:tcW w:w="1755" w:type="dxa"/>
            <w:tcMar>
              <w:top w:w="100" w:type="dxa"/>
              <w:left w:w="100" w:type="dxa"/>
              <w:bottom w:w="100" w:type="dxa"/>
              <w:right w:w="100" w:type="dxa"/>
            </w:tcMar>
          </w:tcPr>
          <w:p w14:paraId="762FF255" w14:textId="77777777" w:rsidR="00FB1D97" w:rsidRDefault="00FB1D97">
            <w:pPr>
              <w:widowControl w:val="0"/>
              <w:rPr>
                <w:rFonts w:ascii="Times New Roman" w:eastAsia="Times New Roman" w:hAnsi="Times New Roman" w:cs="Times New Roman"/>
                <w:sz w:val="18"/>
                <w:szCs w:val="18"/>
              </w:rPr>
            </w:pPr>
          </w:p>
        </w:tc>
        <w:tc>
          <w:tcPr>
            <w:tcW w:w="2490" w:type="dxa"/>
            <w:tcMar>
              <w:top w:w="100" w:type="dxa"/>
              <w:left w:w="100" w:type="dxa"/>
              <w:bottom w:w="100" w:type="dxa"/>
              <w:right w:w="100" w:type="dxa"/>
            </w:tcMar>
          </w:tcPr>
          <w:p w14:paraId="28709553" w14:textId="77777777" w:rsidR="00FB1D97" w:rsidRDefault="00FB1D97">
            <w:pPr>
              <w:widowControl w:val="0"/>
              <w:rPr>
                <w:rFonts w:ascii="Times New Roman" w:eastAsia="Times New Roman" w:hAnsi="Times New Roman" w:cs="Times New Roman"/>
                <w:sz w:val="18"/>
                <w:szCs w:val="18"/>
              </w:rPr>
            </w:pPr>
          </w:p>
        </w:tc>
      </w:tr>
      <w:tr w:rsidR="00FB1D97" w14:paraId="40577ECD" w14:textId="77777777">
        <w:tc>
          <w:tcPr>
            <w:tcW w:w="1755" w:type="dxa"/>
            <w:tcMar>
              <w:top w:w="100" w:type="dxa"/>
              <w:left w:w="100" w:type="dxa"/>
              <w:bottom w:w="100" w:type="dxa"/>
              <w:right w:w="100" w:type="dxa"/>
            </w:tcMar>
          </w:tcPr>
          <w:p w14:paraId="3C22F504" w14:textId="77777777"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Percentage</w:t>
            </w:r>
          </w:p>
        </w:tc>
        <w:tc>
          <w:tcPr>
            <w:tcW w:w="2490" w:type="dxa"/>
            <w:tcMar>
              <w:top w:w="100" w:type="dxa"/>
              <w:left w:w="100" w:type="dxa"/>
              <w:bottom w:w="100" w:type="dxa"/>
              <w:right w:w="100" w:type="dxa"/>
            </w:tcMar>
          </w:tcPr>
          <w:p w14:paraId="241E7ABE" w14:textId="77777777"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Interpretation</w:t>
            </w:r>
          </w:p>
        </w:tc>
      </w:tr>
      <w:tr w:rsidR="00FB1D97" w14:paraId="4367F4FC" w14:textId="77777777">
        <w:tc>
          <w:tcPr>
            <w:tcW w:w="1755" w:type="dxa"/>
            <w:tcMar>
              <w:top w:w="100" w:type="dxa"/>
              <w:left w:w="100" w:type="dxa"/>
              <w:bottom w:w="100" w:type="dxa"/>
              <w:right w:w="100" w:type="dxa"/>
            </w:tcMar>
          </w:tcPr>
          <w:p w14:paraId="77A845A7" w14:textId="77777777"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Below 50%</w:t>
            </w:r>
          </w:p>
        </w:tc>
        <w:tc>
          <w:tcPr>
            <w:tcW w:w="2490" w:type="dxa"/>
            <w:tcMar>
              <w:top w:w="100" w:type="dxa"/>
              <w:left w:w="100" w:type="dxa"/>
              <w:bottom w:w="100" w:type="dxa"/>
              <w:right w:w="100" w:type="dxa"/>
            </w:tcMar>
          </w:tcPr>
          <w:p w14:paraId="0D8506F1" w14:textId="77777777"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Negative Attitude</w:t>
            </w:r>
          </w:p>
        </w:tc>
      </w:tr>
      <w:tr w:rsidR="00FB1D97" w14:paraId="3345B391" w14:textId="77777777">
        <w:tc>
          <w:tcPr>
            <w:tcW w:w="1755" w:type="dxa"/>
            <w:tcMar>
              <w:top w:w="100" w:type="dxa"/>
              <w:left w:w="100" w:type="dxa"/>
              <w:bottom w:w="100" w:type="dxa"/>
              <w:right w:w="100" w:type="dxa"/>
            </w:tcMar>
          </w:tcPr>
          <w:p w14:paraId="062E528C" w14:textId="77777777"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50%-70%</w:t>
            </w:r>
          </w:p>
        </w:tc>
        <w:tc>
          <w:tcPr>
            <w:tcW w:w="2490" w:type="dxa"/>
            <w:tcMar>
              <w:top w:w="100" w:type="dxa"/>
              <w:left w:w="100" w:type="dxa"/>
              <w:bottom w:w="100" w:type="dxa"/>
              <w:right w:w="100" w:type="dxa"/>
            </w:tcMar>
          </w:tcPr>
          <w:p w14:paraId="3A218706" w14:textId="77777777"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Neutral Attitude</w:t>
            </w:r>
          </w:p>
        </w:tc>
      </w:tr>
      <w:tr w:rsidR="00FB1D97" w14:paraId="65F70B3B" w14:textId="77777777">
        <w:tc>
          <w:tcPr>
            <w:tcW w:w="1755" w:type="dxa"/>
            <w:tcMar>
              <w:top w:w="100" w:type="dxa"/>
              <w:left w:w="100" w:type="dxa"/>
              <w:bottom w:w="100" w:type="dxa"/>
              <w:right w:w="100" w:type="dxa"/>
            </w:tcMar>
          </w:tcPr>
          <w:p w14:paraId="140698F8" w14:textId="77777777"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Above 75%</w:t>
            </w:r>
          </w:p>
        </w:tc>
        <w:tc>
          <w:tcPr>
            <w:tcW w:w="2490" w:type="dxa"/>
            <w:tcMar>
              <w:top w:w="100" w:type="dxa"/>
              <w:left w:w="100" w:type="dxa"/>
              <w:bottom w:w="100" w:type="dxa"/>
              <w:right w:w="100" w:type="dxa"/>
            </w:tcMar>
          </w:tcPr>
          <w:p w14:paraId="5C272D05" w14:textId="77777777" w:rsidR="00FB1D97" w:rsidRDefault="00DC7A6B">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Positive </w:t>
            </w:r>
            <w:proofErr w:type="spellStart"/>
            <w:r>
              <w:rPr>
                <w:rFonts w:ascii="Times New Roman" w:eastAsia="Times New Roman" w:hAnsi="Times New Roman" w:cs="Times New Roman"/>
                <w:sz w:val="18"/>
                <w:szCs w:val="18"/>
              </w:rPr>
              <w:t>Attit</w:t>
            </w:r>
            <w:proofErr w:type="spellEnd"/>
            <w:r>
              <w:rPr>
                <w:rFonts w:ascii="Times New Roman" w:eastAsia="Times New Roman" w:hAnsi="Times New Roman" w:cs="Times New Roman"/>
                <w:sz w:val="18"/>
                <w:szCs w:val="18"/>
              </w:rPr>
              <w:t>\</w:t>
            </w:r>
            <w:proofErr w:type="spellStart"/>
            <w:r>
              <w:rPr>
                <w:rFonts w:ascii="Times New Roman" w:eastAsia="Times New Roman" w:hAnsi="Times New Roman" w:cs="Times New Roman"/>
                <w:sz w:val="18"/>
                <w:szCs w:val="18"/>
              </w:rPr>
              <w:t>ude</w:t>
            </w:r>
            <w:proofErr w:type="spellEnd"/>
          </w:p>
        </w:tc>
      </w:tr>
    </w:tbl>
    <w:p w14:paraId="5176BE49" w14:textId="77777777" w:rsidR="00FB1D97" w:rsidRDefault="00FB1D97">
      <w:pPr>
        <w:jc w:val="both"/>
        <w:rPr>
          <w:rFonts w:ascii="Arial" w:eastAsia="Arial" w:hAnsi="Arial" w:cs="Arial"/>
          <w:b/>
          <w:bCs/>
          <w:sz w:val="18"/>
          <w:szCs w:val="18"/>
        </w:rPr>
      </w:pPr>
    </w:p>
    <w:p w14:paraId="536EC6EB" w14:textId="77777777" w:rsidR="00FB1D97" w:rsidRDefault="00DC7A6B">
      <w:pPr>
        <w:jc w:val="both"/>
        <w:rPr>
          <w:rFonts w:ascii="Arial" w:eastAsia="Arial" w:hAnsi="Arial" w:cs="Arial"/>
          <w:b/>
          <w:bCs/>
        </w:rPr>
      </w:pPr>
      <w:r>
        <w:rPr>
          <w:rFonts w:ascii="Arial" w:eastAsia="Arial" w:hAnsi="Arial" w:cs="Arial"/>
          <w:b/>
          <w:bCs/>
        </w:rPr>
        <w:t>3.3. Nursing Students’ Intent to Learn Sign Language</w:t>
      </w:r>
    </w:p>
    <w:p w14:paraId="5BD1FB63" w14:textId="77777777" w:rsidR="00FB1D97" w:rsidRDefault="00FB1D97">
      <w:pPr>
        <w:jc w:val="both"/>
        <w:rPr>
          <w:rFonts w:ascii="Arial" w:eastAsia="Arial" w:hAnsi="Arial" w:cs="Arial"/>
          <w:b/>
          <w:bCs/>
        </w:rPr>
      </w:pPr>
    </w:p>
    <w:p w14:paraId="21A5F2E3" w14:textId="77777777" w:rsidR="00FB1D97" w:rsidRDefault="00DC7A6B">
      <w:pPr>
        <w:jc w:val="both"/>
        <w:rPr>
          <w:rFonts w:ascii="Arial" w:eastAsia="Arial" w:hAnsi="Arial" w:cs="Arial"/>
        </w:rPr>
      </w:pPr>
      <w:r>
        <w:rPr>
          <w:rFonts w:ascii="Arial" w:eastAsia="Arial" w:hAnsi="Arial" w:cs="Arial"/>
        </w:rPr>
        <w:t xml:space="preserve">The study examined the level of intent of nursing students in learning sign language. As presented in Table </w:t>
      </w:r>
      <w:r w:rsidR="0032786F">
        <w:rPr>
          <w:rFonts w:ascii="Arial" w:eastAsia="Arial" w:hAnsi="Arial" w:cs="Arial"/>
        </w:rPr>
        <w:t>8</w:t>
      </w:r>
      <w:r>
        <w:rPr>
          <w:rFonts w:ascii="Arial" w:eastAsia="Arial" w:hAnsi="Arial" w:cs="Arial"/>
        </w:rPr>
        <w:t xml:space="preserve">, the findings revealed a high level of intent, with an overall mean score of 3.96. All indicators were consistently rated high, reflecting a strong internal motivation among nursing students to acquire sign language skills. The highest-rated item was students’ motivation to learn sign language for future nursing practice (M = 4.08), while the lowest-rated item was their intention to practice sign language daily to improve their skills (M = 3.86), although it still fell within the high range. These findings indicate that nursing students demonstrate a strong willingness to learn sign language, particularly in relation to its relevance to their future profession. </w:t>
      </w:r>
    </w:p>
    <w:p w14:paraId="7663B3D8" w14:textId="77777777" w:rsidR="00FB1D97" w:rsidRDefault="00DC7A6B">
      <w:pPr>
        <w:jc w:val="both"/>
        <w:rPr>
          <w:rFonts w:ascii="Arial" w:eastAsia="Arial" w:hAnsi="Arial" w:cs="Arial"/>
        </w:rPr>
      </w:pPr>
      <w:r>
        <w:rPr>
          <w:rFonts w:ascii="Arial" w:eastAsia="Arial" w:hAnsi="Arial" w:cs="Arial"/>
        </w:rPr>
        <w:t xml:space="preserve">The results suggest that students recognize the importance of sign language in enhancing patient care, promoting inclusivity, and improving communication with hearing-impaired individuals. Despite slightly lower engagement in daily practice, the consistently high ratings across all items indicate that students maintain a positive and proactive attitude toward learning sign language as part of their professional development. </w:t>
      </w:r>
    </w:p>
    <w:p w14:paraId="69F76D50" w14:textId="77777777" w:rsidR="00FB1D97" w:rsidRDefault="00DC7A6B">
      <w:pPr>
        <w:jc w:val="both"/>
        <w:rPr>
          <w:rFonts w:ascii="Arial" w:eastAsia="Arial" w:hAnsi="Arial" w:cs="Arial"/>
        </w:rPr>
      </w:pPr>
      <w:r>
        <w:rPr>
          <w:rFonts w:ascii="Arial" w:eastAsia="Arial" w:hAnsi="Arial" w:cs="Arial"/>
        </w:rPr>
        <w:t xml:space="preserve">These findings are consistent with Opoku et al. (2025), who reported that nursing students acknowledge the value of sign language in improving healthcare delivery and fostering inclusive communication practices. This further supports the notion that students are motivated not only by professional requirements but also by the broader goal of providing equitable and patient-centered care. </w:t>
      </w:r>
    </w:p>
    <w:p w14:paraId="54297C0A" w14:textId="77777777" w:rsidR="00FB1D97" w:rsidRDefault="00DC7A6B">
      <w:pPr>
        <w:jc w:val="both"/>
        <w:rPr>
          <w:rFonts w:ascii="Arial" w:eastAsia="Arial" w:hAnsi="Arial" w:cs="Arial"/>
        </w:rPr>
      </w:pPr>
      <w:r>
        <w:rPr>
          <w:rFonts w:ascii="Arial" w:eastAsia="Arial" w:hAnsi="Arial" w:cs="Arial"/>
        </w:rPr>
        <w:t xml:space="preserve">Overall, the results imply that nursing students possess a strong intent to learn sign language, driven by both professional relevance and the desire to enhance inclusivity in healthcare. This highlights the importance of integrating structured opportunities for skill development, such as </w:t>
      </w:r>
      <w:r>
        <w:rPr>
          <w:rFonts w:ascii="Arial" w:eastAsia="Arial" w:hAnsi="Arial" w:cs="Arial"/>
        </w:rPr>
        <w:lastRenderedPageBreak/>
        <w:t>practice-based learning and curriculum inclusion, to sustain and further strengthen students’ motivation.</w:t>
      </w:r>
    </w:p>
    <w:p w14:paraId="56886DA3" w14:textId="77777777" w:rsidR="00FB1D97" w:rsidRDefault="00FB1D97">
      <w:pPr>
        <w:keepNext/>
        <w:pBdr>
          <w:top w:val="nil"/>
          <w:left w:val="nil"/>
          <w:bottom w:val="nil"/>
          <w:right w:val="nil"/>
          <w:between w:val="nil"/>
        </w:pBdr>
        <w:jc w:val="both"/>
        <w:rPr>
          <w:rFonts w:ascii="Arial" w:eastAsia="Arial" w:hAnsi="Arial" w:cs="Arial"/>
          <w:b/>
          <w:bCs/>
          <w:smallCaps/>
          <w:sz w:val="22"/>
          <w:szCs w:val="22"/>
        </w:rPr>
      </w:pPr>
    </w:p>
    <w:p w14:paraId="4AE2F688" w14:textId="77777777" w:rsidR="00FB1D97" w:rsidRDefault="00DC7A6B">
      <w:pPr>
        <w:jc w:val="both"/>
        <w:rPr>
          <w:rFonts w:ascii="Arial" w:eastAsia="Arial" w:hAnsi="Arial" w:cs="Arial"/>
          <w:b/>
          <w:bCs/>
        </w:rPr>
      </w:pPr>
      <w:r>
        <w:rPr>
          <w:rFonts w:ascii="Arial" w:eastAsia="Arial" w:hAnsi="Arial" w:cs="Arial"/>
          <w:b/>
          <w:bCs/>
        </w:rPr>
        <w:t xml:space="preserve">Table </w:t>
      </w:r>
      <w:r w:rsidR="0032786F">
        <w:rPr>
          <w:rFonts w:ascii="Arial" w:eastAsia="Arial" w:hAnsi="Arial" w:cs="Arial"/>
          <w:b/>
          <w:bCs/>
        </w:rPr>
        <w:t>8</w:t>
      </w:r>
      <w:r>
        <w:rPr>
          <w:rFonts w:ascii="Arial" w:eastAsia="Arial" w:hAnsi="Arial" w:cs="Arial"/>
          <w:b/>
          <w:bCs/>
        </w:rPr>
        <w:t xml:space="preserve">. Level of intent of nursing students in learning sign language </w:t>
      </w:r>
    </w:p>
    <w:p w14:paraId="0018A3F7" w14:textId="77777777" w:rsidR="00FB1D97" w:rsidRDefault="00FB1D97">
      <w:pPr>
        <w:jc w:val="both"/>
        <w:rPr>
          <w:rFonts w:ascii="Times New Roman" w:eastAsia="Times New Roman" w:hAnsi="Times New Roman" w:cs="Times New Roman"/>
          <w:i/>
          <w:iCs/>
          <w:color w:val="010205"/>
          <w:sz w:val="24"/>
          <w:szCs w:val="24"/>
        </w:rPr>
      </w:pPr>
    </w:p>
    <w:tbl>
      <w:tblPr>
        <w:tblStyle w:val="a8"/>
        <w:tblW w:w="897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30"/>
        <w:gridCol w:w="1380"/>
        <w:gridCol w:w="1260"/>
      </w:tblGrid>
      <w:tr w:rsidR="00FB1D97" w14:paraId="7F553A5B" w14:textId="77777777">
        <w:tc>
          <w:tcPr>
            <w:tcW w:w="6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4C56E511"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Items</w:t>
            </w:r>
          </w:p>
        </w:tc>
        <w:tc>
          <w:tcPr>
            <w:tcW w:w="1380"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3C9E88B5"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Mean</w:t>
            </w:r>
          </w:p>
        </w:tc>
        <w:tc>
          <w:tcPr>
            <w:tcW w:w="1260"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28EF4C77"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Description</w:t>
            </w:r>
          </w:p>
        </w:tc>
      </w:tr>
      <w:tr w:rsidR="00FB1D97" w14:paraId="2995A500" w14:textId="77777777">
        <w:trPr>
          <w:trHeight w:val="375"/>
        </w:trPr>
        <w:tc>
          <w:tcPr>
            <w:tcW w:w="6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03ACC00E" w14:textId="77777777" w:rsidR="00FB1D97" w:rsidRDefault="00DC7A6B">
            <w:pPr>
              <w:tabs>
                <w:tab w:val="left" w:pos="1976"/>
              </w:tabs>
              <w:spacing w:line="276" w:lineRule="auto"/>
              <w:ind w:right="60"/>
              <w:rPr>
                <w:rFonts w:ascii="Arial" w:eastAsia="Arial" w:hAnsi="Arial" w:cs="Arial"/>
                <w:sz w:val="18"/>
                <w:szCs w:val="18"/>
                <w:highlight w:val="white"/>
              </w:rPr>
            </w:pPr>
            <w:r>
              <w:rPr>
                <w:rFonts w:ascii="Arial" w:eastAsia="Arial" w:hAnsi="Arial" w:cs="Arial"/>
                <w:sz w:val="18"/>
                <w:szCs w:val="18"/>
                <w:highlight w:val="white"/>
              </w:rPr>
              <w:t>I want to learn sign language during my nursing studies</w:t>
            </w:r>
          </w:p>
        </w:tc>
        <w:tc>
          <w:tcPr>
            <w:tcW w:w="138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15508A77" w14:textId="77777777" w:rsidR="00FB1D97" w:rsidRDefault="00DC7A6B">
            <w:pPr>
              <w:spacing w:line="276" w:lineRule="auto"/>
              <w:ind w:left="60" w:right="60"/>
              <w:jc w:val="center"/>
              <w:rPr>
                <w:rFonts w:ascii="Arial" w:eastAsia="Arial" w:hAnsi="Arial" w:cs="Arial"/>
                <w:sz w:val="18"/>
                <w:szCs w:val="18"/>
                <w:highlight w:val="white"/>
              </w:rPr>
            </w:pPr>
            <w:r>
              <w:rPr>
                <w:rFonts w:ascii="Arial" w:eastAsia="Arial" w:hAnsi="Arial" w:cs="Arial"/>
                <w:sz w:val="18"/>
                <w:szCs w:val="18"/>
              </w:rPr>
              <w:t>3.99</w:t>
            </w:r>
          </w:p>
        </w:tc>
        <w:tc>
          <w:tcPr>
            <w:tcW w:w="126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4DDCC59B"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FB1D97" w14:paraId="03739DDC" w14:textId="77777777">
        <w:trPr>
          <w:trHeight w:val="345"/>
        </w:trPr>
        <w:tc>
          <w:tcPr>
            <w:tcW w:w="63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CE7B4BC" w14:textId="77777777"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I am committed to actively participate in classes that teaches sign language</w:t>
            </w:r>
          </w:p>
        </w:tc>
        <w:tc>
          <w:tcPr>
            <w:tcW w:w="13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00D71EF"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3.95</w:t>
            </w:r>
          </w:p>
        </w:tc>
        <w:tc>
          <w:tcPr>
            <w:tcW w:w="12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ED88502"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FB1D97" w14:paraId="7AFAC91C" w14:textId="77777777">
        <w:trPr>
          <w:trHeight w:val="330"/>
        </w:trPr>
        <w:tc>
          <w:tcPr>
            <w:tcW w:w="63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57BA56A" w14:textId="77777777"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I intend to practice sign language daily to improve my skills</w:t>
            </w:r>
          </w:p>
        </w:tc>
        <w:tc>
          <w:tcPr>
            <w:tcW w:w="13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73859897"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3.86</w:t>
            </w:r>
          </w:p>
        </w:tc>
        <w:tc>
          <w:tcPr>
            <w:tcW w:w="12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673BC4D3"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FB1D97" w14:paraId="65234986" w14:textId="77777777">
        <w:trPr>
          <w:trHeight w:val="345"/>
        </w:trPr>
        <w:tc>
          <w:tcPr>
            <w:tcW w:w="633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02023E0C" w14:textId="77777777"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I am motivated to learn sign language so that I can use it in my future nursing practice</w:t>
            </w:r>
          </w:p>
        </w:tc>
        <w:tc>
          <w:tcPr>
            <w:tcW w:w="138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2B13040A"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4.08</w:t>
            </w:r>
          </w:p>
        </w:tc>
        <w:tc>
          <w:tcPr>
            <w:tcW w:w="1260"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vAlign w:val="center"/>
          </w:tcPr>
          <w:p w14:paraId="138EB786"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FB1D97" w14:paraId="4E8ABCB8" w14:textId="77777777">
        <w:trPr>
          <w:trHeight w:val="260"/>
        </w:trPr>
        <w:tc>
          <w:tcPr>
            <w:tcW w:w="6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15C87C37" w14:textId="77777777" w:rsidR="00FB1D97" w:rsidRDefault="00DC7A6B">
            <w:pPr>
              <w:spacing w:line="276" w:lineRule="auto"/>
              <w:ind w:right="60"/>
              <w:rPr>
                <w:rFonts w:ascii="Arial" w:eastAsia="Arial" w:hAnsi="Arial" w:cs="Arial"/>
                <w:sz w:val="18"/>
                <w:szCs w:val="18"/>
                <w:highlight w:val="white"/>
              </w:rPr>
            </w:pPr>
            <w:r>
              <w:rPr>
                <w:rFonts w:ascii="Arial" w:eastAsia="Arial" w:hAnsi="Arial" w:cs="Arial"/>
                <w:sz w:val="18"/>
                <w:szCs w:val="18"/>
              </w:rPr>
              <w:t>I am willing to dedicate my time so that I can learn sign language</w:t>
            </w:r>
          </w:p>
        </w:tc>
        <w:tc>
          <w:tcPr>
            <w:tcW w:w="138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4751F7FC"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3.91</w:t>
            </w:r>
          </w:p>
        </w:tc>
        <w:tc>
          <w:tcPr>
            <w:tcW w:w="126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2EA36C9E"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r w:rsidR="00FB1D97" w14:paraId="11A20D66" w14:textId="77777777">
        <w:trPr>
          <w:trHeight w:val="440"/>
        </w:trPr>
        <w:tc>
          <w:tcPr>
            <w:tcW w:w="6330" w:type="dxa"/>
            <w:tcBorders>
              <w:left w:val="single" w:sz="8" w:space="0" w:color="FFFFFF"/>
              <w:right w:val="single" w:sz="8" w:space="0" w:color="FFFFFF"/>
            </w:tcBorders>
            <w:tcMar>
              <w:top w:w="0" w:type="dxa"/>
              <w:left w:w="0" w:type="dxa"/>
              <w:bottom w:w="0" w:type="dxa"/>
              <w:right w:w="0" w:type="dxa"/>
            </w:tcMar>
            <w:vAlign w:val="center"/>
          </w:tcPr>
          <w:p w14:paraId="3B76B815" w14:textId="77777777" w:rsidR="00FB1D97" w:rsidRDefault="00FB1D97">
            <w:pPr>
              <w:widowControl w:val="0"/>
              <w:jc w:val="center"/>
              <w:rPr>
                <w:rFonts w:ascii="Arial" w:eastAsia="Arial" w:hAnsi="Arial" w:cs="Arial"/>
                <w:sz w:val="18"/>
                <w:szCs w:val="18"/>
                <w:highlight w:val="white"/>
              </w:rPr>
            </w:pPr>
          </w:p>
        </w:tc>
        <w:tc>
          <w:tcPr>
            <w:tcW w:w="1380" w:type="dxa"/>
            <w:tcBorders>
              <w:left w:val="single" w:sz="8" w:space="0" w:color="FFFFFF"/>
              <w:right w:val="single" w:sz="8" w:space="0" w:color="FFFFFF"/>
            </w:tcBorders>
            <w:tcMar>
              <w:top w:w="0" w:type="dxa"/>
              <w:left w:w="0" w:type="dxa"/>
              <w:bottom w:w="0" w:type="dxa"/>
              <w:right w:w="0" w:type="dxa"/>
            </w:tcMar>
            <w:vAlign w:val="center"/>
          </w:tcPr>
          <w:p w14:paraId="5480E448"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Mean 3.96/5</w:t>
            </w:r>
          </w:p>
        </w:tc>
        <w:tc>
          <w:tcPr>
            <w:tcW w:w="1260" w:type="dxa"/>
            <w:tcBorders>
              <w:left w:val="single" w:sz="8" w:space="0" w:color="FFFFFF"/>
              <w:right w:val="single" w:sz="8" w:space="0" w:color="FFFFFF"/>
            </w:tcBorders>
            <w:tcMar>
              <w:top w:w="0" w:type="dxa"/>
              <w:left w:w="0" w:type="dxa"/>
              <w:bottom w:w="0" w:type="dxa"/>
              <w:right w:w="0" w:type="dxa"/>
            </w:tcMar>
            <w:vAlign w:val="center"/>
          </w:tcPr>
          <w:p w14:paraId="6FC27226" w14:textId="77777777" w:rsidR="00FB1D97" w:rsidRDefault="00DC7A6B">
            <w:pPr>
              <w:widowControl w:val="0"/>
              <w:jc w:val="center"/>
              <w:rPr>
                <w:rFonts w:ascii="Arial" w:eastAsia="Arial" w:hAnsi="Arial" w:cs="Arial"/>
                <w:sz w:val="18"/>
                <w:szCs w:val="18"/>
                <w:highlight w:val="white"/>
              </w:rPr>
            </w:pPr>
            <w:r>
              <w:rPr>
                <w:rFonts w:ascii="Arial" w:eastAsia="Arial" w:hAnsi="Arial" w:cs="Arial"/>
                <w:sz w:val="18"/>
                <w:szCs w:val="18"/>
                <w:highlight w:val="white"/>
              </w:rPr>
              <w:t>High</w:t>
            </w:r>
          </w:p>
        </w:tc>
      </w:tr>
    </w:tbl>
    <w:p w14:paraId="10E8C39F" w14:textId="77777777" w:rsidR="00FB1D97" w:rsidRDefault="00FB1D97">
      <w:pPr>
        <w:spacing w:line="480" w:lineRule="auto"/>
        <w:jc w:val="both"/>
        <w:rPr>
          <w:rFonts w:ascii="Times New Roman" w:eastAsia="Times New Roman" w:hAnsi="Times New Roman" w:cs="Times New Roman"/>
          <w:i/>
          <w:iCs/>
          <w:sz w:val="18"/>
          <w:szCs w:val="18"/>
        </w:rPr>
      </w:pPr>
    </w:p>
    <w:tbl>
      <w:tblPr>
        <w:tblStyle w:val="a9"/>
        <w:tblW w:w="42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2490"/>
      </w:tblGrid>
      <w:tr w:rsidR="00FB1D97" w14:paraId="63ADED60" w14:textId="77777777">
        <w:trPr>
          <w:trHeight w:val="431"/>
        </w:trPr>
        <w:tc>
          <w:tcPr>
            <w:tcW w:w="1755" w:type="dxa"/>
            <w:tcMar>
              <w:top w:w="100" w:type="dxa"/>
              <w:left w:w="100" w:type="dxa"/>
              <w:bottom w:w="100" w:type="dxa"/>
              <w:right w:w="100" w:type="dxa"/>
            </w:tcMar>
          </w:tcPr>
          <w:p w14:paraId="4CA55BC4" w14:textId="77777777" w:rsidR="00FB1D97" w:rsidRDefault="00FB1D97">
            <w:pPr>
              <w:widowControl w:val="0"/>
              <w:rPr>
                <w:rFonts w:ascii="Arial" w:eastAsia="Arial" w:hAnsi="Arial" w:cs="Arial"/>
                <w:sz w:val="18"/>
                <w:szCs w:val="18"/>
              </w:rPr>
            </w:pPr>
          </w:p>
        </w:tc>
        <w:tc>
          <w:tcPr>
            <w:tcW w:w="2490" w:type="dxa"/>
            <w:tcMar>
              <w:top w:w="100" w:type="dxa"/>
              <w:left w:w="100" w:type="dxa"/>
              <w:bottom w:w="100" w:type="dxa"/>
              <w:right w:w="100" w:type="dxa"/>
            </w:tcMar>
          </w:tcPr>
          <w:p w14:paraId="7EBE4019" w14:textId="77777777" w:rsidR="00FB1D97" w:rsidRDefault="00FB1D97">
            <w:pPr>
              <w:widowControl w:val="0"/>
              <w:rPr>
                <w:rFonts w:ascii="Arial" w:eastAsia="Arial" w:hAnsi="Arial" w:cs="Arial"/>
                <w:sz w:val="18"/>
                <w:szCs w:val="18"/>
              </w:rPr>
            </w:pPr>
          </w:p>
        </w:tc>
      </w:tr>
      <w:tr w:rsidR="00FB1D97" w14:paraId="78F05F90" w14:textId="77777777">
        <w:tc>
          <w:tcPr>
            <w:tcW w:w="1755" w:type="dxa"/>
            <w:tcMar>
              <w:top w:w="100" w:type="dxa"/>
              <w:left w:w="100" w:type="dxa"/>
              <w:bottom w:w="100" w:type="dxa"/>
              <w:right w:w="100" w:type="dxa"/>
            </w:tcMar>
          </w:tcPr>
          <w:p w14:paraId="2278641A" w14:textId="77777777" w:rsidR="00FB1D97" w:rsidRDefault="00DC7A6B">
            <w:pPr>
              <w:widowControl w:val="0"/>
              <w:rPr>
                <w:rFonts w:ascii="Arial" w:eastAsia="Arial" w:hAnsi="Arial" w:cs="Arial"/>
                <w:sz w:val="18"/>
                <w:szCs w:val="18"/>
              </w:rPr>
            </w:pPr>
            <w:r>
              <w:rPr>
                <w:rFonts w:ascii="Arial" w:eastAsia="Arial" w:hAnsi="Arial" w:cs="Arial"/>
                <w:sz w:val="18"/>
                <w:szCs w:val="18"/>
              </w:rPr>
              <w:t>Mean</w:t>
            </w:r>
          </w:p>
        </w:tc>
        <w:tc>
          <w:tcPr>
            <w:tcW w:w="2490" w:type="dxa"/>
            <w:tcMar>
              <w:top w:w="100" w:type="dxa"/>
              <w:left w:w="100" w:type="dxa"/>
              <w:bottom w:w="100" w:type="dxa"/>
              <w:right w:w="100" w:type="dxa"/>
            </w:tcMar>
          </w:tcPr>
          <w:p w14:paraId="7FA50651" w14:textId="77777777" w:rsidR="00FB1D97" w:rsidRDefault="00DC7A6B">
            <w:pPr>
              <w:widowControl w:val="0"/>
              <w:rPr>
                <w:rFonts w:ascii="Arial" w:eastAsia="Arial" w:hAnsi="Arial" w:cs="Arial"/>
                <w:sz w:val="18"/>
                <w:szCs w:val="18"/>
              </w:rPr>
            </w:pPr>
            <w:r>
              <w:rPr>
                <w:rFonts w:ascii="Arial" w:eastAsia="Arial" w:hAnsi="Arial" w:cs="Arial"/>
                <w:sz w:val="18"/>
                <w:szCs w:val="18"/>
              </w:rPr>
              <w:t>Interpretation</w:t>
            </w:r>
          </w:p>
        </w:tc>
      </w:tr>
      <w:tr w:rsidR="00FB1D97" w14:paraId="1A132B39" w14:textId="77777777">
        <w:tc>
          <w:tcPr>
            <w:tcW w:w="1755" w:type="dxa"/>
            <w:tcMar>
              <w:top w:w="100" w:type="dxa"/>
              <w:left w:w="100" w:type="dxa"/>
              <w:bottom w:w="100" w:type="dxa"/>
              <w:right w:w="100" w:type="dxa"/>
            </w:tcMar>
          </w:tcPr>
          <w:p w14:paraId="388F072E" w14:textId="77777777" w:rsidR="00FB1D97" w:rsidRDefault="00DC7A6B">
            <w:pPr>
              <w:widowControl w:val="0"/>
              <w:rPr>
                <w:rFonts w:ascii="Arial" w:eastAsia="Arial" w:hAnsi="Arial" w:cs="Arial"/>
                <w:sz w:val="18"/>
                <w:szCs w:val="18"/>
              </w:rPr>
            </w:pPr>
            <w:r>
              <w:rPr>
                <w:rFonts w:ascii="Arial" w:eastAsia="Arial" w:hAnsi="Arial" w:cs="Arial"/>
                <w:sz w:val="18"/>
                <w:szCs w:val="18"/>
              </w:rPr>
              <w:t>1.00-2.33</w:t>
            </w:r>
          </w:p>
        </w:tc>
        <w:tc>
          <w:tcPr>
            <w:tcW w:w="2490" w:type="dxa"/>
            <w:tcMar>
              <w:top w:w="100" w:type="dxa"/>
              <w:left w:w="100" w:type="dxa"/>
              <w:bottom w:w="100" w:type="dxa"/>
              <w:right w:w="100" w:type="dxa"/>
            </w:tcMar>
          </w:tcPr>
          <w:p w14:paraId="621350E4" w14:textId="77777777" w:rsidR="00FB1D97" w:rsidRDefault="00DC7A6B">
            <w:pPr>
              <w:widowControl w:val="0"/>
              <w:rPr>
                <w:rFonts w:ascii="Arial" w:eastAsia="Arial" w:hAnsi="Arial" w:cs="Arial"/>
                <w:sz w:val="18"/>
                <w:szCs w:val="18"/>
              </w:rPr>
            </w:pPr>
            <w:r>
              <w:rPr>
                <w:rFonts w:ascii="Arial" w:eastAsia="Arial" w:hAnsi="Arial" w:cs="Arial"/>
                <w:sz w:val="18"/>
                <w:szCs w:val="18"/>
              </w:rPr>
              <w:t>Low</w:t>
            </w:r>
          </w:p>
        </w:tc>
      </w:tr>
      <w:tr w:rsidR="00FB1D97" w14:paraId="2E5D8820" w14:textId="77777777">
        <w:tc>
          <w:tcPr>
            <w:tcW w:w="1755" w:type="dxa"/>
            <w:tcMar>
              <w:top w:w="100" w:type="dxa"/>
              <w:left w:w="100" w:type="dxa"/>
              <w:bottom w:w="100" w:type="dxa"/>
              <w:right w:w="100" w:type="dxa"/>
            </w:tcMar>
          </w:tcPr>
          <w:p w14:paraId="6C6DEEDD" w14:textId="77777777" w:rsidR="00FB1D97" w:rsidRDefault="00DC7A6B">
            <w:pPr>
              <w:widowControl w:val="0"/>
              <w:rPr>
                <w:rFonts w:ascii="Arial" w:eastAsia="Arial" w:hAnsi="Arial" w:cs="Arial"/>
                <w:sz w:val="18"/>
                <w:szCs w:val="18"/>
              </w:rPr>
            </w:pPr>
            <w:r>
              <w:rPr>
                <w:rFonts w:ascii="Arial" w:eastAsia="Arial" w:hAnsi="Arial" w:cs="Arial"/>
                <w:sz w:val="18"/>
                <w:szCs w:val="18"/>
              </w:rPr>
              <w:t>2.34-3.66</w:t>
            </w:r>
          </w:p>
        </w:tc>
        <w:tc>
          <w:tcPr>
            <w:tcW w:w="2490" w:type="dxa"/>
            <w:tcMar>
              <w:top w:w="100" w:type="dxa"/>
              <w:left w:w="100" w:type="dxa"/>
              <w:bottom w:w="100" w:type="dxa"/>
              <w:right w:w="100" w:type="dxa"/>
            </w:tcMar>
          </w:tcPr>
          <w:p w14:paraId="50718739" w14:textId="77777777" w:rsidR="00FB1D97" w:rsidRDefault="00DC7A6B">
            <w:pPr>
              <w:widowControl w:val="0"/>
              <w:rPr>
                <w:rFonts w:ascii="Arial" w:eastAsia="Arial" w:hAnsi="Arial" w:cs="Arial"/>
                <w:sz w:val="18"/>
                <w:szCs w:val="18"/>
              </w:rPr>
            </w:pPr>
            <w:r>
              <w:rPr>
                <w:rFonts w:ascii="Arial" w:eastAsia="Arial" w:hAnsi="Arial" w:cs="Arial"/>
                <w:sz w:val="18"/>
                <w:szCs w:val="18"/>
              </w:rPr>
              <w:t>Average</w:t>
            </w:r>
          </w:p>
        </w:tc>
      </w:tr>
      <w:tr w:rsidR="00FB1D97" w14:paraId="77508BD7" w14:textId="77777777">
        <w:tc>
          <w:tcPr>
            <w:tcW w:w="1755" w:type="dxa"/>
            <w:tcMar>
              <w:top w:w="100" w:type="dxa"/>
              <w:left w:w="100" w:type="dxa"/>
              <w:bottom w:w="100" w:type="dxa"/>
              <w:right w:w="100" w:type="dxa"/>
            </w:tcMar>
          </w:tcPr>
          <w:p w14:paraId="553BF51D" w14:textId="77777777" w:rsidR="00FB1D97" w:rsidRDefault="00DC7A6B">
            <w:pPr>
              <w:widowControl w:val="0"/>
              <w:rPr>
                <w:rFonts w:ascii="Arial" w:eastAsia="Arial" w:hAnsi="Arial" w:cs="Arial"/>
                <w:sz w:val="18"/>
                <w:szCs w:val="18"/>
              </w:rPr>
            </w:pPr>
            <w:r>
              <w:rPr>
                <w:rFonts w:ascii="Arial" w:eastAsia="Arial" w:hAnsi="Arial" w:cs="Arial"/>
                <w:sz w:val="18"/>
                <w:szCs w:val="18"/>
              </w:rPr>
              <w:t xml:space="preserve">3.67-5.00                                                                                           </w:t>
            </w:r>
          </w:p>
        </w:tc>
        <w:tc>
          <w:tcPr>
            <w:tcW w:w="2490" w:type="dxa"/>
            <w:tcMar>
              <w:top w:w="100" w:type="dxa"/>
              <w:left w:w="100" w:type="dxa"/>
              <w:bottom w:w="100" w:type="dxa"/>
              <w:right w:w="100" w:type="dxa"/>
            </w:tcMar>
          </w:tcPr>
          <w:p w14:paraId="783729EE" w14:textId="77777777" w:rsidR="00FB1D97" w:rsidRDefault="00DC7A6B">
            <w:pPr>
              <w:widowControl w:val="0"/>
              <w:rPr>
                <w:rFonts w:ascii="Arial" w:eastAsia="Arial" w:hAnsi="Arial" w:cs="Arial"/>
                <w:sz w:val="18"/>
                <w:szCs w:val="18"/>
              </w:rPr>
            </w:pPr>
            <w:r>
              <w:rPr>
                <w:rFonts w:ascii="Arial" w:eastAsia="Arial" w:hAnsi="Arial" w:cs="Arial"/>
                <w:sz w:val="18"/>
                <w:szCs w:val="18"/>
              </w:rPr>
              <w:t>High</w:t>
            </w:r>
          </w:p>
        </w:tc>
      </w:tr>
    </w:tbl>
    <w:p w14:paraId="6811A506" w14:textId="77777777" w:rsidR="00FB1D97" w:rsidRDefault="00FB1D97">
      <w:pPr>
        <w:jc w:val="both"/>
        <w:rPr>
          <w:rFonts w:ascii="Arial" w:eastAsia="Arial" w:hAnsi="Arial" w:cs="Arial"/>
        </w:rPr>
      </w:pPr>
    </w:p>
    <w:p w14:paraId="07F4C301" w14:textId="77777777" w:rsidR="00FB1D97" w:rsidRDefault="00DC7A6B">
      <w:pPr>
        <w:jc w:val="both"/>
        <w:rPr>
          <w:rFonts w:ascii="Arial" w:eastAsia="Arial" w:hAnsi="Arial" w:cs="Arial"/>
          <w:b/>
          <w:bCs/>
        </w:rPr>
      </w:pPr>
      <w:commentRangeStart w:id="9"/>
      <w:r>
        <w:rPr>
          <w:rFonts w:ascii="Arial" w:eastAsia="Arial" w:hAnsi="Arial" w:cs="Arial"/>
          <w:b/>
          <w:bCs/>
        </w:rPr>
        <w:t xml:space="preserve">3.4. Relationship Between Perceived Interest and Intent to Learn Sign Language </w:t>
      </w:r>
    </w:p>
    <w:commentRangeEnd w:id="9"/>
    <w:p w14:paraId="53E9BF73" w14:textId="77777777" w:rsidR="00FB1D97" w:rsidRDefault="00F16F71">
      <w:pPr>
        <w:jc w:val="both"/>
        <w:rPr>
          <w:rFonts w:ascii="Arial" w:eastAsia="Arial" w:hAnsi="Arial" w:cs="Arial"/>
          <w:b/>
          <w:bCs/>
        </w:rPr>
      </w:pPr>
      <w:r>
        <w:rPr>
          <w:rStyle w:val="CommentReference"/>
          <w:rtl/>
        </w:rPr>
        <w:commentReference w:id="9"/>
      </w:r>
    </w:p>
    <w:p w14:paraId="4962808F" w14:textId="77777777" w:rsidR="00FB1D97" w:rsidRDefault="00DC7A6B">
      <w:pPr>
        <w:jc w:val="both"/>
        <w:rPr>
          <w:rFonts w:ascii="Arial" w:eastAsia="Arial" w:hAnsi="Arial" w:cs="Arial"/>
        </w:rPr>
      </w:pPr>
      <w:r>
        <w:rPr>
          <w:rFonts w:ascii="Arial" w:eastAsia="Arial" w:hAnsi="Arial" w:cs="Arial"/>
        </w:rPr>
        <w:t xml:space="preserve">Using Spearman Rank Correlation Analysis, Table </w:t>
      </w:r>
      <w:r w:rsidR="0032786F">
        <w:rPr>
          <w:rFonts w:ascii="Arial" w:eastAsia="Arial" w:hAnsi="Arial" w:cs="Arial"/>
        </w:rPr>
        <w:t>9</w:t>
      </w:r>
      <w:r>
        <w:rPr>
          <w:rFonts w:ascii="Arial" w:eastAsia="Arial" w:hAnsi="Arial" w:cs="Arial"/>
        </w:rPr>
        <w:t xml:space="preserve"> shows that perceived interest and nursing students’ intent to learn sign language are significantly related (p &lt; .001), which is below the 0.05 level of significance. Thus, the null hypothesis was rejected. This indicates that students with higher levels of interest are more likely to have a stronger intention to learn sign language. Furthermore, the </w:t>
      </w:r>
      <w:proofErr w:type="spellStart"/>
      <w:r>
        <w:rPr>
          <w:rFonts w:ascii="Arial" w:eastAsia="Arial" w:hAnsi="Arial" w:cs="Arial"/>
        </w:rPr>
        <w:t>rs</w:t>
      </w:r>
      <w:proofErr w:type="spellEnd"/>
      <w:r>
        <w:rPr>
          <w:rFonts w:ascii="Arial" w:eastAsia="Arial" w:hAnsi="Arial" w:cs="Arial"/>
        </w:rPr>
        <w:t>-value of 0.631 reflects a strong positive relationship, suggesting that as students’ interest in learning sign language increases, their intention to learn it also increases.</w:t>
      </w:r>
    </w:p>
    <w:p w14:paraId="62EAC95C" w14:textId="77777777" w:rsidR="00FB1D97" w:rsidRDefault="00FB1D97">
      <w:pPr>
        <w:jc w:val="both"/>
        <w:rPr>
          <w:rFonts w:ascii="Arial" w:eastAsia="Arial" w:hAnsi="Arial" w:cs="Arial"/>
        </w:rPr>
      </w:pPr>
    </w:p>
    <w:p w14:paraId="643BBF56" w14:textId="77777777" w:rsidR="00FB1D97" w:rsidRDefault="00DC7A6B">
      <w:pPr>
        <w:jc w:val="both"/>
        <w:rPr>
          <w:rFonts w:ascii="Arial" w:eastAsia="Arial" w:hAnsi="Arial" w:cs="Arial"/>
          <w:b/>
          <w:bCs/>
        </w:rPr>
      </w:pPr>
      <w:r>
        <w:rPr>
          <w:rFonts w:ascii="Arial" w:eastAsia="Arial" w:hAnsi="Arial" w:cs="Arial"/>
          <w:b/>
          <w:bCs/>
        </w:rPr>
        <w:t xml:space="preserve">Table </w:t>
      </w:r>
      <w:r w:rsidR="0032786F">
        <w:rPr>
          <w:rFonts w:ascii="Arial" w:eastAsia="Arial" w:hAnsi="Arial" w:cs="Arial"/>
          <w:b/>
          <w:bCs/>
        </w:rPr>
        <w:t>9</w:t>
      </w:r>
      <w:r>
        <w:rPr>
          <w:rFonts w:ascii="Arial" w:eastAsia="Arial" w:hAnsi="Arial" w:cs="Arial"/>
          <w:b/>
          <w:bCs/>
        </w:rPr>
        <w:t xml:space="preserve">. Relationship Between Perceived Interest and Intent to Learn Sign Language </w:t>
      </w:r>
    </w:p>
    <w:p w14:paraId="63283C2D" w14:textId="77777777" w:rsidR="00FB1D97" w:rsidRDefault="00FB1D97">
      <w:pPr>
        <w:jc w:val="both"/>
        <w:rPr>
          <w:rFonts w:ascii="Arial" w:eastAsia="Arial" w:hAnsi="Arial" w:cs="Arial"/>
          <w:b/>
          <w:bCs/>
        </w:rPr>
      </w:pPr>
    </w:p>
    <w:tbl>
      <w:tblPr>
        <w:tblStyle w:val="aa"/>
        <w:tblW w:w="874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5"/>
        <w:gridCol w:w="3330"/>
      </w:tblGrid>
      <w:tr w:rsidR="00FB1D97" w14:paraId="611EC00C" w14:textId="77777777">
        <w:tc>
          <w:tcPr>
            <w:tcW w:w="54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199986CE"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Variables</w:t>
            </w:r>
          </w:p>
        </w:tc>
        <w:tc>
          <w:tcPr>
            <w:tcW w:w="3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31D55B5D"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Intent to Learn Sign Language</w:t>
            </w:r>
          </w:p>
        </w:tc>
      </w:tr>
      <w:tr w:rsidR="00FB1D97" w14:paraId="271DB44B" w14:textId="77777777">
        <w:trPr>
          <w:trHeight w:val="317"/>
        </w:trPr>
        <w:tc>
          <w:tcPr>
            <w:tcW w:w="5415" w:type="dxa"/>
            <w:vMerge w:val="restart"/>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73BA6E37" w14:textId="77777777" w:rsidR="00FB1D97" w:rsidRDefault="00DC7A6B">
            <w:pPr>
              <w:tabs>
                <w:tab w:val="left" w:pos="1976"/>
              </w:tabs>
              <w:spacing w:line="276" w:lineRule="auto"/>
              <w:ind w:right="60"/>
              <w:rPr>
                <w:rFonts w:ascii="Arial" w:eastAsia="Arial" w:hAnsi="Arial" w:cs="Arial"/>
                <w:highlight w:val="white"/>
              </w:rPr>
            </w:pPr>
            <w:r>
              <w:rPr>
                <w:rFonts w:ascii="Arial" w:eastAsia="Arial" w:hAnsi="Arial" w:cs="Arial"/>
                <w:highlight w:val="white"/>
              </w:rPr>
              <w:t>Perceived Interest</w:t>
            </w:r>
          </w:p>
        </w:tc>
        <w:tc>
          <w:tcPr>
            <w:tcW w:w="3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5223165C" w14:textId="77777777" w:rsidR="00FB1D97" w:rsidRDefault="00DC7A6B">
            <w:pPr>
              <w:ind w:left="60" w:right="60"/>
              <w:jc w:val="center"/>
              <w:rPr>
                <w:rFonts w:ascii="Arial" w:eastAsia="Arial" w:hAnsi="Arial" w:cs="Arial"/>
                <w:highlight w:val="white"/>
              </w:rPr>
            </w:pPr>
            <w:r>
              <w:rPr>
                <w:rFonts w:ascii="Arial" w:eastAsia="Arial" w:hAnsi="Arial" w:cs="Arial"/>
              </w:rPr>
              <w:t>*</w:t>
            </w:r>
            <w:r>
              <w:rPr>
                <w:rFonts w:ascii="Arial" w:eastAsia="Arial" w:hAnsi="Arial" w:cs="Arial"/>
                <w:sz w:val="12"/>
                <w:szCs w:val="12"/>
              </w:rPr>
              <w:t xml:space="preserve"> </w:t>
            </w:r>
            <w:proofErr w:type="spellStart"/>
            <w:r>
              <w:rPr>
                <w:rFonts w:ascii="Arial" w:eastAsia="Arial" w:hAnsi="Arial" w:cs="Arial"/>
                <w:i/>
                <w:iCs/>
                <w:highlight w:val="white"/>
              </w:rPr>
              <w:t>r</w:t>
            </w:r>
            <w:r>
              <w:rPr>
                <w:rFonts w:ascii="Arial" w:eastAsia="Arial" w:hAnsi="Arial" w:cs="Arial"/>
                <w:i/>
                <w:iCs/>
                <w:highlight w:val="white"/>
                <w:vertAlign w:val="subscript"/>
              </w:rPr>
              <w:t>s</w:t>
            </w:r>
            <w:proofErr w:type="spellEnd"/>
            <w:r>
              <w:rPr>
                <w:rFonts w:ascii="Arial" w:eastAsia="Arial" w:hAnsi="Arial" w:cs="Arial"/>
              </w:rPr>
              <w:t xml:space="preserve"> =0.631</w:t>
            </w:r>
          </w:p>
        </w:tc>
      </w:tr>
      <w:tr w:rsidR="00FB1D97" w14:paraId="13AE4D6A" w14:textId="77777777">
        <w:trPr>
          <w:trHeight w:val="317"/>
        </w:trPr>
        <w:tc>
          <w:tcPr>
            <w:tcW w:w="5415" w:type="dxa"/>
            <w:vMerge/>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399A782A" w14:textId="77777777" w:rsidR="00FB1D97" w:rsidRDefault="00FB1D97">
            <w:pPr>
              <w:ind w:right="60"/>
              <w:rPr>
                <w:rFonts w:ascii="Times New Roman" w:eastAsia="Times New Roman" w:hAnsi="Times New Roman" w:cs="Times New Roman"/>
                <w:sz w:val="24"/>
                <w:szCs w:val="24"/>
              </w:rPr>
            </w:pPr>
          </w:p>
        </w:tc>
        <w:tc>
          <w:tcPr>
            <w:tcW w:w="3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7600B1B4" w14:textId="77777777" w:rsidR="00FB1D97" w:rsidRDefault="00DC7A6B">
            <w:pPr>
              <w:spacing w:line="276" w:lineRule="auto"/>
              <w:ind w:left="60" w:right="60"/>
              <w:jc w:val="center"/>
              <w:rPr>
                <w:rFonts w:ascii="Arial" w:eastAsia="Arial" w:hAnsi="Arial" w:cs="Arial"/>
                <w:highlight w:val="white"/>
              </w:rPr>
            </w:pPr>
            <w:r>
              <w:rPr>
                <w:rFonts w:ascii="Arial" w:eastAsia="Arial" w:hAnsi="Arial" w:cs="Arial"/>
              </w:rPr>
              <w:t>p &lt;0.001</w:t>
            </w:r>
          </w:p>
        </w:tc>
      </w:tr>
      <w:tr w:rsidR="00FB1D97" w14:paraId="37B0B2CE" w14:textId="77777777">
        <w:trPr>
          <w:trHeight w:val="440"/>
        </w:trPr>
        <w:tc>
          <w:tcPr>
            <w:tcW w:w="5415" w:type="dxa"/>
            <w:tcBorders>
              <w:left w:val="single" w:sz="8" w:space="0" w:color="FFFFFF"/>
              <w:right w:val="single" w:sz="8" w:space="0" w:color="FFFFFF"/>
            </w:tcBorders>
            <w:tcMar>
              <w:top w:w="0" w:type="dxa"/>
              <w:left w:w="0" w:type="dxa"/>
              <w:bottom w:w="0" w:type="dxa"/>
              <w:right w:w="0" w:type="dxa"/>
            </w:tcMar>
            <w:vAlign w:val="center"/>
          </w:tcPr>
          <w:p w14:paraId="20DC9B46" w14:textId="77777777" w:rsidR="00FB1D97" w:rsidRDefault="00DC7A6B">
            <w:pPr>
              <w:widowControl w:val="0"/>
              <w:rPr>
                <w:rFonts w:ascii="Arial" w:eastAsia="Arial" w:hAnsi="Arial" w:cs="Arial"/>
                <w:highlight w:val="white"/>
              </w:rPr>
            </w:pPr>
            <w:r>
              <w:rPr>
                <w:rFonts w:ascii="Arial" w:eastAsia="Arial" w:hAnsi="Arial" w:cs="Arial"/>
                <w:highlight w:val="white"/>
              </w:rPr>
              <w:t>*Significant  at 0.05</w:t>
            </w:r>
          </w:p>
        </w:tc>
        <w:tc>
          <w:tcPr>
            <w:tcW w:w="3330" w:type="dxa"/>
            <w:tcBorders>
              <w:left w:val="single" w:sz="8" w:space="0" w:color="FFFFFF"/>
              <w:right w:val="single" w:sz="8" w:space="0" w:color="FFFFFF"/>
            </w:tcBorders>
            <w:tcMar>
              <w:top w:w="0" w:type="dxa"/>
              <w:left w:w="0" w:type="dxa"/>
              <w:bottom w:w="0" w:type="dxa"/>
              <w:right w:w="0" w:type="dxa"/>
            </w:tcMar>
            <w:vAlign w:val="center"/>
          </w:tcPr>
          <w:p w14:paraId="4A3D9602" w14:textId="77777777" w:rsidR="00FB1D97" w:rsidRDefault="00FB1D97">
            <w:pPr>
              <w:widowControl w:val="0"/>
              <w:rPr>
                <w:rFonts w:ascii="Arial" w:eastAsia="Arial" w:hAnsi="Arial" w:cs="Arial"/>
                <w:b/>
                <w:bCs/>
                <w:highlight w:val="white"/>
              </w:rPr>
            </w:pPr>
          </w:p>
        </w:tc>
      </w:tr>
    </w:tbl>
    <w:p w14:paraId="10C847C7" w14:textId="77777777" w:rsidR="00FB1D97" w:rsidRDefault="00FB1D97">
      <w:pPr>
        <w:jc w:val="both"/>
        <w:rPr>
          <w:rFonts w:ascii="Arial" w:eastAsia="Arial" w:hAnsi="Arial" w:cs="Arial"/>
          <w:b/>
          <w:bCs/>
          <w:smallCaps/>
          <w:sz w:val="22"/>
          <w:szCs w:val="22"/>
        </w:rPr>
      </w:pPr>
    </w:p>
    <w:p w14:paraId="6E7666F2" w14:textId="77777777" w:rsidR="00FB1D97" w:rsidRDefault="00DC7A6B">
      <w:pPr>
        <w:rPr>
          <w:rFonts w:ascii="Arial" w:eastAsia="Arial" w:hAnsi="Arial" w:cs="Arial"/>
          <w:b/>
          <w:bCs/>
        </w:rPr>
      </w:pPr>
      <w:r>
        <w:rPr>
          <w:rFonts w:ascii="Arial" w:eastAsia="Arial" w:hAnsi="Arial" w:cs="Arial"/>
          <w:b/>
          <w:bCs/>
        </w:rPr>
        <w:t xml:space="preserve"> 3.5. Relationship Between Perceived Importance and Intent to Learn Sign Language </w:t>
      </w:r>
    </w:p>
    <w:p w14:paraId="4F5840F5" w14:textId="77777777" w:rsidR="00FB1D97" w:rsidRDefault="00FB1D97">
      <w:pPr>
        <w:rPr>
          <w:rFonts w:ascii="Arial" w:eastAsia="Arial" w:hAnsi="Arial" w:cs="Arial"/>
          <w:b/>
          <w:bCs/>
        </w:rPr>
      </w:pPr>
    </w:p>
    <w:p w14:paraId="07C0D857" w14:textId="77777777" w:rsidR="00FB1D97" w:rsidRDefault="00DC7A6B">
      <w:pPr>
        <w:jc w:val="both"/>
        <w:rPr>
          <w:rFonts w:ascii="Arial" w:eastAsia="Arial" w:hAnsi="Arial" w:cs="Arial"/>
        </w:rPr>
      </w:pPr>
      <w:r>
        <w:rPr>
          <w:rFonts w:ascii="Arial" w:eastAsia="Arial" w:hAnsi="Arial" w:cs="Arial"/>
        </w:rPr>
        <w:t xml:space="preserve">The analysis showed a statistically significant relationship between perceived importance and nursing students’ intent to learn sign language (p &lt; 0.001), leading to the rejection of the null hypothesis. This indicates that students who consider sign language highly important are more </w:t>
      </w:r>
      <w:r>
        <w:rPr>
          <w:rFonts w:ascii="Arial" w:eastAsia="Arial" w:hAnsi="Arial" w:cs="Arial"/>
        </w:rPr>
        <w:lastRenderedPageBreak/>
        <w:t>likely to intend to learn it. Moreover, the strong positive correlation (*</w:t>
      </w:r>
      <w:proofErr w:type="spellStart"/>
      <w:r>
        <w:rPr>
          <w:rFonts w:ascii="Arial" w:eastAsia="Arial" w:hAnsi="Arial" w:cs="Arial"/>
        </w:rPr>
        <w:t>rs</w:t>
      </w:r>
      <w:proofErr w:type="spellEnd"/>
      <w:r>
        <w:rPr>
          <w:rFonts w:ascii="Arial" w:eastAsia="Arial" w:hAnsi="Arial" w:cs="Arial"/>
        </w:rPr>
        <w:t xml:space="preserve"> = 0.631) suggests that as students’ recogn</w:t>
      </w:r>
      <w:r>
        <w:rPr>
          <w:rFonts w:ascii="Arial" w:eastAsia="Arial" w:hAnsi="Arial" w:cs="Arial"/>
          <w:b/>
          <w:bCs/>
        </w:rPr>
        <w:t xml:space="preserve">ition </w:t>
      </w:r>
      <w:r>
        <w:rPr>
          <w:rFonts w:ascii="Arial" w:eastAsia="Arial" w:hAnsi="Arial" w:cs="Arial"/>
        </w:rPr>
        <w:t>of the value of sign language increases, their intention to learn it also increases.</w:t>
      </w:r>
    </w:p>
    <w:p w14:paraId="0C383336" w14:textId="77777777" w:rsidR="00FB1D97" w:rsidRDefault="00FB1D97">
      <w:pPr>
        <w:jc w:val="both"/>
        <w:rPr>
          <w:rFonts w:ascii="Arial" w:eastAsia="Arial" w:hAnsi="Arial" w:cs="Arial"/>
        </w:rPr>
      </w:pPr>
    </w:p>
    <w:p w14:paraId="63115B88" w14:textId="77777777" w:rsidR="00FB1D97" w:rsidRDefault="00DC7A6B">
      <w:pPr>
        <w:rPr>
          <w:rFonts w:ascii="Arial" w:eastAsia="Arial" w:hAnsi="Arial" w:cs="Arial"/>
        </w:rPr>
      </w:pPr>
      <w:r>
        <w:rPr>
          <w:rFonts w:ascii="Arial" w:eastAsia="Arial" w:hAnsi="Arial" w:cs="Arial"/>
          <w:b/>
          <w:bCs/>
        </w:rPr>
        <w:t xml:space="preserve">Table </w:t>
      </w:r>
      <w:r w:rsidR="0032786F">
        <w:rPr>
          <w:rFonts w:ascii="Arial" w:eastAsia="Arial" w:hAnsi="Arial" w:cs="Arial"/>
          <w:b/>
          <w:bCs/>
        </w:rPr>
        <w:t>10</w:t>
      </w:r>
      <w:r>
        <w:rPr>
          <w:rFonts w:ascii="Arial" w:eastAsia="Arial" w:hAnsi="Arial" w:cs="Arial"/>
          <w:b/>
          <w:bCs/>
        </w:rPr>
        <w:t xml:space="preserve">. Relationship Between Perceived Importance and Intent to Learn Sign Language </w:t>
      </w:r>
    </w:p>
    <w:tbl>
      <w:tblPr>
        <w:tblStyle w:val="ab"/>
        <w:tblW w:w="874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5"/>
        <w:gridCol w:w="3330"/>
      </w:tblGrid>
      <w:tr w:rsidR="00FB1D97" w14:paraId="36FE0F9E" w14:textId="77777777">
        <w:tc>
          <w:tcPr>
            <w:tcW w:w="54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2BF16419"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Variables</w:t>
            </w:r>
          </w:p>
        </w:tc>
        <w:tc>
          <w:tcPr>
            <w:tcW w:w="3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6699D7F0"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Intent to Learn Sign Language</w:t>
            </w:r>
          </w:p>
        </w:tc>
      </w:tr>
      <w:tr w:rsidR="00FB1D97" w14:paraId="45E6200D" w14:textId="77777777">
        <w:trPr>
          <w:trHeight w:val="317"/>
        </w:trPr>
        <w:tc>
          <w:tcPr>
            <w:tcW w:w="5415" w:type="dxa"/>
            <w:vMerge w:val="restart"/>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4BA9FCC9" w14:textId="77777777" w:rsidR="00FB1D97" w:rsidRDefault="00DC7A6B">
            <w:pPr>
              <w:tabs>
                <w:tab w:val="left" w:pos="1976"/>
              </w:tabs>
              <w:spacing w:line="276" w:lineRule="auto"/>
              <w:ind w:right="60"/>
              <w:rPr>
                <w:rFonts w:ascii="Arial" w:eastAsia="Arial" w:hAnsi="Arial" w:cs="Arial"/>
                <w:highlight w:val="white"/>
              </w:rPr>
            </w:pPr>
            <w:r>
              <w:rPr>
                <w:rFonts w:ascii="Arial" w:eastAsia="Arial" w:hAnsi="Arial" w:cs="Arial"/>
                <w:highlight w:val="white"/>
              </w:rPr>
              <w:t>Perceived Importance</w:t>
            </w:r>
          </w:p>
        </w:tc>
        <w:tc>
          <w:tcPr>
            <w:tcW w:w="3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5353836F" w14:textId="77777777" w:rsidR="00FB1D97" w:rsidRDefault="00DC7A6B">
            <w:pPr>
              <w:ind w:left="60" w:right="60"/>
              <w:jc w:val="center"/>
              <w:rPr>
                <w:rFonts w:ascii="Arial" w:eastAsia="Arial" w:hAnsi="Arial" w:cs="Arial"/>
                <w:highlight w:val="white"/>
              </w:rPr>
            </w:pPr>
            <w:r>
              <w:rPr>
                <w:rFonts w:ascii="Arial" w:eastAsia="Arial" w:hAnsi="Arial" w:cs="Arial"/>
              </w:rPr>
              <w:t>*</w:t>
            </w:r>
            <m:oMath>
              <m:r>
                <w:rPr>
                  <w:rFonts w:ascii="Arial" w:eastAsia="Arial" w:hAnsi="Arial" w:cs="Arial"/>
                  <w:highlight w:val="white"/>
                </w:rPr>
                <m:t>r</m:t>
              </m:r>
            </m:oMath>
            <w:r>
              <w:rPr>
                <w:rFonts w:ascii="Arial" w:eastAsia="Arial" w:hAnsi="Arial" w:cs="Arial"/>
                <w:i/>
                <w:iCs/>
                <w:highlight w:val="white"/>
                <w:vertAlign w:val="subscript"/>
              </w:rPr>
              <w:t>s</w:t>
            </w:r>
            <w:r>
              <w:rPr>
                <w:rFonts w:ascii="Arial" w:eastAsia="Arial" w:hAnsi="Arial" w:cs="Arial"/>
              </w:rPr>
              <w:t>=0.631</w:t>
            </w:r>
          </w:p>
        </w:tc>
      </w:tr>
      <w:tr w:rsidR="00FB1D97" w14:paraId="6D884E4B" w14:textId="77777777">
        <w:trPr>
          <w:trHeight w:val="317"/>
        </w:trPr>
        <w:tc>
          <w:tcPr>
            <w:tcW w:w="5415" w:type="dxa"/>
            <w:vMerge/>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28686DB0" w14:textId="77777777" w:rsidR="00FB1D97" w:rsidRDefault="00FB1D97">
            <w:pPr>
              <w:ind w:right="60"/>
              <w:rPr>
                <w:rFonts w:ascii="Arial" w:eastAsia="Arial" w:hAnsi="Arial" w:cs="Arial"/>
              </w:rPr>
            </w:pPr>
          </w:p>
        </w:tc>
        <w:tc>
          <w:tcPr>
            <w:tcW w:w="3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4944C00B" w14:textId="77777777" w:rsidR="00FB1D97" w:rsidRDefault="00DC7A6B">
            <w:pPr>
              <w:spacing w:line="276" w:lineRule="auto"/>
              <w:ind w:left="60" w:right="60"/>
              <w:jc w:val="center"/>
              <w:rPr>
                <w:rFonts w:ascii="Arial" w:eastAsia="Arial" w:hAnsi="Arial" w:cs="Arial"/>
                <w:highlight w:val="white"/>
              </w:rPr>
            </w:pPr>
            <w:r>
              <w:rPr>
                <w:rFonts w:ascii="Arial" w:eastAsia="Arial" w:hAnsi="Arial" w:cs="Arial"/>
              </w:rPr>
              <w:t>p &lt;0.001</w:t>
            </w:r>
          </w:p>
        </w:tc>
      </w:tr>
      <w:tr w:rsidR="00FB1D97" w14:paraId="0DA301CA" w14:textId="77777777">
        <w:tc>
          <w:tcPr>
            <w:tcW w:w="5415" w:type="dxa"/>
            <w:tcBorders>
              <w:left w:val="single" w:sz="8" w:space="0" w:color="FFFFFF"/>
              <w:right w:val="single" w:sz="8" w:space="0" w:color="FFFFFF"/>
            </w:tcBorders>
            <w:tcMar>
              <w:top w:w="0" w:type="dxa"/>
              <w:left w:w="0" w:type="dxa"/>
              <w:bottom w:w="0" w:type="dxa"/>
              <w:right w:w="0" w:type="dxa"/>
            </w:tcMar>
            <w:vAlign w:val="center"/>
          </w:tcPr>
          <w:p w14:paraId="21308D75" w14:textId="77777777" w:rsidR="00FB1D97" w:rsidRDefault="00DC7A6B">
            <w:pPr>
              <w:widowControl w:val="0"/>
              <w:rPr>
                <w:rFonts w:ascii="Arial" w:eastAsia="Arial" w:hAnsi="Arial" w:cs="Arial"/>
                <w:highlight w:val="white"/>
              </w:rPr>
            </w:pPr>
            <w:r>
              <w:rPr>
                <w:rFonts w:ascii="Arial" w:eastAsia="Arial" w:hAnsi="Arial" w:cs="Arial"/>
                <w:highlight w:val="white"/>
              </w:rPr>
              <w:t>*Significant  at 0.05</w:t>
            </w:r>
          </w:p>
        </w:tc>
        <w:tc>
          <w:tcPr>
            <w:tcW w:w="3330" w:type="dxa"/>
            <w:tcBorders>
              <w:left w:val="single" w:sz="8" w:space="0" w:color="FFFFFF"/>
              <w:right w:val="single" w:sz="8" w:space="0" w:color="FFFFFF"/>
            </w:tcBorders>
            <w:tcMar>
              <w:top w:w="0" w:type="dxa"/>
              <w:left w:w="0" w:type="dxa"/>
              <w:bottom w:w="0" w:type="dxa"/>
              <w:right w:w="0" w:type="dxa"/>
            </w:tcMar>
            <w:vAlign w:val="center"/>
          </w:tcPr>
          <w:p w14:paraId="5EAF7EDE" w14:textId="77777777" w:rsidR="00FB1D97" w:rsidRDefault="00FB1D97">
            <w:pPr>
              <w:widowControl w:val="0"/>
              <w:jc w:val="center"/>
              <w:rPr>
                <w:rFonts w:ascii="Arial" w:eastAsia="Arial" w:hAnsi="Arial" w:cs="Arial"/>
                <w:b/>
                <w:bCs/>
                <w:highlight w:val="white"/>
              </w:rPr>
            </w:pPr>
          </w:p>
        </w:tc>
      </w:tr>
    </w:tbl>
    <w:p w14:paraId="41884E84" w14:textId="77777777" w:rsidR="00FB1D97" w:rsidRDefault="00FB1D97">
      <w:pPr>
        <w:jc w:val="both"/>
        <w:rPr>
          <w:rFonts w:ascii="Arial" w:eastAsia="Arial" w:hAnsi="Arial" w:cs="Arial"/>
          <w:b/>
          <w:bCs/>
          <w:smallCaps/>
        </w:rPr>
      </w:pPr>
    </w:p>
    <w:p w14:paraId="2538F745" w14:textId="77777777" w:rsidR="00FB1D97" w:rsidRDefault="00DC7A6B">
      <w:pPr>
        <w:rPr>
          <w:rFonts w:ascii="Arial" w:eastAsia="Arial" w:hAnsi="Arial" w:cs="Arial"/>
          <w:b/>
          <w:bCs/>
        </w:rPr>
      </w:pPr>
      <w:r>
        <w:rPr>
          <w:rFonts w:ascii="Arial" w:eastAsia="Arial" w:hAnsi="Arial" w:cs="Arial"/>
          <w:b/>
          <w:bCs/>
        </w:rPr>
        <w:t>3.6</w:t>
      </w:r>
      <w:proofErr w:type="gramStart"/>
      <w:r>
        <w:rPr>
          <w:rFonts w:ascii="Arial" w:eastAsia="Arial" w:hAnsi="Arial" w:cs="Arial"/>
          <w:b/>
          <w:bCs/>
        </w:rPr>
        <w:t>.Relationship</w:t>
      </w:r>
      <w:proofErr w:type="gramEnd"/>
      <w:r>
        <w:rPr>
          <w:rFonts w:ascii="Arial" w:eastAsia="Arial" w:hAnsi="Arial" w:cs="Arial"/>
          <w:b/>
          <w:bCs/>
        </w:rPr>
        <w:t xml:space="preserve"> Between Perceived Communication-Related Barriers and Intent to Learn Sign Language </w:t>
      </w:r>
    </w:p>
    <w:p w14:paraId="1572D953" w14:textId="77777777" w:rsidR="00FB1D97" w:rsidRDefault="00FB1D97">
      <w:pPr>
        <w:rPr>
          <w:rFonts w:ascii="Arial" w:eastAsia="Arial" w:hAnsi="Arial" w:cs="Arial"/>
          <w:b/>
          <w:bCs/>
        </w:rPr>
      </w:pPr>
    </w:p>
    <w:p w14:paraId="72081506" w14:textId="77777777" w:rsidR="00FB1D97" w:rsidRDefault="00DC7A6B">
      <w:pPr>
        <w:rPr>
          <w:rFonts w:ascii="Arial" w:eastAsia="Arial" w:hAnsi="Arial" w:cs="Arial"/>
        </w:rPr>
      </w:pPr>
      <w:r>
        <w:rPr>
          <w:rFonts w:ascii="Arial" w:eastAsia="Arial" w:hAnsi="Arial" w:cs="Arial"/>
        </w:rPr>
        <w:t xml:space="preserve">However, perceived communication-related barriers showed </w:t>
      </w:r>
      <w:commentRangeStart w:id="10"/>
      <w:r>
        <w:rPr>
          <w:rFonts w:ascii="Arial" w:eastAsia="Arial" w:hAnsi="Arial" w:cs="Arial"/>
        </w:rPr>
        <w:t xml:space="preserve">a p-value of 0.997, which is higher than the 0.05 level of significance. Thus, the null hypothesis was accepted, indicating no significant relationship between perceived communication-related barriers and nursing students’ intent to learn sign language. This suggests that these barriers do not significantly influence students’ intention to learn. Although the </w:t>
      </w:r>
      <w:proofErr w:type="spellStart"/>
      <w:r>
        <w:rPr>
          <w:rFonts w:ascii="Arial" w:eastAsia="Arial" w:hAnsi="Arial" w:cs="Arial"/>
        </w:rPr>
        <w:t>rs</w:t>
      </w:r>
      <w:proofErr w:type="spellEnd"/>
      <w:r>
        <w:rPr>
          <w:rFonts w:ascii="Arial" w:eastAsia="Arial" w:hAnsi="Arial" w:cs="Arial"/>
        </w:rPr>
        <w:t xml:space="preserve">-value (0.637) </w:t>
      </w:r>
      <w:commentRangeEnd w:id="10"/>
      <w:r w:rsidR="00F16F71">
        <w:rPr>
          <w:rStyle w:val="CommentReference"/>
          <w:rtl/>
        </w:rPr>
        <w:commentReference w:id="10"/>
      </w:r>
      <w:r>
        <w:rPr>
          <w:rFonts w:ascii="Arial" w:eastAsia="Arial" w:hAnsi="Arial" w:cs="Arial"/>
        </w:rPr>
        <w:t>indicates a strong positive relationship, this correlation is not statistically significant, meaning it cannot be considered meaningful in this context.</w:t>
      </w:r>
    </w:p>
    <w:p w14:paraId="3B1B7925" w14:textId="77777777" w:rsidR="00FB1D97" w:rsidRDefault="00FB1D97">
      <w:pPr>
        <w:rPr>
          <w:rFonts w:ascii="Arial" w:eastAsia="Arial" w:hAnsi="Arial" w:cs="Arial"/>
        </w:rPr>
      </w:pPr>
    </w:p>
    <w:p w14:paraId="280364EC" w14:textId="77777777" w:rsidR="00FB1D97" w:rsidRDefault="00DC7A6B">
      <w:pPr>
        <w:rPr>
          <w:rFonts w:ascii="Arial" w:eastAsia="Arial" w:hAnsi="Arial" w:cs="Arial"/>
          <w:b/>
          <w:bCs/>
        </w:rPr>
      </w:pPr>
      <w:r>
        <w:rPr>
          <w:rFonts w:ascii="Arial" w:eastAsia="Arial" w:hAnsi="Arial" w:cs="Arial"/>
          <w:b/>
          <w:bCs/>
        </w:rPr>
        <w:t xml:space="preserve">Table </w:t>
      </w:r>
      <w:r w:rsidR="0032786F">
        <w:rPr>
          <w:rFonts w:ascii="Arial" w:eastAsia="Arial" w:hAnsi="Arial" w:cs="Arial"/>
          <w:b/>
          <w:bCs/>
        </w:rPr>
        <w:t>11</w:t>
      </w:r>
      <w:r>
        <w:rPr>
          <w:rFonts w:ascii="Arial" w:eastAsia="Arial" w:hAnsi="Arial" w:cs="Arial"/>
          <w:b/>
          <w:bCs/>
        </w:rPr>
        <w:t xml:space="preserve">.Relationship </w:t>
      </w:r>
      <w:proofErr w:type="gramStart"/>
      <w:r>
        <w:rPr>
          <w:rFonts w:ascii="Arial" w:eastAsia="Arial" w:hAnsi="Arial" w:cs="Arial"/>
          <w:b/>
          <w:bCs/>
        </w:rPr>
        <w:t>Between</w:t>
      </w:r>
      <w:proofErr w:type="gramEnd"/>
      <w:r>
        <w:rPr>
          <w:rFonts w:ascii="Arial" w:eastAsia="Arial" w:hAnsi="Arial" w:cs="Arial"/>
          <w:b/>
          <w:bCs/>
        </w:rPr>
        <w:t xml:space="preserve"> Perceived Communication-Related Barriers and Intent to Learn Sign Language </w:t>
      </w:r>
    </w:p>
    <w:p w14:paraId="25437B77" w14:textId="77777777" w:rsidR="00FB1D97" w:rsidRDefault="00FB1D97">
      <w:pPr>
        <w:rPr>
          <w:rFonts w:ascii="Arial" w:eastAsia="Arial" w:hAnsi="Arial" w:cs="Arial"/>
        </w:rPr>
      </w:pPr>
    </w:p>
    <w:tbl>
      <w:tblPr>
        <w:tblStyle w:val="ac"/>
        <w:tblW w:w="874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5"/>
        <w:gridCol w:w="3330"/>
      </w:tblGrid>
      <w:tr w:rsidR="00FB1D97" w14:paraId="7E9B71DF" w14:textId="77777777">
        <w:tc>
          <w:tcPr>
            <w:tcW w:w="5415"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28E453E2"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Variables</w:t>
            </w:r>
          </w:p>
        </w:tc>
        <w:tc>
          <w:tcPr>
            <w:tcW w:w="3330" w:type="dxa"/>
            <w:tcBorders>
              <w:left w:val="single" w:sz="8" w:space="0" w:color="FFFFFF"/>
              <w:right w:val="single" w:sz="8" w:space="0" w:color="FFFFFF"/>
            </w:tcBorders>
            <w:shd w:val="clear" w:color="auto" w:fill="FFFFFF"/>
            <w:tcMar>
              <w:top w:w="0" w:type="dxa"/>
              <w:left w:w="0" w:type="dxa"/>
              <w:bottom w:w="0" w:type="dxa"/>
              <w:right w:w="0" w:type="dxa"/>
            </w:tcMar>
            <w:vAlign w:val="center"/>
          </w:tcPr>
          <w:p w14:paraId="5A72BBCC"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Intent to Learn Sign Language</w:t>
            </w:r>
          </w:p>
        </w:tc>
      </w:tr>
      <w:tr w:rsidR="00FB1D97" w14:paraId="79C4B864" w14:textId="77777777">
        <w:trPr>
          <w:trHeight w:val="317"/>
        </w:trPr>
        <w:tc>
          <w:tcPr>
            <w:tcW w:w="5415" w:type="dxa"/>
            <w:vMerge w:val="restart"/>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2C6C8661" w14:textId="77777777" w:rsidR="00FB1D97" w:rsidRDefault="00DC7A6B">
            <w:pPr>
              <w:tabs>
                <w:tab w:val="left" w:pos="1976"/>
              </w:tabs>
              <w:spacing w:line="276" w:lineRule="auto"/>
              <w:ind w:right="60"/>
              <w:rPr>
                <w:rFonts w:ascii="Arial" w:eastAsia="Arial" w:hAnsi="Arial" w:cs="Arial"/>
                <w:highlight w:val="white"/>
              </w:rPr>
            </w:pPr>
            <w:r>
              <w:rPr>
                <w:rFonts w:ascii="Arial" w:eastAsia="Arial" w:hAnsi="Arial" w:cs="Arial"/>
                <w:highlight w:val="white"/>
              </w:rPr>
              <w:t>Perceived Communication-Related Barriers</w:t>
            </w:r>
          </w:p>
        </w:tc>
        <w:tc>
          <w:tcPr>
            <w:tcW w:w="3330" w:type="dxa"/>
            <w:tcBorders>
              <w:left w:val="single" w:sz="8" w:space="0" w:color="FFFFFF"/>
              <w:bottom w:val="single" w:sz="8" w:space="0" w:color="FFFFFF"/>
              <w:right w:val="single" w:sz="8" w:space="0" w:color="FFFFFF"/>
            </w:tcBorders>
            <w:tcMar>
              <w:top w:w="0" w:type="dxa"/>
              <w:left w:w="0" w:type="dxa"/>
              <w:bottom w:w="0" w:type="dxa"/>
              <w:right w:w="0" w:type="dxa"/>
            </w:tcMar>
            <w:vAlign w:val="center"/>
          </w:tcPr>
          <w:p w14:paraId="5A6BEF35"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w:t>
            </w:r>
            <m:oMath>
              <m:r>
                <w:rPr>
                  <w:rFonts w:ascii="Arial" w:eastAsia="Arial" w:hAnsi="Arial" w:cs="Arial"/>
                  <w:highlight w:val="white"/>
                </w:rPr>
                <m:t>r</m:t>
              </m:r>
            </m:oMath>
            <w:r>
              <w:rPr>
                <w:rFonts w:ascii="Arial" w:eastAsia="Arial" w:hAnsi="Arial" w:cs="Arial"/>
                <w:highlight w:val="white"/>
                <w:vertAlign w:val="subscript"/>
              </w:rPr>
              <w:t>s</w:t>
            </w:r>
            <w:r>
              <w:rPr>
                <w:rFonts w:ascii="Arial" w:eastAsia="Arial" w:hAnsi="Arial" w:cs="Arial"/>
                <w:highlight w:val="white"/>
              </w:rPr>
              <w:t xml:space="preserve"> =0.637</w:t>
            </w:r>
          </w:p>
        </w:tc>
      </w:tr>
      <w:tr w:rsidR="00FB1D97" w14:paraId="45F3E91C" w14:textId="77777777">
        <w:trPr>
          <w:trHeight w:val="317"/>
        </w:trPr>
        <w:tc>
          <w:tcPr>
            <w:tcW w:w="5415" w:type="dxa"/>
            <w:vMerge/>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0AE2C300" w14:textId="77777777" w:rsidR="00FB1D97" w:rsidRDefault="00FB1D97">
            <w:pPr>
              <w:ind w:right="60"/>
              <w:rPr>
                <w:rFonts w:ascii="Arial" w:eastAsia="Arial" w:hAnsi="Arial" w:cs="Arial"/>
              </w:rPr>
            </w:pPr>
          </w:p>
        </w:tc>
        <w:tc>
          <w:tcPr>
            <w:tcW w:w="3330" w:type="dxa"/>
            <w:tcBorders>
              <w:top w:val="single" w:sz="8" w:space="0" w:color="FFFFFF"/>
              <w:left w:val="single" w:sz="8" w:space="0" w:color="FFFFFF"/>
              <w:right w:val="single" w:sz="8" w:space="0" w:color="FFFFFF"/>
            </w:tcBorders>
            <w:tcMar>
              <w:top w:w="0" w:type="dxa"/>
              <w:left w:w="0" w:type="dxa"/>
              <w:bottom w:w="0" w:type="dxa"/>
              <w:right w:w="0" w:type="dxa"/>
            </w:tcMar>
            <w:vAlign w:val="center"/>
          </w:tcPr>
          <w:p w14:paraId="385F956B" w14:textId="77777777" w:rsidR="00FB1D97" w:rsidRDefault="00DC7A6B">
            <w:pPr>
              <w:widowControl w:val="0"/>
              <w:jc w:val="center"/>
              <w:rPr>
                <w:rFonts w:ascii="Arial" w:eastAsia="Arial" w:hAnsi="Arial" w:cs="Arial"/>
                <w:highlight w:val="white"/>
              </w:rPr>
            </w:pPr>
            <w:r>
              <w:rPr>
                <w:rFonts w:ascii="Arial" w:eastAsia="Arial" w:hAnsi="Arial" w:cs="Arial"/>
                <w:highlight w:val="white"/>
              </w:rPr>
              <w:t>p&lt; 0.997</w:t>
            </w:r>
          </w:p>
        </w:tc>
      </w:tr>
      <w:tr w:rsidR="00FB1D97" w14:paraId="5B06462C" w14:textId="77777777">
        <w:trPr>
          <w:trHeight w:val="440"/>
        </w:trPr>
        <w:tc>
          <w:tcPr>
            <w:tcW w:w="5415" w:type="dxa"/>
            <w:tcBorders>
              <w:left w:val="single" w:sz="8" w:space="0" w:color="FFFFFF"/>
              <w:right w:val="single" w:sz="8" w:space="0" w:color="FFFFFF"/>
            </w:tcBorders>
            <w:tcMar>
              <w:top w:w="0" w:type="dxa"/>
              <w:left w:w="0" w:type="dxa"/>
              <w:bottom w:w="0" w:type="dxa"/>
              <w:right w:w="0" w:type="dxa"/>
            </w:tcMar>
            <w:vAlign w:val="center"/>
          </w:tcPr>
          <w:p w14:paraId="3942BCB3" w14:textId="77777777" w:rsidR="00FB1D97" w:rsidRDefault="00DC7A6B">
            <w:pPr>
              <w:widowControl w:val="0"/>
              <w:rPr>
                <w:rFonts w:ascii="Arial" w:eastAsia="Arial" w:hAnsi="Arial" w:cs="Arial"/>
                <w:highlight w:val="white"/>
              </w:rPr>
            </w:pPr>
            <w:r>
              <w:rPr>
                <w:rFonts w:ascii="Arial" w:eastAsia="Arial" w:hAnsi="Arial" w:cs="Arial"/>
                <w:highlight w:val="white"/>
              </w:rPr>
              <w:t>*Significant  at 0.05</w:t>
            </w:r>
          </w:p>
        </w:tc>
        <w:tc>
          <w:tcPr>
            <w:tcW w:w="3330" w:type="dxa"/>
            <w:tcBorders>
              <w:left w:val="single" w:sz="8" w:space="0" w:color="FFFFFF"/>
              <w:right w:val="single" w:sz="8" w:space="0" w:color="FFFFFF"/>
            </w:tcBorders>
            <w:tcMar>
              <w:top w:w="0" w:type="dxa"/>
              <w:left w:w="0" w:type="dxa"/>
              <w:bottom w:w="0" w:type="dxa"/>
              <w:right w:w="0" w:type="dxa"/>
            </w:tcMar>
            <w:vAlign w:val="center"/>
          </w:tcPr>
          <w:p w14:paraId="504DFD96" w14:textId="77777777" w:rsidR="00FB1D97" w:rsidRDefault="00FB1D97">
            <w:pPr>
              <w:widowControl w:val="0"/>
              <w:jc w:val="center"/>
              <w:rPr>
                <w:rFonts w:ascii="Arial" w:eastAsia="Arial" w:hAnsi="Arial" w:cs="Arial"/>
                <w:b/>
                <w:bCs/>
                <w:highlight w:val="white"/>
              </w:rPr>
            </w:pPr>
          </w:p>
        </w:tc>
      </w:tr>
    </w:tbl>
    <w:p w14:paraId="1ABEE84B" w14:textId="77777777" w:rsidR="00FB1D97" w:rsidRDefault="00FB1D97">
      <w:pPr>
        <w:jc w:val="both"/>
        <w:rPr>
          <w:rFonts w:ascii="Arial" w:eastAsia="Arial" w:hAnsi="Arial" w:cs="Arial"/>
          <w:b/>
          <w:bCs/>
          <w:smallCaps/>
        </w:rPr>
      </w:pPr>
    </w:p>
    <w:p w14:paraId="28E244B6" w14:textId="77777777" w:rsidR="00FB1D97" w:rsidRDefault="00DC7A6B">
      <w:pPr>
        <w:jc w:val="both"/>
        <w:rPr>
          <w:rFonts w:ascii="Arial" w:eastAsia="Arial" w:hAnsi="Arial" w:cs="Arial"/>
          <w:b/>
          <w:bCs/>
          <w:smallCaps/>
          <w:color w:val="000000"/>
          <w:sz w:val="22"/>
          <w:szCs w:val="22"/>
        </w:rPr>
      </w:pPr>
      <w:commentRangeStart w:id="11"/>
      <w:r>
        <w:rPr>
          <w:rFonts w:ascii="Arial" w:eastAsia="Arial" w:hAnsi="Arial" w:cs="Arial"/>
          <w:b/>
          <w:bCs/>
          <w:smallCaps/>
          <w:color w:val="000000"/>
          <w:sz w:val="22"/>
          <w:szCs w:val="22"/>
        </w:rPr>
        <w:t>Conclusion</w:t>
      </w:r>
      <w:commentRangeEnd w:id="11"/>
      <w:r w:rsidR="00977806">
        <w:rPr>
          <w:rStyle w:val="CommentReference"/>
          <w:rtl/>
        </w:rPr>
        <w:commentReference w:id="11"/>
      </w:r>
    </w:p>
    <w:p w14:paraId="0B72CE31" w14:textId="77777777" w:rsidR="00FB1D97" w:rsidRDefault="00FB1D97">
      <w:pPr>
        <w:pBdr>
          <w:top w:val="nil"/>
          <w:left w:val="nil"/>
          <w:bottom w:val="nil"/>
          <w:right w:val="nil"/>
          <w:between w:val="nil"/>
        </w:pBdr>
        <w:jc w:val="both"/>
        <w:rPr>
          <w:rFonts w:ascii="Arial" w:eastAsia="Arial" w:hAnsi="Arial" w:cs="Arial"/>
          <w:color w:val="FF0000"/>
        </w:rPr>
      </w:pPr>
    </w:p>
    <w:p w14:paraId="4E5CD9A2" w14:textId="77777777" w:rsidR="00FB1D97" w:rsidRDefault="00DC7A6B">
      <w:pPr>
        <w:pBdr>
          <w:top w:val="nil"/>
          <w:left w:val="nil"/>
          <w:bottom w:val="nil"/>
          <w:right w:val="nil"/>
          <w:between w:val="nil"/>
        </w:pBdr>
        <w:jc w:val="both"/>
        <w:rPr>
          <w:rFonts w:ascii="Arial" w:eastAsia="Arial" w:hAnsi="Arial" w:cs="Arial"/>
        </w:rPr>
      </w:pPr>
      <w:r>
        <w:rPr>
          <w:rFonts w:ascii="Arial" w:eastAsia="Arial" w:hAnsi="Arial" w:cs="Arial"/>
        </w:rPr>
        <w:t>This study concluded that nursing students generally showed a favorable intention to learn sign language, as reflected in their high levels of perceived interest and perceived importance. The findings revealed that students recognized sign language as an essential skill in providing inclusive and patient-centered care, particularly for individuals who are deaf or hard of hearing. Furthermore, perceived interest and perceived importance were found to have a significant influence on students’ intent to learn sign language, while perceived communication-related barriers did not significantly affect their willingness. These results highlight the importance of integrating sign language into nursing education to enhance communication competence and promote equitable healthcare delivery.</w:t>
      </w:r>
    </w:p>
    <w:p w14:paraId="5B15FFA8" w14:textId="77777777" w:rsidR="00FB1D97" w:rsidRDefault="00FB1D97">
      <w:pPr>
        <w:pBdr>
          <w:top w:val="nil"/>
          <w:left w:val="nil"/>
          <w:bottom w:val="nil"/>
          <w:right w:val="nil"/>
          <w:between w:val="nil"/>
        </w:pBdr>
        <w:jc w:val="both"/>
        <w:rPr>
          <w:rFonts w:ascii="Arial" w:eastAsia="Arial" w:hAnsi="Arial" w:cs="Arial"/>
        </w:rPr>
      </w:pPr>
    </w:p>
    <w:p w14:paraId="75FDA7C5" w14:textId="77777777" w:rsidR="00FB1D97" w:rsidRDefault="00FB1D97">
      <w:pPr>
        <w:pBdr>
          <w:top w:val="nil"/>
          <w:left w:val="nil"/>
          <w:bottom w:val="nil"/>
          <w:right w:val="nil"/>
          <w:between w:val="nil"/>
        </w:pBdr>
        <w:jc w:val="both"/>
        <w:rPr>
          <w:rFonts w:ascii="Arial" w:eastAsia="Arial" w:hAnsi="Arial" w:cs="Arial"/>
          <w:u w:val="single"/>
        </w:rPr>
      </w:pPr>
    </w:p>
    <w:p w14:paraId="1F1A254F" w14:textId="77777777" w:rsidR="00FB1D97" w:rsidRDefault="00DC7A6B">
      <w:pPr>
        <w:pBdr>
          <w:top w:val="nil"/>
          <w:left w:val="nil"/>
          <w:bottom w:val="nil"/>
          <w:right w:val="nil"/>
          <w:between w:val="nil"/>
        </w:pBdr>
        <w:jc w:val="both"/>
        <w:rPr>
          <w:rFonts w:ascii="Arial" w:eastAsia="Arial" w:hAnsi="Arial" w:cs="Arial"/>
          <w:b/>
          <w:bCs/>
          <w:smallCaps/>
          <w:sz w:val="22"/>
          <w:szCs w:val="22"/>
        </w:rPr>
      </w:pPr>
      <w:commentRangeStart w:id="12"/>
      <w:r>
        <w:rPr>
          <w:rFonts w:ascii="Arial" w:eastAsia="Arial" w:hAnsi="Arial" w:cs="Arial"/>
          <w:b/>
          <w:bCs/>
          <w:smallCaps/>
          <w:sz w:val="22"/>
          <w:szCs w:val="22"/>
        </w:rPr>
        <w:t xml:space="preserve">CONSENT </w:t>
      </w:r>
      <w:commentRangeEnd w:id="12"/>
      <w:r w:rsidR="00977806">
        <w:rPr>
          <w:rStyle w:val="CommentReference"/>
          <w:rtl/>
        </w:rPr>
        <w:commentReference w:id="12"/>
      </w:r>
    </w:p>
    <w:p w14:paraId="4915FB2D" w14:textId="77777777" w:rsidR="00FB1D97" w:rsidRDefault="00FB1D97">
      <w:pPr>
        <w:pBdr>
          <w:top w:val="nil"/>
          <w:left w:val="nil"/>
          <w:bottom w:val="nil"/>
          <w:right w:val="nil"/>
          <w:between w:val="nil"/>
        </w:pBdr>
        <w:jc w:val="both"/>
        <w:rPr>
          <w:rFonts w:ascii="Arial" w:eastAsia="Arial" w:hAnsi="Arial" w:cs="Arial"/>
          <w:b/>
          <w:bCs/>
          <w:smallCaps/>
          <w:sz w:val="22"/>
          <w:szCs w:val="22"/>
        </w:rPr>
      </w:pPr>
    </w:p>
    <w:p w14:paraId="6B51BF04" w14:textId="77777777" w:rsidR="00FB1D97" w:rsidRDefault="00DC7A6B">
      <w:pPr>
        <w:pBdr>
          <w:top w:val="nil"/>
          <w:left w:val="nil"/>
          <w:bottom w:val="nil"/>
          <w:right w:val="nil"/>
          <w:between w:val="nil"/>
        </w:pBdr>
        <w:jc w:val="both"/>
        <w:rPr>
          <w:rFonts w:ascii="Arial" w:eastAsia="Arial" w:hAnsi="Arial" w:cs="Arial"/>
          <w:color w:val="000000"/>
          <w:u w:val="single"/>
        </w:rPr>
      </w:pPr>
      <w:r>
        <w:rPr>
          <w:rFonts w:ascii="Arial" w:eastAsia="Arial" w:hAnsi="Arial" w:cs="Arial"/>
        </w:rPr>
        <w:t xml:space="preserve">All respondents were adequately informed about the study’s purpose, procedures, potential risks, and benefits prior to participation. Participation was entirely voluntary, and respondents were assured that they could decline or withdraw from the study at any time without any </w:t>
      </w:r>
      <w:proofErr w:type="spellStart"/>
      <w:r>
        <w:rPr>
          <w:rFonts w:ascii="Arial" w:eastAsia="Arial" w:hAnsi="Arial" w:cs="Arial"/>
        </w:rPr>
        <w:t>consequences.The</w:t>
      </w:r>
      <w:proofErr w:type="spellEnd"/>
      <w:r>
        <w:rPr>
          <w:rFonts w:ascii="Arial" w:eastAsia="Arial" w:hAnsi="Arial" w:cs="Arial"/>
        </w:rPr>
        <w:t xml:space="preserve"> respondents were given opportunity to ask questions about the study and all the questions had been answered correctly and to the best of the </w:t>
      </w:r>
      <w:proofErr w:type="gramStart"/>
      <w:r>
        <w:rPr>
          <w:rFonts w:ascii="Arial" w:eastAsia="Arial" w:hAnsi="Arial" w:cs="Arial"/>
        </w:rPr>
        <w:t>authors</w:t>
      </w:r>
      <w:proofErr w:type="gramEnd"/>
      <w:r>
        <w:rPr>
          <w:rFonts w:ascii="Arial" w:eastAsia="Arial" w:hAnsi="Arial" w:cs="Arial"/>
        </w:rPr>
        <w:t xml:space="preserve"> ability. Informed </w:t>
      </w:r>
      <w:r>
        <w:rPr>
          <w:rFonts w:ascii="Arial" w:eastAsia="Arial" w:hAnsi="Arial" w:cs="Arial"/>
        </w:rPr>
        <w:lastRenderedPageBreak/>
        <w:t>consent was obtained before the administration of the questionnaire. Anonymity and confidentiality were strictly maintained, with no personal identifiers collected, and all data were securely stored and accessed only by the research team.</w:t>
      </w:r>
    </w:p>
    <w:p w14:paraId="3A19FC35" w14:textId="77777777" w:rsidR="00FB1D97" w:rsidRDefault="00FB1D97">
      <w:pPr>
        <w:keepNext/>
        <w:pBdr>
          <w:top w:val="nil"/>
          <w:left w:val="nil"/>
          <w:bottom w:val="nil"/>
          <w:right w:val="nil"/>
          <w:between w:val="nil"/>
        </w:pBdr>
        <w:jc w:val="both"/>
        <w:rPr>
          <w:rFonts w:ascii="Arial" w:eastAsia="Arial" w:hAnsi="Arial" w:cs="Arial"/>
          <w:color w:val="000000"/>
        </w:rPr>
      </w:pPr>
    </w:p>
    <w:p w14:paraId="11ED4B8F" w14:textId="77777777" w:rsidR="00FB1D97" w:rsidRDefault="00DC7A6B">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ETHICAL APPROVAL</w:t>
      </w:r>
    </w:p>
    <w:p w14:paraId="5778594E" w14:textId="77777777" w:rsidR="00FB1D97" w:rsidRDefault="00FB1D97">
      <w:pPr>
        <w:keepNext/>
        <w:pBdr>
          <w:top w:val="nil"/>
          <w:left w:val="nil"/>
          <w:bottom w:val="nil"/>
          <w:right w:val="nil"/>
          <w:between w:val="nil"/>
        </w:pBdr>
        <w:jc w:val="both"/>
        <w:rPr>
          <w:rFonts w:ascii="Arial" w:eastAsia="Arial" w:hAnsi="Arial" w:cs="Arial"/>
          <w:b/>
          <w:bCs/>
          <w:smallCaps/>
          <w:sz w:val="22"/>
          <w:szCs w:val="22"/>
        </w:rPr>
      </w:pPr>
    </w:p>
    <w:p w14:paraId="3F06F38E" w14:textId="77777777" w:rsidR="00FB1D97" w:rsidRDefault="00DC7A6B">
      <w:pPr>
        <w:keepNext/>
        <w:jc w:val="both"/>
        <w:rPr>
          <w:rFonts w:ascii="Arial" w:eastAsia="Arial" w:hAnsi="Arial" w:cs="Arial"/>
        </w:rPr>
      </w:pPr>
      <w:r>
        <w:rPr>
          <w:rFonts w:ascii="Arial" w:eastAsia="Arial" w:hAnsi="Arial" w:cs="Arial"/>
        </w:rPr>
        <w:t xml:space="preserve">This study was submitted to the Iloilo Doctors College Institutional Research Ethics Committee (IDIREC) before data collection. The ethical principles that were followed guaranteed that the study complied with the ethical principles of respect, beneficence, and justice as detailed in the international and national research ethics guidelines. </w:t>
      </w:r>
    </w:p>
    <w:p w14:paraId="08BA6FD9" w14:textId="77777777" w:rsidR="00FB1D97" w:rsidRDefault="00DC7A6B">
      <w:pPr>
        <w:keepNext/>
        <w:jc w:val="both"/>
        <w:rPr>
          <w:rFonts w:ascii="Arial" w:eastAsia="Arial" w:hAnsi="Arial" w:cs="Arial"/>
        </w:rPr>
      </w:pPr>
      <w:r>
        <w:rPr>
          <w:rFonts w:ascii="Arial" w:eastAsia="Arial" w:hAnsi="Arial" w:cs="Arial"/>
        </w:rPr>
        <w:t>Participants were informed that participation is entirely voluntary, and they can withdraw anytime without consequences or loss of advantages. Written informed consent was obtained face-to-face prior to gaining access to the questionnaires. Only those volunteered to participate were included in the research study. No participant was given any physical, material, or financial incentives. The researchers prioritized patient privacy by replacing real names with numerical serial numbers and followed confidentiality standards by securing all identifiable participant information and storing all respondent data on a password-protected laptop and locked cabinet that was accessible only to the researchers. The Google Form and questionnaires that were used for data collection were permanently removed after the analysis. The researchers have declared no conflict of interest in the undertaking of this research. This was purely for academic and learning purposes. This study contributed to encouraging inclusiveness, empathy, and communication by enabling student nurses to become aware of the importance of learning sign language. The results were used to base the inclusion of teaching sign language in the nursing curriculum to allow nursing students who become professional nurses to provide nursing that is inclusive and patient-centered.</w:t>
      </w:r>
    </w:p>
    <w:p w14:paraId="73618277" w14:textId="77777777" w:rsidR="00FB1D97" w:rsidRDefault="00FB1D97">
      <w:pPr>
        <w:keepNext/>
        <w:jc w:val="both"/>
        <w:rPr>
          <w:rFonts w:ascii="Arial" w:eastAsia="Arial" w:hAnsi="Arial" w:cs="Arial"/>
        </w:rPr>
      </w:pPr>
    </w:p>
    <w:p w14:paraId="7ED6F6A1" w14:textId="77777777" w:rsidR="00FB1D97" w:rsidRDefault="00DC7A6B">
      <w:pPr>
        <w:keepNext/>
        <w:jc w:val="both"/>
        <w:rPr>
          <w:rFonts w:ascii="Arial" w:eastAsia="Arial" w:hAnsi="Arial" w:cs="Arial"/>
        </w:rPr>
      </w:pPr>
      <w:r>
        <w:rPr>
          <w:rFonts w:ascii="Arial" w:eastAsia="Arial" w:hAnsi="Arial" w:cs="Arial"/>
        </w:rPr>
        <w:t>All authors hereby declare that all experiments have been examined and approved by the appropriate ethics committee and have therefore been performed in accordance with the ethical standards laid down in the 1964 Declaration of Helsinki. All respondents were informed of the purpose, procedures, and objectives of the study prior to their participation. They were assured that their participation was voluntary and that they had the right to withdraw at any time without any consequences. Written informed consent was obtained from each participant before the administration of the survey. Confidentiality and anonymity were strictly maintained throughout the study. All data collected were kept secure and used solely for research purposes.</w:t>
      </w:r>
    </w:p>
    <w:p w14:paraId="17C071CE" w14:textId="77777777" w:rsidR="00FB1D97" w:rsidRDefault="00FB1D97">
      <w:pPr>
        <w:keepNext/>
        <w:jc w:val="both"/>
        <w:rPr>
          <w:rFonts w:ascii="Arial" w:eastAsia="Arial" w:hAnsi="Arial" w:cs="Arial"/>
          <w:b/>
          <w:bCs/>
          <w:smallCaps/>
          <w:sz w:val="22"/>
          <w:szCs w:val="22"/>
        </w:rPr>
      </w:pPr>
    </w:p>
    <w:p w14:paraId="4CDAB44B" w14:textId="77777777" w:rsidR="00FB1D97" w:rsidRDefault="00DC7A6B">
      <w:pPr>
        <w:keepNext/>
        <w:jc w:val="both"/>
        <w:rPr>
          <w:rFonts w:ascii="Arial" w:eastAsia="Arial" w:hAnsi="Arial" w:cs="Arial"/>
          <w:u w:val="single"/>
        </w:rPr>
      </w:pPr>
      <w:r>
        <w:rPr>
          <w:rFonts w:ascii="Arial" w:eastAsia="Arial" w:hAnsi="Arial" w:cs="Arial"/>
          <w:b/>
          <w:bCs/>
          <w:smallCaps/>
          <w:sz w:val="22"/>
          <w:szCs w:val="22"/>
        </w:rPr>
        <w:t>DISCLAIMER</w:t>
      </w:r>
    </w:p>
    <w:p w14:paraId="7D436D85" w14:textId="77777777" w:rsidR="00FB1D97" w:rsidRDefault="00FB1D97">
      <w:pPr>
        <w:keepNext/>
        <w:jc w:val="both"/>
        <w:rPr>
          <w:rFonts w:ascii="Arial" w:eastAsia="Arial" w:hAnsi="Arial" w:cs="Arial"/>
        </w:rPr>
      </w:pPr>
    </w:p>
    <w:p w14:paraId="1ECD8413" w14:textId="77777777" w:rsidR="00FB1D97" w:rsidRDefault="00DC7A6B">
      <w:pPr>
        <w:keepNext/>
        <w:jc w:val="both"/>
        <w:rPr>
          <w:rFonts w:ascii="Arial" w:eastAsia="Arial" w:hAnsi="Arial" w:cs="Arial"/>
        </w:rPr>
      </w:pPr>
      <w:r>
        <w:rPr>
          <w:rFonts w:ascii="Arial" w:eastAsia="Arial" w:hAnsi="Arial" w:cs="Arial"/>
        </w:rPr>
        <w:t xml:space="preserve">The researchers used </w:t>
      </w:r>
      <w:proofErr w:type="spellStart"/>
      <w:r>
        <w:rPr>
          <w:rFonts w:ascii="Arial" w:eastAsia="Arial" w:hAnsi="Arial" w:cs="Arial"/>
        </w:rPr>
        <w:t>Chatgpt</w:t>
      </w:r>
      <w:proofErr w:type="spellEnd"/>
      <w:r>
        <w:rPr>
          <w:rFonts w:ascii="Arial" w:eastAsia="Arial" w:hAnsi="Arial" w:cs="Arial"/>
        </w:rPr>
        <w:t xml:space="preserve"> and Gemini to improve the study' s grammar, organizing text and clarifying research queries. The authors have declared that all the informat</w:t>
      </w:r>
      <w:bookmarkStart w:id="13" w:name="_GoBack"/>
      <w:bookmarkEnd w:id="13"/>
      <w:r>
        <w:rPr>
          <w:rFonts w:ascii="Arial" w:eastAsia="Arial" w:hAnsi="Arial" w:cs="Arial"/>
        </w:rPr>
        <w:t>ion, analysis, and data were all accurate and the researcher’s own work. The researchers have the full responsibility for the content of this study.</w:t>
      </w:r>
    </w:p>
    <w:p w14:paraId="4D509103" w14:textId="77777777" w:rsidR="00FB1D97" w:rsidRDefault="00FB1D97">
      <w:pPr>
        <w:keepNext/>
        <w:jc w:val="both"/>
        <w:rPr>
          <w:rFonts w:ascii="Arial" w:eastAsia="Arial" w:hAnsi="Arial" w:cs="Arial"/>
        </w:rPr>
      </w:pPr>
    </w:p>
    <w:p w14:paraId="26D7FE34" w14:textId="77777777" w:rsidR="00FB1D97" w:rsidRDefault="00DC7A6B">
      <w:pPr>
        <w:keepNext/>
        <w:jc w:val="both"/>
        <w:rPr>
          <w:rFonts w:ascii="Arial" w:eastAsia="Arial" w:hAnsi="Arial" w:cs="Arial"/>
          <w:b/>
          <w:bCs/>
          <w:smallCaps/>
          <w:color w:val="000000"/>
          <w:sz w:val="22"/>
          <w:szCs w:val="22"/>
        </w:rPr>
      </w:pPr>
      <w:r>
        <w:rPr>
          <w:rFonts w:ascii="Arial" w:eastAsia="Arial" w:hAnsi="Arial" w:cs="Arial"/>
          <w:b/>
          <w:bCs/>
          <w:smallCaps/>
          <w:color w:val="000000"/>
          <w:sz w:val="22"/>
          <w:szCs w:val="22"/>
        </w:rPr>
        <w:t>R</w:t>
      </w:r>
      <w:r>
        <w:rPr>
          <w:rFonts w:ascii="Arial" w:eastAsia="Arial" w:hAnsi="Arial" w:cs="Arial"/>
          <w:b/>
          <w:bCs/>
          <w:smallCaps/>
          <w:sz w:val="22"/>
          <w:szCs w:val="22"/>
        </w:rPr>
        <w:t>EFERENCE</w:t>
      </w:r>
    </w:p>
    <w:p w14:paraId="473FC9C3" w14:textId="77777777"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Abou-Abdallah</w:t>
      </w:r>
      <w:proofErr w:type="spellEnd"/>
      <w:r>
        <w:rPr>
          <w:rFonts w:ascii="Arial" w:eastAsia="Arial" w:hAnsi="Arial" w:cs="Arial"/>
          <w:sz w:val="24"/>
          <w:szCs w:val="24"/>
        </w:rPr>
        <w:t xml:space="preserve">, M., &amp; </w:t>
      </w:r>
      <w:proofErr w:type="spellStart"/>
      <w:r>
        <w:rPr>
          <w:rFonts w:ascii="Arial" w:eastAsia="Arial" w:hAnsi="Arial" w:cs="Arial"/>
          <w:sz w:val="24"/>
          <w:szCs w:val="24"/>
        </w:rPr>
        <w:t>Lamyman</w:t>
      </w:r>
      <w:proofErr w:type="spellEnd"/>
      <w:r>
        <w:rPr>
          <w:rFonts w:ascii="Arial" w:eastAsia="Arial" w:hAnsi="Arial" w:cs="Arial"/>
          <w:sz w:val="24"/>
          <w:szCs w:val="24"/>
        </w:rPr>
        <w:t>, A. (2021).</w:t>
      </w:r>
      <w:r>
        <w:rPr>
          <w:rFonts w:ascii="Arial" w:eastAsia="Arial" w:hAnsi="Arial" w:cs="Arial"/>
          <w:i/>
          <w:iCs/>
          <w:sz w:val="24"/>
          <w:szCs w:val="24"/>
        </w:rPr>
        <w:t xml:space="preserve"> </w:t>
      </w:r>
      <w:r>
        <w:rPr>
          <w:rFonts w:ascii="Arial" w:eastAsia="Arial" w:hAnsi="Arial" w:cs="Arial"/>
          <w:sz w:val="24"/>
          <w:szCs w:val="24"/>
        </w:rPr>
        <w:t xml:space="preserve">Exploring communication difficulties with deaf patients. </w:t>
      </w:r>
      <w:r>
        <w:rPr>
          <w:rFonts w:ascii="Arial" w:eastAsia="Arial" w:hAnsi="Arial" w:cs="Arial"/>
          <w:i/>
          <w:iCs/>
          <w:sz w:val="24"/>
          <w:szCs w:val="24"/>
        </w:rPr>
        <w:t>Clinical Medicine, 21</w:t>
      </w:r>
      <w:r>
        <w:rPr>
          <w:rFonts w:ascii="Arial" w:eastAsia="Arial" w:hAnsi="Arial" w:cs="Arial"/>
          <w:sz w:val="24"/>
          <w:szCs w:val="24"/>
        </w:rPr>
        <w:t xml:space="preserve">(4), e380–e383. </w:t>
      </w:r>
      <w:hyperlink r:id="rId23">
        <w:r>
          <w:rPr>
            <w:rFonts w:ascii="Arial" w:eastAsia="Arial" w:hAnsi="Arial" w:cs="Arial"/>
            <w:sz w:val="24"/>
            <w:szCs w:val="24"/>
          </w:rPr>
          <w:t>https://doi.org/10.7861/clinmed.2021-0111</w:t>
        </w:r>
      </w:hyperlink>
    </w:p>
    <w:p w14:paraId="752C1282" w14:textId="77777777"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Adade</w:t>
      </w:r>
      <w:proofErr w:type="spellEnd"/>
      <w:r>
        <w:rPr>
          <w:rFonts w:ascii="Arial" w:eastAsia="Arial" w:hAnsi="Arial" w:cs="Arial"/>
          <w:sz w:val="24"/>
          <w:szCs w:val="24"/>
        </w:rPr>
        <w:t xml:space="preserve">, R., </w:t>
      </w:r>
      <w:proofErr w:type="spellStart"/>
      <w:r>
        <w:rPr>
          <w:rFonts w:ascii="Arial" w:eastAsia="Arial" w:hAnsi="Arial" w:cs="Arial"/>
          <w:sz w:val="24"/>
          <w:szCs w:val="24"/>
        </w:rPr>
        <w:t>Appau</w:t>
      </w:r>
      <w:proofErr w:type="spellEnd"/>
      <w:r>
        <w:rPr>
          <w:rFonts w:ascii="Arial" w:eastAsia="Arial" w:hAnsi="Arial" w:cs="Arial"/>
          <w:sz w:val="24"/>
          <w:szCs w:val="24"/>
        </w:rPr>
        <w:t xml:space="preserve">, O., </w:t>
      </w:r>
      <w:proofErr w:type="spellStart"/>
      <w:r>
        <w:rPr>
          <w:rFonts w:ascii="Arial" w:eastAsia="Arial" w:hAnsi="Arial" w:cs="Arial"/>
          <w:sz w:val="24"/>
          <w:szCs w:val="24"/>
        </w:rPr>
        <w:t>Peprah</w:t>
      </w:r>
      <w:proofErr w:type="spellEnd"/>
      <w:r>
        <w:rPr>
          <w:rFonts w:ascii="Arial" w:eastAsia="Arial" w:hAnsi="Arial" w:cs="Arial"/>
          <w:sz w:val="24"/>
          <w:szCs w:val="24"/>
        </w:rPr>
        <w:t xml:space="preserve">, P., </w:t>
      </w:r>
      <w:proofErr w:type="spellStart"/>
      <w:r>
        <w:rPr>
          <w:rFonts w:ascii="Arial" w:eastAsia="Arial" w:hAnsi="Arial" w:cs="Arial"/>
          <w:sz w:val="24"/>
          <w:szCs w:val="24"/>
        </w:rPr>
        <w:t>Serwaa</w:t>
      </w:r>
      <w:proofErr w:type="spellEnd"/>
      <w:r>
        <w:rPr>
          <w:rFonts w:ascii="Arial" w:eastAsia="Arial" w:hAnsi="Arial" w:cs="Arial"/>
          <w:sz w:val="24"/>
          <w:szCs w:val="24"/>
        </w:rPr>
        <w:t xml:space="preserve">, P. M., </w:t>
      </w:r>
      <w:proofErr w:type="spellStart"/>
      <w:r>
        <w:rPr>
          <w:rFonts w:ascii="Arial" w:eastAsia="Arial" w:hAnsi="Arial" w:cs="Arial"/>
          <w:sz w:val="24"/>
          <w:szCs w:val="24"/>
        </w:rPr>
        <w:t>Fobi</w:t>
      </w:r>
      <w:proofErr w:type="spellEnd"/>
      <w:r>
        <w:rPr>
          <w:rFonts w:ascii="Arial" w:eastAsia="Arial" w:hAnsi="Arial" w:cs="Arial"/>
          <w:sz w:val="24"/>
          <w:szCs w:val="24"/>
        </w:rPr>
        <w:t xml:space="preserve">, D., &amp; </w:t>
      </w:r>
      <w:proofErr w:type="spellStart"/>
      <w:r>
        <w:rPr>
          <w:rFonts w:ascii="Arial" w:eastAsia="Arial" w:hAnsi="Arial" w:cs="Arial"/>
          <w:sz w:val="24"/>
          <w:szCs w:val="24"/>
        </w:rPr>
        <w:t>Tawiah</w:t>
      </w:r>
      <w:proofErr w:type="spellEnd"/>
      <w:r>
        <w:rPr>
          <w:rFonts w:ascii="Arial" w:eastAsia="Arial" w:hAnsi="Arial" w:cs="Arial"/>
          <w:sz w:val="24"/>
          <w:szCs w:val="24"/>
        </w:rPr>
        <w:t xml:space="preserve">, R. (2023). Perception of Ghanaian healthcare students towards the learning of sign language as course. </w:t>
      </w:r>
      <w:r>
        <w:rPr>
          <w:rFonts w:ascii="Arial" w:eastAsia="Arial" w:hAnsi="Arial" w:cs="Arial"/>
          <w:i/>
          <w:iCs/>
          <w:sz w:val="24"/>
          <w:szCs w:val="24"/>
        </w:rPr>
        <w:t>Cogent Public Health, 10</w:t>
      </w:r>
      <w:r>
        <w:rPr>
          <w:rFonts w:ascii="Arial" w:eastAsia="Arial" w:hAnsi="Arial" w:cs="Arial"/>
          <w:sz w:val="24"/>
          <w:szCs w:val="24"/>
        </w:rPr>
        <w:t xml:space="preserve">(1). </w:t>
      </w:r>
      <w:hyperlink r:id="rId24">
        <w:r>
          <w:rPr>
            <w:rFonts w:ascii="Arial" w:eastAsia="Arial" w:hAnsi="Arial" w:cs="Arial"/>
            <w:sz w:val="24"/>
            <w:szCs w:val="24"/>
          </w:rPr>
          <w:t>https://doi.org/10.1080/27707571.2023.2192999</w:t>
        </w:r>
      </w:hyperlink>
    </w:p>
    <w:p w14:paraId="36CEE8CF" w14:textId="77777777" w:rsidR="00FB1D97" w:rsidRDefault="00DC7A6B">
      <w:pPr>
        <w:keepNext/>
        <w:ind w:left="720"/>
        <w:rPr>
          <w:rFonts w:ascii="Arial" w:eastAsia="Arial" w:hAnsi="Arial" w:cs="Arial"/>
          <w:sz w:val="24"/>
          <w:szCs w:val="24"/>
        </w:rPr>
      </w:pPr>
      <w:r>
        <w:rPr>
          <w:rFonts w:ascii="Arial" w:eastAsia="Arial" w:hAnsi="Arial" w:cs="Arial"/>
          <w:sz w:val="24"/>
          <w:szCs w:val="24"/>
        </w:rPr>
        <w:t xml:space="preserve">Ahmed, I., &amp; </w:t>
      </w:r>
      <w:proofErr w:type="spellStart"/>
      <w:r>
        <w:rPr>
          <w:rFonts w:ascii="Arial" w:eastAsia="Arial" w:hAnsi="Arial" w:cs="Arial"/>
          <w:sz w:val="24"/>
          <w:szCs w:val="24"/>
        </w:rPr>
        <w:t>Ishtiaq</w:t>
      </w:r>
      <w:proofErr w:type="spellEnd"/>
      <w:r>
        <w:rPr>
          <w:rFonts w:ascii="Arial" w:eastAsia="Arial" w:hAnsi="Arial" w:cs="Arial"/>
          <w:sz w:val="24"/>
          <w:szCs w:val="24"/>
        </w:rPr>
        <w:t xml:space="preserve">, S. (2021). Reliability and Validity: Importance in medical research. </w:t>
      </w:r>
      <w:r>
        <w:rPr>
          <w:rFonts w:ascii="Arial" w:eastAsia="Arial" w:hAnsi="Arial" w:cs="Arial"/>
          <w:i/>
          <w:iCs/>
          <w:sz w:val="24"/>
          <w:szCs w:val="24"/>
        </w:rPr>
        <w:t>Journal of the Pakistan Medical Association, 71</w:t>
      </w:r>
      <w:r>
        <w:rPr>
          <w:rFonts w:ascii="Arial" w:eastAsia="Arial" w:hAnsi="Arial" w:cs="Arial"/>
          <w:sz w:val="24"/>
          <w:szCs w:val="24"/>
        </w:rPr>
        <w:t xml:space="preserve">(10), 2401–2406. </w:t>
      </w:r>
      <w:hyperlink r:id="rId25">
        <w:r>
          <w:rPr>
            <w:rFonts w:ascii="Arial" w:eastAsia="Arial" w:hAnsi="Arial" w:cs="Arial"/>
            <w:sz w:val="24"/>
            <w:szCs w:val="24"/>
          </w:rPr>
          <w:t>https://doi.org/10.47391/jpma.06-861</w:t>
        </w:r>
      </w:hyperlink>
    </w:p>
    <w:p w14:paraId="3AC6101C" w14:textId="77777777" w:rsidR="00FB1D97" w:rsidRDefault="00DC7A6B">
      <w:pPr>
        <w:keepNext/>
        <w:ind w:left="720"/>
        <w:rPr>
          <w:rFonts w:ascii="Times New Roman" w:eastAsia="Times New Roman" w:hAnsi="Times New Roman" w:cs="Times New Roman"/>
          <w:sz w:val="24"/>
          <w:szCs w:val="24"/>
        </w:rPr>
      </w:pPr>
      <w:proofErr w:type="spellStart"/>
      <w:r>
        <w:rPr>
          <w:rFonts w:ascii="Arial" w:eastAsia="Arial" w:hAnsi="Arial" w:cs="Arial"/>
          <w:sz w:val="24"/>
          <w:szCs w:val="24"/>
        </w:rPr>
        <w:lastRenderedPageBreak/>
        <w:t>Alamro</w:t>
      </w:r>
      <w:proofErr w:type="spellEnd"/>
      <w:r>
        <w:rPr>
          <w:rFonts w:ascii="Arial" w:eastAsia="Arial" w:hAnsi="Arial" w:cs="Arial"/>
          <w:sz w:val="24"/>
          <w:szCs w:val="24"/>
        </w:rPr>
        <w:t xml:space="preserve">, N., </w:t>
      </w:r>
      <w:proofErr w:type="spellStart"/>
      <w:r>
        <w:rPr>
          <w:rFonts w:ascii="Arial" w:eastAsia="Arial" w:hAnsi="Arial" w:cs="Arial"/>
          <w:sz w:val="24"/>
          <w:szCs w:val="24"/>
        </w:rPr>
        <w:t>Alsahil</w:t>
      </w:r>
      <w:proofErr w:type="spellEnd"/>
      <w:r>
        <w:rPr>
          <w:rFonts w:ascii="Arial" w:eastAsia="Arial" w:hAnsi="Arial" w:cs="Arial"/>
          <w:sz w:val="24"/>
          <w:szCs w:val="24"/>
        </w:rPr>
        <w:t xml:space="preserve">, S., </w:t>
      </w:r>
      <w:proofErr w:type="spellStart"/>
      <w:r>
        <w:rPr>
          <w:rFonts w:ascii="Arial" w:eastAsia="Arial" w:hAnsi="Arial" w:cs="Arial"/>
          <w:sz w:val="24"/>
          <w:szCs w:val="24"/>
        </w:rPr>
        <w:t>Alhaqbani</w:t>
      </w:r>
      <w:proofErr w:type="spellEnd"/>
      <w:r>
        <w:rPr>
          <w:rFonts w:ascii="Arial" w:eastAsia="Arial" w:hAnsi="Arial" w:cs="Arial"/>
          <w:sz w:val="24"/>
          <w:szCs w:val="24"/>
        </w:rPr>
        <w:t xml:space="preserve">, R., </w:t>
      </w:r>
      <w:proofErr w:type="spellStart"/>
      <w:r>
        <w:rPr>
          <w:rFonts w:ascii="Arial" w:eastAsia="Arial" w:hAnsi="Arial" w:cs="Arial"/>
          <w:sz w:val="24"/>
          <w:szCs w:val="24"/>
        </w:rPr>
        <w:t>Alburaykan</w:t>
      </w:r>
      <w:proofErr w:type="spellEnd"/>
      <w:r>
        <w:rPr>
          <w:rFonts w:ascii="Arial" w:eastAsia="Arial" w:hAnsi="Arial" w:cs="Arial"/>
          <w:sz w:val="24"/>
          <w:szCs w:val="24"/>
        </w:rPr>
        <w:t xml:space="preserve">, N., &amp; </w:t>
      </w:r>
      <w:proofErr w:type="spellStart"/>
      <w:r>
        <w:rPr>
          <w:rFonts w:ascii="Arial" w:eastAsia="Arial" w:hAnsi="Arial" w:cs="Arial"/>
          <w:sz w:val="24"/>
          <w:szCs w:val="24"/>
        </w:rPr>
        <w:t>Alali</w:t>
      </w:r>
      <w:proofErr w:type="spellEnd"/>
      <w:r>
        <w:rPr>
          <w:rFonts w:ascii="Arial" w:eastAsia="Arial" w:hAnsi="Arial" w:cs="Arial"/>
          <w:sz w:val="24"/>
          <w:szCs w:val="24"/>
        </w:rPr>
        <w:t xml:space="preserve">, N. (2023). Knowledge, attitudes, and practices toward deaf patients among healthcare workers in Saudi Arabia: 2020-2021. </w:t>
      </w:r>
      <w:proofErr w:type="spellStart"/>
      <w:r>
        <w:rPr>
          <w:rFonts w:ascii="Arial" w:eastAsia="Arial" w:hAnsi="Arial" w:cs="Arial"/>
          <w:i/>
          <w:iCs/>
          <w:sz w:val="24"/>
          <w:szCs w:val="24"/>
        </w:rPr>
        <w:t>Cureus</w:t>
      </w:r>
      <w:proofErr w:type="spellEnd"/>
      <w:r>
        <w:rPr>
          <w:rFonts w:ascii="Arial" w:eastAsia="Arial" w:hAnsi="Arial" w:cs="Arial"/>
          <w:i/>
          <w:iCs/>
          <w:sz w:val="24"/>
          <w:szCs w:val="24"/>
        </w:rPr>
        <w:t>, 15</w:t>
      </w:r>
      <w:r>
        <w:rPr>
          <w:rFonts w:ascii="Arial" w:eastAsia="Arial" w:hAnsi="Arial" w:cs="Arial"/>
          <w:sz w:val="24"/>
          <w:szCs w:val="24"/>
        </w:rPr>
        <w:t xml:space="preserve">(11), e49655. </w:t>
      </w:r>
      <w:hyperlink r:id="rId26">
        <w:r>
          <w:rPr>
            <w:rFonts w:ascii="Arial" w:eastAsia="Arial" w:hAnsi="Arial" w:cs="Arial"/>
            <w:sz w:val="24"/>
            <w:szCs w:val="24"/>
          </w:rPr>
          <w:t>https://doi.org/10.7759/cureus.49655</w:t>
        </w:r>
      </w:hyperlink>
    </w:p>
    <w:p w14:paraId="5B64E3E1" w14:textId="77777777" w:rsidR="00FB1D97" w:rsidRDefault="00DC7A6B">
      <w:pPr>
        <w:keepNext/>
        <w:ind w:left="720"/>
        <w:rPr>
          <w:rFonts w:ascii="Arial" w:eastAsia="Arial" w:hAnsi="Arial" w:cs="Arial"/>
          <w:sz w:val="24"/>
          <w:szCs w:val="24"/>
        </w:rPr>
      </w:pPr>
      <w:r>
        <w:rPr>
          <w:rFonts w:ascii="Arial" w:eastAsia="Arial" w:hAnsi="Arial" w:cs="Arial"/>
          <w:sz w:val="24"/>
          <w:szCs w:val="24"/>
        </w:rPr>
        <w:t xml:space="preserve">Anwar, Z. (2026, February 10). </w:t>
      </w:r>
      <w:r>
        <w:rPr>
          <w:rFonts w:ascii="Arial" w:eastAsia="Arial" w:hAnsi="Arial" w:cs="Arial"/>
          <w:i/>
          <w:iCs/>
          <w:sz w:val="24"/>
          <w:szCs w:val="24"/>
        </w:rPr>
        <w:t>Intent: Overview, definition, and example</w:t>
      </w:r>
      <w:r>
        <w:rPr>
          <w:rFonts w:ascii="Arial" w:eastAsia="Arial" w:hAnsi="Arial" w:cs="Arial"/>
          <w:sz w:val="24"/>
          <w:szCs w:val="24"/>
        </w:rPr>
        <w:t xml:space="preserve">. </w:t>
      </w:r>
      <w:proofErr w:type="spellStart"/>
      <w:r>
        <w:rPr>
          <w:rFonts w:ascii="Arial" w:eastAsia="Arial" w:hAnsi="Arial" w:cs="Arial"/>
          <w:sz w:val="24"/>
          <w:szCs w:val="24"/>
        </w:rPr>
        <w:t>Cobrief</w:t>
      </w:r>
      <w:proofErr w:type="spellEnd"/>
      <w:r>
        <w:rPr>
          <w:rFonts w:ascii="Arial" w:eastAsia="Arial" w:hAnsi="Arial" w:cs="Arial"/>
          <w:sz w:val="24"/>
          <w:szCs w:val="24"/>
        </w:rPr>
        <w:t xml:space="preserve">. </w:t>
      </w:r>
      <w:hyperlink r:id="rId27">
        <w:r>
          <w:rPr>
            <w:rFonts w:ascii="Arial" w:eastAsia="Arial" w:hAnsi="Arial" w:cs="Arial"/>
            <w:sz w:val="24"/>
            <w:szCs w:val="24"/>
          </w:rPr>
          <w:t>https://www.cobrief.app/resources/legal-glossary/intent-overview-definition-and-exampl</w:t>
        </w:r>
      </w:hyperlink>
      <w:r>
        <w:rPr>
          <w:rFonts w:ascii="Arial" w:eastAsia="Arial" w:hAnsi="Arial" w:cs="Arial"/>
          <w:sz w:val="24"/>
          <w:szCs w:val="24"/>
        </w:rPr>
        <w:t>e</w:t>
      </w:r>
    </w:p>
    <w:p w14:paraId="4887032F" w14:textId="77777777" w:rsidR="00FB1D97" w:rsidRDefault="00DC7A6B">
      <w:pPr>
        <w:keepNext/>
        <w:ind w:left="720"/>
        <w:rPr>
          <w:rFonts w:ascii="Arial" w:eastAsia="Arial" w:hAnsi="Arial" w:cs="Arial"/>
          <w:sz w:val="24"/>
          <w:szCs w:val="24"/>
        </w:rPr>
      </w:pPr>
      <w:r>
        <w:rPr>
          <w:rFonts w:ascii="Arial" w:eastAsia="Arial" w:hAnsi="Arial" w:cs="Arial"/>
          <w:sz w:val="24"/>
          <w:szCs w:val="24"/>
        </w:rPr>
        <w:t xml:space="preserve">Arias, N. R., &amp; </w:t>
      </w:r>
      <w:proofErr w:type="spellStart"/>
      <w:r>
        <w:rPr>
          <w:rFonts w:ascii="Arial" w:eastAsia="Arial" w:hAnsi="Arial" w:cs="Arial"/>
          <w:sz w:val="24"/>
          <w:szCs w:val="24"/>
        </w:rPr>
        <w:t>Pailaquilén</w:t>
      </w:r>
      <w:proofErr w:type="spellEnd"/>
      <w:r>
        <w:rPr>
          <w:rFonts w:ascii="Arial" w:eastAsia="Arial" w:hAnsi="Arial" w:cs="Arial"/>
          <w:sz w:val="24"/>
          <w:szCs w:val="24"/>
        </w:rPr>
        <w:t>, R. M. B. (2023). Experiences of hospital health professionals in the care of deaf patients.</w:t>
      </w:r>
      <w:r>
        <w:rPr>
          <w:rFonts w:ascii="Arial" w:eastAsia="Arial" w:hAnsi="Arial" w:cs="Arial"/>
          <w:i/>
          <w:iCs/>
          <w:sz w:val="24"/>
          <w:szCs w:val="24"/>
        </w:rPr>
        <w:t xml:space="preserve"> </w:t>
      </w:r>
      <w:proofErr w:type="spellStart"/>
      <w:r>
        <w:rPr>
          <w:rFonts w:ascii="Arial" w:eastAsia="Arial" w:hAnsi="Arial" w:cs="Arial"/>
          <w:i/>
          <w:iCs/>
          <w:sz w:val="24"/>
          <w:szCs w:val="24"/>
        </w:rPr>
        <w:t>Revista</w:t>
      </w:r>
      <w:proofErr w:type="spellEnd"/>
      <w:r>
        <w:rPr>
          <w:rFonts w:ascii="Arial" w:eastAsia="Arial" w:hAnsi="Arial" w:cs="Arial"/>
          <w:i/>
          <w:iCs/>
          <w:sz w:val="24"/>
          <w:szCs w:val="24"/>
        </w:rPr>
        <w:t xml:space="preserve"> De </w:t>
      </w:r>
      <w:proofErr w:type="spellStart"/>
      <w:r>
        <w:rPr>
          <w:rFonts w:ascii="Arial" w:eastAsia="Arial" w:hAnsi="Arial" w:cs="Arial"/>
          <w:i/>
          <w:iCs/>
          <w:sz w:val="24"/>
          <w:szCs w:val="24"/>
        </w:rPr>
        <w:t>Salud</w:t>
      </w:r>
      <w:proofErr w:type="spellEnd"/>
      <w:r>
        <w:rPr>
          <w:rFonts w:ascii="Arial" w:eastAsia="Arial" w:hAnsi="Arial" w:cs="Arial"/>
          <w:i/>
          <w:iCs/>
          <w:sz w:val="24"/>
          <w:szCs w:val="24"/>
        </w:rPr>
        <w:t xml:space="preserve"> </w:t>
      </w:r>
      <w:proofErr w:type="spellStart"/>
      <w:r>
        <w:rPr>
          <w:rFonts w:ascii="Arial" w:eastAsia="Arial" w:hAnsi="Arial" w:cs="Arial"/>
          <w:i/>
          <w:iCs/>
          <w:sz w:val="24"/>
          <w:szCs w:val="24"/>
        </w:rPr>
        <w:t>Pública</w:t>
      </w:r>
      <w:proofErr w:type="spellEnd"/>
      <w:r>
        <w:rPr>
          <w:rFonts w:ascii="Arial" w:eastAsia="Arial" w:hAnsi="Arial" w:cs="Arial"/>
          <w:i/>
          <w:iCs/>
          <w:sz w:val="24"/>
          <w:szCs w:val="24"/>
        </w:rPr>
        <w:t>, 25</w:t>
      </w:r>
      <w:r>
        <w:rPr>
          <w:rFonts w:ascii="Arial" w:eastAsia="Arial" w:hAnsi="Arial" w:cs="Arial"/>
          <w:sz w:val="24"/>
          <w:szCs w:val="24"/>
        </w:rPr>
        <w:t>(6), 1–9. https://doi.org/10.15446/rsap.v25n6.109176</w:t>
      </w:r>
    </w:p>
    <w:p w14:paraId="7E91F0BF" w14:textId="77777777" w:rsidR="00FB1D97" w:rsidRDefault="00DC7A6B">
      <w:pPr>
        <w:keepNext/>
        <w:ind w:left="720"/>
        <w:rPr>
          <w:rFonts w:ascii="Arial" w:eastAsia="Arial" w:hAnsi="Arial" w:cs="Arial"/>
          <w:sz w:val="24"/>
          <w:szCs w:val="24"/>
        </w:rPr>
      </w:pPr>
      <w:r>
        <w:rPr>
          <w:rFonts w:ascii="Arial" w:eastAsia="Arial" w:hAnsi="Arial" w:cs="Arial"/>
          <w:sz w:val="24"/>
          <w:szCs w:val="24"/>
        </w:rPr>
        <w:t>Bairstow, N. R., PhD. (2024, October 7).</w:t>
      </w:r>
      <w:r>
        <w:rPr>
          <w:rFonts w:ascii="Arial" w:eastAsia="Arial" w:hAnsi="Arial" w:cs="Arial"/>
          <w:i/>
          <w:iCs/>
          <w:sz w:val="24"/>
          <w:szCs w:val="24"/>
        </w:rPr>
        <w:t xml:space="preserve"> Simple strategies to make social settings more welcoming for the hearing impaired.</w:t>
      </w:r>
      <w:r>
        <w:rPr>
          <w:rFonts w:ascii="Arial" w:eastAsia="Arial" w:hAnsi="Arial" w:cs="Arial"/>
          <w:sz w:val="24"/>
          <w:szCs w:val="24"/>
        </w:rPr>
        <w:t xml:space="preserve"> Psychology Today. </w:t>
      </w:r>
      <w:hyperlink r:id="rId28">
        <w:r>
          <w:rPr>
            <w:rFonts w:ascii="Arial" w:eastAsia="Arial" w:hAnsi="Arial" w:cs="Arial"/>
            <w:sz w:val="24"/>
            <w:szCs w:val="24"/>
          </w:rPr>
          <w:t>https://www.psychologytoday.com/us/blog/disconnection-dynamics/202406/how-to-foster-social-inclusion-for-hearing-impaired-persons</w:t>
        </w:r>
      </w:hyperlink>
    </w:p>
    <w:p w14:paraId="3FCDC4F3" w14:textId="77777777" w:rsidR="00FB1D97" w:rsidRDefault="00DC7A6B">
      <w:pPr>
        <w:keepNext/>
        <w:ind w:left="720"/>
        <w:rPr>
          <w:rFonts w:ascii="Times New Roman" w:eastAsia="Times New Roman" w:hAnsi="Times New Roman" w:cs="Times New Roman"/>
          <w:sz w:val="24"/>
          <w:szCs w:val="24"/>
        </w:rPr>
      </w:pPr>
      <w:proofErr w:type="spellStart"/>
      <w:r>
        <w:rPr>
          <w:rFonts w:ascii="Arial" w:eastAsia="Arial" w:hAnsi="Arial" w:cs="Arial"/>
          <w:sz w:val="24"/>
          <w:szCs w:val="24"/>
        </w:rPr>
        <w:t>Bialza</w:t>
      </w:r>
      <w:proofErr w:type="spellEnd"/>
      <w:r>
        <w:rPr>
          <w:rFonts w:ascii="Arial" w:eastAsia="Arial" w:hAnsi="Arial" w:cs="Arial"/>
          <w:sz w:val="24"/>
          <w:szCs w:val="24"/>
        </w:rPr>
        <w:t xml:space="preserve">, E., </w:t>
      </w:r>
      <w:proofErr w:type="spellStart"/>
      <w:r>
        <w:rPr>
          <w:rFonts w:ascii="Arial" w:eastAsia="Arial" w:hAnsi="Arial" w:cs="Arial"/>
          <w:sz w:val="24"/>
          <w:szCs w:val="24"/>
        </w:rPr>
        <w:t>Carillo</w:t>
      </w:r>
      <w:proofErr w:type="spellEnd"/>
      <w:r>
        <w:rPr>
          <w:rFonts w:ascii="Arial" w:eastAsia="Arial" w:hAnsi="Arial" w:cs="Arial"/>
          <w:sz w:val="24"/>
          <w:szCs w:val="24"/>
        </w:rPr>
        <w:t xml:space="preserve">, A. Z., Patrick, D. V. J., </w:t>
      </w:r>
      <w:proofErr w:type="spellStart"/>
      <w:r>
        <w:rPr>
          <w:rFonts w:ascii="Arial" w:eastAsia="Arial" w:hAnsi="Arial" w:cs="Arial"/>
          <w:sz w:val="24"/>
          <w:szCs w:val="24"/>
        </w:rPr>
        <w:t>Eroles</w:t>
      </w:r>
      <w:proofErr w:type="spellEnd"/>
      <w:r>
        <w:rPr>
          <w:rFonts w:ascii="Arial" w:eastAsia="Arial" w:hAnsi="Arial" w:cs="Arial"/>
          <w:sz w:val="24"/>
          <w:szCs w:val="24"/>
        </w:rPr>
        <w:t xml:space="preserve">, G. M., </w:t>
      </w:r>
      <w:proofErr w:type="spellStart"/>
      <w:r>
        <w:rPr>
          <w:rFonts w:ascii="Arial" w:eastAsia="Arial" w:hAnsi="Arial" w:cs="Arial"/>
          <w:sz w:val="24"/>
          <w:szCs w:val="24"/>
        </w:rPr>
        <w:t>Jamora</w:t>
      </w:r>
      <w:proofErr w:type="spellEnd"/>
      <w:r>
        <w:rPr>
          <w:rFonts w:ascii="Arial" w:eastAsia="Arial" w:hAnsi="Arial" w:cs="Arial"/>
          <w:sz w:val="24"/>
          <w:szCs w:val="24"/>
        </w:rPr>
        <w:t xml:space="preserve">, R. T., </w:t>
      </w:r>
      <w:proofErr w:type="spellStart"/>
      <w:r>
        <w:rPr>
          <w:rFonts w:ascii="Arial" w:eastAsia="Arial" w:hAnsi="Arial" w:cs="Arial"/>
          <w:sz w:val="24"/>
          <w:szCs w:val="24"/>
        </w:rPr>
        <w:t>Licud</w:t>
      </w:r>
      <w:proofErr w:type="spellEnd"/>
      <w:r>
        <w:rPr>
          <w:rFonts w:ascii="Arial" w:eastAsia="Arial" w:hAnsi="Arial" w:cs="Arial"/>
          <w:sz w:val="24"/>
          <w:szCs w:val="24"/>
        </w:rPr>
        <w:t xml:space="preserve">, J. H., </w:t>
      </w:r>
      <w:proofErr w:type="spellStart"/>
      <w:r>
        <w:rPr>
          <w:rFonts w:ascii="Arial" w:eastAsia="Arial" w:hAnsi="Arial" w:cs="Arial"/>
          <w:sz w:val="24"/>
          <w:szCs w:val="24"/>
        </w:rPr>
        <w:t>Maomay</w:t>
      </w:r>
      <w:proofErr w:type="spellEnd"/>
      <w:r>
        <w:rPr>
          <w:rFonts w:ascii="Arial" w:eastAsia="Arial" w:hAnsi="Arial" w:cs="Arial"/>
          <w:sz w:val="24"/>
          <w:szCs w:val="24"/>
        </w:rPr>
        <w:t xml:space="preserve">, A. I., </w:t>
      </w:r>
      <w:proofErr w:type="spellStart"/>
      <w:r>
        <w:rPr>
          <w:rFonts w:ascii="Arial" w:eastAsia="Arial" w:hAnsi="Arial" w:cs="Arial"/>
          <w:sz w:val="24"/>
          <w:szCs w:val="24"/>
        </w:rPr>
        <w:t>Paculaba</w:t>
      </w:r>
      <w:proofErr w:type="spellEnd"/>
      <w:r>
        <w:rPr>
          <w:rFonts w:ascii="Arial" w:eastAsia="Arial" w:hAnsi="Arial" w:cs="Arial"/>
          <w:sz w:val="24"/>
          <w:szCs w:val="24"/>
        </w:rPr>
        <w:t xml:space="preserve">, A. P., </w:t>
      </w:r>
      <w:proofErr w:type="spellStart"/>
      <w:r>
        <w:rPr>
          <w:rFonts w:ascii="Arial" w:eastAsia="Arial" w:hAnsi="Arial" w:cs="Arial"/>
          <w:sz w:val="24"/>
          <w:szCs w:val="24"/>
        </w:rPr>
        <w:t>Pitallano</w:t>
      </w:r>
      <w:proofErr w:type="spellEnd"/>
      <w:r>
        <w:rPr>
          <w:rFonts w:ascii="Arial" w:eastAsia="Arial" w:hAnsi="Arial" w:cs="Arial"/>
          <w:sz w:val="24"/>
          <w:szCs w:val="24"/>
        </w:rPr>
        <w:t xml:space="preserve">, A. B., Silvestre, A., </w:t>
      </w:r>
      <w:proofErr w:type="spellStart"/>
      <w:r>
        <w:rPr>
          <w:rFonts w:ascii="Arial" w:eastAsia="Arial" w:hAnsi="Arial" w:cs="Arial"/>
          <w:sz w:val="24"/>
          <w:szCs w:val="24"/>
        </w:rPr>
        <w:t>Tumbocon</w:t>
      </w:r>
      <w:proofErr w:type="spellEnd"/>
      <w:r>
        <w:rPr>
          <w:rFonts w:ascii="Arial" w:eastAsia="Arial" w:hAnsi="Arial" w:cs="Arial"/>
          <w:sz w:val="24"/>
          <w:szCs w:val="24"/>
        </w:rPr>
        <w:t xml:space="preserve">, B., Bernal, H., &amp; </w:t>
      </w:r>
      <w:proofErr w:type="spellStart"/>
      <w:r>
        <w:rPr>
          <w:rFonts w:ascii="Arial" w:eastAsia="Arial" w:hAnsi="Arial" w:cs="Arial"/>
          <w:sz w:val="24"/>
          <w:szCs w:val="24"/>
        </w:rPr>
        <w:t>Paragua</w:t>
      </w:r>
      <w:proofErr w:type="spellEnd"/>
      <w:r>
        <w:rPr>
          <w:rFonts w:ascii="Arial" w:eastAsia="Arial" w:hAnsi="Arial" w:cs="Arial"/>
          <w:sz w:val="24"/>
          <w:szCs w:val="24"/>
        </w:rPr>
        <w:t xml:space="preserve">, S. (2023) </w:t>
      </w:r>
      <w:r>
        <w:rPr>
          <w:rFonts w:ascii="Arial" w:eastAsia="Arial" w:hAnsi="Arial" w:cs="Arial"/>
          <w:i/>
          <w:iCs/>
          <w:sz w:val="24"/>
          <w:szCs w:val="24"/>
        </w:rPr>
        <w:t>Nursing students’ perception and preferability of sign language-braille as an elective subject.</w:t>
      </w:r>
      <w:r>
        <w:rPr>
          <w:rFonts w:ascii="Arial" w:eastAsia="Arial" w:hAnsi="Arial" w:cs="Arial"/>
          <w:sz w:val="24"/>
          <w:szCs w:val="24"/>
        </w:rPr>
        <w:t xml:space="preserve"> </w:t>
      </w:r>
      <w:hyperlink r:id="rId29">
        <w:r>
          <w:rPr>
            <w:rFonts w:ascii="Arial" w:eastAsia="Arial" w:hAnsi="Arial" w:cs="Arial"/>
            <w:sz w:val="24"/>
            <w:szCs w:val="24"/>
          </w:rPr>
          <w:t>https://www.herdin.ph/index.php/partner/journal?view=research&amp;cid=83520</w:t>
        </w:r>
      </w:hyperlink>
    </w:p>
    <w:p w14:paraId="540977F7" w14:textId="77777777" w:rsidR="00FB1D97" w:rsidRDefault="00DC7A6B">
      <w:pPr>
        <w:keepNext/>
        <w:ind w:left="720"/>
        <w:rPr>
          <w:rFonts w:ascii="Arial" w:eastAsia="Arial" w:hAnsi="Arial" w:cs="Arial"/>
          <w:sz w:val="24"/>
          <w:szCs w:val="24"/>
        </w:rPr>
      </w:pPr>
      <w:r>
        <w:rPr>
          <w:rFonts w:ascii="Arial" w:eastAsia="Arial" w:hAnsi="Arial" w:cs="Arial"/>
          <w:sz w:val="24"/>
          <w:szCs w:val="24"/>
        </w:rPr>
        <w:t xml:space="preserve">Bos, J. (2020). </w:t>
      </w:r>
      <w:r>
        <w:rPr>
          <w:rFonts w:ascii="Arial" w:eastAsia="Arial" w:hAnsi="Arial" w:cs="Arial"/>
          <w:i/>
          <w:iCs/>
          <w:sz w:val="24"/>
          <w:szCs w:val="24"/>
        </w:rPr>
        <w:t>Confidentiality. Research Ethics for Students in the Social Sciences</w:t>
      </w:r>
      <w:r>
        <w:rPr>
          <w:rFonts w:ascii="Arial" w:eastAsia="Arial" w:hAnsi="Arial" w:cs="Arial"/>
          <w:sz w:val="24"/>
          <w:szCs w:val="24"/>
        </w:rPr>
        <w:t>, 149–173. https://doi.org/10.1007/978-3-030-48415-6_7</w:t>
      </w:r>
    </w:p>
    <w:p w14:paraId="0A4C28D5" w14:textId="77777777"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Bouchlarhem</w:t>
      </w:r>
      <w:proofErr w:type="spellEnd"/>
      <w:r>
        <w:rPr>
          <w:rFonts w:ascii="Arial" w:eastAsia="Arial" w:hAnsi="Arial" w:cs="Arial"/>
          <w:sz w:val="24"/>
          <w:szCs w:val="24"/>
        </w:rPr>
        <w:t xml:space="preserve">, S., </w:t>
      </w:r>
      <w:proofErr w:type="spellStart"/>
      <w:r>
        <w:rPr>
          <w:rFonts w:ascii="Arial" w:eastAsia="Arial" w:hAnsi="Arial" w:cs="Arial"/>
          <w:sz w:val="24"/>
          <w:szCs w:val="24"/>
        </w:rPr>
        <w:t>Achraf</w:t>
      </w:r>
      <w:proofErr w:type="spellEnd"/>
      <w:r>
        <w:rPr>
          <w:rFonts w:ascii="Arial" w:eastAsia="Arial" w:hAnsi="Arial" w:cs="Arial"/>
          <w:sz w:val="24"/>
          <w:szCs w:val="24"/>
        </w:rPr>
        <w:t xml:space="preserve">, S., </w:t>
      </w:r>
      <w:proofErr w:type="spellStart"/>
      <w:r>
        <w:rPr>
          <w:rFonts w:ascii="Arial" w:eastAsia="Arial" w:hAnsi="Arial" w:cs="Arial"/>
          <w:sz w:val="24"/>
          <w:szCs w:val="24"/>
        </w:rPr>
        <w:t>Drissia</w:t>
      </w:r>
      <w:proofErr w:type="spellEnd"/>
      <w:r>
        <w:rPr>
          <w:rFonts w:ascii="Arial" w:eastAsia="Arial" w:hAnsi="Arial" w:cs="Arial"/>
          <w:sz w:val="24"/>
          <w:szCs w:val="24"/>
        </w:rPr>
        <w:t xml:space="preserve">, B., Adil, E., </w:t>
      </w:r>
      <w:proofErr w:type="spellStart"/>
      <w:r>
        <w:rPr>
          <w:rFonts w:ascii="Arial" w:eastAsia="Arial" w:hAnsi="Arial" w:cs="Arial"/>
          <w:sz w:val="24"/>
          <w:szCs w:val="24"/>
        </w:rPr>
        <w:t>Azeddine</w:t>
      </w:r>
      <w:proofErr w:type="spellEnd"/>
      <w:r>
        <w:rPr>
          <w:rFonts w:ascii="Arial" w:eastAsia="Arial" w:hAnsi="Arial" w:cs="Arial"/>
          <w:sz w:val="24"/>
          <w:szCs w:val="24"/>
        </w:rPr>
        <w:t xml:space="preserve">, L., &amp; Fahd, E. a. E. I. (2025). Congenital deafness: from screening to management. </w:t>
      </w:r>
      <w:r>
        <w:rPr>
          <w:rFonts w:ascii="Arial" w:eastAsia="Arial" w:hAnsi="Arial" w:cs="Arial"/>
          <w:i/>
          <w:iCs/>
          <w:sz w:val="24"/>
          <w:szCs w:val="24"/>
        </w:rPr>
        <w:t>Annals of Medicine and Surgery, 87</w:t>
      </w:r>
      <w:r>
        <w:rPr>
          <w:rFonts w:ascii="Arial" w:eastAsia="Arial" w:hAnsi="Arial" w:cs="Arial"/>
          <w:sz w:val="24"/>
          <w:szCs w:val="24"/>
        </w:rPr>
        <w:t>(6), 3236–3243.</w:t>
      </w:r>
      <w:hyperlink r:id="rId30">
        <w:r>
          <w:rPr>
            <w:rFonts w:ascii="Arial" w:eastAsia="Arial" w:hAnsi="Arial" w:cs="Arial"/>
            <w:sz w:val="24"/>
            <w:szCs w:val="24"/>
          </w:rPr>
          <w:t xml:space="preserve"> https://doi.org/10.1097/ms9.0000000000002637</w:t>
        </w:r>
      </w:hyperlink>
    </w:p>
    <w:p w14:paraId="26C72EA6" w14:textId="77777777" w:rsidR="00FB1D97" w:rsidRDefault="00DC7A6B">
      <w:pPr>
        <w:keepNext/>
        <w:ind w:left="720"/>
        <w:rPr>
          <w:rFonts w:ascii="Times New Roman" w:eastAsia="Times New Roman" w:hAnsi="Times New Roman" w:cs="Times New Roman"/>
          <w:sz w:val="24"/>
          <w:szCs w:val="24"/>
        </w:rPr>
      </w:pPr>
      <w:proofErr w:type="spellStart"/>
      <w:r>
        <w:rPr>
          <w:rFonts w:ascii="Arial" w:eastAsia="Arial" w:hAnsi="Arial" w:cs="Arial"/>
          <w:sz w:val="24"/>
          <w:szCs w:val="24"/>
        </w:rPr>
        <w:t>Cerilli</w:t>
      </w:r>
      <w:proofErr w:type="spellEnd"/>
      <w:r>
        <w:rPr>
          <w:rFonts w:ascii="Arial" w:eastAsia="Arial" w:hAnsi="Arial" w:cs="Arial"/>
          <w:sz w:val="24"/>
          <w:szCs w:val="24"/>
        </w:rPr>
        <w:t xml:space="preserve">, C., Katz, G., Volandes, A. E., Davis, A. D., </w:t>
      </w:r>
      <w:proofErr w:type="spellStart"/>
      <w:r>
        <w:rPr>
          <w:rFonts w:ascii="Arial" w:eastAsia="Arial" w:hAnsi="Arial" w:cs="Arial"/>
          <w:sz w:val="24"/>
          <w:szCs w:val="24"/>
        </w:rPr>
        <w:t>Paasche-Orlow</w:t>
      </w:r>
      <w:proofErr w:type="spellEnd"/>
      <w:r>
        <w:rPr>
          <w:rFonts w:ascii="Arial" w:eastAsia="Arial" w:hAnsi="Arial" w:cs="Arial"/>
          <w:sz w:val="24"/>
          <w:szCs w:val="24"/>
        </w:rPr>
        <w:t>, M. K., James, T. G., &amp; McKee, M. M. (2023).</w:t>
      </w:r>
      <w:r>
        <w:rPr>
          <w:rFonts w:ascii="Arial" w:eastAsia="Arial" w:hAnsi="Arial" w:cs="Arial"/>
          <w:i/>
          <w:iCs/>
          <w:sz w:val="24"/>
          <w:szCs w:val="24"/>
        </w:rPr>
        <w:t xml:space="preserve"> </w:t>
      </w:r>
      <w:r>
        <w:rPr>
          <w:rFonts w:ascii="Arial" w:eastAsia="Arial" w:hAnsi="Arial" w:cs="Arial"/>
          <w:sz w:val="24"/>
          <w:szCs w:val="24"/>
        </w:rPr>
        <w:t xml:space="preserve">“There is No Communication”: A Qualitative Examination of Deaf Signers’ Experiences </w:t>
      </w:r>
      <w:proofErr w:type="gramStart"/>
      <w:r>
        <w:rPr>
          <w:rFonts w:ascii="Arial" w:eastAsia="Arial" w:hAnsi="Arial" w:cs="Arial"/>
          <w:sz w:val="24"/>
          <w:szCs w:val="24"/>
        </w:rPr>
        <w:t>With</w:t>
      </w:r>
      <w:proofErr w:type="gramEnd"/>
      <w:r>
        <w:rPr>
          <w:rFonts w:ascii="Arial" w:eastAsia="Arial" w:hAnsi="Arial" w:cs="Arial"/>
          <w:sz w:val="24"/>
          <w:szCs w:val="24"/>
        </w:rPr>
        <w:t xml:space="preserve"> Advance Care Planning. </w:t>
      </w:r>
      <w:r>
        <w:rPr>
          <w:rFonts w:ascii="Arial" w:eastAsia="Arial" w:hAnsi="Arial" w:cs="Arial"/>
          <w:i/>
          <w:iCs/>
          <w:sz w:val="24"/>
          <w:szCs w:val="24"/>
        </w:rPr>
        <w:t>Journal of Palliative Care, 38</w:t>
      </w:r>
      <w:r>
        <w:rPr>
          <w:rFonts w:ascii="Arial" w:eastAsia="Arial" w:hAnsi="Arial" w:cs="Arial"/>
          <w:sz w:val="24"/>
          <w:szCs w:val="24"/>
        </w:rPr>
        <w:t xml:space="preserve">(3), 372–380. </w:t>
      </w:r>
      <w:hyperlink r:id="rId31">
        <w:r>
          <w:rPr>
            <w:rFonts w:ascii="Arial" w:eastAsia="Arial" w:hAnsi="Arial" w:cs="Arial"/>
            <w:sz w:val="24"/>
            <w:szCs w:val="24"/>
          </w:rPr>
          <w:t>https://doi.org/10.1177/08258597231179763</w:t>
        </w:r>
      </w:hyperlink>
    </w:p>
    <w:p w14:paraId="425563C8" w14:textId="77777777" w:rsidR="00FB1D97" w:rsidRDefault="00DC7A6B">
      <w:pPr>
        <w:keepNext/>
        <w:ind w:left="720"/>
        <w:rPr>
          <w:rFonts w:ascii="Arial" w:eastAsia="Arial" w:hAnsi="Arial" w:cs="Arial"/>
          <w:sz w:val="24"/>
          <w:szCs w:val="24"/>
        </w:rPr>
      </w:pPr>
      <w:r>
        <w:rPr>
          <w:rFonts w:ascii="Arial" w:eastAsia="Arial" w:hAnsi="Arial" w:cs="Arial"/>
          <w:sz w:val="24"/>
          <w:szCs w:val="24"/>
        </w:rPr>
        <w:t xml:space="preserve"> Collins English Dictionary. (n.d.)</w:t>
      </w:r>
      <w:r>
        <w:rPr>
          <w:rFonts w:ascii="Arial" w:eastAsia="Arial" w:hAnsi="Arial" w:cs="Arial"/>
          <w:i/>
          <w:iCs/>
          <w:sz w:val="24"/>
          <w:szCs w:val="24"/>
        </w:rPr>
        <w:t>. Intent.</w:t>
      </w:r>
      <w:r>
        <w:rPr>
          <w:rFonts w:ascii="Arial" w:eastAsia="Arial" w:hAnsi="Arial" w:cs="Arial"/>
          <w:sz w:val="24"/>
          <w:szCs w:val="24"/>
        </w:rPr>
        <w:t xml:space="preserve"> In Collins English Dictionary. </w:t>
      </w:r>
      <w:hyperlink r:id="rId32">
        <w:r>
          <w:rPr>
            <w:rFonts w:ascii="Arial" w:eastAsia="Arial" w:hAnsi="Arial" w:cs="Arial"/>
            <w:sz w:val="24"/>
            <w:szCs w:val="24"/>
          </w:rPr>
          <w:t>https://www.collinsdictionary.com/dictionary/english/intent</w:t>
        </w:r>
      </w:hyperlink>
    </w:p>
    <w:p w14:paraId="60E1C273" w14:textId="77777777" w:rsidR="00FB1D97" w:rsidRDefault="00DC7A6B">
      <w:pPr>
        <w:keepNext/>
        <w:ind w:left="720"/>
        <w:rPr>
          <w:rFonts w:ascii="Arial" w:eastAsia="Arial" w:hAnsi="Arial" w:cs="Arial"/>
          <w:sz w:val="24"/>
          <w:szCs w:val="24"/>
        </w:rPr>
      </w:pPr>
      <w:r>
        <w:rPr>
          <w:rFonts w:ascii="Arial" w:eastAsia="Arial" w:hAnsi="Arial" w:cs="Arial"/>
          <w:sz w:val="24"/>
          <w:szCs w:val="24"/>
        </w:rPr>
        <w:t xml:space="preserve">Conley, S., Al-Saleh, S., &amp; </w:t>
      </w:r>
      <w:proofErr w:type="spellStart"/>
      <w:r>
        <w:rPr>
          <w:rFonts w:ascii="Arial" w:eastAsia="Arial" w:hAnsi="Arial" w:cs="Arial"/>
          <w:sz w:val="24"/>
          <w:szCs w:val="24"/>
        </w:rPr>
        <w:t>Chlan</w:t>
      </w:r>
      <w:proofErr w:type="spellEnd"/>
      <w:r>
        <w:rPr>
          <w:rFonts w:ascii="Arial" w:eastAsia="Arial" w:hAnsi="Arial" w:cs="Arial"/>
          <w:sz w:val="24"/>
          <w:szCs w:val="24"/>
        </w:rPr>
        <w:t>, L. L. (2023). Disability research must be a priority for nurses to advance health equity</w:t>
      </w:r>
      <w:r>
        <w:rPr>
          <w:rFonts w:ascii="Arial" w:eastAsia="Arial" w:hAnsi="Arial" w:cs="Arial"/>
          <w:i/>
          <w:iCs/>
          <w:sz w:val="24"/>
          <w:szCs w:val="24"/>
        </w:rPr>
        <w:t>. Nursing Outlook, 71</w:t>
      </w:r>
      <w:r>
        <w:rPr>
          <w:rFonts w:ascii="Arial" w:eastAsia="Arial" w:hAnsi="Arial" w:cs="Arial"/>
          <w:sz w:val="24"/>
          <w:szCs w:val="24"/>
        </w:rPr>
        <w:t xml:space="preserve">(3), 101986. </w:t>
      </w:r>
      <w:hyperlink r:id="rId33">
        <w:r>
          <w:rPr>
            <w:rFonts w:ascii="Arial" w:eastAsia="Arial" w:hAnsi="Arial" w:cs="Arial"/>
            <w:sz w:val="24"/>
            <w:szCs w:val="24"/>
          </w:rPr>
          <w:t>https://doi.org/10.1016/j.outlook.2023.101986</w:t>
        </w:r>
      </w:hyperlink>
    </w:p>
    <w:p w14:paraId="4FEDAAF7" w14:textId="77777777"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Darma</w:t>
      </w:r>
      <w:proofErr w:type="spellEnd"/>
      <w:r>
        <w:rPr>
          <w:rFonts w:ascii="Arial" w:eastAsia="Arial" w:hAnsi="Arial" w:cs="Arial"/>
          <w:sz w:val="24"/>
          <w:szCs w:val="24"/>
        </w:rPr>
        <w:t xml:space="preserve">, I. W. a. S., </w:t>
      </w:r>
      <w:proofErr w:type="spellStart"/>
      <w:r>
        <w:rPr>
          <w:rFonts w:ascii="Arial" w:eastAsia="Arial" w:hAnsi="Arial" w:cs="Arial"/>
          <w:sz w:val="24"/>
          <w:szCs w:val="24"/>
        </w:rPr>
        <w:t>Suciati</w:t>
      </w:r>
      <w:proofErr w:type="spellEnd"/>
      <w:r>
        <w:rPr>
          <w:rFonts w:ascii="Arial" w:eastAsia="Arial" w:hAnsi="Arial" w:cs="Arial"/>
          <w:sz w:val="24"/>
          <w:szCs w:val="24"/>
        </w:rPr>
        <w:t xml:space="preserve">, N., &amp; </w:t>
      </w:r>
      <w:proofErr w:type="spellStart"/>
      <w:r>
        <w:rPr>
          <w:rFonts w:ascii="Arial" w:eastAsia="Arial" w:hAnsi="Arial" w:cs="Arial"/>
          <w:sz w:val="24"/>
          <w:szCs w:val="24"/>
        </w:rPr>
        <w:t>Siahaan</w:t>
      </w:r>
      <w:proofErr w:type="spellEnd"/>
      <w:r>
        <w:rPr>
          <w:rFonts w:ascii="Arial" w:eastAsia="Arial" w:hAnsi="Arial" w:cs="Arial"/>
          <w:sz w:val="24"/>
          <w:szCs w:val="24"/>
        </w:rPr>
        <w:t>, D. (2023). CARVING-DETC:</w:t>
      </w:r>
      <w:r>
        <w:rPr>
          <w:rFonts w:ascii="Arial" w:eastAsia="Arial" w:hAnsi="Arial" w:cs="Arial"/>
          <w:i/>
          <w:iCs/>
          <w:sz w:val="24"/>
          <w:szCs w:val="24"/>
        </w:rPr>
        <w:t xml:space="preserve"> </w:t>
      </w:r>
      <w:r>
        <w:rPr>
          <w:rFonts w:ascii="Arial" w:eastAsia="Arial" w:hAnsi="Arial" w:cs="Arial"/>
          <w:sz w:val="24"/>
          <w:szCs w:val="24"/>
        </w:rPr>
        <w:t>A network scaling and NMS ensemble for Balinese carving motif detection method.</w:t>
      </w:r>
      <w:r>
        <w:rPr>
          <w:rFonts w:ascii="Arial" w:eastAsia="Arial" w:hAnsi="Arial" w:cs="Arial"/>
          <w:i/>
          <w:iCs/>
          <w:sz w:val="24"/>
          <w:szCs w:val="24"/>
        </w:rPr>
        <w:t xml:space="preserve"> Visual Informatics, 7</w:t>
      </w:r>
      <w:r>
        <w:rPr>
          <w:rFonts w:ascii="Arial" w:eastAsia="Arial" w:hAnsi="Arial" w:cs="Arial"/>
          <w:sz w:val="24"/>
          <w:szCs w:val="24"/>
        </w:rPr>
        <w:t>(3), 1–10.</w:t>
      </w:r>
      <w:hyperlink r:id="rId34">
        <w:r>
          <w:rPr>
            <w:rFonts w:ascii="Arial" w:eastAsia="Arial" w:hAnsi="Arial" w:cs="Arial"/>
            <w:sz w:val="24"/>
            <w:szCs w:val="24"/>
          </w:rPr>
          <w:t xml:space="preserve"> https://doi.org/10.1016/j.visinf.2023.05.004</w:t>
        </w:r>
      </w:hyperlink>
    </w:p>
    <w:p w14:paraId="6BC4A2DD" w14:textId="77777777" w:rsidR="00FB1D97" w:rsidRDefault="00DC7A6B">
      <w:pPr>
        <w:keepNext/>
        <w:ind w:left="720"/>
        <w:rPr>
          <w:rFonts w:ascii="Times New Roman" w:eastAsia="Times New Roman" w:hAnsi="Times New Roman" w:cs="Times New Roman"/>
          <w:sz w:val="24"/>
          <w:szCs w:val="24"/>
        </w:rPr>
      </w:pPr>
      <w:r>
        <w:rPr>
          <w:rFonts w:ascii="Arial" w:eastAsia="Arial" w:hAnsi="Arial" w:cs="Arial"/>
          <w:sz w:val="24"/>
          <w:szCs w:val="24"/>
        </w:rPr>
        <w:lastRenderedPageBreak/>
        <w:t xml:space="preserve">Da Silva Dos Santos, A. K., Santos, L. P. S., De Araujo </w:t>
      </w:r>
      <w:proofErr w:type="spellStart"/>
      <w:r>
        <w:rPr>
          <w:rFonts w:ascii="Arial" w:eastAsia="Arial" w:hAnsi="Arial" w:cs="Arial"/>
          <w:sz w:val="24"/>
          <w:szCs w:val="24"/>
        </w:rPr>
        <w:t>Faria</w:t>
      </w:r>
      <w:proofErr w:type="spellEnd"/>
      <w:r>
        <w:rPr>
          <w:rFonts w:ascii="Arial" w:eastAsia="Arial" w:hAnsi="Arial" w:cs="Arial"/>
          <w:sz w:val="24"/>
          <w:szCs w:val="24"/>
        </w:rPr>
        <w:t xml:space="preserve">, M. G. </w:t>
      </w:r>
      <w:proofErr w:type="spellStart"/>
      <w:r>
        <w:rPr>
          <w:rFonts w:ascii="Arial" w:eastAsia="Arial" w:hAnsi="Arial" w:cs="Arial"/>
          <w:sz w:val="24"/>
          <w:szCs w:val="24"/>
        </w:rPr>
        <w:t>Brandão</w:t>
      </w:r>
      <w:proofErr w:type="spellEnd"/>
      <w:r>
        <w:rPr>
          <w:rFonts w:ascii="Arial" w:eastAsia="Arial" w:hAnsi="Arial" w:cs="Arial"/>
          <w:sz w:val="24"/>
          <w:szCs w:val="24"/>
        </w:rPr>
        <w:t xml:space="preserve">, P. S., Da Silva </w:t>
      </w:r>
      <w:proofErr w:type="spellStart"/>
      <w:r>
        <w:rPr>
          <w:rFonts w:ascii="Arial" w:eastAsia="Arial" w:hAnsi="Arial" w:cs="Arial"/>
          <w:sz w:val="24"/>
          <w:szCs w:val="24"/>
        </w:rPr>
        <w:t>Thiengo</w:t>
      </w:r>
      <w:proofErr w:type="spellEnd"/>
      <w:r>
        <w:rPr>
          <w:rFonts w:ascii="Arial" w:eastAsia="Arial" w:hAnsi="Arial" w:cs="Arial"/>
          <w:sz w:val="24"/>
          <w:szCs w:val="24"/>
        </w:rPr>
        <w:t xml:space="preserve">, P. C. Alves, L. V. V. (2021). </w:t>
      </w:r>
      <w:proofErr w:type="spellStart"/>
      <w:r>
        <w:rPr>
          <w:rFonts w:ascii="Arial" w:eastAsia="Arial" w:hAnsi="Arial" w:cs="Arial"/>
          <w:sz w:val="24"/>
          <w:szCs w:val="24"/>
        </w:rPr>
        <w:t>Cuidado</w:t>
      </w:r>
      <w:proofErr w:type="spellEnd"/>
      <w:r>
        <w:rPr>
          <w:rFonts w:ascii="Arial" w:eastAsia="Arial" w:hAnsi="Arial" w:cs="Arial"/>
          <w:sz w:val="24"/>
          <w:szCs w:val="24"/>
        </w:rPr>
        <w:t xml:space="preserve"> </w:t>
      </w:r>
      <w:proofErr w:type="spellStart"/>
      <w:r>
        <w:rPr>
          <w:rFonts w:ascii="Arial" w:eastAsia="Arial" w:hAnsi="Arial" w:cs="Arial"/>
          <w:sz w:val="24"/>
          <w:szCs w:val="24"/>
        </w:rPr>
        <w:t>às</w:t>
      </w:r>
      <w:proofErr w:type="spellEnd"/>
      <w:r>
        <w:rPr>
          <w:rFonts w:ascii="Arial" w:eastAsia="Arial" w:hAnsi="Arial" w:cs="Arial"/>
          <w:sz w:val="24"/>
          <w:szCs w:val="24"/>
        </w:rPr>
        <w:t xml:space="preserve"> </w:t>
      </w:r>
      <w:proofErr w:type="spellStart"/>
      <w:r>
        <w:rPr>
          <w:rFonts w:ascii="Arial" w:eastAsia="Arial" w:hAnsi="Arial" w:cs="Arial"/>
          <w:sz w:val="24"/>
          <w:szCs w:val="24"/>
        </w:rPr>
        <w:t>pessoas</w:t>
      </w:r>
      <w:proofErr w:type="spellEnd"/>
      <w:r>
        <w:rPr>
          <w:rFonts w:ascii="Arial" w:eastAsia="Arial" w:hAnsi="Arial" w:cs="Arial"/>
          <w:sz w:val="24"/>
          <w:szCs w:val="24"/>
        </w:rPr>
        <w:t xml:space="preserve"> com </w:t>
      </w:r>
      <w:proofErr w:type="spellStart"/>
      <w:r>
        <w:rPr>
          <w:rFonts w:ascii="Arial" w:eastAsia="Arial" w:hAnsi="Arial" w:cs="Arial"/>
          <w:sz w:val="24"/>
          <w:szCs w:val="24"/>
        </w:rPr>
        <w:t>deficiência</w:t>
      </w:r>
      <w:proofErr w:type="spellEnd"/>
      <w:r>
        <w:rPr>
          <w:rFonts w:ascii="Arial" w:eastAsia="Arial" w:hAnsi="Arial" w:cs="Arial"/>
          <w:sz w:val="24"/>
          <w:szCs w:val="24"/>
        </w:rPr>
        <w:t xml:space="preserve"> </w:t>
      </w:r>
      <w:proofErr w:type="spellStart"/>
      <w:r>
        <w:rPr>
          <w:rFonts w:ascii="Arial" w:eastAsia="Arial" w:hAnsi="Arial" w:cs="Arial"/>
          <w:sz w:val="24"/>
          <w:szCs w:val="24"/>
        </w:rPr>
        <w:t>auditiva</w:t>
      </w:r>
      <w:proofErr w:type="spellEnd"/>
      <w:r>
        <w:rPr>
          <w:rFonts w:ascii="Arial" w:eastAsia="Arial" w:hAnsi="Arial" w:cs="Arial"/>
          <w:sz w:val="24"/>
          <w:szCs w:val="24"/>
        </w:rPr>
        <w:t xml:space="preserve"> sob o </w:t>
      </w:r>
      <w:proofErr w:type="spellStart"/>
      <w:r>
        <w:rPr>
          <w:rFonts w:ascii="Arial" w:eastAsia="Arial" w:hAnsi="Arial" w:cs="Arial"/>
          <w:sz w:val="24"/>
          <w:szCs w:val="24"/>
        </w:rPr>
        <w:t>olhar</w:t>
      </w:r>
      <w:proofErr w:type="spellEnd"/>
      <w:r>
        <w:rPr>
          <w:rFonts w:ascii="Arial" w:eastAsia="Arial" w:hAnsi="Arial" w:cs="Arial"/>
          <w:sz w:val="24"/>
          <w:szCs w:val="24"/>
        </w:rPr>
        <w:t xml:space="preserve"> do </w:t>
      </w:r>
      <w:proofErr w:type="spellStart"/>
      <w:r>
        <w:rPr>
          <w:rFonts w:ascii="Arial" w:eastAsia="Arial" w:hAnsi="Arial" w:cs="Arial"/>
          <w:sz w:val="24"/>
          <w:szCs w:val="24"/>
        </w:rPr>
        <w:t>enfermeiro</w:t>
      </w:r>
      <w:proofErr w:type="spellEnd"/>
      <w:r>
        <w:rPr>
          <w:rFonts w:ascii="Arial" w:eastAsia="Arial" w:hAnsi="Arial" w:cs="Arial"/>
          <w:sz w:val="24"/>
          <w:szCs w:val="24"/>
        </w:rPr>
        <w:t xml:space="preserve"> de </w:t>
      </w:r>
      <w:proofErr w:type="spellStart"/>
      <w:r>
        <w:rPr>
          <w:rFonts w:ascii="Arial" w:eastAsia="Arial" w:hAnsi="Arial" w:cs="Arial"/>
          <w:sz w:val="24"/>
          <w:szCs w:val="24"/>
        </w:rPr>
        <w:t>família</w:t>
      </w:r>
      <w:proofErr w:type="spellEnd"/>
      <w:r>
        <w:rPr>
          <w:rFonts w:ascii="Arial" w:eastAsia="Arial" w:hAnsi="Arial" w:cs="Arial"/>
          <w:sz w:val="24"/>
          <w:szCs w:val="24"/>
        </w:rPr>
        <w:t xml:space="preserve">. </w:t>
      </w:r>
      <w:proofErr w:type="spellStart"/>
      <w:r>
        <w:rPr>
          <w:rFonts w:ascii="Arial" w:eastAsia="Arial" w:hAnsi="Arial" w:cs="Arial"/>
          <w:i/>
          <w:iCs/>
          <w:sz w:val="24"/>
          <w:szCs w:val="24"/>
        </w:rPr>
        <w:t>Enfermería</w:t>
      </w:r>
      <w:proofErr w:type="spellEnd"/>
      <w:r>
        <w:rPr>
          <w:rFonts w:ascii="Arial" w:eastAsia="Arial" w:hAnsi="Arial" w:cs="Arial"/>
          <w:i/>
          <w:iCs/>
          <w:sz w:val="24"/>
          <w:szCs w:val="24"/>
        </w:rPr>
        <w:t xml:space="preserve"> </w:t>
      </w:r>
      <w:proofErr w:type="spellStart"/>
      <w:r>
        <w:rPr>
          <w:rFonts w:ascii="Arial" w:eastAsia="Arial" w:hAnsi="Arial" w:cs="Arial"/>
          <w:i/>
          <w:iCs/>
          <w:sz w:val="24"/>
          <w:szCs w:val="24"/>
        </w:rPr>
        <w:t>Cuidados</w:t>
      </w:r>
      <w:proofErr w:type="spellEnd"/>
      <w:r>
        <w:rPr>
          <w:rFonts w:ascii="Arial" w:eastAsia="Arial" w:hAnsi="Arial" w:cs="Arial"/>
          <w:i/>
          <w:iCs/>
          <w:sz w:val="24"/>
          <w:szCs w:val="24"/>
        </w:rPr>
        <w:t xml:space="preserve"> </w:t>
      </w:r>
      <w:proofErr w:type="spellStart"/>
      <w:r>
        <w:rPr>
          <w:rFonts w:ascii="Arial" w:eastAsia="Arial" w:hAnsi="Arial" w:cs="Arial"/>
          <w:i/>
          <w:iCs/>
          <w:sz w:val="24"/>
          <w:szCs w:val="24"/>
        </w:rPr>
        <w:t>Humanizados</w:t>
      </w:r>
      <w:proofErr w:type="spellEnd"/>
      <w:r>
        <w:rPr>
          <w:rFonts w:ascii="Arial" w:eastAsia="Arial" w:hAnsi="Arial" w:cs="Arial"/>
          <w:sz w:val="24"/>
          <w:szCs w:val="24"/>
        </w:rPr>
        <w:t xml:space="preserve">, </w:t>
      </w:r>
      <w:r>
        <w:rPr>
          <w:rFonts w:ascii="Arial" w:eastAsia="Arial" w:hAnsi="Arial" w:cs="Arial"/>
          <w:i/>
          <w:iCs/>
          <w:sz w:val="24"/>
          <w:szCs w:val="24"/>
        </w:rPr>
        <w:t>10</w:t>
      </w:r>
      <w:r>
        <w:rPr>
          <w:rFonts w:ascii="Arial" w:eastAsia="Arial" w:hAnsi="Arial" w:cs="Arial"/>
          <w:sz w:val="24"/>
          <w:szCs w:val="24"/>
        </w:rPr>
        <w:t xml:space="preserve">(2), 89–101. </w:t>
      </w:r>
      <w:hyperlink r:id="rId35">
        <w:r>
          <w:rPr>
            <w:rFonts w:ascii="Arial" w:eastAsia="Arial" w:hAnsi="Arial" w:cs="Arial"/>
            <w:sz w:val="24"/>
            <w:szCs w:val="24"/>
          </w:rPr>
          <w:t>https://doi.org/10.22235/ech.v10i2.2419</w:t>
        </w:r>
      </w:hyperlink>
    </w:p>
    <w:p w14:paraId="71A8F005" w14:textId="77777777" w:rsidR="00FB1D97" w:rsidRDefault="00DC7A6B">
      <w:pPr>
        <w:keepNext/>
        <w:ind w:left="720"/>
        <w:rPr>
          <w:rFonts w:ascii="Arial" w:eastAsia="Arial" w:hAnsi="Arial" w:cs="Arial"/>
          <w:sz w:val="24"/>
          <w:szCs w:val="24"/>
        </w:rPr>
      </w:pPr>
      <w:r>
        <w:rPr>
          <w:rFonts w:ascii="Arial" w:eastAsia="Arial" w:hAnsi="Arial" w:cs="Arial"/>
          <w:sz w:val="24"/>
          <w:szCs w:val="24"/>
        </w:rPr>
        <w:t xml:space="preserve">De </w:t>
      </w:r>
      <w:proofErr w:type="spellStart"/>
      <w:r>
        <w:rPr>
          <w:rFonts w:ascii="Arial" w:eastAsia="Arial" w:hAnsi="Arial" w:cs="Arial"/>
          <w:sz w:val="24"/>
          <w:szCs w:val="24"/>
        </w:rPr>
        <w:t>Medicina</w:t>
      </w:r>
      <w:proofErr w:type="spellEnd"/>
      <w:r>
        <w:rPr>
          <w:rFonts w:ascii="Arial" w:eastAsia="Arial" w:hAnsi="Arial" w:cs="Arial"/>
          <w:sz w:val="24"/>
          <w:szCs w:val="24"/>
        </w:rPr>
        <w:t xml:space="preserve"> Universidad Del Magdalena Santa Marta Colombia, P., Campo-Arias, A., Pineda-</w:t>
      </w:r>
      <w:proofErr w:type="spellStart"/>
      <w:r>
        <w:rPr>
          <w:rFonts w:ascii="Arial" w:eastAsia="Arial" w:hAnsi="Arial" w:cs="Arial"/>
          <w:sz w:val="24"/>
          <w:szCs w:val="24"/>
        </w:rPr>
        <w:t>Roa</w:t>
      </w:r>
      <w:proofErr w:type="spellEnd"/>
      <w:r>
        <w:rPr>
          <w:rFonts w:ascii="Arial" w:eastAsia="Arial" w:hAnsi="Arial" w:cs="Arial"/>
          <w:sz w:val="24"/>
          <w:szCs w:val="24"/>
        </w:rPr>
        <w:t xml:space="preserve">, C. A., &amp; De </w:t>
      </w:r>
      <w:proofErr w:type="spellStart"/>
      <w:r>
        <w:rPr>
          <w:rFonts w:ascii="Arial" w:eastAsia="Arial" w:hAnsi="Arial" w:cs="Arial"/>
          <w:sz w:val="24"/>
          <w:szCs w:val="24"/>
        </w:rPr>
        <w:t>Psicología</w:t>
      </w:r>
      <w:proofErr w:type="spellEnd"/>
      <w:r>
        <w:rPr>
          <w:rFonts w:ascii="Arial" w:eastAsia="Arial" w:hAnsi="Arial" w:cs="Arial"/>
          <w:sz w:val="24"/>
          <w:szCs w:val="24"/>
        </w:rPr>
        <w:t xml:space="preserve"> Universidad Del Magdalena Santa Marta Colombia, P. (2022). Instrument validation is a necessary, comprehensive, and permanent process</w:t>
      </w:r>
      <w:r>
        <w:rPr>
          <w:rFonts w:ascii="Arial" w:eastAsia="Arial" w:hAnsi="Arial" w:cs="Arial"/>
          <w:i/>
          <w:iCs/>
          <w:sz w:val="24"/>
          <w:szCs w:val="24"/>
        </w:rPr>
        <w:t>. ALPHA PSYCHIATRY, 23</w:t>
      </w:r>
      <w:r>
        <w:rPr>
          <w:rFonts w:ascii="Arial" w:eastAsia="Arial" w:hAnsi="Arial" w:cs="Arial"/>
          <w:sz w:val="24"/>
          <w:szCs w:val="24"/>
        </w:rPr>
        <w:t xml:space="preserve">(2), 89–90. </w:t>
      </w:r>
      <w:hyperlink r:id="rId36">
        <w:r>
          <w:rPr>
            <w:rFonts w:ascii="Arial" w:eastAsia="Arial" w:hAnsi="Arial" w:cs="Arial"/>
            <w:sz w:val="24"/>
            <w:szCs w:val="24"/>
          </w:rPr>
          <w:t>https://doi.org/10.5152/alphapsychiatry.2022.21811</w:t>
        </w:r>
      </w:hyperlink>
    </w:p>
    <w:p w14:paraId="790CD3D8" w14:textId="77777777" w:rsidR="00FB1D97" w:rsidRDefault="00DC7A6B">
      <w:pPr>
        <w:keepNext/>
        <w:ind w:left="720"/>
        <w:rPr>
          <w:rFonts w:ascii="Arial" w:eastAsia="Arial" w:hAnsi="Arial" w:cs="Arial"/>
          <w:sz w:val="24"/>
          <w:szCs w:val="24"/>
        </w:rPr>
      </w:pPr>
      <w:r>
        <w:rPr>
          <w:rFonts w:ascii="Arial" w:eastAsia="Arial" w:hAnsi="Arial" w:cs="Arial"/>
          <w:sz w:val="24"/>
          <w:szCs w:val="24"/>
        </w:rPr>
        <w:t xml:space="preserve">Department of Linguistics - UP Diliman. (n.d.-b). </w:t>
      </w:r>
      <w:r>
        <w:rPr>
          <w:rFonts w:ascii="Arial" w:eastAsia="Arial" w:hAnsi="Arial" w:cs="Arial"/>
          <w:i/>
          <w:iCs/>
          <w:sz w:val="24"/>
          <w:szCs w:val="24"/>
        </w:rPr>
        <w:t xml:space="preserve">Filipino Deaf Community Archives - Department of Linguistics - </w:t>
      </w:r>
      <w:r>
        <w:rPr>
          <w:rFonts w:ascii="Arial" w:eastAsia="Arial" w:hAnsi="Arial" w:cs="Arial"/>
          <w:sz w:val="24"/>
          <w:szCs w:val="24"/>
        </w:rPr>
        <w:t xml:space="preserve">UP Diliman. </w:t>
      </w:r>
      <w:hyperlink r:id="rId37">
        <w:r>
          <w:rPr>
            <w:rFonts w:ascii="Arial" w:eastAsia="Arial" w:hAnsi="Arial" w:cs="Arial"/>
            <w:sz w:val="24"/>
            <w:szCs w:val="24"/>
          </w:rPr>
          <w:t>https://linguistics.upd.edu.ph/tag/filipino-deaf-community/</w:t>
        </w:r>
      </w:hyperlink>
    </w:p>
    <w:p w14:paraId="7C27F230" w14:textId="77777777"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Edelsbrunner</w:t>
      </w:r>
      <w:proofErr w:type="spellEnd"/>
      <w:r>
        <w:rPr>
          <w:rFonts w:ascii="Arial" w:eastAsia="Arial" w:hAnsi="Arial" w:cs="Arial"/>
          <w:sz w:val="24"/>
          <w:szCs w:val="24"/>
        </w:rPr>
        <w:t xml:space="preserve">, P. A., </w:t>
      </w:r>
      <w:proofErr w:type="spellStart"/>
      <w:r>
        <w:rPr>
          <w:rFonts w:ascii="Arial" w:eastAsia="Arial" w:hAnsi="Arial" w:cs="Arial"/>
          <w:sz w:val="24"/>
          <w:szCs w:val="24"/>
        </w:rPr>
        <w:t>Simonsmeier</w:t>
      </w:r>
      <w:proofErr w:type="spellEnd"/>
      <w:r>
        <w:rPr>
          <w:rFonts w:ascii="Arial" w:eastAsia="Arial" w:hAnsi="Arial" w:cs="Arial"/>
          <w:sz w:val="24"/>
          <w:szCs w:val="24"/>
        </w:rPr>
        <w:t xml:space="preserve">, B. A., &amp; Schneider, M. (2025). The Cronbach’s Alpha of Domain-Specific Knowledge Tests Before and After Learning: A Meta-Analysis of Published Studies. </w:t>
      </w:r>
      <w:r>
        <w:rPr>
          <w:rFonts w:ascii="Arial" w:eastAsia="Arial" w:hAnsi="Arial" w:cs="Arial"/>
          <w:i/>
          <w:iCs/>
          <w:sz w:val="24"/>
          <w:szCs w:val="24"/>
        </w:rPr>
        <w:t>Educational Psychology Review, 37</w:t>
      </w:r>
      <w:r>
        <w:rPr>
          <w:rFonts w:ascii="Arial" w:eastAsia="Arial" w:hAnsi="Arial" w:cs="Arial"/>
          <w:sz w:val="24"/>
          <w:szCs w:val="24"/>
        </w:rPr>
        <w:t xml:space="preserve">(1). </w:t>
      </w:r>
      <w:hyperlink r:id="rId38">
        <w:r>
          <w:rPr>
            <w:rFonts w:ascii="Arial" w:eastAsia="Arial" w:hAnsi="Arial" w:cs="Arial"/>
            <w:sz w:val="24"/>
            <w:szCs w:val="24"/>
          </w:rPr>
          <w:t>https://doi.org/10.1007/s10648-024-09982-y</w:t>
        </w:r>
      </w:hyperlink>
    </w:p>
    <w:p w14:paraId="23830ADC" w14:textId="77777777"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Edf</w:t>
      </w:r>
      <w:proofErr w:type="spellEnd"/>
      <w:r>
        <w:rPr>
          <w:rFonts w:ascii="Arial" w:eastAsia="Arial" w:hAnsi="Arial" w:cs="Arial"/>
          <w:sz w:val="24"/>
          <w:szCs w:val="24"/>
        </w:rPr>
        <w:t xml:space="preserve">. (2021). </w:t>
      </w:r>
      <w:r>
        <w:rPr>
          <w:rFonts w:ascii="Arial" w:eastAsia="Arial" w:hAnsi="Arial" w:cs="Arial"/>
          <w:i/>
          <w:iCs/>
          <w:sz w:val="24"/>
          <w:szCs w:val="24"/>
        </w:rPr>
        <w:t xml:space="preserve">Barriers faced by deaf people while accessing healthcare - European Disability Forum. European Disability Forum. </w:t>
      </w:r>
      <w:r>
        <w:rPr>
          <w:rFonts w:ascii="Arial" w:eastAsia="Arial" w:hAnsi="Arial" w:cs="Arial"/>
          <w:sz w:val="24"/>
          <w:szCs w:val="24"/>
        </w:rPr>
        <w:t>https://www.edf-feph.org/blog/barriers-faced-by-deaf-people-while-accessing-healthcare/</w:t>
      </w:r>
    </w:p>
    <w:p w14:paraId="7544514A" w14:textId="77777777" w:rsidR="00FB1D97" w:rsidRDefault="00DC7A6B">
      <w:pPr>
        <w:keepNext/>
        <w:ind w:left="720"/>
        <w:rPr>
          <w:rFonts w:ascii="Times New Roman" w:eastAsia="Times New Roman" w:hAnsi="Times New Roman" w:cs="Times New Roman"/>
          <w:sz w:val="24"/>
          <w:szCs w:val="24"/>
        </w:rPr>
      </w:pPr>
      <w:r>
        <w:rPr>
          <w:rFonts w:ascii="Arial" w:eastAsia="Arial" w:hAnsi="Arial" w:cs="Arial"/>
          <w:sz w:val="24"/>
          <w:szCs w:val="24"/>
        </w:rPr>
        <w:t xml:space="preserve">Emke, E. (2024). </w:t>
      </w:r>
      <w:r>
        <w:rPr>
          <w:rFonts w:ascii="Arial" w:eastAsia="Arial" w:hAnsi="Arial" w:cs="Arial"/>
          <w:i/>
          <w:iCs/>
          <w:sz w:val="24"/>
          <w:szCs w:val="24"/>
        </w:rPr>
        <w:t>Is sign language universal?</w:t>
      </w:r>
      <w:r>
        <w:rPr>
          <w:rFonts w:ascii="Arial" w:eastAsia="Arial" w:hAnsi="Arial" w:cs="Arial"/>
          <w:sz w:val="24"/>
          <w:szCs w:val="24"/>
        </w:rPr>
        <w:t xml:space="preserve"> </w:t>
      </w:r>
      <w:proofErr w:type="spellStart"/>
      <w:r>
        <w:rPr>
          <w:rFonts w:ascii="Arial" w:eastAsia="Arial" w:hAnsi="Arial" w:cs="Arial"/>
          <w:sz w:val="24"/>
          <w:szCs w:val="24"/>
        </w:rPr>
        <w:t>Propio</w:t>
      </w:r>
      <w:proofErr w:type="spellEnd"/>
      <w:r>
        <w:rPr>
          <w:rFonts w:ascii="Arial" w:eastAsia="Arial" w:hAnsi="Arial" w:cs="Arial"/>
          <w:sz w:val="24"/>
          <w:szCs w:val="24"/>
        </w:rPr>
        <w:t xml:space="preserve">. </w:t>
      </w:r>
      <w:hyperlink r:id="rId39">
        <w:r>
          <w:rPr>
            <w:rFonts w:ascii="Arial" w:eastAsia="Arial" w:hAnsi="Arial" w:cs="Arial"/>
            <w:sz w:val="24"/>
            <w:szCs w:val="24"/>
          </w:rPr>
          <w:t>https://propio.com/2024/12/02/blog-is-sign-language-universal/</w:t>
        </w:r>
      </w:hyperlink>
    </w:p>
    <w:p w14:paraId="58EF8D00" w14:textId="77777777" w:rsidR="00FB1D97" w:rsidRDefault="00DC7A6B">
      <w:pPr>
        <w:keepNext/>
        <w:ind w:left="720"/>
        <w:rPr>
          <w:rFonts w:ascii="Arial" w:eastAsia="Arial" w:hAnsi="Arial" w:cs="Arial"/>
          <w:sz w:val="24"/>
          <w:szCs w:val="24"/>
          <w:highlight w:val="yellow"/>
        </w:rPr>
      </w:pPr>
      <w:r>
        <w:rPr>
          <w:rFonts w:ascii="Arial" w:eastAsia="Arial" w:hAnsi="Arial" w:cs="Arial"/>
          <w:sz w:val="24"/>
          <w:szCs w:val="24"/>
        </w:rPr>
        <w:t>Encarnacion, A. D., &amp; Encarnacion, A. D. (2024).</w:t>
      </w:r>
      <w:r>
        <w:rPr>
          <w:rFonts w:ascii="Arial" w:eastAsia="Arial" w:hAnsi="Arial" w:cs="Arial"/>
          <w:i/>
          <w:iCs/>
          <w:sz w:val="24"/>
          <w:szCs w:val="24"/>
        </w:rPr>
        <w:t xml:space="preserve"> UP med students’ </w:t>
      </w:r>
      <w:proofErr w:type="spellStart"/>
      <w:r>
        <w:rPr>
          <w:rFonts w:ascii="Arial" w:eastAsia="Arial" w:hAnsi="Arial" w:cs="Arial"/>
          <w:i/>
          <w:iCs/>
          <w:sz w:val="24"/>
          <w:szCs w:val="24"/>
        </w:rPr>
        <w:t>MediSIGN</w:t>
      </w:r>
      <w:proofErr w:type="spellEnd"/>
      <w:r>
        <w:rPr>
          <w:rFonts w:ascii="Arial" w:eastAsia="Arial" w:hAnsi="Arial" w:cs="Arial"/>
          <w:i/>
          <w:iCs/>
          <w:sz w:val="24"/>
          <w:szCs w:val="24"/>
        </w:rPr>
        <w:t xml:space="preserve"> aims to improve deaf patients’ access to health care </w:t>
      </w:r>
      <w:r>
        <w:rPr>
          <w:rFonts w:ascii="Arial" w:eastAsia="Arial" w:hAnsi="Arial" w:cs="Arial"/>
          <w:sz w:val="24"/>
          <w:szCs w:val="24"/>
        </w:rPr>
        <w:t xml:space="preserve">- University of the Philippines. University of the Philippines -. </w:t>
      </w:r>
      <w:hyperlink r:id="rId40">
        <w:r>
          <w:rPr>
            <w:rFonts w:ascii="Arial" w:eastAsia="Arial" w:hAnsi="Arial" w:cs="Arial"/>
            <w:sz w:val="24"/>
            <w:szCs w:val="24"/>
          </w:rPr>
          <w:t>https://up.edu.ph/up-med-students-medisign-aims-to-improve-deaf-patients-access-to-health-care/</w:t>
        </w:r>
      </w:hyperlink>
    </w:p>
    <w:p w14:paraId="7901226C" w14:textId="77777777"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Grazioli</w:t>
      </w:r>
      <w:proofErr w:type="spellEnd"/>
      <w:r>
        <w:rPr>
          <w:rFonts w:ascii="Arial" w:eastAsia="Arial" w:hAnsi="Arial" w:cs="Arial"/>
          <w:sz w:val="24"/>
          <w:szCs w:val="24"/>
        </w:rPr>
        <w:t xml:space="preserve">, V. S., </w:t>
      </w:r>
      <w:proofErr w:type="spellStart"/>
      <w:r>
        <w:rPr>
          <w:rFonts w:ascii="Arial" w:eastAsia="Arial" w:hAnsi="Arial" w:cs="Arial"/>
          <w:sz w:val="24"/>
          <w:szCs w:val="24"/>
        </w:rPr>
        <w:t>Graells</w:t>
      </w:r>
      <w:proofErr w:type="spellEnd"/>
      <w:r>
        <w:rPr>
          <w:rFonts w:ascii="Arial" w:eastAsia="Arial" w:hAnsi="Arial" w:cs="Arial"/>
          <w:sz w:val="24"/>
          <w:szCs w:val="24"/>
        </w:rPr>
        <w:t xml:space="preserve">, M., Schmutz, E., </w:t>
      </w:r>
      <w:proofErr w:type="spellStart"/>
      <w:r>
        <w:rPr>
          <w:rFonts w:ascii="Arial" w:eastAsia="Arial" w:hAnsi="Arial" w:cs="Arial"/>
          <w:sz w:val="24"/>
          <w:szCs w:val="24"/>
        </w:rPr>
        <w:t>Cantero</w:t>
      </w:r>
      <w:proofErr w:type="spellEnd"/>
      <w:r>
        <w:rPr>
          <w:rFonts w:ascii="Arial" w:eastAsia="Arial" w:hAnsi="Arial" w:cs="Arial"/>
          <w:sz w:val="24"/>
          <w:szCs w:val="24"/>
        </w:rPr>
        <w:t xml:space="preserve">, O., </w:t>
      </w:r>
      <w:proofErr w:type="spellStart"/>
      <w:r>
        <w:rPr>
          <w:rFonts w:ascii="Arial" w:eastAsia="Arial" w:hAnsi="Arial" w:cs="Arial"/>
          <w:sz w:val="24"/>
          <w:szCs w:val="24"/>
        </w:rPr>
        <w:t>Sebaï</w:t>
      </w:r>
      <w:proofErr w:type="spellEnd"/>
      <w:r>
        <w:rPr>
          <w:rFonts w:ascii="Arial" w:eastAsia="Arial" w:hAnsi="Arial" w:cs="Arial"/>
          <w:sz w:val="24"/>
          <w:szCs w:val="24"/>
        </w:rPr>
        <w:t xml:space="preserve">, T., Favre, V., </w:t>
      </w:r>
      <w:proofErr w:type="spellStart"/>
      <w:r>
        <w:rPr>
          <w:rFonts w:ascii="Arial" w:eastAsia="Arial" w:hAnsi="Arial" w:cs="Arial"/>
          <w:sz w:val="24"/>
          <w:szCs w:val="24"/>
        </w:rPr>
        <w:t>Richème-Roos</w:t>
      </w:r>
      <w:proofErr w:type="spellEnd"/>
      <w:r>
        <w:rPr>
          <w:rFonts w:ascii="Arial" w:eastAsia="Arial" w:hAnsi="Arial" w:cs="Arial"/>
          <w:sz w:val="24"/>
          <w:szCs w:val="24"/>
        </w:rPr>
        <w:t xml:space="preserve">, J., </w:t>
      </w:r>
      <w:proofErr w:type="spellStart"/>
      <w:r>
        <w:rPr>
          <w:rFonts w:ascii="Arial" w:eastAsia="Arial" w:hAnsi="Arial" w:cs="Arial"/>
          <w:sz w:val="24"/>
          <w:szCs w:val="24"/>
        </w:rPr>
        <w:t>Morisod</w:t>
      </w:r>
      <w:proofErr w:type="spellEnd"/>
      <w:r>
        <w:rPr>
          <w:rFonts w:ascii="Arial" w:eastAsia="Arial" w:hAnsi="Arial" w:cs="Arial"/>
          <w:sz w:val="24"/>
          <w:szCs w:val="24"/>
        </w:rPr>
        <w:t xml:space="preserve">, K., </w:t>
      </w:r>
      <w:proofErr w:type="spellStart"/>
      <w:r>
        <w:rPr>
          <w:rFonts w:ascii="Arial" w:eastAsia="Arial" w:hAnsi="Arial" w:cs="Arial"/>
          <w:sz w:val="24"/>
          <w:szCs w:val="24"/>
        </w:rPr>
        <w:t>Jeanneret</w:t>
      </w:r>
      <w:proofErr w:type="spellEnd"/>
      <w:r>
        <w:rPr>
          <w:rFonts w:ascii="Arial" w:eastAsia="Arial" w:hAnsi="Arial" w:cs="Arial"/>
          <w:sz w:val="24"/>
          <w:szCs w:val="24"/>
        </w:rPr>
        <w:t xml:space="preserve">, M., </w:t>
      </w:r>
      <w:proofErr w:type="spellStart"/>
      <w:r>
        <w:rPr>
          <w:rFonts w:ascii="Arial" w:eastAsia="Arial" w:hAnsi="Arial" w:cs="Arial"/>
          <w:sz w:val="24"/>
          <w:szCs w:val="24"/>
        </w:rPr>
        <w:t>Singy</w:t>
      </w:r>
      <w:proofErr w:type="spellEnd"/>
      <w:r>
        <w:rPr>
          <w:rFonts w:ascii="Arial" w:eastAsia="Arial" w:hAnsi="Arial" w:cs="Arial"/>
          <w:sz w:val="24"/>
          <w:szCs w:val="24"/>
        </w:rPr>
        <w:t xml:space="preserve">, P., &amp; </w:t>
      </w:r>
      <w:proofErr w:type="spellStart"/>
      <w:r>
        <w:rPr>
          <w:rFonts w:ascii="Arial" w:eastAsia="Arial" w:hAnsi="Arial" w:cs="Arial"/>
          <w:sz w:val="24"/>
          <w:szCs w:val="24"/>
        </w:rPr>
        <w:t>Bodenmann</w:t>
      </w:r>
      <w:proofErr w:type="spellEnd"/>
      <w:r>
        <w:rPr>
          <w:rFonts w:ascii="Arial" w:eastAsia="Arial" w:hAnsi="Arial" w:cs="Arial"/>
          <w:sz w:val="24"/>
          <w:szCs w:val="24"/>
        </w:rPr>
        <w:t xml:space="preserve">, P. (2024). Developing a capacity-building intervention for healthcare workers to improve communication skills and awareness of hard of hearing and D/deaf patients: results from a participatory action research study. </w:t>
      </w:r>
      <w:r>
        <w:rPr>
          <w:rFonts w:ascii="Arial" w:eastAsia="Arial" w:hAnsi="Arial" w:cs="Arial"/>
          <w:i/>
          <w:iCs/>
          <w:sz w:val="24"/>
          <w:szCs w:val="24"/>
        </w:rPr>
        <w:t>BMC Health Services Research, 24</w:t>
      </w:r>
      <w:r>
        <w:rPr>
          <w:rFonts w:ascii="Arial" w:eastAsia="Arial" w:hAnsi="Arial" w:cs="Arial"/>
          <w:sz w:val="24"/>
          <w:szCs w:val="24"/>
        </w:rPr>
        <w:t>(1), 301. https://doi.org/10.1186/s12913-024-10574-3</w:t>
      </w:r>
    </w:p>
    <w:p w14:paraId="3B9278E1" w14:textId="77777777" w:rsidR="00FB1D97" w:rsidRDefault="00DC7A6B">
      <w:pPr>
        <w:keepNext/>
        <w:ind w:left="720"/>
        <w:rPr>
          <w:rFonts w:ascii="Arial" w:eastAsia="Arial" w:hAnsi="Arial" w:cs="Arial"/>
          <w:sz w:val="24"/>
          <w:szCs w:val="24"/>
        </w:rPr>
      </w:pPr>
      <w:r>
        <w:rPr>
          <w:rFonts w:ascii="Arial" w:eastAsia="Arial" w:hAnsi="Arial" w:cs="Arial"/>
          <w:sz w:val="24"/>
          <w:szCs w:val="24"/>
        </w:rPr>
        <w:t xml:space="preserve">Goldstein, E. B., </w:t>
      </w:r>
      <w:proofErr w:type="gramStart"/>
      <w:r>
        <w:rPr>
          <w:rFonts w:ascii="Arial" w:eastAsia="Arial" w:hAnsi="Arial" w:cs="Arial"/>
          <w:sz w:val="24"/>
          <w:szCs w:val="24"/>
        </w:rPr>
        <w:t>&amp;  Moran</w:t>
      </w:r>
      <w:proofErr w:type="gramEnd"/>
      <w:r>
        <w:rPr>
          <w:rFonts w:ascii="Arial" w:eastAsia="Arial" w:hAnsi="Arial" w:cs="Arial"/>
          <w:sz w:val="24"/>
          <w:szCs w:val="24"/>
        </w:rPr>
        <w:t xml:space="preserve">, J. (2021). </w:t>
      </w:r>
      <w:r>
        <w:rPr>
          <w:rFonts w:ascii="Arial" w:eastAsia="Arial" w:hAnsi="Arial" w:cs="Arial"/>
          <w:i/>
          <w:iCs/>
          <w:sz w:val="24"/>
          <w:szCs w:val="24"/>
        </w:rPr>
        <w:t xml:space="preserve">Sensation and Perception. </w:t>
      </w:r>
      <w:r>
        <w:rPr>
          <w:rFonts w:ascii="Arial" w:eastAsia="Arial" w:hAnsi="Arial" w:cs="Arial"/>
          <w:sz w:val="24"/>
          <w:szCs w:val="24"/>
        </w:rPr>
        <w:t>Leonardo, 18(2), 124. https://doi.org/10.2307/1577899</w:t>
      </w:r>
    </w:p>
    <w:p w14:paraId="7D341C16" w14:textId="77777777"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 xml:space="preserve">Good, C. V., &amp; </w:t>
      </w:r>
      <w:proofErr w:type="spellStart"/>
      <w:r>
        <w:rPr>
          <w:rFonts w:ascii="Arial" w:eastAsia="Arial" w:hAnsi="Arial" w:cs="Arial"/>
          <w:sz w:val="24"/>
          <w:szCs w:val="24"/>
        </w:rPr>
        <w:t>Scates</w:t>
      </w:r>
      <w:proofErr w:type="spellEnd"/>
      <w:r>
        <w:rPr>
          <w:rFonts w:ascii="Arial" w:eastAsia="Arial" w:hAnsi="Arial" w:cs="Arial"/>
          <w:sz w:val="24"/>
          <w:szCs w:val="24"/>
        </w:rPr>
        <w:t xml:space="preserve">, D. E. (1954). </w:t>
      </w:r>
      <w:r>
        <w:rPr>
          <w:rFonts w:ascii="Arial" w:eastAsia="Arial" w:hAnsi="Arial" w:cs="Arial"/>
          <w:i/>
          <w:iCs/>
          <w:sz w:val="24"/>
          <w:szCs w:val="24"/>
        </w:rPr>
        <w:t>Methods of research: Educational, psychological, sociological.</w:t>
      </w:r>
      <w:r>
        <w:rPr>
          <w:rFonts w:ascii="Arial" w:eastAsia="Arial" w:hAnsi="Arial" w:cs="Arial"/>
          <w:sz w:val="24"/>
          <w:szCs w:val="24"/>
        </w:rPr>
        <w:t xml:space="preserve"> In Appleton-Century-Crofts eBooks.</w:t>
      </w:r>
      <w:r>
        <w:rPr>
          <w:rFonts w:ascii="Arial" w:eastAsia="Arial" w:hAnsi="Arial" w:cs="Arial"/>
          <w:i/>
          <w:iCs/>
          <w:sz w:val="24"/>
          <w:szCs w:val="24"/>
        </w:rPr>
        <w:t xml:space="preserve"> </w:t>
      </w:r>
      <w:r>
        <w:rPr>
          <w:rFonts w:ascii="Arial" w:eastAsia="Arial" w:hAnsi="Arial" w:cs="Arial"/>
          <w:sz w:val="24"/>
          <w:szCs w:val="24"/>
        </w:rPr>
        <w:t>https://doi.org/10.1037/13206-000</w:t>
      </w:r>
    </w:p>
    <w:p w14:paraId="53267BB7" w14:textId="77777777"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Haambozi</w:t>
      </w:r>
      <w:proofErr w:type="spellEnd"/>
      <w:r>
        <w:rPr>
          <w:rFonts w:ascii="Arial" w:eastAsia="Arial" w:hAnsi="Arial" w:cs="Arial"/>
          <w:sz w:val="24"/>
          <w:szCs w:val="24"/>
        </w:rPr>
        <w:t xml:space="preserve">, C., Mwanza, J., </w:t>
      </w:r>
      <w:proofErr w:type="spellStart"/>
      <w:r>
        <w:rPr>
          <w:rFonts w:ascii="Arial" w:eastAsia="Arial" w:hAnsi="Arial" w:cs="Arial"/>
          <w:sz w:val="24"/>
          <w:szCs w:val="24"/>
        </w:rPr>
        <w:t>Mwange</w:t>
      </w:r>
      <w:proofErr w:type="spellEnd"/>
      <w:r>
        <w:rPr>
          <w:rFonts w:ascii="Arial" w:eastAsia="Arial" w:hAnsi="Arial" w:cs="Arial"/>
          <w:sz w:val="24"/>
          <w:szCs w:val="24"/>
        </w:rPr>
        <w:t xml:space="preserve">, A., &amp; Phiri, M. (2024). Lived Experiences of the Hearing Impaired in the Nursing Encounter with </w:t>
      </w:r>
      <w:r>
        <w:rPr>
          <w:rFonts w:ascii="Arial" w:eastAsia="Arial" w:hAnsi="Arial" w:cs="Arial"/>
          <w:sz w:val="24"/>
          <w:szCs w:val="24"/>
        </w:rPr>
        <w:lastRenderedPageBreak/>
        <w:t xml:space="preserve">Nurses at </w:t>
      </w:r>
      <w:proofErr w:type="spellStart"/>
      <w:r>
        <w:rPr>
          <w:rFonts w:ascii="Arial" w:eastAsia="Arial" w:hAnsi="Arial" w:cs="Arial"/>
          <w:sz w:val="24"/>
          <w:szCs w:val="24"/>
        </w:rPr>
        <w:t>Choma</w:t>
      </w:r>
      <w:proofErr w:type="spellEnd"/>
      <w:r>
        <w:rPr>
          <w:rFonts w:ascii="Arial" w:eastAsia="Arial" w:hAnsi="Arial" w:cs="Arial"/>
          <w:sz w:val="24"/>
          <w:szCs w:val="24"/>
        </w:rPr>
        <w:t xml:space="preserve"> General Hospital: A Hermeneutic </w:t>
      </w:r>
      <w:proofErr w:type="spellStart"/>
      <w:r>
        <w:rPr>
          <w:rFonts w:ascii="Arial" w:eastAsia="Arial" w:hAnsi="Arial" w:cs="Arial"/>
          <w:sz w:val="24"/>
          <w:szCs w:val="24"/>
        </w:rPr>
        <w:t>Phenomelogical</w:t>
      </w:r>
      <w:proofErr w:type="spellEnd"/>
      <w:r>
        <w:rPr>
          <w:rFonts w:ascii="Arial" w:eastAsia="Arial" w:hAnsi="Arial" w:cs="Arial"/>
          <w:sz w:val="24"/>
          <w:szCs w:val="24"/>
        </w:rPr>
        <w:t xml:space="preserve"> Approach. </w:t>
      </w:r>
      <w:r>
        <w:rPr>
          <w:rFonts w:ascii="Arial" w:eastAsia="Arial" w:hAnsi="Arial" w:cs="Arial"/>
          <w:i/>
          <w:iCs/>
          <w:sz w:val="24"/>
          <w:szCs w:val="24"/>
        </w:rPr>
        <w:t>International Journal of Multidisciplinary Research and Growth Evaluation</w:t>
      </w:r>
      <w:r>
        <w:rPr>
          <w:rFonts w:ascii="Arial" w:eastAsia="Arial" w:hAnsi="Arial" w:cs="Arial"/>
          <w:sz w:val="24"/>
          <w:szCs w:val="24"/>
        </w:rPr>
        <w:t>, 5(6), 681–686. https://doi.org/10.54660/.ijmrge.2024.5.6.681-686</w:t>
      </w:r>
    </w:p>
    <w:p w14:paraId="066501E9" w14:textId="77777777" w:rsidR="00FB1D97" w:rsidRDefault="00DC7A6B">
      <w:pPr>
        <w:keepNext/>
        <w:ind w:left="720"/>
        <w:rPr>
          <w:rFonts w:ascii="Times New Roman" w:eastAsia="Times New Roman" w:hAnsi="Times New Roman" w:cs="Times New Roman"/>
          <w:sz w:val="24"/>
          <w:szCs w:val="24"/>
          <w:shd w:val="clear" w:color="auto" w:fill="9900FF"/>
        </w:rPr>
      </w:pPr>
      <w:r>
        <w:rPr>
          <w:rFonts w:ascii="Arial" w:eastAsia="Arial" w:hAnsi="Arial" w:cs="Arial"/>
          <w:sz w:val="24"/>
          <w:szCs w:val="24"/>
        </w:rPr>
        <w:t xml:space="preserve">Hayford, S. K., &amp; </w:t>
      </w:r>
      <w:proofErr w:type="spellStart"/>
      <w:r>
        <w:rPr>
          <w:rFonts w:ascii="Arial" w:eastAsia="Arial" w:hAnsi="Arial" w:cs="Arial"/>
          <w:sz w:val="24"/>
          <w:szCs w:val="24"/>
        </w:rPr>
        <w:t>Twum</w:t>
      </w:r>
      <w:proofErr w:type="spellEnd"/>
      <w:r>
        <w:rPr>
          <w:rFonts w:ascii="Arial" w:eastAsia="Arial" w:hAnsi="Arial" w:cs="Arial"/>
          <w:sz w:val="24"/>
          <w:szCs w:val="24"/>
        </w:rPr>
        <w:t>, R. (2025). Nursing students’ perceptions of the relevance of Ghanaian Sign Language in nursing education</w:t>
      </w:r>
      <w:r>
        <w:rPr>
          <w:rFonts w:ascii="Arial" w:eastAsia="Arial" w:hAnsi="Arial" w:cs="Arial"/>
          <w:i/>
          <w:iCs/>
          <w:sz w:val="24"/>
          <w:szCs w:val="24"/>
        </w:rPr>
        <w:t>. BMC Nursing, 24</w:t>
      </w:r>
      <w:r>
        <w:rPr>
          <w:rFonts w:ascii="Arial" w:eastAsia="Arial" w:hAnsi="Arial" w:cs="Arial"/>
          <w:sz w:val="24"/>
          <w:szCs w:val="24"/>
        </w:rPr>
        <w:t>(1), 55. https://doi.org/10.1186/s12912-025-03610-y</w:t>
      </w:r>
    </w:p>
    <w:p w14:paraId="6C0706BB" w14:textId="77777777"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Hagger, M. S., &amp; Hamilton, K. (2025). Progress on theory of planned behavior research: advances in research synthesis and agenda for future research</w:t>
      </w:r>
      <w:r>
        <w:rPr>
          <w:rFonts w:ascii="Arial" w:eastAsia="Arial" w:hAnsi="Arial" w:cs="Arial"/>
          <w:i/>
          <w:iCs/>
          <w:sz w:val="24"/>
          <w:szCs w:val="24"/>
        </w:rPr>
        <w:t>. Journal of Behavioral Medicine, 48</w:t>
      </w:r>
      <w:r>
        <w:rPr>
          <w:rFonts w:ascii="Arial" w:eastAsia="Arial" w:hAnsi="Arial" w:cs="Arial"/>
          <w:sz w:val="24"/>
          <w:szCs w:val="24"/>
        </w:rPr>
        <w:t>(1), 43–56. https://doi.org/10.1007/s10865-024-00545-8</w:t>
      </w:r>
    </w:p>
    <w:p w14:paraId="649A31E3" w14:textId="77777777"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 xml:space="preserve">Hive Creative Group. (2023). </w:t>
      </w:r>
      <w:r>
        <w:rPr>
          <w:rFonts w:ascii="Arial" w:eastAsia="Arial" w:hAnsi="Arial" w:cs="Arial"/>
          <w:i/>
          <w:iCs/>
          <w:sz w:val="24"/>
          <w:szCs w:val="24"/>
        </w:rPr>
        <w:t xml:space="preserve">Sign language and its importance for the Hearing Loss Community. </w:t>
      </w:r>
      <w:r>
        <w:rPr>
          <w:rFonts w:ascii="Arial" w:eastAsia="Arial" w:hAnsi="Arial" w:cs="Arial"/>
          <w:sz w:val="24"/>
          <w:szCs w:val="24"/>
        </w:rPr>
        <w:t>Hearing Health Associates. https://www.hearinghealthassoc.com/hearing-health-associates-va-blog/sign-language-and-its-importance-for-the-hearing-loss-community</w:t>
      </w:r>
    </w:p>
    <w:p w14:paraId="0A78B858" w14:textId="77777777"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Heale</w:t>
      </w:r>
      <w:proofErr w:type="spellEnd"/>
      <w:r>
        <w:rPr>
          <w:rFonts w:ascii="Arial" w:eastAsia="Arial" w:hAnsi="Arial" w:cs="Arial"/>
          <w:sz w:val="24"/>
          <w:szCs w:val="24"/>
        </w:rPr>
        <w:t>, R., &amp; Twycross, A. (2015).</w:t>
      </w:r>
      <w:r>
        <w:rPr>
          <w:rFonts w:ascii="Arial" w:eastAsia="Arial" w:hAnsi="Arial" w:cs="Arial"/>
          <w:i/>
          <w:iCs/>
          <w:sz w:val="24"/>
          <w:szCs w:val="24"/>
        </w:rPr>
        <w:t xml:space="preserve"> </w:t>
      </w:r>
      <w:r>
        <w:rPr>
          <w:rFonts w:ascii="Arial" w:eastAsia="Arial" w:hAnsi="Arial" w:cs="Arial"/>
          <w:sz w:val="24"/>
          <w:szCs w:val="24"/>
        </w:rPr>
        <w:t>Validity and reliability in quantitative studies</w:t>
      </w:r>
      <w:r>
        <w:rPr>
          <w:rFonts w:ascii="Arial" w:eastAsia="Arial" w:hAnsi="Arial" w:cs="Arial"/>
          <w:i/>
          <w:iCs/>
          <w:sz w:val="24"/>
          <w:szCs w:val="24"/>
        </w:rPr>
        <w:t>. Evidence-Based Nursing,</w:t>
      </w:r>
      <w:r>
        <w:rPr>
          <w:rFonts w:ascii="Arial" w:eastAsia="Arial" w:hAnsi="Arial" w:cs="Arial"/>
          <w:sz w:val="24"/>
          <w:szCs w:val="24"/>
        </w:rPr>
        <w:t xml:space="preserve"> </w:t>
      </w:r>
      <w:r>
        <w:rPr>
          <w:rFonts w:ascii="Arial" w:eastAsia="Arial" w:hAnsi="Arial" w:cs="Arial"/>
          <w:i/>
          <w:iCs/>
          <w:sz w:val="24"/>
          <w:szCs w:val="24"/>
        </w:rPr>
        <w:t>18</w:t>
      </w:r>
      <w:r>
        <w:rPr>
          <w:rFonts w:ascii="Arial" w:eastAsia="Arial" w:hAnsi="Arial" w:cs="Arial"/>
          <w:sz w:val="24"/>
          <w:szCs w:val="24"/>
        </w:rPr>
        <w:t xml:space="preserve">(3), 66–67. </w:t>
      </w:r>
      <w:hyperlink r:id="rId41">
        <w:r>
          <w:rPr>
            <w:rFonts w:ascii="Arial" w:eastAsia="Arial" w:hAnsi="Arial" w:cs="Arial"/>
            <w:sz w:val="24"/>
            <w:szCs w:val="24"/>
          </w:rPr>
          <w:t>https://doi.org/10.1136/eb-2015-102129</w:t>
        </w:r>
      </w:hyperlink>
    </w:p>
    <w:p w14:paraId="5444CA81" w14:textId="77777777" w:rsidR="00FB1D97" w:rsidRDefault="00DC7A6B">
      <w:pPr>
        <w:keepNext/>
        <w:ind w:left="720"/>
        <w:rPr>
          <w:rFonts w:ascii="Times New Roman" w:eastAsia="Times New Roman" w:hAnsi="Times New Roman" w:cs="Times New Roman"/>
          <w:sz w:val="24"/>
          <w:szCs w:val="24"/>
          <w:shd w:val="clear" w:color="auto" w:fill="9900FF"/>
        </w:rPr>
      </w:pPr>
      <w:r>
        <w:rPr>
          <w:rFonts w:ascii="Arial" w:eastAsia="Arial" w:hAnsi="Arial" w:cs="Arial"/>
          <w:sz w:val="24"/>
          <w:szCs w:val="24"/>
        </w:rPr>
        <w:t>Inferential statistics. (n.d.). In ScienceDirect Topics.</w:t>
      </w:r>
      <w:r>
        <w:rPr>
          <w:rFonts w:ascii="Arial" w:eastAsia="Arial" w:hAnsi="Arial" w:cs="Arial"/>
          <w:i/>
          <w:iCs/>
          <w:sz w:val="24"/>
          <w:szCs w:val="24"/>
        </w:rPr>
        <w:t xml:space="preserve"> Elsevier. </w:t>
      </w:r>
      <w:r>
        <w:rPr>
          <w:rFonts w:ascii="Arial" w:eastAsia="Arial" w:hAnsi="Arial" w:cs="Arial"/>
          <w:sz w:val="24"/>
          <w:szCs w:val="24"/>
        </w:rPr>
        <w:t>https://www.sciencedirect.com/topics/medicine-and-dentistry/inferential-statistics</w:t>
      </w:r>
    </w:p>
    <w:p w14:paraId="6E199C17" w14:textId="77777777"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International Disability Alliance (2022).</w:t>
      </w:r>
      <w:r>
        <w:rPr>
          <w:rFonts w:ascii="Arial" w:eastAsia="Arial" w:hAnsi="Arial" w:cs="Arial"/>
          <w:i/>
          <w:iCs/>
          <w:sz w:val="24"/>
          <w:szCs w:val="24"/>
        </w:rPr>
        <w:t xml:space="preserve"> Driving health equity for persons with disabilities through inclusive health system strengthening.</w:t>
      </w:r>
      <w:r>
        <w:rPr>
          <w:rFonts w:ascii="Arial" w:eastAsia="Arial" w:hAnsi="Arial" w:cs="Arial"/>
          <w:sz w:val="24"/>
          <w:szCs w:val="24"/>
        </w:rPr>
        <w:t xml:space="preserve"> https://www.internationaldisabilityalliance.org/sites/default/files/ida_healthequityguide_0.pdf International Disability Alliance</w:t>
      </w:r>
    </w:p>
    <w:p w14:paraId="67860767" w14:textId="77777777" w:rsidR="00FB1D97" w:rsidRDefault="00DC7A6B">
      <w:pPr>
        <w:keepNext/>
        <w:ind w:left="720"/>
        <w:rPr>
          <w:rFonts w:ascii="Times New Roman" w:eastAsia="Times New Roman" w:hAnsi="Times New Roman" w:cs="Times New Roman"/>
          <w:sz w:val="24"/>
          <w:szCs w:val="24"/>
        </w:rPr>
      </w:pPr>
      <w:r>
        <w:rPr>
          <w:rFonts w:ascii="Arial" w:eastAsia="Arial" w:hAnsi="Arial" w:cs="Arial"/>
          <w:sz w:val="24"/>
          <w:szCs w:val="24"/>
        </w:rPr>
        <w:t>James, T. G., Panko, T., Smith, L. D., Helm, K. V., Katz, G. R., Caballero, M. E., Cooley, M. M., Mitra, M., &amp; McKee, M. M. (2023).</w:t>
      </w:r>
      <w:r>
        <w:rPr>
          <w:rFonts w:ascii="Arial" w:eastAsia="Arial" w:hAnsi="Arial" w:cs="Arial"/>
          <w:i/>
          <w:iCs/>
          <w:sz w:val="24"/>
          <w:szCs w:val="24"/>
        </w:rPr>
        <w:t xml:space="preserve"> </w:t>
      </w:r>
      <w:r>
        <w:rPr>
          <w:rFonts w:ascii="Arial" w:eastAsia="Arial" w:hAnsi="Arial" w:cs="Arial"/>
          <w:sz w:val="24"/>
          <w:szCs w:val="24"/>
        </w:rPr>
        <w:t>Healthcare communication access among deaf and hard-of-hearing people during pregnancy.</w:t>
      </w:r>
      <w:r>
        <w:rPr>
          <w:rFonts w:ascii="Arial" w:eastAsia="Arial" w:hAnsi="Arial" w:cs="Arial"/>
          <w:i/>
          <w:iCs/>
          <w:sz w:val="24"/>
          <w:szCs w:val="24"/>
        </w:rPr>
        <w:t xml:space="preserve"> Patient Education and Counseling,</w:t>
      </w:r>
      <w:r>
        <w:rPr>
          <w:rFonts w:ascii="Arial" w:eastAsia="Arial" w:hAnsi="Arial" w:cs="Arial"/>
          <w:sz w:val="24"/>
          <w:szCs w:val="24"/>
        </w:rPr>
        <w:t xml:space="preserve"> </w:t>
      </w:r>
      <w:r>
        <w:rPr>
          <w:rFonts w:ascii="Arial" w:eastAsia="Arial" w:hAnsi="Arial" w:cs="Arial"/>
          <w:i/>
          <w:iCs/>
          <w:sz w:val="24"/>
          <w:szCs w:val="24"/>
        </w:rPr>
        <w:t>112,</w:t>
      </w:r>
      <w:r>
        <w:rPr>
          <w:rFonts w:ascii="Arial" w:eastAsia="Arial" w:hAnsi="Arial" w:cs="Arial"/>
          <w:sz w:val="24"/>
          <w:szCs w:val="24"/>
        </w:rPr>
        <w:t xml:space="preserve"> 107743. https://doi.org/10.1016/j.pec.2023.107743</w:t>
      </w:r>
    </w:p>
    <w:p w14:paraId="1BD6EDBC" w14:textId="77777777" w:rsidR="00FB1D97" w:rsidRDefault="00DC7A6B">
      <w:pPr>
        <w:keepNext/>
        <w:ind w:left="720"/>
        <w:rPr>
          <w:rFonts w:ascii="Arial" w:eastAsia="Arial" w:hAnsi="Arial" w:cs="Arial"/>
          <w:sz w:val="24"/>
          <w:szCs w:val="24"/>
        </w:rPr>
      </w:pPr>
      <w:r>
        <w:rPr>
          <w:rFonts w:ascii="Arial" w:eastAsia="Arial" w:hAnsi="Arial" w:cs="Arial"/>
          <w:sz w:val="24"/>
          <w:szCs w:val="24"/>
        </w:rPr>
        <w:t xml:space="preserve">Jansen, D. (2023). What Are Inferential Statistics: Full Explainer With </w:t>
      </w:r>
      <w:proofErr w:type="gramStart"/>
      <w:r>
        <w:rPr>
          <w:rFonts w:ascii="Arial" w:eastAsia="Arial" w:hAnsi="Arial" w:cs="Arial"/>
          <w:sz w:val="24"/>
          <w:szCs w:val="24"/>
        </w:rPr>
        <w:t>Examples.</w:t>
      </w:r>
      <w:proofErr w:type="gramEnd"/>
      <w:r>
        <w:rPr>
          <w:rFonts w:ascii="Arial" w:eastAsia="Arial" w:hAnsi="Arial" w:cs="Arial"/>
          <w:i/>
          <w:iCs/>
          <w:sz w:val="24"/>
          <w:szCs w:val="24"/>
        </w:rPr>
        <w:t xml:space="preserve"> Grad Coach. </w:t>
      </w:r>
      <w:r>
        <w:rPr>
          <w:rFonts w:ascii="Arial" w:eastAsia="Arial" w:hAnsi="Arial" w:cs="Arial"/>
          <w:sz w:val="24"/>
          <w:szCs w:val="24"/>
        </w:rPr>
        <w:t>https://gradcoach.com/inferential-statistics</w:t>
      </w:r>
    </w:p>
    <w:p w14:paraId="1F6B0DAE" w14:textId="77777777" w:rsidR="00FB1D97" w:rsidRDefault="00DC7A6B">
      <w:pPr>
        <w:keepNext/>
        <w:ind w:left="720"/>
        <w:rPr>
          <w:rFonts w:ascii="Arial" w:eastAsia="Arial" w:hAnsi="Arial" w:cs="Arial"/>
          <w:sz w:val="24"/>
          <w:szCs w:val="24"/>
          <w:shd w:val="clear" w:color="auto" w:fill="9900FF"/>
        </w:rPr>
      </w:pPr>
      <w:proofErr w:type="spellStart"/>
      <w:r>
        <w:rPr>
          <w:rFonts w:ascii="Arial" w:eastAsia="Arial" w:hAnsi="Arial" w:cs="Arial"/>
          <w:sz w:val="24"/>
          <w:szCs w:val="24"/>
        </w:rPr>
        <w:t>Jowsey</w:t>
      </w:r>
      <w:proofErr w:type="spellEnd"/>
      <w:r>
        <w:rPr>
          <w:rFonts w:ascii="Arial" w:eastAsia="Arial" w:hAnsi="Arial" w:cs="Arial"/>
          <w:sz w:val="24"/>
          <w:szCs w:val="24"/>
        </w:rPr>
        <w:t>, T., Foster, G., Cooper-</w:t>
      </w:r>
      <w:proofErr w:type="spellStart"/>
      <w:r>
        <w:rPr>
          <w:rFonts w:ascii="Arial" w:eastAsia="Arial" w:hAnsi="Arial" w:cs="Arial"/>
          <w:sz w:val="24"/>
          <w:szCs w:val="24"/>
        </w:rPr>
        <w:t>Ioelu</w:t>
      </w:r>
      <w:proofErr w:type="spellEnd"/>
      <w:r>
        <w:rPr>
          <w:rFonts w:ascii="Arial" w:eastAsia="Arial" w:hAnsi="Arial" w:cs="Arial"/>
          <w:sz w:val="24"/>
          <w:szCs w:val="24"/>
        </w:rPr>
        <w:t>, P., &amp; Jacobs, S. (2020).</w:t>
      </w:r>
      <w:r>
        <w:rPr>
          <w:rFonts w:ascii="Arial" w:eastAsia="Arial" w:hAnsi="Arial" w:cs="Arial"/>
          <w:i/>
          <w:iCs/>
          <w:sz w:val="24"/>
          <w:szCs w:val="24"/>
        </w:rPr>
        <w:t xml:space="preserve"> </w:t>
      </w:r>
      <w:r>
        <w:rPr>
          <w:rFonts w:ascii="Arial" w:eastAsia="Arial" w:hAnsi="Arial" w:cs="Arial"/>
          <w:sz w:val="24"/>
          <w:szCs w:val="24"/>
        </w:rPr>
        <w:t xml:space="preserve">Blended Learning via Distance in Pre-Registration Nursing Education A Scoping Review. </w:t>
      </w:r>
      <w:r>
        <w:rPr>
          <w:rFonts w:ascii="Arial" w:eastAsia="Arial" w:hAnsi="Arial" w:cs="Arial"/>
          <w:i/>
          <w:iCs/>
          <w:sz w:val="24"/>
          <w:szCs w:val="24"/>
        </w:rPr>
        <w:t>Nurse Education in Practice</w:t>
      </w:r>
      <w:r>
        <w:rPr>
          <w:rFonts w:ascii="Arial" w:eastAsia="Arial" w:hAnsi="Arial" w:cs="Arial"/>
          <w:sz w:val="24"/>
          <w:szCs w:val="24"/>
        </w:rPr>
        <w:t>, 44, 102775. Scirp.org. https://www.scirp.org/reference/referencespapers?referenceid=3854637</w:t>
      </w:r>
    </w:p>
    <w:p w14:paraId="68F89184" w14:textId="77777777" w:rsidR="00FB1D97" w:rsidRDefault="00DC7A6B">
      <w:pPr>
        <w:keepNext/>
        <w:ind w:left="720"/>
        <w:rPr>
          <w:rFonts w:ascii="Arial" w:eastAsia="Arial" w:hAnsi="Arial" w:cs="Arial"/>
          <w:sz w:val="24"/>
          <w:szCs w:val="24"/>
        </w:rPr>
      </w:pPr>
      <w:r>
        <w:rPr>
          <w:rFonts w:ascii="Arial" w:eastAsia="Arial" w:hAnsi="Arial" w:cs="Arial"/>
          <w:sz w:val="24"/>
          <w:szCs w:val="24"/>
        </w:rPr>
        <w:t xml:space="preserve">Kumar, A. (2026). </w:t>
      </w:r>
      <w:r>
        <w:rPr>
          <w:rFonts w:ascii="Arial" w:eastAsia="Arial" w:hAnsi="Arial" w:cs="Arial"/>
          <w:i/>
          <w:iCs/>
          <w:sz w:val="24"/>
          <w:szCs w:val="24"/>
        </w:rPr>
        <w:t>Comprehensive Guide to Descriptive vs Inferential Statistics!</w:t>
      </w:r>
      <w:r>
        <w:rPr>
          <w:rFonts w:ascii="Arial" w:eastAsia="Arial" w:hAnsi="Arial" w:cs="Arial"/>
          <w:sz w:val="24"/>
          <w:szCs w:val="24"/>
        </w:rPr>
        <w:t xml:space="preserve"> Simplilearn.com. https://www.simplilearn.com/difference-between-descriptive-inferential-statistics-article</w:t>
      </w:r>
    </w:p>
    <w:p w14:paraId="22F375D5" w14:textId="77777777" w:rsidR="00FB1D97" w:rsidRDefault="00DC7A6B">
      <w:pPr>
        <w:keepNext/>
        <w:ind w:left="720"/>
        <w:rPr>
          <w:rFonts w:ascii="Times New Roman" w:eastAsia="Times New Roman" w:hAnsi="Times New Roman" w:cs="Times New Roman"/>
          <w:sz w:val="24"/>
          <w:szCs w:val="24"/>
          <w:shd w:val="clear" w:color="auto" w:fill="9900FF"/>
        </w:rPr>
      </w:pPr>
      <w:r>
        <w:rPr>
          <w:rFonts w:ascii="Arial" w:eastAsia="Arial" w:hAnsi="Arial" w:cs="Arial"/>
          <w:sz w:val="24"/>
          <w:szCs w:val="24"/>
        </w:rPr>
        <w:t xml:space="preserve">La </w:t>
      </w:r>
      <w:proofErr w:type="spellStart"/>
      <w:r>
        <w:rPr>
          <w:rFonts w:ascii="Arial" w:eastAsia="Arial" w:hAnsi="Arial" w:cs="Arial"/>
          <w:sz w:val="24"/>
          <w:szCs w:val="24"/>
        </w:rPr>
        <w:t>Grutta</w:t>
      </w:r>
      <w:proofErr w:type="spellEnd"/>
      <w:r>
        <w:rPr>
          <w:rFonts w:ascii="Arial" w:eastAsia="Arial" w:hAnsi="Arial" w:cs="Arial"/>
          <w:sz w:val="24"/>
          <w:szCs w:val="24"/>
        </w:rPr>
        <w:t xml:space="preserve">, S., </w:t>
      </w:r>
      <w:proofErr w:type="spellStart"/>
      <w:r>
        <w:rPr>
          <w:rFonts w:ascii="Arial" w:eastAsia="Arial" w:hAnsi="Arial" w:cs="Arial"/>
          <w:sz w:val="24"/>
          <w:szCs w:val="24"/>
        </w:rPr>
        <w:t>Piombo</w:t>
      </w:r>
      <w:proofErr w:type="spellEnd"/>
      <w:r>
        <w:rPr>
          <w:rFonts w:ascii="Arial" w:eastAsia="Arial" w:hAnsi="Arial" w:cs="Arial"/>
          <w:sz w:val="24"/>
          <w:szCs w:val="24"/>
        </w:rPr>
        <w:t xml:space="preserve">, M. A., </w:t>
      </w:r>
      <w:proofErr w:type="spellStart"/>
      <w:r>
        <w:rPr>
          <w:rFonts w:ascii="Arial" w:eastAsia="Arial" w:hAnsi="Arial" w:cs="Arial"/>
          <w:sz w:val="24"/>
          <w:szCs w:val="24"/>
        </w:rPr>
        <w:t>Spicuzza</w:t>
      </w:r>
      <w:proofErr w:type="spellEnd"/>
      <w:r>
        <w:rPr>
          <w:rFonts w:ascii="Arial" w:eastAsia="Arial" w:hAnsi="Arial" w:cs="Arial"/>
          <w:sz w:val="24"/>
          <w:szCs w:val="24"/>
        </w:rPr>
        <w:t xml:space="preserve">, V., </w:t>
      </w:r>
      <w:proofErr w:type="spellStart"/>
      <w:r>
        <w:rPr>
          <w:rFonts w:ascii="Arial" w:eastAsia="Arial" w:hAnsi="Arial" w:cs="Arial"/>
          <w:sz w:val="24"/>
          <w:szCs w:val="24"/>
        </w:rPr>
        <w:t>Riolo</w:t>
      </w:r>
      <w:proofErr w:type="spellEnd"/>
      <w:r>
        <w:rPr>
          <w:rFonts w:ascii="Arial" w:eastAsia="Arial" w:hAnsi="Arial" w:cs="Arial"/>
          <w:sz w:val="24"/>
          <w:szCs w:val="24"/>
        </w:rPr>
        <w:t xml:space="preserve">, M., </w:t>
      </w:r>
      <w:proofErr w:type="spellStart"/>
      <w:r>
        <w:rPr>
          <w:rFonts w:ascii="Arial" w:eastAsia="Arial" w:hAnsi="Arial" w:cs="Arial"/>
          <w:sz w:val="24"/>
          <w:szCs w:val="24"/>
        </w:rPr>
        <w:t>Fanara</w:t>
      </w:r>
      <w:proofErr w:type="spellEnd"/>
      <w:r>
        <w:rPr>
          <w:rFonts w:ascii="Arial" w:eastAsia="Arial" w:hAnsi="Arial" w:cs="Arial"/>
          <w:sz w:val="24"/>
          <w:szCs w:val="24"/>
        </w:rPr>
        <w:t xml:space="preserve">, I., </w:t>
      </w:r>
      <w:proofErr w:type="spellStart"/>
      <w:r>
        <w:rPr>
          <w:rFonts w:ascii="Arial" w:eastAsia="Arial" w:hAnsi="Arial" w:cs="Arial"/>
          <w:sz w:val="24"/>
          <w:szCs w:val="24"/>
        </w:rPr>
        <w:t>Trombini</w:t>
      </w:r>
      <w:proofErr w:type="spellEnd"/>
      <w:r>
        <w:rPr>
          <w:rFonts w:ascii="Arial" w:eastAsia="Arial" w:hAnsi="Arial" w:cs="Arial"/>
          <w:sz w:val="24"/>
          <w:szCs w:val="24"/>
        </w:rPr>
        <w:t xml:space="preserve">, E., Andrei, F., &amp; Epifanio, M. S. (2023). The Relationship </w:t>
      </w:r>
      <w:r>
        <w:rPr>
          <w:rFonts w:ascii="Arial" w:eastAsia="Arial" w:hAnsi="Arial" w:cs="Arial"/>
          <w:sz w:val="24"/>
          <w:szCs w:val="24"/>
        </w:rPr>
        <w:lastRenderedPageBreak/>
        <w:t xml:space="preserve">between Knowing Sign Language and Quality of Life among Italian People Who Are Deaf: A Cross-Sectional Study. </w:t>
      </w:r>
      <w:r>
        <w:rPr>
          <w:rFonts w:ascii="Arial" w:eastAsia="Arial" w:hAnsi="Arial" w:cs="Arial"/>
          <w:i/>
          <w:iCs/>
          <w:sz w:val="24"/>
          <w:szCs w:val="24"/>
        </w:rPr>
        <w:t xml:space="preserve">Healthcare, </w:t>
      </w:r>
      <w:r>
        <w:rPr>
          <w:rFonts w:ascii="Arial" w:eastAsia="Arial" w:hAnsi="Arial" w:cs="Arial"/>
          <w:sz w:val="24"/>
          <w:szCs w:val="24"/>
        </w:rPr>
        <w:t>11(7), 1021. https://doi.org/10.3390/healthcare11071021</w:t>
      </w:r>
    </w:p>
    <w:p w14:paraId="70FC3009" w14:textId="77777777"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Larrazabal</w:t>
      </w:r>
      <w:proofErr w:type="spellEnd"/>
      <w:r>
        <w:rPr>
          <w:rFonts w:ascii="Arial" w:eastAsia="Arial" w:hAnsi="Arial" w:cs="Arial"/>
          <w:sz w:val="24"/>
          <w:szCs w:val="24"/>
        </w:rPr>
        <w:t xml:space="preserve">, M. (2024). </w:t>
      </w:r>
      <w:r>
        <w:rPr>
          <w:rFonts w:ascii="Arial" w:eastAsia="Arial" w:hAnsi="Arial" w:cs="Arial"/>
          <w:i/>
          <w:iCs/>
          <w:sz w:val="24"/>
          <w:szCs w:val="24"/>
        </w:rPr>
        <w:t>Benefits of sign language in children</w:t>
      </w:r>
      <w:r>
        <w:rPr>
          <w:rFonts w:ascii="Arial" w:eastAsia="Arial" w:hAnsi="Arial" w:cs="Arial"/>
          <w:sz w:val="24"/>
          <w:szCs w:val="24"/>
        </w:rPr>
        <w:t>.</w:t>
      </w:r>
      <w:r>
        <w:rPr>
          <w:rFonts w:ascii="Arial" w:eastAsia="Arial" w:hAnsi="Arial" w:cs="Arial"/>
          <w:i/>
          <w:iCs/>
          <w:sz w:val="24"/>
          <w:szCs w:val="24"/>
        </w:rPr>
        <w:t xml:space="preserve"> </w:t>
      </w:r>
      <w:r>
        <w:rPr>
          <w:rFonts w:ascii="Arial" w:eastAsia="Arial" w:hAnsi="Arial" w:cs="Arial"/>
          <w:sz w:val="24"/>
          <w:szCs w:val="24"/>
        </w:rPr>
        <w:t>Better Speech. https://www.betterspeech.com/post/7-benefits-of-teaching-your-child-sign-language</w:t>
      </w:r>
    </w:p>
    <w:p w14:paraId="15CBCA4D" w14:textId="77777777" w:rsidR="00FB1D97" w:rsidRDefault="00FB1D97">
      <w:pPr>
        <w:keepNext/>
        <w:ind w:left="1440" w:right="720" w:hanging="720"/>
        <w:rPr>
          <w:rFonts w:ascii="Arial" w:eastAsia="Arial" w:hAnsi="Arial" w:cs="Arial"/>
          <w:sz w:val="24"/>
          <w:szCs w:val="24"/>
          <w:shd w:val="clear" w:color="auto" w:fill="9900FF"/>
        </w:rPr>
      </w:pPr>
    </w:p>
    <w:p w14:paraId="461C975B" w14:textId="77777777" w:rsidR="00FB1D97" w:rsidRDefault="00DC7A6B">
      <w:pPr>
        <w:keepNext/>
        <w:ind w:left="720"/>
        <w:rPr>
          <w:rFonts w:ascii="Arial" w:eastAsia="Arial" w:hAnsi="Arial" w:cs="Arial"/>
          <w:sz w:val="24"/>
          <w:szCs w:val="24"/>
        </w:rPr>
      </w:pPr>
      <w:proofErr w:type="spellStart"/>
      <w:r>
        <w:rPr>
          <w:rFonts w:ascii="Arial" w:eastAsia="Arial" w:hAnsi="Arial" w:cs="Arial"/>
          <w:sz w:val="24"/>
          <w:szCs w:val="24"/>
        </w:rPr>
        <w:t>Leite</w:t>
      </w:r>
      <w:proofErr w:type="spellEnd"/>
      <w:r>
        <w:rPr>
          <w:rFonts w:ascii="Arial" w:eastAsia="Arial" w:hAnsi="Arial" w:cs="Arial"/>
          <w:sz w:val="24"/>
          <w:szCs w:val="24"/>
        </w:rPr>
        <w:t xml:space="preserve">, B. T., </w:t>
      </w:r>
      <w:proofErr w:type="spellStart"/>
      <w:r>
        <w:rPr>
          <w:rFonts w:ascii="Arial" w:eastAsia="Arial" w:hAnsi="Arial" w:cs="Arial"/>
          <w:sz w:val="24"/>
          <w:szCs w:val="24"/>
        </w:rPr>
        <w:t>Reato</w:t>
      </w:r>
      <w:proofErr w:type="spellEnd"/>
      <w:r>
        <w:rPr>
          <w:rFonts w:ascii="Arial" w:eastAsia="Arial" w:hAnsi="Arial" w:cs="Arial"/>
          <w:sz w:val="24"/>
          <w:szCs w:val="24"/>
        </w:rPr>
        <w:t>, L. F., Pereira, P., &amp; Pereira, L. (2025).</w:t>
      </w:r>
      <w:r>
        <w:rPr>
          <w:rFonts w:ascii="Arial" w:eastAsia="Arial" w:hAnsi="Arial" w:cs="Arial"/>
          <w:i/>
          <w:iCs/>
          <w:sz w:val="24"/>
          <w:szCs w:val="24"/>
        </w:rPr>
        <w:t xml:space="preserve"> </w:t>
      </w:r>
      <w:r>
        <w:rPr>
          <w:rFonts w:ascii="Arial" w:eastAsia="Arial" w:hAnsi="Arial" w:cs="Arial"/>
          <w:sz w:val="24"/>
          <w:szCs w:val="24"/>
        </w:rPr>
        <w:t>Reflecting on the deaf experience in healthcare</w:t>
      </w:r>
      <w:r>
        <w:rPr>
          <w:rFonts w:ascii="Arial" w:eastAsia="Arial" w:hAnsi="Arial" w:cs="Arial"/>
          <w:i/>
          <w:iCs/>
          <w:sz w:val="24"/>
          <w:szCs w:val="24"/>
        </w:rPr>
        <w:t xml:space="preserve">. </w:t>
      </w:r>
      <w:r>
        <w:rPr>
          <w:rFonts w:ascii="Arial" w:eastAsia="Arial" w:hAnsi="Arial" w:cs="Arial"/>
          <w:sz w:val="24"/>
          <w:szCs w:val="24"/>
        </w:rPr>
        <w:t>J</w:t>
      </w:r>
      <w:r>
        <w:rPr>
          <w:rFonts w:ascii="Arial" w:eastAsia="Arial" w:hAnsi="Arial" w:cs="Arial"/>
          <w:i/>
          <w:iCs/>
          <w:sz w:val="24"/>
          <w:szCs w:val="24"/>
        </w:rPr>
        <w:t>ournal of Patient Experience,</w:t>
      </w:r>
      <w:r>
        <w:rPr>
          <w:rFonts w:ascii="Arial" w:eastAsia="Arial" w:hAnsi="Arial" w:cs="Arial"/>
          <w:sz w:val="24"/>
          <w:szCs w:val="24"/>
        </w:rPr>
        <w:t xml:space="preserve"> </w:t>
      </w:r>
      <w:r>
        <w:rPr>
          <w:rFonts w:ascii="Arial" w:eastAsia="Arial" w:hAnsi="Arial" w:cs="Arial"/>
          <w:i/>
          <w:iCs/>
          <w:sz w:val="24"/>
          <w:szCs w:val="24"/>
        </w:rPr>
        <w:t>12</w:t>
      </w:r>
      <w:r>
        <w:rPr>
          <w:rFonts w:ascii="Arial" w:eastAsia="Arial" w:hAnsi="Arial" w:cs="Arial"/>
          <w:sz w:val="24"/>
          <w:szCs w:val="24"/>
        </w:rPr>
        <w:t>, 23743735241311091. https://doi.org/10.1177/23743735241311091</w:t>
      </w:r>
    </w:p>
    <w:p w14:paraId="51E75E6A" w14:textId="77777777" w:rsidR="00FB1D97" w:rsidRDefault="00DC7A6B">
      <w:pPr>
        <w:ind w:left="720"/>
        <w:rPr>
          <w:rFonts w:ascii="Arial" w:eastAsia="Arial" w:hAnsi="Arial" w:cs="Arial"/>
          <w:sz w:val="24"/>
          <w:szCs w:val="24"/>
        </w:rPr>
      </w:pPr>
      <w:r>
        <w:rPr>
          <w:rFonts w:ascii="Arial" w:eastAsia="Arial" w:hAnsi="Arial" w:cs="Arial"/>
          <w:sz w:val="24"/>
          <w:szCs w:val="24"/>
        </w:rPr>
        <w:t xml:space="preserve">Learning sign language for deaf children and families. (n.d.). </w:t>
      </w:r>
      <w:hyperlink r:id="rId42">
        <w:r>
          <w:rPr>
            <w:rFonts w:ascii="Arial" w:eastAsia="Arial" w:hAnsi="Arial" w:cs="Arial"/>
            <w:sz w:val="24"/>
            <w:szCs w:val="24"/>
          </w:rPr>
          <w:t>https://www.ndcs.org.uk/advice-and-support/language-and-communication/sign-language</w:t>
        </w:r>
      </w:hyperlink>
    </w:p>
    <w:p w14:paraId="341DF8FA" w14:textId="77777777" w:rsidR="00FB1D97" w:rsidRDefault="00DC7A6B">
      <w:pPr>
        <w:ind w:left="720"/>
        <w:rPr>
          <w:rFonts w:ascii="Arial" w:eastAsia="Arial" w:hAnsi="Arial" w:cs="Arial"/>
          <w:sz w:val="24"/>
          <w:szCs w:val="24"/>
        </w:rPr>
      </w:pPr>
      <w:r>
        <w:rPr>
          <w:rFonts w:ascii="Arial" w:eastAsia="Arial" w:hAnsi="Arial" w:cs="Arial"/>
          <w:sz w:val="24"/>
          <w:szCs w:val="24"/>
        </w:rPr>
        <w:t xml:space="preserve">Li, X., Wang, Z., &amp; </w:t>
      </w:r>
      <w:proofErr w:type="spellStart"/>
      <w:r>
        <w:rPr>
          <w:rFonts w:ascii="Arial" w:eastAsia="Arial" w:hAnsi="Arial" w:cs="Arial"/>
          <w:sz w:val="24"/>
          <w:szCs w:val="24"/>
        </w:rPr>
        <w:t>Xie</w:t>
      </w:r>
      <w:proofErr w:type="spellEnd"/>
      <w:r>
        <w:rPr>
          <w:rFonts w:ascii="Arial" w:eastAsia="Arial" w:hAnsi="Arial" w:cs="Arial"/>
          <w:sz w:val="24"/>
          <w:szCs w:val="24"/>
        </w:rPr>
        <w:t xml:space="preserve">, J. (2024). The mediating role of intention of learning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in learning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w:t>
      </w:r>
      <w:r>
        <w:rPr>
          <w:rFonts w:ascii="Arial" w:eastAsia="Arial" w:hAnsi="Arial" w:cs="Arial"/>
          <w:i/>
          <w:iCs/>
          <w:sz w:val="24"/>
          <w:szCs w:val="24"/>
        </w:rPr>
        <w:t>Frontiers in Psychology</w:t>
      </w:r>
      <w:r>
        <w:rPr>
          <w:rFonts w:ascii="Arial" w:eastAsia="Arial" w:hAnsi="Arial" w:cs="Arial"/>
          <w:sz w:val="24"/>
          <w:szCs w:val="24"/>
        </w:rPr>
        <w:t xml:space="preserve">, </w:t>
      </w:r>
      <w:r>
        <w:rPr>
          <w:rFonts w:ascii="Arial" w:eastAsia="Arial" w:hAnsi="Arial" w:cs="Arial"/>
          <w:i/>
          <w:iCs/>
          <w:sz w:val="24"/>
          <w:szCs w:val="24"/>
        </w:rPr>
        <w:t>15</w:t>
      </w:r>
      <w:r>
        <w:rPr>
          <w:rFonts w:ascii="Arial" w:eastAsia="Arial" w:hAnsi="Arial" w:cs="Arial"/>
          <w:sz w:val="24"/>
          <w:szCs w:val="24"/>
        </w:rPr>
        <w:t>, 1228783. https://doi.org/10.3389/fpsyg.2024.1228783</w:t>
      </w:r>
    </w:p>
    <w:p w14:paraId="7CE55AF2" w14:textId="77777777" w:rsidR="00FB1D97" w:rsidRDefault="00DC7A6B">
      <w:pPr>
        <w:ind w:left="720"/>
        <w:rPr>
          <w:rFonts w:ascii="Arial" w:eastAsia="Arial" w:hAnsi="Arial" w:cs="Arial"/>
          <w:sz w:val="24"/>
          <w:szCs w:val="24"/>
        </w:rPr>
      </w:pPr>
      <w:proofErr w:type="spellStart"/>
      <w:r>
        <w:rPr>
          <w:rFonts w:ascii="Arial" w:eastAsia="Arial" w:hAnsi="Arial" w:cs="Arial"/>
          <w:sz w:val="24"/>
          <w:szCs w:val="24"/>
        </w:rPr>
        <w:t>Laerd</w:t>
      </w:r>
      <w:proofErr w:type="spellEnd"/>
      <w:r>
        <w:rPr>
          <w:rFonts w:ascii="Arial" w:eastAsia="Arial" w:hAnsi="Arial" w:cs="Arial"/>
          <w:sz w:val="24"/>
          <w:szCs w:val="24"/>
        </w:rPr>
        <w:t xml:space="preserve"> Statistics. (2018). </w:t>
      </w:r>
      <w:r>
        <w:rPr>
          <w:rFonts w:ascii="Arial" w:eastAsia="Arial" w:hAnsi="Arial" w:cs="Arial"/>
          <w:i/>
          <w:iCs/>
          <w:sz w:val="24"/>
          <w:szCs w:val="24"/>
        </w:rPr>
        <w:t>Spearman’s Rank-Order Correlation - A guide to how to calculate it and interpret the output.</w:t>
      </w:r>
      <w:r>
        <w:rPr>
          <w:rFonts w:ascii="Arial" w:eastAsia="Arial" w:hAnsi="Arial" w:cs="Arial"/>
          <w:sz w:val="24"/>
          <w:szCs w:val="24"/>
        </w:rPr>
        <w:t xml:space="preserve"> Laerd.com. https://statistics.laerd.com/statistical-guides/spearmans-rank-order-correlation-statistical-guide-2.php</w:t>
      </w:r>
    </w:p>
    <w:p w14:paraId="05DEE4BD" w14:textId="77777777" w:rsidR="00FB1D97" w:rsidRDefault="00DC7A6B">
      <w:pPr>
        <w:keepNext/>
        <w:ind w:left="720"/>
        <w:rPr>
          <w:rFonts w:ascii="Arial" w:eastAsia="Arial" w:hAnsi="Arial" w:cs="Arial"/>
          <w:sz w:val="24"/>
          <w:szCs w:val="24"/>
          <w:shd w:val="clear" w:color="auto" w:fill="9900FF"/>
        </w:rPr>
      </w:pPr>
      <w:proofErr w:type="spellStart"/>
      <w:r>
        <w:rPr>
          <w:rFonts w:ascii="Arial" w:eastAsia="Arial" w:hAnsi="Arial" w:cs="Arial"/>
          <w:sz w:val="24"/>
          <w:szCs w:val="24"/>
        </w:rPr>
        <w:lastRenderedPageBreak/>
        <w:t>Magnago</w:t>
      </w:r>
      <w:proofErr w:type="spellEnd"/>
      <w:r>
        <w:rPr>
          <w:rFonts w:ascii="Arial" w:eastAsia="Arial" w:hAnsi="Arial" w:cs="Arial"/>
          <w:sz w:val="24"/>
          <w:szCs w:val="24"/>
        </w:rPr>
        <w:t xml:space="preserve">, C., &amp; </w:t>
      </w:r>
      <w:proofErr w:type="spellStart"/>
      <w:r>
        <w:rPr>
          <w:rFonts w:ascii="Arial" w:eastAsia="Arial" w:hAnsi="Arial" w:cs="Arial"/>
          <w:sz w:val="24"/>
          <w:szCs w:val="24"/>
        </w:rPr>
        <w:t>Pierantoni</w:t>
      </w:r>
      <w:proofErr w:type="spellEnd"/>
      <w:r>
        <w:rPr>
          <w:rFonts w:ascii="Arial" w:eastAsia="Arial" w:hAnsi="Arial" w:cs="Arial"/>
          <w:sz w:val="24"/>
          <w:szCs w:val="24"/>
        </w:rPr>
        <w:t xml:space="preserve">, C. R. (2019). A </w:t>
      </w:r>
      <w:proofErr w:type="spellStart"/>
      <w:r>
        <w:rPr>
          <w:rFonts w:ascii="Arial" w:eastAsia="Arial" w:hAnsi="Arial" w:cs="Arial"/>
          <w:sz w:val="24"/>
          <w:szCs w:val="24"/>
        </w:rPr>
        <w:t>formação</w:t>
      </w:r>
      <w:proofErr w:type="spellEnd"/>
      <w:r>
        <w:rPr>
          <w:rFonts w:ascii="Arial" w:eastAsia="Arial" w:hAnsi="Arial" w:cs="Arial"/>
          <w:sz w:val="24"/>
          <w:szCs w:val="24"/>
        </w:rPr>
        <w:t xml:space="preserve"> de </w:t>
      </w:r>
      <w:proofErr w:type="spellStart"/>
      <w:r>
        <w:rPr>
          <w:rFonts w:ascii="Arial" w:eastAsia="Arial" w:hAnsi="Arial" w:cs="Arial"/>
          <w:sz w:val="24"/>
          <w:szCs w:val="24"/>
        </w:rPr>
        <w:t>enfermeiros</w:t>
      </w:r>
      <w:proofErr w:type="spellEnd"/>
      <w:r>
        <w:rPr>
          <w:rFonts w:ascii="Arial" w:eastAsia="Arial" w:hAnsi="Arial" w:cs="Arial"/>
          <w:sz w:val="24"/>
          <w:szCs w:val="24"/>
        </w:rPr>
        <w:t xml:space="preserve"> e </w:t>
      </w:r>
      <w:proofErr w:type="spellStart"/>
      <w:r>
        <w:rPr>
          <w:rFonts w:ascii="Arial" w:eastAsia="Arial" w:hAnsi="Arial" w:cs="Arial"/>
          <w:sz w:val="24"/>
          <w:szCs w:val="24"/>
        </w:rPr>
        <w:t>sua</w:t>
      </w:r>
      <w:proofErr w:type="spellEnd"/>
      <w:r>
        <w:rPr>
          <w:rFonts w:ascii="Arial" w:eastAsia="Arial" w:hAnsi="Arial" w:cs="Arial"/>
          <w:sz w:val="24"/>
          <w:szCs w:val="24"/>
        </w:rPr>
        <w:t xml:space="preserve"> </w:t>
      </w:r>
      <w:proofErr w:type="spellStart"/>
      <w:r>
        <w:rPr>
          <w:rFonts w:ascii="Arial" w:eastAsia="Arial" w:hAnsi="Arial" w:cs="Arial"/>
          <w:sz w:val="24"/>
          <w:szCs w:val="24"/>
        </w:rPr>
        <w:t>aproximação</w:t>
      </w:r>
      <w:proofErr w:type="spellEnd"/>
      <w:r>
        <w:rPr>
          <w:rFonts w:ascii="Arial" w:eastAsia="Arial" w:hAnsi="Arial" w:cs="Arial"/>
          <w:sz w:val="24"/>
          <w:szCs w:val="24"/>
        </w:rPr>
        <w:t xml:space="preserve"> com </w:t>
      </w:r>
      <w:proofErr w:type="spellStart"/>
      <w:r>
        <w:rPr>
          <w:rFonts w:ascii="Arial" w:eastAsia="Arial" w:hAnsi="Arial" w:cs="Arial"/>
          <w:sz w:val="24"/>
          <w:szCs w:val="24"/>
        </w:rPr>
        <w:t>os</w:t>
      </w:r>
      <w:proofErr w:type="spellEnd"/>
      <w:r>
        <w:rPr>
          <w:rFonts w:ascii="Arial" w:eastAsia="Arial" w:hAnsi="Arial" w:cs="Arial"/>
          <w:sz w:val="24"/>
          <w:szCs w:val="24"/>
        </w:rPr>
        <w:t xml:space="preserve"> </w:t>
      </w:r>
      <w:proofErr w:type="spellStart"/>
      <w:r>
        <w:rPr>
          <w:rFonts w:ascii="Arial" w:eastAsia="Arial" w:hAnsi="Arial" w:cs="Arial"/>
          <w:sz w:val="24"/>
          <w:szCs w:val="24"/>
        </w:rPr>
        <w:t>pressupostos</w:t>
      </w:r>
      <w:proofErr w:type="spellEnd"/>
      <w:r>
        <w:rPr>
          <w:rFonts w:ascii="Arial" w:eastAsia="Arial" w:hAnsi="Arial" w:cs="Arial"/>
          <w:sz w:val="24"/>
          <w:szCs w:val="24"/>
        </w:rPr>
        <w:t xml:space="preserve"> das </w:t>
      </w:r>
      <w:proofErr w:type="spellStart"/>
      <w:r>
        <w:rPr>
          <w:rFonts w:ascii="Arial" w:eastAsia="Arial" w:hAnsi="Arial" w:cs="Arial"/>
          <w:sz w:val="24"/>
          <w:szCs w:val="24"/>
        </w:rPr>
        <w:t>Diretrizes</w:t>
      </w:r>
      <w:proofErr w:type="spellEnd"/>
      <w:r>
        <w:rPr>
          <w:rFonts w:ascii="Arial" w:eastAsia="Arial" w:hAnsi="Arial" w:cs="Arial"/>
          <w:sz w:val="24"/>
          <w:szCs w:val="24"/>
        </w:rPr>
        <w:t xml:space="preserve"> </w:t>
      </w:r>
      <w:proofErr w:type="spellStart"/>
      <w:r>
        <w:rPr>
          <w:rFonts w:ascii="Arial" w:eastAsia="Arial" w:hAnsi="Arial" w:cs="Arial"/>
          <w:sz w:val="24"/>
          <w:szCs w:val="24"/>
        </w:rPr>
        <w:t>Curriculares</w:t>
      </w:r>
      <w:proofErr w:type="spellEnd"/>
      <w:r>
        <w:rPr>
          <w:rFonts w:ascii="Arial" w:eastAsia="Arial" w:hAnsi="Arial" w:cs="Arial"/>
          <w:sz w:val="24"/>
          <w:szCs w:val="24"/>
        </w:rPr>
        <w:t xml:space="preserve"> </w:t>
      </w:r>
      <w:proofErr w:type="spellStart"/>
      <w:r>
        <w:rPr>
          <w:rFonts w:ascii="Arial" w:eastAsia="Arial" w:hAnsi="Arial" w:cs="Arial"/>
          <w:sz w:val="24"/>
          <w:szCs w:val="24"/>
        </w:rPr>
        <w:t>Nacionais</w:t>
      </w:r>
      <w:proofErr w:type="spellEnd"/>
      <w:r>
        <w:rPr>
          <w:rFonts w:ascii="Arial" w:eastAsia="Arial" w:hAnsi="Arial" w:cs="Arial"/>
          <w:sz w:val="24"/>
          <w:szCs w:val="24"/>
        </w:rPr>
        <w:t xml:space="preserve"> e da </w:t>
      </w:r>
      <w:proofErr w:type="spellStart"/>
      <w:r>
        <w:rPr>
          <w:rFonts w:ascii="Arial" w:eastAsia="Arial" w:hAnsi="Arial" w:cs="Arial"/>
          <w:sz w:val="24"/>
          <w:szCs w:val="24"/>
        </w:rPr>
        <w:t>Atenção</w:t>
      </w:r>
      <w:proofErr w:type="spellEnd"/>
      <w:r>
        <w:rPr>
          <w:rFonts w:ascii="Arial" w:eastAsia="Arial" w:hAnsi="Arial" w:cs="Arial"/>
          <w:sz w:val="24"/>
          <w:szCs w:val="24"/>
        </w:rPr>
        <w:t xml:space="preserve"> </w:t>
      </w:r>
      <w:proofErr w:type="spellStart"/>
      <w:r>
        <w:rPr>
          <w:rFonts w:ascii="Arial" w:eastAsia="Arial" w:hAnsi="Arial" w:cs="Arial"/>
          <w:sz w:val="24"/>
          <w:szCs w:val="24"/>
        </w:rPr>
        <w:t>Básica</w:t>
      </w:r>
      <w:proofErr w:type="spellEnd"/>
      <w:r>
        <w:rPr>
          <w:rFonts w:ascii="Arial" w:eastAsia="Arial" w:hAnsi="Arial" w:cs="Arial"/>
          <w:sz w:val="24"/>
          <w:szCs w:val="24"/>
        </w:rPr>
        <w:t xml:space="preserve">. </w:t>
      </w:r>
      <w:proofErr w:type="spellStart"/>
      <w:r>
        <w:rPr>
          <w:rFonts w:ascii="Arial" w:eastAsia="Arial" w:hAnsi="Arial" w:cs="Arial"/>
          <w:i/>
          <w:iCs/>
          <w:sz w:val="24"/>
          <w:szCs w:val="24"/>
        </w:rPr>
        <w:t>Ciência</w:t>
      </w:r>
      <w:proofErr w:type="spellEnd"/>
      <w:r>
        <w:rPr>
          <w:rFonts w:ascii="Arial" w:eastAsia="Arial" w:hAnsi="Arial" w:cs="Arial"/>
          <w:i/>
          <w:iCs/>
          <w:sz w:val="24"/>
          <w:szCs w:val="24"/>
        </w:rPr>
        <w:t xml:space="preserve"> &amp; </w:t>
      </w:r>
      <w:proofErr w:type="spellStart"/>
      <w:r>
        <w:rPr>
          <w:rFonts w:ascii="Arial" w:eastAsia="Arial" w:hAnsi="Arial" w:cs="Arial"/>
          <w:i/>
          <w:iCs/>
          <w:sz w:val="24"/>
          <w:szCs w:val="24"/>
        </w:rPr>
        <w:t>Saúde</w:t>
      </w:r>
      <w:proofErr w:type="spellEnd"/>
      <w:r>
        <w:rPr>
          <w:rFonts w:ascii="Arial" w:eastAsia="Arial" w:hAnsi="Arial" w:cs="Arial"/>
          <w:i/>
          <w:iCs/>
          <w:sz w:val="24"/>
          <w:szCs w:val="24"/>
        </w:rPr>
        <w:t xml:space="preserve"> </w:t>
      </w:r>
      <w:proofErr w:type="spellStart"/>
      <w:r>
        <w:rPr>
          <w:rFonts w:ascii="Arial" w:eastAsia="Arial" w:hAnsi="Arial" w:cs="Arial"/>
          <w:i/>
          <w:iCs/>
          <w:sz w:val="24"/>
          <w:szCs w:val="24"/>
        </w:rPr>
        <w:t>Coletiva</w:t>
      </w:r>
      <w:proofErr w:type="spellEnd"/>
      <w:r>
        <w:rPr>
          <w:rFonts w:ascii="Arial" w:eastAsia="Arial" w:hAnsi="Arial" w:cs="Arial"/>
          <w:i/>
          <w:iCs/>
          <w:sz w:val="24"/>
          <w:szCs w:val="24"/>
        </w:rPr>
        <w:t>, 25</w:t>
      </w:r>
      <w:r>
        <w:rPr>
          <w:rFonts w:ascii="Arial" w:eastAsia="Arial" w:hAnsi="Arial" w:cs="Arial"/>
          <w:sz w:val="24"/>
          <w:szCs w:val="24"/>
        </w:rPr>
        <w:t>(1), 15–24. https://doi.org/10.1590/1413-81232020251.28372019</w:t>
      </w:r>
    </w:p>
    <w:p w14:paraId="52F9CCA6" w14:textId="77777777"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 xml:space="preserve">McClenaghan, E., &amp; McClenaghan, E. (2024). </w:t>
      </w:r>
      <w:r>
        <w:rPr>
          <w:rFonts w:ascii="Arial" w:eastAsia="Arial" w:hAnsi="Arial" w:cs="Arial"/>
          <w:i/>
          <w:iCs/>
          <w:sz w:val="24"/>
          <w:szCs w:val="24"/>
        </w:rPr>
        <w:t>Spearman Rank correlation</w:t>
      </w:r>
      <w:r>
        <w:rPr>
          <w:rFonts w:ascii="Arial" w:eastAsia="Arial" w:hAnsi="Arial" w:cs="Arial"/>
          <w:sz w:val="24"/>
          <w:szCs w:val="24"/>
        </w:rPr>
        <w:t>. Technology Networks. https://www.technologynetworks.com/tn/articles/spearman-rank-correlation-385744</w:t>
      </w:r>
    </w:p>
    <w:p w14:paraId="542CD9AA" w14:textId="77777777" w:rsidR="00FB1D97" w:rsidRDefault="00DC7A6B">
      <w:pPr>
        <w:keepNext/>
        <w:ind w:left="720"/>
        <w:rPr>
          <w:rFonts w:ascii="Arial" w:eastAsia="Arial" w:hAnsi="Arial" w:cs="Arial"/>
          <w:sz w:val="24"/>
          <w:szCs w:val="24"/>
          <w:shd w:val="clear" w:color="auto" w:fill="9900FF"/>
        </w:rPr>
      </w:pPr>
      <w:r>
        <w:rPr>
          <w:rFonts w:ascii="Arial" w:eastAsia="Arial" w:hAnsi="Arial" w:cs="Arial"/>
          <w:sz w:val="24"/>
          <w:szCs w:val="24"/>
        </w:rPr>
        <w:t xml:space="preserve">Mellor, K., Eddy, S., Peckham, N., Bond, C. M., Campbell, M. J., Lancaster, G. A., Thabane, L., Eldridge, S. M., Dutton, S. J., &amp; Hopewell, S. (2021). Progression from external pilot to definitive </w:t>
      </w:r>
      <w:proofErr w:type="spellStart"/>
      <w:r>
        <w:rPr>
          <w:rFonts w:ascii="Arial" w:eastAsia="Arial" w:hAnsi="Arial" w:cs="Arial"/>
          <w:sz w:val="24"/>
          <w:szCs w:val="24"/>
        </w:rPr>
        <w:t>randomised</w:t>
      </w:r>
      <w:proofErr w:type="spellEnd"/>
      <w:r>
        <w:rPr>
          <w:rFonts w:ascii="Arial" w:eastAsia="Arial" w:hAnsi="Arial" w:cs="Arial"/>
          <w:sz w:val="24"/>
          <w:szCs w:val="24"/>
        </w:rPr>
        <w:t xml:space="preserve"> controlled trial: a methodological review of progression criteria reporting. </w:t>
      </w:r>
      <w:r>
        <w:rPr>
          <w:rFonts w:ascii="Arial" w:eastAsia="Arial" w:hAnsi="Arial" w:cs="Arial"/>
          <w:i/>
          <w:iCs/>
          <w:sz w:val="24"/>
          <w:szCs w:val="24"/>
        </w:rPr>
        <w:t>BMJ Open, 11</w:t>
      </w:r>
      <w:r>
        <w:rPr>
          <w:rFonts w:ascii="Arial" w:eastAsia="Arial" w:hAnsi="Arial" w:cs="Arial"/>
          <w:sz w:val="24"/>
          <w:szCs w:val="24"/>
        </w:rPr>
        <w:t>(6), e048178. https://doi.org/10.1136/bmjopen-2020-048178</w:t>
      </w:r>
    </w:p>
    <w:p w14:paraId="57A73509" w14:textId="77777777" w:rsidR="00FB1D97" w:rsidRDefault="00DC7A6B">
      <w:pPr>
        <w:keepNext/>
        <w:ind w:left="720"/>
        <w:rPr>
          <w:rFonts w:ascii="Arial" w:eastAsia="Arial" w:hAnsi="Arial" w:cs="Arial"/>
          <w:sz w:val="24"/>
          <w:szCs w:val="24"/>
          <w:shd w:val="clear" w:color="auto" w:fill="9900FF"/>
        </w:rPr>
      </w:pPr>
      <w:proofErr w:type="spellStart"/>
      <w:r>
        <w:rPr>
          <w:rFonts w:ascii="Arial" w:eastAsia="Arial" w:hAnsi="Arial" w:cs="Arial"/>
          <w:sz w:val="24"/>
          <w:szCs w:val="24"/>
        </w:rPr>
        <w:t>Mikkonen</w:t>
      </w:r>
      <w:proofErr w:type="spellEnd"/>
      <w:r>
        <w:rPr>
          <w:rFonts w:ascii="Arial" w:eastAsia="Arial" w:hAnsi="Arial" w:cs="Arial"/>
          <w:sz w:val="24"/>
          <w:szCs w:val="24"/>
        </w:rPr>
        <w:t xml:space="preserve">, K., Elo, S., </w:t>
      </w:r>
      <w:proofErr w:type="spellStart"/>
      <w:r>
        <w:rPr>
          <w:rFonts w:ascii="Arial" w:eastAsia="Arial" w:hAnsi="Arial" w:cs="Arial"/>
          <w:sz w:val="24"/>
          <w:szCs w:val="24"/>
        </w:rPr>
        <w:t>Miettunen</w:t>
      </w:r>
      <w:proofErr w:type="spellEnd"/>
      <w:r>
        <w:rPr>
          <w:rFonts w:ascii="Arial" w:eastAsia="Arial" w:hAnsi="Arial" w:cs="Arial"/>
          <w:sz w:val="24"/>
          <w:szCs w:val="24"/>
        </w:rPr>
        <w:t xml:space="preserve">, J., </w:t>
      </w:r>
      <w:proofErr w:type="spellStart"/>
      <w:r>
        <w:rPr>
          <w:rFonts w:ascii="Arial" w:eastAsia="Arial" w:hAnsi="Arial" w:cs="Arial"/>
          <w:sz w:val="24"/>
          <w:szCs w:val="24"/>
        </w:rPr>
        <w:t>Saarikoski</w:t>
      </w:r>
      <w:proofErr w:type="spellEnd"/>
      <w:r>
        <w:rPr>
          <w:rFonts w:ascii="Arial" w:eastAsia="Arial" w:hAnsi="Arial" w:cs="Arial"/>
          <w:sz w:val="24"/>
          <w:szCs w:val="24"/>
        </w:rPr>
        <w:t xml:space="preserve">, M., &amp; </w:t>
      </w:r>
      <w:proofErr w:type="spellStart"/>
      <w:r>
        <w:rPr>
          <w:rFonts w:ascii="Arial" w:eastAsia="Arial" w:hAnsi="Arial" w:cs="Arial"/>
          <w:sz w:val="24"/>
          <w:szCs w:val="24"/>
        </w:rPr>
        <w:t>Kääriäinen</w:t>
      </w:r>
      <w:proofErr w:type="spellEnd"/>
      <w:r>
        <w:rPr>
          <w:rFonts w:ascii="Arial" w:eastAsia="Arial" w:hAnsi="Arial" w:cs="Arial"/>
          <w:sz w:val="24"/>
          <w:szCs w:val="24"/>
        </w:rPr>
        <w:t xml:space="preserve">, M. (2017). Development and testing of the CALDs and CLES+T scales for international nursing students’ clinical learning environments. </w:t>
      </w:r>
      <w:r>
        <w:rPr>
          <w:rFonts w:ascii="Arial" w:eastAsia="Arial" w:hAnsi="Arial" w:cs="Arial"/>
          <w:i/>
          <w:iCs/>
          <w:sz w:val="24"/>
          <w:szCs w:val="24"/>
        </w:rPr>
        <w:t>Journal of Advanced Nursing, 73</w:t>
      </w:r>
      <w:r>
        <w:rPr>
          <w:rFonts w:ascii="Arial" w:eastAsia="Arial" w:hAnsi="Arial" w:cs="Arial"/>
          <w:sz w:val="24"/>
          <w:szCs w:val="24"/>
        </w:rPr>
        <w:t>(8), 1997–2011. https://doi.org/10.1111/jan.13268</w:t>
      </w:r>
    </w:p>
    <w:p w14:paraId="44AA71C9" w14:textId="77777777" w:rsidR="00FB1D97" w:rsidRDefault="00DC7A6B">
      <w:pPr>
        <w:keepNext/>
        <w:ind w:left="720"/>
        <w:rPr>
          <w:rFonts w:ascii="Arial" w:eastAsia="Arial" w:hAnsi="Arial" w:cs="Arial"/>
          <w:sz w:val="24"/>
          <w:szCs w:val="24"/>
          <w:shd w:val="clear" w:color="auto" w:fill="9900FF"/>
        </w:rPr>
      </w:pPr>
      <w:proofErr w:type="spellStart"/>
      <w:r>
        <w:rPr>
          <w:rFonts w:ascii="Arial" w:eastAsia="Arial" w:hAnsi="Arial" w:cs="Arial"/>
          <w:sz w:val="24"/>
          <w:szCs w:val="24"/>
        </w:rPr>
        <w:t>Montefalcon</w:t>
      </w:r>
      <w:proofErr w:type="spellEnd"/>
      <w:r>
        <w:rPr>
          <w:rFonts w:ascii="Arial" w:eastAsia="Arial" w:hAnsi="Arial" w:cs="Arial"/>
          <w:sz w:val="24"/>
          <w:szCs w:val="24"/>
        </w:rPr>
        <w:t xml:space="preserve">, M. D., Padilla, J. R., &amp; </w:t>
      </w:r>
      <w:proofErr w:type="spellStart"/>
      <w:r>
        <w:rPr>
          <w:rFonts w:ascii="Arial" w:eastAsia="Arial" w:hAnsi="Arial" w:cs="Arial"/>
          <w:sz w:val="24"/>
          <w:szCs w:val="24"/>
        </w:rPr>
        <w:t>Llabanes</w:t>
      </w:r>
      <w:proofErr w:type="spellEnd"/>
      <w:r>
        <w:rPr>
          <w:rFonts w:ascii="Arial" w:eastAsia="Arial" w:hAnsi="Arial" w:cs="Arial"/>
          <w:sz w:val="24"/>
          <w:szCs w:val="24"/>
        </w:rPr>
        <w:t xml:space="preserve"> Rodriguez, R. (2021).</w:t>
      </w:r>
      <w:r>
        <w:rPr>
          <w:rFonts w:ascii="Arial" w:eastAsia="Arial" w:hAnsi="Arial" w:cs="Arial"/>
          <w:i/>
          <w:iCs/>
          <w:sz w:val="24"/>
          <w:szCs w:val="24"/>
        </w:rPr>
        <w:t xml:space="preserve"> Filipino Sign Language Recognition using Deep Learning. 2021 5th International Conference on E-Society, E-Education and E-Technology. </w:t>
      </w:r>
      <w:r>
        <w:rPr>
          <w:rFonts w:ascii="Arial" w:eastAsia="Arial" w:hAnsi="Arial" w:cs="Arial"/>
          <w:sz w:val="24"/>
          <w:szCs w:val="24"/>
        </w:rPr>
        <w:t>https://doi.org/10.1145/3485768.3485783</w:t>
      </w:r>
    </w:p>
    <w:p w14:paraId="59DC0BDA" w14:textId="77777777" w:rsidR="00FB1D97" w:rsidRDefault="00DC7A6B">
      <w:pPr>
        <w:keepNext/>
        <w:ind w:left="720" w:right="720"/>
        <w:rPr>
          <w:rFonts w:ascii="Arial" w:eastAsia="Arial" w:hAnsi="Arial" w:cs="Arial"/>
          <w:b/>
          <w:bCs/>
          <w:sz w:val="24"/>
          <w:szCs w:val="24"/>
        </w:rPr>
      </w:pPr>
      <w:proofErr w:type="spellStart"/>
      <w:r>
        <w:rPr>
          <w:rFonts w:ascii="Arial" w:eastAsia="Arial" w:hAnsi="Arial" w:cs="Arial"/>
          <w:sz w:val="24"/>
          <w:szCs w:val="24"/>
        </w:rPr>
        <w:t>Morisod</w:t>
      </w:r>
      <w:proofErr w:type="spellEnd"/>
      <w:r>
        <w:rPr>
          <w:rFonts w:ascii="Arial" w:eastAsia="Arial" w:hAnsi="Arial" w:cs="Arial"/>
          <w:sz w:val="24"/>
          <w:szCs w:val="24"/>
        </w:rPr>
        <w:t xml:space="preserve">, K., Malebranche, M., Marti, J., </w:t>
      </w:r>
      <w:proofErr w:type="spellStart"/>
      <w:r>
        <w:rPr>
          <w:rFonts w:ascii="Arial" w:eastAsia="Arial" w:hAnsi="Arial" w:cs="Arial"/>
          <w:sz w:val="24"/>
          <w:szCs w:val="24"/>
        </w:rPr>
        <w:t>Spycher</w:t>
      </w:r>
      <w:proofErr w:type="spellEnd"/>
      <w:r>
        <w:rPr>
          <w:rFonts w:ascii="Arial" w:eastAsia="Arial" w:hAnsi="Arial" w:cs="Arial"/>
          <w:sz w:val="24"/>
          <w:szCs w:val="24"/>
        </w:rPr>
        <w:t xml:space="preserve">, J., </w:t>
      </w:r>
      <w:proofErr w:type="spellStart"/>
      <w:r>
        <w:rPr>
          <w:rFonts w:ascii="Arial" w:eastAsia="Arial" w:hAnsi="Arial" w:cs="Arial"/>
          <w:sz w:val="24"/>
          <w:szCs w:val="24"/>
        </w:rPr>
        <w:t>Grazioli</w:t>
      </w:r>
      <w:proofErr w:type="spellEnd"/>
      <w:r>
        <w:rPr>
          <w:rFonts w:ascii="Arial" w:eastAsia="Arial" w:hAnsi="Arial" w:cs="Arial"/>
          <w:sz w:val="24"/>
          <w:szCs w:val="24"/>
        </w:rPr>
        <w:t xml:space="preserve">, V. S., &amp;   </w:t>
      </w:r>
      <w:proofErr w:type="spellStart"/>
      <w:r>
        <w:rPr>
          <w:rFonts w:ascii="Arial" w:eastAsia="Arial" w:hAnsi="Arial" w:cs="Arial"/>
          <w:sz w:val="24"/>
          <w:szCs w:val="24"/>
        </w:rPr>
        <w:t>Bodenmann</w:t>
      </w:r>
      <w:proofErr w:type="spellEnd"/>
      <w:r>
        <w:rPr>
          <w:rFonts w:ascii="Arial" w:eastAsia="Arial" w:hAnsi="Arial" w:cs="Arial"/>
          <w:sz w:val="24"/>
          <w:szCs w:val="24"/>
        </w:rPr>
        <w:t xml:space="preserve">, P. (2022).Interventions aimed at improving healthcare and health education equity for adult d/Deaf </w:t>
      </w:r>
      <w:proofErr w:type="spellStart"/>
      <w:r>
        <w:rPr>
          <w:rFonts w:ascii="Arial" w:eastAsia="Arial" w:hAnsi="Arial" w:cs="Arial"/>
          <w:sz w:val="24"/>
          <w:szCs w:val="24"/>
        </w:rPr>
        <w:t>patients:A</w:t>
      </w:r>
      <w:proofErr w:type="spellEnd"/>
      <w:r>
        <w:rPr>
          <w:rFonts w:ascii="Arial" w:eastAsia="Arial" w:hAnsi="Arial" w:cs="Arial"/>
          <w:sz w:val="24"/>
          <w:szCs w:val="24"/>
        </w:rPr>
        <w:t xml:space="preserve"> systematic </w:t>
      </w:r>
      <w:proofErr w:type="spellStart"/>
      <w:r>
        <w:rPr>
          <w:rFonts w:ascii="Arial" w:eastAsia="Arial" w:hAnsi="Arial" w:cs="Arial"/>
          <w:sz w:val="24"/>
          <w:szCs w:val="24"/>
        </w:rPr>
        <w:t>review.</w:t>
      </w:r>
      <w:r>
        <w:rPr>
          <w:rFonts w:ascii="Arial" w:eastAsia="Arial" w:hAnsi="Arial" w:cs="Arial"/>
          <w:i/>
          <w:iCs/>
          <w:sz w:val="24"/>
          <w:szCs w:val="24"/>
        </w:rPr>
        <w:t>European</w:t>
      </w:r>
      <w:proofErr w:type="spellEnd"/>
      <w:r>
        <w:rPr>
          <w:rFonts w:ascii="Arial" w:eastAsia="Arial" w:hAnsi="Arial" w:cs="Arial"/>
          <w:i/>
          <w:iCs/>
          <w:sz w:val="24"/>
          <w:szCs w:val="24"/>
        </w:rPr>
        <w:t xml:space="preserve"> Journal of </w:t>
      </w:r>
      <w:proofErr w:type="spellStart"/>
      <w:r>
        <w:rPr>
          <w:rFonts w:ascii="Arial" w:eastAsia="Arial" w:hAnsi="Arial" w:cs="Arial"/>
          <w:i/>
          <w:iCs/>
          <w:sz w:val="24"/>
          <w:szCs w:val="24"/>
        </w:rPr>
        <w:t>PublicHealth</w:t>
      </w:r>
      <w:proofErr w:type="spellEnd"/>
      <w:r>
        <w:rPr>
          <w:rFonts w:ascii="Arial" w:eastAsia="Arial" w:hAnsi="Arial" w:cs="Arial"/>
          <w:i/>
          <w:iCs/>
          <w:sz w:val="24"/>
          <w:szCs w:val="24"/>
        </w:rPr>
        <w:t>, 32</w:t>
      </w:r>
      <w:r>
        <w:rPr>
          <w:rFonts w:ascii="Arial" w:eastAsia="Arial" w:hAnsi="Arial" w:cs="Arial"/>
          <w:sz w:val="24"/>
          <w:szCs w:val="24"/>
        </w:rPr>
        <w:t>(4),548-556. https://doi.org/10.1093/eurpub/ckac05</w:t>
      </w:r>
    </w:p>
    <w:p w14:paraId="69BF903F"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Napier, J., &amp; Kidd, M. R. (2022). </w:t>
      </w:r>
      <w:r>
        <w:rPr>
          <w:rFonts w:ascii="Arial" w:eastAsia="Arial" w:hAnsi="Arial" w:cs="Arial"/>
          <w:i/>
          <w:iCs/>
          <w:sz w:val="24"/>
          <w:szCs w:val="24"/>
          <w:highlight w:val="white"/>
        </w:rPr>
        <w:t xml:space="preserve">English literacy as a barrier to health care information for deaf people who use </w:t>
      </w:r>
      <w:proofErr w:type="spellStart"/>
      <w:r>
        <w:rPr>
          <w:rFonts w:ascii="Arial" w:eastAsia="Arial" w:hAnsi="Arial" w:cs="Arial"/>
          <w:i/>
          <w:iCs/>
          <w:sz w:val="24"/>
          <w:szCs w:val="24"/>
          <w:highlight w:val="white"/>
        </w:rPr>
        <w:t>Auslan</w:t>
      </w:r>
      <w:r>
        <w:rPr>
          <w:rFonts w:ascii="Arial" w:eastAsia="Arial" w:hAnsi="Arial" w:cs="Arial"/>
          <w:sz w:val="24"/>
          <w:szCs w:val="24"/>
          <w:highlight w:val="white"/>
        </w:rPr>
        <w:t>.PubMed</w:t>
      </w:r>
      <w:proofErr w:type="spellEnd"/>
      <w:r>
        <w:rPr>
          <w:rFonts w:ascii="Arial" w:eastAsia="Arial" w:hAnsi="Arial" w:cs="Arial"/>
          <w:sz w:val="24"/>
          <w:szCs w:val="24"/>
          <w:highlight w:val="white"/>
        </w:rPr>
        <w:t>. https://pubmed.ncbi.nlm.nih.gov/24324995/</w:t>
      </w:r>
    </w:p>
    <w:p w14:paraId="750DA9DC"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National Association of the Deaf. (n.d.). </w:t>
      </w:r>
      <w:r>
        <w:rPr>
          <w:rFonts w:ascii="Arial" w:eastAsia="Arial" w:hAnsi="Arial" w:cs="Arial"/>
          <w:i/>
          <w:iCs/>
          <w:sz w:val="24"/>
          <w:szCs w:val="24"/>
          <w:highlight w:val="white"/>
        </w:rPr>
        <w:t xml:space="preserve">Position Statement on HealthCare Access for Deaf </w:t>
      </w:r>
      <w:proofErr w:type="spellStart"/>
      <w:r>
        <w:rPr>
          <w:rFonts w:ascii="Arial" w:eastAsia="Arial" w:hAnsi="Arial" w:cs="Arial"/>
          <w:i/>
          <w:iCs/>
          <w:sz w:val="24"/>
          <w:szCs w:val="24"/>
          <w:highlight w:val="white"/>
        </w:rPr>
        <w:t>Patients.</w:t>
      </w:r>
      <w:r>
        <w:rPr>
          <w:rFonts w:ascii="Arial" w:eastAsia="Arial" w:hAnsi="Arial" w:cs="Arial"/>
          <w:sz w:val="24"/>
          <w:szCs w:val="24"/>
          <w:highlight w:val="white"/>
        </w:rPr>
        <w:t>https</w:t>
      </w:r>
      <w:proofErr w:type="spellEnd"/>
      <w:r>
        <w:rPr>
          <w:rFonts w:ascii="Arial" w:eastAsia="Arial" w:hAnsi="Arial" w:cs="Arial"/>
          <w:sz w:val="24"/>
          <w:szCs w:val="24"/>
          <w:highlight w:val="white"/>
        </w:rPr>
        <w:t>://www.nad.org/about-us/position -statements/position-statement-on-health-care-access-for-deaf-patients/</w:t>
      </w:r>
    </w:p>
    <w:p w14:paraId="283A491F"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National Council on Disability Affairs. (2018). </w:t>
      </w:r>
      <w:r>
        <w:rPr>
          <w:rFonts w:ascii="Arial" w:eastAsia="Arial" w:hAnsi="Arial" w:cs="Arial"/>
          <w:i/>
          <w:iCs/>
          <w:sz w:val="24"/>
          <w:szCs w:val="24"/>
          <w:highlight w:val="white"/>
        </w:rPr>
        <w:t>An Act Declaring The Filipino Sign Language As The National Sign Language Of The Filipino Deaf And The Official Sign Language Of Government In All Transactions Involving The Deaf, And Mandating Its Use In Schools, Broadcast Media, And Workplaces – RA 11106.</w:t>
      </w:r>
      <w:r>
        <w:rPr>
          <w:rFonts w:ascii="Arial" w:eastAsia="Arial" w:hAnsi="Arial" w:cs="Arial"/>
          <w:sz w:val="24"/>
          <w:szCs w:val="24"/>
          <w:highlight w:val="white"/>
        </w:rPr>
        <w:t xml:space="preserve"> https://ncda.gov.ph/disability-laws/republic-acts /ra-11106/</w:t>
      </w:r>
    </w:p>
    <w:p w14:paraId="5F13E8D3"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lastRenderedPageBreak/>
        <w:t xml:space="preserve">National Institute on Deafness and Other Communication Disorders. (n.d.). </w:t>
      </w:r>
      <w:proofErr w:type="spellStart"/>
      <w:r>
        <w:rPr>
          <w:rFonts w:ascii="Arial" w:eastAsia="Arial" w:hAnsi="Arial" w:cs="Arial"/>
          <w:sz w:val="24"/>
          <w:szCs w:val="24"/>
          <w:highlight w:val="white"/>
        </w:rPr>
        <w:t>Glossary</w:t>
      </w:r>
      <w:r>
        <w:rPr>
          <w:rFonts w:ascii="Arial" w:eastAsia="Arial" w:hAnsi="Arial" w:cs="Arial"/>
          <w:i/>
          <w:iCs/>
          <w:sz w:val="24"/>
          <w:szCs w:val="24"/>
          <w:highlight w:val="white"/>
        </w:rPr>
        <w:t>.National</w:t>
      </w:r>
      <w:proofErr w:type="spellEnd"/>
      <w:r>
        <w:rPr>
          <w:rFonts w:ascii="Arial" w:eastAsia="Arial" w:hAnsi="Arial" w:cs="Arial"/>
          <w:i/>
          <w:iCs/>
          <w:sz w:val="24"/>
          <w:szCs w:val="24"/>
          <w:highlight w:val="white"/>
        </w:rPr>
        <w:t xml:space="preserve"> Institutes of Health. </w:t>
      </w:r>
      <w:r>
        <w:rPr>
          <w:rFonts w:ascii="Arial" w:eastAsia="Arial" w:hAnsi="Arial" w:cs="Arial"/>
          <w:sz w:val="24"/>
          <w:szCs w:val="24"/>
          <w:highlight w:val="white"/>
        </w:rPr>
        <w:t>https://www.nidcd.nih.gov/glossary#Semantics</w:t>
      </w:r>
    </w:p>
    <w:p w14:paraId="19D7DA32"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National Geographic Society. (2022). </w:t>
      </w:r>
      <w:r>
        <w:rPr>
          <w:rFonts w:ascii="Arial" w:eastAsia="Arial" w:hAnsi="Arial" w:cs="Arial"/>
          <w:i/>
          <w:iCs/>
          <w:sz w:val="24"/>
          <w:szCs w:val="24"/>
          <w:highlight w:val="white"/>
        </w:rPr>
        <w:t xml:space="preserve">Sign Language. Education. </w:t>
      </w:r>
      <w:r>
        <w:rPr>
          <w:rFonts w:ascii="Arial" w:eastAsia="Arial" w:hAnsi="Arial" w:cs="Arial"/>
          <w:sz w:val="24"/>
          <w:szCs w:val="24"/>
          <w:highlight w:val="white"/>
        </w:rPr>
        <w:t xml:space="preserve">nationalgeographic.org.https://education.nationalgeographic.org/resource/sign-language/ </w:t>
      </w:r>
    </w:p>
    <w:p w14:paraId="08DA6717" w14:textId="77777777" w:rsidR="00FB1D97" w:rsidRDefault="00DC7A6B">
      <w:pPr>
        <w:ind w:left="720" w:right="720"/>
        <w:rPr>
          <w:rFonts w:ascii="Arial" w:eastAsia="Arial" w:hAnsi="Arial" w:cs="Arial"/>
          <w:sz w:val="24"/>
          <w:szCs w:val="24"/>
          <w:highlight w:val="white"/>
        </w:rPr>
      </w:pPr>
      <w:proofErr w:type="spellStart"/>
      <w:r>
        <w:rPr>
          <w:rFonts w:ascii="Arial" w:eastAsia="Arial" w:hAnsi="Arial" w:cs="Arial"/>
          <w:sz w:val="24"/>
          <w:szCs w:val="24"/>
          <w:highlight w:val="white"/>
        </w:rPr>
        <w:t>Nikolopoulou</w:t>
      </w:r>
      <w:proofErr w:type="spellEnd"/>
      <w:r>
        <w:rPr>
          <w:rFonts w:ascii="Arial" w:eastAsia="Arial" w:hAnsi="Arial" w:cs="Arial"/>
          <w:sz w:val="24"/>
          <w:szCs w:val="24"/>
          <w:highlight w:val="white"/>
        </w:rPr>
        <w:t xml:space="preserve">, K. (2023). </w:t>
      </w:r>
      <w:r>
        <w:rPr>
          <w:rFonts w:ascii="Arial" w:eastAsia="Arial" w:hAnsi="Arial" w:cs="Arial"/>
          <w:i/>
          <w:iCs/>
          <w:sz w:val="24"/>
          <w:szCs w:val="24"/>
          <w:highlight w:val="white"/>
        </w:rPr>
        <w:t xml:space="preserve">Inclusion and exclusion criteria in research. </w:t>
      </w:r>
      <w:r>
        <w:rPr>
          <w:rFonts w:ascii="Arial" w:eastAsia="Arial" w:hAnsi="Arial" w:cs="Arial"/>
          <w:sz w:val="24"/>
          <w:szCs w:val="24"/>
          <w:highlight w:val="white"/>
        </w:rPr>
        <w:t>Scribbr.https://www.scribbr.com/methodology/inclusion-exclusion-criteria</w:t>
      </w:r>
    </w:p>
    <w:p w14:paraId="3DB1964D"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Ntoumanis, N., Ng, J. Y. Y., Prestwich, A., Quested, E., </w:t>
      </w:r>
      <w:proofErr w:type="spellStart"/>
      <w:r>
        <w:rPr>
          <w:rFonts w:ascii="Arial" w:eastAsia="Arial" w:hAnsi="Arial" w:cs="Arial"/>
          <w:sz w:val="24"/>
          <w:szCs w:val="24"/>
          <w:highlight w:val="white"/>
        </w:rPr>
        <w:t>Hancox</w:t>
      </w:r>
      <w:proofErr w:type="spellEnd"/>
      <w:r>
        <w:rPr>
          <w:rFonts w:ascii="Arial" w:eastAsia="Arial" w:hAnsi="Arial" w:cs="Arial"/>
          <w:sz w:val="24"/>
          <w:szCs w:val="24"/>
          <w:highlight w:val="white"/>
        </w:rPr>
        <w:t xml:space="preserve">, J. E., </w:t>
      </w:r>
      <w:proofErr w:type="spellStart"/>
      <w:r>
        <w:rPr>
          <w:rFonts w:ascii="Arial" w:eastAsia="Arial" w:hAnsi="Arial" w:cs="Arial"/>
          <w:sz w:val="24"/>
          <w:szCs w:val="24"/>
          <w:highlight w:val="white"/>
        </w:rPr>
        <w:t>Thøgersen-Ntoumani</w:t>
      </w:r>
      <w:proofErr w:type="spellEnd"/>
      <w:r>
        <w:rPr>
          <w:rFonts w:ascii="Arial" w:eastAsia="Arial" w:hAnsi="Arial" w:cs="Arial"/>
          <w:sz w:val="24"/>
          <w:szCs w:val="24"/>
          <w:highlight w:val="white"/>
        </w:rPr>
        <w:t xml:space="preserve">, C., Deci, E. L., Ryan, R. M., Lonsdale, C., &amp; Williams, G. C. (2021). A meta-analysis of self-determination theory-informed intervention studies in the health domain: Effects on motivation, health behavior, physical, and psychological health. </w:t>
      </w:r>
      <w:r>
        <w:rPr>
          <w:rFonts w:ascii="Arial" w:eastAsia="Arial" w:hAnsi="Arial" w:cs="Arial"/>
          <w:i/>
          <w:iCs/>
          <w:sz w:val="24"/>
          <w:szCs w:val="24"/>
          <w:highlight w:val="white"/>
        </w:rPr>
        <w:t xml:space="preserve">Health Psychology Review, </w:t>
      </w:r>
      <w:r>
        <w:rPr>
          <w:rFonts w:ascii="Arial" w:eastAsia="Arial" w:hAnsi="Arial" w:cs="Arial"/>
          <w:sz w:val="24"/>
          <w:szCs w:val="24"/>
          <w:highlight w:val="white"/>
        </w:rPr>
        <w:t xml:space="preserve">15(2), 214-244. </w:t>
      </w:r>
      <w:hyperlink r:id="rId43">
        <w:r>
          <w:rPr>
            <w:rFonts w:ascii="Arial" w:eastAsia="Arial" w:hAnsi="Arial" w:cs="Arial"/>
            <w:sz w:val="24"/>
            <w:szCs w:val="24"/>
            <w:highlight w:val="white"/>
          </w:rPr>
          <w:t>https://doi.org/10.1080/17437199.2020.1718529</w:t>
        </w:r>
      </w:hyperlink>
    </w:p>
    <w:p w14:paraId="60DFE39C"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Noncommunicable Diseases, Rehabilitation and </w:t>
      </w:r>
      <w:proofErr w:type="gramStart"/>
      <w:r>
        <w:rPr>
          <w:rFonts w:ascii="Arial" w:eastAsia="Arial" w:hAnsi="Arial" w:cs="Arial"/>
          <w:sz w:val="24"/>
          <w:szCs w:val="24"/>
          <w:highlight w:val="white"/>
        </w:rPr>
        <w:t>Disability  (</w:t>
      </w:r>
      <w:proofErr w:type="gramEnd"/>
      <w:r>
        <w:rPr>
          <w:rFonts w:ascii="Arial" w:eastAsia="Arial" w:hAnsi="Arial" w:cs="Arial"/>
          <w:sz w:val="24"/>
          <w:szCs w:val="24"/>
          <w:highlight w:val="white"/>
        </w:rPr>
        <w:t xml:space="preserve">NCD). (2022). </w:t>
      </w:r>
      <w:r>
        <w:rPr>
          <w:rFonts w:ascii="Arial" w:eastAsia="Arial" w:hAnsi="Arial" w:cs="Arial"/>
          <w:i/>
          <w:iCs/>
          <w:sz w:val="24"/>
          <w:szCs w:val="24"/>
          <w:highlight w:val="white"/>
        </w:rPr>
        <w:t xml:space="preserve">Global report on health equity for persons with disabilities. </w:t>
      </w:r>
      <w:r>
        <w:rPr>
          <w:rFonts w:ascii="Arial" w:eastAsia="Arial" w:hAnsi="Arial" w:cs="Arial"/>
          <w:sz w:val="24"/>
          <w:szCs w:val="24"/>
          <w:highlight w:val="white"/>
        </w:rPr>
        <w:t>https://www.who.int/publications/i/item/9789240063600</w:t>
      </w:r>
    </w:p>
    <w:p w14:paraId="082BB722"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Opoku, A., Usman, M. B., Adjei, T. A., Owusu-Afriyie, B., &amp; Opoku, W. (2025). Nursing and midwifery students’ perceptions of sign language training in Ghana: relevance, instructional methods, and assessment practices. </w:t>
      </w:r>
      <w:r>
        <w:rPr>
          <w:rFonts w:ascii="Arial" w:eastAsia="Arial" w:hAnsi="Arial" w:cs="Arial"/>
          <w:i/>
          <w:iCs/>
          <w:sz w:val="24"/>
          <w:szCs w:val="24"/>
          <w:highlight w:val="white"/>
        </w:rPr>
        <w:t>BMC Nursing,</w:t>
      </w:r>
      <w:r>
        <w:rPr>
          <w:rFonts w:ascii="Arial" w:eastAsia="Arial" w:hAnsi="Arial" w:cs="Arial"/>
          <w:sz w:val="24"/>
          <w:szCs w:val="24"/>
          <w:highlight w:val="white"/>
        </w:rPr>
        <w:t xml:space="preserve"> 24(1). </w:t>
      </w:r>
      <w:hyperlink r:id="rId44">
        <w:r>
          <w:rPr>
            <w:rFonts w:ascii="Arial" w:eastAsia="Arial" w:hAnsi="Arial" w:cs="Arial"/>
            <w:sz w:val="24"/>
            <w:szCs w:val="24"/>
            <w:highlight w:val="white"/>
          </w:rPr>
          <w:t>https://doi.org/10.1186/s12912-025-03610-y</w:t>
        </w:r>
      </w:hyperlink>
    </w:p>
    <w:p w14:paraId="101D5691" w14:textId="77777777" w:rsidR="00FB1D97" w:rsidRDefault="00DC7A6B">
      <w:pPr>
        <w:ind w:left="720" w:right="720"/>
        <w:rPr>
          <w:rFonts w:ascii="Arial" w:eastAsia="Arial" w:hAnsi="Arial" w:cs="Arial"/>
          <w:sz w:val="24"/>
          <w:szCs w:val="24"/>
          <w:highlight w:val="white"/>
        </w:rPr>
      </w:pPr>
      <w:proofErr w:type="spellStart"/>
      <w:r>
        <w:rPr>
          <w:rFonts w:ascii="Arial" w:eastAsia="Arial" w:hAnsi="Arial" w:cs="Arial"/>
          <w:sz w:val="24"/>
          <w:szCs w:val="24"/>
          <w:highlight w:val="white"/>
        </w:rPr>
        <w:t>Paneerselvam</w:t>
      </w:r>
      <w:proofErr w:type="spellEnd"/>
      <w:r>
        <w:rPr>
          <w:rFonts w:ascii="Arial" w:eastAsia="Arial" w:hAnsi="Arial" w:cs="Arial"/>
          <w:sz w:val="24"/>
          <w:szCs w:val="24"/>
          <w:highlight w:val="white"/>
        </w:rPr>
        <w:t xml:space="preserve">, G. S., Kee, L. S., </w:t>
      </w:r>
      <w:proofErr w:type="spellStart"/>
      <w:r>
        <w:rPr>
          <w:rFonts w:ascii="Arial" w:eastAsia="Arial" w:hAnsi="Arial" w:cs="Arial"/>
          <w:sz w:val="24"/>
          <w:szCs w:val="24"/>
          <w:highlight w:val="white"/>
        </w:rPr>
        <w:t>Beshir</w:t>
      </w:r>
      <w:proofErr w:type="spellEnd"/>
      <w:r>
        <w:rPr>
          <w:rFonts w:ascii="Arial" w:eastAsia="Arial" w:hAnsi="Arial" w:cs="Arial"/>
          <w:sz w:val="24"/>
          <w:szCs w:val="24"/>
          <w:highlight w:val="white"/>
        </w:rPr>
        <w:t xml:space="preserve">, S. A., Ming, L. C., </w:t>
      </w:r>
      <w:proofErr w:type="spellStart"/>
      <w:r>
        <w:rPr>
          <w:rFonts w:ascii="Arial" w:eastAsia="Arial" w:hAnsi="Arial" w:cs="Arial"/>
          <w:sz w:val="24"/>
          <w:szCs w:val="24"/>
          <w:highlight w:val="white"/>
        </w:rPr>
        <w:t>Alsaleh</w:t>
      </w:r>
      <w:proofErr w:type="spellEnd"/>
      <w:r>
        <w:rPr>
          <w:rFonts w:ascii="Arial" w:eastAsia="Arial" w:hAnsi="Arial" w:cs="Arial"/>
          <w:sz w:val="24"/>
          <w:szCs w:val="24"/>
          <w:highlight w:val="white"/>
        </w:rPr>
        <w:t xml:space="preserve">, N. A., &amp; </w:t>
      </w:r>
      <w:proofErr w:type="spellStart"/>
      <w:r>
        <w:rPr>
          <w:rFonts w:ascii="Arial" w:eastAsia="Arial" w:hAnsi="Arial" w:cs="Arial"/>
          <w:sz w:val="24"/>
          <w:szCs w:val="24"/>
          <w:highlight w:val="white"/>
        </w:rPr>
        <w:t>Alsharif</w:t>
      </w:r>
      <w:proofErr w:type="spellEnd"/>
      <w:r>
        <w:rPr>
          <w:rFonts w:ascii="Arial" w:eastAsia="Arial" w:hAnsi="Arial" w:cs="Arial"/>
          <w:sz w:val="24"/>
          <w:szCs w:val="24"/>
          <w:highlight w:val="white"/>
        </w:rPr>
        <w:t xml:space="preserve">, A. A. (2025). Obesity care knowledge and practice among primary care physicians in </w:t>
      </w:r>
      <w:proofErr w:type="spellStart"/>
      <w:r>
        <w:rPr>
          <w:rFonts w:ascii="Arial" w:eastAsia="Arial" w:hAnsi="Arial" w:cs="Arial"/>
          <w:sz w:val="24"/>
          <w:szCs w:val="24"/>
          <w:highlight w:val="white"/>
        </w:rPr>
        <w:t>Klang</w:t>
      </w:r>
      <w:proofErr w:type="spellEnd"/>
      <w:r>
        <w:rPr>
          <w:rFonts w:ascii="Arial" w:eastAsia="Arial" w:hAnsi="Arial" w:cs="Arial"/>
          <w:sz w:val="24"/>
          <w:szCs w:val="24"/>
          <w:highlight w:val="white"/>
        </w:rPr>
        <w:t xml:space="preserve"> valley: a cross-sectional study</w:t>
      </w:r>
      <w:r>
        <w:rPr>
          <w:rFonts w:ascii="Arial" w:eastAsia="Arial" w:hAnsi="Arial" w:cs="Arial"/>
          <w:i/>
          <w:iCs/>
          <w:sz w:val="24"/>
          <w:szCs w:val="24"/>
          <w:highlight w:val="white"/>
        </w:rPr>
        <w:t>. BMC Primary Care</w:t>
      </w:r>
      <w:r>
        <w:rPr>
          <w:rFonts w:ascii="Arial" w:eastAsia="Arial" w:hAnsi="Arial" w:cs="Arial"/>
          <w:sz w:val="24"/>
          <w:szCs w:val="24"/>
          <w:highlight w:val="white"/>
        </w:rPr>
        <w:t>, 26(1). https://doi.org/10.1186/s12875-0 25-02946-3</w:t>
      </w:r>
    </w:p>
    <w:p w14:paraId="508EA987" w14:textId="77777777" w:rsidR="00FB1D97" w:rsidRDefault="00DC7A6B">
      <w:pPr>
        <w:ind w:left="720" w:right="720"/>
        <w:rPr>
          <w:rFonts w:ascii="Arial" w:eastAsia="Arial" w:hAnsi="Arial" w:cs="Arial"/>
          <w:sz w:val="24"/>
          <w:szCs w:val="24"/>
          <w:highlight w:val="white"/>
        </w:rPr>
      </w:pPr>
      <w:proofErr w:type="spellStart"/>
      <w:r>
        <w:rPr>
          <w:rFonts w:ascii="Arial" w:eastAsia="Arial" w:hAnsi="Arial" w:cs="Arial"/>
          <w:sz w:val="24"/>
          <w:szCs w:val="24"/>
          <w:highlight w:val="white"/>
        </w:rPr>
        <w:t>Pallant</w:t>
      </w:r>
      <w:proofErr w:type="spellEnd"/>
      <w:r>
        <w:rPr>
          <w:rFonts w:ascii="Arial" w:eastAsia="Arial" w:hAnsi="Arial" w:cs="Arial"/>
          <w:sz w:val="24"/>
          <w:szCs w:val="24"/>
          <w:highlight w:val="white"/>
        </w:rPr>
        <w:t>, J. (2020). SPSS survival manual: A step by step guide to data analysis Using IBM SPSS (7th ed.)</w:t>
      </w:r>
      <w:r>
        <w:rPr>
          <w:rFonts w:ascii="Arial" w:eastAsia="Arial" w:hAnsi="Arial" w:cs="Arial"/>
          <w:i/>
          <w:iCs/>
          <w:sz w:val="24"/>
          <w:szCs w:val="24"/>
          <w:highlight w:val="white"/>
        </w:rPr>
        <w:t>.</w:t>
      </w:r>
      <w:r>
        <w:rPr>
          <w:rFonts w:ascii="Arial" w:eastAsia="Arial" w:hAnsi="Arial" w:cs="Arial"/>
          <w:sz w:val="24"/>
          <w:szCs w:val="24"/>
          <w:highlight w:val="white"/>
        </w:rPr>
        <w:t xml:space="preserve"> </w:t>
      </w:r>
      <w:r>
        <w:rPr>
          <w:rFonts w:ascii="Arial" w:eastAsia="Arial" w:hAnsi="Arial" w:cs="Arial"/>
          <w:i/>
          <w:iCs/>
          <w:sz w:val="24"/>
          <w:szCs w:val="24"/>
          <w:highlight w:val="white"/>
        </w:rPr>
        <w:t>McGraw-Hill Education</w:t>
      </w:r>
      <w:r>
        <w:rPr>
          <w:rFonts w:ascii="Arial" w:eastAsia="Arial" w:hAnsi="Arial" w:cs="Arial"/>
          <w:sz w:val="24"/>
          <w:szCs w:val="24"/>
          <w:highlight w:val="white"/>
        </w:rPr>
        <w:t>. https://www.mheducation.com/highered/product/spss-survival-manual-pallant/ M9781760421009.html</w:t>
      </w:r>
    </w:p>
    <w:p w14:paraId="0C0A8A5F"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Piao, Z., Lee, H., Mun, Y., Lee, H., &amp; Han, E. (2023). Exploring the health literacy status of people with hearing impairment: a systematic review. </w:t>
      </w:r>
      <w:r>
        <w:rPr>
          <w:rFonts w:ascii="Arial" w:eastAsia="Arial" w:hAnsi="Arial" w:cs="Arial"/>
          <w:i/>
          <w:iCs/>
          <w:sz w:val="24"/>
          <w:szCs w:val="24"/>
          <w:highlight w:val="white"/>
        </w:rPr>
        <w:t>Archives of Public Health, 81</w:t>
      </w:r>
      <w:r>
        <w:rPr>
          <w:rFonts w:ascii="Arial" w:eastAsia="Arial" w:hAnsi="Arial" w:cs="Arial"/>
          <w:sz w:val="24"/>
          <w:szCs w:val="24"/>
          <w:highlight w:val="white"/>
        </w:rPr>
        <w:t>(1).</w:t>
      </w:r>
      <w:r>
        <w:rPr>
          <w:rFonts w:ascii="Arial" w:eastAsia="Arial" w:hAnsi="Arial" w:cs="Arial"/>
          <w:i/>
          <w:iCs/>
          <w:sz w:val="24"/>
          <w:szCs w:val="24"/>
          <w:highlight w:val="white"/>
        </w:rPr>
        <w:t xml:space="preserve"> </w:t>
      </w:r>
      <w:r>
        <w:rPr>
          <w:rFonts w:ascii="Arial" w:eastAsia="Arial" w:hAnsi="Arial" w:cs="Arial"/>
          <w:sz w:val="24"/>
          <w:szCs w:val="24"/>
          <w:highlight w:val="white"/>
        </w:rPr>
        <w:t>https://doi.org/10.1186/s13690-023-01216-x</w:t>
      </w:r>
    </w:p>
    <w:p w14:paraId="0B6B0853"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Pineda, A. P. (2014). </w:t>
      </w:r>
      <w:r>
        <w:rPr>
          <w:rFonts w:ascii="Arial" w:eastAsia="Arial" w:hAnsi="Arial" w:cs="Arial"/>
          <w:i/>
          <w:iCs/>
          <w:sz w:val="24"/>
          <w:szCs w:val="24"/>
          <w:highlight w:val="white"/>
        </w:rPr>
        <w:t>Employee retention practices of multinational companies, American College of Dubai, Dubai, UAE.</w:t>
      </w:r>
      <w:r>
        <w:rPr>
          <w:rFonts w:ascii="Arial" w:eastAsia="Arial" w:hAnsi="Arial" w:cs="Arial"/>
          <w:sz w:val="24"/>
          <w:szCs w:val="24"/>
          <w:highlight w:val="white"/>
        </w:rPr>
        <w:t xml:space="preserve"> </w:t>
      </w:r>
      <w:r>
        <w:rPr>
          <w:rFonts w:ascii="Arial" w:eastAsia="Arial" w:hAnsi="Arial" w:cs="Arial"/>
          <w:sz w:val="24"/>
          <w:szCs w:val="24"/>
          <w:highlight w:val="white"/>
        </w:rPr>
        <w:lastRenderedPageBreak/>
        <w:t xml:space="preserve">http://globalbizresearch.org/Dubai_Conference/pdf/pdf/D478.pdf </w:t>
      </w:r>
    </w:p>
    <w:p w14:paraId="242B1944"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Philippine Statistics Authority. (2022). </w:t>
      </w:r>
      <w:r>
        <w:rPr>
          <w:rFonts w:ascii="Arial" w:eastAsia="Arial" w:hAnsi="Arial" w:cs="Arial"/>
          <w:i/>
          <w:iCs/>
          <w:sz w:val="24"/>
          <w:szCs w:val="24"/>
          <w:highlight w:val="white"/>
        </w:rPr>
        <w:t xml:space="preserve">Functional difficulty in the Philippines: For household population five years old and over (2020 Census of Population </w:t>
      </w:r>
      <w:proofErr w:type="spellStart"/>
      <w:r>
        <w:rPr>
          <w:rFonts w:ascii="Arial" w:eastAsia="Arial" w:hAnsi="Arial" w:cs="Arial"/>
          <w:i/>
          <w:iCs/>
          <w:sz w:val="24"/>
          <w:szCs w:val="24"/>
          <w:highlight w:val="white"/>
        </w:rPr>
        <w:t>andHousing</w:t>
      </w:r>
      <w:proofErr w:type="spellEnd"/>
      <w:r>
        <w:rPr>
          <w:rFonts w:ascii="Arial" w:eastAsia="Arial" w:hAnsi="Arial" w:cs="Arial"/>
          <w:i/>
          <w:iCs/>
          <w:sz w:val="24"/>
          <w:szCs w:val="24"/>
          <w:highlight w:val="white"/>
        </w:rPr>
        <w:t xml:space="preserve">). </w:t>
      </w:r>
      <w:r>
        <w:rPr>
          <w:rFonts w:ascii="Arial" w:eastAsia="Arial" w:hAnsi="Arial" w:cs="Arial"/>
          <w:sz w:val="24"/>
          <w:szCs w:val="24"/>
          <w:highlight w:val="white"/>
        </w:rPr>
        <w:t>https://psa.gov.ph/system/files/phcd/2022-12/Special%2520Release%2520on%2520Functional%2520Difficulty_rev_mpe_09242022_PMMJ_CRD_rev-signed.pdf</w:t>
      </w:r>
    </w:p>
    <w:p w14:paraId="247519A0" w14:textId="77777777" w:rsidR="00FB1D97" w:rsidRDefault="00DC7A6B">
      <w:pPr>
        <w:ind w:left="720" w:right="720"/>
        <w:rPr>
          <w:rFonts w:ascii="Times New Roman" w:eastAsia="Times New Roman" w:hAnsi="Times New Roman" w:cs="Times New Roman"/>
          <w:sz w:val="24"/>
          <w:szCs w:val="24"/>
          <w:highlight w:val="white"/>
        </w:rPr>
      </w:pPr>
      <w:r>
        <w:rPr>
          <w:rFonts w:ascii="Arial" w:eastAsia="Arial" w:hAnsi="Arial" w:cs="Arial"/>
          <w:sz w:val="24"/>
          <w:szCs w:val="24"/>
          <w:highlight w:val="white"/>
        </w:rPr>
        <w:t xml:space="preserve">Philippine Statistics Authority. (2022). </w:t>
      </w:r>
      <w:r>
        <w:rPr>
          <w:rFonts w:ascii="Arial" w:eastAsia="Arial" w:hAnsi="Arial" w:cs="Arial"/>
          <w:i/>
          <w:iCs/>
          <w:sz w:val="24"/>
          <w:szCs w:val="24"/>
          <w:highlight w:val="white"/>
        </w:rPr>
        <w:t xml:space="preserve">Functional difficulty in the Philippines: Results from the 2020 Census of Population and Housing. </w:t>
      </w:r>
      <w:r>
        <w:rPr>
          <w:rFonts w:ascii="Arial" w:eastAsia="Arial" w:hAnsi="Arial" w:cs="Arial"/>
          <w:sz w:val="24"/>
          <w:szCs w:val="24"/>
          <w:highlight w:val="white"/>
        </w:rPr>
        <w:t>Philippine Statistics Authority. https://psa.gov.ph/system/files/phcd/2022-12/Special%20Release%20on%20Functional%20Difficulty_rev_mpe_09242022_PMMJ_CRD_rev-signed.pdf</w:t>
      </w:r>
    </w:p>
    <w:p w14:paraId="3B64D363"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Polit, D. F., &amp; Beck, C. T. (2021). </w:t>
      </w:r>
      <w:r>
        <w:rPr>
          <w:rFonts w:ascii="Arial" w:eastAsia="Arial" w:hAnsi="Arial" w:cs="Arial"/>
          <w:i/>
          <w:iCs/>
          <w:sz w:val="24"/>
          <w:szCs w:val="24"/>
          <w:highlight w:val="white"/>
        </w:rPr>
        <w:t>Nursing research: Generating and assessing evidence for nursing practice (11th ed.).</w:t>
      </w:r>
      <w:r>
        <w:rPr>
          <w:rFonts w:ascii="Arial" w:eastAsia="Arial" w:hAnsi="Arial" w:cs="Arial"/>
          <w:sz w:val="24"/>
          <w:szCs w:val="24"/>
          <w:highlight w:val="white"/>
        </w:rPr>
        <w:t xml:space="preserve"> Wolters Kluwer.  </w:t>
      </w:r>
      <w:hyperlink r:id="rId45">
        <w:r>
          <w:rPr>
            <w:rFonts w:ascii="Arial" w:eastAsia="Arial" w:hAnsi="Arial" w:cs="Arial"/>
            <w:sz w:val="24"/>
            <w:szCs w:val="24"/>
            <w:highlight w:val="white"/>
          </w:rPr>
          <w:t>https://shop.lww.com/Nursing-Research/p/9781975154144</w:t>
        </w:r>
      </w:hyperlink>
    </w:p>
    <w:p w14:paraId="260E42A6" w14:textId="77777777" w:rsidR="00FB1D97" w:rsidRDefault="00DC7A6B">
      <w:pPr>
        <w:keepNext/>
        <w:ind w:left="720"/>
        <w:rPr>
          <w:rFonts w:ascii="Times New Roman" w:eastAsia="Times New Roman" w:hAnsi="Times New Roman" w:cs="Times New Roman"/>
          <w:sz w:val="24"/>
          <w:szCs w:val="24"/>
          <w:highlight w:val="white"/>
        </w:rPr>
      </w:pPr>
      <w:r>
        <w:rPr>
          <w:rFonts w:ascii="Arial" w:eastAsia="Arial" w:hAnsi="Arial" w:cs="Arial"/>
          <w:sz w:val="24"/>
          <w:szCs w:val="24"/>
        </w:rPr>
        <w:t xml:space="preserve">Project, B., &amp; Project, B. (2024). </w:t>
      </w:r>
      <w:r>
        <w:rPr>
          <w:rFonts w:ascii="Arial" w:eastAsia="Arial" w:hAnsi="Arial" w:cs="Arial"/>
          <w:i/>
          <w:iCs/>
          <w:sz w:val="24"/>
          <w:szCs w:val="24"/>
        </w:rPr>
        <w:t xml:space="preserve">Improving deaf education in the Philippines. </w:t>
      </w:r>
      <w:r>
        <w:rPr>
          <w:rFonts w:ascii="Arial" w:eastAsia="Arial" w:hAnsi="Arial" w:cs="Arial"/>
          <w:sz w:val="24"/>
          <w:szCs w:val="24"/>
        </w:rPr>
        <w:t>BORGEN</w:t>
      </w:r>
      <w:r>
        <w:rPr>
          <w:rFonts w:ascii="Arial" w:eastAsia="Arial" w:hAnsi="Arial" w:cs="Arial"/>
          <w:i/>
          <w:iCs/>
          <w:sz w:val="24"/>
          <w:szCs w:val="24"/>
        </w:rPr>
        <w:t xml:space="preserve">. </w:t>
      </w:r>
      <w:hyperlink r:id="rId46">
        <w:r>
          <w:rPr>
            <w:rFonts w:ascii="Arial" w:eastAsia="Arial" w:hAnsi="Arial" w:cs="Arial"/>
            <w:sz w:val="24"/>
            <w:szCs w:val="24"/>
          </w:rPr>
          <w:t>https://www.borgenmagazine.com/improving-deaf-education-in-the-philippines/</w:t>
        </w:r>
      </w:hyperlink>
    </w:p>
    <w:p w14:paraId="0C1FB14D"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Qadhi, O. (2025). Sign language use in healthcare: Professionals’ insight. </w:t>
      </w:r>
      <w:proofErr w:type="spellStart"/>
      <w:r>
        <w:rPr>
          <w:rFonts w:ascii="Arial" w:eastAsia="Arial" w:hAnsi="Arial" w:cs="Arial"/>
          <w:i/>
          <w:iCs/>
          <w:sz w:val="24"/>
          <w:szCs w:val="24"/>
          <w:highlight w:val="white"/>
        </w:rPr>
        <w:t>PeerJ</w:t>
      </w:r>
      <w:proofErr w:type="spellEnd"/>
      <w:r>
        <w:rPr>
          <w:rFonts w:ascii="Arial" w:eastAsia="Arial" w:hAnsi="Arial" w:cs="Arial"/>
          <w:i/>
          <w:iCs/>
          <w:sz w:val="24"/>
          <w:szCs w:val="24"/>
          <w:highlight w:val="white"/>
        </w:rPr>
        <w:t>,</w:t>
      </w:r>
      <w:r>
        <w:rPr>
          <w:rFonts w:ascii="Arial" w:eastAsia="Arial" w:hAnsi="Arial" w:cs="Arial"/>
          <w:sz w:val="24"/>
          <w:szCs w:val="24"/>
          <w:highlight w:val="white"/>
        </w:rPr>
        <w:t xml:space="preserve"> </w:t>
      </w:r>
      <w:r>
        <w:rPr>
          <w:rFonts w:ascii="Arial" w:eastAsia="Arial" w:hAnsi="Arial" w:cs="Arial"/>
          <w:i/>
          <w:iCs/>
          <w:sz w:val="24"/>
          <w:szCs w:val="24"/>
          <w:highlight w:val="white"/>
        </w:rPr>
        <w:t>13</w:t>
      </w:r>
      <w:r>
        <w:rPr>
          <w:rFonts w:ascii="Arial" w:eastAsia="Arial" w:hAnsi="Arial" w:cs="Arial"/>
          <w:sz w:val="24"/>
          <w:szCs w:val="24"/>
          <w:highlight w:val="white"/>
        </w:rPr>
        <w:t>, e19446. https://doi.org/10.7717/peerj.19446</w:t>
      </w:r>
    </w:p>
    <w:p w14:paraId="36E18607" w14:textId="77777777" w:rsidR="00FB1D97" w:rsidRDefault="00DC7A6B">
      <w:pPr>
        <w:ind w:left="720" w:right="720"/>
        <w:rPr>
          <w:rFonts w:ascii="Arial" w:eastAsia="Arial" w:hAnsi="Arial" w:cs="Arial"/>
          <w:sz w:val="24"/>
          <w:szCs w:val="24"/>
          <w:highlight w:val="white"/>
        </w:rPr>
      </w:pPr>
      <w:proofErr w:type="spellStart"/>
      <w:r>
        <w:rPr>
          <w:rFonts w:ascii="Arial" w:eastAsia="Arial" w:hAnsi="Arial" w:cs="Arial"/>
          <w:sz w:val="24"/>
          <w:szCs w:val="24"/>
          <w:highlight w:val="white"/>
        </w:rPr>
        <w:t>QuestionPro</w:t>
      </w:r>
      <w:proofErr w:type="spellEnd"/>
      <w:r>
        <w:rPr>
          <w:rFonts w:ascii="Arial" w:eastAsia="Arial" w:hAnsi="Arial" w:cs="Arial"/>
          <w:sz w:val="24"/>
          <w:szCs w:val="24"/>
          <w:highlight w:val="white"/>
        </w:rPr>
        <w:t xml:space="preserve">. (n.d.). </w:t>
      </w:r>
      <w:r>
        <w:rPr>
          <w:rFonts w:ascii="Arial" w:eastAsia="Arial" w:hAnsi="Arial" w:cs="Arial"/>
          <w:i/>
          <w:iCs/>
          <w:sz w:val="24"/>
          <w:szCs w:val="24"/>
          <w:highlight w:val="white"/>
        </w:rPr>
        <w:t>Data analysis in research: Types &amp; methods.</w:t>
      </w:r>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QuestionPro</w:t>
      </w:r>
      <w:proofErr w:type="spellEnd"/>
      <w:r>
        <w:rPr>
          <w:rFonts w:ascii="Arial" w:eastAsia="Arial" w:hAnsi="Arial" w:cs="Arial"/>
          <w:i/>
          <w:iCs/>
          <w:sz w:val="24"/>
          <w:szCs w:val="24"/>
          <w:highlight w:val="white"/>
        </w:rPr>
        <w:t xml:space="preserve">. </w:t>
      </w:r>
      <w:r>
        <w:rPr>
          <w:rFonts w:ascii="Arial" w:eastAsia="Arial" w:hAnsi="Arial" w:cs="Arial"/>
          <w:sz w:val="24"/>
          <w:szCs w:val="24"/>
          <w:highlight w:val="white"/>
        </w:rPr>
        <w:t>https://www.questionpro.com/blog/data-analysis-in-research/</w:t>
      </w:r>
    </w:p>
    <w:p w14:paraId="04DF9715" w14:textId="77777777" w:rsidR="00FB1D97" w:rsidRDefault="00DC7A6B">
      <w:pPr>
        <w:ind w:left="720" w:right="720"/>
        <w:rPr>
          <w:rFonts w:ascii="Arial" w:eastAsia="Arial" w:hAnsi="Arial" w:cs="Arial"/>
          <w:sz w:val="24"/>
          <w:szCs w:val="24"/>
          <w:highlight w:val="white"/>
        </w:rPr>
      </w:pPr>
      <w:proofErr w:type="spellStart"/>
      <w:r>
        <w:rPr>
          <w:rFonts w:ascii="Arial" w:eastAsia="Arial" w:hAnsi="Arial" w:cs="Arial"/>
          <w:sz w:val="24"/>
          <w:szCs w:val="24"/>
          <w:highlight w:val="white"/>
        </w:rPr>
        <w:t>Rannefeld</w:t>
      </w:r>
      <w:proofErr w:type="spellEnd"/>
      <w:r>
        <w:rPr>
          <w:rFonts w:ascii="Arial" w:eastAsia="Arial" w:hAnsi="Arial" w:cs="Arial"/>
          <w:sz w:val="24"/>
          <w:szCs w:val="24"/>
          <w:highlight w:val="white"/>
        </w:rPr>
        <w:t xml:space="preserve">, J., O’Sullivan, J. L., </w:t>
      </w:r>
      <w:proofErr w:type="spellStart"/>
      <w:r>
        <w:rPr>
          <w:rFonts w:ascii="Arial" w:eastAsia="Arial" w:hAnsi="Arial" w:cs="Arial"/>
          <w:sz w:val="24"/>
          <w:szCs w:val="24"/>
          <w:highlight w:val="white"/>
        </w:rPr>
        <w:t>Kuhlmey</w:t>
      </w:r>
      <w:proofErr w:type="spellEnd"/>
      <w:r>
        <w:rPr>
          <w:rFonts w:ascii="Arial" w:eastAsia="Arial" w:hAnsi="Arial" w:cs="Arial"/>
          <w:sz w:val="24"/>
          <w:szCs w:val="24"/>
          <w:highlight w:val="white"/>
        </w:rPr>
        <w:t>, A., &amp; Zoellick, J. C. (2023).</w:t>
      </w:r>
      <w:r>
        <w:rPr>
          <w:rFonts w:ascii="Arial" w:eastAsia="Arial" w:hAnsi="Arial" w:cs="Arial"/>
          <w:i/>
          <w:iCs/>
          <w:sz w:val="24"/>
          <w:szCs w:val="24"/>
          <w:highlight w:val="white"/>
        </w:rPr>
        <w:t xml:space="preserve"> </w:t>
      </w:r>
      <w:r>
        <w:rPr>
          <w:rFonts w:ascii="Arial" w:eastAsia="Arial" w:hAnsi="Arial" w:cs="Arial"/>
          <w:sz w:val="24"/>
          <w:szCs w:val="24"/>
          <w:highlight w:val="white"/>
        </w:rPr>
        <w:t xml:space="preserve">Deaf and hard-of-hearing patients are unsatisfied with and avoid German health care: Results from an online survey in German Sign Language. </w:t>
      </w:r>
      <w:proofErr w:type="spellStart"/>
      <w:r>
        <w:rPr>
          <w:rFonts w:ascii="Arial" w:eastAsia="Arial" w:hAnsi="Arial" w:cs="Arial"/>
          <w:i/>
          <w:iCs/>
          <w:sz w:val="24"/>
          <w:szCs w:val="24"/>
          <w:highlight w:val="white"/>
        </w:rPr>
        <w:t>BMCPublicHealth</w:t>
      </w:r>
      <w:proofErr w:type="spellEnd"/>
      <w:r>
        <w:rPr>
          <w:rFonts w:ascii="Arial" w:eastAsia="Arial" w:hAnsi="Arial" w:cs="Arial"/>
          <w:i/>
          <w:iCs/>
          <w:sz w:val="24"/>
          <w:szCs w:val="24"/>
          <w:highlight w:val="white"/>
        </w:rPr>
        <w:t>, 23</w:t>
      </w:r>
      <w:r>
        <w:rPr>
          <w:rFonts w:ascii="Arial" w:eastAsia="Arial" w:hAnsi="Arial" w:cs="Arial"/>
          <w:sz w:val="24"/>
          <w:szCs w:val="24"/>
          <w:highlight w:val="white"/>
        </w:rPr>
        <w:t>(1).https://doi.org/10.1186/s12889-023-16924-w</w:t>
      </w:r>
    </w:p>
    <w:p w14:paraId="10B3C09F" w14:textId="77777777" w:rsidR="00FB1D97" w:rsidRDefault="00DC7A6B">
      <w:pPr>
        <w:ind w:left="720" w:right="720"/>
        <w:rPr>
          <w:rFonts w:ascii="Times New Roman" w:eastAsia="Times New Roman" w:hAnsi="Times New Roman" w:cs="Times New Roman"/>
          <w:sz w:val="24"/>
          <w:szCs w:val="24"/>
          <w:highlight w:val="white"/>
        </w:rPr>
      </w:pPr>
      <w:proofErr w:type="spellStart"/>
      <w:r>
        <w:rPr>
          <w:rFonts w:ascii="Arial" w:eastAsia="Arial" w:hAnsi="Arial" w:cs="Arial"/>
          <w:sz w:val="24"/>
          <w:szCs w:val="24"/>
          <w:highlight w:val="white"/>
        </w:rPr>
        <w:t>Razavipour</w:t>
      </w:r>
      <w:proofErr w:type="spellEnd"/>
      <w:r>
        <w:rPr>
          <w:rFonts w:ascii="Arial" w:eastAsia="Arial" w:hAnsi="Arial" w:cs="Arial"/>
          <w:sz w:val="24"/>
          <w:szCs w:val="24"/>
          <w:highlight w:val="white"/>
        </w:rPr>
        <w:t>, K., &amp; Raji, B. (2022). Reliability of measuring constructs in applied linguistics research: a comparative study of domestic and international graduate theses.</w:t>
      </w:r>
      <w:r>
        <w:rPr>
          <w:rFonts w:ascii="Arial" w:eastAsia="Arial" w:hAnsi="Arial" w:cs="Arial"/>
          <w:i/>
          <w:iCs/>
          <w:sz w:val="24"/>
          <w:szCs w:val="24"/>
          <w:highlight w:val="white"/>
        </w:rPr>
        <w:t xml:space="preserve"> Language Testing in Asia</w:t>
      </w:r>
      <w:r>
        <w:rPr>
          <w:rFonts w:ascii="Arial" w:eastAsia="Arial" w:hAnsi="Arial" w:cs="Arial"/>
          <w:sz w:val="24"/>
          <w:szCs w:val="24"/>
          <w:highlight w:val="white"/>
        </w:rPr>
        <w:t>, 12(1). https://doi.org/10.1186/s40468-022-00166-5</w:t>
      </w:r>
    </w:p>
    <w:p w14:paraId="5AF14BE2"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t xml:space="preserve">Republic Act No. 11106. (2018). An act declaring the Filipino Sign Language as the national sign language of the Filipino deaf and the official sign language of government in all transactions involving the deaf, and mandating its use in schools, broadcast media, and workplaces. </w:t>
      </w:r>
      <w:r>
        <w:rPr>
          <w:rFonts w:ascii="Arial" w:eastAsia="Arial" w:hAnsi="Arial" w:cs="Arial"/>
          <w:i/>
          <w:iCs/>
          <w:sz w:val="24"/>
          <w:szCs w:val="24"/>
          <w:highlight w:val="white"/>
        </w:rPr>
        <w:t xml:space="preserve">Republic of the Philippines. </w:t>
      </w:r>
      <w:r>
        <w:rPr>
          <w:rFonts w:ascii="Arial" w:eastAsia="Arial" w:hAnsi="Arial" w:cs="Arial"/>
          <w:sz w:val="24"/>
          <w:szCs w:val="24"/>
          <w:highlight w:val="white"/>
        </w:rPr>
        <w:t>https://www.senate.gov.ph/republic_acts/ra%2011106.pdf</w:t>
      </w:r>
    </w:p>
    <w:p w14:paraId="75F8F8D0" w14:textId="77777777" w:rsidR="00FB1D97" w:rsidRDefault="00DC7A6B">
      <w:pPr>
        <w:ind w:left="720" w:right="720"/>
        <w:rPr>
          <w:rFonts w:ascii="Arial" w:eastAsia="Arial" w:hAnsi="Arial" w:cs="Arial"/>
          <w:sz w:val="24"/>
          <w:szCs w:val="24"/>
          <w:highlight w:val="white"/>
        </w:rPr>
      </w:pPr>
      <w:r>
        <w:rPr>
          <w:rFonts w:ascii="Arial" w:eastAsia="Arial" w:hAnsi="Arial" w:cs="Arial"/>
          <w:sz w:val="24"/>
          <w:szCs w:val="24"/>
          <w:highlight w:val="white"/>
        </w:rPr>
        <w:lastRenderedPageBreak/>
        <w:t>Republic Act No. 11106. 2018. An Act Declaring the Filipino Sign Language as the National Sign Language of the Filipino Deaf and the Official Sign Language of Government in All Transactions Involving the Deaf</w:t>
      </w:r>
      <w:r>
        <w:rPr>
          <w:rFonts w:ascii="Arial" w:eastAsia="Arial" w:hAnsi="Arial" w:cs="Arial"/>
          <w:i/>
          <w:iCs/>
          <w:sz w:val="24"/>
          <w:szCs w:val="24"/>
          <w:highlight w:val="white"/>
        </w:rPr>
        <w:t>.</w:t>
      </w:r>
      <w:r>
        <w:rPr>
          <w:rFonts w:ascii="Arial" w:eastAsia="Arial" w:hAnsi="Arial" w:cs="Arial"/>
          <w:sz w:val="24"/>
          <w:szCs w:val="24"/>
          <w:highlight w:val="white"/>
        </w:rPr>
        <w:t xml:space="preserve"> </w:t>
      </w:r>
      <w:r>
        <w:rPr>
          <w:rFonts w:ascii="Arial" w:eastAsia="Arial" w:hAnsi="Arial" w:cs="Arial"/>
          <w:i/>
          <w:iCs/>
          <w:sz w:val="24"/>
          <w:szCs w:val="24"/>
          <w:highlight w:val="white"/>
        </w:rPr>
        <w:t>National Council on Disability Affairs</w:t>
      </w:r>
      <w:r>
        <w:rPr>
          <w:rFonts w:ascii="Arial" w:eastAsia="Arial" w:hAnsi="Arial" w:cs="Arial"/>
          <w:sz w:val="24"/>
          <w:szCs w:val="24"/>
          <w:highlight w:val="white"/>
        </w:rPr>
        <w:t>.https://ncda.gov.ph/disability-laws/republic-acts/ra-11106/.</w:t>
      </w:r>
    </w:p>
    <w:p w14:paraId="6B6E29FD" w14:textId="77777777" w:rsidR="00FB1D97" w:rsidRDefault="00DC7A6B">
      <w:pPr>
        <w:ind w:left="720" w:right="720"/>
        <w:rPr>
          <w:rFonts w:ascii="Arial" w:eastAsia="Arial" w:hAnsi="Arial" w:cs="Arial"/>
          <w:sz w:val="24"/>
          <w:szCs w:val="24"/>
        </w:rPr>
      </w:pPr>
      <w:r>
        <w:rPr>
          <w:rFonts w:ascii="Arial" w:eastAsia="Arial" w:hAnsi="Arial" w:cs="Arial"/>
          <w:sz w:val="24"/>
          <w:szCs w:val="24"/>
          <w:highlight w:val="white"/>
        </w:rPr>
        <w:t>Rogers, A. (2020). The Filipino Sign Language Act in the Philippines</w:t>
      </w:r>
      <w:r>
        <w:rPr>
          <w:rFonts w:ascii="Arial" w:eastAsia="Arial" w:hAnsi="Arial" w:cs="Arial"/>
          <w:i/>
          <w:iCs/>
          <w:sz w:val="24"/>
          <w:szCs w:val="24"/>
          <w:highlight w:val="white"/>
        </w:rPr>
        <w:t>. GallaudetUniversity.</w:t>
      </w:r>
      <w:hyperlink r:id="rId47">
        <w:r>
          <w:rPr>
            <w:rFonts w:ascii="Arial" w:eastAsia="Arial" w:hAnsi="Arial" w:cs="Arial"/>
            <w:sz w:val="24"/>
            <w:szCs w:val="24"/>
            <w:highlight w:val="white"/>
          </w:rPr>
          <w:t>https://ida.gallaudet.edu/cgi/viewcontent.cgi?article=1072&amp;context=honors_capstones</w:t>
        </w:r>
      </w:hyperlink>
      <w:r>
        <w:rPr>
          <w:rFonts w:ascii="Arial" w:eastAsia="Arial" w:hAnsi="Arial" w:cs="Arial"/>
          <w:sz w:val="24"/>
          <w:szCs w:val="24"/>
          <w:highlight w:val="white"/>
        </w:rPr>
        <w:t>.</w:t>
      </w:r>
    </w:p>
    <w:p w14:paraId="7C4DB46F" w14:textId="77777777" w:rsidR="00FB1D97" w:rsidRDefault="00DC7A6B">
      <w:pPr>
        <w:ind w:left="720" w:right="720"/>
        <w:rPr>
          <w:rFonts w:ascii="Arial" w:eastAsia="Arial" w:hAnsi="Arial" w:cs="Arial"/>
          <w:sz w:val="24"/>
          <w:szCs w:val="24"/>
        </w:rPr>
      </w:pPr>
      <w:r>
        <w:rPr>
          <w:rFonts w:ascii="Arial" w:eastAsia="Arial" w:hAnsi="Arial" w:cs="Arial"/>
          <w:sz w:val="24"/>
          <w:szCs w:val="24"/>
        </w:rPr>
        <w:t>Rogers, K. D., Lovell, K., Bower, P., Armitage, C. J., &amp; Young, A. (2025). What are Deaf sign language users’ experiences as patients in healthcare services? A scoping review.</w:t>
      </w:r>
      <w:r>
        <w:rPr>
          <w:rFonts w:ascii="Arial" w:eastAsia="Arial" w:hAnsi="Arial" w:cs="Arial"/>
          <w:i/>
          <w:iCs/>
          <w:sz w:val="24"/>
          <w:szCs w:val="24"/>
        </w:rPr>
        <w:t xml:space="preserve"> PLOS Global Public Health,</w:t>
      </w:r>
      <w:r>
        <w:rPr>
          <w:rFonts w:ascii="Arial" w:eastAsia="Arial" w:hAnsi="Arial" w:cs="Arial"/>
          <w:sz w:val="24"/>
          <w:szCs w:val="24"/>
        </w:rPr>
        <w:t xml:space="preserve"> </w:t>
      </w:r>
      <w:r>
        <w:rPr>
          <w:rFonts w:ascii="Arial" w:eastAsia="Arial" w:hAnsi="Arial" w:cs="Arial"/>
          <w:i/>
          <w:iCs/>
          <w:sz w:val="24"/>
          <w:szCs w:val="24"/>
        </w:rPr>
        <w:t>5</w:t>
      </w:r>
      <w:r>
        <w:rPr>
          <w:rFonts w:ascii="Arial" w:eastAsia="Arial" w:hAnsi="Arial" w:cs="Arial"/>
          <w:sz w:val="24"/>
          <w:szCs w:val="24"/>
        </w:rPr>
        <w:t xml:space="preserve">(2), e0003535. </w:t>
      </w:r>
      <w:hyperlink r:id="rId48">
        <w:r>
          <w:rPr>
            <w:rFonts w:ascii="Arial" w:eastAsia="Arial" w:hAnsi="Arial" w:cs="Arial"/>
            <w:sz w:val="24"/>
            <w:szCs w:val="24"/>
          </w:rPr>
          <w:t>https://doi.org/10.1371/journal.pgph.0003535</w:t>
        </w:r>
      </w:hyperlink>
    </w:p>
    <w:p w14:paraId="4C100B52" w14:textId="77777777" w:rsidR="00FB1D97" w:rsidRDefault="00DC7A6B">
      <w:pPr>
        <w:ind w:left="720" w:right="720"/>
        <w:rPr>
          <w:rFonts w:ascii="Arial" w:eastAsia="Arial" w:hAnsi="Arial" w:cs="Arial"/>
          <w:sz w:val="24"/>
          <w:szCs w:val="24"/>
        </w:rPr>
      </w:pPr>
      <w:r>
        <w:rPr>
          <w:rFonts w:ascii="Arial" w:eastAsia="Arial" w:hAnsi="Arial" w:cs="Arial"/>
          <w:sz w:val="24"/>
          <w:szCs w:val="24"/>
        </w:rPr>
        <w:t>‌</w:t>
      </w:r>
      <w:proofErr w:type="spellStart"/>
      <w:r>
        <w:rPr>
          <w:rFonts w:ascii="Arial" w:eastAsia="Arial" w:hAnsi="Arial" w:cs="Arial"/>
          <w:sz w:val="24"/>
          <w:szCs w:val="24"/>
        </w:rPr>
        <w:t>Rotoli</w:t>
      </w:r>
      <w:proofErr w:type="spellEnd"/>
      <w:r>
        <w:rPr>
          <w:rFonts w:ascii="Arial" w:eastAsia="Arial" w:hAnsi="Arial" w:cs="Arial"/>
          <w:sz w:val="24"/>
          <w:szCs w:val="24"/>
        </w:rPr>
        <w:t>, J. M., Hancock, S., Park, C., Demers-</w:t>
      </w:r>
      <w:proofErr w:type="spellStart"/>
      <w:r>
        <w:rPr>
          <w:rFonts w:ascii="Arial" w:eastAsia="Arial" w:hAnsi="Arial" w:cs="Arial"/>
          <w:sz w:val="24"/>
          <w:szCs w:val="24"/>
        </w:rPr>
        <w:t>Mcletchie</w:t>
      </w:r>
      <w:proofErr w:type="spellEnd"/>
      <w:r>
        <w:rPr>
          <w:rFonts w:ascii="Arial" w:eastAsia="Arial" w:hAnsi="Arial" w:cs="Arial"/>
          <w:sz w:val="24"/>
          <w:szCs w:val="24"/>
        </w:rPr>
        <w:t xml:space="preserve">, S., Panko, T. L., Halle, T., Emergency medical services communication barriers and the Deaf American Sign Language user. </w:t>
      </w:r>
      <w:r>
        <w:rPr>
          <w:rFonts w:ascii="Arial" w:eastAsia="Arial" w:hAnsi="Arial" w:cs="Arial"/>
          <w:i/>
          <w:iCs/>
          <w:sz w:val="24"/>
          <w:szCs w:val="24"/>
        </w:rPr>
        <w:t>Prehospital Emergency Care, 26</w:t>
      </w:r>
      <w:r>
        <w:rPr>
          <w:rFonts w:ascii="Arial" w:eastAsia="Arial" w:hAnsi="Arial" w:cs="Arial"/>
          <w:sz w:val="24"/>
          <w:szCs w:val="24"/>
        </w:rPr>
        <w:t xml:space="preserve">(3), 437–445. </w:t>
      </w:r>
      <w:hyperlink r:id="rId49">
        <w:r>
          <w:rPr>
            <w:rFonts w:ascii="Arial" w:eastAsia="Arial" w:hAnsi="Arial" w:cs="Arial"/>
            <w:sz w:val="24"/>
            <w:szCs w:val="24"/>
          </w:rPr>
          <w:t>https://doi.org/10.1080/10903127.2021.1936314</w:t>
        </w:r>
      </w:hyperlink>
    </w:p>
    <w:p w14:paraId="1E8F3284" w14:textId="77777777" w:rsidR="00FB1D97" w:rsidRDefault="00DC7A6B">
      <w:pPr>
        <w:ind w:left="720" w:right="720"/>
        <w:rPr>
          <w:rFonts w:ascii="Arial" w:eastAsia="Arial" w:hAnsi="Arial" w:cs="Arial"/>
          <w:sz w:val="24"/>
          <w:szCs w:val="24"/>
        </w:rPr>
      </w:pPr>
      <w:proofErr w:type="spellStart"/>
      <w:r>
        <w:rPr>
          <w:rFonts w:ascii="Arial" w:eastAsia="Arial" w:hAnsi="Arial" w:cs="Arial"/>
          <w:sz w:val="24"/>
          <w:szCs w:val="24"/>
        </w:rPr>
        <w:t>Schniedewind</w:t>
      </w:r>
      <w:proofErr w:type="spellEnd"/>
      <w:r>
        <w:rPr>
          <w:rFonts w:ascii="Arial" w:eastAsia="Arial" w:hAnsi="Arial" w:cs="Arial"/>
          <w:sz w:val="24"/>
          <w:szCs w:val="24"/>
        </w:rPr>
        <w:t>, E., Lindsay, R., &amp; Snow, S. (2020). Ask and ye shall not receive: Interpreter-related access barriers reported by Deaf users of American sign language</w:t>
      </w:r>
      <w:r>
        <w:rPr>
          <w:rFonts w:ascii="Arial" w:eastAsia="Arial" w:hAnsi="Arial" w:cs="Arial"/>
          <w:i/>
          <w:iCs/>
          <w:sz w:val="24"/>
          <w:szCs w:val="24"/>
        </w:rPr>
        <w:t>. Disability and Health Journal</w:t>
      </w:r>
      <w:r>
        <w:rPr>
          <w:rFonts w:ascii="Arial" w:eastAsia="Arial" w:hAnsi="Arial" w:cs="Arial"/>
          <w:sz w:val="24"/>
          <w:szCs w:val="24"/>
        </w:rPr>
        <w:t xml:space="preserve">, 13(4), 100932. </w:t>
      </w:r>
      <w:hyperlink r:id="rId50">
        <w:r>
          <w:rPr>
            <w:rFonts w:ascii="Arial" w:eastAsia="Arial" w:hAnsi="Arial" w:cs="Arial"/>
            <w:sz w:val="24"/>
            <w:szCs w:val="24"/>
          </w:rPr>
          <w:t>https://doi.org/10.1016/j.dhjo.2020.100932</w:t>
        </w:r>
      </w:hyperlink>
    </w:p>
    <w:p w14:paraId="7691B0BD" w14:textId="77777777" w:rsidR="00FB1D97" w:rsidRDefault="00DC7A6B">
      <w:pPr>
        <w:ind w:left="720" w:right="720"/>
        <w:rPr>
          <w:rFonts w:ascii="Times New Roman" w:eastAsia="Times New Roman" w:hAnsi="Times New Roman" w:cs="Times New Roman"/>
          <w:sz w:val="24"/>
          <w:szCs w:val="24"/>
        </w:rPr>
      </w:pPr>
      <w:r>
        <w:rPr>
          <w:rFonts w:ascii="Arial" w:eastAsia="Arial" w:hAnsi="Arial" w:cs="Arial"/>
          <w:sz w:val="24"/>
          <w:szCs w:val="24"/>
        </w:rPr>
        <w:t xml:space="preserve">Shamsi, H. A., Almutairi, A. G., </w:t>
      </w:r>
      <w:proofErr w:type="spellStart"/>
      <w:r>
        <w:rPr>
          <w:rFonts w:ascii="Arial" w:eastAsia="Arial" w:hAnsi="Arial" w:cs="Arial"/>
          <w:sz w:val="24"/>
          <w:szCs w:val="24"/>
        </w:rPr>
        <w:t>Mashrafi</w:t>
      </w:r>
      <w:proofErr w:type="spellEnd"/>
      <w:r>
        <w:rPr>
          <w:rFonts w:ascii="Arial" w:eastAsia="Arial" w:hAnsi="Arial" w:cs="Arial"/>
          <w:sz w:val="24"/>
          <w:szCs w:val="24"/>
        </w:rPr>
        <w:t xml:space="preserve">, S. A., &amp; </w:t>
      </w:r>
      <w:proofErr w:type="spellStart"/>
      <w:r>
        <w:rPr>
          <w:rFonts w:ascii="Arial" w:eastAsia="Arial" w:hAnsi="Arial" w:cs="Arial"/>
          <w:sz w:val="24"/>
          <w:szCs w:val="24"/>
        </w:rPr>
        <w:t>Kalbani</w:t>
      </w:r>
      <w:proofErr w:type="spellEnd"/>
      <w:r>
        <w:rPr>
          <w:rFonts w:ascii="Arial" w:eastAsia="Arial" w:hAnsi="Arial" w:cs="Arial"/>
          <w:sz w:val="24"/>
          <w:szCs w:val="24"/>
        </w:rPr>
        <w:t xml:space="preserve">, T. A. (2020). Implications of Language Barriers for Healthcare: A Systematic review. </w:t>
      </w:r>
      <w:r>
        <w:rPr>
          <w:rFonts w:ascii="Arial" w:eastAsia="Arial" w:hAnsi="Arial" w:cs="Arial"/>
          <w:i/>
          <w:iCs/>
          <w:sz w:val="24"/>
          <w:szCs w:val="24"/>
        </w:rPr>
        <w:t>Oman Medical Journal</w:t>
      </w:r>
      <w:r>
        <w:rPr>
          <w:rFonts w:ascii="Arial" w:eastAsia="Arial" w:hAnsi="Arial" w:cs="Arial"/>
          <w:sz w:val="24"/>
          <w:szCs w:val="24"/>
        </w:rPr>
        <w:t>, 35(2), e122. https://doi.org/10.5001/omj.2020.40</w:t>
      </w:r>
    </w:p>
    <w:p w14:paraId="4E364B1B" w14:textId="77777777" w:rsidR="00FB1D97" w:rsidRDefault="00DC7A6B">
      <w:pPr>
        <w:ind w:left="720" w:right="720"/>
        <w:rPr>
          <w:rFonts w:ascii="Arial" w:eastAsia="Arial" w:hAnsi="Arial" w:cs="Arial"/>
          <w:sz w:val="24"/>
          <w:szCs w:val="24"/>
        </w:rPr>
      </w:pPr>
      <w:r>
        <w:rPr>
          <w:rFonts w:ascii="Arial" w:eastAsia="Arial" w:hAnsi="Arial" w:cs="Arial"/>
          <w:sz w:val="24"/>
          <w:szCs w:val="24"/>
        </w:rPr>
        <w:t xml:space="preserve">Siddiqi, S., Cueto, P. L. T., Tavarez, Z. Q., Hall, W. C., Flores, S., Estill-Varner, H., Sánchez, J. J., </w:t>
      </w:r>
      <w:proofErr w:type="spellStart"/>
      <w:r>
        <w:rPr>
          <w:rFonts w:ascii="Arial" w:eastAsia="Arial" w:hAnsi="Arial" w:cs="Arial"/>
          <w:sz w:val="24"/>
          <w:szCs w:val="24"/>
        </w:rPr>
        <w:t>Betemit</w:t>
      </w:r>
      <w:proofErr w:type="spellEnd"/>
      <w:r>
        <w:rPr>
          <w:rFonts w:ascii="Arial" w:eastAsia="Arial" w:hAnsi="Arial" w:cs="Arial"/>
          <w:sz w:val="24"/>
          <w:szCs w:val="24"/>
        </w:rPr>
        <w:t xml:space="preserve">, C., </w:t>
      </w:r>
      <w:proofErr w:type="spellStart"/>
      <w:r>
        <w:rPr>
          <w:rFonts w:ascii="Arial" w:eastAsia="Arial" w:hAnsi="Arial" w:cs="Arial"/>
          <w:sz w:val="24"/>
          <w:szCs w:val="24"/>
        </w:rPr>
        <w:t>Jesurum</w:t>
      </w:r>
      <w:proofErr w:type="spellEnd"/>
      <w:r>
        <w:rPr>
          <w:rFonts w:ascii="Arial" w:eastAsia="Arial" w:hAnsi="Arial" w:cs="Arial"/>
          <w:sz w:val="24"/>
          <w:szCs w:val="24"/>
        </w:rPr>
        <w:t xml:space="preserve">, A., &amp; De Ver Dye, T. (2025). Social determinants of access to health care among deaf people in the Dominican Republic: a qualitative study. </w:t>
      </w:r>
      <w:r>
        <w:rPr>
          <w:rFonts w:ascii="Arial" w:eastAsia="Arial" w:hAnsi="Arial" w:cs="Arial"/>
          <w:i/>
          <w:iCs/>
          <w:sz w:val="24"/>
          <w:szCs w:val="24"/>
        </w:rPr>
        <w:t>BMC Global and Public Health</w:t>
      </w:r>
      <w:r>
        <w:rPr>
          <w:rFonts w:ascii="Arial" w:eastAsia="Arial" w:hAnsi="Arial" w:cs="Arial"/>
          <w:sz w:val="24"/>
          <w:szCs w:val="24"/>
        </w:rPr>
        <w:t xml:space="preserve">, </w:t>
      </w:r>
      <w:r>
        <w:rPr>
          <w:rFonts w:ascii="Arial" w:eastAsia="Arial" w:hAnsi="Arial" w:cs="Arial"/>
          <w:i/>
          <w:iCs/>
          <w:sz w:val="24"/>
          <w:szCs w:val="24"/>
        </w:rPr>
        <w:t>3</w:t>
      </w:r>
      <w:r>
        <w:rPr>
          <w:rFonts w:ascii="Arial" w:eastAsia="Arial" w:hAnsi="Arial" w:cs="Arial"/>
          <w:sz w:val="24"/>
          <w:szCs w:val="24"/>
        </w:rPr>
        <w:t>(1). https://doi.org/10.1186/s44263-025-00207-0</w:t>
      </w:r>
    </w:p>
    <w:p w14:paraId="13EC1BCF" w14:textId="77777777" w:rsidR="00FB1D97" w:rsidRDefault="00DC7A6B">
      <w:pPr>
        <w:ind w:left="720"/>
        <w:rPr>
          <w:rFonts w:ascii="Arial" w:eastAsia="Arial" w:hAnsi="Arial" w:cs="Arial"/>
          <w:sz w:val="24"/>
          <w:szCs w:val="24"/>
        </w:rPr>
      </w:pPr>
      <w:r>
        <w:rPr>
          <w:rFonts w:ascii="Arial" w:eastAsia="Arial" w:hAnsi="Arial" w:cs="Arial"/>
          <w:sz w:val="24"/>
          <w:szCs w:val="24"/>
        </w:rPr>
        <w:t>Sansom, R. (2021). Theory of planned behavior. ASCN</w:t>
      </w:r>
      <w:r>
        <w:rPr>
          <w:rFonts w:ascii="Arial" w:eastAsia="Arial" w:hAnsi="Arial" w:cs="Arial"/>
          <w:i/>
          <w:iCs/>
          <w:sz w:val="24"/>
          <w:szCs w:val="24"/>
        </w:rPr>
        <w:t xml:space="preserve"> Higher Education </w:t>
      </w:r>
      <w:hyperlink r:id="rId51">
        <w:r>
          <w:rPr>
            <w:rFonts w:ascii="Arial" w:eastAsia="Arial" w:hAnsi="Arial" w:cs="Arial"/>
            <w:sz w:val="24"/>
            <w:szCs w:val="24"/>
          </w:rPr>
          <w:t>https://ascnhighered.org/ASCN/change_theories/collection/planned_behavior.htmlhe</w:t>
        </w:r>
      </w:hyperlink>
    </w:p>
    <w:p w14:paraId="63F3953C" w14:textId="77777777" w:rsidR="00FB1D97" w:rsidRDefault="00DC7A6B">
      <w:pPr>
        <w:ind w:left="720"/>
        <w:rPr>
          <w:rFonts w:ascii="Times New Roman" w:eastAsia="Times New Roman" w:hAnsi="Times New Roman" w:cs="Times New Roman"/>
          <w:sz w:val="24"/>
          <w:szCs w:val="24"/>
        </w:rPr>
      </w:pPr>
      <w:r>
        <w:rPr>
          <w:rFonts w:ascii="Arial" w:eastAsia="Arial" w:hAnsi="Arial" w:cs="Arial"/>
          <w:sz w:val="24"/>
          <w:szCs w:val="24"/>
        </w:rPr>
        <w:t xml:space="preserve">School of Deaf Education and Applied Studies. (2022). </w:t>
      </w:r>
      <w:r>
        <w:rPr>
          <w:rFonts w:ascii="Arial" w:eastAsia="Arial" w:hAnsi="Arial" w:cs="Arial"/>
          <w:i/>
          <w:iCs/>
          <w:sz w:val="24"/>
          <w:szCs w:val="24"/>
        </w:rPr>
        <w:t xml:space="preserve">Five facts about Filipino Sign Language. </w:t>
      </w:r>
      <w:r>
        <w:rPr>
          <w:rFonts w:ascii="Arial" w:eastAsia="Arial" w:hAnsi="Arial" w:cs="Arial"/>
          <w:sz w:val="24"/>
          <w:szCs w:val="24"/>
        </w:rPr>
        <w:t xml:space="preserve">De La Salle‑College of Saint </w:t>
      </w:r>
      <w:proofErr w:type="spellStart"/>
      <w:r>
        <w:rPr>
          <w:rFonts w:ascii="Arial" w:eastAsia="Arial" w:hAnsi="Arial" w:cs="Arial"/>
          <w:sz w:val="24"/>
          <w:szCs w:val="24"/>
        </w:rPr>
        <w:t>Benilde</w:t>
      </w:r>
      <w:proofErr w:type="spellEnd"/>
      <w:r>
        <w:rPr>
          <w:rFonts w:ascii="Arial" w:eastAsia="Arial" w:hAnsi="Arial" w:cs="Arial"/>
          <w:sz w:val="24"/>
          <w:szCs w:val="24"/>
        </w:rPr>
        <w:t>.</w:t>
      </w:r>
      <w:hyperlink r:id="rId52">
        <w:r>
          <w:rPr>
            <w:rFonts w:ascii="Arial" w:eastAsia="Arial" w:hAnsi="Arial" w:cs="Arial"/>
            <w:sz w:val="24"/>
            <w:szCs w:val="24"/>
          </w:rPr>
          <w:t xml:space="preserve"> https://sdeas.benilde.edu.ph/fivefactsaboutfsl/</w:t>
        </w:r>
      </w:hyperlink>
    </w:p>
    <w:p w14:paraId="12B1121D" w14:textId="77777777" w:rsidR="00FB1D97" w:rsidRDefault="00DC7A6B">
      <w:pPr>
        <w:ind w:left="720"/>
        <w:rPr>
          <w:rFonts w:ascii="Arial" w:eastAsia="Arial" w:hAnsi="Arial" w:cs="Arial"/>
          <w:sz w:val="24"/>
          <w:szCs w:val="24"/>
        </w:rPr>
      </w:pPr>
      <w:r>
        <w:rPr>
          <w:rFonts w:ascii="Times New Roman" w:eastAsia="Times New Roman" w:hAnsi="Times New Roman" w:cs="Times New Roman"/>
          <w:sz w:val="24"/>
          <w:szCs w:val="24"/>
        </w:rPr>
        <w:lastRenderedPageBreak/>
        <w:t>‌</w:t>
      </w:r>
      <w:r>
        <w:rPr>
          <w:rFonts w:ascii="Arial" w:eastAsia="Arial" w:hAnsi="Arial" w:cs="Arial"/>
          <w:sz w:val="24"/>
          <w:szCs w:val="24"/>
        </w:rPr>
        <w:t xml:space="preserve">Solutions, S. (2024). </w:t>
      </w:r>
      <w:r>
        <w:rPr>
          <w:rFonts w:ascii="Arial" w:eastAsia="Arial" w:hAnsi="Arial" w:cs="Arial"/>
          <w:i/>
          <w:iCs/>
          <w:sz w:val="24"/>
          <w:szCs w:val="24"/>
        </w:rPr>
        <w:t>Sign language’s role in preserving Deaf culture | Sign Solutions</w:t>
      </w:r>
      <w:r>
        <w:rPr>
          <w:rFonts w:ascii="Arial" w:eastAsia="Arial" w:hAnsi="Arial" w:cs="Arial"/>
          <w:sz w:val="24"/>
          <w:szCs w:val="24"/>
        </w:rPr>
        <w:t xml:space="preserve">. Sign Solutions. </w:t>
      </w:r>
      <w:hyperlink r:id="rId53">
        <w:r>
          <w:rPr>
            <w:rFonts w:ascii="Arial" w:eastAsia="Arial" w:hAnsi="Arial" w:cs="Arial"/>
            <w:sz w:val="24"/>
            <w:szCs w:val="24"/>
          </w:rPr>
          <w:t>https://www.signsolutions.uk.com/sign-languages-role-in-preserving-deaf-culture/</w:t>
        </w:r>
      </w:hyperlink>
    </w:p>
    <w:p w14:paraId="2E10AAEB" w14:textId="77777777" w:rsidR="00FB1D97" w:rsidRDefault="00DC7A6B">
      <w:pPr>
        <w:ind w:left="720"/>
        <w:rPr>
          <w:rFonts w:ascii="Arial" w:eastAsia="Arial" w:hAnsi="Arial" w:cs="Arial"/>
          <w:sz w:val="24"/>
          <w:szCs w:val="24"/>
        </w:rPr>
      </w:pPr>
      <w:r>
        <w:rPr>
          <w:rFonts w:ascii="Arial" w:eastAsia="Arial" w:hAnsi="Arial" w:cs="Arial"/>
          <w:sz w:val="24"/>
          <w:szCs w:val="24"/>
        </w:rPr>
        <w:t xml:space="preserve">Technical Education and Skills Development Authority. (n.d.). </w:t>
      </w:r>
      <w:r>
        <w:rPr>
          <w:rFonts w:ascii="Arial" w:eastAsia="Arial" w:hAnsi="Arial" w:cs="Arial"/>
          <w:i/>
          <w:iCs/>
          <w:sz w:val="24"/>
          <w:szCs w:val="24"/>
        </w:rPr>
        <w:t xml:space="preserve">Competency standards for Filipino Sign Language services Level II. </w:t>
      </w:r>
      <w:r>
        <w:rPr>
          <w:rFonts w:ascii="Arial" w:eastAsia="Arial" w:hAnsi="Arial" w:cs="Arial"/>
          <w:sz w:val="24"/>
          <w:szCs w:val="24"/>
        </w:rPr>
        <w:t xml:space="preserve"> https://tesda.gov.ph/Downloadables/CS/CS-Filipino Sign Language Services Level II.pdf </w:t>
      </w:r>
    </w:p>
    <w:p w14:paraId="5079BEAE" w14:textId="77777777" w:rsidR="0032786F" w:rsidRDefault="0032786F" w:rsidP="0032786F">
      <w:pPr>
        <w:rPr>
          <w:rFonts w:ascii="Arial" w:eastAsia="Arial" w:hAnsi="Arial" w:cs="Arial"/>
          <w:i/>
          <w:iCs/>
          <w:sz w:val="24"/>
          <w:szCs w:val="24"/>
        </w:rPr>
      </w:pPr>
    </w:p>
    <w:p w14:paraId="6994F3B9" w14:textId="77777777" w:rsidR="00FB1D97" w:rsidRDefault="00DC7A6B" w:rsidP="0032786F">
      <w:pPr>
        <w:rPr>
          <w:rFonts w:ascii="Arial" w:eastAsia="Arial" w:hAnsi="Arial" w:cs="Arial"/>
          <w:sz w:val="24"/>
          <w:szCs w:val="24"/>
        </w:rPr>
      </w:pPr>
      <w:r>
        <w:rPr>
          <w:rFonts w:ascii="Arial" w:eastAsia="Arial" w:hAnsi="Arial" w:cs="Arial"/>
          <w:i/>
          <w:iCs/>
          <w:sz w:val="24"/>
          <w:szCs w:val="24"/>
        </w:rPr>
        <w:t>TESDA holds capacity development on inclusive and accessible TVET</w:t>
      </w:r>
      <w:r>
        <w:rPr>
          <w:rFonts w:ascii="Arial" w:eastAsia="Arial" w:hAnsi="Arial" w:cs="Arial"/>
          <w:sz w:val="24"/>
          <w:szCs w:val="24"/>
        </w:rPr>
        <w:t xml:space="preserve">. (n.d.). </w:t>
      </w:r>
      <w:hyperlink r:id="rId54" w:history="1">
        <w:r w:rsidR="0032786F" w:rsidRPr="002003C0">
          <w:rPr>
            <w:rStyle w:val="Hyperlink"/>
            <w:rFonts w:ascii="Arial" w:eastAsia="Arial" w:hAnsi="Arial" w:cs="Arial"/>
            <w:sz w:val="24"/>
            <w:szCs w:val="24"/>
          </w:rPr>
          <w:t>https://www.tesda.gov.ph/Media/NewsDetail/20277</w:t>
        </w:r>
      </w:hyperlink>
    </w:p>
    <w:p w14:paraId="1256EA3C" w14:textId="77777777" w:rsidR="0032786F" w:rsidRDefault="0032786F" w:rsidP="0032786F">
      <w:pPr>
        <w:rPr>
          <w:rFonts w:ascii="Arial" w:eastAsia="Arial" w:hAnsi="Arial" w:cs="Arial"/>
          <w:sz w:val="24"/>
          <w:szCs w:val="24"/>
        </w:rPr>
      </w:pPr>
    </w:p>
    <w:p w14:paraId="2B64B419" w14:textId="77777777" w:rsidR="00FB1D97" w:rsidRDefault="00DC7A6B" w:rsidP="0032786F">
      <w:pPr>
        <w:rPr>
          <w:rFonts w:ascii="Arial" w:eastAsia="Arial" w:hAnsi="Arial" w:cs="Arial"/>
          <w:sz w:val="24"/>
          <w:szCs w:val="24"/>
        </w:rPr>
      </w:pPr>
      <w:r>
        <w:rPr>
          <w:rFonts w:ascii="Arial" w:eastAsia="Arial" w:hAnsi="Arial" w:cs="Arial"/>
          <w:sz w:val="24"/>
          <w:szCs w:val="24"/>
        </w:rPr>
        <w:t xml:space="preserve">Terry, J., Parkinson, R., Meara, R., England, R., </w:t>
      </w:r>
      <w:proofErr w:type="spellStart"/>
      <w:r>
        <w:rPr>
          <w:rFonts w:ascii="Arial" w:eastAsia="Arial" w:hAnsi="Arial" w:cs="Arial"/>
          <w:sz w:val="24"/>
          <w:szCs w:val="24"/>
        </w:rPr>
        <w:t>Nosek</w:t>
      </w:r>
      <w:proofErr w:type="spellEnd"/>
      <w:r>
        <w:rPr>
          <w:rFonts w:ascii="Arial" w:eastAsia="Arial" w:hAnsi="Arial" w:cs="Arial"/>
          <w:sz w:val="24"/>
          <w:szCs w:val="24"/>
        </w:rPr>
        <w:t xml:space="preserve">, M., </w:t>
      </w:r>
      <w:proofErr w:type="spellStart"/>
      <w:r>
        <w:rPr>
          <w:rFonts w:ascii="Arial" w:eastAsia="Arial" w:hAnsi="Arial" w:cs="Arial"/>
          <w:sz w:val="24"/>
          <w:szCs w:val="24"/>
        </w:rPr>
        <w:t>Ioan</w:t>
      </w:r>
      <w:proofErr w:type="spellEnd"/>
      <w:r>
        <w:rPr>
          <w:rFonts w:ascii="Arial" w:eastAsia="Arial" w:hAnsi="Arial" w:cs="Arial"/>
          <w:sz w:val="24"/>
          <w:szCs w:val="24"/>
        </w:rPr>
        <w:t xml:space="preserve"> </w:t>
      </w:r>
      <w:proofErr w:type="spellStart"/>
      <w:r>
        <w:rPr>
          <w:rFonts w:ascii="Arial" w:eastAsia="Arial" w:hAnsi="Arial" w:cs="Arial"/>
          <w:sz w:val="24"/>
          <w:szCs w:val="24"/>
        </w:rPr>
        <w:t>Humpreys</w:t>
      </w:r>
      <w:proofErr w:type="spellEnd"/>
      <w:r>
        <w:rPr>
          <w:rFonts w:ascii="Arial" w:eastAsia="Arial" w:hAnsi="Arial" w:cs="Arial"/>
          <w:sz w:val="24"/>
          <w:szCs w:val="24"/>
        </w:rPr>
        <w:t>, &amp; Howells, A. (2025).</w:t>
      </w:r>
      <w:r>
        <w:rPr>
          <w:rFonts w:ascii="Arial" w:eastAsia="Arial" w:hAnsi="Arial" w:cs="Arial"/>
          <w:i/>
          <w:iCs/>
          <w:sz w:val="24"/>
          <w:szCs w:val="24"/>
        </w:rPr>
        <w:t xml:space="preserve"> </w:t>
      </w:r>
      <w:r>
        <w:rPr>
          <w:rFonts w:ascii="Arial" w:eastAsia="Arial" w:hAnsi="Arial" w:cs="Arial"/>
          <w:sz w:val="24"/>
          <w:szCs w:val="24"/>
        </w:rPr>
        <w:t xml:space="preserve">Nursing students’ knowledge of working with D/deaf and hard of hearing patients: Evaluation of a deaf awareness </w:t>
      </w:r>
      <w:proofErr w:type="spellStart"/>
      <w:r>
        <w:rPr>
          <w:rFonts w:ascii="Arial" w:eastAsia="Arial" w:hAnsi="Arial" w:cs="Arial"/>
          <w:sz w:val="24"/>
          <w:szCs w:val="24"/>
        </w:rPr>
        <w:t>elearning</w:t>
      </w:r>
      <w:proofErr w:type="spellEnd"/>
      <w:r>
        <w:rPr>
          <w:rFonts w:ascii="Arial" w:eastAsia="Arial" w:hAnsi="Arial" w:cs="Arial"/>
          <w:sz w:val="24"/>
          <w:szCs w:val="24"/>
        </w:rPr>
        <w:t xml:space="preserve"> package.</w:t>
      </w:r>
      <w:r>
        <w:rPr>
          <w:rFonts w:ascii="Arial" w:eastAsia="Arial" w:hAnsi="Arial" w:cs="Arial"/>
          <w:i/>
          <w:iCs/>
          <w:sz w:val="24"/>
          <w:szCs w:val="24"/>
        </w:rPr>
        <w:t xml:space="preserve"> Nurse Education Today,</w:t>
      </w:r>
      <w:r>
        <w:rPr>
          <w:rFonts w:ascii="Arial" w:eastAsia="Arial" w:hAnsi="Arial" w:cs="Arial"/>
          <w:sz w:val="24"/>
          <w:szCs w:val="24"/>
        </w:rPr>
        <w:t xml:space="preserve"> 144, 106446–106446. </w:t>
      </w:r>
      <w:hyperlink r:id="rId55" w:history="1">
        <w:r w:rsidR="0032786F" w:rsidRPr="002003C0">
          <w:rPr>
            <w:rStyle w:val="Hyperlink"/>
            <w:rFonts w:ascii="Arial" w:eastAsia="Arial" w:hAnsi="Arial" w:cs="Arial"/>
            <w:sz w:val="24"/>
            <w:szCs w:val="24"/>
          </w:rPr>
          <w:t>https://doi.org/10.1016/j.nedt.2024.106446</w:t>
        </w:r>
      </w:hyperlink>
      <w:r w:rsidR="0032786F">
        <w:rPr>
          <w:rFonts w:ascii="Arial" w:eastAsia="Arial" w:hAnsi="Arial" w:cs="Arial"/>
          <w:sz w:val="24"/>
          <w:szCs w:val="24"/>
        </w:rPr>
        <w:t xml:space="preserve"> </w:t>
      </w:r>
    </w:p>
    <w:p w14:paraId="515DF4AE" w14:textId="77777777" w:rsidR="0032786F" w:rsidRDefault="0032786F" w:rsidP="0032786F">
      <w:pPr>
        <w:rPr>
          <w:rFonts w:ascii="Arial" w:eastAsia="Arial" w:hAnsi="Arial" w:cs="Arial"/>
          <w:sz w:val="24"/>
          <w:szCs w:val="24"/>
        </w:rPr>
      </w:pPr>
    </w:p>
    <w:p w14:paraId="1C8089A2" w14:textId="77777777" w:rsidR="00FB1D97" w:rsidRDefault="00DC7A6B" w:rsidP="0032786F">
      <w:r>
        <w:rPr>
          <w:rFonts w:ascii="Arial" w:eastAsia="Arial" w:hAnsi="Arial" w:cs="Arial"/>
          <w:sz w:val="24"/>
          <w:szCs w:val="24"/>
        </w:rPr>
        <w:t xml:space="preserve">Tilburg University. (n.d.). </w:t>
      </w:r>
      <w:r>
        <w:rPr>
          <w:rFonts w:ascii="Arial" w:eastAsia="Arial" w:hAnsi="Arial" w:cs="Arial"/>
          <w:i/>
          <w:iCs/>
          <w:sz w:val="24"/>
          <w:szCs w:val="24"/>
        </w:rPr>
        <w:t>Informed consent and information letters</w:t>
      </w:r>
      <w:r>
        <w:rPr>
          <w:rFonts w:ascii="Arial" w:eastAsia="Arial" w:hAnsi="Arial" w:cs="Arial"/>
          <w:sz w:val="24"/>
          <w:szCs w:val="24"/>
        </w:rPr>
        <w:t xml:space="preserve">. </w:t>
      </w:r>
      <w:hyperlink r:id="rId56">
        <w:r>
          <w:rPr>
            <w:rFonts w:ascii="Arial" w:eastAsia="Arial" w:hAnsi="Arial" w:cs="Arial"/>
            <w:sz w:val="24"/>
            <w:szCs w:val="24"/>
          </w:rPr>
          <w:t>https://www.tilburguniversity.edu/research/ethics-review-boards/informed-consent</w:t>
        </w:r>
      </w:hyperlink>
    </w:p>
    <w:p w14:paraId="0A2CDE34" w14:textId="77777777" w:rsidR="0032786F" w:rsidRDefault="0032786F">
      <w:pPr>
        <w:ind w:left="720"/>
        <w:rPr>
          <w:rFonts w:ascii="Arial" w:eastAsia="Arial" w:hAnsi="Arial" w:cs="Arial"/>
          <w:sz w:val="24"/>
          <w:szCs w:val="24"/>
        </w:rPr>
      </w:pPr>
    </w:p>
    <w:p w14:paraId="765515E7" w14:textId="77777777" w:rsidR="00FB1D97" w:rsidRDefault="00DC7A6B" w:rsidP="0032786F">
      <w:r>
        <w:rPr>
          <w:rFonts w:ascii="Arial" w:eastAsia="Arial" w:hAnsi="Arial" w:cs="Arial"/>
          <w:sz w:val="24"/>
          <w:szCs w:val="24"/>
        </w:rPr>
        <w:t>Usher, K., Jackson, D., Massey, D., </w:t>
      </w:r>
      <w:proofErr w:type="spellStart"/>
      <w:r>
        <w:rPr>
          <w:rFonts w:ascii="Arial" w:eastAsia="Arial" w:hAnsi="Arial" w:cs="Arial"/>
          <w:sz w:val="24"/>
          <w:szCs w:val="24"/>
        </w:rPr>
        <w:t>Wynaden</w:t>
      </w:r>
      <w:proofErr w:type="spellEnd"/>
      <w:r>
        <w:rPr>
          <w:rFonts w:ascii="Arial" w:eastAsia="Arial" w:hAnsi="Arial" w:cs="Arial"/>
          <w:sz w:val="24"/>
          <w:szCs w:val="24"/>
        </w:rPr>
        <w:t>, D., Grant, J., West, C., … et al. (2023).</w:t>
      </w:r>
      <w:r>
        <w:rPr>
          <w:rFonts w:ascii="Arial" w:eastAsia="Arial" w:hAnsi="Arial" w:cs="Arial"/>
          <w:i/>
          <w:iCs/>
          <w:sz w:val="24"/>
          <w:szCs w:val="24"/>
        </w:rPr>
        <w:t xml:space="preserve"> </w:t>
      </w:r>
      <w:r>
        <w:rPr>
          <w:rFonts w:ascii="Arial" w:eastAsia="Arial" w:hAnsi="Arial" w:cs="Arial"/>
          <w:sz w:val="24"/>
          <w:szCs w:val="24"/>
        </w:rPr>
        <w:t xml:space="preserve">The mental health impact of COVID‑19 on pre‑registration nursing students in Australia: Findings from a national cross‑sectional study. </w:t>
      </w:r>
      <w:r>
        <w:rPr>
          <w:rFonts w:ascii="Arial" w:eastAsia="Arial" w:hAnsi="Arial" w:cs="Arial"/>
          <w:i/>
          <w:iCs/>
          <w:sz w:val="24"/>
          <w:szCs w:val="24"/>
        </w:rPr>
        <w:t>Journal of Advanced Nursing, 79</w:t>
      </w:r>
      <w:r>
        <w:rPr>
          <w:rFonts w:ascii="Arial" w:eastAsia="Arial" w:hAnsi="Arial" w:cs="Arial"/>
          <w:sz w:val="24"/>
          <w:szCs w:val="24"/>
        </w:rPr>
        <w:t xml:space="preserve">(2), 581‑592. </w:t>
      </w:r>
      <w:hyperlink r:id="rId57">
        <w:r>
          <w:rPr>
            <w:rFonts w:ascii="Arial" w:eastAsia="Arial" w:hAnsi="Arial" w:cs="Arial"/>
            <w:sz w:val="24"/>
            <w:szCs w:val="24"/>
          </w:rPr>
          <w:t>https://doi.org/10.1111/jan.15478</w:t>
        </w:r>
      </w:hyperlink>
    </w:p>
    <w:p w14:paraId="393634C8" w14:textId="77777777" w:rsidR="0032786F" w:rsidRDefault="0032786F" w:rsidP="0032786F">
      <w:pPr>
        <w:rPr>
          <w:rFonts w:ascii="Arial" w:eastAsia="Arial" w:hAnsi="Arial" w:cs="Arial"/>
          <w:sz w:val="24"/>
          <w:szCs w:val="24"/>
        </w:rPr>
      </w:pPr>
    </w:p>
    <w:p w14:paraId="6F93ABDA" w14:textId="77777777" w:rsidR="00FB1D97" w:rsidRDefault="00DC7A6B" w:rsidP="0032786F">
      <w:proofErr w:type="spellStart"/>
      <w:r>
        <w:rPr>
          <w:rFonts w:ascii="Arial" w:eastAsia="Arial" w:hAnsi="Arial" w:cs="Arial"/>
          <w:sz w:val="24"/>
          <w:szCs w:val="24"/>
        </w:rPr>
        <w:t>Wigfield</w:t>
      </w:r>
      <w:proofErr w:type="spellEnd"/>
      <w:r>
        <w:rPr>
          <w:rFonts w:ascii="Arial" w:eastAsia="Arial" w:hAnsi="Arial" w:cs="Arial"/>
          <w:sz w:val="24"/>
          <w:szCs w:val="24"/>
        </w:rPr>
        <w:t>, A., &amp; Eccles, J. S. (2000).</w:t>
      </w:r>
      <w:r>
        <w:rPr>
          <w:rFonts w:ascii="Arial" w:eastAsia="Arial" w:hAnsi="Arial" w:cs="Arial"/>
          <w:i/>
          <w:iCs/>
          <w:sz w:val="24"/>
          <w:szCs w:val="24"/>
        </w:rPr>
        <w:t xml:space="preserve"> </w:t>
      </w:r>
      <w:r>
        <w:rPr>
          <w:rFonts w:ascii="Arial" w:eastAsia="Arial" w:hAnsi="Arial" w:cs="Arial"/>
          <w:sz w:val="24"/>
          <w:szCs w:val="24"/>
        </w:rPr>
        <w:t xml:space="preserve">Expectancy–Value Theory of achievement motivation. </w:t>
      </w:r>
      <w:r>
        <w:rPr>
          <w:rFonts w:ascii="Arial" w:eastAsia="Arial" w:hAnsi="Arial" w:cs="Arial"/>
          <w:i/>
          <w:iCs/>
          <w:sz w:val="24"/>
          <w:szCs w:val="24"/>
        </w:rPr>
        <w:t>Contemporary Educational Psychology</w:t>
      </w:r>
      <w:r>
        <w:rPr>
          <w:rFonts w:ascii="Arial" w:eastAsia="Arial" w:hAnsi="Arial" w:cs="Arial"/>
          <w:sz w:val="24"/>
          <w:szCs w:val="24"/>
        </w:rPr>
        <w:t xml:space="preserve">, </w:t>
      </w:r>
      <w:r>
        <w:rPr>
          <w:rFonts w:ascii="Arial" w:eastAsia="Arial" w:hAnsi="Arial" w:cs="Arial"/>
          <w:i/>
          <w:iCs/>
          <w:sz w:val="24"/>
          <w:szCs w:val="24"/>
        </w:rPr>
        <w:t>25</w:t>
      </w:r>
      <w:r>
        <w:rPr>
          <w:rFonts w:ascii="Arial" w:eastAsia="Arial" w:hAnsi="Arial" w:cs="Arial"/>
          <w:sz w:val="24"/>
          <w:szCs w:val="24"/>
        </w:rPr>
        <w:t xml:space="preserve">(1), 68–81. </w:t>
      </w:r>
      <w:hyperlink r:id="rId58">
        <w:r>
          <w:rPr>
            <w:rFonts w:ascii="Arial" w:eastAsia="Arial" w:hAnsi="Arial" w:cs="Arial"/>
            <w:sz w:val="24"/>
            <w:szCs w:val="24"/>
          </w:rPr>
          <w:t>https://doi.org/10.1006/ceps.1999.1015</w:t>
        </w:r>
      </w:hyperlink>
    </w:p>
    <w:p w14:paraId="0F34CA2D" w14:textId="77777777" w:rsidR="0032786F" w:rsidRDefault="0032786F">
      <w:pPr>
        <w:ind w:left="720"/>
        <w:rPr>
          <w:rFonts w:ascii="Arial" w:eastAsia="Arial" w:hAnsi="Arial" w:cs="Arial"/>
          <w:sz w:val="24"/>
          <w:szCs w:val="24"/>
        </w:rPr>
      </w:pPr>
    </w:p>
    <w:p w14:paraId="773CDD1D" w14:textId="77777777" w:rsidR="00FB1D97" w:rsidRDefault="00DC7A6B" w:rsidP="0032786F">
      <w:pPr>
        <w:rPr>
          <w:rFonts w:ascii="Arial" w:eastAsia="Arial" w:hAnsi="Arial" w:cs="Arial"/>
          <w:sz w:val="24"/>
          <w:szCs w:val="24"/>
        </w:rPr>
      </w:pPr>
      <w:r>
        <w:rPr>
          <w:rFonts w:ascii="Arial" w:eastAsia="Arial" w:hAnsi="Arial" w:cs="Arial"/>
          <w:sz w:val="24"/>
          <w:szCs w:val="24"/>
        </w:rPr>
        <w:t>Wilson-</w:t>
      </w:r>
      <w:proofErr w:type="spellStart"/>
      <w:r>
        <w:rPr>
          <w:rFonts w:ascii="Arial" w:eastAsia="Arial" w:hAnsi="Arial" w:cs="Arial"/>
          <w:sz w:val="24"/>
          <w:szCs w:val="24"/>
        </w:rPr>
        <w:t>Menzfeld</w:t>
      </w:r>
      <w:proofErr w:type="spellEnd"/>
      <w:r>
        <w:rPr>
          <w:rFonts w:ascii="Arial" w:eastAsia="Arial" w:hAnsi="Arial" w:cs="Arial"/>
          <w:sz w:val="24"/>
          <w:szCs w:val="24"/>
        </w:rPr>
        <w:t xml:space="preserve">, G., Gates, J. R., Jackson-Corbett, C., &amp; </w:t>
      </w:r>
      <w:proofErr w:type="spellStart"/>
      <w:r>
        <w:rPr>
          <w:rFonts w:ascii="Arial" w:eastAsia="Arial" w:hAnsi="Arial" w:cs="Arial"/>
          <w:sz w:val="24"/>
          <w:szCs w:val="24"/>
        </w:rPr>
        <w:t>Erfani</w:t>
      </w:r>
      <w:proofErr w:type="spellEnd"/>
      <w:r>
        <w:rPr>
          <w:rFonts w:ascii="Arial" w:eastAsia="Arial" w:hAnsi="Arial" w:cs="Arial"/>
          <w:sz w:val="24"/>
          <w:szCs w:val="24"/>
        </w:rPr>
        <w:t>, G. (2025). Communication experiences of Deaf/Hard-of-Hearing patients during healthcare access and consultation: A systematic narrative review.</w:t>
      </w:r>
      <w:r>
        <w:rPr>
          <w:rFonts w:ascii="Arial" w:eastAsia="Arial" w:hAnsi="Arial" w:cs="Arial"/>
          <w:i/>
          <w:iCs/>
          <w:sz w:val="24"/>
          <w:szCs w:val="24"/>
        </w:rPr>
        <w:t xml:space="preserve"> Health and Social Care in the Community,</w:t>
      </w:r>
      <w:r>
        <w:rPr>
          <w:rFonts w:ascii="Arial" w:eastAsia="Arial" w:hAnsi="Arial" w:cs="Arial"/>
          <w:sz w:val="24"/>
          <w:szCs w:val="24"/>
        </w:rPr>
        <w:t xml:space="preserve"> 2025(1), 8867224. https://doi.org/10.1155/hsc/8867224 </w:t>
      </w:r>
    </w:p>
    <w:p w14:paraId="74FB8749" w14:textId="77777777" w:rsidR="0032786F" w:rsidRDefault="0032786F" w:rsidP="0032786F">
      <w:pPr>
        <w:rPr>
          <w:rFonts w:ascii="Arial" w:eastAsia="Arial" w:hAnsi="Arial" w:cs="Arial"/>
          <w:sz w:val="24"/>
          <w:szCs w:val="24"/>
        </w:rPr>
      </w:pPr>
    </w:p>
    <w:p w14:paraId="7081EF22" w14:textId="77777777" w:rsidR="00FB1D97" w:rsidRDefault="00DC7A6B">
      <w:pPr>
        <w:keepNext/>
        <w:rPr>
          <w:rFonts w:ascii="Arial" w:eastAsia="Arial" w:hAnsi="Arial" w:cs="Arial"/>
          <w:sz w:val="24"/>
          <w:szCs w:val="24"/>
        </w:rPr>
      </w:pPr>
      <w:proofErr w:type="spellStart"/>
      <w:r>
        <w:rPr>
          <w:rFonts w:ascii="Arial" w:eastAsia="Arial" w:hAnsi="Arial" w:cs="Arial"/>
          <w:sz w:val="24"/>
          <w:szCs w:val="24"/>
        </w:rPr>
        <w:t>Winke</w:t>
      </w:r>
      <w:proofErr w:type="spellEnd"/>
      <w:r>
        <w:rPr>
          <w:rFonts w:ascii="Arial" w:eastAsia="Arial" w:hAnsi="Arial" w:cs="Arial"/>
          <w:sz w:val="24"/>
          <w:szCs w:val="24"/>
        </w:rPr>
        <w:t xml:space="preserve">, P. M., &amp; </w:t>
      </w:r>
      <w:proofErr w:type="spellStart"/>
      <w:r>
        <w:rPr>
          <w:rFonts w:ascii="Arial" w:eastAsia="Arial" w:hAnsi="Arial" w:cs="Arial"/>
          <w:sz w:val="24"/>
          <w:szCs w:val="24"/>
        </w:rPr>
        <w:t>Brunfaut</w:t>
      </w:r>
      <w:proofErr w:type="spellEnd"/>
      <w:r>
        <w:rPr>
          <w:rFonts w:ascii="Arial" w:eastAsia="Arial" w:hAnsi="Arial" w:cs="Arial"/>
          <w:sz w:val="24"/>
          <w:szCs w:val="24"/>
        </w:rPr>
        <w:t>, T. (Eds.). (2021).</w:t>
      </w:r>
      <w:r>
        <w:rPr>
          <w:rFonts w:ascii="Arial" w:eastAsia="Arial" w:hAnsi="Arial" w:cs="Arial"/>
          <w:i/>
          <w:iCs/>
          <w:sz w:val="24"/>
          <w:szCs w:val="24"/>
        </w:rPr>
        <w:t xml:space="preserve"> </w:t>
      </w:r>
      <w:r>
        <w:rPr>
          <w:rFonts w:ascii="Arial" w:eastAsia="Arial" w:hAnsi="Arial" w:cs="Arial"/>
          <w:sz w:val="24"/>
          <w:szCs w:val="24"/>
        </w:rPr>
        <w:t>The Routledge handbook of second language acquisition and language testing.</w:t>
      </w:r>
      <w:r>
        <w:rPr>
          <w:rFonts w:ascii="Arial" w:eastAsia="Arial" w:hAnsi="Arial" w:cs="Arial"/>
          <w:i/>
          <w:iCs/>
          <w:sz w:val="24"/>
          <w:szCs w:val="24"/>
        </w:rPr>
        <w:t xml:space="preserve"> Routledge.</w:t>
      </w:r>
      <w:r>
        <w:rPr>
          <w:rFonts w:ascii="Arial" w:eastAsia="Arial" w:hAnsi="Arial" w:cs="Arial"/>
          <w:sz w:val="24"/>
          <w:szCs w:val="24"/>
        </w:rPr>
        <w:t xml:space="preserve"> </w:t>
      </w:r>
      <w:hyperlink r:id="rId59" w:history="1">
        <w:r w:rsidR="0032786F" w:rsidRPr="002003C0">
          <w:rPr>
            <w:rStyle w:val="Hyperlink"/>
            <w:rFonts w:ascii="Arial" w:eastAsia="Arial" w:hAnsi="Arial" w:cs="Arial"/>
            <w:sz w:val="24"/>
            <w:szCs w:val="24"/>
          </w:rPr>
          <w:t>https://www.routledge.com/The-Routledge-Handbook-of-Second-Language-Acquisition-and-Language-Testing/Winke-Brunfaut/p/book/9780367640491</w:t>
        </w:r>
      </w:hyperlink>
      <w:r w:rsidR="0032786F">
        <w:rPr>
          <w:rFonts w:ascii="Arial" w:eastAsia="Arial" w:hAnsi="Arial" w:cs="Arial"/>
          <w:sz w:val="24"/>
          <w:szCs w:val="24"/>
        </w:rPr>
        <w:t xml:space="preserve"> </w:t>
      </w:r>
    </w:p>
    <w:p w14:paraId="43BFCFAE" w14:textId="77777777" w:rsidR="0032786F" w:rsidRDefault="0032786F" w:rsidP="0032786F">
      <w:pPr>
        <w:keepNext/>
        <w:rPr>
          <w:rFonts w:ascii="Arial" w:eastAsia="Arial" w:hAnsi="Arial" w:cs="Arial"/>
          <w:sz w:val="24"/>
          <w:szCs w:val="24"/>
        </w:rPr>
      </w:pPr>
    </w:p>
    <w:p w14:paraId="308F2871" w14:textId="77777777" w:rsidR="00FB1D97" w:rsidRDefault="00DC7A6B" w:rsidP="0032786F">
      <w:pPr>
        <w:keepNext/>
        <w:rPr>
          <w:rFonts w:ascii="Arial" w:eastAsia="Arial" w:hAnsi="Arial" w:cs="Arial"/>
          <w:sz w:val="24"/>
          <w:szCs w:val="24"/>
        </w:rPr>
      </w:pPr>
      <w:r>
        <w:rPr>
          <w:rFonts w:ascii="Arial" w:eastAsia="Arial" w:hAnsi="Arial" w:cs="Arial"/>
          <w:sz w:val="24"/>
          <w:szCs w:val="24"/>
        </w:rPr>
        <w:t xml:space="preserve">World Federation of the Deaf. (2025). WFD input to UN’s language rights of linguistic minorities: </w:t>
      </w:r>
      <w:r>
        <w:rPr>
          <w:rFonts w:ascii="Arial" w:eastAsia="Arial" w:hAnsi="Arial" w:cs="Arial"/>
          <w:i/>
          <w:iCs/>
          <w:sz w:val="24"/>
          <w:szCs w:val="24"/>
        </w:rPr>
        <w:t>A practical guide for implementation</w:t>
      </w:r>
      <w:r>
        <w:rPr>
          <w:rFonts w:ascii="Arial" w:eastAsia="Arial" w:hAnsi="Arial" w:cs="Arial"/>
          <w:sz w:val="24"/>
          <w:szCs w:val="24"/>
        </w:rPr>
        <w:t xml:space="preserve"> [PDF]. </w:t>
      </w:r>
      <w:hyperlink r:id="rId60" w:history="1">
        <w:r w:rsidR="0032786F" w:rsidRPr="002003C0">
          <w:rPr>
            <w:rStyle w:val="Hyperlink"/>
            <w:rFonts w:ascii="Arial" w:eastAsia="Arial" w:hAnsi="Arial" w:cs="Arial"/>
            <w:sz w:val="24"/>
            <w:szCs w:val="24"/>
          </w:rPr>
          <w:t>https://wfdeaf.org/wp-content/uploads/WFD-Input-to-UNs-Language-Rights-of-Linguistic-Minorities-A-Practical-Guide-for-Implementation.pdf</w:t>
        </w:r>
      </w:hyperlink>
    </w:p>
    <w:p w14:paraId="7F0F55E8" w14:textId="77777777" w:rsidR="00FB1D97" w:rsidRDefault="00DC7A6B" w:rsidP="0032786F">
      <w:pPr>
        <w:keepNext/>
        <w:rPr>
          <w:rFonts w:ascii="Arial" w:eastAsia="Arial" w:hAnsi="Arial" w:cs="Arial"/>
          <w:sz w:val="24"/>
          <w:szCs w:val="24"/>
        </w:rPr>
      </w:pPr>
      <w:r>
        <w:rPr>
          <w:rFonts w:ascii="Arial" w:eastAsia="Arial" w:hAnsi="Arial" w:cs="Arial"/>
          <w:sz w:val="24"/>
          <w:szCs w:val="24"/>
        </w:rPr>
        <w:t xml:space="preserve">Wu, C., Wang, N., Wang, Q., Wang, C., Wei, Z., Wu, Z., Yu, S., &amp; Jiang, X. (2024). Participants’ understanding of informed consent in clinical trials: A systematic review and updated meta-analysis. </w:t>
      </w:r>
      <w:proofErr w:type="spellStart"/>
      <w:r>
        <w:rPr>
          <w:rFonts w:ascii="Arial" w:eastAsia="Arial" w:hAnsi="Arial" w:cs="Arial"/>
          <w:i/>
          <w:iCs/>
          <w:sz w:val="24"/>
          <w:szCs w:val="24"/>
        </w:rPr>
        <w:t>PLoS</w:t>
      </w:r>
      <w:proofErr w:type="spellEnd"/>
      <w:r>
        <w:rPr>
          <w:rFonts w:ascii="Arial" w:eastAsia="Arial" w:hAnsi="Arial" w:cs="Arial"/>
          <w:i/>
          <w:iCs/>
          <w:sz w:val="24"/>
          <w:szCs w:val="24"/>
        </w:rPr>
        <w:t xml:space="preserve"> ONE,</w:t>
      </w:r>
      <w:r>
        <w:rPr>
          <w:rFonts w:ascii="Arial" w:eastAsia="Arial" w:hAnsi="Arial" w:cs="Arial"/>
          <w:sz w:val="24"/>
          <w:szCs w:val="24"/>
        </w:rPr>
        <w:t xml:space="preserve"> 19(1), e0295784–e0295784. </w:t>
      </w:r>
      <w:hyperlink r:id="rId61" w:history="1">
        <w:r w:rsidR="0032786F" w:rsidRPr="002003C0">
          <w:rPr>
            <w:rStyle w:val="Hyperlink"/>
            <w:rFonts w:ascii="Arial" w:eastAsia="Arial" w:hAnsi="Arial" w:cs="Arial"/>
            <w:sz w:val="24"/>
            <w:szCs w:val="24"/>
          </w:rPr>
          <w:t>https://doi.org/10.1371/journal.pone.0295784</w:t>
        </w:r>
      </w:hyperlink>
    </w:p>
    <w:p w14:paraId="0A5FA3D7" w14:textId="77777777" w:rsidR="0032786F" w:rsidRDefault="0032786F" w:rsidP="0032786F">
      <w:pPr>
        <w:keepNext/>
        <w:rPr>
          <w:rFonts w:ascii="Arial" w:eastAsia="Arial" w:hAnsi="Arial" w:cs="Arial"/>
          <w:sz w:val="24"/>
          <w:szCs w:val="24"/>
        </w:rPr>
      </w:pPr>
    </w:p>
    <w:p w14:paraId="121D1AA4" w14:textId="77777777" w:rsidR="00FB1D97" w:rsidRDefault="00DC7A6B" w:rsidP="0032786F">
      <w:pPr>
        <w:keepNext/>
      </w:pPr>
      <w:r>
        <w:rPr>
          <w:rFonts w:ascii="Arial" w:eastAsia="Arial" w:hAnsi="Arial" w:cs="Arial"/>
          <w:sz w:val="24"/>
          <w:szCs w:val="24"/>
        </w:rPr>
        <w:t xml:space="preserve">Xu, A., </w:t>
      </w:r>
      <w:proofErr w:type="spellStart"/>
      <w:r>
        <w:rPr>
          <w:rFonts w:ascii="Arial" w:eastAsia="Arial" w:hAnsi="Arial" w:cs="Arial"/>
          <w:sz w:val="24"/>
          <w:szCs w:val="24"/>
        </w:rPr>
        <w:t>Baysari</w:t>
      </w:r>
      <w:proofErr w:type="spellEnd"/>
      <w:r>
        <w:rPr>
          <w:rFonts w:ascii="Arial" w:eastAsia="Arial" w:hAnsi="Arial" w:cs="Arial"/>
          <w:sz w:val="24"/>
          <w:szCs w:val="24"/>
        </w:rPr>
        <w:t xml:space="preserve">, M. T., Stocker, S. L., </w:t>
      </w:r>
      <w:proofErr w:type="spellStart"/>
      <w:r>
        <w:rPr>
          <w:rFonts w:ascii="Arial" w:eastAsia="Arial" w:hAnsi="Arial" w:cs="Arial"/>
          <w:sz w:val="24"/>
          <w:szCs w:val="24"/>
        </w:rPr>
        <w:t>Leow</w:t>
      </w:r>
      <w:proofErr w:type="spellEnd"/>
      <w:r>
        <w:rPr>
          <w:rFonts w:ascii="Arial" w:eastAsia="Arial" w:hAnsi="Arial" w:cs="Arial"/>
          <w:sz w:val="24"/>
          <w:szCs w:val="24"/>
        </w:rPr>
        <w:t xml:space="preserve">, L. J., Day, R. O., &amp; </w:t>
      </w:r>
      <w:proofErr w:type="spellStart"/>
      <w:r>
        <w:rPr>
          <w:rFonts w:ascii="Arial" w:eastAsia="Arial" w:hAnsi="Arial" w:cs="Arial"/>
          <w:sz w:val="24"/>
          <w:szCs w:val="24"/>
        </w:rPr>
        <w:t>Carland</w:t>
      </w:r>
      <w:proofErr w:type="spellEnd"/>
      <w:r>
        <w:rPr>
          <w:rFonts w:ascii="Arial" w:eastAsia="Arial" w:hAnsi="Arial" w:cs="Arial"/>
          <w:sz w:val="24"/>
          <w:szCs w:val="24"/>
        </w:rPr>
        <w:t xml:space="preserve">, J. E. (2020). Researchers’ views on, and experiences with, the requirement to obtain informed consent in research involving human participants: a qualitative study. </w:t>
      </w:r>
      <w:r>
        <w:rPr>
          <w:rFonts w:ascii="Arial" w:eastAsia="Arial" w:hAnsi="Arial" w:cs="Arial"/>
          <w:i/>
          <w:iCs/>
          <w:sz w:val="24"/>
          <w:szCs w:val="24"/>
        </w:rPr>
        <w:t>BMC Medical Ethics, 21</w:t>
      </w:r>
      <w:r>
        <w:rPr>
          <w:rFonts w:ascii="Arial" w:eastAsia="Arial" w:hAnsi="Arial" w:cs="Arial"/>
          <w:sz w:val="24"/>
          <w:szCs w:val="24"/>
        </w:rPr>
        <w:t>(1), 93.</w:t>
      </w:r>
      <w:hyperlink r:id="rId62">
        <w:r>
          <w:rPr>
            <w:rFonts w:ascii="Arial" w:eastAsia="Arial" w:hAnsi="Arial" w:cs="Arial"/>
            <w:sz w:val="24"/>
            <w:szCs w:val="24"/>
          </w:rPr>
          <w:t xml:space="preserve"> https://doi.org/10.1186/s12910-020-00538-7</w:t>
        </w:r>
      </w:hyperlink>
    </w:p>
    <w:p w14:paraId="0193CD83" w14:textId="77777777" w:rsidR="0032786F" w:rsidRDefault="0032786F" w:rsidP="0032786F">
      <w:pPr>
        <w:keepNext/>
        <w:rPr>
          <w:rFonts w:ascii="Arial" w:eastAsia="Arial" w:hAnsi="Arial" w:cs="Arial"/>
          <w:sz w:val="24"/>
          <w:szCs w:val="24"/>
        </w:rPr>
      </w:pPr>
    </w:p>
    <w:p w14:paraId="1E3FDC74" w14:textId="77777777" w:rsidR="00FB1D97" w:rsidRDefault="00DC7A6B" w:rsidP="0032786F">
      <w:pPr>
        <w:keepNext/>
        <w:rPr>
          <w:rFonts w:ascii="Arial" w:eastAsia="Arial" w:hAnsi="Arial" w:cs="Arial"/>
          <w:smallCaps/>
          <w:color w:val="000000"/>
          <w:sz w:val="22"/>
          <w:szCs w:val="22"/>
        </w:rPr>
        <w:sectPr w:rsidR="00FB1D97" w:rsidSect="009D1323">
          <w:headerReference w:type="even" r:id="rId63"/>
          <w:headerReference w:type="default" r:id="rId64"/>
          <w:footerReference w:type="default" r:id="rId65"/>
          <w:headerReference w:type="first" r:id="rId66"/>
          <w:type w:val="continuous"/>
          <w:pgSz w:w="12240" w:h="15840"/>
          <w:pgMar w:top="1440" w:right="2016" w:bottom="2016" w:left="2016" w:header="720" w:footer="1123" w:gutter="0"/>
          <w:cols w:space="720"/>
          <w:docGrid w:linePitch="272"/>
        </w:sectPr>
      </w:pPr>
      <w:r>
        <w:rPr>
          <w:rFonts w:ascii="Arial" w:eastAsia="Arial" w:hAnsi="Arial" w:cs="Arial"/>
          <w:sz w:val="24"/>
          <w:szCs w:val="24"/>
        </w:rPr>
        <w:t>Zakariya, Y. F. (2022).</w:t>
      </w:r>
      <w:r>
        <w:rPr>
          <w:rFonts w:ascii="Arial" w:eastAsia="Arial" w:hAnsi="Arial" w:cs="Arial"/>
          <w:i/>
          <w:iCs/>
          <w:sz w:val="24"/>
          <w:szCs w:val="24"/>
        </w:rPr>
        <w:t xml:space="preserve"> </w:t>
      </w:r>
      <w:r>
        <w:rPr>
          <w:rFonts w:ascii="Arial" w:eastAsia="Arial" w:hAnsi="Arial" w:cs="Arial"/>
          <w:sz w:val="24"/>
          <w:szCs w:val="24"/>
        </w:rPr>
        <w:t xml:space="preserve">Cronbach’s alpha in mathematics education research: Its appropriateness, overuse, and alternatives in estimating scale reliability. </w:t>
      </w:r>
      <w:r>
        <w:rPr>
          <w:rFonts w:ascii="Arial" w:eastAsia="Arial" w:hAnsi="Arial" w:cs="Arial"/>
          <w:i/>
          <w:iCs/>
          <w:sz w:val="24"/>
          <w:szCs w:val="24"/>
        </w:rPr>
        <w:t>Frontiers in Psychology,</w:t>
      </w:r>
      <w:r>
        <w:rPr>
          <w:rFonts w:ascii="Arial" w:eastAsia="Arial" w:hAnsi="Arial" w:cs="Arial"/>
          <w:sz w:val="24"/>
          <w:szCs w:val="24"/>
        </w:rPr>
        <w:t xml:space="preserve"> </w:t>
      </w:r>
      <w:r>
        <w:rPr>
          <w:rFonts w:ascii="Arial" w:eastAsia="Arial" w:hAnsi="Arial" w:cs="Arial"/>
          <w:i/>
          <w:iCs/>
          <w:sz w:val="24"/>
          <w:szCs w:val="24"/>
        </w:rPr>
        <w:t>13</w:t>
      </w:r>
      <w:r>
        <w:rPr>
          <w:rFonts w:ascii="Arial" w:eastAsia="Arial" w:hAnsi="Arial" w:cs="Arial"/>
          <w:sz w:val="24"/>
          <w:szCs w:val="24"/>
        </w:rPr>
        <w:t>.https://doi.org/10.3389/fpsyg.2022.1074430</w:t>
      </w:r>
    </w:p>
    <w:p w14:paraId="12F91B05" w14:textId="77777777" w:rsidR="00FB1D97" w:rsidRDefault="00DC7A6B">
      <w:pPr>
        <w:keepNext/>
        <w:pBdr>
          <w:top w:val="nil"/>
          <w:left w:val="nil"/>
          <w:bottom w:val="nil"/>
          <w:right w:val="nil"/>
          <w:between w:val="nil"/>
        </w:pBdr>
        <w:jc w:val="both"/>
        <w:rPr>
          <w:rFonts w:ascii="Arial" w:eastAsia="Arial" w:hAnsi="Arial" w:cs="Arial"/>
          <w:smallCaps/>
          <w:color w:val="000000"/>
          <w:sz w:val="22"/>
          <w:szCs w:val="22"/>
        </w:rPr>
      </w:pPr>
      <w:r>
        <w:rPr>
          <w:rFonts w:ascii="Arial" w:eastAsia="Arial" w:hAnsi="Arial" w:cs="Arial"/>
          <w:smallCaps/>
          <w:sz w:val="22"/>
          <w:szCs w:val="22"/>
        </w:rPr>
        <w:lastRenderedPageBreak/>
        <w:t xml:space="preserve"> </w:t>
      </w:r>
    </w:p>
    <w:sectPr w:rsidR="00FB1D97" w:rsidSect="009D1323">
      <w:type w:val="continuous"/>
      <w:pgSz w:w="12240" w:h="15840"/>
      <w:pgMar w:top="720" w:right="720" w:bottom="720" w:left="720" w:header="720" w:footer="72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6-04-01T00:30:00Z" w:initials="Ma">
    <w:p w14:paraId="3DFC4B47" w14:textId="77777777" w:rsidR="00201A25" w:rsidRDefault="00201A25" w:rsidP="00201A25">
      <w:pPr>
        <w:pStyle w:val="CommentText"/>
      </w:pPr>
      <w:r>
        <w:rPr>
          <w:rStyle w:val="CommentReference"/>
        </w:rPr>
        <w:annotationRef/>
      </w:r>
      <w:r>
        <w:t>Reduce length (remove repetition)</w:t>
      </w:r>
    </w:p>
    <w:p w14:paraId="12E0B1B2" w14:textId="77777777" w:rsidR="00201A25" w:rsidRDefault="00201A25" w:rsidP="00201A25">
      <w:pPr>
        <w:pStyle w:val="CommentText"/>
      </w:pPr>
      <w:r>
        <w:t xml:space="preserve">Replace “adversity” </w:t>
      </w:r>
      <w:r>
        <w:rPr>
          <w:rFonts w:ascii="Arial" w:hAnsi="Arial" w:cs="Arial"/>
        </w:rPr>
        <w:t>→</w:t>
      </w:r>
      <w:r>
        <w:t xml:space="preserve"> </w:t>
      </w:r>
      <w:r>
        <w:rPr>
          <w:rFonts w:ascii="___WRD_EMBED_SUB_39" w:hAnsi="___WRD_EMBED_SUB_39" w:cs="___WRD_EMBED_SUB_39"/>
        </w:rPr>
        <w:t>“</w:t>
      </w:r>
      <w:r>
        <w:t>challenge</w:t>
      </w:r>
      <w:r>
        <w:rPr>
          <w:rFonts w:ascii="___WRD_EMBED_SUB_39" w:hAnsi="___WRD_EMBED_SUB_39" w:cs="___WRD_EMBED_SUB_39"/>
        </w:rPr>
        <w:t>”</w:t>
      </w:r>
    </w:p>
    <w:p w14:paraId="510DB767" w14:textId="77777777" w:rsidR="00201A25" w:rsidRDefault="00201A25" w:rsidP="00201A25">
      <w:pPr>
        <w:pStyle w:val="CommentText"/>
      </w:pPr>
      <w:r>
        <w:t>Delete repeated statements about communication difficulties</w:t>
      </w:r>
    </w:p>
    <w:p w14:paraId="1641DE09" w14:textId="77777777" w:rsidR="00201A25" w:rsidRDefault="00201A25" w:rsidP="00201A25">
      <w:pPr>
        <w:pStyle w:val="CommentText"/>
      </w:pPr>
      <w:r>
        <w:t>Shorten policy section (RA 11106, SDG)</w:t>
      </w:r>
    </w:p>
    <w:p w14:paraId="77EFBD28" w14:textId="77777777" w:rsidR="00201A25" w:rsidRDefault="00201A25" w:rsidP="00201A25">
      <w:pPr>
        <w:pStyle w:val="CommentText"/>
      </w:pPr>
      <w:r>
        <w:t>Write the research gap in 1–2 clear sentences only</w:t>
      </w:r>
    </w:p>
    <w:p w14:paraId="4338A915" w14:textId="77777777" w:rsidR="00201A25" w:rsidRDefault="00201A25" w:rsidP="00201A25">
      <w:pPr>
        <w:pStyle w:val="CommentText"/>
      </w:pPr>
      <w:r>
        <w:t>Link the final paragraph directly to the study aim</w:t>
      </w:r>
    </w:p>
  </w:comment>
  <w:comment w:id="1" w:author="Microsoft account" w:date="2026-04-01T00:45:00Z" w:initials="Ma">
    <w:p w14:paraId="0EDBAB0D" w14:textId="77777777" w:rsidR="00231F1C" w:rsidRDefault="00231F1C" w:rsidP="00231F1C">
      <w:pPr>
        <w:pStyle w:val="CommentText"/>
      </w:pPr>
      <w:r>
        <w:rPr>
          <w:rStyle w:val="CommentReference"/>
        </w:rPr>
        <w:annotationRef/>
      </w:r>
      <w:r>
        <w:t>Overall Evaluation:</w:t>
      </w:r>
    </w:p>
    <w:p w14:paraId="1C3DC966" w14:textId="77777777" w:rsidR="00231F1C" w:rsidRDefault="00231F1C" w:rsidP="00231F1C">
      <w:pPr>
        <w:pStyle w:val="CommentText"/>
      </w:pPr>
      <w:r>
        <w:t>The section is very well-written, clear, scientific, and aligns with academic journal standards.</w:t>
      </w:r>
    </w:p>
    <w:p w14:paraId="1A831094" w14:textId="0963FFF6" w:rsidR="00231F1C" w:rsidRDefault="00231F1C" w:rsidP="00231F1C">
      <w:pPr>
        <w:pStyle w:val="CommentText"/>
      </w:pPr>
      <w:r>
        <w:t>Key aspects (design, participants, instruments, data collection, and analysis) are comprehensively covered.</w:t>
      </w:r>
    </w:p>
  </w:comment>
  <w:comment w:id="2" w:author="Microsoft account" w:date="2026-04-01T00:37:00Z" w:initials="Ma">
    <w:p w14:paraId="6FBB66B7" w14:textId="77777777" w:rsidR="00830843" w:rsidRDefault="00830843" w:rsidP="00830843">
      <w:pPr>
        <w:pStyle w:val="CommentText"/>
        <w:rPr>
          <w:rtl/>
        </w:rPr>
      </w:pPr>
      <w:r>
        <w:rPr>
          <w:rStyle w:val="CommentReference"/>
        </w:rPr>
        <w:annotationRef/>
      </w:r>
      <w:r>
        <w:t>The explanation is clear and distinguishes between descriptive and correlational approaches.</w:t>
      </w:r>
    </w:p>
    <w:p w14:paraId="03605D64" w14:textId="77777777" w:rsidR="00830843" w:rsidRDefault="00830843" w:rsidP="00830843">
      <w:pPr>
        <w:pStyle w:val="CommentText"/>
      </w:pPr>
    </w:p>
    <w:p w14:paraId="22EB6FD1" w14:textId="77777777" w:rsidR="00830843" w:rsidRDefault="00830843" w:rsidP="00830843">
      <w:pPr>
        <w:pStyle w:val="CommentText"/>
      </w:pPr>
      <w:r>
        <w:t>Citing Devi et al., 2023 is appropriate, but ensure it is a recent source and properly referenced according to the target journal’s guidelines.</w:t>
      </w:r>
    </w:p>
    <w:p w14:paraId="3D2D5807" w14:textId="77777777" w:rsidR="00830843" w:rsidRDefault="00830843" w:rsidP="00830843">
      <w:pPr>
        <w:pStyle w:val="CommentText"/>
        <w:rPr>
          <w:rtl/>
        </w:rPr>
      </w:pPr>
    </w:p>
    <w:p w14:paraId="0F96D9BD" w14:textId="77777777" w:rsidR="00830843" w:rsidRDefault="00830843" w:rsidP="00830843">
      <w:pPr>
        <w:pStyle w:val="CommentText"/>
      </w:pPr>
    </w:p>
    <w:p w14:paraId="292BEF4B" w14:textId="0CD9FA29" w:rsidR="00830843" w:rsidRDefault="00830843" w:rsidP="007B4C4B">
      <w:pPr>
        <w:pStyle w:val="CommentText"/>
      </w:pPr>
      <w:r>
        <w:t xml:space="preserve">It would be beneficial to explicitly state why this design was selected for nursing students and sign language, linking it to the study’s objectives. For example: </w:t>
      </w:r>
      <w:r w:rsidR="007B4C4B" w:rsidRPr="007B4C4B">
        <w:t>This design was chosen because it allows for capturing students’ perceptions while identifying potential associations with their intent to learn sign language</w:t>
      </w:r>
    </w:p>
  </w:comment>
  <w:comment w:id="3" w:author="Microsoft account" w:date="2026-04-01T00:40:00Z" w:initials="Ma">
    <w:p w14:paraId="215EA713" w14:textId="450DC825" w:rsidR="007B4C4B" w:rsidRDefault="007B4C4B">
      <w:pPr>
        <w:pStyle w:val="CommentText"/>
      </w:pPr>
      <w:r>
        <w:rPr>
          <w:rStyle w:val="CommentReference"/>
        </w:rPr>
        <w:annotationRef/>
      </w:r>
      <w:r w:rsidRPr="007B4C4B">
        <w:t>Consider adding a brief table showing the sample distribution by year level.</w:t>
      </w:r>
    </w:p>
  </w:comment>
  <w:comment w:id="4" w:author="Microsoft account" w:date="2026-04-01T00:41:00Z" w:initials="Ma">
    <w:p w14:paraId="5F60E9A8" w14:textId="77777777" w:rsidR="007B4C4B" w:rsidRDefault="007B4C4B" w:rsidP="007B4C4B">
      <w:pPr>
        <w:pStyle w:val="CommentText"/>
      </w:pPr>
      <w:r>
        <w:rPr>
          <w:rStyle w:val="CommentReference"/>
        </w:rPr>
        <w:annotationRef/>
      </w:r>
      <w:r>
        <w:t>Instruments are clear, covering demographics and target variables (interest, importance, barriers, intent).</w:t>
      </w:r>
    </w:p>
    <w:p w14:paraId="23F0C892" w14:textId="77777777" w:rsidR="007B4C4B" w:rsidRDefault="007B4C4B" w:rsidP="007B4C4B">
      <w:pPr>
        <w:pStyle w:val="CommentText"/>
      </w:pPr>
      <w:r>
        <w:t xml:space="preserve">The 5-point </w:t>
      </w:r>
      <w:proofErr w:type="spellStart"/>
      <w:r>
        <w:t>Likert</w:t>
      </w:r>
      <w:proofErr w:type="spellEnd"/>
      <w:r>
        <w:t xml:space="preserve"> scale is suitable for studies on perceptions and behavioral intention.</w:t>
      </w:r>
    </w:p>
    <w:p w14:paraId="3CC40C88" w14:textId="674B4A26" w:rsidR="007B4C4B" w:rsidRDefault="007B4C4B" w:rsidP="007B4C4B">
      <w:pPr>
        <w:pStyle w:val="CommentText"/>
      </w:pPr>
      <w:r>
        <w:t>Adapting items from previous studies (</w:t>
      </w:r>
      <w:proofErr w:type="spellStart"/>
      <w:r>
        <w:t>Alamro</w:t>
      </w:r>
      <w:proofErr w:type="spellEnd"/>
      <w:r>
        <w:t xml:space="preserve"> et al., 2023; </w:t>
      </w:r>
      <w:proofErr w:type="spellStart"/>
      <w:r>
        <w:t>Opoku</w:t>
      </w:r>
      <w:proofErr w:type="spellEnd"/>
      <w:r>
        <w:t xml:space="preserve"> et al., 2025)</w:t>
      </w:r>
    </w:p>
  </w:comment>
  <w:comment w:id="5" w:author="Microsoft account" w:date="2026-04-01T00:43:00Z" w:initials="Ma">
    <w:p w14:paraId="1A3A2F76" w14:textId="77777777" w:rsidR="00231F1C" w:rsidRDefault="00231F1C" w:rsidP="00231F1C">
      <w:pPr>
        <w:pStyle w:val="CommentText"/>
      </w:pPr>
      <w:r>
        <w:rPr>
          <w:rStyle w:val="CommentReference"/>
        </w:rPr>
        <w:annotationRef/>
      </w:r>
      <w:r>
        <w:t>Using the Shapiro-</w:t>
      </w:r>
      <w:proofErr w:type="spellStart"/>
      <w:r>
        <w:t>Wilk</w:t>
      </w:r>
      <w:proofErr w:type="spellEnd"/>
      <w:r>
        <w:t xml:space="preserve"> test to assess data normality is appropriate before employing non-parametric analysis.</w:t>
      </w:r>
    </w:p>
    <w:p w14:paraId="3C1D5715" w14:textId="453B8142" w:rsidR="00231F1C" w:rsidRDefault="00231F1C" w:rsidP="00231F1C">
      <w:pPr>
        <w:pStyle w:val="CommentText"/>
      </w:pPr>
      <w:r>
        <w:t>A significance level of 0.05 is suitable for social and health research.</w:t>
      </w:r>
    </w:p>
  </w:comment>
  <w:comment w:id="6" w:author="Microsoft account" w:date="2026-04-01T01:08:00Z" w:initials="Ma">
    <w:p w14:paraId="26015BF1" w14:textId="77777777" w:rsidR="009B2929" w:rsidRDefault="009B2929" w:rsidP="009B2929">
      <w:pPr>
        <w:pStyle w:val="CommentText"/>
      </w:pPr>
      <w:r>
        <w:rPr>
          <w:rStyle w:val="CommentReference"/>
        </w:rPr>
        <w:annotationRef/>
      </w:r>
      <w:r>
        <w:t>Results are clearly organized into demographic, perception, barrier, and intent categories.</w:t>
      </w:r>
    </w:p>
    <w:p w14:paraId="1D30ECB1" w14:textId="77777777" w:rsidR="009B2929" w:rsidRDefault="009B2929" w:rsidP="009B2929">
      <w:pPr>
        <w:pStyle w:val="CommentText"/>
      </w:pPr>
      <w:r>
        <w:t>Tables and figures are well-structured and enhance comprehension.</w:t>
      </w:r>
    </w:p>
    <w:p w14:paraId="78F5085B" w14:textId="77777777" w:rsidR="009B2929" w:rsidRDefault="009B2929" w:rsidP="009B2929">
      <w:pPr>
        <w:pStyle w:val="CommentText"/>
      </w:pPr>
      <w:r>
        <w:t>Strong literature support and theoretical integration (Self-Determination Theory).</w:t>
      </w:r>
    </w:p>
    <w:p w14:paraId="56271332" w14:textId="6B4E84E4" w:rsidR="009B2929" w:rsidRDefault="009B2929" w:rsidP="009B2929">
      <w:pPr>
        <w:pStyle w:val="CommentText"/>
      </w:pPr>
      <w:r>
        <w:t>Overall narrative aligns with study objectives.</w:t>
      </w:r>
    </w:p>
  </w:comment>
  <w:comment w:id="7" w:author="Microsoft account" w:date="2026-04-01T00:54:00Z" w:initials="Ma">
    <w:p w14:paraId="0C7FA0C3" w14:textId="77777777" w:rsidR="00033749" w:rsidRDefault="00033749">
      <w:pPr>
        <w:pStyle w:val="CommentText"/>
        <w:rPr>
          <w:rtl/>
        </w:rPr>
      </w:pPr>
      <w:r>
        <w:rPr>
          <w:rStyle w:val="CommentReference"/>
        </w:rPr>
        <w:annotationRef/>
      </w:r>
      <w:r w:rsidRPr="00033749">
        <w:t>Table 1 contains a minor error: Female percentage is incorrectly reported as 26.9% instead of 76.9%. This should be corrected.</w:t>
      </w:r>
    </w:p>
    <w:p w14:paraId="17472365" w14:textId="77777777" w:rsidR="00033749" w:rsidRDefault="00033749">
      <w:pPr>
        <w:pStyle w:val="CommentText"/>
        <w:rPr>
          <w:rtl/>
        </w:rPr>
      </w:pPr>
    </w:p>
    <w:p w14:paraId="2D3A2AD4" w14:textId="77777777" w:rsidR="00033749" w:rsidRDefault="00033749" w:rsidP="00033749">
      <w:pPr>
        <w:pStyle w:val="CommentText"/>
      </w:pPr>
      <w:r>
        <w:t>Sex</w:t>
      </w:r>
    </w:p>
    <w:p w14:paraId="2B89CBE0" w14:textId="77777777" w:rsidR="00033749" w:rsidRDefault="00033749" w:rsidP="00033749">
      <w:pPr>
        <w:pStyle w:val="CommentText"/>
      </w:pPr>
      <w:r>
        <w:t>Male 75 23.1%</w:t>
      </w:r>
    </w:p>
    <w:p w14:paraId="605F2771" w14:textId="77777777" w:rsidR="00033749" w:rsidRDefault="00033749" w:rsidP="00033749">
      <w:pPr>
        <w:pStyle w:val="CommentText"/>
      </w:pPr>
      <w:r>
        <w:t>Female 250 26.9%</w:t>
      </w:r>
    </w:p>
    <w:p w14:paraId="3D78F670" w14:textId="77777777" w:rsidR="00033749" w:rsidRDefault="00033749" w:rsidP="00033749">
      <w:pPr>
        <w:pStyle w:val="CommentText"/>
      </w:pPr>
    </w:p>
    <w:p w14:paraId="6492FF1A" w14:textId="77777777" w:rsidR="00033749" w:rsidRDefault="00033749" w:rsidP="00033749">
      <w:pPr>
        <w:pStyle w:val="CommentText"/>
      </w:pPr>
      <w:r>
        <w:t>Here, the figure 26.9% seems to be a typographical or clerical error because:</w:t>
      </w:r>
    </w:p>
    <w:p w14:paraId="76516F2B" w14:textId="77777777" w:rsidR="00033749" w:rsidRDefault="00033749" w:rsidP="00033749">
      <w:pPr>
        <w:pStyle w:val="CommentText"/>
      </w:pPr>
    </w:p>
    <w:p w14:paraId="2D22C5F3" w14:textId="77777777" w:rsidR="00033749" w:rsidRDefault="00033749" w:rsidP="00033749">
      <w:pPr>
        <w:pStyle w:val="CommentText"/>
      </w:pPr>
      <w:r>
        <w:t>Total students = 325</w:t>
      </w:r>
    </w:p>
    <w:p w14:paraId="2A10C289" w14:textId="77777777" w:rsidR="00033749" w:rsidRDefault="00033749" w:rsidP="00033749">
      <w:pPr>
        <w:pStyle w:val="CommentText"/>
      </w:pPr>
      <w:r>
        <w:t>Number of females = 250</w:t>
      </w:r>
    </w:p>
    <w:p w14:paraId="6003D1A4" w14:textId="77777777" w:rsidR="00033749" w:rsidRDefault="00033749" w:rsidP="00033749">
      <w:pPr>
        <w:pStyle w:val="CommentText"/>
      </w:pPr>
      <w:r>
        <w:t>The correct percentage = (250 ÷ 325) × 100 = 76.9%</w:t>
      </w:r>
    </w:p>
    <w:p w14:paraId="06E07044" w14:textId="0D8E728C" w:rsidR="00033749" w:rsidRDefault="00033749" w:rsidP="00033749">
      <w:pPr>
        <w:pStyle w:val="CommentText"/>
      </w:pPr>
      <w:r>
        <w:t xml:space="preserve">Number of males = 75 </w:t>
      </w:r>
      <w:r>
        <w:rPr>
          <w:rFonts w:ascii="Arial" w:hAnsi="Arial" w:cs="Arial"/>
        </w:rPr>
        <w:t>→</w:t>
      </w:r>
      <w:r>
        <w:t xml:space="preserve"> (75 </w:t>
      </w:r>
      <w:r>
        <w:rPr>
          <w:rFonts w:ascii="___WRD_EMBED_SUB_39" w:hAnsi="___WRD_EMBED_SUB_39" w:cs="___WRD_EMBED_SUB_39"/>
        </w:rPr>
        <w:t>÷</w:t>
      </w:r>
      <w:r>
        <w:t xml:space="preserve"> 325) </w:t>
      </w:r>
      <w:r>
        <w:rPr>
          <w:rFonts w:ascii="___WRD_EMBED_SUB_39" w:hAnsi="___WRD_EMBED_SUB_39" w:cs="___WRD_EMBED_SUB_39"/>
        </w:rPr>
        <w:t>×</w:t>
      </w:r>
      <w:r>
        <w:t xml:space="preserve"> 100 = 23.1% (correct)</w:t>
      </w:r>
    </w:p>
  </w:comment>
  <w:comment w:id="9" w:author="Microsoft account" w:date="2026-04-01T01:06:00Z" w:initials="Ma">
    <w:p w14:paraId="02FB2A0D" w14:textId="1589AD34" w:rsidR="00F16F71" w:rsidRDefault="00F16F71">
      <w:pPr>
        <w:pStyle w:val="CommentText"/>
      </w:pPr>
      <w:r>
        <w:rPr>
          <w:rStyle w:val="CommentReference"/>
        </w:rPr>
        <w:annotationRef/>
      </w:r>
      <w:r w:rsidRPr="00F16F71">
        <w:t xml:space="preserve">Statistical reporting could be improved: for example, clarify the paradox where </w:t>
      </w:r>
      <w:proofErr w:type="spellStart"/>
      <w:r w:rsidRPr="00F16F71">
        <w:t>rs</w:t>
      </w:r>
      <w:proofErr w:type="spellEnd"/>
      <w:r w:rsidRPr="00F16F71">
        <w:t xml:space="preserve"> = 0.637 but p = 0.997—it might confuse readers (likely a reporting error).</w:t>
      </w:r>
    </w:p>
  </w:comment>
  <w:comment w:id="10" w:author="Microsoft account" w:date="2026-04-01T01:07:00Z" w:initials="Ma">
    <w:p w14:paraId="5DC67290" w14:textId="4A0BBE4C" w:rsidR="00F16F71" w:rsidRDefault="00F16F71">
      <w:pPr>
        <w:pStyle w:val="CommentText"/>
      </w:pPr>
      <w:r>
        <w:rPr>
          <w:rStyle w:val="CommentReference"/>
        </w:rPr>
        <w:annotationRef/>
      </w:r>
      <w:r w:rsidRPr="00F16F71">
        <w:t xml:space="preserve">Statistical reporting could be improved: for example, clarify the paradox where </w:t>
      </w:r>
      <w:proofErr w:type="spellStart"/>
      <w:r w:rsidRPr="00F16F71">
        <w:t>rs</w:t>
      </w:r>
      <w:proofErr w:type="spellEnd"/>
      <w:r w:rsidRPr="00F16F71">
        <w:t xml:space="preserve"> = 0.637 but p = 0.997—it might confuse readers (likely a reporting error).</w:t>
      </w:r>
    </w:p>
  </w:comment>
  <w:comment w:id="11" w:author="Microsoft account" w:date="2026-04-01T01:12:00Z" w:initials="Ma">
    <w:p w14:paraId="58F111DE" w14:textId="77777777" w:rsidR="00977806" w:rsidRDefault="00977806" w:rsidP="00977806">
      <w:pPr>
        <w:pStyle w:val="CommentText"/>
      </w:pPr>
      <w:r>
        <w:rPr>
          <w:rStyle w:val="CommentReference"/>
        </w:rPr>
        <w:annotationRef/>
      </w:r>
      <w:r>
        <w:t>The conclusion could be strengthened by adding specific practical recommendations for the future, such as incorporating structured training programs or embedding sign language in curricula.</w:t>
      </w:r>
    </w:p>
    <w:p w14:paraId="7009E335" w14:textId="33474A11" w:rsidR="00977806" w:rsidRDefault="00977806" w:rsidP="00977806">
      <w:pPr>
        <w:pStyle w:val="CommentText"/>
      </w:pPr>
      <w:r>
        <w:t>Some sentences are relatively long; breaking them up would improve readability and flow.</w:t>
      </w:r>
    </w:p>
  </w:comment>
  <w:comment w:id="12" w:author="Microsoft account" w:date="2026-04-01T01:13:00Z" w:initials="Ma">
    <w:p w14:paraId="50F12E8A" w14:textId="55F14CFD" w:rsidR="00977806" w:rsidRDefault="00977806">
      <w:pPr>
        <w:pStyle w:val="CommentText"/>
      </w:pPr>
      <w:r>
        <w:rPr>
          <w:rStyle w:val="CommentReference"/>
        </w:rPr>
        <w:annotationRef/>
      </w:r>
      <w:r w:rsidRPr="00977806">
        <w:t>Clearly explains that participation was voluntary and respondents were informed of their rights, risks, and benefits.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38A915" w15:done="0"/>
  <w15:commentEx w15:paraId="1A831094" w15:done="0"/>
  <w15:commentEx w15:paraId="292BEF4B" w15:done="0"/>
  <w15:commentEx w15:paraId="215EA713" w15:done="0"/>
  <w15:commentEx w15:paraId="3CC40C88" w15:done="0"/>
  <w15:commentEx w15:paraId="3C1D5715" w15:done="0"/>
  <w15:commentEx w15:paraId="56271332" w15:done="0"/>
  <w15:commentEx w15:paraId="06E07044" w15:done="0"/>
  <w15:commentEx w15:paraId="02FB2A0D" w15:done="0"/>
  <w15:commentEx w15:paraId="5DC67290" w15:done="0"/>
  <w15:commentEx w15:paraId="7009E335" w15:done="0"/>
  <w15:commentEx w15:paraId="50F12E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BE901" w14:textId="77777777" w:rsidR="00161AC1" w:rsidRDefault="00161AC1">
      <w:r>
        <w:separator/>
      </w:r>
    </w:p>
  </w:endnote>
  <w:endnote w:type="continuationSeparator" w:id="0">
    <w:p w14:paraId="2529FA50" w14:textId="77777777" w:rsidR="00161AC1" w:rsidRDefault="00161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SimSun"/>
    <w:charset w:val="00"/>
    <w:family w:val="auto"/>
    <w:pitch w:val="default"/>
    <w:embedRegular r:id="rId1" w:fontKey="{D17637BD-61C1-4524-BF48-743AB98F61B9}"/>
    <w:embedBold r:id="rId2" w:fontKey="{E082E335-B2BA-4101-BC6C-E66EEF20B7B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D8FB0A4-B55C-40EE-8A62-69D8A3F9778B}"/>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4" w:fontKey="{66A961AC-DD7C-4E90-BF1F-5ECF6C40DBAA}"/>
  </w:font>
  <w:font w:name="___WRD_EMBED_SUB_39">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1301B9E0-D4E5-4543-8C7F-2D6D77708488}"/>
  </w:font>
  <w:font w:name="Cambria">
    <w:panose1 w:val="02040503050406030204"/>
    <w:charset w:val="00"/>
    <w:family w:val="roman"/>
    <w:pitch w:val="variable"/>
    <w:sig w:usb0="E00006FF" w:usb1="420024FF" w:usb2="02000000" w:usb3="00000000" w:csb0="0000019F" w:csb1="00000000"/>
    <w:embedRegular r:id="rId6" w:fontKey="{BE8C7FFD-6D46-4C70-87D7-92B403CBEC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B518B" w14:textId="77777777" w:rsidR="00201A25" w:rsidRDefault="00201A2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07CBB" w14:textId="77777777" w:rsidR="00201A25" w:rsidRPr="002C4056" w:rsidRDefault="00201A25" w:rsidP="002C40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C2818" w14:textId="77777777" w:rsidR="00201A25" w:rsidRDefault="00201A25">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B5AEC06" w14:textId="77777777" w:rsidR="00201A25" w:rsidRDefault="00201A2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A1D81B7" w14:textId="77777777" w:rsidR="00201A25" w:rsidRDefault="00201A25">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90613BB" w14:textId="77777777" w:rsidR="00201A25" w:rsidRDefault="00201A25">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AFA11" w14:textId="77777777" w:rsidR="00201A25" w:rsidRDefault="00201A2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F2A3E" w14:textId="77777777" w:rsidR="00161AC1" w:rsidRDefault="00161AC1">
      <w:r>
        <w:separator/>
      </w:r>
    </w:p>
  </w:footnote>
  <w:footnote w:type="continuationSeparator" w:id="0">
    <w:p w14:paraId="5FA8DEEB" w14:textId="77777777" w:rsidR="00161AC1" w:rsidRDefault="00161A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EEBD8" w14:textId="77777777" w:rsidR="00201A25" w:rsidRDefault="00201A25">
    <w:pPr>
      <w:pBdr>
        <w:top w:val="nil"/>
        <w:left w:val="nil"/>
        <w:bottom w:val="nil"/>
        <w:right w:val="nil"/>
        <w:between w:val="nil"/>
      </w:pBdr>
      <w:tabs>
        <w:tab w:val="center" w:pos="4320"/>
        <w:tab w:val="right" w:pos="8640"/>
      </w:tabs>
      <w:rPr>
        <w:color w:val="000000"/>
      </w:rPr>
    </w:pPr>
    <w:r>
      <w:rPr>
        <w:noProof/>
      </w:rPr>
      <w:pict w14:anchorId="36DA50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6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FBD6B" w14:textId="77777777" w:rsidR="00201A25" w:rsidRDefault="00201A25">
    <w:pPr>
      <w:pBdr>
        <w:top w:val="nil"/>
        <w:left w:val="nil"/>
        <w:bottom w:val="nil"/>
        <w:right w:val="nil"/>
        <w:between w:val="nil"/>
      </w:pBdr>
      <w:tabs>
        <w:tab w:val="center" w:pos="4320"/>
        <w:tab w:val="right" w:pos="8640"/>
      </w:tabs>
      <w:rPr>
        <w:color w:val="000000"/>
      </w:rPr>
    </w:pPr>
    <w:r>
      <w:rPr>
        <w:noProof/>
      </w:rPr>
      <w:pict w14:anchorId="7060B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6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1E1B7" w14:textId="77777777" w:rsidR="00201A25" w:rsidRDefault="00201A25">
    <w:pPr>
      <w:ind w:left="2160"/>
      <w:jc w:val="center"/>
      <w:rPr>
        <w:rFonts w:ascii="Times New Roman" w:eastAsia="Times New Roman" w:hAnsi="Times New Roman" w:cs="Times New Roman"/>
        <w:i/>
        <w:iCs/>
        <w:sz w:val="18"/>
        <w:szCs w:val="18"/>
      </w:rPr>
    </w:pPr>
    <w:r>
      <w:rPr>
        <w:noProof/>
      </w:rPr>
      <w:pict w14:anchorId="4906CD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5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446D22B7" w14:textId="77777777" w:rsidR="00201A25" w:rsidRDefault="00201A2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9D99C6D" w14:textId="77777777" w:rsidR="00201A25" w:rsidRDefault="00201A2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1C52C230" w14:textId="77777777" w:rsidR="00201A25" w:rsidRDefault="00201A2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DF074F2" w14:textId="77777777" w:rsidR="00201A25" w:rsidRDefault="00201A2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CC322A8" w14:textId="77777777" w:rsidR="00201A25" w:rsidRDefault="00201A2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5157074" w14:textId="77777777" w:rsidR="00201A25" w:rsidRDefault="00201A2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1C926" w14:textId="77777777" w:rsidR="00201A25" w:rsidRDefault="00201A25">
    <w:pPr>
      <w:pStyle w:val="Header"/>
    </w:pPr>
    <w:r>
      <w:rPr>
        <w:noProof/>
      </w:rPr>
      <w:pict w14:anchorId="250AB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6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DD98C" w14:textId="77777777" w:rsidR="00201A25" w:rsidRDefault="00201A25">
    <w:pPr>
      <w:pStyle w:val="Header"/>
    </w:pPr>
    <w:r>
      <w:rPr>
        <w:noProof/>
      </w:rPr>
      <w:pict w14:anchorId="285BA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6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B3843" w14:textId="77777777" w:rsidR="00201A25" w:rsidRDefault="00201A25">
    <w:pPr>
      <w:pStyle w:val="Header"/>
    </w:pPr>
    <w:r>
      <w:rPr>
        <w:noProof/>
      </w:rPr>
      <w:pict w14:anchorId="5EF59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3736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52d8d67f6cb020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D97"/>
    <w:rsid w:val="00033749"/>
    <w:rsid w:val="00161AC1"/>
    <w:rsid w:val="00201A25"/>
    <w:rsid w:val="00231F1C"/>
    <w:rsid w:val="00290737"/>
    <w:rsid w:val="002C4056"/>
    <w:rsid w:val="002D2840"/>
    <w:rsid w:val="0032786F"/>
    <w:rsid w:val="00520F83"/>
    <w:rsid w:val="007B4C4B"/>
    <w:rsid w:val="00830843"/>
    <w:rsid w:val="00846D53"/>
    <w:rsid w:val="00977806"/>
    <w:rsid w:val="0098706C"/>
    <w:rsid w:val="009B2929"/>
    <w:rsid w:val="009D1323"/>
    <w:rsid w:val="00DC7A6B"/>
    <w:rsid w:val="00F16F71"/>
    <w:rsid w:val="00FB1D9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D6F7DF3"/>
  <w15:docId w15:val="{0BEE9134-D17D-4D94-8097-4721B991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2C4056"/>
  </w:style>
  <w:style w:type="paragraph" w:styleId="Footer">
    <w:name w:val="footer"/>
    <w:basedOn w:val="Normal"/>
    <w:link w:val="FooterChar"/>
    <w:uiPriority w:val="99"/>
    <w:semiHidden/>
    <w:unhideWhenUsed/>
    <w:rsid w:val="002C4056"/>
    <w:pPr>
      <w:tabs>
        <w:tab w:val="center" w:pos="4513"/>
        <w:tab w:val="right" w:pos="9026"/>
      </w:tabs>
    </w:pPr>
  </w:style>
  <w:style w:type="character" w:customStyle="1" w:styleId="FooterChar">
    <w:name w:val="Footer Char"/>
    <w:basedOn w:val="DefaultParagraphFont"/>
    <w:link w:val="Footer"/>
    <w:uiPriority w:val="99"/>
    <w:semiHidden/>
    <w:rsid w:val="002C4056"/>
  </w:style>
  <w:style w:type="character" w:styleId="Hyperlink">
    <w:name w:val="Hyperlink"/>
    <w:basedOn w:val="DefaultParagraphFont"/>
    <w:uiPriority w:val="99"/>
    <w:unhideWhenUsed/>
    <w:rsid w:val="002C4056"/>
    <w:rPr>
      <w:color w:val="0000FF" w:themeColor="hyperlink"/>
      <w:u w:val="single"/>
    </w:rPr>
  </w:style>
  <w:style w:type="character" w:customStyle="1" w:styleId="UnresolvedMention">
    <w:name w:val="Unresolved Mention"/>
    <w:basedOn w:val="DefaultParagraphFont"/>
    <w:uiPriority w:val="99"/>
    <w:semiHidden/>
    <w:unhideWhenUsed/>
    <w:rsid w:val="002C4056"/>
    <w:rPr>
      <w:color w:val="605E5C"/>
      <w:shd w:val="clear" w:color="auto" w:fill="E1DFDD"/>
    </w:rPr>
  </w:style>
  <w:style w:type="table" w:styleId="TableGrid">
    <w:name w:val="Table Grid"/>
    <w:basedOn w:val="TableNormal"/>
    <w:uiPriority w:val="39"/>
    <w:rsid w:val="00520F83"/>
    <w:rPr>
      <w:rFonts w:ascii="Times New Roman" w:eastAsia="SimSu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D1323"/>
    <w:pPr>
      <w:tabs>
        <w:tab w:val="center" w:pos="4680"/>
        <w:tab w:val="right" w:pos="9360"/>
      </w:tabs>
    </w:pPr>
  </w:style>
  <w:style w:type="character" w:customStyle="1" w:styleId="HeaderChar">
    <w:name w:val="Header Char"/>
    <w:basedOn w:val="DefaultParagraphFont"/>
    <w:link w:val="Header"/>
    <w:uiPriority w:val="99"/>
    <w:rsid w:val="009D1323"/>
  </w:style>
  <w:style w:type="character" w:styleId="CommentReference">
    <w:name w:val="annotation reference"/>
    <w:basedOn w:val="DefaultParagraphFont"/>
    <w:uiPriority w:val="99"/>
    <w:semiHidden/>
    <w:unhideWhenUsed/>
    <w:rsid w:val="00201A25"/>
    <w:rPr>
      <w:sz w:val="16"/>
      <w:szCs w:val="16"/>
    </w:rPr>
  </w:style>
  <w:style w:type="paragraph" w:styleId="CommentText">
    <w:name w:val="annotation text"/>
    <w:basedOn w:val="Normal"/>
    <w:link w:val="CommentTextChar"/>
    <w:uiPriority w:val="99"/>
    <w:semiHidden/>
    <w:unhideWhenUsed/>
    <w:rsid w:val="00201A25"/>
  </w:style>
  <w:style w:type="character" w:customStyle="1" w:styleId="CommentTextChar">
    <w:name w:val="Comment Text Char"/>
    <w:basedOn w:val="DefaultParagraphFont"/>
    <w:link w:val="CommentText"/>
    <w:uiPriority w:val="99"/>
    <w:semiHidden/>
    <w:rsid w:val="00201A25"/>
  </w:style>
  <w:style w:type="paragraph" w:styleId="CommentSubject">
    <w:name w:val="annotation subject"/>
    <w:basedOn w:val="CommentText"/>
    <w:next w:val="CommentText"/>
    <w:link w:val="CommentSubjectChar"/>
    <w:uiPriority w:val="99"/>
    <w:semiHidden/>
    <w:unhideWhenUsed/>
    <w:rsid w:val="00201A25"/>
    <w:rPr>
      <w:b/>
      <w:bCs/>
    </w:rPr>
  </w:style>
  <w:style w:type="character" w:customStyle="1" w:styleId="CommentSubjectChar">
    <w:name w:val="Comment Subject Char"/>
    <w:basedOn w:val="CommentTextChar"/>
    <w:link w:val="CommentSubject"/>
    <w:uiPriority w:val="99"/>
    <w:semiHidden/>
    <w:rsid w:val="00201A25"/>
    <w:rPr>
      <w:b/>
      <w:bCs/>
    </w:rPr>
  </w:style>
  <w:style w:type="paragraph" w:styleId="BalloonText">
    <w:name w:val="Balloon Text"/>
    <w:basedOn w:val="Normal"/>
    <w:link w:val="BalloonTextChar"/>
    <w:uiPriority w:val="99"/>
    <w:semiHidden/>
    <w:unhideWhenUsed/>
    <w:rsid w:val="00201A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A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doi.org/10.7759/cureus.49655" TargetMode="External"/><Relationship Id="rId39" Type="http://schemas.openxmlformats.org/officeDocument/2006/relationships/hyperlink" Target="https://propio.com/2024/12/02/blog-is-sign-language-universal/" TargetMode="External"/><Relationship Id="rId21" Type="http://schemas.openxmlformats.org/officeDocument/2006/relationships/comments" Target="comments.xml"/><Relationship Id="rId34" Type="http://schemas.openxmlformats.org/officeDocument/2006/relationships/hyperlink" Target="https://doi.org/10.1016/j.visinf.2023.05.004" TargetMode="External"/><Relationship Id="rId42" Type="http://schemas.openxmlformats.org/officeDocument/2006/relationships/hyperlink" Target="https://www.ndcs.org.uk/advice-and-support/language-and-communication/sign-language" TargetMode="External"/><Relationship Id="rId47" Type="http://schemas.openxmlformats.org/officeDocument/2006/relationships/hyperlink" Target="https://ida.gallaudet.edu/cgi/viewcontent.cgi?article=1072&amp;context=honors_capstones" TargetMode="External"/><Relationship Id="rId50" Type="http://schemas.openxmlformats.org/officeDocument/2006/relationships/hyperlink" Target="https://doi.org/10.1016/j.dhjo.2020.100932" TargetMode="External"/><Relationship Id="rId55" Type="http://schemas.openxmlformats.org/officeDocument/2006/relationships/hyperlink" Target="https://doi.org/10.1016/j.nedt.2024.106446" TargetMode="External"/><Relationship Id="rId63" Type="http://schemas.openxmlformats.org/officeDocument/2006/relationships/header" Target="header4.xml"/><Relationship Id="rId68" Type="http://schemas.microsoft.com/office/2011/relationships/people" Target="people.xml"/><Relationship Id="rId7" Type="http://schemas.openxmlformats.org/officeDocument/2006/relationships/header" Target="header2.xml"/><Relationship Id="rId2" Type="http://schemas.openxmlformats.org/officeDocument/2006/relationships/settings" Target="settings.xml"/><Relationship Id="rId20" Type="http://schemas.openxmlformats.org/officeDocument/2006/relationships/image" Target="media/image1.png"/><Relationship Id="rId29" Type="http://schemas.openxmlformats.org/officeDocument/2006/relationships/hyperlink" Target="https://www.herdin.ph/index.php/partner/journal?view=research&amp;cid=83520" TargetMode="External"/><Relationship Id="rId41" Type="http://schemas.openxmlformats.org/officeDocument/2006/relationships/hyperlink" Target="https://doi.org/10.1136/eb-2015-102129" TargetMode="External"/><Relationship Id="rId54" Type="http://schemas.openxmlformats.org/officeDocument/2006/relationships/hyperlink" Target="https://www.tesda.gov.ph/Media/NewsDetail/20277" TargetMode="External"/><Relationship Id="rId62" Type="http://schemas.openxmlformats.org/officeDocument/2006/relationships/hyperlink" Target="https://doi.org/10.1186/s12910-020-00538-7"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doi.org/10.1080/27707571.2023.2192999" TargetMode="External"/><Relationship Id="rId32" Type="http://schemas.openxmlformats.org/officeDocument/2006/relationships/hyperlink" Target="https://www.collinsdictionary.com/dictionary/english/intent" TargetMode="External"/><Relationship Id="rId37" Type="http://schemas.openxmlformats.org/officeDocument/2006/relationships/hyperlink" Target="https://linguistics.upd.edu.ph/tag/filipino-deaf-community/" TargetMode="External"/><Relationship Id="rId40" Type="http://schemas.openxmlformats.org/officeDocument/2006/relationships/hyperlink" Target="https://up.edu.ph/up-med-students-medisign-aims-to-improve-deaf-patients-access-to-health-care/" TargetMode="External"/><Relationship Id="rId45" Type="http://schemas.openxmlformats.org/officeDocument/2006/relationships/hyperlink" Target="https://shop.lww.com/Nursing-Research/p/9781975154144" TargetMode="External"/><Relationship Id="rId53" Type="http://schemas.openxmlformats.org/officeDocument/2006/relationships/hyperlink" Target="https://www.signsolutions.uk.com/sign-languages-role-in-preserving-deaf-culture/" TargetMode="External"/><Relationship Id="rId58" Type="http://schemas.openxmlformats.org/officeDocument/2006/relationships/hyperlink" Target="https://doi.org/10.1006/ceps.1999.1015" TargetMode="External"/><Relationship Id="rId66" Type="http://schemas.openxmlformats.org/officeDocument/2006/relationships/header" Target="header6.xml"/><Relationship Id="rId5" Type="http://schemas.openxmlformats.org/officeDocument/2006/relationships/endnotes" Target="endnotes.xml"/><Relationship Id="rId23" Type="http://schemas.openxmlformats.org/officeDocument/2006/relationships/hyperlink" Target="https://doi.org/10.7861/clinmed.2021-0111" TargetMode="External"/><Relationship Id="rId28" Type="http://schemas.openxmlformats.org/officeDocument/2006/relationships/hyperlink" Target="https://www.psychologytoday.com/us/blog/disconnection-dynamics/202406/how-to-foster-social-inclusion-for-hearing-impaired-persons" TargetMode="External"/><Relationship Id="rId36" Type="http://schemas.openxmlformats.org/officeDocument/2006/relationships/hyperlink" Target="https://doi.org/10.5152/alphapsychiatry.2022.21811" TargetMode="External"/><Relationship Id="rId49" Type="http://schemas.openxmlformats.org/officeDocument/2006/relationships/hyperlink" Target="https://doi.org/10.1080/10903127.2021.1936314" TargetMode="External"/><Relationship Id="rId57" Type="http://schemas.openxmlformats.org/officeDocument/2006/relationships/hyperlink" Target="https://doi.org/10.1111/jan.15478" TargetMode="External"/><Relationship Id="rId61" Type="http://schemas.openxmlformats.org/officeDocument/2006/relationships/hyperlink" Target="https://doi.org/10.1371/journal.pone.0295784" TargetMode="External"/><Relationship Id="rId10" Type="http://schemas.openxmlformats.org/officeDocument/2006/relationships/header" Target="header3.xml"/><Relationship Id="rId31" Type="http://schemas.openxmlformats.org/officeDocument/2006/relationships/hyperlink" Target="https://doi.org/10.1177/08258597231179763" TargetMode="External"/><Relationship Id="rId44" Type="http://schemas.openxmlformats.org/officeDocument/2006/relationships/hyperlink" Target="https://doi.org/10.1186/s12912-025-03610-y" TargetMode="External"/><Relationship Id="rId52" Type="http://schemas.openxmlformats.org/officeDocument/2006/relationships/hyperlink" Target="https://sdeas.benilde.edu.ph/fivefactsaboutfsl/" TargetMode="External"/><Relationship Id="rId60" Type="http://schemas.openxmlformats.org/officeDocument/2006/relationships/hyperlink" Target="https://wfdeaf.org/wp-content/uploads/WFD-Input-to-UNs-Language-Rights-of-Linguistic-Minorities-A-Practical-Guide-for-Implementation.pdf" TargetMode="External"/><Relationship Id="rId65"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footer" Target="footer2.xml"/><Relationship Id="rId22" Type="http://schemas.microsoft.com/office/2011/relationships/commentsExtended" Target="commentsExtended.xml"/><Relationship Id="rId27" Type="http://schemas.openxmlformats.org/officeDocument/2006/relationships/hyperlink" Target="https://www.cobrief.app/resources/legal-glossary/intent-overview-definition-and-example" TargetMode="External"/><Relationship Id="rId30" Type="http://schemas.openxmlformats.org/officeDocument/2006/relationships/hyperlink" Target="https://doi.org/10.1097/ms9.0000000000002637" TargetMode="External"/><Relationship Id="rId35" Type="http://schemas.openxmlformats.org/officeDocument/2006/relationships/hyperlink" Target="https://doi.org/10.22235/ech.v10i2.2419" TargetMode="External"/><Relationship Id="rId43" Type="http://schemas.openxmlformats.org/officeDocument/2006/relationships/hyperlink" Target="https://doi.org/10.1080/17437199.2020.1718529" TargetMode="External"/><Relationship Id="rId48" Type="http://schemas.openxmlformats.org/officeDocument/2006/relationships/hyperlink" Target="https://doi.org/10.1371/journal.pgph.0003535" TargetMode="External"/><Relationship Id="rId56" Type="http://schemas.openxmlformats.org/officeDocument/2006/relationships/hyperlink" Target="https://www.tilburguniversity.edu/research/ethics-review-boards/informed-consent" TargetMode="External"/><Relationship Id="rId64" Type="http://schemas.openxmlformats.org/officeDocument/2006/relationships/header" Target="header5.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ascnhighered.org/ASCN/change_theories/collection/planned_behavior.htmlhe" TargetMode="External"/><Relationship Id="rId3" Type="http://schemas.openxmlformats.org/officeDocument/2006/relationships/webSettings" Target="webSettings.xml"/><Relationship Id="rId25" Type="http://schemas.openxmlformats.org/officeDocument/2006/relationships/hyperlink" Target="https://doi.org/10.47391/jpma.06-861" TargetMode="External"/><Relationship Id="rId33" Type="http://schemas.openxmlformats.org/officeDocument/2006/relationships/hyperlink" Target="https://doi.org/10.1016/j.outlook.2023.101986" TargetMode="External"/><Relationship Id="rId38" Type="http://schemas.openxmlformats.org/officeDocument/2006/relationships/hyperlink" Target="https://doi.org/10.1007/s10648-024-09982-y" TargetMode="External"/><Relationship Id="rId46" Type="http://schemas.openxmlformats.org/officeDocument/2006/relationships/hyperlink" Target="https://www.borgenmagazine.com/improving-deaf-education-in-the-philippines/" TargetMode="External"/><Relationship Id="rId59" Type="http://schemas.openxmlformats.org/officeDocument/2006/relationships/hyperlink" Target="https://www.routledge.com/The-Routledge-Handbook-of-Second-Language-Acquisition-and-Language-Testing/Winke-Brunfaut/p/book/9780367640491" TargetMode="External"/><Relationship Id="rId6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8432</Words>
  <Characters>48069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dr.Huda</dc:creator>
  <cp:lastModifiedBy>Microsoft account</cp:lastModifiedBy>
  <cp:revision>2</cp:revision>
  <dcterms:created xsi:type="dcterms:W3CDTF">2026-03-31T23:17:00Z</dcterms:created>
  <dcterms:modified xsi:type="dcterms:W3CDTF">2026-03-31T23:17:00Z</dcterms:modified>
</cp:coreProperties>
</file>