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0FB9F" w14:textId="7297B2AF" w:rsidR="00452E77" w:rsidRDefault="00452E77" w:rsidP="00452E77">
      <w:pPr>
        <w:pBdr>
          <w:top w:val="nil"/>
          <w:left w:val="nil"/>
          <w:bottom w:val="nil"/>
          <w:right w:val="nil"/>
          <w:between w:val="nil"/>
        </w:pBdr>
        <w:rPr>
          <w:rFonts w:ascii="Arial" w:eastAsia="Arial" w:hAnsi="Arial" w:cs="Arial"/>
          <w:b/>
          <w:bCs/>
          <w:color w:val="000000"/>
          <w:sz w:val="36"/>
          <w:szCs w:val="36"/>
          <w:u w:val="single"/>
        </w:rPr>
      </w:pPr>
      <w:r w:rsidRPr="00452E77">
        <w:rPr>
          <w:rFonts w:ascii="Arial" w:eastAsia="Arial" w:hAnsi="Arial" w:cs="Arial"/>
          <w:b/>
          <w:bCs/>
          <w:color w:val="000000"/>
          <w:sz w:val="36"/>
          <w:szCs w:val="36"/>
          <w:u w:val="single"/>
        </w:rPr>
        <w:t>Original Research Article</w:t>
      </w:r>
    </w:p>
    <w:p w14:paraId="6833A615" w14:textId="77777777" w:rsidR="00452E77" w:rsidRPr="00452E77" w:rsidRDefault="00452E77" w:rsidP="00452E77">
      <w:pPr>
        <w:pBdr>
          <w:top w:val="nil"/>
          <w:left w:val="nil"/>
          <w:bottom w:val="nil"/>
          <w:right w:val="nil"/>
          <w:between w:val="nil"/>
        </w:pBdr>
        <w:rPr>
          <w:rFonts w:ascii="Arial" w:eastAsia="Arial" w:hAnsi="Arial" w:cs="Arial"/>
          <w:b/>
          <w:bCs/>
          <w:color w:val="000000"/>
          <w:sz w:val="36"/>
          <w:szCs w:val="36"/>
          <w:u w:val="single"/>
        </w:rPr>
      </w:pPr>
    </w:p>
    <w:p w14:paraId="38C42C25" w14:textId="72CE8D55" w:rsidR="00E7667D" w:rsidRDefault="002E40EE">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 xml:space="preserve">Role of </w:t>
      </w:r>
      <w:r>
        <w:rPr>
          <w:rFonts w:ascii="Arial" w:eastAsia="Arial" w:hAnsi="Arial" w:cs="Arial"/>
          <w:b/>
          <w:bCs/>
          <w:sz w:val="36"/>
          <w:szCs w:val="36"/>
        </w:rPr>
        <w:t xml:space="preserve">Debriefing on Traumatic Clinical Experience and Anxiety Among Student Nurses: A Mixed Method Study </w:t>
      </w:r>
    </w:p>
    <w:p w14:paraId="58DE6613" w14:textId="77777777" w:rsidR="00E7667D" w:rsidRDefault="00E7667D">
      <w:pPr>
        <w:pBdr>
          <w:top w:val="nil"/>
          <w:left w:val="nil"/>
          <w:bottom w:val="nil"/>
          <w:right w:val="nil"/>
          <w:between w:val="nil"/>
        </w:pBdr>
        <w:jc w:val="right"/>
        <w:rPr>
          <w:rFonts w:ascii="Arial" w:eastAsia="Arial" w:hAnsi="Arial" w:cs="Arial"/>
          <w:b/>
          <w:bCs/>
          <w:sz w:val="16"/>
          <w:szCs w:val="16"/>
        </w:rPr>
      </w:pPr>
    </w:p>
    <w:p w14:paraId="3457997A" w14:textId="290F8E67" w:rsidR="007B2839" w:rsidRDefault="007B2839" w:rsidP="007B2839">
      <w:pPr>
        <w:pBdr>
          <w:top w:val="nil"/>
          <w:left w:val="nil"/>
          <w:bottom w:val="nil"/>
          <w:right w:val="nil"/>
          <w:between w:val="nil"/>
        </w:pBdr>
        <w:jc w:val="right"/>
        <w:rPr>
          <w:rFonts w:ascii="Arial" w:eastAsia="Arial" w:hAnsi="Arial" w:cs="Arial"/>
          <w:color w:val="000000"/>
        </w:rPr>
      </w:pPr>
      <w:r>
        <w:rPr>
          <w:rFonts w:ascii="Arial" w:eastAsia="Arial" w:hAnsi="Arial" w:cs="Arial"/>
          <w:color w:val="000000"/>
        </w:rPr>
        <w:t xml:space="preserve"> </w:t>
      </w:r>
    </w:p>
    <w:p w14:paraId="2DC81D27" w14:textId="77777777" w:rsidR="00E7667D" w:rsidRDefault="00E7667D">
      <w:pPr>
        <w:pBdr>
          <w:top w:val="nil"/>
          <w:left w:val="nil"/>
          <w:bottom w:val="nil"/>
          <w:right w:val="nil"/>
          <w:between w:val="nil"/>
        </w:pBdr>
        <w:jc w:val="both"/>
        <w:rPr>
          <w:rFonts w:ascii="Arial" w:eastAsia="Arial" w:hAnsi="Arial" w:cs="Arial"/>
          <w:color w:val="000000"/>
        </w:rPr>
      </w:pPr>
    </w:p>
    <w:p w14:paraId="711319F6" w14:textId="77777777" w:rsidR="00E7667D" w:rsidRDefault="002E40EE">
      <w:pPr>
        <w:pBdr>
          <w:top w:val="nil"/>
          <w:left w:val="nil"/>
          <w:bottom w:val="nil"/>
          <w:right w:val="nil"/>
          <w:between w:val="nil"/>
        </w:pBdr>
        <w:jc w:val="both"/>
        <w:rPr>
          <w:rFonts w:ascii="Arial" w:eastAsia="Arial" w:hAnsi="Arial" w:cs="Arial"/>
          <w:color w:val="000000"/>
          <w:sz w:val="16"/>
          <w:szCs w:val="16"/>
        </w:rPr>
        <w:sectPr w:rsidR="00E7667D" w:rsidSect="00776D52">
          <w:headerReference w:type="even" r:id="rId6"/>
          <w:headerReference w:type="default" r:id="rId7"/>
          <w:footerReference w:type="even" r:id="rId8"/>
          <w:headerReference w:type="first" r:id="rId9"/>
          <w:footerReference w:type="first" r:id="rId10"/>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bidi="gu-IN"/>
        </w:rPr>
        <mc:AlternateContent>
          <mc:Choice Requires="wpg">
            <w:drawing>
              <wp:inline distT="0" distB="0" distL="114300" distR="114300" wp14:anchorId="6B541059" wp14:editId="13041514">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04D7E66F" w14:textId="77777777" w:rsidR="00E7667D" w:rsidRDefault="002E40E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ABSTRACT</w:t>
      </w:r>
    </w:p>
    <w:p w14:paraId="69AFF1BC" w14:textId="77777777" w:rsidR="00E7667D" w:rsidRDefault="00E7667D">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7667D" w14:paraId="7309FC0F" w14:textId="77777777">
        <w:tc>
          <w:tcPr>
            <w:tcW w:w="8424" w:type="dxa"/>
            <w:shd w:val="clear" w:color="auto" w:fill="F2F2F2"/>
          </w:tcPr>
          <w:p w14:paraId="1DD9A918"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Introduction</w:t>
            </w:r>
          </w:p>
          <w:p w14:paraId="4238B17F" w14:textId="77777777" w:rsidR="00E7667D" w:rsidRDefault="002E40EE">
            <w:pPr>
              <w:pBdr>
                <w:top w:val="nil"/>
                <w:left w:val="nil"/>
                <w:bottom w:val="nil"/>
                <w:right w:val="nil"/>
                <w:between w:val="nil"/>
              </w:pBdr>
              <w:jc w:val="both"/>
              <w:rPr>
                <w:rFonts w:ascii="Arial" w:eastAsia="Arial" w:hAnsi="Arial" w:cs="Arial"/>
              </w:rPr>
            </w:pPr>
            <w:r>
              <w:rPr>
                <w:rFonts w:ascii="Arial" w:eastAsia="Arial" w:hAnsi="Arial" w:cs="Arial"/>
              </w:rPr>
              <w:t xml:space="preserve">There is insufficient to no formal debriefing protocols implemented after distressing clinical experiences in the nursing curricula in the Philippines that could offer adequate mental health support.  This study sought to explore the role of debriefing on traumatic clinical experience and mental health outcomes of student nurses in a private college in Iloilo City. </w:t>
            </w:r>
          </w:p>
          <w:p w14:paraId="13FE1C52"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Methods</w:t>
            </w:r>
          </w:p>
          <w:p w14:paraId="16913EB2" w14:textId="77777777" w:rsidR="00E7667D" w:rsidRDefault="002E40EE">
            <w:pPr>
              <w:pBdr>
                <w:top w:val="nil"/>
                <w:left w:val="nil"/>
                <w:bottom w:val="nil"/>
                <w:right w:val="nil"/>
                <w:between w:val="nil"/>
              </w:pBdr>
              <w:jc w:val="both"/>
              <w:rPr>
                <w:rFonts w:ascii="Arial" w:eastAsia="Arial" w:hAnsi="Arial" w:cs="Arial"/>
              </w:rPr>
            </w:pPr>
            <w:r>
              <w:rPr>
                <w:rFonts w:ascii="Arial" w:eastAsia="Arial" w:hAnsi="Arial" w:cs="Arial"/>
              </w:rPr>
              <w:t xml:space="preserve">A concurrent mixed-methods design was employed. Quantitative data were collected using adopted and researcher-made questionnaires from two hundred seventy-five (275) participants selected through using </w:t>
            </w:r>
            <w:proofErr w:type="spellStart"/>
            <w:r>
              <w:rPr>
                <w:rFonts w:ascii="Arial" w:eastAsia="Arial" w:hAnsi="Arial" w:cs="Arial"/>
              </w:rPr>
              <w:t>Raosoft</w:t>
            </w:r>
            <w:proofErr w:type="spellEnd"/>
            <w:r>
              <w:rPr>
                <w:rFonts w:ascii="Arial" w:eastAsia="Arial" w:hAnsi="Arial" w:cs="Arial"/>
              </w:rPr>
              <w:t xml:space="preserve"> sample size calculator, while qualitative data were gathered through the use of an in-depth interview with seven (7) participants through purposive sampling. Ethical clearance was secured prior to data collection to ensure participant protection and research integrity.</w:t>
            </w:r>
          </w:p>
          <w:p w14:paraId="5D1F0263"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Results</w:t>
            </w:r>
          </w:p>
          <w:p w14:paraId="09AB73FF" w14:textId="77777777" w:rsidR="00E7667D" w:rsidRDefault="002E40EE">
            <w:pPr>
              <w:pBdr>
                <w:top w:val="nil"/>
                <w:left w:val="nil"/>
                <w:bottom w:val="nil"/>
                <w:right w:val="nil"/>
                <w:between w:val="nil"/>
              </w:pBdr>
              <w:jc w:val="both"/>
              <w:rPr>
                <w:rFonts w:ascii="Arial" w:eastAsia="Arial" w:hAnsi="Arial" w:cs="Arial"/>
              </w:rPr>
            </w:pPr>
            <w:r>
              <w:rPr>
                <w:rFonts w:ascii="Arial" w:eastAsia="Arial" w:hAnsi="Arial" w:cs="Arial"/>
              </w:rPr>
              <w:t>The findings revealed that students view debriefing as a valuable instructional tool. These sessions helped them to feel less anxiety and overwhelmed. Statistical analysis indicated that informal debriefing currently does not statistically reduce anxiety scores. Qualitatively, students described debriefing as a valued safe space for emotional release, yet they noted it often lacks formal structure and focuses more on clinical correction than emotional support.</w:t>
            </w:r>
          </w:p>
          <w:p w14:paraId="118DC3EC"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Discussion and Recommendations</w:t>
            </w:r>
          </w:p>
          <w:p w14:paraId="06A1F6C0" w14:textId="77777777" w:rsidR="00E7667D" w:rsidRDefault="002E40EE">
            <w:pPr>
              <w:pBdr>
                <w:top w:val="nil"/>
                <w:left w:val="nil"/>
                <w:bottom w:val="nil"/>
                <w:right w:val="nil"/>
                <w:between w:val="nil"/>
              </w:pBdr>
              <w:jc w:val="both"/>
              <w:rPr>
                <w:rFonts w:ascii="Arial" w:eastAsia="Arial" w:hAnsi="Arial" w:cs="Arial"/>
              </w:rPr>
            </w:pPr>
            <w:r>
              <w:rPr>
                <w:rFonts w:ascii="Arial" w:eastAsia="Arial" w:hAnsi="Arial" w:cs="Arial"/>
              </w:rPr>
              <w:t>​It is concluded that traumatic clinical experiences are a consistent reality for student nurses and have an extreme psychological impact on a significant portion of the population.</w:t>
            </w:r>
          </w:p>
          <w:p w14:paraId="0E83D834" w14:textId="77777777" w:rsidR="00E7667D" w:rsidRDefault="002E40EE">
            <w:pPr>
              <w:pBdr>
                <w:top w:val="nil"/>
                <w:left w:val="nil"/>
                <w:bottom w:val="nil"/>
                <w:right w:val="nil"/>
                <w:between w:val="nil"/>
              </w:pBdr>
              <w:jc w:val="both"/>
              <w:rPr>
                <w:rFonts w:ascii="Arial" w:eastAsia="Arial" w:hAnsi="Arial" w:cs="Arial"/>
              </w:rPr>
            </w:pPr>
            <w:r>
              <w:rPr>
                <w:rFonts w:ascii="Arial" w:eastAsia="Arial" w:hAnsi="Arial" w:cs="Arial"/>
              </w:rPr>
              <w:t>To foster emotional resilience and establish healthy coping strategies, nursing students are advised to participate in structured debriefing and reflective practice. Clinical instructors should prioritize establishing an emotionally safe, supportive environment that empowers students to openly share their distress. Future studies should address the limitations identified in this work—specifically, the single-institution setting and the lack of a statistically significant correlation between debriefing and anxiety—by utilizing longitudinal designs to capture long-term effects.</w:t>
            </w:r>
          </w:p>
        </w:tc>
      </w:tr>
    </w:tbl>
    <w:p w14:paraId="6117BBFD" w14:textId="77777777" w:rsidR="00E7667D" w:rsidRDefault="00E7667D">
      <w:pPr>
        <w:pBdr>
          <w:top w:val="nil"/>
          <w:left w:val="nil"/>
          <w:bottom w:val="nil"/>
          <w:right w:val="nil"/>
          <w:between w:val="nil"/>
        </w:pBdr>
        <w:jc w:val="both"/>
        <w:rPr>
          <w:rFonts w:ascii="Arial" w:eastAsia="Arial" w:hAnsi="Arial" w:cs="Arial"/>
          <w:i/>
          <w:iCs/>
          <w:color w:val="000000"/>
        </w:rPr>
      </w:pPr>
    </w:p>
    <w:p w14:paraId="6693D284" w14:textId="77777777" w:rsidR="00E7667D" w:rsidRDefault="002E40EE">
      <w:pPr>
        <w:jc w:val="both"/>
        <w:rPr>
          <w:rFonts w:ascii="Arial" w:eastAsia="Arial" w:hAnsi="Arial" w:cs="Arial"/>
          <w:i/>
          <w:iCs/>
        </w:rPr>
      </w:pPr>
      <w:r>
        <w:rPr>
          <w:rFonts w:ascii="Arial" w:eastAsia="Arial" w:hAnsi="Arial" w:cs="Arial"/>
          <w:i/>
          <w:iCs/>
        </w:rPr>
        <w:t>Keywords: Traumatic Clinical Experience, Debriefing, Anxiety, Student Nurses</w:t>
      </w:r>
    </w:p>
    <w:p w14:paraId="50000A96" w14:textId="77777777" w:rsidR="00E7667D" w:rsidRDefault="00E7667D">
      <w:pPr>
        <w:pBdr>
          <w:top w:val="nil"/>
          <w:left w:val="nil"/>
          <w:bottom w:val="nil"/>
          <w:right w:val="nil"/>
          <w:between w:val="nil"/>
        </w:pBdr>
        <w:jc w:val="both"/>
        <w:rPr>
          <w:rFonts w:ascii="Arial" w:eastAsia="Arial" w:hAnsi="Arial" w:cs="Arial"/>
          <w:i/>
          <w:iCs/>
          <w:color w:val="000000"/>
          <w:sz w:val="18"/>
          <w:szCs w:val="18"/>
        </w:rPr>
      </w:pPr>
    </w:p>
    <w:p w14:paraId="2CA30744" w14:textId="77777777" w:rsidR="00E7667D" w:rsidRDefault="00E7667D">
      <w:pPr>
        <w:pBdr>
          <w:top w:val="nil"/>
          <w:left w:val="nil"/>
          <w:bottom w:val="nil"/>
          <w:right w:val="nil"/>
          <w:between w:val="nil"/>
        </w:pBdr>
        <w:jc w:val="both"/>
        <w:rPr>
          <w:rFonts w:ascii="Arial" w:eastAsia="Arial" w:hAnsi="Arial" w:cs="Arial"/>
          <w:i/>
          <w:iCs/>
          <w:color w:val="000000"/>
        </w:rPr>
      </w:pPr>
    </w:p>
    <w:p w14:paraId="055A8F54" w14:textId="6AA6EFBE" w:rsidR="00E7667D" w:rsidRDefault="002E40E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7E3931E6" w14:textId="77777777" w:rsidR="00E7667D" w:rsidRDefault="00E7667D">
      <w:pPr>
        <w:keepNext/>
        <w:pBdr>
          <w:top w:val="nil"/>
          <w:left w:val="nil"/>
          <w:bottom w:val="nil"/>
          <w:right w:val="nil"/>
          <w:between w:val="nil"/>
        </w:pBdr>
        <w:jc w:val="both"/>
        <w:rPr>
          <w:rFonts w:ascii="Arial" w:eastAsia="Arial" w:hAnsi="Arial" w:cs="Arial"/>
        </w:rPr>
      </w:pPr>
    </w:p>
    <w:p w14:paraId="733C4115" w14:textId="77777777" w:rsidR="00E7667D" w:rsidRDefault="002E40EE">
      <w:pPr>
        <w:keepNext/>
        <w:pBdr>
          <w:top w:val="nil"/>
          <w:left w:val="nil"/>
          <w:bottom w:val="nil"/>
          <w:right w:val="nil"/>
          <w:between w:val="nil"/>
        </w:pBdr>
        <w:jc w:val="both"/>
        <w:rPr>
          <w:rFonts w:ascii="Arial" w:eastAsia="Arial" w:hAnsi="Arial" w:cs="Arial"/>
        </w:rPr>
      </w:pPr>
      <w:r>
        <w:rPr>
          <w:rFonts w:ascii="Arial" w:eastAsia="Arial" w:hAnsi="Arial" w:cs="Arial"/>
        </w:rPr>
        <w:t xml:space="preserve">There is a lack of mental health support for student nurses after traumatic clinical experiences during Related Learning Experience (RLE) rotations in the Philippines. As part of training, nursing students often encounter critical incidents such as patient deaths, severe injuries, or violence during clinical duties. These encounters, categorized as Traumatic Clinical </w:t>
      </w:r>
      <w:r>
        <w:rPr>
          <w:rFonts w:ascii="Arial" w:eastAsia="Arial" w:hAnsi="Arial" w:cs="Arial"/>
        </w:rPr>
        <w:lastRenderedPageBreak/>
        <w:t>Experiences (TCE), often cause significant psychological distress. When these feelings persist and intensify, anxiety forms a clinical core of more prevalent conditions, most commonly known as Secondary Traumatic Stress (STS) (Oakley et al., 2024). Globally, the transition from classroom theory to clinical practice is recognized as a period of extreme vulnerability. However, in the context of the Philippines, there is an absence of standardized emotional support systems that can help students process these events. This study addresses the critical gap in how these experiences affect the mental health of the students and also investigates the potential role of debriefing as a mitigatory tool.</w:t>
      </w:r>
    </w:p>
    <w:p w14:paraId="6999BEA2" w14:textId="77777777" w:rsidR="00E7667D" w:rsidRDefault="002E40EE">
      <w:pPr>
        <w:spacing w:line="237" w:lineRule="auto"/>
        <w:jc w:val="both"/>
        <w:rPr>
          <w:rFonts w:ascii="Arial" w:eastAsia="Arial" w:hAnsi="Arial" w:cs="Arial"/>
        </w:rPr>
      </w:pPr>
      <w:r>
        <w:rPr>
          <w:rFonts w:ascii="Arial" w:eastAsia="Arial" w:hAnsi="Arial" w:cs="Arial"/>
        </w:rPr>
        <w:t xml:space="preserve">The identified problem is that despite the frequent occurrences of TCE, Philippine nursing students lack structured debriefing support. Stigma often characterizes the expression of emotional distress as a sign of clinical incompetence or weakness, and with that, students usually employ "emotional masking" or the deliberate suppression of feelings in order to maintain a professional facade. </w:t>
      </w:r>
    </w:p>
    <w:p w14:paraId="4A333E5E" w14:textId="77777777" w:rsidR="00E7667D" w:rsidRDefault="002E40EE">
      <w:pPr>
        <w:spacing w:line="237" w:lineRule="auto"/>
        <w:jc w:val="both"/>
        <w:rPr>
          <w:rFonts w:ascii="Arial" w:eastAsia="Arial" w:hAnsi="Arial" w:cs="Arial"/>
        </w:rPr>
      </w:pPr>
      <w:r>
        <w:rPr>
          <w:rFonts w:ascii="Arial" w:eastAsia="Arial" w:hAnsi="Arial" w:cs="Arial"/>
        </w:rPr>
        <w:t>Even though there is a global recognition of debriefing as a best practice in nursing education, its application in the Philippines remains inconsistent. A qualitative meta-synthesis further confirmed that while students strongly desired debriefing, it often did not occur in a formal and guided manner (Cambridge et al., 2023). International studies suggest that debriefing can lower STS and improve clinical learning, however, there is little local literature regarding the specific anxiety-reducing capabilities of debriefing within the Filipino cultural framework of performance pressure and academic grading. Such evaluations are important in aligning nursing education policies with actual clinical demands and the well-being of students.</w:t>
      </w:r>
    </w:p>
    <w:p w14:paraId="2AEC7D1B" w14:textId="77777777" w:rsidR="00E7667D" w:rsidRDefault="002E40EE">
      <w:pPr>
        <w:spacing w:line="237" w:lineRule="auto"/>
        <w:jc w:val="both"/>
        <w:rPr>
          <w:rFonts w:ascii="Arial" w:eastAsia="Arial" w:hAnsi="Arial" w:cs="Arial"/>
        </w:rPr>
      </w:pPr>
      <w:r>
        <w:rPr>
          <w:rFonts w:ascii="Arial" w:eastAsia="Arial" w:hAnsi="Arial" w:cs="Arial"/>
        </w:rPr>
        <w:t>This ambiguity makes it necessary for an investigation, particularly to contribute to broader goals of the promotion of mental health in Sustainable Development Goal 3 and quality education in Sustainable Development Goal 4. This study seeks to examine the role of debriefing in the effects of traumatic clinical experiences on anxiety among student nurses at Iloilo Doctors' College, and it specifically aims to identify the level of traumatic distress, assess the perception of debriefing effectiveness, and explore the lived experiences of students regarding their "professional masks.”</w:t>
      </w:r>
    </w:p>
    <w:p w14:paraId="4D88504C" w14:textId="77777777" w:rsidR="00E7667D" w:rsidRDefault="00E7667D">
      <w:pPr>
        <w:spacing w:line="237" w:lineRule="auto"/>
        <w:jc w:val="both"/>
        <w:rPr>
          <w:rFonts w:ascii="Arial" w:eastAsia="Arial" w:hAnsi="Arial" w:cs="Arial"/>
        </w:rPr>
      </w:pPr>
    </w:p>
    <w:p w14:paraId="017D4523" w14:textId="77777777" w:rsidR="00E7667D" w:rsidRDefault="00E7667D">
      <w:pPr>
        <w:spacing w:line="237" w:lineRule="auto"/>
        <w:jc w:val="both"/>
        <w:rPr>
          <w:rFonts w:ascii="Arial" w:eastAsia="Arial" w:hAnsi="Arial" w:cs="Arial"/>
          <w:b/>
          <w:bCs/>
          <w:sz w:val="22"/>
          <w:szCs w:val="22"/>
        </w:rPr>
      </w:pPr>
    </w:p>
    <w:p w14:paraId="3DD1F4CE" w14:textId="779689E3" w:rsidR="00E7667D" w:rsidRDefault="002E40EE">
      <w:pPr>
        <w:keepNext/>
        <w:jc w:val="both"/>
        <w:rPr>
          <w:rFonts w:ascii="Arial" w:eastAsia="Arial" w:hAnsi="Arial" w:cs="Arial"/>
          <w:b/>
          <w:bCs/>
          <w:smallCaps/>
          <w:sz w:val="22"/>
          <w:szCs w:val="22"/>
        </w:rPr>
      </w:pPr>
      <w:r>
        <w:rPr>
          <w:rFonts w:ascii="Arial" w:eastAsia="Arial" w:hAnsi="Arial" w:cs="Arial"/>
          <w:b/>
          <w:bCs/>
          <w:smallCaps/>
          <w:sz w:val="22"/>
          <w:szCs w:val="22"/>
        </w:rPr>
        <w:t xml:space="preserve">2. methodology </w:t>
      </w:r>
    </w:p>
    <w:p w14:paraId="3AA9594E" w14:textId="77777777" w:rsidR="00E7667D" w:rsidRDefault="00E7667D">
      <w:pPr>
        <w:keepNext/>
        <w:jc w:val="both"/>
        <w:rPr>
          <w:rFonts w:ascii="Arial" w:eastAsia="Arial" w:hAnsi="Arial" w:cs="Arial"/>
          <w:b/>
          <w:bCs/>
          <w:smallCaps/>
          <w:sz w:val="22"/>
          <w:szCs w:val="22"/>
        </w:rPr>
      </w:pPr>
    </w:p>
    <w:p w14:paraId="0DD3DBCE" w14:textId="77777777" w:rsidR="00E7667D" w:rsidRDefault="002E40EE">
      <w:pPr>
        <w:jc w:val="both"/>
        <w:rPr>
          <w:rFonts w:ascii="Arial" w:eastAsia="Arial" w:hAnsi="Arial" w:cs="Arial"/>
          <w:b/>
          <w:bCs/>
        </w:rPr>
      </w:pPr>
      <w:r>
        <w:rPr>
          <w:rFonts w:ascii="Arial" w:eastAsia="Arial" w:hAnsi="Arial" w:cs="Arial"/>
          <w:b/>
          <w:bCs/>
        </w:rPr>
        <w:t>2.1 Research Design</w:t>
      </w:r>
    </w:p>
    <w:p w14:paraId="13A438D8" w14:textId="77777777" w:rsidR="00E7667D" w:rsidRDefault="00E7667D">
      <w:pPr>
        <w:jc w:val="both"/>
        <w:rPr>
          <w:rFonts w:ascii="Arial" w:eastAsia="Arial" w:hAnsi="Arial" w:cs="Arial"/>
        </w:rPr>
      </w:pPr>
    </w:p>
    <w:p w14:paraId="1E256321" w14:textId="77777777" w:rsidR="00E7667D" w:rsidRDefault="002E40EE">
      <w:pPr>
        <w:jc w:val="both"/>
        <w:rPr>
          <w:rFonts w:ascii="Arial" w:eastAsia="Arial" w:hAnsi="Arial" w:cs="Arial"/>
        </w:rPr>
      </w:pPr>
      <w:r>
        <w:rPr>
          <w:rFonts w:ascii="Arial" w:eastAsia="Arial" w:hAnsi="Arial" w:cs="Arial"/>
        </w:rPr>
        <w:t>The researchers employed a concurrent mixed-method design to conduct the study. This approach involved the simultaneous collection and analysis of both quantitative and qualitative data. By using this design, the study was able to quantify the statistical relationship between debriefing, traumatic clinical experiences, and anxiety while concurrently exploring the deep, personal narratives and lived experiences of the nursing students to provide a more comprehensive understanding of the phenomenon.</w:t>
      </w:r>
    </w:p>
    <w:p w14:paraId="1B58A65B" w14:textId="77777777" w:rsidR="00E7667D" w:rsidRDefault="00E7667D">
      <w:pPr>
        <w:jc w:val="both"/>
        <w:rPr>
          <w:rFonts w:ascii="Arial" w:eastAsia="Arial" w:hAnsi="Arial" w:cs="Arial"/>
        </w:rPr>
      </w:pPr>
    </w:p>
    <w:p w14:paraId="32F2C1D5" w14:textId="77777777" w:rsidR="00E7667D" w:rsidRDefault="002E40EE">
      <w:pPr>
        <w:jc w:val="both"/>
        <w:rPr>
          <w:rFonts w:ascii="Arial" w:eastAsia="Arial" w:hAnsi="Arial" w:cs="Arial"/>
          <w:b/>
          <w:bCs/>
        </w:rPr>
      </w:pPr>
      <w:r>
        <w:rPr>
          <w:rFonts w:ascii="Arial" w:eastAsia="Arial" w:hAnsi="Arial" w:cs="Arial"/>
          <w:b/>
          <w:bCs/>
        </w:rPr>
        <w:t>2.2 Research Instrument</w:t>
      </w:r>
    </w:p>
    <w:p w14:paraId="2602DAE0" w14:textId="77777777" w:rsidR="00E7667D" w:rsidRDefault="00E7667D">
      <w:pPr>
        <w:jc w:val="both"/>
        <w:rPr>
          <w:rFonts w:ascii="Arial" w:eastAsia="Arial" w:hAnsi="Arial" w:cs="Arial"/>
        </w:rPr>
      </w:pPr>
    </w:p>
    <w:p w14:paraId="56939CB0" w14:textId="77777777" w:rsidR="00E7667D" w:rsidRDefault="002E40EE">
      <w:pPr>
        <w:jc w:val="both"/>
        <w:rPr>
          <w:rFonts w:ascii="Arial" w:eastAsia="Arial" w:hAnsi="Arial" w:cs="Arial"/>
        </w:rPr>
      </w:pPr>
      <w:r>
        <w:rPr>
          <w:rFonts w:ascii="Arial" w:eastAsia="Arial" w:hAnsi="Arial" w:cs="Arial"/>
        </w:rPr>
        <w:t>The study utilized several instruments to gather data across both phases. For the quantitative portion, the Impact of Event Scale-Revised (IES-R) was used to measure the psychological impact of traumatic clinical events, and the Generalized Anxiety Disorder-7 (GAD-7) was used to assess anxiety levels. Additionally, a researcher-made Level of Debriefing Questionnaire was implemented to evaluate the quality of debriefing received. For the qualitative phase, a semi-structured interview guide was developed to facilitate in-depth discussions regarding the students' emotional processing and clinical encounters.</w:t>
      </w:r>
    </w:p>
    <w:p w14:paraId="77EEF98E" w14:textId="77777777" w:rsidR="00E7667D" w:rsidRDefault="00E7667D">
      <w:pPr>
        <w:jc w:val="both"/>
        <w:rPr>
          <w:rFonts w:ascii="Arial" w:eastAsia="Arial" w:hAnsi="Arial" w:cs="Arial"/>
        </w:rPr>
      </w:pPr>
    </w:p>
    <w:p w14:paraId="25E8B2D3" w14:textId="77777777" w:rsidR="00E7667D" w:rsidRDefault="002E40EE">
      <w:pPr>
        <w:jc w:val="both"/>
        <w:rPr>
          <w:rFonts w:ascii="Arial" w:eastAsia="Arial" w:hAnsi="Arial" w:cs="Arial"/>
          <w:b/>
          <w:bCs/>
        </w:rPr>
      </w:pPr>
      <w:r>
        <w:rPr>
          <w:rFonts w:ascii="Arial" w:eastAsia="Arial" w:hAnsi="Arial" w:cs="Arial"/>
          <w:b/>
          <w:bCs/>
        </w:rPr>
        <w:t>2.3 Participants</w:t>
      </w:r>
    </w:p>
    <w:p w14:paraId="6B211467" w14:textId="77777777" w:rsidR="00E7667D" w:rsidRDefault="00E7667D">
      <w:pPr>
        <w:jc w:val="both"/>
        <w:rPr>
          <w:rFonts w:ascii="Arial" w:eastAsia="Arial" w:hAnsi="Arial" w:cs="Arial"/>
        </w:rPr>
      </w:pPr>
    </w:p>
    <w:p w14:paraId="6F18A5C2" w14:textId="77777777" w:rsidR="00E7667D" w:rsidRDefault="002E40EE">
      <w:pPr>
        <w:jc w:val="both"/>
        <w:rPr>
          <w:rFonts w:ascii="Arial" w:eastAsia="Arial" w:hAnsi="Arial" w:cs="Arial"/>
        </w:rPr>
      </w:pPr>
      <w:r>
        <w:rPr>
          <w:rFonts w:ascii="Arial" w:eastAsia="Arial" w:hAnsi="Arial" w:cs="Arial"/>
        </w:rPr>
        <w:lastRenderedPageBreak/>
        <w:t xml:space="preserve">The participants were divided into two groups corresponding to the mixed-method approach. The quantitative phase included 275 third-year and fourth-year nursing students, selected via stratified random sampling using the </w:t>
      </w:r>
      <w:proofErr w:type="spellStart"/>
      <w:r>
        <w:rPr>
          <w:rFonts w:ascii="Arial" w:eastAsia="Arial" w:hAnsi="Arial" w:cs="Arial"/>
        </w:rPr>
        <w:t>Raosoft</w:t>
      </w:r>
      <w:proofErr w:type="spellEnd"/>
      <w:r>
        <w:rPr>
          <w:rFonts w:ascii="Arial" w:eastAsia="Arial" w:hAnsi="Arial" w:cs="Arial"/>
        </w:rPr>
        <w:t xml:space="preserve"> sample size calculator. The qualitative phase involved 7 participants chosen through purposive sampling, specifically targeting those who had encountered significant traumatic experiences during their related learning experiences (RLE) and were willing to share their stories.</w:t>
      </w:r>
    </w:p>
    <w:p w14:paraId="1F9BE483" w14:textId="77777777" w:rsidR="00E7667D" w:rsidRDefault="00E7667D">
      <w:pPr>
        <w:jc w:val="both"/>
        <w:rPr>
          <w:rFonts w:ascii="Arial" w:eastAsia="Arial" w:hAnsi="Arial" w:cs="Arial"/>
        </w:rPr>
      </w:pPr>
    </w:p>
    <w:p w14:paraId="3A9A31C2" w14:textId="77777777" w:rsidR="00E7667D" w:rsidRDefault="002E40EE">
      <w:pPr>
        <w:jc w:val="both"/>
        <w:rPr>
          <w:rFonts w:ascii="Arial" w:eastAsia="Arial" w:hAnsi="Arial" w:cs="Arial"/>
          <w:b/>
          <w:bCs/>
        </w:rPr>
      </w:pPr>
      <w:r>
        <w:rPr>
          <w:rFonts w:ascii="Arial" w:eastAsia="Arial" w:hAnsi="Arial" w:cs="Arial"/>
          <w:b/>
          <w:bCs/>
        </w:rPr>
        <w:t>2.4 Research Setting</w:t>
      </w:r>
    </w:p>
    <w:p w14:paraId="4873B3D8" w14:textId="77777777" w:rsidR="00E7667D" w:rsidRDefault="00E7667D">
      <w:pPr>
        <w:jc w:val="both"/>
        <w:rPr>
          <w:rFonts w:ascii="Arial" w:eastAsia="Arial" w:hAnsi="Arial" w:cs="Arial"/>
        </w:rPr>
      </w:pPr>
    </w:p>
    <w:p w14:paraId="19C7538B" w14:textId="77777777" w:rsidR="00E7667D" w:rsidRDefault="002E40EE">
      <w:pPr>
        <w:jc w:val="both"/>
        <w:rPr>
          <w:rFonts w:ascii="Arial" w:eastAsia="Arial" w:hAnsi="Arial" w:cs="Arial"/>
        </w:rPr>
      </w:pPr>
      <w:r>
        <w:rPr>
          <w:rFonts w:ascii="Arial" w:eastAsia="Arial" w:hAnsi="Arial" w:cs="Arial"/>
        </w:rPr>
        <w:t>The research was conducted at Iloilo Doctors’ College, specifically within the College of Nursing in Iloilo City, Philippines. The data collection occurred during the second semester of the 2025-2026 academic year, focusing on students who rotate through various affiliated hospitals and clinical areas.</w:t>
      </w:r>
    </w:p>
    <w:p w14:paraId="0EDCA875" w14:textId="77777777" w:rsidR="00E7667D" w:rsidRDefault="00E7667D">
      <w:pPr>
        <w:jc w:val="both"/>
        <w:rPr>
          <w:rFonts w:ascii="Arial" w:eastAsia="Arial" w:hAnsi="Arial" w:cs="Arial"/>
        </w:rPr>
      </w:pPr>
    </w:p>
    <w:p w14:paraId="42374361" w14:textId="77777777" w:rsidR="00E7667D" w:rsidRDefault="002E40EE">
      <w:pPr>
        <w:jc w:val="both"/>
        <w:rPr>
          <w:rFonts w:ascii="Arial" w:eastAsia="Arial" w:hAnsi="Arial" w:cs="Arial"/>
          <w:b/>
          <w:bCs/>
        </w:rPr>
      </w:pPr>
      <w:r>
        <w:rPr>
          <w:rFonts w:ascii="Arial" w:eastAsia="Arial" w:hAnsi="Arial" w:cs="Arial"/>
          <w:b/>
          <w:bCs/>
        </w:rPr>
        <w:t>2.5 Data Gathering Procedure</w:t>
      </w:r>
    </w:p>
    <w:p w14:paraId="5D20C6E3" w14:textId="77777777" w:rsidR="00E7667D" w:rsidRDefault="00E7667D">
      <w:pPr>
        <w:jc w:val="both"/>
        <w:rPr>
          <w:rFonts w:ascii="Arial" w:eastAsia="Arial" w:hAnsi="Arial" w:cs="Arial"/>
        </w:rPr>
      </w:pPr>
    </w:p>
    <w:p w14:paraId="4D7AECD2" w14:textId="77777777" w:rsidR="00E7667D" w:rsidRDefault="002E40EE">
      <w:pPr>
        <w:jc w:val="both"/>
        <w:rPr>
          <w:rFonts w:ascii="Arial" w:eastAsia="Arial" w:hAnsi="Arial" w:cs="Arial"/>
        </w:rPr>
      </w:pPr>
      <w:r>
        <w:rPr>
          <w:rFonts w:ascii="Arial" w:eastAsia="Arial" w:hAnsi="Arial" w:cs="Arial"/>
        </w:rPr>
        <w:t>The process began with securing ethical clearance and administrative approval from the Dean of the College of Nursing. For the quantitative data, a link to an online survey platform was distributed to the students, where they first provided informed consent before completing the demographic profile and standardized questionnaires. For the qualitative data, the researchers conducted one-on-one semi-structured interviews. These sessions were audio-recorded, lasted between 45 to 60 minutes, and were later transcribed for detailed analysis.</w:t>
      </w:r>
    </w:p>
    <w:p w14:paraId="7FDC25E0" w14:textId="77777777" w:rsidR="00E7667D" w:rsidRDefault="00E7667D">
      <w:pPr>
        <w:jc w:val="both"/>
        <w:rPr>
          <w:rFonts w:ascii="Arial" w:eastAsia="Arial" w:hAnsi="Arial" w:cs="Arial"/>
        </w:rPr>
      </w:pPr>
    </w:p>
    <w:p w14:paraId="3BA610AA" w14:textId="77777777" w:rsidR="00E7667D" w:rsidRDefault="002E40EE">
      <w:pPr>
        <w:jc w:val="both"/>
        <w:rPr>
          <w:rFonts w:ascii="Arial" w:eastAsia="Arial" w:hAnsi="Arial" w:cs="Arial"/>
          <w:b/>
          <w:bCs/>
        </w:rPr>
      </w:pPr>
      <w:r>
        <w:rPr>
          <w:rFonts w:ascii="Arial" w:eastAsia="Arial" w:hAnsi="Arial" w:cs="Arial"/>
          <w:b/>
          <w:bCs/>
        </w:rPr>
        <w:t>2.6 Data Analysis</w:t>
      </w:r>
    </w:p>
    <w:p w14:paraId="6CDA2132" w14:textId="77777777" w:rsidR="00E7667D" w:rsidRDefault="00E7667D">
      <w:pPr>
        <w:jc w:val="both"/>
        <w:rPr>
          <w:rFonts w:ascii="Arial" w:eastAsia="Arial" w:hAnsi="Arial" w:cs="Arial"/>
        </w:rPr>
      </w:pPr>
    </w:p>
    <w:p w14:paraId="07387A65" w14:textId="77777777" w:rsidR="00E7667D" w:rsidRDefault="002E40EE">
      <w:pPr>
        <w:jc w:val="both"/>
        <w:rPr>
          <w:rFonts w:ascii="Arial" w:eastAsia="Arial" w:hAnsi="Arial" w:cs="Arial"/>
        </w:rPr>
      </w:pPr>
      <w:r>
        <w:rPr>
          <w:rFonts w:ascii="Arial" w:eastAsia="Arial" w:hAnsi="Arial" w:cs="Arial"/>
        </w:rPr>
        <w:t>Quantitative data were analyzed using SPSS, employing descriptive statistics such as mean and frequency to describe the levels of trauma and anxiety. The Kolmogorov-Smirnov test was used to check for normality, and Spearman’s rho was applied to determine the correlations between the variables. Qualitative data underwent a six-step systematic thematic analysis to identify recurring codes and themes. Finally, the findings from both methods were integrated using a joint display to compare and contrast the statistical results with the qualitative narratives.</w:t>
      </w:r>
    </w:p>
    <w:p w14:paraId="1CBC38A7" w14:textId="77777777" w:rsidR="00E7667D" w:rsidRDefault="00E7667D">
      <w:pPr>
        <w:jc w:val="both"/>
        <w:rPr>
          <w:rFonts w:ascii="Arial" w:eastAsia="Arial" w:hAnsi="Arial" w:cs="Arial"/>
        </w:rPr>
      </w:pPr>
    </w:p>
    <w:p w14:paraId="7BD62ED7" w14:textId="77777777" w:rsidR="00E7667D" w:rsidRDefault="002E40EE">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3. results and discussion</w:t>
      </w:r>
    </w:p>
    <w:p w14:paraId="62CFD594" w14:textId="77777777" w:rsidR="00E7667D" w:rsidRDefault="00E7667D">
      <w:pPr>
        <w:keepNext/>
        <w:pBdr>
          <w:top w:val="nil"/>
          <w:left w:val="nil"/>
          <w:bottom w:val="nil"/>
          <w:right w:val="nil"/>
          <w:between w:val="nil"/>
        </w:pBdr>
        <w:jc w:val="both"/>
        <w:rPr>
          <w:rFonts w:ascii="Arial" w:eastAsia="Arial" w:hAnsi="Arial" w:cs="Arial"/>
          <w:b/>
          <w:bCs/>
          <w:smallCaps/>
          <w:color w:val="000000"/>
          <w:sz w:val="22"/>
          <w:szCs w:val="22"/>
        </w:rPr>
      </w:pPr>
    </w:p>
    <w:p w14:paraId="5A41891F" w14:textId="77777777" w:rsidR="00E7667D" w:rsidRDefault="002E40EE">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3.1 Quantitative Interpretation of the Results </w:t>
      </w:r>
    </w:p>
    <w:p w14:paraId="1F365BDB" w14:textId="77777777" w:rsidR="00E7667D" w:rsidRDefault="00E7667D">
      <w:pPr>
        <w:pBdr>
          <w:top w:val="nil"/>
          <w:left w:val="nil"/>
          <w:bottom w:val="nil"/>
          <w:right w:val="nil"/>
          <w:between w:val="nil"/>
        </w:pBdr>
        <w:jc w:val="both"/>
        <w:rPr>
          <w:rFonts w:ascii="Arial" w:eastAsia="Arial" w:hAnsi="Arial" w:cs="Arial"/>
          <w:b/>
          <w:bCs/>
        </w:rPr>
      </w:pPr>
    </w:p>
    <w:p w14:paraId="036EA220"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3.1.1 Profile of the respondents</w:t>
      </w:r>
    </w:p>
    <w:p w14:paraId="464E56A1" w14:textId="77777777" w:rsidR="00E7667D" w:rsidRDefault="00E7667D">
      <w:pPr>
        <w:jc w:val="both"/>
        <w:rPr>
          <w:rFonts w:ascii="Arial" w:eastAsia="Arial" w:hAnsi="Arial" w:cs="Arial"/>
        </w:rPr>
      </w:pPr>
    </w:p>
    <w:p w14:paraId="465E3063" w14:textId="77777777" w:rsidR="00E7667D" w:rsidRDefault="002E40EE">
      <w:pPr>
        <w:jc w:val="both"/>
        <w:rPr>
          <w:rFonts w:ascii="Arial" w:eastAsia="Arial" w:hAnsi="Arial" w:cs="Arial"/>
        </w:rPr>
      </w:pPr>
      <w:r>
        <w:rPr>
          <w:rFonts w:ascii="Arial" w:eastAsia="Arial" w:hAnsi="Arial" w:cs="Arial"/>
        </w:rPr>
        <w:t>More than half of the student nurses were 21 years old and below (56.7%) and almost half of them were 22 years old and above. The majority of them as respondents of the study were female (80.40%) and several were male (19.6%). More students were at year level 4 (53.8%) and several of them were at year level 3 (46.2%).</w:t>
      </w:r>
    </w:p>
    <w:p w14:paraId="26730DE6" w14:textId="77777777" w:rsidR="00E7667D" w:rsidRDefault="00E7667D">
      <w:pPr>
        <w:pBdr>
          <w:top w:val="nil"/>
          <w:left w:val="nil"/>
          <w:bottom w:val="nil"/>
          <w:right w:val="nil"/>
          <w:between w:val="nil"/>
        </w:pBdr>
        <w:jc w:val="both"/>
        <w:rPr>
          <w:rFonts w:ascii="Arial" w:eastAsia="Arial" w:hAnsi="Arial" w:cs="Arial"/>
        </w:rPr>
      </w:pPr>
    </w:p>
    <w:p w14:paraId="26E8F26B"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3.1.2 Level of Traumatic Clinical Experience among Respondents</w:t>
      </w:r>
    </w:p>
    <w:p w14:paraId="51A8BFBF" w14:textId="77777777" w:rsidR="00E7667D" w:rsidRDefault="00E7667D">
      <w:pPr>
        <w:pBdr>
          <w:top w:val="nil"/>
          <w:left w:val="nil"/>
          <w:bottom w:val="nil"/>
          <w:right w:val="nil"/>
          <w:between w:val="nil"/>
        </w:pBdr>
        <w:jc w:val="both"/>
        <w:rPr>
          <w:rFonts w:ascii="Arial" w:eastAsia="Arial" w:hAnsi="Arial" w:cs="Arial"/>
          <w:b/>
          <w:bCs/>
        </w:rPr>
      </w:pPr>
    </w:p>
    <w:p w14:paraId="51D0EA29" w14:textId="77777777" w:rsidR="00E7667D" w:rsidRDefault="002E40EE">
      <w:pPr>
        <w:jc w:val="both"/>
        <w:rPr>
          <w:rFonts w:ascii="Arial" w:eastAsia="Arial" w:hAnsi="Arial" w:cs="Arial"/>
        </w:rPr>
      </w:pPr>
      <w:r>
        <w:t xml:space="preserve"> </w:t>
      </w:r>
      <w:r>
        <w:rPr>
          <w:rFonts w:ascii="Arial" w:eastAsia="Arial" w:hAnsi="Arial" w:cs="Arial"/>
        </w:rPr>
        <w:t>The overall mean of 1.44 is at the upper limit of the clinically significant distress range and is only 0.06 points away from the probable threshold. This suggested that the student population as a whole was going toward a probable diagnosis. Distress was not balanced across all of the symptoms and it was rather driven by high levels of cognitive and emotional suppression.</w:t>
      </w:r>
    </w:p>
    <w:p w14:paraId="56B416B0" w14:textId="77777777" w:rsidR="00E7667D" w:rsidRDefault="00E7667D">
      <w:pPr>
        <w:jc w:val="both"/>
        <w:rPr>
          <w:rFonts w:ascii="Arial" w:eastAsia="Arial" w:hAnsi="Arial" w:cs="Arial"/>
        </w:rPr>
      </w:pPr>
    </w:p>
    <w:p w14:paraId="55D73813" w14:textId="77777777" w:rsidR="00E7667D" w:rsidRDefault="002E40EE">
      <w:pPr>
        <w:jc w:val="both"/>
        <w:rPr>
          <w:rFonts w:ascii="Arial" w:eastAsia="Arial" w:hAnsi="Arial" w:cs="Arial"/>
        </w:rPr>
      </w:pPr>
      <w:r>
        <w:rPr>
          <w:rFonts w:ascii="Arial" w:eastAsia="Arial" w:hAnsi="Arial" w:cs="Arial"/>
        </w:rPr>
        <w:t xml:space="preserve">In the subscale of Intrusion, the students demonstrated a clinically significant to probable level of mental disturbance (M=1.39). The involuntary recurrence of thoughts regarding clinical </w:t>
      </w:r>
      <w:r>
        <w:rPr>
          <w:rFonts w:ascii="Arial" w:eastAsia="Arial" w:hAnsi="Arial" w:cs="Arial"/>
        </w:rPr>
        <w:lastRenderedPageBreak/>
        <w:t xml:space="preserve">events have a mean of 1.65, an extreme score that highlights the inability of students to compartmentalize their trauma during off-duty hours. Visual intrusions or pictures popping into the mind (M=1.56) and the revival of emotions through environmental stimuli (M=1.55) both indicated a probable traumatic impact. General preoccupation with the event (M=1.54) further supported this trend. Conversely, symptoms such as difficulty maintaining sleep, the sensation of reliving the event, and sudden waves of intense emotion all scored 1.28, which, while remaining clinically significant, suggested that these students were slightly more resilient to the re-experiencing of trauma than they were to avoidant behaviors. The lowest score in this study </w:t>
      </w:r>
      <w:proofErr w:type="gramStart"/>
      <w:r>
        <w:rPr>
          <w:rFonts w:ascii="Arial" w:eastAsia="Arial" w:hAnsi="Arial" w:cs="Arial"/>
        </w:rPr>
        <w:t>is  having</w:t>
      </w:r>
      <w:proofErr w:type="gramEnd"/>
      <w:r>
        <w:rPr>
          <w:rFonts w:ascii="Arial" w:eastAsia="Arial" w:hAnsi="Arial" w:cs="Arial"/>
        </w:rPr>
        <w:t xml:space="preserve"> dreams about the experience (M=1.01), which was categorized as low, indicating that the trauma occurred more in conscious thought interference than through sleep disturbances.   </w:t>
      </w:r>
    </w:p>
    <w:p w14:paraId="3C8F1E73" w14:textId="77777777" w:rsidR="00E7667D" w:rsidRDefault="00E7667D">
      <w:pPr>
        <w:jc w:val="both"/>
        <w:rPr>
          <w:rFonts w:ascii="Arial" w:eastAsia="Arial" w:hAnsi="Arial" w:cs="Arial"/>
        </w:rPr>
      </w:pPr>
    </w:p>
    <w:p w14:paraId="598FEAAE" w14:textId="77777777" w:rsidR="00E7667D" w:rsidRDefault="002E40EE">
      <w:pPr>
        <w:jc w:val="both"/>
        <w:rPr>
          <w:rFonts w:ascii="Arial" w:eastAsia="Arial" w:hAnsi="Arial" w:cs="Arial"/>
        </w:rPr>
      </w:pPr>
      <w:r>
        <w:rPr>
          <w:rFonts w:ascii="Arial" w:eastAsia="Arial" w:hAnsi="Arial" w:cs="Arial"/>
        </w:rPr>
        <w:t>The data revealed that the most prominent psychological response among level 3 and level 4 student nurses was rooted in Avoidance, with several indicators reaching severe distress (M=1.64). The highest recorded mean of 1.89 refers to the intentional suppression of emotional distress when faced with reminders of a clinical event (M= 1.84), meaning that there is a persistent effort to avoid thinking about the experience. A mean score of 1.68 reflected hesitation to verbalize or discuss the event. These findings impose that there is a defensive mechanism where students prioritized surviving functionally over emotional processing. Furthermore, the data confirmed an awareness of unresolved feelings with a failure to address them (M= 1.61) while the scores of 1.60 and 1.58 regarding the removal of memories and the avoidance of physical reminders were into the probable category, indicating a high level of behavioral and cognitive distancing. Even the lower scores in this domain, such as the feeling of numbness (M=1.48) and the sense of unreality or denial (M=1.47), stayed clinically significant, pointing toward a state of emotional detachment.</w:t>
      </w:r>
      <w:r>
        <w:rPr>
          <w:rFonts w:ascii="Arial" w:eastAsia="Arial" w:hAnsi="Arial" w:cs="Arial"/>
        </w:rPr>
        <w:tab/>
      </w:r>
    </w:p>
    <w:p w14:paraId="012B0B4D" w14:textId="77777777" w:rsidR="00E7667D" w:rsidRDefault="002E40EE">
      <w:pPr>
        <w:jc w:val="both"/>
        <w:rPr>
          <w:rFonts w:ascii="Arial" w:eastAsia="Arial" w:hAnsi="Arial" w:cs="Arial"/>
        </w:rPr>
      </w:pPr>
      <w:r>
        <w:rPr>
          <w:rFonts w:ascii="Arial" w:eastAsia="Arial" w:hAnsi="Arial" w:cs="Arial"/>
        </w:rPr>
        <w:t xml:space="preserve"> </w:t>
      </w:r>
    </w:p>
    <w:p w14:paraId="6B5D46A3" w14:textId="77777777" w:rsidR="00E7667D" w:rsidRDefault="002E40EE">
      <w:pPr>
        <w:jc w:val="both"/>
        <w:rPr>
          <w:rFonts w:ascii="Arial" w:eastAsia="Arial" w:hAnsi="Arial" w:cs="Arial"/>
        </w:rPr>
      </w:pPr>
      <w:r>
        <w:rPr>
          <w:rFonts w:ascii="Arial" w:eastAsia="Arial" w:hAnsi="Arial" w:cs="Arial"/>
        </w:rPr>
        <w:t xml:space="preserve">The Hyperarousal domain reflected a consistent clinically significant impact on the students' daily physiological state (M=1.22). The most critical issue was the difficulty in concentrating (M=1.31). This was supported by difficulty falling asleep (M=1.28) and feelings of irritability or anger (M=1.27), which suggest a strained emotional regulation system. The students also reported feeling watchful and on-guard (M=1.21) and being easily startled (M=1.19), which reflected a high-stress environment. Finally, the physiological effect of trauma, such as sweating or difficulty breathing when reminded of an event, has a mean of 1.09. Although this was the lowest score in this domain, it is still at the threshold of being clinically significant, confirming that the traumatic experiences of these student nurses were sufficient to trigger involuntary responses.   </w:t>
      </w:r>
    </w:p>
    <w:p w14:paraId="746BC7DC" w14:textId="77777777" w:rsidR="00E7667D" w:rsidRDefault="00E7667D">
      <w:pPr>
        <w:jc w:val="both"/>
        <w:rPr>
          <w:rFonts w:ascii="Arial" w:eastAsia="Arial" w:hAnsi="Arial" w:cs="Arial"/>
        </w:rPr>
      </w:pPr>
    </w:p>
    <w:p w14:paraId="65DF36D5" w14:textId="77777777" w:rsidR="00E7667D" w:rsidRDefault="002E40EE">
      <w:pPr>
        <w:jc w:val="both"/>
        <w:rPr>
          <w:rFonts w:ascii="Arial" w:eastAsia="Arial" w:hAnsi="Arial" w:cs="Arial"/>
        </w:rPr>
      </w:pPr>
      <w:r>
        <w:rPr>
          <w:rFonts w:ascii="Arial" w:eastAsia="Arial" w:hAnsi="Arial" w:cs="Arial"/>
        </w:rPr>
        <w:t>These findings were consistent with research with Beck (2011), who, in a systematic review of secondary traumatic stress (STS) among nurses, reported that exposure to patients’ traumatic experiences may result in symptoms parallel to post-traumatic stress disorder, particularly intrusion, avoidance, and arousal. Although the review did not designate avoidance as the predominant coping mechanism, it identified it as a core symptom cluster of STS. Trauma theory further suggested that when distress remains insufficiently processed, intrusive recollections and heightened arousal may persist beyond the clinical environment. Consequently, students may demonstrate professional functioning while also experiencing internal psychological stress.</w:t>
      </w:r>
    </w:p>
    <w:p w14:paraId="3F478995" w14:textId="77777777" w:rsidR="00E7667D" w:rsidRDefault="00E7667D">
      <w:pPr>
        <w:pBdr>
          <w:top w:val="nil"/>
          <w:left w:val="nil"/>
          <w:bottom w:val="nil"/>
          <w:right w:val="nil"/>
          <w:between w:val="nil"/>
        </w:pBdr>
        <w:jc w:val="both"/>
        <w:rPr>
          <w:rFonts w:ascii="Arial" w:eastAsia="Arial" w:hAnsi="Arial" w:cs="Arial"/>
        </w:rPr>
      </w:pPr>
    </w:p>
    <w:p w14:paraId="3675EACD" w14:textId="77777777" w:rsidR="00E7667D" w:rsidRDefault="002E40EE">
      <w:pPr>
        <w:pBdr>
          <w:top w:val="nil"/>
          <w:left w:val="nil"/>
          <w:bottom w:val="nil"/>
          <w:right w:val="nil"/>
          <w:between w:val="nil"/>
        </w:pBdr>
        <w:jc w:val="both"/>
        <w:rPr>
          <w:rFonts w:ascii="Arial" w:eastAsia="Arial" w:hAnsi="Arial" w:cs="Arial"/>
          <w:color w:val="000000"/>
        </w:rPr>
      </w:pPr>
      <w:commentRangeStart w:id="0"/>
      <w:r>
        <w:rPr>
          <w:rFonts w:ascii="Arial" w:eastAsia="Arial" w:hAnsi="Arial" w:cs="Arial"/>
          <w:color w:val="000000"/>
        </w:rPr>
        <w:t>The discussion should not repeat the results, but provide detailed interpretation of data. This should interpret the significance of the findings of the work. Citations should be given in support of the findings. The results and discussion part can also be described as separate, if appropriate.</w:t>
      </w:r>
      <w:commentRangeEnd w:id="0"/>
      <w:r w:rsidR="00977C6F">
        <w:rPr>
          <w:rStyle w:val="CommentReference"/>
        </w:rPr>
        <w:commentReference w:id="0"/>
      </w:r>
    </w:p>
    <w:p w14:paraId="64BD93DC" w14:textId="77777777" w:rsidR="00E7667D" w:rsidRDefault="00E7667D">
      <w:pPr>
        <w:pBdr>
          <w:top w:val="nil"/>
          <w:left w:val="nil"/>
          <w:bottom w:val="nil"/>
          <w:right w:val="nil"/>
          <w:between w:val="nil"/>
        </w:pBdr>
        <w:jc w:val="both"/>
        <w:rPr>
          <w:rFonts w:ascii="Arial" w:eastAsia="Arial" w:hAnsi="Arial" w:cs="Arial"/>
        </w:rPr>
      </w:pPr>
    </w:p>
    <w:p w14:paraId="57DE5382" w14:textId="77777777" w:rsidR="00E7667D" w:rsidRDefault="002E40EE">
      <w:pPr>
        <w:jc w:val="both"/>
        <w:rPr>
          <w:rFonts w:ascii="Arial" w:eastAsia="Arial" w:hAnsi="Arial" w:cs="Arial"/>
        </w:rPr>
      </w:pPr>
      <w:r>
        <w:rPr>
          <w:rFonts w:ascii="Arial" w:eastAsia="Arial" w:hAnsi="Arial" w:cs="Arial"/>
        </w:rPr>
        <w:lastRenderedPageBreak/>
        <w:t>In table 2b, the assessment of traumatic clinical experiences among student nurses revealed a significantly polarized profile, characterized by a substantial majority (61.90%) who fell within clinical concern. Evidently, the most populated set consisted of those experiencing extreme distress (40.40%), indicating that nearly half of the population was undergoing psychological stress severe enough to potentially impair both personal health and professional development. When combined with one-fifth of the sample having clinically significant (13.50%) and probable (8.00%) distress, the data suggested that traumatic impact is an issue within the clinical learning environment. Conversely, about two-fifths (38.20%) of the students reported low symptoms, suggesting a disparity in how students process clinical stressors. Extreme distress was the most frequent for many students, indicating that clinical rotations have transitioned from routine academic challenges into traumatic experiences. This high concentration of severe scores revealed a need for institutional support and trauma-informed mental health interventions. These findings aligned with the study of Beck et al. (2017), where neonatal intensive care unit nurses, which found that a substantial proportion of doctors experienced moderate to severe secondary traumatic stress, demonstrating that intense exposure in clinical environments can lead to psychological strain.</w:t>
      </w:r>
    </w:p>
    <w:p w14:paraId="07369459" w14:textId="77777777" w:rsidR="00E7667D" w:rsidRDefault="00E7667D">
      <w:pPr>
        <w:jc w:val="both"/>
        <w:rPr>
          <w:rFonts w:ascii="Arial" w:eastAsia="Arial" w:hAnsi="Arial" w:cs="Arial"/>
        </w:rPr>
      </w:pPr>
    </w:p>
    <w:p w14:paraId="53E5BFF2" w14:textId="77777777" w:rsidR="00E7667D" w:rsidRDefault="002E40EE">
      <w:pPr>
        <w:jc w:val="both"/>
        <w:rPr>
          <w:rFonts w:ascii="Arial" w:eastAsia="Arial" w:hAnsi="Arial" w:cs="Arial"/>
        </w:rPr>
      </w:pPr>
      <w:r>
        <w:rPr>
          <w:rFonts w:ascii="Arial" w:eastAsia="Arial" w:hAnsi="Arial" w:cs="Arial"/>
        </w:rPr>
        <w:t xml:space="preserve">While the overall mean score of 1.44 suggested a clinically significant level of trauma for the respondents, the frequency distribution revealed a more severe reality. Because 40.40% of the students have extreme distress, it is clear that the mean is being pulled upward by a large group of students in crisis, while also being affected by the 38.20% of students who still reported low impact. This discrepancy was attributed to a bimodal distribution in the data, where the low scores of resilient students lowered the collective mean, thereby masking the intensive trauma experienced by a significant number of the population. A study of Duffy et al. (2015) supports this as they examined secondary traumatic stress and burnout among healthcare workers. Their findings highlight that symptom severity varies widely across individuals, which can influence average values and dismantle extreme cases in stressed populations. As noted in the literature, the presence of such a large group experiencing extreme impact indicates that the clinical environment represents a high-risk setting for a portioned student population. </w:t>
      </w:r>
    </w:p>
    <w:p w14:paraId="300187CC" w14:textId="77777777" w:rsidR="00E7667D" w:rsidRDefault="00E7667D">
      <w:pPr>
        <w:pBdr>
          <w:top w:val="nil"/>
          <w:left w:val="nil"/>
          <w:bottom w:val="nil"/>
          <w:right w:val="nil"/>
          <w:between w:val="nil"/>
        </w:pBdr>
        <w:jc w:val="both"/>
        <w:rPr>
          <w:rFonts w:ascii="Arial" w:eastAsia="Arial" w:hAnsi="Arial" w:cs="Arial"/>
        </w:rPr>
      </w:pPr>
    </w:p>
    <w:p w14:paraId="45C371A1" w14:textId="77777777" w:rsidR="00E7667D" w:rsidRDefault="00E7667D">
      <w:pPr>
        <w:pBdr>
          <w:top w:val="nil"/>
          <w:left w:val="nil"/>
          <w:bottom w:val="nil"/>
          <w:right w:val="nil"/>
          <w:between w:val="nil"/>
        </w:pBdr>
        <w:jc w:val="both"/>
        <w:rPr>
          <w:rFonts w:ascii="Arial" w:eastAsia="Arial" w:hAnsi="Arial" w:cs="Arial"/>
          <w:b/>
          <w:bCs/>
        </w:rPr>
      </w:pPr>
    </w:p>
    <w:p w14:paraId="75EB0321"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3.1.3 Level of Anxiety among Respondents</w:t>
      </w:r>
    </w:p>
    <w:p w14:paraId="53E3FA6E" w14:textId="77777777" w:rsidR="00E7667D" w:rsidRDefault="00E7667D">
      <w:pPr>
        <w:pBdr>
          <w:top w:val="nil"/>
          <w:left w:val="nil"/>
          <w:bottom w:val="nil"/>
          <w:right w:val="nil"/>
          <w:between w:val="nil"/>
        </w:pBdr>
        <w:jc w:val="both"/>
        <w:rPr>
          <w:rFonts w:ascii="Arial" w:eastAsia="Arial" w:hAnsi="Arial" w:cs="Arial"/>
          <w:b/>
          <w:bCs/>
        </w:rPr>
      </w:pPr>
    </w:p>
    <w:p w14:paraId="6C0B2819" w14:textId="77777777" w:rsidR="00E7667D" w:rsidRDefault="002E40EE">
      <w:pPr>
        <w:jc w:val="both"/>
        <w:rPr>
          <w:rFonts w:ascii="Arial" w:eastAsia="Arial" w:hAnsi="Arial" w:cs="Arial"/>
        </w:rPr>
      </w:pPr>
      <w:r>
        <w:rPr>
          <w:rFonts w:ascii="Arial" w:eastAsia="Arial" w:hAnsi="Arial" w:cs="Arial"/>
        </w:rPr>
        <w:t xml:space="preserve">The data in table 3a adhere to the original order (1 to 7) ensuring that research results can be easily compared with other studies, meta-analyses, and clinical norms.  Researchers typically report descriptive statistics in GAD-7 for each item in its original, sequential order to identify the specific symptom burden in their sample, rather than ranking them from the highest to lowest mean in table displays, which might hide the context of the symptoms (Spitzer et al., 2006). The overall mean suggested that the sampled population experiences a mild level of generalized anxiety (M=1.03). Most participants showed emotional burden reflected by internal struggle rather than physical agitation. It was observed that excessive worry over various matters emerged as the most prominent symptom (M=1.22), followed closely by anticipating a negative event </w:t>
      </w:r>
      <w:proofErr w:type="spellStart"/>
      <w:r>
        <w:rPr>
          <w:rFonts w:ascii="Arial" w:eastAsia="Arial" w:hAnsi="Arial" w:cs="Arial"/>
        </w:rPr>
        <w:t>occuring</w:t>
      </w:r>
      <w:proofErr w:type="spellEnd"/>
      <w:r>
        <w:rPr>
          <w:rFonts w:ascii="Arial" w:eastAsia="Arial" w:hAnsi="Arial" w:cs="Arial"/>
        </w:rPr>
        <w:t>. (M=1.13). Furthermore, the majority of respondents reported significant levels of irritability (M = 1.12) and difficulty in controlling anxious thoughts (M=1.01), which indicated emotional regulation in low capacity. However, about a fifth of those having physical restlessness (M=0.80) and the inability to relax (M = 0.92) represented the lowest scores. This implied that the participants' distress is primarily centering on mental hyper-vigilance rather than chronic sympathetic nervous system arousal. If this mental preoccupation remains, there is a risk that these symptoms could eventually manifest into greater levels of anxiety.</w:t>
      </w:r>
    </w:p>
    <w:p w14:paraId="030E34A2" w14:textId="77777777" w:rsidR="00E7667D" w:rsidRDefault="00E7667D">
      <w:pPr>
        <w:jc w:val="both"/>
        <w:rPr>
          <w:rFonts w:ascii="Arial" w:eastAsia="Arial" w:hAnsi="Arial" w:cs="Arial"/>
        </w:rPr>
      </w:pPr>
    </w:p>
    <w:p w14:paraId="5305CD8B" w14:textId="77777777" w:rsidR="00E7667D" w:rsidRDefault="002E40EE">
      <w:pPr>
        <w:jc w:val="both"/>
        <w:rPr>
          <w:rFonts w:ascii="Arial" w:eastAsia="Arial" w:hAnsi="Arial" w:cs="Arial"/>
        </w:rPr>
      </w:pPr>
      <w:r>
        <w:rPr>
          <w:rFonts w:ascii="Arial" w:eastAsia="Arial" w:hAnsi="Arial" w:cs="Arial"/>
        </w:rPr>
        <w:lastRenderedPageBreak/>
        <w:t>This is aligned with Hoying et al. (2020), who reported that health sciences students experience elevated anxiety related to mental preoccupation and stress regarding academic performance. The data suggested that this sample was focused on internal thoughts rather than showing physical agitation. These symptoms may indicate an early risk factor for clinical burnout, supporting Hoying et al.’s findings on the potential consequences of unaddressed anxiety in students.</w:t>
      </w:r>
    </w:p>
    <w:p w14:paraId="20AB2B29" w14:textId="77777777" w:rsidR="00E7667D" w:rsidRDefault="00E7667D">
      <w:pPr>
        <w:jc w:val="both"/>
        <w:rPr>
          <w:rFonts w:ascii="Arial" w:eastAsia="Arial" w:hAnsi="Arial" w:cs="Arial"/>
        </w:rPr>
      </w:pPr>
    </w:p>
    <w:p w14:paraId="61A39052" w14:textId="77777777" w:rsidR="00E7667D" w:rsidRDefault="002E40EE">
      <w:pPr>
        <w:jc w:val="both"/>
        <w:rPr>
          <w:rFonts w:ascii="Arial" w:eastAsia="Arial" w:hAnsi="Arial" w:cs="Arial"/>
        </w:rPr>
      </w:pPr>
      <w:r>
        <w:rPr>
          <w:rFonts w:ascii="Arial" w:eastAsia="Arial" w:hAnsi="Arial" w:cs="Arial"/>
        </w:rPr>
        <w:t xml:space="preserve">The analysis of the table 3b data revealed that most participants have lower levels of mental distress, with the majority of the sample (68.0%) having minimal (37.5%) and mild (30.5%) stress. It was observed that the prevalence of stress is descending, where the frequency of participants decreased as the severity of the stress levels increased. About a fifth of the respondents (20.4%) were having moderate stress, while those experiencing severe stress levels were the lowest proportion of the group (11.6%). </w:t>
      </w:r>
    </w:p>
    <w:p w14:paraId="5AE47E1E" w14:textId="77777777" w:rsidR="00E7667D" w:rsidRDefault="00E7667D">
      <w:pPr>
        <w:jc w:val="both"/>
        <w:rPr>
          <w:rFonts w:ascii="Arial" w:eastAsia="Arial" w:hAnsi="Arial" w:cs="Arial"/>
        </w:rPr>
      </w:pPr>
    </w:p>
    <w:p w14:paraId="0AC7270F" w14:textId="77777777" w:rsidR="00E7667D" w:rsidRDefault="002E40EE">
      <w:pPr>
        <w:jc w:val="both"/>
        <w:rPr>
          <w:rFonts w:ascii="Arial" w:eastAsia="Arial" w:hAnsi="Arial" w:cs="Arial"/>
        </w:rPr>
      </w:pPr>
      <w:r>
        <w:rPr>
          <w:rFonts w:ascii="Arial" w:eastAsia="Arial" w:hAnsi="Arial" w:cs="Arial"/>
        </w:rPr>
        <w:t xml:space="preserve">These variations can be explained by the various range of individual coping mechanisms, psychological resilience, and the nature of stressors affecting the participants. The lower level concentration of scores suggests that while the sample population was not completely free from pressure, they likely have enough protective factors or resources to prevent stress being clinically significant. </w:t>
      </w:r>
    </w:p>
    <w:p w14:paraId="15321BFB" w14:textId="77777777" w:rsidR="00E7667D" w:rsidRDefault="00E7667D">
      <w:pPr>
        <w:jc w:val="both"/>
        <w:rPr>
          <w:rFonts w:ascii="Arial" w:eastAsia="Arial" w:hAnsi="Arial" w:cs="Arial"/>
        </w:rPr>
      </w:pPr>
    </w:p>
    <w:p w14:paraId="3E682222" w14:textId="77777777" w:rsidR="00E7667D" w:rsidRDefault="002E40EE">
      <w:pPr>
        <w:jc w:val="both"/>
        <w:rPr>
          <w:rFonts w:ascii="Arial" w:eastAsia="Arial" w:hAnsi="Arial" w:cs="Arial"/>
        </w:rPr>
      </w:pPr>
      <w:r>
        <w:rPr>
          <w:rFonts w:ascii="Arial" w:eastAsia="Arial" w:hAnsi="Arial" w:cs="Arial"/>
        </w:rPr>
        <w:t xml:space="preserve">This aligns with </w:t>
      </w:r>
      <w:proofErr w:type="spellStart"/>
      <w:r>
        <w:rPr>
          <w:rFonts w:ascii="Arial" w:eastAsia="Arial" w:hAnsi="Arial" w:cs="Arial"/>
        </w:rPr>
        <w:t>Labrague</w:t>
      </w:r>
      <w:proofErr w:type="spellEnd"/>
      <w:r>
        <w:rPr>
          <w:rFonts w:ascii="Arial" w:eastAsia="Arial" w:hAnsi="Arial" w:cs="Arial"/>
        </w:rPr>
        <w:t xml:space="preserve"> et al. (2018), who reported that student nurses in multiple countries experience various levels of stress and use coping strategies to manage it. Only 11.6% of students experienced severe stress, meaning that many students were able to utilize available resources to prevent stress from worsening. These findings indicated that despite the demands of the clinical rotations, a significant number of respondents </w:t>
      </w:r>
      <w:proofErr w:type="gramStart"/>
      <w:r>
        <w:rPr>
          <w:rFonts w:ascii="Arial" w:eastAsia="Arial" w:hAnsi="Arial" w:cs="Arial"/>
        </w:rPr>
        <w:t>can  manage</w:t>
      </w:r>
      <w:proofErr w:type="gramEnd"/>
      <w:r>
        <w:rPr>
          <w:rFonts w:ascii="Arial" w:eastAsia="Arial" w:hAnsi="Arial" w:cs="Arial"/>
        </w:rPr>
        <w:t xml:space="preserve"> their stress levels.</w:t>
      </w:r>
    </w:p>
    <w:p w14:paraId="3BF243CD" w14:textId="77777777" w:rsidR="00E7667D" w:rsidRDefault="00E7667D">
      <w:pPr>
        <w:jc w:val="both"/>
        <w:rPr>
          <w:rFonts w:ascii="Arial" w:eastAsia="Arial" w:hAnsi="Arial" w:cs="Arial"/>
        </w:rPr>
      </w:pPr>
    </w:p>
    <w:p w14:paraId="581FD3F5" w14:textId="77777777" w:rsidR="00E7667D" w:rsidRDefault="002E40EE">
      <w:pPr>
        <w:jc w:val="both"/>
      </w:pPr>
      <w:r>
        <w:rPr>
          <w:rFonts w:ascii="Arial" w:eastAsia="Arial" w:hAnsi="Arial" w:cs="Arial"/>
        </w:rPr>
        <w:t>The variation seen between the mild anxiety in itemized means and the minimal anxiety in total scores was attributed to a positive skew in the data, where a significant small portion of participants in the moderate (20.4%) and severe (11.6%) ranges statistically heightened the group mean, despite the majority of students reporting lower levels of distress. This is a representation of a known feature of the arithmetic mean as it included all the values in a distribution, it was sensitive to extreme scores or external factors, which can pull the mean higher, whereas categorical distributions represent the experience of the majority of cases better (Hurley &amp; Tenny, 2023). This suggested that total score categorization more accurately described the usual student while the mean was sensitive to an intense distress of a smaller and more vulnerable subgroup.</w:t>
      </w:r>
      <w:r>
        <w:t xml:space="preserve">  </w:t>
      </w:r>
    </w:p>
    <w:p w14:paraId="58133897" w14:textId="77777777" w:rsidR="00E7667D" w:rsidRDefault="00E7667D">
      <w:pPr>
        <w:jc w:val="both"/>
        <w:rPr>
          <w:rFonts w:ascii="Arial" w:eastAsia="Arial" w:hAnsi="Arial" w:cs="Arial"/>
        </w:rPr>
      </w:pPr>
    </w:p>
    <w:p w14:paraId="746EE9D8" w14:textId="77777777" w:rsidR="00E7667D" w:rsidRDefault="002E40EE">
      <w:pPr>
        <w:pBdr>
          <w:top w:val="nil"/>
          <w:left w:val="nil"/>
          <w:bottom w:val="nil"/>
          <w:right w:val="nil"/>
          <w:between w:val="nil"/>
        </w:pBdr>
        <w:jc w:val="both"/>
        <w:rPr>
          <w:rFonts w:ascii="Arial" w:eastAsia="Arial" w:hAnsi="Arial" w:cs="Arial"/>
          <w:b/>
          <w:bCs/>
        </w:rPr>
      </w:pPr>
      <w:r>
        <w:rPr>
          <w:rFonts w:ascii="Arial" w:eastAsia="Arial" w:hAnsi="Arial" w:cs="Arial"/>
          <w:b/>
          <w:bCs/>
        </w:rPr>
        <w:t>3.1.4 Level of Debriefing Received among Respondents</w:t>
      </w:r>
    </w:p>
    <w:p w14:paraId="5E0E005F" w14:textId="77777777" w:rsidR="00E7667D" w:rsidRDefault="00E7667D">
      <w:pPr>
        <w:pBdr>
          <w:top w:val="nil"/>
          <w:left w:val="nil"/>
          <w:bottom w:val="nil"/>
          <w:right w:val="nil"/>
          <w:between w:val="nil"/>
        </w:pBdr>
        <w:jc w:val="both"/>
        <w:rPr>
          <w:rFonts w:ascii="Arial" w:eastAsia="Arial" w:hAnsi="Arial" w:cs="Arial"/>
          <w:b/>
          <w:bCs/>
        </w:rPr>
      </w:pPr>
    </w:p>
    <w:p w14:paraId="5A3134EC" w14:textId="77777777" w:rsidR="00E7667D" w:rsidRDefault="002E40EE">
      <w:pPr>
        <w:jc w:val="both"/>
        <w:rPr>
          <w:rFonts w:ascii="Arial" w:eastAsia="Arial" w:hAnsi="Arial" w:cs="Arial"/>
        </w:rPr>
      </w:pPr>
      <w:r>
        <w:rPr>
          <w:rFonts w:ascii="Arial" w:eastAsia="Arial" w:hAnsi="Arial" w:cs="Arial"/>
        </w:rPr>
        <w:t xml:space="preserve">As a whole, the 3rd and 4th year student nurses had a positive perception of clinical debriefing (M=3.74). They believed the sessions were effective in minimizing the impact of traumatic events, improving their clinical skills, and providing the necessary teacher support to continue their studies. </w:t>
      </w:r>
    </w:p>
    <w:p w14:paraId="2CC8179B" w14:textId="77777777" w:rsidR="00E7667D" w:rsidRDefault="00E7667D">
      <w:pPr>
        <w:jc w:val="both"/>
        <w:rPr>
          <w:rFonts w:ascii="Arial" w:eastAsia="Arial" w:hAnsi="Arial" w:cs="Arial"/>
        </w:rPr>
      </w:pPr>
    </w:p>
    <w:p w14:paraId="133E4EEE" w14:textId="77777777" w:rsidR="00E7667D" w:rsidRDefault="002E40EE">
      <w:pPr>
        <w:jc w:val="both"/>
        <w:rPr>
          <w:rFonts w:ascii="Arial" w:eastAsia="Arial" w:hAnsi="Arial" w:cs="Arial"/>
        </w:rPr>
      </w:pPr>
      <w:r>
        <w:rPr>
          <w:rFonts w:ascii="Arial" w:eastAsia="Arial" w:hAnsi="Arial" w:cs="Arial"/>
        </w:rPr>
        <w:t xml:space="preserve">The students expressed the highest level of agreement to the professional and educational effects of debriefing. The statement that debriefing helps improve clinical judgment and critical thinking skills had a mean of (M=3.88), having a strong implication that these sessions are essential for mental development. Also, students agreed that the debriefing process helped them learn from traumatic experiences (M=3.86) and improved their communication skills while dealing with patients (M=3.86). These scores implied that students view debriefing as a valuable instructional tool that has a direct impact on their performance.  ​Regarding psychological well-being and emotional regulation, debriefing sessions help them feel less </w:t>
      </w:r>
      <w:r>
        <w:rPr>
          <w:rFonts w:ascii="Arial" w:eastAsia="Arial" w:hAnsi="Arial" w:cs="Arial"/>
        </w:rPr>
        <w:lastRenderedPageBreak/>
        <w:t>overwhelmed (M= 3.81). The data further showed agreement that these sessions lowered feelings of anxiety or distress (3.78) and increased their confidence to face future clinical challenges (M=3.77). Furthermore, students agreed that they feel supported by their clinical instructors during and after the process (M=3.77) and that they anticipate and manage challenging situations in the clinical area better (M=3.77).</w:t>
      </w:r>
    </w:p>
    <w:p w14:paraId="5866CE16" w14:textId="77777777" w:rsidR="00E7667D" w:rsidRDefault="002E40EE">
      <w:pPr>
        <w:jc w:val="both"/>
        <w:rPr>
          <w:rFonts w:ascii="Arial" w:eastAsia="Arial" w:hAnsi="Arial" w:cs="Arial"/>
        </w:rPr>
      </w:pPr>
      <w:r>
        <w:rPr>
          <w:rFonts w:ascii="Arial" w:eastAsia="Arial" w:hAnsi="Arial" w:cs="Arial"/>
        </w:rPr>
        <w:t>In terms of the structural effectiveness, the agreement was consistent that the timing is appropriate (M=3.76) and that the sessions help students return to clinical duties (M=3.75). Students also agreed that the information shared was treated with confidentiality (M=3.74) and that the sessions helped them understand and process what occurred (M=3.75).  They also feel calmer after the event (M=3.65), confirming the immediate calming effect of the process.</w:t>
      </w:r>
    </w:p>
    <w:p w14:paraId="7AFD02B9" w14:textId="77777777" w:rsidR="00E7667D" w:rsidRDefault="00E7667D">
      <w:pPr>
        <w:jc w:val="both"/>
        <w:rPr>
          <w:rFonts w:ascii="Arial" w:eastAsia="Arial" w:hAnsi="Arial" w:cs="Arial"/>
        </w:rPr>
      </w:pPr>
    </w:p>
    <w:p w14:paraId="575E6027" w14:textId="77777777" w:rsidR="00E7667D" w:rsidRDefault="002E40EE">
      <w:pPr>
        <w:jc w:val="both"/>
        <w:rPr>
          <w:rFonts w:ascii="Arial" w:eastAsia="Arial" w:hAnsi="Arial" w:cs="Arial"/>
        </w:rPr>
      </w:pPr>
      <w:r>
        <w:rPr>
          <w:rFonts w:ascii="Arial" w:eastAsia="Arial" w:hAnsi="Arial" w:cs="Arial"/>
        </w:rPr>
        <w:t xml:space="preserve">The lowest scores involved the personal comfort levels of the students during the debriefing interaction. Students agreed that the sessions lasted long enough for processing (M=3.63) and that they felt comfortable sharing their thoughts and emotions (M=3.59). The item with the lowest mean showed that they were able to express emotions freely (M=3.49). These interpersonal and emotional items were lower than the educational items, thus, </w:t>
      </w:r>
      <w:proofErr w:type="gramStart"/>
      <w:r>
        <w:rPr>
          <w:rFonts w:ascii="Arial" w:eastAsia="Arial" w:hAnsi="Arial" w:cs="Arial"/>
        </w:rPr>
        <w:t>suggesting  that</w:t>
      </w:r>
      <w:proofErr w:type="gramEnd"/>
      <w:r>
        <w:rPr>
          <w:rFonts w:ascii="Arial" w:eastAsia="Arial" w:hAnsi="Arial" w:cs="Arial"/>
        </w:rPr>
        <w:t xml:space="preserve"> while students agree the system works, being emotionally vulnerable remained the most difficult part for them. </w:t>
      </w:r>
    </w:p>
    <w:p w14:paraId="5A9B9634" w14:textId="77777777" w:rsidR="00E7667D" w:rsidRDefault="00E7667D">
      <w:pPr>
        <w:jc w:val="both"/>
        <w:rPr>
          <w:rFonts w:ascii="Arial" w:eastAsia="Arial" w:hAnsi="Arial" w:cs="Arial"/>
        </w:rPr>
      </w:pPr>
    </w:p>
    <w:p w14:paraId="1DDE2129" w14:textId="77777777" w:rsidR="00E7667D" w:rsidRDefault="002E40EE">
      <w:pPr>
        <w:jc w:val="both"/>
        <w:rPr>
          <w:rFonts w:ascii="Arial" w:eastAsia="Arial" w:hAnsi="Arial" w:cs="Arial"/>
        </w:rPr>
      </w:pPr>
      <w:r>
        <w:rPr>
          <w:rFonts w:ascii="Arial" w:eastAsia="Arial" w:hAnsi="Arial" w:cs="Arial"/>
        </w:rPr>
        <w:t>The positive view of clinical debriefing among 3rd- and 4th-year students aligned with research showing that student nurses value debriefing for reflection and reinforcing clinical reasoning (Cambridge, et al., 2023; González‑Tejerina et al., 2025). Highest scores relate to improved clinical judgment and critical thinking, while lower scores for freely expressing emotions revealed a challenge of balancing professionalism with emotional vulnerability. Overall, debriefing effectively supported cognitive development, though emotional expression remained the most difficult to address.</w:t>
      </w:r>
    </w:p>
    <w:p w14:paraId="6DAAD452" w14:textId="77777777" w:rsidR="00E7667D" w:rsidRDefault="00E7667D">
      <w:pPr>
        <w:jc w:val="both"/>
        <w:rPr>
          <w:rFonts w:ascii="Arial" w:eastAsia="Arial" w:hAnsi="Arial" w:cs="Arial"/>
          <w:u w:val="single"/>
        </w:rPr>
      </w:pPr>
    </w:p>
    <w:p w14:paraId="4DA030FE" w14:textId="77777777" w:rsidR="00E7667D" w:rsidRDefault="002E40EE">
      <w:pPr>
        <w:jc w:val="both"/>
        <w:rPr>
          <w:rFonts w:ascii="Arial" w:eastAsia="Arial" w:hAnsi="Arial" w:cs="Arial"/>
          <w:b/>
          <w:bCs/>
        </w:rPr>
      </w:pPr>
      <w:r>
        <w:rPr>
          <w:b/>
          <w:bCs/>
        </w:rPr>
        <w:t>3.1.5</w:t>
      </w:r>
      <w:r>
        <w:t xml:space="preserve"> </w:t>
      </w:r>
      <w:r>
        <w:rPr>
          <w:rFonts w:ascii="Arial" w:eastAsia="Arial" w:hAnsi="Arial" w:cs="Arial"/>
          <w:b/>
          <w:bCs/>
        </w:rPr>
        <w:t xml:space="preserve">Relationship Between Impact of Traumatic Clinical Experience, Anxiety, Debriefing Received Among Student Nurses </w:t>
      </w:r>
    </w:p>
    <w:p w14:paraId="15846CFF" w14:textId="77777777" w:rsidR="00E7667D" w:rsidRDefault="00E7667D">
      <w:pPr>
        <w:jc w:val="both"/>
        <w:rPr>
          <w:rFonts w:ascii="Arial" w:eastAsia="Arial" w:hAnsi="Arial" w:cs="Arial"/>
          <w:b/>
          <w:bCs/>
        </w:rPr>
      </w:pPr>
    </w:p>
    <w:p w14:paraId="14563B9F" w14:textId="77777777" w:rsidR="00E7667D" w:rsidRDefault="002E40EE">
      <w:pPr>
        <w:jc w:val="both"/>
        <w:rPr>
          <w:rFonts w:ascii="Arial" w:eastAsia="Arial" w:hAnsi="Arial" w:cs="Arial"/>
        </w:rPr>
      </w:pPr>
      <w:r>
        <w:rPr>
          <w:rFonts w:ascii="Arial" w:eastAsia="Arial" w:hAnsi="Arial" w:cs="Arial"/>
        </w:rPr>
        <w:t xml:space="preserve">To assess the assumption of normality, a Kolmogorov–Smirnov (K–S) test was performed since the sample size is greater than 50 (N=275). The K–S test is a nonparametric test commonly used to determine whether a dataset significantly deviates from a specified theoretical distribution, such as the non-normal distribution (Gupta et al., 2019). Since the sample (N=275) yielded a p &lt; .05, the null hypothesis of normality was rejected, confirming the data was skewed and necessitating the use of Spearman’s rho rₛ, a non-parametric measure rather than the parametric choice, </w:t>
      </w:r>
      <w:proofErr w:type="gramStart"/>
      <w:r>
        <w:rPr>
          <w:rFonts w:ascii="Arial" w:eastAsia="Arial" w:hAnsi="Arial" w:cs="Arial"/>
        </w:rPr>
        <w:t>Pearson’s  r</w:t>
      </w:r>
      <w:proofErr w:type="gramEnd"/>
      <w:r>
        <w:rPr>
          <w:rFonts w:ascii="Arial" w:eastAsia="Arial" w:hAnsi="Arial" w:cs="Arial"/>
        </w:rPr>
        <w:t xml:space="preserve"> (Mishra et al., 2019).</w:t>
      </w:r>
    </w:p>
    <w:p w14:paraId="4B39F317" w14:textId="77777777" w:rsidR="00E7667D" w:rsidRDefault="00E7667D">
      <w:pPr>
        <w:jc w:val="both"/>
        <w:rPr>
          <w:rFonts w:ascii="Arial" w:eastAsia="Arial" w:hAnsi="Arial" w:cs="Arial"/>
        </w:rPr>
      </w:pPr>
    </w:p>
    <w:p w14:paraId="092F9944" w14:textId="77777777" w:rsidR="00E7667D" w:rsidRDefault="002E40EE">
      <w:pPr>
        <w:jc w:val="both"/>
        <w:rPr>
          <w:rFonts w:ascii="Arial" w:eastAsia="Arial" w:hAnsi="Arial" w:cs="Arial"/>
        </w:rPr>
      </w:pPr>
      <w:r>
        <w:rPr>
          <w:rFonts w:ascii="Arial" w:eastAsia="Arial" w:hAnsi="Arial" w:cs="Arial"/>
        </w:rPr>
        <w:t xml:space="preserve">The choice of Spearman’s was critical because it assesses the monotonic relationship based on rank, making it more resilient to the non-linear distributions typical in student nurses’ stress levels. The rₛ value is a numerical index that represents the strength and direction of a relationship between two variables. To interpret the strength of these relationships, we utilized the provided Rule of Thumb for Interpreting the Size of a Correlation Coefficient, which classifies relationships into five distinct categories: .90 to 1.00 as "very high," .70 to .90 as "high," .50 to .70 as "moderate," .30 to .50 as "low," and .00 to .30 as "negligible." Our finding of rₛ= .587 for traumatic experience and anxiety falls firmly into the moderate positive correlation category, meaning that as clinical trauma intensity increases, anxiety levels follow a predictable upward trend. This result is bolstered by a p-value of &lt;.001. The p-value (probability value) was popularized by Fisher (1950) as a measure of the evidence against the null hypothesis. It represents the probability of obtaining a result as extreme if no real relationship existed in the population. In this </w:t>
      </w:r>
      <w:proofErr w:type="gramStart"/>
      <w:r>
        <w:rPr>
          <w:rFonts w:ascii="Arial" w:eastAsia="Arial" w:hAnsi="Arial" w:cs="Arial"/>
        </w:rPr>
        <w:t>study,  a</w:t>
      </w:r>
      <w:proofErr w:type="gramEnd"/>
      <w:r>
        <w:rPr>
          <w:rFonts w:ascii="Arial" w:eastAsia="Arial" w:hAnsi="Arial" w:cs="Arial"/>
        </w:rPr>
        <w:t xml:space="preserve"> p-value of .001. classifies as highly significant, indicating a near-zero probability that this correlation occurred by chance Fisher (1950). This means that students who report more intense or impactful traumatic clinical </w:t>
      </w:r>
      <w:r>
        <w:rPr>
          <w:rFonts w:ascii="Arial" w:eastAsia="Arial" w:hAnsi="Arial" w:cs="Arial"/>
        </w:rPr>
        <w:lastRenderedPageBreak/>
        <w:t xml:space="preserve">experiences also tend to report higher levels of anxiety; this finding aligns with a correlational study </w:t>
      </w:r>
      <w:proofErr w:type="gramStart"/>
      <w:r>
        <w:rPr>
          <w:rFonts w:ascii="Arial" w:eastAsia="Arial" w:hAnsi="Arial" w:cs="Arial"/>
        </w:rPr>
        <w:t xml:space="preserve">by  </w:t>
      </w:r>
      <w:proofErr w:type="spellStart"/>
      <w:r>
        <w:rPr>
          <w:rFonts w:ascii="Arial" w:eastAsia="Arial" w:hAnsi="Arial" w:cs="Arial"/>
        </w:rPr>
        <w:t>Onieva</w:t>
      </w:r>
      <w:proofErr w:type="gramEnd"/>
      <w:r>
        <w:rPr>
          <w:rFonts w:ascii="Arial" w:eastAsia="Arial" w:hAnsi="Arial" w:cs="Arial"/>
        </w:rPr>
        <w:t>-Zafra</w:t>
      </w:r>
      <w:proofErr w:type="spellEnd"/>
      <w:r>
        <w:rPr>
          <w:rFonts w:ascii="Arial" w:eastAsia="Arial" w:hAnsi="Arial" w:cs="Arial"/>
        </w:rPr>
        <w:t xml:space="preserve"> et al. (2020), showing that clinical training stressors are closely associated with increased anxiety in student nurses.</w:t>
      </w:r>
    </w:p>
    <w:p w14:paraId="02178C5D" w14:textId="77777777" w:rsidR="00E7667D" w:rsidRDefault="00E7667D">
      <w:pPr>
        <w:jc w:val="both"/>
        <w:rPr>
          <w:rFonts w:ascii="Arial" w:eastAsia="Arial" w:hAnsi="Arial" w:cs="Arial"/>
        </w:rPr>
      </w:pPr>
    </w:p>
    <w:p w14:paraId="5C708A46" w14:textId="77777777" w:rsidR="00E7667D" w:rsidRDefault="002E40EE">
      <w:pPr>
        <w:jc w:val="both"/>
        <w:rPr>
          <w:rFonts w:ascii="Arial" w:eastAsia="Arial" w:hAnsi="Arial" w:cs="Arial"/>
        </w:rPr>
      </w:pPr>
      <w:r>
        <w:rPr>
          <w:rFonts w:ascii="Arial" w:eastAsia="Arial" w:hAnsi="Arial" w:cs="Arial"/>
        </w:rPr>
        <w:t xml:space="preserve">Conversely, the relationship between anxiety and debriefing (rₛ= -.049) is categorized as a negligible correlation, as the value falls within the .00 to .30 range. </w:t>
      </w:r>
    </w:p>
    <w:p w14:paraId="64758C00" w14:textId="77777777" w:rsidR="00E7667D" w:rsidRDefault="002E40EE">
      <w:pPr>
        <w:jc w:val="both"/>
        <w:rPr>
          <w:rFonts w:ascii="Arial" w:eastAsia="Arial" w:hAnsi="Arial" w:cs="Arial"/>
        </w:rPr>
      </w:pPr>
      <w:r>
        <w:rPr>
          <w:rFonts w:ascii="Arial" w:eastAsia="Arial" w:hAnsi="Arial" w:cs="Arial"/>
        </w:rPr>
        <w:t xml:space="preserve">This result is statistically non-significant (p = .415), as the p-value far exceeded the .05 threshold, suggesting that any slight downward tilt was merely statistical noise. </w:t>
      </w:r>
    </w:p>
    <w:p w14:paraId="0C88D46A" w14:textId="77777777" w:rsidR="00E7667D" w:rsidRDefault="002E40EE">
      <w:pPr>
        <w:jc w:val="both"/>
        <w:rPr>
          <w:rFonts w:ascii="Arial" w:eastAsia="Arial" w:hAnsi="Arial" w:cs="Arial"/>
        </w:rPr>
      </w:pPr>
      <w:r>
        <w:rPr>
          <w:rFonts w:ascii="Arial" w:eastAsia="Arial" w:hAnsi="Arial" w:cs="Arial"/>
        </w:rPr>
        <w:t>A systematic review of nursing simulation debriefing literature by Lee, J. et al. (2020) found firm evidence supporting debriefing for improving learning outcomes, clinical reasoning, and reflective practice. Additionally, Franco-</w:t>
      </w:r>
      <w:proofErr w:type="spellStart"/>
      <w:r>
        <w:rPr>
          <w:rFonts w:ascii="Arial" w:eastAsia="Arial" w:hAnsi="Arial" w:cs="Arial"/>
        </w:rPr>
        <w:t>Tantuico</w:t>
      </w:r>
      <w:proofErr w:type="spellEnd"/>
      <w:r>
        <w:rPr>
          <w:rFonts w:ascii="Arial" w:eastAsia="Arial" w:hAnsi="Arial" w:cs="Arial"/>
        </w:rPr>
        <w:t xml:space="preserve">, R. and </w:t>
      </w:r>
      <w:proofErr w:type="spellStart"/>
      <w:r>
        <w:rPr>
          <w:rFonts w:ascii="Arial" w:eastAsia="Arial" w:hAnsi="Arial" w:cs="Arial"/>
        </w:rPr>
        <w:t>Btoush</w:t>
      </w:r>
      <w:proofErr w:type="spellEnd"/>
      <w:r>
        <w:rPr>
          <w:rFonts w:ascii="Arial" w:eastAsia="Arial" w:hAnsi="Arial" w:cs="Arial"/>
        </w:rPr>
        <w:t>, R. (2025), argued that debriefer skill is the strongest predictor of overall simulation quality, and a lack of debriefer skills can compromise student engagement that can result in learner anxiety. Debriefing sessions are also most effective when conducted immediately after the event (Miller, K. &amp; Miller, J., 2020). These findings suggest that debriefing, particularly when informal or unstructured, conducted by a debriefer lacking sufficient skills, or performed untimely, may not reliably reduce anxiety in the absence of a structured, theory-based protocol.</w:t>
      </w:r>
    </w:p>
    <w:p w14:paraId="78499602" w14:textId="77777777" w:rsidR="00E7667D" w:rsidRDefault="00E7667D">
      <w:pPr>
        <w:jc w:val="both"/>
        <w:rPr>
          <w:rFonts w:ascii="Arial" w:eastAsia="Arial" w:hAnsi="Arial" w:cs="Arial"/>
        </w:rPr>
      </w:pPr>
    </w:p>
    <w:p w14:paraId="3A0CD113" w14:textId="77777777" w:rsidR="00E7667D" w:rsidRDefault="002E40EE">
      <w:pPr>
        <w:rPr>
          <w:rFonts w:ascii="Arial" w:eastAsia="Arial" w:hAnsi="Arial" w:cs="Arial"/>
          <w:b/>
          <w:bCs/>
          <w:sz w:val="22"/>
          <w:szCs w:val="22"/>
        </w:rPr>
      </w:pPr>
      <w:r>
        <w:rPr>
          <w:rFonts w:ascii="Arial" w:eastAsia="Arial" w:hAnsi="Arial" w:cs="Arial"/>
          <w:b/>
          <w:bCs/>
          <w:sz w:val="22"/>
          <w:szCs w:val="22"/>
        </w:rPr>
        <w:t>3.2 Qualitative Results Interpretation</w:t>
      </w:r>
    </w:p>
    <w:p w14:paraId="18BD939B" w14:textId="77777777" w:rsidR="00E7667D" w:rsidRDefault="00E7667D">
      <w:pPr>
        <w:rPr>
          <w:rFonts w:ascii="Arial" w:eastAsia="Arial" w:hAnsi="Arial" w:cs="Arial"/>
          <w:b/>
          <w:bCs/>
        </w:rPr>
      </w:pPr>
    </w:p>
    <w:p w14:paraId="3BD462A6" w14:textId="77777777" w:rsidR="00E7667D" w:rsidRDefault="002E40EE">
      <w:pPr>
        <w:rPr>
          <w:rFonts w:ascii="Arial" w:eastAsia="Arial" w:hAnsi="Arial" w:cs="Arial"/>
          <w:b/>
          <w:bCs/>
        </w:rPr>
      </w:pPr>
      <w:r>
        <w:rPr>
          <w:rFonts w:ascii="Arial" w:eastAsia="Arial" w:hAnsi="Arial" w:cs="Arial"/>
          <w:b/>
          <w:bCs/>
        </w:rPr>
        <w:t>3.2.1 Profile of Respondents</w:t>
      </w:r>
    </w:p>
    <w:p w14:paraId="5DD93CC4" w14:textId="77777777" w:rsidR="00E7667D" w:rsidRDefault="00E7667D">
      <w:pPr>
        <w:rPr>
          <w:rFonts w:ascii="Arial" w:eastAsia="Arial" w:hAnsi="Arial" w:cs="Arial"/>
          <w:b/>
          <w:bCs/>
        </w:rPr>
      </w:pPr>
    </w:p>
    <w:p w14:paraId="71FD0976" w14:textId="77777777" w:rsidR="00E7667D" w:rsidRDefault="002E40EE">
      <w:pPr>
        <w:jc w:val="both"/>
        <w:rPr>
          <w:rFonts w:ascii="Arial" w:eastAsia="Arial" w:hAnsi="Arial" w:cs="Arial"/>
        </w:rPr>
      </w:pPr>
      <w:r>
        <w:rPr>
          <w:rFonts w:ascii="Arial" w:eastAsia="Arial" w:hAnsi="Arial" w:cs="Arial"/>
        </w:rPr>
        <w:t xml:space="preserve">The qualitative phase of the study involved seven (n=7) participants to give a deeper understanding of the traumatic clinical experiences in the quantitative phase. </w:t>
      </w:r>
    </w:p>
    <w:p w14:paraId="1360E10A" w14:textId="77777777" w:rsidR="00E7667D" w:rsidRDefault="002E40EE">
      <w:pPr>
        <w:jc w:val="both"/>
        <w:rPr>
          <w:rFonts w:ascii="Arial" w:eastAsia="Arial" w:hAnsi="Arial" w:cs="Arial"/>
        </w:rPr>
      </w:pPr>
      <w:r>
        <w:rPr>
          <w:rFonts w:ascii="Arial" w:eastAsia="Arial" w:hAnsi="Arial" w:cs="Arial"/>
        </w:rPr>
        <w:t>The participants consisted of third year and fourth year student nurses who have undergone clinical rotations. As shown in Table 7, the age of the participants was relatively homogenous, with the majority (71.4%) being 21 years old and the remainder (28.6%) being 22 years old.</w:t>
      </w:r>
    </w:p>
    <w:p w14:paraId="06A60923" w14:textId="77777777" w:rsidR="00E7667D" w:rsidRDefault="00E7667D">
      <w:pPr>
        <w:jc w:val="both"/>
        <w:rPr>
          <w:rFonts w:ascii="Arial" w:eastAsia="Arial" w:hAnsi="Arial" w:cs="Arial"/>
        </w:rPr>
      </w:pPr>
    </w:p>
    <w:p w14:paraId="2AB948A7" w14:textId="77777777" w:rsidR="00E7667D" w:rsidRDefault="002E40EE">
      <w:pPr>
        <w:jc w:val="both"/>
        <w:rPr>
          <w:rFonts w:ascii="Arial" w:eastAsia="Arial" w:hAnsi="Arial" w:cs="Arial"/>
        </w:rPr>
      </w:pPr>
      <w:r>
        <w:rPr>
          <w:rFonts w:ascii="Arial" w:eastAsia="Arial" w:hAnsi="Arial" w:cs="Arial"/>
        </w:rPr>
        <w:t xml:space="preserve">Four participants (P1, P3, P5, and P7) were in their third year of the nursing program, while three participants (P2, P4, and P6) were in their fourth year. </w:t>
      </w:r>
    </w:p>
    <w:p w14:paraId="2124E658" w14:textId="77777777" w:rsidR="00E7667D" w:rsidRDefault="002E40EE">
      <w:pPr>
        <w:jc w:val="both"/>
        <w:rPr>
          <w:rFonts w:ascii="Arial" w:eastAsia="Arial" w:hAnsi="Arial" w:cs="Arial"/>
        </w:rPr>
      </w:pPr>
      <w:r>
        <w:rPr>
          <w:rFonts w:ascii="Arial" w:eastAsia="Arial" w:hAnsi="Arial" w:cs="Arial"/>
        </w:rPr>
        <w:t>This distribution ensured that the qualitative results captured experiences from both the initial and late stages of clinical placement, reflecting a wide variety of exposure to hospital environments and patient care stressors.</w:t>
      </w:r>
    </w:p>
    <w:p w14:paraId="1FA56FE0" w14:textId="77777777" w:rsidR="00E7667D" w:rsidRDefault="00E7667D">
      <w:pPr>
        <w:jc w:val="both"/>
        <w:rPr>
          <w:rFonts w:ascii="Arial" w:eastAsia="Arial" w:hAnsi="Arial" w:cs="Arial"/>
        </w:rPr>
      </w:pPr>
    </w:p>
    <w:p w14:paraId="28C196CE" w14:textId="77777777" w:rsidR="00E7667D" w:rsidRDefault="002E40EE">
      <w:pPr>
        <w:jc w:val="both"/>
        <w:rPr>
          <w:rFonts w:ascii="Arial" w:eastAsia="Arial" w:hAnsi="Arial" w:cs="Arial"/>
          <w:b/>
          <w:bCs/>
        </w:rPr>
      </w:pPr>
      <w:r>
        <w:rPr>
          <w:rFonts w:ascii="Arial" w:eastAsia="Arial" w:hAnsi="Arial" w:cs="Arial"/>
          <w:b/>
          <w:bCs/>
        </w:rPr>
        <w:t>3.2.2 Experiences and Major Themes</w:t>
      </w:r>
    </w:p>
    <w:p w14:paraId="25C319AE" w14:textId="77777777" w:rsidR="00E7667D" w:rsidRDefault="00E7667D">
      <w:pPr>
        <w:jc w:val="both"/>
        <w:rPr>
          <w:rFonts w:ascii="Arial" w:eastAsia="Arial" w:hAnsi="Arial" w:cs="Arial"/>
        </w:rPr>
      </w:pPr>
    </w:p>
    <w:p w14:paraId="48BCEE92" w14:textId="77777777" w:rsidR="00E7667D" w:rsidRDefault="002E40EE">
      <w:pPr>
        <w:jc w:val="both"/>
        <w:rPr>
          <w:rFonts w:ascii="Arial" w:eastAsia="Arial" w:hAnsi="Arial" w:cs="Arial"/>
        </w:rPr>
      </w:pPr>
      <w:r>
        <w:rPr>
          <w:rFonts w:ascii="Arial" w:eastAsia="Arial" w:hAnsi="Arial" w:cs="Arial"/>
        </w:rPr>
        <w:t xml:space="preserve">This study examined the multidimensional impact of traumatic clinical experiences on student nurses, highlighting the interplay between physiological distress, professional identity performance, evaluation anxiety, and adaptive resilience. </w:t>
      </w:r>
    </w:p>
    <w:p w14:paraId="13192006" w14:textId="77777777" w:rsidR="00E7667D" w:rsidRDefault="00E7667D">
      <w:pPr>
        <w:jc w:val="both"/>
        <w:rPr>
          <w:rFonts w:ascii="Arial" w:eastAsia="Arial" w:hAnsi="Arial" w:cs="Arial"/>
        </w:rPr>
      </w:pPr>
    </w:p>
    <w:p w14:paraId="45EE3682" w14:textId="77777777" w:rsidR="00E7667D" w:rsidRDefault="002E40EE">
      <w:pPr>
        <w:jc w:val="both"/>
        <w:rPr>
          <w:rFonts w:ascii="Arial" w:eastAsia="Arial" w:hAnsi="Arial" w:cs="Arial"/>
        </w:rPr>
      </w:pPr>
      <w:r>
        <w:rPr>
          <w:rFonts w:ascii="Arial" w:eastAsia="Arial" w:hAnsi="Arial" w:cs="Arial"/>
        </w:rPr>
        <w:t xml:space="preserve">The findings strongly support Betty Neuman’s Systems Model, which conceptualizes individuals as open systems interacting dynamically with environmental stressors. Traumatic clinical events functioned as external stressors that disrupted students’ physiological and psychological stability. Participants’ accounts of shaking, tachycardia, breathlessness, and cognitive disorientation reflect acute stress responses consistent with Neuman’s framework. </w:t>
      </w:r>
    </w:p>
    <w:p w14:paraId="5EADF922" w14:textId="77777777" w:rsidR="00E7667D" w:rsidRDefault="00E7667D">
      <w:pPr>
        <w:jc w:val="both"/>
        <w:rPr>
          <w:rFonts w:ascii="Arial" w:eastAsia="Arial" w:hAnsi="Arial" w:cs="Arial"/>
        </w:rPr>
      </w:pPr>
    </w:p>
    <w:p w14:paraId="533B7A5F" w14:textId="77777777" w:rsidR="00E7667D" w:rsidRDefault="002E40EE">
      <w:pPr>
        <w:jc w:val="both"/>
        <w:rPr>
          <w:rFonts w:ascii="Arial" w:eastAsia="Arial" w:hAnsi="Arial" w:cs="Arial"/>
        </w:rPr>
      </w:pPr>
      <w:r>
        <w:rPr>
          <w:rFonts w:ascii="Arial" w:eastAsia="Arial" w:hAnsi="Arial" w:cs="Arial"/>
        </w:rPr>
        <w:t>These findings align with Hood and Copeland (2021), who reported that exposure to critical clinical incidents frequently results in shock, helplessness, and persistent feelings of inadequacy among student nurses. The present study reinforces the understanding that clinical trauma is both embodied and psychological in nature.</w:t>
      </w:r>
    </w:p>
    <w:p w14:paraId="2BD2735E" w14:textId="77777777" w:rsidR="00E7667D" w:rsidRDefault="00E7667D">
      <w:pPr>
        <w:jc w:val="both"/>
        <w:rPr>
          <w:rFonts w:ascii="Arial" w:eastAsia="Arial" w:hAnsi="Arial" w:cs="Arial"/>
        </w:rPr>
      </w:pPr>
    </w:p>
    <w:p w14:paraId="43A0A35B" w14:textId="77777777" w:rsidR="00E7667D" w:rsidRDefault="002E40EE">
      <w:pPr>
        <w:jc w:val="both"/>
        <w:rPr>
          <w:rFonts w:ascii="Arial" w:eastAsia="Arial" w:hAnsi="Arial" w:cs="Arial"/>
        </w:rPr>
      </w:pPr>
      <w:r>
        <w:rPr>
          <w:rFonts w:ascii="Arial" w:eastAsia="Arial" w:hAnsi="Arial" w:cs="Arial"/>
        </w:rPr>
        <w:t xml:space="preserve">The theme of the “professional mask” also corroborates established scholarship. Participants’ suppression of authentic emotional reactions in order to appear competent and composed </w:t>
      </w:r>
      <w:r>
        <w:rPr>
          <w:rFonts w:ascii="Arial" w:eastAsia="Arial" w:hAnsi="Arial" w:cs="Arial"/>
        </w:rPr>
        <w:lastRenderedPageBreak/>
        <w:t>reflects Goffman’s (1959) dramaturgical theory of impression management. Similarly, Hochschild’s (1983) concept of surface acting is seen in students’ deliberate modification of facial expressions and behavior to fit into professional expectations.             The emotional exhaustion described by participants supports research linking sustained emotional labor to burnout in healthcare contexts.</w:t>
      </w:r>
    </w:p>
    <w:p w14:paraId="04A7BB78" w14:textId="77777777" w:rsidR="00E7667D" w:rsidRDefault="002E40EE">
      <w:pPr>
        <w:jc w:val="both"/>
        <w:rPr>
          <w:rFonts w:ascii="Arial" w:eastAsia="Arial" w:hAnsi="Arial" w:cs="Arial"/>
        </w:rPr>
      </w:pPr>
      <w:r>
        <w:rPr>
          <w:rFonts w:ascii="Arial" w:eastAsia="Arial" w:hAnsi="Arial" w:cs="Arial"/>
        </w:rPr>
        <w:t>The findings regarding evaluation anxiety are also consistent with Albulescu et al. (2023), who conceptualized assessment-related stress as a multidimensional construct involving cognitive worry and physiological arousal. Students’ reluctance to express uncertainty due to fear of negative evaluation confirms that formal assessments, while essential for academic progression, may intensify psychological pressure.</w:t>
      </w:r>
    </w:p>
    <w:p w14:paraId="31CFA32A" w14:textId="77777777" w:rsidR="00E7667D" w:rsidRDefault="002E40EE">
      <w:pPr>
        <w:jc w:val="both"/>
        <w:rPr>
          <w:rFonts w:ascii="Arial" w:eastAsia="Arial" w:hAnsi="Arial" w:cs="Arial"/>
        </w:rPr>
      </w:pPr>
      <w:r>
        <w:rPr>
          <w:rFonts w:ascii="Arial" w:eastAsia="Arial" w:hAnsi="Arial" w:cs="Arial"/>
        </w:rPr>
        <w:t xml:space="preserve">Finally, the importance of structured debriefing corroborates previous research emphasizing trauma-informed educational practices. In alignment with Ching and Cheung (2021) and </w:t>
      </w:r>
      <w:proofErr w:type="spellStart"/>
      <w:r>
        <w:rPr>
          <w:rFonts w:ascii="Arial" w:eastAsia="Arial" w:hAnsi="Arial" w:cs="Arial"/>
        </w:rPr>
        <w:t>Labrague</w:t>
      </w:r>
      <w:proofErr w:type="spellEnd"/>
      <w:r>
        <w:rPr>
          <w:rFonts w:ascii="Arial" w:eastAsia="Arial" w:hAnsi="Arial" w:cs="Arial"/>
        </w:rPr>
        <w:t xml:space="preserve"> et al. (2024), participants perceived guided reflection as essential for reducing self-blame, clarifying clinical events, and fostering resilience. These findings reinforce the protective function of structured support mechanisms in clinical education.</w:t>
      </w:r>
    </w:p>
    <w:p w14:paraId="05B3616C" w14:textId="77777777" w:rsidR="00E7667D" w:rsidRDefault="00E7667D">
      <w:pPr>
        <w:jc w:val="both"/>
        <w:rPr>
          <w:rFonts w:ascii="Arial" w:eastAsia="Arial" w:hAnsi="Arial" w:cs="Arial"/>
        </w:rPr>
      </w:pPr>
    </w:p>
    <w:p w14:paraId="4DAD1392" w14:textId="77777777" w:rsidR="00E7667D" w:rsidRDefault="002E40EE">
      <w:pPr>
        <w:jc w:val="both"/>
        <w:rPr>
          <w:rFonts w:ascii="Arial" w:eastAsia="Arial" w:hAnsi="Arial" w:cs="Arial"/>
        </w:rPr>
      </w:pPr>
      <w:r>
        <w:rPr>
          <w:rFonts w:ascii="Arial" w:eastAsia="Arial" w:hAnsi="Arial" w:cs="Arial"/>
        </w:rPr>
        <w:t>Despite strong alignment with prior research, several findings challenge prevailing assumptions in the literature. Firstly, while resilience is often portrayed as primarily cultivated through institutional support systems, this study found that students frequently developed resilience independently when structured debriefing was unavailable. Participants relied on self-reassurance, cognitive reframing, peer support, and spiritual anchoring without formal guidance. This contradicts perspectives that resilience development is largely dependent on faculty-led interventions and structured institutional programs.</w:t>
      </w:r>
    </w:p>
    <w:p w14:paraId="03D4AFBE" w14:textId="77777777" w:rsidR="00E7667D" w:rsidRDefault="00E7667D">
      <w:pPr>
        <w:jc w:val="both"/>
        <w:rPr>
          <w:rFonts w:ascii="Arial" w:eastAsia="Arial" w:hAnsi="Arial" w:cs="Arial"/>
        </w:rPr>
      </w:pPr>
    </w:p>
    <w:p w14:paraId="1166CE7D" w14:textId="77777777" w:rsidR="00E7667D" w:rsidRDefault="002E40EE">
      <w:pPr>
        <w:jc w:val="both"/>
        <w:rPr>
          <w:rFonts w:ascii="Arial" w:eastAsia="Arial" w:hAnsi="Arial" w:cs="Arial"/>
        </w:rPr>
      </w:pPr>
      <w:r>
        <w:rPr>
          <w:rFonts w:ascii="Arial" w:eastAsia="Arial" w:hAnsi="Arial" w:cs="Arial"/>
        </w:rPr>
        <w:t xml:space="preserve">Emotional labor is also commonly discussed in relation to licensed professionals and workplace burnout. However, this study reveals that the performance of professionalism and emotional suppression begins during undergraduate clinical training. This finding contradicts the implicit assumption that emotional labor emerges primarily after entry into the professional </w:t>
      </w:r>
      <w:proofErr w:type="gramStart"/>
      <w:r>
        <w:rPr>
          <w:rFonts w:ascii="Arial" w:eastAsia="Arial" w:hAnsi="Arial" w:cs="Arial"/>
        </w:rPr>
        <w:t>workforce..</w:t>
      </w:r>
      <w:proofErr w:type="gramEnd"/>
    </w:p>
    <w:p w14:paraId="300C494F" w14:textId="77777777" w:rsidR="00E7667D" w:rsidRDefault="00E7667D">
      <w:pPr>
        <w:jc w:val="both"/>
        <w:rPr>
          <w:rFonts w:ascii="Arial" w:eastAsia="Arial" w:hAnsi="Arial" w:cs="Arial"/>
        </w:rPr>
      </w:pPr>
    </w:p>
    <w:p w14:paraId="62652281" w14:textId="77777777" w:rsidR="00E7667D" w:rsidRDefault="002E40EE">
      <w:pPr>
        <w:jc w:val="both"/>
        <w:rPr>
          <w:rFonts w:ascii="Arial" w:eastAsia="Arial" w:hAnsi="Arial" w:cs="Arial"/>
        </w:rPr>
      </w:pPr>
      <w:r>
        <w:rPr>
          <w:rFonts w:ascii="Arial" w:eastAsia="Arial" w:hAnsi="Arial" w:cs="Arial"/>
        </w:rPr>
        <w:t>Lastly, while evaluation systems are widely regarded as mechanisms to enhance competency, the findings suggest that high-pressure assessment may suppress help-seeking behaviors. Students reported withholding questions and internalizing distress to avoid unfavorable evaluations. This challenges the assumption that evaluative structures uniformly promote learning engagement. These contradictions indicate that resilience formation and professional identity development may be more complex and occurring earlier than traditionally conceptualized in nursing education literature.</w:t>
      </w:r>
    </w:p>
    <w:p w14:paraId="5CE9A1A7" w14:textId="77777777" w:rsidR="00E7667D" w:rsidRDefault="00E7667D">
      <w:pPr>
        <w:jc w:val="both"/>
        <w:rPr>
          <w:rFonts w:ascii="Arial" w:eastAsia="Arial" w:hAnsi="Arial" w:cs="Arial"/>
        </w:rPr>
      </w:pPr>
    </w:p>
    <w:p w14:paraId="09EB6800" w14:textId="77777777" w:rsidR="00E7667D" w:rsidRDefault="002E40EE">
      <w:pPr>
        <w:jc w:val="both"/>
        <w:rPr>
          <w:rFonts w:ascii="Arial" w:eastAsia="Arial" w:hAnsi="Arial" w:cs="Arial"/>
          <w:b/>
          <w:bCs/>
          <w:sz w:val="22"/>
          <w:szCs w:val="22"/>
        </w:rPr>
      </w:pPr>
      <w:r>
        <w:rPr>
          <w:rFonts w:ascii="Arial" w:eastAsia="Arial" w:hAnsi="Arial" w:cs="Arial"/>
          <w:b/>
          <w:bCs/>
          <w:sz w:val="22"/>
          <w:szCs w:val="22"/>
        </w:rPr>
        <w:t>3.3. Integration of Findings</w:t>
      </w:r>
    </w:p>
    <w:p w14:paraId="270183CB" w14:textId="77777777" w:rsidR="00E7667D" w:rsidRDefault="00E7667D">
      <w:pPr>
        <w:jc w:val="both"/>
        <w:rPr>
          <w:rFonts w:ascii="Arial" w:eastAsia="Arial" w:hAnsi="Arial" w:cs="Arial"/>
        </w:rPr>
      </w:pPr>
    </w:p>
    <w:p w14:paraId="0029DAA4" w14:textId="77777777" w:rsidR="00E7667D" w:rsidRDefault="002E40EE">
      <w:pPr>
        <w:jc w:val="both"/>
        <w:rPr>
          <w:rFonts w:ascii="Arial" w:eastAsia="Arial" w:hAnsi="Arial" w:cs="Arial"/>
        </w:rPr>
      </w:pPr>
      <w:r>
        <w:rPr>
          <w:rFonts w:ascii="Arial" w:eastAsia="Arial" w:hAnsi="Arial" w:cs="Arial"/>
        </w:rPr>
        <w:t xml:space="preserve">This study utilized a concurrent mixed-methods design, wherein quantitative and qualitative data were collected within the same phase, analyzed separately, and then integrated for comprehensive interpretation.  The quantitative phase involved 275 third year and fourth year student nurses, selected through stratified random sampling within the identified respondents. Adopted and researcher-made validated questionnaires were used to measure traumatic clinical experience, anxiety, and debriefing received. The qualitative phase included purposively selected participants who reported significant clinical experiences and were willing to share detailed narratives. Semi-structured interviews were conducted to explore lived experiences, emotional processing, debriefing perceptions, and adaptive strategies. </w:t>
      </w:r>
    </w:p>
    <w:p w14:paraId="60B57B86" w14:textId="77777777" w:rsidR="00E7667D" w:rsidRDefault="00E7667D">
      <w:pPr>
        <w:jc w:val="both"/>
        <w:rPr>
          <w:rFonts w:ascii="Arial" w:eastAsia="Arial" w:hAnsi="Arial" w:cs="Arial"/>
        </w:rPr>
      </w:pPr>
    </w:p>
    <w:p w14:paraId="2D50BB7E" w14:textId="77777777" w:rsidR="00E7667D" w:rsidRDefault="002E40EE">
      <w:pPr>
        <w:jc w:val="both"/>
        <w:rPr>
          <w:rFonts w:ascii="Arial" w:eastAsia="Arial" w:hAnsi="Arial" w:cs="Arial"/>
        </w:rPr>
      </w:pPr>
      <w:r>
        <w:rPr>
          <w:rFonts w:ascii="Arial" w:eastAsia="Arial" w:hAnsi="Arial" w:cs="Arial"/>
        </w:rPr>
        <w:t xml:space="preserve">The integration of quantitative and qualitative data is the essential feature of mixed-methods research, providing a more comprehensive understanding than either method alone (Fetters et al., 2013). This study employed a convergent design, in which quantitative data from 275 </w:t>
      </w:r>
      <w:r>
        <w:rPr>
          <w:rFonts w:ascii="Arial" w:eastAsia="Arial" w:hAnsi="Arial" w:cs="Arial"/>
        </w:rPr>
        <w:lastRenderedPageBreak/>
        <w:t xml:space="preserve">respondents, selected through stratified random sampling, were merged with qualitative insights from seven (7) key participants. The integration followed the Good Reporting of </w:t>
      </w:r>
      <w:proofErr w:type="gramStart"/>
      <w:r>
        <w:rPr>
          <w:rFonts w:ascii="Arial" w:eastAsia="Arial" w:hAnsi="Arial" w:cs="Arial"/>
        </w:rPr>
        <w:t>A</w:t>
      </w:r>
      <w:proofErr w:type="gramEnd"/>
      <w:r>
        <w:rPr>
          <w:rFonts w:ascii="Arial" w:eastAsia="Arial" w:hAnsi="Arial" w:cs="Arial"/>
        </w:rPr>
        <w:t xml:space="preserve"> Mixed Methods Study (GRAMMS) guidelines to ensure rigor and transparency (</w:t>
      </w:r>
      <w:proofErr w:type="spellStart"/>
      <w:r>
        <w:rPr>
          <w:rFonts w:ascii="Arial" w:eastAsia="Arial" w:hAnsi="Arial" w:cs="Arial"/>
        </w:rPr>
        <w:t>O’Cathain</w:t>
      </w:r>
      <w:proofErr w:type="spellEnd"/>
      <w:r>
        <w:rPr>
          <w:rFonts w:ascii="Arial" w:eastAsia="Arial" w:hAnsi="Arial" w:cs="Arial"/>
        </w:rPr>
        <w:t xml:space="preserve"> et al., 2008). By triangulating statistical trends with lived experiences, the researchers identified areas of confirmation, expansion, and discordance; a process highlighted by Younas et al. (2023) as essential in nursing research for uncovering hidden phenomena. Standardized scores may be influenced by social desirability or cultural norms, which qualitative narratives can help contextualize and clarify.</w:t>
      </w:r>
    </w:p>
    <w:p w14:paraId="0D35A3A6" w14:textId="77777777" w:rsidR="00E7667D" w:rsidRDefault="00E7667D">
      <w:pPr>
        <w:jc w:val="both"/>
        <w:rPr>
          <w:rFonts w:ascii="Arial" w:eastAsia="Arial" w:hAnsi="Arial" w:cs="Arial"/>
          <w:b/>
          <w:bCs/>
        </w:rPr>
      </w:pPr>
    </w:p>
    <w:p w14:paraId="5DD3C6BC" w14:textId="77777777" w:rsidR="00E7667D" w:rsidRDefault="002E40EE">
      <w:pPr>
        <w:jc w:val="both"/>
        <w:rPr>
          <w:rFonts w:ascii="Arial" w:eastAsia="Arial" w:hAnsi="Arial" w:cs="Arial"/>
        </w:rPr>
      </w:pPr>
      <w:r>
        <w:rPr>
          <w:rFonts w:ascii="Arial" w:eastAsia="Arial" w:hAnsi="Arial" w:cs="Arial"/>
        </w:rPr>
        <w:t>The quantitative data and qualitative narratives provide an understanding of how debriefing serves as a critical mediator between traumatic clinical experiences (TCE) and student anxiety. By integrating the statistical results from 275 respondents with the lived experiences of seven (7) key participants, the study achieves a meta-understanding of the phenomena.</w:t>
      </w:r>
    </w:p>
    <w:p w14:paraId="207BF350" w14:textId="77777777" w:rsidR="00E7667D" w:rsidRDefault="00E7667D">
      <w:pPr>
        <w:jc w:val="both"/>
        <w:rPr>
          <w:rFonts w:ascii="Arial" w:eastAsia="Arial" w:hAnsi="Arial" w:cs="Arial"/>
        </w:rPr>
      </w:pPr>
    </w:p>
    <w:p w14:paraId="4E3215CF" w14:textId="77777777" w:rsidR="00E7667D" w:rsidRDefault="002E40EE">
      <w:pPr>
        <w:jc w:val="both"/>
        <w:rPr>
          <w:rFonts w:ascii="Arial" w:eastAsia="Arial" w:hAnsi="Arial" w:cs="Arial"/>
        </w:rPr>
      </w:pPr>
      <w:r>
        <w:rPr>
          <w:rFonts w:ascii="Arial Unicode MS" w:eastAsia="Arial Unicode MS" w:hAnsi="Arial Unicode MS" w:cs="Arial Unicode MS"/>
        </w:rPr>
        <w:t xml:space="preserve">The study found that student nurses are frequently exposed to high-impact events. Using the Impact of Events Scale-Revised (IES-R), the overall impact of traumatic clinical experiences indicated that students often move past the low range (0-23) into categories of clinical significance, including probable (≥ 33) and extreme </w:t>
      </w:r>
      <w:proofErr w:type="gramStart"/>
      <w:r>
        <w:rPr>
          <w:rFonts w:ascii="Arial Unicode MS" w:eastAsia="Arial Unicode MS" w:hAnsi="Arial Unicode MS" w:cs="Arial Unicode MS"/>
        </w:rPr>
        <w:t>( ≥</w:t>
      </w:r>
      <w:proofErr w:type="gramEnd"/>
      <w:r>
        <w:rPr>
          <w:rFonts w:ascii="Arial Unicode MS" w:eastAsia="Arial Unicode MS" w:hAnsi="Arial Unicode MS" w:cs="Arial Unicode MS"/>
        </w:rPr>
        <w:t xml:space="preserve"> 37) impact. Participants validated these scores by describing the nature of trauma. P1 and P3 described a profound physical and mental collapse, characterized by intense shaking and feeling wrecked. P1 specifically noted a state of performance paralysis. This convergence confirms that Traumatic Clinical Experiences act as powerful stressors that penetrate the student’s flexible line of defense, as conceptualized in the Neuman Systems Model. The transition from statistical “extreme” scores to qualitative descriptions of physical collapse aligns with Oakley et. al (2024), who noted that clinical trauma is a primary driver of Secondary Traumatic Stress (STS) in nursing education.</w:t>
      </w:r>
    </w:p>
    <w:p w14:paraId="727B868E" w14:textId="77777777" w:rsidR="00E7667D" w:rsidRDefault="00E7667D">
      <w:pPr>
        <w:jc w:val="both"/>
        <w:rPr>
          <w:rFonts w:ascii="Arial" w:eastAsia="Arial" w:hAnsi="Arial" w:cs="Arial"/>
        </w:rPr>
      </w:pPr>
    </w:p>
    <w:p w14:paraId="07E5E60F" w14:textId="77777777" w:rsidR="00E7667D" w:rsidRDefault="002E40EE">
      <w:pPr>
        <w:jc w:val="both"/>
        <w:rPr>
          <w:rFonts w:ascii="Arial" w:eastAsia="Arial" w:hAnsi="Arial" w:cs="Arial"/>
        </w:rPr>
      </w:pPr>
      <w:r>
        <w:rPr>
          <w:rFonts w:ascii="Arial Unicode MS" w:eastAsia="Arial Unicode MS" w:hAnsi="Arial Unicode MS" w:cs="Arial Unicode MS"/>
        </w:rPr>
        <w:t>The Spearman’s rho Correlation Test revealed a moderate positive relationship between TCE and anxiety (rₛ = .</w:t>
      </w:r>
      <w:proofErr w:type="gramStart"/>
      <w:r>
        <w:rPr>
          <w:rFonts w:ascii="Arial Unicode MS" w:eastAsia="Arial Unicode MS" w:hAnsi="Arial Unicode MS" w:cs="Arial Unicode MS"/>
        </w:rPr>
        <w:t>587 ;</w:t>
      </w:r>
      <w:proofErr w:type="gramEnd"/>
      <w:r>
        <w:rPr>
          <w:rFonts w:ascii="Arial Unicode MS" w:eastAsia="Arial Unicode MS" w:hAnsi="Arial Unicode MS" w:cs="Arial Unicode MS"/>
        </w:rPr>
        <w:t xml:space="preserve"> p = .001). This indicated that as the impact of trauma increases, the Generalized Anxiety Disorder (GAD-7) scores also rise. Furthermore, a substantial percentage of students scored in the moderate (10-14) and severe (15-21) anxiety ranges, categorized as clinically significant (≥ 10). Participants expanded on this by detailing evaluation anxiety and a fear of judgement. P4 and P7 highlighted that their anxiety was coming from a fear of appearing incompetent, leading to a profession questioning where they doubted their suitability for the nursing career. While the statistics (rₛ = .587 &lt; .05) prove the relationship, the qualitative reveals the anxiety is really professional. This supports the research by Younas et. al (2023) regarding the hidden phenomenon of anxiety related to professional identity. The quantitative finding of severe anxiety is explained by the qualitative fear of failure and the emotional weight of clinical responsibility.</w:t>
      </w:r>
    </w:p>
    <w:p w14:paraId="19B7734A" w14:textId="77777777" w:rsidR="00E7667D" w:rsidRDefault="002E40EE">
      <w:pPr>
        <w:jc w:val="both"/>
        <w:rPr>
          <w:rFonts w:ascii="Arial" w:eastAsia="Arial" w:hAnsi="Arial" w:cs="Arial"/>
        </w:rPr>
      </w:pPr>
      <w:r>
        <w:rPr>
          <w:rFonts w:ascii="Arial" w:eastAsia="Arial" w:hAnsi="Arial" w:cs="Arial"/>
        </w:rPr>
        <w:t xml:space="preserve">Debriefing was rated highly effective overall (M = 3.74). The highest means were observed in Clinical Judgement (M = 3.88) and Learning from Experience (M = 3.86). However, the component of Emotional Expression and Venting received a notably lower mean (M = 3.49). In the qualitative narrations, P4 emphasized that Clinical Instructors (CIs) are in the best </w:t>
      </w:r>
      <w:r>
        <w:rPr>
          <w:rFonts w:ascii="Arial" w:eastAsia="Arial" w:hAnsi="Arial" w:cs="Arial"/>
        </w:rPr>
        <w:lastRenderedPageBreak/>
        <w:t>position to lead debriefing because they can correct misconceptions and link emotional processing with professional learning. The data shows a synergy in clinical learning but a gap in emotional support. The high scores for cognitive reframing (M = 3.86) support the literature's stance on debriefing as a vital educational tool. However, the lower quantitative score for emotional venting (M = 3.49) suggests that debriefing is often treated as a clinical post-mortem. This relates to Cambridge et al. (2023), who found that while debriefing improves clinical competency, it often fails to provide an adequate outlet for the student’s internal emotional state.</w:t>
      </w:r>
    </w:p>
    <w:p w14:paraId="2DCEAD4F" w14:textId="77777777" w:rsidR="00E7667D" w:rsidRDefault="00E7667D">
      <w:pPr>
        <w:jc w:val="both"/>
        <w:rPr>
          <w:rFonts w:ascii="Arial" w:eastAsia="Arial" w:hAnsi="Arial" w:cs="Arial"/>
        </w:rPr>
      </w:pPr>
    </w:p>
    <w:p w14:paraId="6CDB77DA" w14:textId="77777777" w:rsidR="00E7667D" w:rsidRDefault="002E40EE">
      <w:pPr>
        <w:jc w:val="both"/>
        <w:rPr>
          <w:rFonts w:ascii="Arial" w:eastAsia="Arial" w:hAnsi="Arial" w:cs="Arial"/>
        </w:rPr>
      </w:pPr>
      <w:r>
        <w:rPr>
          <w:rFonts w:ascii="Arial" w:eastAsia="Arial" w:hAnsi="Arial" w:cs="Arial"/>
        </w:rPr>
        <w:t xml:space="preserve">Despite the high overall effectiveness (M = 3.74), the quantitative data indicated a lower score for the item assessing whether debriefing lasts long enough to process emotions (M = 3.63). Trauma Bonding emerged where students revealed that when formal debriefing by Clinical Instructors was missing or too brief, they turned to their peers to survive the shift. This identifies a discordance between the perceived value of debriefing and its actual implementation. In the Neuman Systems Model, debriefing is secondary prevention. When this formal system fails, as suggested by the lower mean for session duration, students default to tertiary prevention (reconstitution) through peer support. Overall scores showed that despite high trauma impact, students maintained a level of functioning that allowed them to continue their program, suggesting active lines of resistance. The integration reveals that students are proactive in protecting their system core. The reliance on spirituality as an adaptive strategy is consistent Mahinay et al. (2025), highlighting that Filipino student nurses rely heavily on social circles and spiritual anchoring to maintain stability when institutional support is insufficient. This process of reconstitution is what allows students to remain in the program despite the statistically significant correlation between trauma and anxiety </w:t>
      </w:r>
      <w:proofErr w:type="gramStart"/>
      <w:r>
        <w:rPr>
          <w:rFonts w:ascii="Arial" w:eastAsia="Arial" w:hAnsi="Arial" w:cs="Arial"/>
        </w:rPr>
        <w:t>( r</w:t>
      </w:r>
      <w:proofErr w:type="gramEnd"/>
      <w:r>
        <w:rPr>
          <w:rFonts w:ascii="Arial" w:eastAsia="Arial" w:hAnsi="Arial" w:cs="Arial"/>
        </w:rPr>
        <w:t>ₛ = .587)</w:t>
      </w:r>
    </w:p>
    <w:p w14:paraId="3A91E354" w14:textId="77777777" w:rsidR="00E7667D" w:rsidRDefault="00E7667D">
      <w:pPr>
        <w:jc w:val="both"/>
        <w:rPr>
          <w:rFonts w:ascii="Arial" w:eastAsia="Arial" w:hAnsi="Arial" w:cs="Arial"/>
        </w:rPr>
      </w:pPr>
    </w:p>
    <w:p w14:paraId="09CACE2F" w14:textId="77777777" w:rsidR="00E7667D" w:rsidRDefault="002E40EE">
      <w:pPr>
        <w:jc w:val="both"/>
        <w:rPr>
          <w:rFonts w:ascii="Arial" w:eastAsia="Arial" w:hAnsi="Arial" w:cs="Arial"/>
        </w:rPr>
      </w:pPr>
      <w:r>
        <w:rPr>
          <w:rFonts w:ascii="Arial" w:eastAsia="Arial" w:hAnsi="Arial" w:cs="Arial"/>
        </w:rPr>
        <w:t>The integration of quantitative and qualitative data in this study highlights specific limitations that would have been overlooked if the methods had been employed independently. A primary limitation of the quantitative method addressed by the qualitative findings is the “ceiling effect” of standardized scales like the GAD-7 and IES-R. While the survey data successfully categorized students into severe or extreme impact groups, these metrics were unable to capture the nuanced origin of the anxiety. Without the qualitative narratives, the statistical correlation (rₛ = .587) might have been misinterpreted as general academic stress; however, the key informant interviews revealed that this anxiety is specifically professional and evaluative in nature, rooted in a fear of appearing incompetent. Conversely, a limitation of the qualitative method, its lack of generalizability, was mitigated by the survey of 275 respondents. While the seven informants provided deep descriptions of visceral collapse, the quantitative data was necessary to prove that these were not isolated emotional incidents but rather a widespread phenomenon affecting a statistically significant portion of the student population.</w:t>
      </w:r>
    </w:p>
    <w:p w14:paraId="44548B2F" w14:textId="77777777" w:rsidR="00E7667D" w:rsidRDefault="00E7667D">
      <w:pPr>
        <w:jc w:val="both"/>
        <w:rPr>
          <w:rFonts w:ascii="Arial" w:eastAsia="Arial" w:hAnsi="Arial" w:cs="Arial"/>
        </w:rPr>
      </w:pPr>
    </w:p>
    <w:p w14:paraId="7A6C670F" w14:textId="77777777" w:rsidR="00E7667D" w:rsidRDefault="002E40EE">
      <w:pPr>
        <w:jc w:val="both"/>
        <w:rPr>
          <w:rFonts w:ascii="Arial" w:eastAsia="Arial" w:hAnsi="Arial" w:cs="Arial"/>
        </w:rPr>
      </w:pPr>
      <w:r>
        <w:rPr>
          <w:rFonts w:ascii="Arial" w:eastAsia="Arial" w:hAnsi="Arial" w:cs="Arial"/>
        </w:rPr>
        <w:t>The integration of the quantitative and qualitative data provides a meta-understanding of the clinical-affective gap. While the quantitative data initially suggested a successful debriefing program based on high effectiveness scores (M = 3.74), the integration of the significantly lower mean for emotional venting (M = 3.49) with the qualitative finding of trauma bonding revealed a critical system gap. Specifically, the findings indicate that while the debriefing session excels at cognitive and technical review, it is failing to function as an adequate psychological safety net. This discordance suggests that debriefing is currently treated as a task-oriented evaluation, focusing on “what” and “how” of the clinical event, while neglecting the student’s internal emotional state. Consequently, students are forced to seek informal peer support (tertiary prevention) because institutional debriefing sessions (secondary prevention) are insufficient for emotional processing. This level of insight, identifying the tension between institutional learning objectives and the student’s emotional survival, would be impossible to achieve without comparing the statistical effectiveness of the debriefing against the lived reality of performance paralysis described by the participants.</w:t>
      </w:r>
    </w:p>
    <w:p w14:paraId="2BBA9440" w14:textId="77777777" w:rsidR="00E7667D" w:rsidRDefault="00E7667D">
      <w:pPr>
        <w:jc w:val="both"/>
        <w:rPr>
          <w:rFonts w:ascii="Arial" w:eastAsia="Arial" w:hAnsi="Arial" w:cs="Arial"/>
        </w:rPr>
      </w:pPr>
    </w:p>
    <w:p w14:paraId="2FD62102" w14:textId="77777777" w:rsidR="00E7667D" w:rsidRDefault="00E7667D">
      <w:pPr>
        <w:jc w:val="both"/>
        <w:rPr>
          <w:rFonts w:ascii="Arial" w:eastAsia="Arial" w:hAnsi="Arial" w:cs="Arial"/>
          <w:u w:val="single"/>
        </w:rPr>
      </w:pPr>
    </w:p>
    <w:p w14:paraId="44BD27B0" w14:textId="77777777" w:rsidR="00E7667D" w:rsidRDefault="002E40EE">
      <w:pPr>
        <w:rPr>
          <w:rFonts w:ascii="Arial" w:eastAsia="Arial" w:hAnsi="Arial" w:cs="Arial"/>
          <w:i/>
          <w:iCs/>
        </w:rPr>
      </w:pPr>
      <w:r>
        <w:rPr>
          <w:rFonts w:ascii="Arial" w:eastAsia="Arial" w:hAnsi="Arial" w:cs="Arial"/>
          <w:b/>
          <w:bCs/>
        </w:rPr>
        <w:t xml:space="preserve">Table 1 </w:t>
      </w:r>
    </w:p>
    <w:p w14:paraId="27A85C3D" w14:textId="77777777" w:rsidR="00E7667D" w:rsidRDefault="002E40EE">
      <w:pPr>
        <w:rPr>
          <w:rFonts w:ascii="Arial" w:eastAsia="Arial" w:hAnsi="Arial" w:cs="Arial"/>
          <w:b/>
          <w:bCs/>
        </w:rPr>
      </w:pPr>
      <w:r>
        <w:rPr>
          <w:rFonts w:ascii="Arial" w:eastAsia="Arial" w:hAnsi="Arial" w:cs="Arial"/>
          <w:b/>
          <w:bCs/>
        </w:rPr>
        <w:t>Profile of the Respondents (n=275)</w:t>
      </w:r>
    </w:p>
    <w:tbl>
      <w:tblPr>
        <w:tblStyle w:val="a0"/>
        <w:tblW w:w="82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2"/>
        <w:gridCol w:w="2052"/>
        <w:gridCol w:w="2052"/>
        <w:gridCol w:w="2052"/>
      </w:tblGrid>
      <w:tr w:rsidR="00E7667D" w14:paraId="08B3661E" w14:textId="77777777">
        <w:trPr>
          <w:trHeight w:val="215"/>
        </w:trPr>
        <w:tc>
          <w:tcPr>
            <w:tcW w:w="2052" w:type="dxa"/>
            <w:tcBorders>
              <w:top w:val="single" w:sz="8" w:space="0" w:color="000000"/>
              <w:left w:val="nil"/>
              <w:bottom w:val="single" w:sz="8" w:space="0" w:color="000000"/>
              <w:right w:val="nil"/>
            </w:tcBorders>
            <w:shd w:val="clear" w:color="auto" w:fill="FFFFFF"/>
            <w:tcMar>
              <w:top w:w="-144" w:type="dxa"/>
              <w:left w:w="-144" w:type="dxa"/>
              <w:bottom w:w="-144" w:type="dxa"/>
              <w:right w:w="-144" w:type="dxa"/>
            </w:tcMar>
          </w:tcPr>
          <w:p w14:paraId="00E746B6" w14:textId="77777777" w:rsidR="00E7667D" w:rsidRDefault="002E40EE">
            <w:pPr>
              <w:rPr>
                <w:rFonts w:ascii="Arial" w:eastAsia="Arial" w:hAnsi="Arial" w:cs="Arial"/>
                <w:b/>
                <w:bCs/>
              </w:rPr>
            </w:pPr>
            <w:r>
              <w:rPr>
                <w:rFonts w:ascii="Arial" w:eastAsia="Arial" w:hAnsi="Arial" w:cs="Arial"/>
                <w:b/>
                <w:bCs/>
              </w:rPr>
              <w:t xml:space="preserve"> Variable</w:t>
            </w:r>
          </w:p>
        </w:tc>
        <w:tc>
          <w:tcPr>
            <w:tcW w:w="2052" w:type="dxa"/>
            <w:tcBorders>
              <w:top w:val="single" w:sz="8" w:space="0" w:color="000000"/>
              <w:left w:val="nil"/>
              <w:bottom w:val="single" w:sz="8" w:space="0" w:color="000000"/>
              <w:right w:val="nil"/>
            </w:tcBorders>
            <w:shd w:val="clear" w:color="auto" w:fill="FFFFFF"/>
            <w:tcMar>
              <w:top w:w="-144" w:type="dxa"/>
              <w:left w:w="-144" w:type="dxa"/>
              <w:bottom w:w="-144" w:type="dxa"/>
              <w:right w:w="-144" w:type="dxa"/>
            </w:tcMar>
          </w:tcPr>
          <w:p w14:paraId="43907096" w14:textId="77777777" w:rsidR="00E7667D" w:rsidRDefault="00E7667D">
            <w:pPr>
              <w:rPr>
                <w:rFonts w:ascii="Arial" w:eastAsia="Arial" w:hAnsi="Arial" w:cs="Arial"/>
                <w:b/>
                <w:bCs/>
              </w:rPr>
            </w:pPr>
          </w:p>
        </w:tc>
        <w:tc>
          <w:tcPr>
            <w:tcW w:w="2052" w:type="dxa"/>
            <w:tcBorders>
              <w:top w:val="single" w:sz="8" w:space="0" w:color="000000"/>
              <w:left w:val="nil"/>
              <w:bottom w:val="single" w:sz="8" w:space="0" w:color="000000"/>
              <w:right w:val="nil"/>
            </w:tcBorders>
            <w:shd w:val="clear" w:color="auto" w:fill="FFFFFF"/>
            <w:tcMar>
              <w:top w:w="-144" w:type="dxa"/>
              <w:left w:w="-144" w:type="dxa"/>
              <w:bottom w:w="-144" w:type="dxa"/>
              <w:right w:w="-144" w:type="dxa"/>
            </w:tcMar>
          </w:tcPr>
          <w:p w14:paraId="173BF460" w14:textId="77777777" w:rsidR="00E7667D" w:rsidRDefault="002E40EE">
            <w:pPr>
              <w:jc w:val="center"/>
              <w:rPr>
                <w:rFonts w:ascii="Arial" w:eastAsia="Arial" w:hAnsi="Arial" w:cs="Arial"/>
                <w:b/>
                <w:bCs/>
                <w:i/>
                <w:iCs/>
              </w:rPr>
            </w:pPr>
            <w:r>
              <w:rPr>
                <w:rFonts w:ascii="Arial" w:eastAsia="Arial" w:hAnsi="Arial" w:cs="Arial"/>
                <w:b/>
                <w:bCs/>
                <w:i/>
                <w:iCs/>
              </w:rPr>
              <w:t>f</w:t>
            </w:r>
          </w:p>
        </w:tc>
        <w:tc>
          <w:tcPr>
            <w:tcW w:w="2052" w:type="dxa"/>
            <w:tcBorders>
              <w:top w:val="single" w:sz="8" w:space="0" w:color="000000"/>
              <w:left w:val="nil"/>
              <w:bottom w:val="single" w:sz="8" w:space="0" w:color="000000"/>
              <w:right w:val="nil"/>
            </w:tcBorders>
            <w:shd w:val="clear" w:color="auto" w:fill="FFFFFF"/>
            <w:tcMar>
              <w:top w:w="-144" w:type="dxa"/>
              <w:left w:w="-144" w:type="dxa"/>
              <w:bottom w:w="-144" w:type="dxa"/>
              <w:right w:w="-144" w:type="dxa"/>
            </w:tcMar>
          </w:tcPr>
          <w:p w14:paraId="721AC98F" w14:textId="77777777" w:rsidR="00E7667D" w:rsidRDefault="002E40EE">
            <w:pPr>
              <w:jc w:val="center"/>
              <w:rPr>
                <w:rFonts w:ascii="Arial" w:eastAsia="Arial" w:hAnsi="Arial" w:cs="Arial"/>
                <w:b/>
                <w:bCs/>
              </w:rPr>
            </w:pPr>
            <w:r>
              <w:rPr>
                <w:rFonts w:ascii="Arial" w:eastAsia="Arial" w:hAnsi="Arial" w:cs="Arial"/>
                <w:b/>
                <w:bCs/>
              </w:rPr>
              <w:t>%</w:t>
            </w:r>
          </w:p>
        </w:tc>
      </w:tr>
      <w:tr w:rsidR="00E7667D" w14:paraId="30AF91C2" w14:textId="77777777">
        <w:trPr>
          <w:trHeight w:val="405"/>
        </w:trPr>
        <w:tc>
          <w:tcPr>
            <w:tcW w:w="2052" w:type="dxa"/>
            <w:tcBorders>
              <w:top w:val="single" w:sz="8" w:space="0" w:color="000000"/>
              <w:left w:val="nil"/>
              <w:bottom w:val="nil"/>
              <w:right w:val="nil"/>
            </w:tcBorders>
            <w:tcMar>
              <w:top w:w="-144" w:type="dxa"/>
              <w:left w:w="-144" w:type="dxa"/>
              <w:bottom w:w="-144" w:type="dxa"/>
              <w:right w:w="-144" w:type="dxa"/>
            </w:tcMar>
          </w:tcPr>
          <w:p w14:paraId="6561476A" w14:textId="77777777" w:rsidR="00E7667D" w:rsidRDefault="002E40EE">
            <w:pPr>
              <w:rPr>
                <w:rFonts w:ascii="Arial" w:eastAsia="Arial" w:hAnsi="Arial" w:cs="Arial"/>
              </w:rPr>
            </w:pPr>
            <w:r>
              <w:rPr>
                <w:rFonts w:ascii="Arial" w:eastAsia="Arial" w:hAnsi="Arial" w:cs="Arial"/>
              </w:rPr>
              <w:t>Age</w:t>
            </w:r>
          </w:p>
        </w:tc>
        <w:tc>
          <w:tcPr>
            <w:tcW w:w="2052" w:type="dxa"/>
            <w:tcBorders>
              <w:top w:val="single" w:sz="8" w:space="0" w:color="000000"/>
              <w:left w:val="nil"/>
              <w:bottom w:val="nil"/>
              <w:right w:val="nil"/>
            </w:tcBorders>
            <w:tcMar>
              <w:top w:w="-144" w:type="dxa"/>
              <w:left w:w="-144" w:type="dxa"/>
              <w:bottom w:w="-144" w:type="dxa"/>
              <w:right w:w="-144" w:type="dxa"/>
            </w:tcMar>
            <w:vAlign w:val="center"/>
          </w:tcPr>
          <w:p w14:paraId="5FFDA863" w14:textId="77777777" w:rsidR="00E7667D" w:rsidRDefault="002E40EE">
            <w:pPr>
              <w:rPr>
                <w:rFonts w:ascii="Arial" w:eastAsia="Arial" w:hAnsi="Arial" w:cs="Arial"/>
              </w:rPr>
            </w:pPr>
            <w:r>
              <w:rPr>
                <w:rFonts w:ascii="Arial" w:eastAsia="Arial" w:hAnsi="Arial" w:cs="Arial"/>
              </w:rPr>
              <w:t>&lt; 22 years old</w:t>
            </w:r>
          </w:p>
        </w:tc>
        <w:tc>
          <w:tcPr>
            <w:tcW w:w="2052" w:type="dxa"/>
            <w:tcBorders>
              <w:top w:val="single" w:sz="8" w:space="0" w:color="000000"/>
              <w:left w:val="nil"/>
              <w:bottom w:val="nil"/>
              <w:right w:val="nil"/>
            </w:tcBorders>
            <w:tcMar>
              <w:top w:w="-144" w:type="dxa"/>
              <w:left w:w="-144" w:type="dxa"/>
              <w:bottom w:w="-144" w:type="dxa"/>
              <w:right w:w="-144" w:type="dxa"/>
            </w:tcMar>
          </w:tcPr>
          <w:p w14:paraId="2131D9F9" w14:textId="77777777" w:rsidR="00E7667D" w:rsidRDefault="002E40EE">
            <w:pPr>
              <w:jc w:val="center"/>
              <w:rPr>
                <w:rFonts w:ascii="Arial" w:eastAsia="Arial" w:hAnsi="Arial" w:cs="Arial"/>
              </w:rPr>
            </w:pPr>
            <w:r>
              <w:rPr>
                <w:rFonts w:ascii="Arial" w:eastAsia="Arial" w:hAnsi="Arial" w:cs="Arial"/>
              </w:rPr>
              <w:t xml:space="preserve"> 156</w:t>
            </w:r>
          </w:p>
        </w:tc>
        <w:tc>
          <w:tcPr>
            <w:tcW w:w="2052" w:type="dxa"/>
            <w:tcBorders>
              <w:top w:val="single" w:sz="8" w:space="0" w:color="000000"/>
              <w:left w:val="nil"/>
              <w:bottom w:val="nil"/>
              <w:right w:val="nil"/>
            </w:tcBorders>
            <w:tcMar>
              <w:top w:w="-144" w:type="dxa"/>
              <w:left w:w="-144" w:type="dxa"/>
              <w:bottom w:w="-144" w:type="dxa"/>
              <w:right w:w="-144" w:type="dxa"/>
            </w:tcMar>
          </w:tcPr>
          <w:p w14:paraId="1083F08A" w14:textId="77777777" w:rsidR="00E7667D" w:rsidRDefault="002E40EE">
            <w:pPr>
              <w:jc w:val="center"/>
              <w:rPr>
                <w:rFonts w:ascii="Arial" w:eastAsia="Arial" w:hAnsi="Arial" w:cs="Arial"/>
              </w:rPr>
            </w:pPr>
            <w:r>
              <w:rPr>
                <w:rFonts w:ascii="Arial" w:eastAsia="Arial" w:hAnsi="Arial" w:cs="Arial"/>
              </w:rPr>
              <w:t xml:space="preserve"> 56.7</w:t>
            </w:r>
          </w:p>
        </w:tc>
      </w:tr>
      <w:tr w:rsidR="00E7667D" w14:paraId="7F7C80C9" w14:textId="77777777">
        <w:trPr>
          <w:trHeight w:val="275"/>
        </w:trPr>
        <w:tc>
          <w:tcPr>
            <w:tcW w:w="2052" w:type="dxa"/>
            <w:vMerge w:val="restart"/>
            <w:tcBorders>
              <w:top w:val="nil"/>
              <w:left w:val="nil"/>
              <w:bottom w:val="nil"/>
              <w:right w:val="nil"/>
            </w:tcBorders>
            <w:tcMar>
              <w:top w:w="0" w:type="dxa"/>
              <w:left w:w="0" w:type="dxa"/>
              <w:bottom w:w="0" w:type="dxa"/>
              <w:right w:w="0" w:type="dxa"/>
            </w:tcMar>
          </w:tcPr>
          <w:p w14:paraId="5A779F15" w14:textId="77777777" w:rsidR="00E7667D" w:rsidRDefault="002E40EE">
            <w:pPr>
              <w:rPr>
                <w:rFonts w:ascii="Arial" w:eastAsia="Arial" w:hAnsi="Arial" w:cs="Arial"/>
              </w:rPr>
            </w:pPr>
            <w:r>
              <w:rPr>
                <w:rFonts w:ascii="Arial" w:eastAsia="Arial" w:hAnsi="Arial" w:cs="Arial"/>
              </w:rPr>
              <w:t xml:space="preserve"> </w:t>
            </w:r>
          </w:p>
        </w:tc>
        <w:tc>
          <w:tcPr>
            <w:tcW w:w="2052" w:type="dxa"/>
            <w:vMerge w:val="restart"/>
            <w:tcBorders>
              <w:top w:val="nil"/>
              <w:left w:val="nil"/>
              <w:bottom w:val="nil"/>
              <w:right w:val="nil"/>
            </w:tcBorders>
            <w:tcMar>
              <w:top w:w="0" w:type="dxa"/>
              <w:left w:w="0" w:type="dxa"/>
              <w:bottom w:w="0" w:type="dxa"/>
              <w:right w:w="0" w:type="dxa"/>
            </w:tcMar>
          </w:tcPr>
          <w:p w14:paraId="3A1EE024" w14:textId="77777777" w:rsidR="00E7667D" w:rsidRDefault="002E40EE">
            <w:pPr>
              <w:rPr>
                <w:rFonts w:ascii="Arial" w:eastAsia="Arial" w:hAnsi="Arial" w:cs="Arial"/>
              </w:rPr>
            </w:pPr>
            <w:r>
              <w:rPr>
                <w:rFonts w:ascii="Arial" w:eastAsia="Arial" w:hAnsi="Arial" w:cs="Arial"/>
              </w:rPr>
              <w:t>22 years old and above</w:t>
            </w:r>
          </w:p>
          <w:p w14:paraId="4D89940D" w14:textId="77777777" w:rsidR="00E7667D" w:rsidRDefault="002E40EE">
            <w:pPr>
              <w:rPr>
                <w:rFonts w:ascii="Arial" w:eastAsia="Arial" w:hAnsi="Arial" w:cs="Arial"/>
              </w:rPr>
            </w:pPr>
            <w:r>
              <w:rPr>
                <w:rFonts w:ascii="Arial" w:eastAsia="Arial" w:hAnsi="Arial" w:cs="Arial"/>
              </w:rPr>
              <w:t>Mean= 21.4 years old</w:t>
            </w:r>
          </w:p>
        </w:tc>
        <w:tc>
          <w:tcPr>
            <w:tcW w:w="2052" w:type="dxa"/>
            <w:vMerge w:val="restart"/>
            <w:tcBorders>
              <w:top w:val="nil"/>
              <w:left w:val="nil"/>
              <w:bottom w:val="nil"/>
              <w:right w:val="nil"/>
            </w:tcBorders>
            <w:tcMar>
              <w:top w:w="0" w:type="dxa"/>
              <w:left w:w="0" w:type="dxa"/>
              <w:bottom w:w="0" w:type="dxa"/>
              <w:right w:w="0" w:type="dxa"/>
            </w:tcMar>
          </w:tcPr>
          <w:p w14:paraId="3201A1CC" w14:textId="77777777" w:rsidR="00E7667D" w:rsidRDefault="002E40EE">
            <w:pPr>
              <w:jc w:val="center"/>
              <w:rPr>
                <w:rFonts w:ascii="Arial" w:eastAsia="Arial" w:hAnsi="Arial" w:cs="Arial"/>
              </w:rPr>
            </w:pPr>
            <w:r>
              <w:rPr>
                <w:rFonts w:ascii="Arial" w:eastAsia="Arial" w:hAnsi="Arial" w:cs="Arial"/>
              </w:rPr>
              <w:t xml:space="preserve"> 119 </w:t>
            </w:r>
          </w:p>
        </w:tc>
        <w:tc>
          <w:tcPr>
            <w:tcW w:w="2052" w:type="dxa"/>
            <w:vMerge w:val="restart"/>
            <w:tcBorders>
              <w:top w:val="nil"/>
              <w:left w:val="nil"/>
              <w:bottom w:val="nil"/>
              <w:right w:val="nil"/>
            </w:tcBorders>
            <w:tcMar>
              <w:top w:w="0" w:type="dxa"/>
              <w:left w:w="0" w:type="dxa"/>
              <w:bottom w:w="0" w:type="dxa"/>
              <w:right w:w="0" w:type="dxa"/>
            </w:tcMar>
          </w:tcPr>
          <w:p w14:paraId="03A8D83E" w14:textId="77777777" w:rsidR="00E7667D" w:rsidRDefault="002E40EE">
            <w:pPr>
              <w:jc w:val="center"/>
              <w:rPr>
                <w:rFonts w:ascii="Arial" w:eastAsia="Arial" w:hAnsi="Arial" w:cs="Arial"/>
              </w:rPr>
            </w:pPr>
            <w:r>
              <w:rPr>
                <w:rFonts w:ascii="Arial" w:eastAsia="Arial" w:hAnsi="Arial" w:cs="Arial"/>
              </w:rPr>
              <w:t xml:space="preserve"> 43.3</w:t>
            </w:r>
          </w:p>
        </w:tc>
      </w:tr>
      <w:tr w:rsidR="00E7667D" w14:paraId="3E5B75F0" w14:textId="77777777">
        <w:trPr>
          <w:trHeight w:val="276"/>
        </w:trPr>
        <w:tc>
          <w:tcPr>
            <w:tcW w:w="2052" w:type="dxa"/>
            <w:vMerge/>
            <w:tcBorders>
              <w:top w:val="nil"/>
              <w:left w:val="nil"/>
              <w:bottom w:val="single" w:sz="4" w:space="0" w:color="202124"/>
              <w:right w:val="nil"/>
            </w:tcBorders>
            <w:tcMar>
              <w:top w:w="0" w:type="dxa"/>
              <w:left w:w="0" w:type="dxa"/>
              <w:bottom w:w="0" w:type="dxa"/>
              <w:right w:w="0" w:type="dxa"/>
            </w:tcMar>
          </w:tcPr>
          <w:p w14:paraId="66659D0C" w14:textId="77777777" w:rsidR="00E7667D" w:rsidRDefault="00E7667D">
            <w:pPr>
              <w:widowControl w:val="0"/>
              <w:rPr>
                <w:rFonts w:ascii="Times New Roman" w:eastAsia="Times New Roman" w:hAnsi="Times New Roman" w:cs="Times New Roman"/>
                <w:i/>
                <w:iCs/>
                <w:sz w:val="24"/>
                <w:szCs w:val="24"/>
              </w:rPr>
            </w:pPr>
          </w:p>
        </w:tc>
        <w:tc>
          <w:tcPr>
            <w:tcW w:w="2052" w:type="dxa"/>
            <w:vMerge/>
            <w:tcBorders>
              <w:top w:val="nil"/>
              <w:left w:val="nil"/>
              <w:bottom w:val="single" w:sz="4" w:space="0" w:color="000000"/>
              <w:right w:val="nil"/>
            </w:tcBorders>
            <w:tcMar>
              <w:top w:w="0" w:type="dxa"/>
              <w:left w:w="0" w:type="dxa"/>
              <w:bottom w:w="0" w:type="dxa"/>
              <w:right w:w="0" w:type="dxa"/>
            </w:tcMar>
          </w:tcPr>
          <w:p w14:paraId="6346C347" w14:textId="77777777" w:rsidR="00E7667D" w:rsidRDefault="00E7667D">
            <w:pPr>
              <w:widowControl w:val="0"/>
              <w:rPr>
                <w:rFonts w:ascii="Times New Roman" w:eastAsia="Times New Roman" w:hAnsi="Times New Roman" w:cs="Times New Roman"/>
                <w:i/>
                <w:iCs/>
                <w:sz w:val="24"/>
                <w:szCs w:val="24"/>
              </w:rPr>
            </w:pPr>
          </w:p>
        </w:tc>
        <w:tc>
          <w:tcPr>
            <w:tcW w:w="2052" w:type="dxa"/>
            <w:vMerge/>
            <w:tcBorders>
              <w:top w:val="nil"/>
              <w:left w:val="nil"/>
              <w:bottom w:val="single" w:sz="4" w:space="0" w:color="000000"/>
              <w:right w:val="nil"/>
            </w:tcBorders>
            <w:tcMar>
              <w:top w:w="0" w:type="dxa"/>
              <w:left w:w="0" w:type="dxa"/>
              <w:bottom w:w="0" w:type="dxa"/>
              <w:right w:w="0" w:type="dxa"/>
            </w:tcMar>
          </w:tcPr>
          <w:p w14:paraId="2CBE668B" w14:textId="77777777" w:rsidR="00E7667D" w:rsidRDefault="00E7667D">
            <w:pPr>
              <w:widowControl w:val="0"/>
              <w:rPr>
                <w:rFonts w:ascii="Times New Roman" w:eastAsia="Times New Roman" w:hAnsi="Times New Roman" w:cs="Times New Roman"/>
                <w:i/>
                <w:iCs/>
                <w:sz w:val="24"/>
                <w:szCs w:val="24"/>
              </w:rPr>
            </w:pPr>
          </w:p>
        </w:tc>
        <w:tc>
          <w:tcPr>
            <w:tcW w:w="2052" w:type="dxa"/>
            <w:vMerge/>
            <w:tcBorders>
              <w:top w:val="nil"/>
              <w:left w:val="nil"/>
              <w:bottom w:val="single" w:sz="4" w:space="0" w:color="000000"/>
              <w:right w:val="nil"/>
            </w:tcBorders>
            <w:tcMar>
              <w:top w:w="0" w:type="dxa"/>
              <w:left w:w="0" w:type="dxa"/>
              <w:bottom w:w="0" w:type="dxa"/>
              <w:right w:w="0" w:type="dxa"/>
            </w:tcMar>
          </w:tcPr>
          <w:p w14:paraId="1F709D9E" w14:textId="77777777" w:rsidR="00E7667D" w:rsidRDefault="00E7667D">
            <w:pPr>
              <w:widowControl w:val="0"/>
              <w:rPr>
                <w:rFonts w:ascii="Times New Roman" w:eastAsia="Times New Roman" w:hAnsi="Times New Roman" w:cs="Times New Roman"/>
                <w:i/>
                <w:iCs/>
                <w:sz w:val="24"/>
                <w:szCs w:val="24"/>
              </w:rPr>
            </w:pPr>
          </w:p>
        </w:tc>
      </w:tr>
      <w:tr w:rsidR="00E7667D" w14:paraId="184D98C9" w14:textId="77777777">
        <w:tc>
          <w:tcPr>
            <w:tcW w:w="2052" w:type="dxa"/>
            <w:tcBorders>
              <w:top w:val="single" w:sz="4" w:space="0" w:color="202124"/>
              <w:left w:val="nil"/>
              <w:bottom w:val="nil"/>
              <w:right w:val="nil"/>
            </w:tcBorders>
            <w:tcMar>
              <w:top w:w="0" w:type="dxa"/>
              <w:left w:w="0" w:type="dxa"/>
              <w:bottom w:w="0" w:type="dxa"/>
              <w:right w:w="0" w:type="dxa"/>
            </w:tcMar>
          </w:tcPr>
          <w:p w14:paraId="55C85339" w14:textId="77777777" w:rsidR="00E7667D" w:rsidRDefault="002E40EE">
            <w:pPr>
              <w:rPr>
                <w:rFonts w:ascii="Arial" w:eastAsia="Arial" w:hAnsi="Arial" w:cs="Arial"/>
              </w:rPr>
            </w:pPr>
            <w:r>
              <w:rPr>
                <w:rFonts w:ascii="Arial" w:eastAsia="Arial" w:hAnsi="Arial" w:cs="Arial"/>
              </w:rPr>
              <w:t>Sex</w:t>
            </w:r>
          </w:p>
        </w:tc>
        <w:tc>
          <w:tcPr>
            <w:tcW w:w="2052" w:type="dxa"/>
            <w:tcBorders>
              <w:top w:val="single" w:sz="4" w:space="0" w:color="000000"/>
              <w:left w:val="nil"/>
              <w:bottom w:val="nil"/>
              <w:right w:val="nil"/>
            </w:tcBorders>
            <w:tcMar>
              <w:top w:w="0" w:type="dxa"/>
              <w:left w:w="0" w:type="dxa"/>
              <w:bottom w:w="0" w:type="dxa"/>
              <w:right w:w="0" w:type="dxa"/>
            </w:tcMar>
          </w:tcPr>
          <w:p w14:paraId="012DA626" w14:textId="77777777" w:rsidR="00E7667D" w:rsidRDefault="002E40EE">
            <w:pPr>
              <w:rPr>
                <w:rFonts w:ascii="Arial" w:eastAsia="Arial" w:hAnsi="Arial" w:cs="Arial"/>
              </w:rPr>
            </w:pPr>
            <w:r>
              <w:rPr>
                <w:rFonts w:ascii="Arial" w:eastAsia="Arial" w:hAnsi="Arial" w:cs="Arial"/>
              </w:rPr>
              <w:t>Female</w:t>
            </w:r>
          </w:p>
        </w:tc>
        <w:tc>
          <w:tcPr>
            <w:tcW w:w="2052" w:type="dxa"/>
            <w:tcBorders>
              <w:top w:val="single" w:sz="4" w:space="0" w:color="000000"/>
              <w:left w:val="nil"/>
              <w:bottom w:val="nil"/>
              <w:right w:val="nil"/>
            </w:tcBorders>
            <w:tcMar>
              <w:top w:w="0" w:type="dxa"/>
              <w:left w:w="0" w:type="dxa"/>
              <w:bottom w:w="0" w:type="dxa"/>
              <w:right w:w="0" w:type="dxa"/>
            </w:tcMar>
          </w:tcPr>
          <w:p w14:paraId="4F4BBD9F" w14:textId="77777777" w:rsidR="00E7667D" w:rsidRDefault="002E40EE">
            <w:pPr>
              <w:jc w:val="center"/>
              <w:rPr>
                <w:rFonts w:ascii="Arial" w:eastAsia="Arial" w:hAnsi="Arial" w:cs="Arial"/>
              </w:rPr>
            </w:pPr>
            <w:r>
              <w:rPr>
                <w:rFonts w:ascii="Arial" w:eastAsia="Arial" w:hAnsi="Arial" w:cs="Arial"/>
              </w:rPr>
              <w:t xml:space="preserve"> 221</w:t>
            </w:r>
          </w:p>
        </w:tc>
        <w:tc>
          <w:tcPr>
            <w:tcW w:w="2052" w:type="dxa"/>
            <w:tcBorders>
              <w:top w:val="single" w:sz="4" w:space="0" w:color="000000"/>
              <w:left w:val="nil"/>
              <w:bottom w:val="nil"/>
              <w:right w:val="nil"/>
            </w:tcBorders>
            <w:tcMar>
              <w:top w:w="0" w:type="dxa"/>
              <w:left w:w="0" w:type="dxa"/>
              <w:bottom w:w="0" w:type="dxa"/>
              <w:right w:w="0" w:type="dxa"/>
            </w:tcMar>
          </w:tcPr>
          <w:p w14:paraId="27B650FC" w14:textId="77777777" w:rsidR="00E7667D" w:rsidRDefault="002E40EE">
            <w:pPr>
              <w:jc w:val="center"/>
              <w:rPr>
                <w:rFonts w:ascii="Arial" w:eastAsia="Arial" w:hAnsi="Arial" w:cs="Arial"/>
              </w:rPr>
            </w:pPr>
            <w:r>
              <w:rPr>
                <w:rFonts w:ascii="Arial" w:eastAsia="Arial" w:hAnsi="Arial" w:cs="Arial"/>
              </w:rPr>
              <w:t xml:space="preserve"> 80.4</w:t>
            </w:r>
          </w:p>
        </w:tc>
      </w:tr>
      <w:tr w:rsidR="00E7667D" w14:paraId="7B97222A" w14:textId="77777777">
        <w:tc>
          <w:tcPr>
            <w:tcW w:w="2052" w:type="dxa"/>
            <w:tcBorders>
              <w:top w:val="nil"/>
              <w:left w:val="nil"/>
              <w:bottom w:val="single" w:sz="4" w:space="0" w:color="000000"/>
              <w:right w:val="nil"/>
            </w:tcBorders>
            <w:tcMar>
              <w:top w:w="0" w:type="dxa"/>
              <w:left w:w="0" w:type="dxa"/>
              <w:bottom w:w="0" w:type="dxa"/>
              <w:right w:w="0" w:type="dxa"/>
            </w:tcMar>
          </w:tcPr>
          <w:p w14:paraId="73EB0433" w14:textId="77777777" w:rsidR="00E7667D" w:rsidRDefault="002E40EE">
            <w:pPr>
              <w:rPr>
                <w:rFonts w:ascii="Arial" w:eastAsia="Arial" w:hAnsi="Arial" w:cs="Arial"/>
              </w:rPr>
            </w:pPr>
            <w:r>
              <w:rPr>
                <w:rFonts w:ascii="Arial" w:eastAsia="Arial" w:hAnsi="Arial" w:cs="Arial"/>
              </w:rPr>
              <w:t xml:space="preserve"> </w:t>
            </w:r>
          </w:p>
        </w:tc>
        <w:tc>
          <w:tcPr>
            <w:tcW w:w="2052" w:type="dxa"/>
            <w:tcBorders>
              <w:top w:val="nil"/>
              <w:left w:val="nil"/>
              <w:bottom w:val="single" w:sz="4" w:space="0" w:color="000000"/>
              <w:right w:val="nil"/>
            </w:tcBorders>
            <w:tcMar>
              <w:top w:w="0" w:type="dxa"/>
              <w:left w:w="0" w:type="dxa"/>
              <w:bottom w:w="0" w:type="dxa"/>
              <w:right w:w="0" w:type="dxa"/>
            </w:tcMar>
          </w:tcPr>
          <w:p w14:paraId="1A0D06AD" w14:textId="77777777" w:rsidR="00E7667D" w:rsidRDefault="002E40EE">
            <w:pPr>
              <w:rPr>
                <w:rFonts w:ascii="Arial" w:eastAsia="Arial" w:hAnsi="Arial" w:cs="Arial"/>
              </w:rPr>
            </w:pPr>
            <w:r>
              <w:rPr>
                <w:rFonts w:ascii="Arial" w:eastAsia="Arial" w:hAnsi="Arial" w:cs="Arial"/>
              </w:rPr>
              <w:t>Male</w:t>
            </w:r>
          </w:p>
        </w:tc>
        <w:tc>
          <w:tcPr>
            <w:tcW w:w="2052" w:type="dxa"/>
            <w:tcBorders>
              <w:top w:val="nil"/>
              <w:left w:val="nil"/>
              <w:bottom w:val="single" w:sz="4" w:space="0" w:color="000000"/>
              <w:right w:val="nil"/>
            </w:tcBorders>
            <w:tcMar>
              <w:top w:w="0" w:type="dxa"/>
              <w:left w:w="0" w:type="dxa"/>
              <w:bottom w:w="0" w:type="dxa"/>
              <w:right w:w="0" w:type="dxa"/>
            </w:tcMar>
          </w:tcPr>
          <w:p w14:paraId="00C5CEED" w14:textId="77777777" w:rsidR="00E7667D" w:rsidRDefault="002E40EE">
            <w:pPr>
              <w:jc w:val="center"/>
              <w:rPr>
                <w:rFonts w:ascii="Arial" w:eastAsia="Arial" w:hAnsi="Arial" w:cs="Arial"/>
              </w:rPr>
            </w:pPr>
            <w:r>
              <w:rPr>
                <w:rFonts w:ascii="Arial" w:eastAsia="Arial" w:hAnsi="Arial" w:cs="Arial"/>
              </w:rPr>
              <w:t xml:space="preserve"> 54</w:t>
            </w:r>
          </w:p>
        </w:tc>
        <w:tc>
          <w:tcPr>
            <w:tcW w:w="2052" w:type="dxa"/>
            <w:tcBorders>
              <w:top w:val="nil"/>
              <w:left w:val="nil"/>
              <w:bottom w:val="single" w:sz="4" w:space="0" w:color="000000"/>
              <w:right w:val="nil"/>
            </w:tcBorders>
            <w:tcMar>
              <w:top w:w="0" w:type="dxa"/>
              <w:left w:w="0" w:type="dxa"/>
              <w:bottom w:w="0" w:type="dxa"/>
              <w:right w:w="0" w:type="dxa"/>
            </w:tcMar>
          </w:tcPr>
          <w:p w14:paraId="3FA016CA" w14:textId="77777777" w:rsidR="00E7667D" w:rsidRDefault="002E40EE">
            <w:pPr>
              <w:jc w:val="center"/>
              <w:rPr>
                <w:rFonts w:ascii="Arial" w:eastAsia="Arial" w:hAnsi="Arial" w:cs="Arial"/>
              </w:rPr>
            </w:pPr>
            <w:r>
              <w:rPr>
                <w:rFonts w:ascii="Arial" w:eastAsia="Arial" w:hAnsi="Arial" w:cs="Arial"/>
              </w:rPr>
              <w:t xml:space="preserve"> 19.6</w:t>
            </w:r>
          </w:p>
        </w:tc>
      </w:tr>
      <w:tr w:rsidR="00E7667D" w14:paraId="29869027" w14:textId="77777777">
        <w:tc>
          <w:tcPr>
            <w:tcW w:w="2052" w:type="dxa"/>
            <w:tcBorders>
              <w:top w:val="single" w:sz="4" w:space="0" w:color="000000"/>
              <w:left w:val="nil"/>
              <w:bottom w:val="nil"/>
              <w:right w:val="nil"/>
            </w:tcBorders>
            <w:tcMar>
              <w:top w:w="0" w:type="dxa"/>
              <w:left w:w="0" w:type="dxa"/>
              <w:bottom w:w="0" w:type="dxa"/>
              <w:right w:w="0" w:type="dxa"/>
            </w:tcMar>
          </w:tcPr>
          <w:p w14:paraId="7006A84E" w14:textId="77777777" w:rsidR="00E7667D" w:rsidRDefault="002E40EE">
            <w:pPr>
              <w:rPr>
                <w:rFonts w:ascii="Arial" w:eastAsia="Arial" w:hAnsi="Arial" w:cs="Arial"/>
              </w:rPr>
            </w:pPr>
            <w:r>
              <w:rPr>
                <w:rFonts w:ascii="Arial" w:eastAsia="Arial" w:hAnsi="Arial" w:cs="Arial"/>
              </w:rPr>
              <w:t>Year Level</w:t>
            </w:r>
          </w:p>
        </w:tc>
        <w:tc>
          <w:tcPr>
            <w:tcW w:w="2052" w:type="dxa"/>
            <w:tcBorders>
              <w:top w:val="single" w:sz="4" w:space="0" w:color="000000"/>
              <w:left w:val="nil"/>
              <w:bottom w:val="nil"/>
              <w:right w:val="nil"/>
            </w:tcBorders>
            <w:tcMar>
              <w:top w:w="0" w:type="dxa"/>
              <w:left w:w="0" w:type="dxa"/>
              <w:bottom w:w="0" w:type="dxa"/>
              <w:right w:w="0" w:type="dxa"/>
            </w:tcMar>
          </w:tcPr>
          <w:p w14:paraId="4A73ACB3" w14:textId="77777777" w:rsidR="00E7667D" w:rsidRDefault="002E40EE">
            <w:pPr>
              <w:rPr>
                <w:rFonts w:ascii="Arial" w:eastAsia="Arial" w:hAnsi="Arial" w:cs="Arial"/>
              </w:rPr>
            </w:pPr>
            <w:r>
              <w:rPr>
                <w:rFonts w:ascii="Arial" w:eastAsia="Arial" w:hAnsi="Arial" w:cs="Arial"/>
              </w:rPr>
              <w:t>Third Year</w:t>
            </w:r>
          </w:p>
        </w:tc>
        <w:tc>
          <w:tcPr>
            <w:tcW w:w="2052" w:type="dxa"/>
            <w:tcBorders>
              <w:top w:val="single" w:sz="4" w:space="0" w:color="000000"/>
              <w:left w:val="nil"/>
              <w:bottom w:val="nil"/>
              <w:right w:val="nil"/>
            </w:tcBorders>
            <w:tcMar>
              <w:top w:w="0" w:type="dxa"/>
              <w:left w:w="0" w:type="dxa"/>
              <w:bottom w:w="0" w:type="dxa"/>
              <w:right w:w="0" w:type="dxa"/>
            </w:tcMar>
          </w:tcPr>
          <w:p w14:paraId="52B52C50" w14:textId="77777777" w:rsidR="00E7667D" w:rsidRDefault="002E40EE">
            <w:pPr>
              <w:jc w:val="center"/>
              <w:rPr>
                <w:rFonts w:ascii="Arial" w:eastAsia="Arial" w:hAnsi="Arial" w:cs="Arial"/>
              </w:rPr>
            </w:pPr>
            <w:r>
              <w:rPr>
                <w:rFonts w:ascii="Arial" w:eastAsia="Arial" w:hAnsi="Arial" w:cs="Arial"/>
              </w:rPr>
              <w:t xml:space="preserve"> 127</w:t>
            </w:r>
          </w:p>
        </w:tc>
        <w:tc>
          <w:tcPr>
            <w:tcW w:w="2052" w:type="dxa"/>
            <w:tcBorders>
              <w:top w:val="single" w:sz="4" w:space="0" w:color="000000"/>
              <w:left w:val="nil"/>
              <w:bottom w:val="nil"/>
              <w:right w:val="nil"/>
            </w:tcBorders>
            <w:tcMar>
              <w:top w:w="0" w:type="dxa"/>
              <w:left w:w="0" w:type="dxa"/>
              <w:bottom w:w="0" w:type="dxa"/>
              <w:right w:w="0" w:type="dxa"/>
            </w:tcMar>
          </w:tcPr>
          <w:p w14:paraId="0B71D860" w14:textId="77777777" w:rsidR="00E7667D" w:rsidRDefault="002E40EE">
            <w:pPr>
              <w:jc w:val="center"/>
              <w:rPr>
                <w:rFonts w:ascii="Arial" w:eastAsia="Arial" w:hAnsi="Arial" w:cs="Arial"/>
              </w:rPr>
            </w:pPr>
            <w:r>
              <w:rPr>
                <w:rFonts w:ascii="Arial" w:eastAsia="Arial" w:hAnsi="Arial" w:cs="Arial"/>
              </w:rPr>
              <w:t xml:space="preserve">46.2 </w:t>
            </w:r>
          </w:p>
        </w:tc>
      </w:tr>
      <w:tr w:rsidR="00E7667D" w14:paraId="043A1C15" w14:textId="77777777">
        <w:tc>
          <w:tcPr>
            <w:tcW w:w="2052" w:type="dxa"/>
            <w:tcBorders>
              <w:top w:val="nil"/>
              <w:left w:val="nil"/>
              <w:bottom w:val="single" w:sz="8" w:space="0" w:color="000000"/>
              <w:right w:val="nil"/>
            </w:tcBorders>
            <w:tcMar>
              <w:top w:w="0" w:type="dxa"/>
              <w:left w:w="0" w:type="dxa"/>
              <w:bottom w:w="0" w:type="dxa"/>
              <w:right w:w="0" w:type="dxa"/>
            </w:tcMar>
          </w:tcPr>
          <w:p w14:paraId="2A54E144" w14:textId="77777777" w:rsidR="00E7667D" w:rsidRDefault="002E40EE">
            <w:pPr>
              <w:rPr>
                <w:rFonts w:ascii="Arial" w:eastAsia="Arial" w:hAnsi="Arial" w:cs="Arial"/>
              </w:rPr>
            </w:pPr>
            <w:r>
              <w:rPr>
                <w:rFonts w:ascii="Arial" w:eastAsia="Arial" w:hAnsi="Arial" w:cs="Arial"/>
              </w:rPr>
              <w:t xml:space="preserve"> </w:t>
            </w:r>
          </w:p>
        </w:tc>
        <w:tc>
          <w:tcPr>
            <w:tcW w:w="2052" w:type="dxa"/>
            <w:tcBorders>
              <w:top w:val="nil"/>
              <w:left w:val="nil"/>
              <w:bottom w:val="single" w:sz="8" w:space="0" w:color="000000"/>
              <w:right w:val="nil"/>
            </w:tcBorders>
            <w:tcMar>
              <w:top w:w="0" w:type="dxa"/>
              <w:left w:w="0" w:type="dxa"/>
              <w:bottom w:w="0" w:type="dxa"/>
              <w:right w:w="0" w:type="dxa"/>
            </w:tcMar>
          </w:tcPr>
          <w:p w14:paraId="1552B0EB" w14:textId="77777777" w:rsidR="00E7667D" w:rsidRDefault="002E40EE">
            <w:pPr>
              <w:rPr>
                <w:rFonts w:ascii="Arial" w:eastAsia="Arial" w:hAnsi="Arial" w:cs="Arial"/>
              </w:rPr>
            </w:pPr>
            <w:r>
              <w:rPr>
                <w:rFonts w:ascii="Arial" w:eastAsia="Arial" w:hAnsi="Arial" w:cs="Arial"/>
              </w:rPr>
              <w:t>Fourth Year</w:t>
            </w:r>
          </w:p>
        </w:tc>
        <w:tc>
          <w:tcPr>
            <w:tcW w:w="2052" w:type="dxa"/>
            <w:tcBorders>
              <w:top w:val="nil"/>
              <w:left w:val="nil"/>
              <w:bottom w:val="single" w:sz="8" w:space="0" w:color="000000"/>
              <w:right w:val="nil"/>
            </w:tcBorders>
            <w:tcMar>
              <w:top w:w="0" w:type="dxa"/>
              <w:left w:w="0" w:type="dxa"/>
              <w:bottom w:w="0" w:type="dxa"/>
              <w:right w:w="0" w:type="dxa"/>
            </w:tcMar>
          </w:tcPr>
          <w:p w14:paraId="2059D83A" w14:textId="77777777" w:rsidR="00E7667D" w:rsidRDefault="002E40EE">
            <w:pPr>
              <w:jc w:val="center"/>
              <w:rPr>
                <w:rFonts w:ascii="Arial" w:eastAsia="Arial" w:hAnsi="Arial" w:cs="Arial"/>
              </w:rPr>
            </w:pPr>
            <w:r>
              <w:rPr>
                <w:rFonts w:ascii="Arial" w:eastAsia="Arial" w:hAnsi="Arial" w:cs="Arial"/>
              </w:rPr>
              <w:t xml:space="preserve"> 148</w:t>
            </w:r>
          </w:p>
        </w:tc>
        <w:tc>
          <w:tcPr>
            <w:tcW w:w="2052" w:type="dxa"/>
            <w:tcBorders>
              <w:top w:val="nil"/>
              <w:left w:val="nil"/>
              <w:bottom w:val="single" w:sz="8" w:space="0" w:color="000000"/>
              <w:right w:val="nil"/>
            </w:tcBorders>
            <w:tcMar>
              <w:top w:w="0" w:type="dxa"/>
              <w:left w:w="0" w:type="dxa"/>
              <w:bottom w:w="0" w:type="dxa"/>
              <w:right w:w="0" w:type="dxa"/>
            </w:tcMar>
          </w:tcPr>
          <w:p w14:paraId="31C8ED08" w14:textId="77777777" w:rsidR="00E7667D" w:rsidRDefault="002E40EE">
            <w:pPr>
              <w:jc w:val="center"/>
              <w:rPr>
                <w:rFonts w:ascii="Arial" w:eastAsia="Arial" w:hAnsi="Arial" w:cs="Arial"/>
              </w:rPr>
            </w:pPr>
            <w:r>
              <w:rPr>
                <w:rFonts w:ascii="Arial" w:eastAsia="Arial" w:hAnsi="Arial" w:cs="Arial"/>
              </w:rPr>
              <w:t xml:space="preserve"> 53.8</w:t>
            </w:r>
          </w:p>
        </w:tc>
      </w:tr>
      <w:tr w:rsidR="00E7667D" w14:paraId="263373E6" w14:textId="77777777">
        <w:tc>
          <w:tcPr>
            <w:tcW w:w="2052" w:type="dxa"/>
            <w:tcBorders>
              <w:top w:val="single" w:sz="8" w:space="0" w:color="000000"/>
              <w:left w:val="nil"/>
              <w:bottom w:val="single" w:sz="8" w:space="0" w:color="000000"/>
              <w:right w:val="nil"/>
            </w:tcBorders>
            <w:tcMar>
              <w:top w:w="0" w:type="dxa"/>
              <w:left w:w="0" w:type="dxa"/>
              <w:bottom w:w="0" w:type="dxa"/>
              <w:right w:w="0" w:type="dxa"/>
            </w:tcMar>
          </w:tcPr>
          <w:p w14:paraId="445412BE" w14:textId="77777777" w:rsidR="00E7667D" w:rsidRDefault="00E7667D">
            <w:pPr>
              <w:rPr>
                <w:rFonts w:ascii="Arial" w:eastAsia="Arial" w:hAnsi="Arial" w:cs="Arial"/>
                <w:b/>
                <w:bCs/>
              </w:rPr>
            </w:pPr>
          </w:p>
        </w:tc>
        <w:tc>
          <w:tcPr>
            <w:tcW w:w="2052" w:type="dxa"/>
            <w:tcBorders>
              <w:top w:val="single" w:sz="8" w:space="0" w:color="000000"/>
              <w:left w:val="nil"/>
              <w:bottom w:val="single" w:sz="8" w:space="0" w:color="000000"/>
              <w:right w:val="nil"/>
            </w:tcBorders>
            <w:tcMar>
              <w:top w:w="0" w:type="dxa"/>
              <w:left w:w="0" w:type="dxa"/>
              <w:bottom w:w="0" w:type="dxa"/>
              <w:right w:w="0" w:type="dxa"/>
            </w:tcMar>
          </w:tcPr>
          <w:p w14:paraId="685FD6F1" w14:textId="77777777" w:rsidR="00E7667D" w:rsidRDefault="002E40EE">
            <w:pPr>
              <w:rPr>
                <w:rFonts w:ascii="Arial" w:eastAsia="Arial" w:hAnsi="Arial" w:cs="Arial"/>
                <w:b/>
                <w:bCs/>
              </w:rPr>
            </w:pPr>
            <w:r>
              <w:rPr>
                <w:rFonts w:ascii="Arial" w:eastAsia="Arial" w:hAnsi="Arial" w:cs="Arial"/>
                <w:b/>
                <w:bCs/>
              </w:rPr>
              <w:t xml:space="preserve"> </w:t>
            </w:r>
          </w:p>
        </w:tc>
        <w:tc>
          <w:tcPr>
            <w:tcW w:w="2052" w:type="dxa"/>
            <w:tcBorders>
              <w:top w:val="single" w:sz="8" w:space="0" w:color="000000"/>
              <w:left w:val="nil"/>
              <w:bottom w:val="single" w:sz="8" w:space="0" w:color="000000"/>
              <w:right w:val="nil"/>
            </w:tcBorders>
            <w:tcMar>
              <w:top w:w="0" w:type="dxa"/>
              <w:left w:w="0" w:type="dxa"/>
              <w:bottom w:w="0" w:type="dxa"/>
              <w:right w:w="0" w:type="dxa"/>
            </w:tcMar>
          </w:tcPr>
          <w:p w14:paraId="3FC5C62D" w14:textId="77777777" w:rsidR="00E7667D" w:rsidRDefault="002E40EE">
            <w:pPr>
              <w:jc w:val="center"/>
              <w:rPr>
                <w:rFonts w:ascii="Arial" w:eastAsia="Arial" w:hAnsi="Arial" w:cs="Arial"/>
                <w:b/>
                <w:bCs/>
              </w:rPr>
            </w:pPr>
            <w:r>
              <w:rPr>
                <w:rFonts w:ascii="Arial" w:eastAsia="Arial" w:hAnsi="Arial" w:cs="Arial"/>
                <w:b/>
                <w:bCs/>
              </w:rPr>
              <w:t xml:space="preserve"> 275</w:t>
            </w:r>
          </w:p>
        </w:tc>
        <w:tc>
          <w:tcPr>
            <w:tcW w:w="2052" w:type="dxa"/>
            <w:tcBorders>
              <w:top w:val="single" w:sz="8" w:space="0" w:color="000000"/>
              <w:left w:val="nil"/>
              <w:bottom w:val="single" w:sz="8" w:space="0" w:color="000000"/>
              <w:right w:val="nil"/>
            </w:tcBorders>
            <w:tcMar>
              <w:top w:w="0" w:type="dxa"/>
              <w:left w:w="0" w:type="dxa"/>
              <w:bottom w:w="0" w:type="dxa"/>
              <w:right w:w="0" w:type="dxa"/>
            </w:tcMar>
          </w:tcPr>
          <w:p w14:paraId="21507208" w14:textId="77777777" w:rsidR="00E7667D" w:rsidRDefault="002E40EE">
            <w:pPr>
              <w:rPr>
                <w:rFonts w:ascii="Arial" w:eastAsia="Arial" w:hAnsi="Arial" w:cs="Arial"/>
                <w:b/>
                <w:bCs/>
              </w:rPr>
            </w:pPr>
            <w:r>
              <w:rPr>
                <w:rFonts w:ascii="Arial" w:eastAsia="Arial" w:hAnsi="Arial" w:cs="Arial"/>
                <w:b/>
                <w:bCs/>
              </w:rPr>
              <w:t xml:space="preserve">              100.00</w:t>
            </w:r>
          </w:p>
        </w:tc>
      </w:tr>
    </w:tbl>
    <w:p w14:paraId="1EF213FA" w14:textId="77777777" w:rsidR="00E7667D" w:rsidRDefault="00E7667D">
      <w:pPr>
        <w:jc w:val="both"/>
        <w:rPr>
          <w:rFonts w:ascii="Arial" w:eastAsia="Arial" w:hAnsi="Arial" w:cs="Arial"/>
          <w:u w:val="single"/>
        </w:rPr>
      </w:pPr>
    </w:p>
    <w:p w14:paraId="47F513FE" w14:textId="77777777" w:rsidR="00E7667D" w:rsidRDefault="002E40EE">
      <w:pPr>
        <w:rPr>
          <w:rFonts w:ascii="Arial" w:eastAsia="Arial" w:hAnsi="Arial" w:cs="Arial"/>
          <w:i/>
          <w:iCs/>
        </w:rPr>
      </w:pPr>
      <w:r>
        <w:rPr>
          <w:rFonts w:ascii="Arial" w:eastAsia="Arial" w:hAnsi="Arial" w:cs="Arial"/>
          <w:b/>
          <w:bCs/>
        </w:rPr>
        <w:t xml:space="preserve">Table 2a. </w:t>
      </w:r>
    </w:p>
    <w:p w14:paraId="200CDDA1" w14:textId="77777777" w:rsidR="00E7667D" w:rsidRDefault="002E40EE">
      <w:pPr>
        <w:rPr>
          <w:rFonts w:ascii="Arial" w:eastAsia="Arial" w:hAnsi="Arial" w:cs="Arial"/>
          <w:i/>
          <w:iCs/>
        </w:rPr>
      </w:pPr>
      <w:r>
        <w:rPr>
          <w:rFonts w:ascii="Arial" w:eastAsia="Arial" w:hAnsi="Arial" w:cs="Arial"/>
          <w:b/>
          <w:bCs/>
        </w:rPr>
        <w:t>Level of Traumatic Clinical Experience among the Respondents (n=275)</w:t>
      </w:r>
    </w:p>
    <w:tbl>
      <w:tblPr>
        <w:tblStyle w:val="a1"/>
        <w:tblW w:w="8805" w:type="dxa"/>
        <w:tblInd w:w="0" w:type="dxa"/>
        <w:tblLayout w:type="fixed"/>
        <w:tblLook w:val="0000" w:firstRow="0" w:lastRow="0" w:firstColumn="0" w:lastColumn="0" w:noHBand="0" w:noVBand="0"/>
      </w:tblPr>
      <w:tblGrid>
        <w:gridCol w:w="6924"/>
        <w:gridCol w:w="1881"/>
      </w:tblGrid>
      <w:tr w:rsidR="00E7667D" w14:paraId="577B4B07" w14:textId="77777777">
        <w:trPr>
          <w:trHeight w:val="209"/>
        </w:trPr>
        <w:tc>
          <w:tcPr>
            <w:tcW w:w="6924" w:type="dxa"/>
            <w:tcBorders>
              <w:top w:val="single" w:sz="4" w:space="0" w:color="000000"/>
              <w:bottom w:val="single" w:sz="4" w:space="0" w:color="000000"/>
            </w:tcBorders>
          </w:tcPr>
          <w:p w14:paraId="289F219D" w14:textId="77777777" w:rsidR="00E7667D" w:rsidRDefault="002E40EE">
            <w:pPr>
              <w:spacing w:line="480" w:lineRule="auto"/>
              <w:jc w:val="center"/>
              <w:rPr>
                <w:rFonts w:ascii="Arial" w:eastAsia="Arial" w:hAnsi="Arial" w:cs="Arial"/>
                <w:b/>
                <w:bCs/>
              </w:rPr>
            </w:pPr>
            <w:r>
              <w:rPr>
                <w:rFonts w:ascii="Arial" w:eastAsia="Arial" w:hAnsi="Arial" w:cs="Arial"/>
                <w:b/>
                <w:bCs/>
              </w:rPr>
              <w:t>Items</w:t>
            </w:r>
          </w:p>
        </w:tc>
        <w:tc>
          <w:tcPr>
            <w:tcW w:w="1881" w:type="dxa"/>
            <w:tcBorders>
              <w:top w:val="single" w:sz="4" w:space="0" w:color="000000"/>
              <w:bottom w:val="single" w:sz="4" w:space="0" w:color="000000"/>
            </w:tcBorders>
          </w:tcPr>
          <w:p w14:paraId="7BD93961" w14:textId="77777777" w:rsidR="00E7667D" w:rsidRDefault="002E40EE">
            <w:pPr>
              <w:spacing w:line="480" w:lineRule="auto"/>
              <w:jc w:val="center"/>
              <w:rPr>
                <w:rFonts w:ascii="Arial" w:eastAsia="Arial" w:hAnsi="Arial" w:cs="Arial"/>
                <w:b/>
                <w:bCs/>
              </w:rPr>
            </w:pPr>
            <w:r>
              <w:rPr>
                <w:rFonts w:ascii="Arial" w:eastAsia="Arial" w:hAnsi="Arial" w:cs="Arial"/>
                <w:b/>
                <w:bCs/>
              </w:rPr>
              <w:t>Mean</w:t>
            </w:r>
          </w:p>
        </w:tc>
      </w:tr>
      <w:tr w:rsidR="00E7667D" w14:paraId="2FDBC7C4" w14:textId="77777777">
        <w:trPr>
          <w:trHeight w:val="233"/>
        </w:trPr>
        <w:tc>
          <w:tcPr>
            <w:tcW w:w="6924" w:type="dxa"/>
            <w:tcBorders>
              <w:top w:val="single" w:sz="4" w:space="0" w:color="000000"/>
            </w:tcBorders>
          </w:tcPr>
          <w:p w14:paraId="2FFA3112" w14:textId="77777777" w:rsidR="00E7667D" w:rsidRDefault="002E40EE">
            <w:pPr>
              <w:rPr>
                <w:rFonts w:ascii="Arial" w:eastAsia="Arial" w:hAnsi="Arial" w:cs="Arial"/>
                <w:b/>
                <w:bCs/>
              </w:rPr>
            </w:pPr>
            <w:r>
              <w:rPr>
                <w:rFonts w:ascii="Arial" w:eastAsia="Arial" w:hAnsi="Arial" w:cs="Arial"/>
                <w:b/>
                <w:bCs/>
                <w:color w:val="2E2E2E"/>
                <w:highlight w:val="white"/>
              </w:rPr>
              <w:t>Intrusion</w:t>
            </w:r>
          </w:p>
        </w:tc>
        <w:tc>
          <w:tcPr>
            <w:tcW w:w="1881" w:type="dxa"/>
            <w:tcBorders>
              <w:top w:val="single" w:sz="4" w:space="0" w:color="000000"/>
            </w:tcBorders>
          </w:tcPr>
          <w:p w14:paraId="2C395E1A" w14:textId="77777777" w:rsidR="00E7667D" w:rsidRDefault="00E7667D">
            <w:pPr>
              <w:jc w:val="center"/>
              <w:rPr>
                <w:rFonts w:ascii="Arial" w:eastAsia="Arial" w:hAnsi="Arial" w:cs="Arial"/>
                <w:b/>
                <w:bCs/>
              </w:rPr>
            </w:pPr>
          </w:p>
        </w:tc>
      </w:tr>
      <w:tr w:rsidR="00E7667D" w14:paraId="64514E22" w14:textId="77777777">
        <w:trPr>
          <w:trHeight w:val="233"/>
        </w:trPr>
        <w:tc>
          <w:tcPr>
            <w:tcW w:w="6924" w:type="dxa"/>
            <w:vAlign w:val="center"/>
          </w:tcPr>
          <w:p w14:paraId="1D8B6626" w14:textId="77777777" w:rsidR="00E7667D" w:rsidRDefault="002E40EE">
            <w:pPr>
              <w:rPr>
                <w:rFonts w:ascii="Arial" w:eastAsia="Arial" w:hAnsi="Arial" w:cs="Arial"/>
              </w:rPr>
            </w:pPr>
            <w:r>
              <w:rPr>
                <w:rFonts w:ascii="Arial" w:eastAsia="Arial" w:hAnsi="Arial" w:cs="Arial"/>
                <w:color w:val="2E2E2E"/>
              </w:rPr>
              <w:t>I thought about it when I didn't mean to.</w:t>
            </w:r>
          </w:p>
        </w:tc>
        <w:tc>
          <w:tcPr>
            <w:tcW w:w="1881" w:type="dxa"/>
            <w:vAlign w:val="center"/>
          </w:tcPr>
          <w:p w14:paraId="07DA7F46" w14:textId="77777777" w:rsidR="00E7667D" w:rsidRDefault="002E40EE">
            <w:pPr>
              <w:jc w:val="center"/>
              <w:rPr>
                <w:rFonts w:ascii="Arial" w:eastAsia="Arial" w:hAnsi="Arial" w:cs="Arial"/>
              </w:rPr>
            </w:pPr>
            <w:r>
              <w:rPr>
                <w:rFonts w:ascii="Arial" w:eastAsia="Arial" w:hAnsi="Arial" w:cs="Arial"/>
              </w:rPr>
              <w:t>1.65</w:t>
            </w:r>
          </w:p>
        </w:tc>
      </w:tr>
      <w:tr w:rsidR="00E7667D" w14:paraId="5F94FF84" w14:textId="77777777">
        <w:trPr>
          <w:trHeight w:val="193"/>
        </w:trPr>
        <w:tc>
          <w:tcPr>
            <w:tcW w:w="6924" w:type="dxa"/>
            <w:vAlign w:val="center"/>
          </w:tcPr>
          <w:p w14:paraId="1E2F66EA" w14:textId="77777777" w:rsidR="00E7667D" w:rsidRDefault="002E40EE">
            <w:pPr>
              <w:rPr>
                <w:rFonts w:ascii="Arial" w:eastAsia="Arial" w:hAnsi="Arial" w:cs="Arial"/>
              </w:rPr>
            </w:pPr>
            <w:r>
              <w:rPr>
                <w:rFonts w:ascii="Arial" w:eastAsia="Arial" w:hAnsi="Arial" w:cs="Arial"/>
                <w:color w:val="2E2E2E"/>
              </w:rPr>
              <w:t>Pictures about it popped into my mind.</w:t>
            </w:r>
          </w:p>
        </w:tc>
        <w:tc>
          <w:tcPr>
            <w:tcW w:w="1881" w:type="dxa"/>
            <w:vAlign w:val="center"/>
          </w:tcPr>
          <w:p w14:paraId="1B8BDC74" w14:textId="77777777" w:rsidR="00E7667D" w:rsidRDefault="002E40EE">
            <w:pPr>
              <w:jc w:val="center"/>
              <w:rPr>
                <w:rFonts w:ascii="Arial" w:eastAsia="Arial" w:hAnsi="Arial" w:cs="Arial"/>
              </w:rPr>
            </w:pPr>
            <w:r>
              <w:rPr>
                <w:rFonts w:ascii="Arial" w:eastAsia="Arial" w:hAnsi="Arial" w:cs="Arial"/>
              </w:rPr>
              <w:t>1.56</w:t>
            </w:r>
          </w:p>
        </w:tc>
      </w:tr>
      <w:tr w:rsidR="00E7667D" w14:paraId="7E3AEE14" w14:textId="77777777">
        <w:trPr>
          <w:trHeight w:val="241"/>
        </w:trPr>
        <w:tc>
          <w:tcPr>
            <w:tcW w:w="6924" w:type="dxa"/>
            <w:vAlign w:val="center"/>
          </w:tcPr>
          <w:p w14:paraId="721B5FB0" w14:textId="77777777" w:rsidR="00E7667D" w:rsidRDefault="002E40EE">
            <w:pPr>
              <w:rPr>
                <w:rFonts w:ascii="Arial" w:eastAsia="Arial" w:hAnsi="Arial" w:cs="Arial"/>
              </w:rPr>
            </w:pPr>
            <w:r>
              <w:rPr>
                <w:rFonts w:ascii="Arial" w:eastAsia="Arial" w:hAnsi="Arial" w:cs="Arial"/>
                <w:color w:val="2E2E2E"/>
              </w:rPr>
              <w:t>Any reminder brought back feelings about it.</w:t>
            </w:r>
          </w:p>
        </w:tc>
        <w:tc>
          <w:tcPr>
            <w:tcW w:w="1881" w:type="dxa"/>
            <w:vAlign w:val="center"/>
          </w:tcPr>
          <w:p w14:paraId="1F32E2FE" w14:textId="77777777" w:rsidR="00E7667D" w:rsidRDefault="002E40EE">
            <w:pPr>
              <w:jc w:val="center"/>
              <w:rPr>
                <w:rFonts w:ascii="Arial" w:eastAsia="Arial" w:hAnsi="Arial" w:cs="Arial"/>
              </w:rPr>
            </w:pPr>
            <w:r>
              <w:rPr>
                <w:rFonts w:ascii="Arial" w:eastAsia="Arial" w:hAnsi="Arial" w:cs="Arial"/>
              </w:rPr>
              <w:t>1.55</w:t>
            </w:r>
          </w:p>
        </w:tc>
      </w:tr>
      <w:tr w:rsidR="00E7667D" w14:paraId="5ECDDC8D" w14:textId="77777777">
        <w:trPr>
          <w:trHeight w:val="225"/>
        </w:trPr>
        <w:tc>
          <w:tcPr>
            <w:tcW w:w="6924" w:type="dxa"/>
            <w:vAlign w:val="center"/>
          </w:tcPr>
          <w:p w14:paraId="35CC843B" w14:textId="77777777" w:rsidR="00E7667D" w:rsidRDefault="002E40EE">
            <w:pPr>
              <w:rPr>
                <w:rFonts w:ascii="Arial" w:eastAsia="Arial" w:hAnsi="Arial" w:cs="Arial"/>
              </w:rPr>
            </w:pPr>
            <w:r>
              <w:rPr>
                <w:rFonts w:ascii="Arial" w:eastAsia="Arial" w:hAnsi="Arial" w:cs="Arial"/>
                <w:color w:val="2E2E2E"/>
              </w:rPr>
              <w:t>Other things kept me thinking about it.</w:t>
            </w:r>
          </w:p>
        </w:tc>
        <w:tc>
          <w:tcPr>
            <w:tcW w:w="1881" w:type="dxa"/>
            <w:vAlign w:val="center"/>
          </w:tcPr>
          <w:p w14:paraId="01F994CB" w14:textId="77777777" w:rsidR="00E7667D" w:rsidRDefault="002E40EE">
            <w:pPr>
              <w:jc w:val="center"/>
              <w:rPr>
                <w:rFonts w:ascii="Arial" w:eastAsia="Arial" w:hAnsi="Arial" w:cs="Arial"/>
              </w:rPr>
            </w:pPr>
            <w:r>
              <w:rPr>
                <w:rFonts w:ascii="Arial" w:eastAsia="Arial" w:hAnsi="Arial" w:cs="Arial"/>
              </w:rPr>
              <w:t>1.54</w:t>
            </w:r>
          </w:p>
        </w:tc>
      </w:tr>
      <w:tr w:rsidR="00E7667D" w14:paraId="5B9CC9F6" w14:textId="77777777">
        <w:trPr>
          <w:trHeight w:val="225"/>
        </w:trPr>
        <w:tc>
          <w:tcPr>
            <w:tcW w:w="6924" w:type="dxa"/>
            <w:vAlign w:val="center"/>
          </w:tcPr>
          <w:p w14:paraId="1A92FEE5" w14:textId="77777777" w:rsidR="00E7667D" w:rsidRDefault="002E40EE">
            <w:pPr>
              <w:rPr>
                <w:rFonts w:ascii="Arial" w:eastAsia="Arial" w:hAnsi="Arial" w:cs="Arial"/>
              </w:rPr>
            </w:pPr>
            <w:r>
              <w:rPr>
                <w:rFonts w:ascii="Arial" w:eastAsia="Arial" w:hAnsi="Arial" w:cs="Arial"/>
                <w:color w:val="2E2E2E"/>
              </w:rPr>
              <w:t>I had trouble staying asleep.</w:t>
            </w:r>
          </w:p>
        </w:tc>
        <w:tc>
          <w:tcPr>
            <w:tcW w:w="1881" w:type="dxa"/>
            <w:vAlign w:val="center"/>
          </w:tcPr>
          <w:p w14:paraId="1449505D" w14:textId="77777777" w:rsidR="00E7667D" w:rsidRDefault="002E40EE">
            <w:pPr>
              <w:jc w:val="center"/>
              <w:rPr>
                <w:rFonts w:ascii="Arial" w:eastAsia="Arial" w:hAnsi="Arial" w:cs="Arial"/>
              </w:rPr>
            </w:pPr>
            <w:r>
              <w:rPr>
                <w:rFonts w:ascii="Arial" w:eastAsia="Arial" w:hAnsi="Arial" w:cs="Arial"/>
              </w:rPr>
              <w:t>1.28</w:t>
            </w:r>
          </w:p>
        </w:tc>
      </w:tr>
      <w:tr w:rsidR="00E7667D" w14:paraId="57D50159" w14:textId="77777777">
        <w:trPr>
          <w:trHeight w:val="209"/>
        </w:trPr>
        <w:tc>
          <w:tcPr>
            <w:tcW w:w="6924" w:type="dxa"/>
            <w:vAlign w:val="center"/>
          </w:tcPr>
          <w:p w14:paraId="28FCDBD4" w14:textId="77777777" w:rsidR="00E7667D" w:rsidRDefault="002E40EE">
            <w:pPr>
              <w:rPr>
                <w:rFonts w:ascii="Arial" w:eastAsia="Arial" w:hAnsi="Arial" w:cs="Arial"/>
              </w:rPr>
            </w:pPr>
            <w:r>
              <w:rPr>
                <w:rFonts w:ascii="Arial" w:eastAsia="Arial" w:hAnsi="Arial" w:cs="Arial"/>
                <w:color w:val="2E2E2E"/>
              </w:rPr>
              <w:t>I found myself acting or feeling like I was back at that time.</w:t>
            </w:r>
          </w:p>
        </w:tc>
        <w:tc>
          <w:tcPr>
            <w:tcW w:w="1881" w:type="dxa"/>
            <w:vAlign w:val="center"/>
          </w:tcPr>
          <w:p w14:paraId="078A185B" w14:textId="77777777" w:rsidR="00E7667D" w:rsidRDefault="002E40EE">
            <w:pPr>
              <w:jc w:val="center"/>
              <w:rPr>
                <w:rFonts w:ascii="Arial" w:eastAsia="Arial" w:hAnsi="Arial" w:cs="Arial"/>
              </w:rPr>
            </w:pPr>
            <w:r>
              <w:rPr>
                <w:rFonts w:ascii="Arial" w:eastAsia="Arial" w:hAnsi="Arial" w:cs="Arial"/>
              </w:rPr>
              <w:t>1.28</w:t>
            </w:r>
          </w:p>
        </w:tc>
      </w:tr>
      <w:tr w:rsidR="00E7667D" w14:paraId="23256897" w14:textId="77777777">
        <w:trPr>
          <w:trHeight w:val="193"/>
        </w:trPr>
        <w:tc>
          <w:tcPr>
            <w:tcW w:w="6924" w:type="dxa"/>
            <w:vAlign w:val="center"/>
          </w:tcPr>
          <w:p w14:paraId="21A18634" w14:textId="77777777" w:rsidR="00E7667D" w:rsidRDefault="002E40EE">
            <w:pPr>
              <w:rPr>
                <w:rFonts w:ascii="Arial" w:eastAsia="Arial" w:hAnsi="Arial" w:cs="Arial"/>
              </w:rPr>
            </w:pPr>
            <w:r>
              <w:rPr>
                <w:rFonts w:ascii="Arial" w:eastAsia="Arial" w:hAnsi="Arial" w:cs="Arial"/>
                <w:color w:val="2E2E2E"/>
              </w:rPr>
              <w:t>I had waves of strong feelings about it.</w:t>
            </w:r>
          </w:p>
        </w:tc>
        <w:tc>
          <w:tcPr>
            <w:tcW w:w="1881" w:type="dxa"/>
            <w:vAlign w:val="center"/>
          </w:tcPr>
          <w:p w14:paraId="4CA64EAF" w14:textId="77777777" w:rsidR="00E7667D" w:rsidRDefault="002E40EE">
            <w:pPr>
              <w:jc w:val="center"/>
              <w:rPr>
                <w:rFonts w:ascii="Arial" w:eastAsia="Arial" w:hAnsi="Arial" w:cs="Arial"/>
              </w:rPr>
            </w:pPr>
            <w:r>
              <w:rPr>
                <w:rFonts w:ascii="Arial" w:eastAsia="Arial" w:hAnsi="Arial" w:cs="Arial"/>
              </w:rPr>
              <w:t>1.28</w:t>
            </w:r>
          </w:p>
        </w:tc>
      </w:tr>
      <w:tr w:rsidR="00E7667D" w14:paraId="7659A896" w14:textId="77777777">
        <w:trPr>
          <w:trHeight w:val="241"/>
        </w:trPr>
        <w:tc>
          <w:tcPr>
            <w:tcW w:w="6924" w:type="dxa"/>
            <w:vAlign w:val="center"/>
          </w:tcPr>
          <w:p w14:paraId="6D2A3A9A" w14:textId="77777777" w:rsidR="00E7667D" w:rsidRDefault="002E40EE">
            <w:pPr>
              <w:rPr>
                <w:rFonts w:ascii="Arial" w:eastAsia="Arial" w:hAnsi="Arial" w:cs="Arial"/>
              </w:rPr>
            </w:pPr>
            <w:r>
              <w:rPr>
                <w:rFonts w:ascii="Arial" w:eastAsia="Arial" w:hAnsi="Arial" w:cs="Arial"/>
                <w:color w:val="2E2E2E"/>
              </w:rPr>
              <w:t>I had dreams about it.</w:t>
            </w:r>
          </w:p>
        </w:tc>
        <w:tc>
          <w:tcPr>
            <w:tcW w:w="1881" w:type="dxa"/>
            <w:vAlign w:val="center"/>
          </w:tcPr>
          <w:p w14:paraId="0817064F" w14:textId="77777777" w:rsidR="00E7667D" w:rsidRDefault="002E40EE">
            <w:pPr>
              <w:jc w:val="center"/>
              <w:rPr>
                <w:rFonts w:ascii="Arial" w:eastAsia="Arial" w:hAnsi="Arial" w:cs="Arial"/>
              </w:rPr>
            </w:pPr>
            <w:r>
              <w:rPr>
                <w:rFonts w:ascii="Arial" w:eastAsia="Arial" w:hAnsi="Arial" w:cs="Arial"/>
              </w:rPr>
              <w:t>1.01</w:t>
            </w:r>
          </w:p>
        </w:tc>
      </w:tr>
      <w:tr w:rsidR="00E7667D" w14:paraId="78EC920B" w14:textId="77777777">
        <w:trPr>
          <w:trHeight w:val="241"/>
        </w:trPr>
        <w:tc>
          <w:tcPr>
            <w:tcW w:w="6924" w:type="dxa"/>
            <w:vAlign w:val="center"/>
          </w:tcPr>
          <w:p w14:paraId="68A582EB" w14:textId="77777777" w:rsidR="00E7667D" w:rsidRDefault="002E40EE">
            <w:pPr>
              <w:jc w:val="center"/>
              <w:rPr>
                <w:rFonts w:ascii="Arial" w:eastAsia="Arial" w:hAnsi="Arial" w:cs="Arial"/>
                <w:b/>
                <w:bCs/>
                <w:color w:val="2E2E2E"/>
              </w:rPr>
            </w:pPr>
            <w:r>
              <w:rPr>
                <w:rFonts w:ascii="Arial" w:eastAsia="Arial" w:hAnsi="Arial" w:cs="Arial"/>
                <w:b/>
                <w:bCs/>
                <w:color w:val="2E2E2E"/>
              </w:rPr>
              <w:t>Mean Intrusion Score</w:t>
            </w:r>
          </w:p>
        </w:tc>
        <w:tc>
          <w:tcPr>
            <w:tcW w:w="1881" w:type="dxa"/>
            <w:vAlign w:val="center"/>
          </w:tcPr>
          <w:p w14:paraId="309C5819" w14:textId="77777777" w:rsidR="00E7667D" w:rsidRDefault="002E40EE">
            <w:pPr>
              <w:jc w:val="center"/>
              <w:rPr>
                <w:rFonts w:ascii="Arial" w:eastAsia="Arial" w:hAnsi="Arial" w:cs="Arial"/>
                <w:b/>
                <w:bCs/>
              </w:rPr>
            </w:pPr>
            <w:r>
              <w:rPr>
                <w:rFonts w:ascii="Arial" w:eastAsia="Arial" w:hAnsi="Arial" w:cs="Arial"/>
                <w:b/>
                <w:bCs/>
              </w:rPr>
              <w:t>1.39</w:t>
            </w:r>
          </w:p>
        </w:tc>
      </w:tr>
      <w:tr w:rsidR="00E7667D" w14:paraId="3804031F" w14:textId="77777777">
        <w:trPr>
          <w:trHeight w:val="177"/>
        </w:trPr>
        <w:tc>
          <w:tcPr>
            <w:tcW w:w="6924" w:type="dxa"/>
          </w:tcPr>
          <w:p w14:paraId="26AB9D78" w14:textId="77777777" w:rsidR="00E7667D" w:rsidRDefault="002E40EE">
            <w:pPr>
              <w:rPr>
                <w:rFonts w:ascii="Arial" w:eastAsia="Arial" w:hAnsi="Arial" w:cs="Arial"/>
                <w:b/>
                <w:bCs/>
              </w:rPr>
            </w:pPr>
            <w:r>
              <w:rPr>
                <w:rFonts w:ascii="Arial" w:eastAsia="Arial" w:hAnsi="Arial" w:cs="Arial"/>
                <w:b/>
                <w:bCs/>
                <w:color w:val="2E2E2E"/>
                <w:highlight w:val="white"/>
              </w:rPr>
              <w:t>Avoidance</w:t>
            </w:r>
          </w:p>
        </w:tc>
        <w:tc>
          <w:tcPr>
            <w:tcW w:w="1881" w:type="dxa"/>
          </w:tcPr>
          <w:p w14:paraId="20C4C69C" w14:textId="77777777" w:rsidR="00E7667D" w:rsidRDefault="00E7667D">
            <w:pPr>
              <w:jc w:val="center"/>
              <w:rPr>
                <w:rFonts w:ascii="Arial" w:eastAsia="Arial" w:hAnsi="Arial" w:cs="Arial"/>
                <w:b/>
                <w:bCs/>
              </w:rPr>
            </w:pPr>
          </w:p>
        </w:tc>
      </w:tr>
      <w:tr w:rsidR="00E7667D" w14:paraId="482108FA" w14:textId="77777777">
        <w:trPr>
          <w:trHeight w:val="177"/>
        </w:trPr>
        <w:tc>
          <w:tcPr>
            <w:tcW w:w="6924" w:type="dxa"/>
            <w:vAlign w:val="center"/>
          </w:tcPr>
          <w:p w14:paraId="0CF89BCC" w14:textId="77777777" w:rsidR="00E7667D" w:rsidRDefault="002E40EE">
            <w:pPr>
              <w:rPr>
                <w:rFonts w:ascii="Arial" w:eastAsia="Arial" w:hAnsi="Arial" w:cs="Arial"/>
              </w:rPr>
            </w:pPr>
            <w:r>
              <w:rPr>
                <w:rFonts w:ascii="Arial" w:eastAsia="Arial" w:hAnsi="Arial" w:cs="Arial"/>
                <w:color w:val="2E2E2E"/>
              </w:rPr>
              <w:t>I avoided letting myself get upset when I thought about it or was reminded of it.</w:t>
            </w:r>
          </w:p>
        </w:tc>
        <w:tc>
          <w:tcPr>
            <w:tcW w:w="1881" w:type="dxa"/>
            <w:vAlign w:val="center"/>
          </w:tcPr>
          <w:p w14:paraId="387DAB4A" w14:textId="77777777" w:rsidR="00E7667D" w:rsidRDefault="002E40EE">
            <w:pPr>
              <w:jc w:val="center"/>
              <w:rPr>
                <w:rFonts w:ascii="Arial" w:eastAsia="Arial" w:hAnsi="Arial" w:cs="Arial"/>
              </w:rPr>
            </w:pPr>
            <w:r>
              <w:rPr>
                <w:rFonts w:ascii="Arial" w:eastAsia="Arial" w:hAnsi="Arial" w:cs="Arial"/>
              </w:rPr>
              <w:t>1.89</w:t>
            </w:r>
          </w:p>
        </w:tc>
      </w:tr>
      <w:tr w:rsidR="00E7667D" w14:paraId="0BC1DFF8" w14:textId="77777777">
        <w:trPr>
          <w:trHeight w:val="265"/>
        </w:trPr>
        <w:tc>
          <w:tcPr>
            <w:tcW w:w="6924" w:type="dxa"/>
            <w:vAlign w:val="center"/>
          </w:tcPr>
          <w:p w14:paraId="36624985" w14:textId="77777777" w:rsidR="00E7667D" w:rsidRDefault="002E40EE">
            <w:pPr>
              <w:rPr>
                <w:rFonts w:ascii="Arial" w:eastAsia="Arial" w:hAnsi="Arial" w:cs="Arial"/>
              </w:rPr>
            </w:pPr>
            <w:r>
              <w:rPr>
                <w:rFonts w:ascii="Arial" w:eastAsia="Arial" w:hAnsi="Arial" w:cs="Arial"/>
                <w:color w:val="2E2E2E"/>
              </w:rPr>
              <w:t>I tried not to think about it.</w:t>
            </w:r>
          </w:p>
        </w:tc>
        <w:tc>
          <w:tcPr>
            <w:tcW w:w="1881" w:type="dxa"/>
            <w:vAlign w:val="center"/>
          </w:tcPr>
          <w:p w14:paraId="73AB3FF7" w14:textId="77777777" w:rsidR="00E7667D" w:rsidRDefault="002E40EE">
            <w:pPr>
              <w:jc w:val="center"/>
              <w:rPr>
                <w:rFonts w:ascii="Arial" w:eastAsia="Arial" w:hAnsi="Arial" w:cs="Arial"/>
              </w:rPr>
            </w:pPr>
            <w:r>
              <w:rPr>
                <w:rFonts w:ascii="Arial" w:eastAsia="Arial" w:hAnsi="Arial" w:cs="Arial"/>
              </w:rPr>
              <w:t>1.84</w:t>
            </w:r>
          </w:p>
        </w:tc>
      </w:tr>
      <w:tr w:rsidR="00E7667D" w14:paraId="42322731" w14:textId="77777777">
        <w:trPr>
          <w:trHeight w:val="265"/>
        </w:trPr>
        <w:tc>
          <w:tcPr>
            <w:tcW w:w="6924" w:type="dxa"/>
            <w:vAlign w:val="center"/>
          </w:tcPr>
          <w:p w14:paraId="27B9DCAD" w14:textId="77777777" w:rsidR="00E7667D" w:rsidRDefault="002E40EE">
            <w:pPr>
              <w:rPr>
                <w:rFonts w:ascii="Arial" w:eastAsia="Arial" w:hAnsi="Arial" w:cs="Arial"/>
              </w:rPr>
            </w:pPr>
            <w:r>
              <w:rPr>
                <w:rFonts w:ascii="Arial" w:eastAsia="Arial" w:hAnsi="Arial" w:cs="Arial"/>
                <w:color w:val="2E2E2E"/>
              </w:rPr>
              <w:t>I tried not to talk about it.</w:t>
            </w:r>
          </w:p>
        </w:tc>
        <w:tc>
          <w:tcPr>
            <w:tcW w:w="1881" w:type="dxa"/>
            <w:vAlign w:val="center"/>
          </w:tcPr>
          <w:p w14:paraId="20539970" w14:textId="77777777" w:rsidR="00E7667D" w:rsidRDefault="002E40EE">
            <w:pPr>
              <w:jc w:val="center"/>
              <w:rPr>
                <w:rFonts w:ascii="Arial" w:eastAsia="Arial" w:hAnsi="Arial" w:cs="Arial"/>
              </w:rPr>
            </w:pPr>
            <w:r>
              <w:rPr>
                <w:rFonts w:ascii="Arial" w:eastAsia="Arial" w:hAnsi="Arial" w:cs="Arial"/>
              </w:rPr>
              <w:t>1.68</w:t>
            </w:r>
          </w:p>
        </w:tc>
      </w:tr>
      <w:tr w:rsidR="00E7667D" w14:paraId="25D27D09" w14:textId="77777777">
        <w:trPr>
          <w:trHeight w:val="145"/>
        </w:trPr>
        <w:tc>
          <w:tcPr>
            <w:tcW w:w="6924" w:type="dxa"/>
            <w:vAlign w:val="center"/>
          </w:tcPr>
          <w:p w14:paraId="191663E9" w14:textId="77777777" w:rsidR="00E7667D" w:rsidRDefault="002E40EE">
            <w:pPr>
              <w:rPr>
                <w:rFonts w:ascii="Arial" w:eastAsia="Arial" w:hAnsi="Arial" w:cs="Arial"/>
              </w:rPr>
            </w:pPr>
            <w:r>
              <w:rPr>
                <w:rFonts w:ascii="Arial" w:eastAsia="Arial" w:hAnsi="Arial" w:cs="Arial"/>
                <w:color w:val="2E2E2E"/>
              </w:rPr>
              <w:t>I was aware that I still have a lot of feelings about it, but I didn't deal with them.</w:t>
            </w:r>
          </w:p>
        </w:tc>
        <w:tc>
          <w:tcPr>
            <w:tcW w:w="1881" w:type="dxa"/>
            <w:vAlign w:val="center"/>
          </w:tcPr>
          <w:p w14:paraId="0B03A4B5" w14:textId="77777777" w:rsidR="00E7667D" w:rsidRDefault="002E40EE">
            <w:pPr>
              <w:jc w:val="center"/>
              <w:rPr>
                <w:rFonts w:ascii="Arial" w:eastAsia="Arial" w:hAnsi="Arial" w:cs="Arial"/>
              </w:rPr>
            </w:pPr>
            <w:r>
              <w:rPr>
                <w:rFonts w:ascii="Arial" w:eastAsia="Arial" w:hAnsi="Arial" w:cs="Arial"/>
              </w:rPr>
              <w:t>1.61</w:t>
            </w:r>
          </w:p>
        </w:tc>
      </w:tr>
      <w:tr w:rsidR="00E7667D" w14:paraId="0D4F82C3" w14:textId="77777777">
        <w:trPr>
          <w:trHeight w:val="161"/>
        </w:trPr>
        <w:tc>
          <w:tcPr>
            <w:tcW w:w="6924" w:type="dxa"/>
            <w:vAlign w:val="center"/>
          </w:tcPr>
          <w:p w14:paraId="17138E79" w14:textId="77777777" w:rsidR="00E7667D" w:rsidRDefault="002E40EE">
            <w:pPr>
              <w:rPr>
                <w:rFonts w:ascii="Arial" w:eastAsia="Arial" w:hAnsi="Arial" w:cs="Arial"/>
              </w:rPr>
            </w:pPr>
            <w:r>
              <w:rPr>
                <w:rFonts w:ascii="Arial" w:eastAsia="Arial" w:hAnsi="Arial" w:cs="Arial"/>
                <w:color w:val="2E2E2E"/>
              </w:rPr>
              <w:t>I tried to remove it from my memory.</w:t>
            </w:r>
          </w:p>
        </w:tc>
        <w:tc>
          <w:tcPr>
            <w:tcW w:w="1881" w:type="dxa"/>
            <w:vAlign w:val="center"/>
          </w:tcPr>
          <w:p w14:paraId="644D8761" w14:textId="77777777" w:rsidR="00E7667D" w:rsidRDefault="002E40EE">
            <w:pPr>
              <w:jc w:val="center"/>
              <w:rPr>
                <w:rFonts w:ascii="Arial" w:eastAsia="Arial" w:hAnsi="Arial" w:cs="Arial"/>
              </w:rPr>
            </w:pPr>
            <w:r>
              <w:rPr>
                <w:rFonts w:ascii="Arial" w:eastAsia="Arial" w:hAnsi="Arial" w:cs="Arial"/>
              </w:rPr>
              <w:t>1.60</w:t>
            </w:r>
          </w:p>
        </w:tc>
      </w:tr>
      <w:tr w:rsidR="00E7667D" w14:paraId="5F7C79F4" w14:textId="77777777">
        <w:trPr>
          <w:trHeight w:val="282"/>
        </w:trPr>
        <w:tc>
          <w:tcPr>
            <w:tcW w:w="6924" w:type="dxa"/>
            <w:vAlign w:val="center"/>
          </w:tcPr>
          <w:p w14:paraId="3E58233E" w14:textId="77777777" w:rsidR="00E7667D" w:rsidRDefault="002E40EE">
            <w:pPr>
              <w:rPr>
                <w:rFonts w:ascii="Arial" w:eastAsia="Arial" w:hAnsi="Arial" w:cs="Arial"/>
              </w:rPr>
            </w:pPr>
            <w:r>
              <w:rPr>
                <w:rFonts w:ascii="Arial" w:eastAsia="Arial" w:hAnsi="Arial" w:cs="Arial"/>
                <w:color w:val="2E2E2E"/>
              </w:rPr>
              <w:t>I stayed away from reminders of it.</w:t>
            </w:r>
          </w:p>
        </w:tc>
        <w:tc>
          <w:tcPr>
            <w:tcW w:w="1881" w:type="dxa"/>
            <w:vAlign w:val="center"/>
          </w:tcPr>
          <w:p w14:paraId="564CE866" w14:textId="77777777" w:rsidR="00E7667D" w:rsidRDefault="002E40EE">
            <w:pPr>
              <w:jc w:val="center"/>
              <w:rPr>
                <w:rFonts w:ascii="Arial" w:eastAsia="Arial" w:hAnsi="Arial" w:cs="Arial"/>
              </w:rPr>
            </w:pPr>
            <w:r>
              <w:rPr>
                <w:rFonts w:ascii="Arial" w:eastAsia="Arial" w:hAnsi="Arial" w:cs="Arial"/>
              </w:rPr>
              <w:t>1.58</w:t>
            </w:r>
          </w:p>
        </w:tc>
      </w:tr>
      <w:tr w:rsidR="00E7667D" w14:paraId="54C832D4" w14:textId="77777777">
        <w:trPr>
          <w:trHeight w:val="153"/>
        </w:trPr>
        <w:tc>
          <w:tcPr>
            <w:tcW w:w="6924" w:type="dxa"/>
            <w:vAlign w:val="center"/>
          </w:tcPr>
          <w:p w14:paraId="455F6ADE" w14:textId="77777777" w:rsidR="00E7667D" w:rsidRDefault="002E40EE">
            <w:pPr>
              <w:rPr>
                <w:rFonts w:ascii="Arial" w:eastAsia="Arial" w:hAnsi="Arial" w:cs="Arial"/>
              </w:rPr>
            </w:pPr>
            <w:r>
              <w:rPr>
                <w:rFonts w:ascii="Arial" w:eastAsia="Arial" w:hAnsi="Arial" w:cs="Arial"/>
                <w:color w:val="2E2E2E"/>
              </w:rPr>
              <w:t>My feelings about it were kind of numb.</w:t>
            </w:r>
          </w:p>
        </w:tc>
        <w:tc>
          <w:tcPr>
            <w:tcW w:w="1881" w:type="dxa"/>
            <w:vAlign w:val="center"/>
          </w:tcPr>
          <w:p w14:paraId="7893AFB2" w14:textId="77777777" w:rsidR="00E7667D" w:rsidRDefault="002E40EE">
            <w:pPr>
              <w:jc w:val="center"/>
              <w:rPr>
                <w:rFonts w:ascii="Arial" w:eastAsia="Arial" w:hAnsi="Arial" w:cs="Arial"/>
              </w:rPr>
            </w:pPr>
            <w:r>
              <w:rPr>
                <w:rFonts w:ascii="Arial" w:eastAsia="Arial" w:hAnsi="Arial" w:cs="Arial"/>
              </w:rPr>
              <w:t>1.48</w:t>
            </w:r>
          </w:p>
        </w:tc>
      </w:tr>
      <w:tr w:rsidR="00E7667D" w14:paraId="2C5DD18C" w14:textId="77777777">
        <w:trPr>
          <w:trHeight w:val="201"/>
        </w:trPr>
        <w:tc>
          <w:tcPr>
            <w:tcW w:w="6924" w:type="dxa"/>
            <w:vAlign w:val="center"/>
          </w:tcPr>
          <w:p w14:paraId="1F52CFE6" w14:textId="77777777" w:rsidR="00E7667D" w:rsidRDefault="002E40EE">
            <w:pPr>
              <w:rPr>
                <w:rFonts w:ascii="Arial" w:eastAsia="Arial" w:hAnsi="Arial" w:cs="Arial"/>
              </w:rPr>
            </w:pPr>
            <w:r>
              <w:rPr>
                <w:rFonts w:ascii="Arial" w:eastAsia="Arial" w:hAnsi="Arial" w:cs="Arial"/>
                <w:color w:val="2E2E2E"/>
              </w:rPr>
              <w:t>I felt as if it hadn't happened or wasn't real.</w:t>
            </w:r>
          </w:p>
        </w:tc>
        <w:tc>
          <w:tcPr>
            <w:tcW w:w="1881" w:type="dxa"/>
            <w:vAlign w:val="center"/>
          </w:tcPr>
          <w:p w14:paraId="46FE7F13" w14:textId="77777777" w:rsidR="00E7667D" w:rsidRDefault="002E40EE">
            <w:pPr>
              <w:jc w:val="center"/>
              <w:rPr>
                <w:rFonts w:ascii="Arial" w:eastAsia="Arial" w:hAnsi="Arial" w:cs="Arial"/>
              </w:rPr>
            </w:pPr>
            <w:r>
              <w:rPr>
                <w:rFonts w:ascii="Arial" w:eastAsia="Arial" w:hAnsi="Arial" w:cs="Arial"/>
              </w:rPr>
              <w:t>1.47</w:t>
            </w:r>
          </w:p>
        </w:tc>
      </w:tr>
      <w:tr w:rsidR="00E7667D" w14:paraId="5DE74CF4" w14:textId="77777777">
        <w:trPr>
          <w:trHeight w:val="201"/>
        </w:trPr>
        <w:tc>
          <w:tcPr>
            <w:tcW w:w="6924" w:type="dxa"/>
            <w:vAlign w:val="center"/>
          </w:tcPr>
          <w:p w14:paraId="263CB2F0" w14:textId="77777777" w:rsidR="00E7667D" w:rsidRDefault="002E40EE">
            <w:pPr>
              <w:jc w:val="center"/>
              <w:rPr>
                <w:rFonts w:ascii="Arial" w:eastAsia="Arial" w:hAnsi="Arial" w:cs="Arial"/>
                <w:b/>
                <w:bCs/>
                <w:color w:val="2E2E2E"/>
              </w:rPr>
            </w:pPr>
            <w:r>
              <w:rPr>
                <w:rFonts w:ascii="Arial" w:eastAsia="Arial" w:hAnsi="Arial" w:cs="Arial"/>
                <w:b/>
                <w:bCs/>
                <w:color w:val="2E2E2E"/>
              </w:rPr>
              <w:t>Mean Avoidance Score</w:t>
            </w:r>
          </w:p>
        </w:tc>
        <w:tc>
          <w:tcPr>
            <w:tcW w:w="1881" w:type="dxa"/>
            <w:vAlign w:val="center"/>
          </w:tcPr>
          <w:p w14:paraId="01A97B2E" w14:textId="77777777" w:rsidR="00E7667D" w:rsidRDefault="002E40EE">
            <w:pPr>
              <w:jc w:val="center"/>
              <w:rPr>
                <w:rFonts w:ascii="Arial" w:eastAsia="Arial" w:hAnsi="Arial" w:cs="Arial"/>
                <w:b/>
                <w:bCs/>
              </w:rPr>
            </w:pPr>
            <w:r>
              <w:rPr>
                <w:rFonts w:ascii="Arial" w:eastAsia="Arial" w:hAnsi="Arial" w:cs="Arial"/>
                <w:b/>
                <w:bCs/>
              </w:rPr>
              <w:t>1.64</w:t>
            </w:r>
          </w:p>
        </w:tc>
      </w:tr>
      <w:tr w:rsidR="00E7667D" w14:paraId="478B0B5D" w14:textId="77777777">
        <w:trPr>
          <w:trHeight w:val="201"/>
        </w:trPr>
        <w:tc>
          <w:tcPr>
            <w:tcW w:w="6924" w:type="dxa"/>
          </w:tcPr>
          <w:p w14:paraId="0D802428" w14:textId="77777777" w:rsidR="00E7667D" w:rsidRDefault="002E40EE">
            <w:pPr>
              <w:rPr>
                <w:rFonts w:ascii="Arial" w:eastAsia="Arial" w:hAnsi="Arial" w:cs="Arial"/>
                <w:b/>
                <w:bCs/>
              </w:rPr>
            </w:pPr>
            <w:r>
              <w:rPr>
                <w:rFonts w:ascii="Arial" w:eastAsia="Arial" w:hAnsi="Arial" w:cs="Arial"/>
                <w:b/>
                <w:bCs/>
                <w:color w:val="2E2E2E"/>
                <w:highlight w:val="white"/>
              </w:rPr>
              <w:t>Hyperarousal</w:t>
            </w:r>
          </w:p>
        </w:tc>
        <w:tc>
          <w:tcPr>
            <w:tcW w:w="1881" w:type="dxa"/>
          </w:tcPr>
          <w:p w14:paraId="07F7C69C" w14:textId="77777777" w:rsidR="00E7667D" w:rsidRDefault="00E7667D">
            <w:pPr>
              <w:jc w:val="center"/>
              <w:rPr>
                <w:rFonts w:ascii="Arial" w:eastAsia="Arial" w:hAnsi="Arial" w:cs="Arial"/>
                <w:b/>
                <w:bCs/>
              </w:rPr>
            </w:pPr>
          </w:p>
        </w:tc>
      </w:tr>
      <w:tr w:rsidR="00E7667D" w14:paraId="788E7F48" w14:textId="77777777">
        <w:trPr>
          <w:trHeight w:val="233"/>
        </w:trPr>
        <w:tc>
          <w:tcPr>
            <w:tcW w:w="6924" w:type="dxa"/>
            <w:vAlign w:val="center"/>
          </w:tcPr>
          <w:p w14:paraId="3C3FCD92" w14:textId="77777777" w:rsidR="00E7667D" w:rsidRDefault="002E40EE">
            <w:pPr>
              <w:rPr>
                <w:rFonts w:ascii="Arial" w:eastAsia="Arial" w:hAnsi="Arial" w:cs="Arial"/>
              </w:rPr>
            </w:pPr>
            <w:r>
              <w:rPr>
                <w:rFonts w:ascii="Arial" w:eastAsia="Arial" w:hAnsi="Arial" w:cs="Arial"/>
                <w:color w:val="2E2E2E"/>
              </w:rPr>
              <w:t>I had trouble concentrating.</w:t>
            </w:r>
          </w:p>
        </w:tc>
        <w:tc>
          <w:tcPr>
            <w:tcW w:w="1881" w:type="dxa"/>
            <w:vAlign w:val="center"/>
          </w:tcPr>
          <w:p w14:paraId="76BE2B42" w14:textId="77777777" w:rsidR="00E7667D" w:rsidRDefault="002E40EE">
            <w:pPr>
              <w:jc w:val="center"/>
              <w:rPr>
                <w:rFonts w:ascii="Arial" w:eastAsia="Arial" w:hAnsi="Arial" w:cs="Arial"/>
              </w:rPr>
            </w:pPr>
            <w:r>
              <w:rPr>
                <w:rFonts w:ascii="Arial" w:eastAsia="Arial" w:hAnsi="Arial" w:cs="Arial"/>
              </w:rPr>
              <w:t>1.31</w:t>
            </w:r>
          </w:p>
        </w:tc>
      </w:tr>
      <w:tr w:rsidR="00E7667D" w14:paraId="1124BAB8" w14:textId="77777777">
        <w:trPr>
          <w:trHeight w:val="274"/>
        </w:trPr>
        <w:tc>
          <w:tcPr>
            <w:tcW w:w="6924" w:type="dxa"/>
            <w:vAlign w:val="center"/>
          </w:tcPr>
          <w:p w14:paraId="0DB5D430" w14:textId="77777777" w:rsidR="00E7667D" w:rsidRDefault="002E40EE">
            <w:pPr>
              <w:rPr>
                <w:rFonts w:ascii="Arial" w:eastAsia="Arial" w:hAnsi="Arial" w:cs="Arial"/>
              </w:rPr>
            </w:pPr>
            <w:r>
              <w:rPr>
                <w:rFonts w:ascii="Arial" w:eastAsia="Arial" w:hAnsi="Arial" w:cs="Arial"/>
                <w:color w:val="2E2E2E"/>
              </w:rPr>
              <w:t>I had trouble falling asleep.</w:t>
            </w:r>
          </w:p>
        </w:tc>
        <w:tc>
          <w:tcPr>
            <w:tcW w:w="1881" w:type="dxa"/>
            <w:vAlign w:val="center"/>
          </w:tcPr>
          <w:p w14:paraId="1399DFA0" w14:textId="77777777" w:rsidR="00E7667D" w:rsidRDefault="002E40EE">
            <w:pPr>
              <w:jc w:val="center"/>
              <w:rPr>
                <w:rFonts w:ascii="Arial" w:eastAsia="Arial" w:hAnsi="Arial" w:cs="Arial"/>
              </w:rPr>
            </w:pPr>
            <w:r>
              <w:rPr>
                <w:rFonts w:ascii="Arial" w:eastAsia="Arial" w:hAnsi="Arial" w:cs="Arial"/>
              </w:rPr>
              <w:t>1.28</w:t>
            </w:r>
          </w:p>
        </w:tc>
      </w:tr>
      <w:tr w:rsidR="00E7667D" w14:paraId="5A0949FB" w14:textId="77777777">
        <w:trPr>
          <w:trHeight w:val="282"/>
        </w:trPr>
        <w:tc>
          <w:tcPr>
            <w:tcW w:w="6924" w:type="dxa"/>
            <w:vAlign w:val="center"/>
          </w:tcPr>
          <w:p w14:paraId="491BE428" w14:textId="77777777" w:rsidR="00E7667D" w:rsidRDefault="002E40EE">
            <w:pPr>
              <w:rPr>
                <w:rFonts w:ascii="Arial" w:eastAsia="Arial" w:hAnsi="Arial" w:cs="Arial"/>
              </w:rPr>
            </w:pPr>
            <w:r>
              <w:rPr>
                <w:rFonts w:ascii="Arial" w:eastAsia="Arial" w:hAnsi="Arial" w:cs="Arial"/>
                <w:color w:val="2E2E2E"/>
              </w:rPr>
              <w:t>I feel irritable and angry.</w:t>
            </w:r>
          </w:p>
        </w:tc>
        <w:tc>
          <w:tcPr>
            <w:tcW w:w="1881" w:type="dxa"/>
            <w:vAlign w:val="center"/>
          </w:tcPr>
          <w:p w14:paraId="4E0CBF07" w14:textId="77777777" w:rsidR="00E7667D" w:rsidRDefault="002E40EE">
            <w:pPr>
              <w:jc w:val="center"/>
              <w:rPr>
                <w:rFonts w:ascii="Arial" w:eastAsia="Arial" w:hAnsi="Arial" w:cs="Arial"/>
              </w:rPr>
            </w:pPr>
            <w:r>
              <w:rPr>
                <w:rFonts w:ascii="Arial" w:eastAsia="Arial" w:hAnsi="Arial" w:cs="Arial"/>
              </w:rPr>
              <w:t>1.27</w:t>
            </w:r>
          </w:p>
        </w:tc>
      </w:tr>
      <w:tr w:rsidR="00E7667D" w14:paraId="07D8BC24" w14:textId="77777777">
        <w:trPr>
          <w:trHeight w:val="249"/>
        </w:trPr>
        <w:tc>
          <w:tcPr>
            <w:tcW w:w="6924" w:type="dxa"/>
            <w:vAlign w:val="center"/>
          </w:tcPr>
          <w:p w14:paraId="3168053D" w14:textId="77777777" w:rsidR="00E7667D" w:rsidRDefault="002E40EE">
            <w:pPr>
              <w:rPr>
                <w:rFonts w:ascii="Arial" w:eastAsia="Arial" w:hAnsi="Arial" w:cs="Arial"/>
              </w:rPr>
            </w:pPr>
            <w:r>
              <w:rPr>
                <w:rFonts w:ascii="Arial" w:eastAsia="Arial" w:hAnsi="Arial" w:cs="Arial"/>
                <w:color w:val="2E2E2E"/>
              </w:rPr>
              <w:t>I felt watchful and on-guard.</w:t>
            </w:r>
          </w:p>
        </w:tc>
        <w:tc>
          <w:tcPr>
            <w:tcW w:w="1881" w:type="dxa"/>
            <w:vAlign w:val="center"/>
          </w:tcPr>
          <w:p w14:paraId="7E9DD3F1" w14:textId="77777777" w:rsidR="00E7667D" w:rsidRDefault="002E40EE">
            <w:pPr>
              <w:jc w:val="center"/>
              <w:rPr>
                <w:rFonts w:ascii="Arial" w:eastAsia="Arial" w:hAnsi="Arial" w:cs="Arial"/>
              </w:rPr>
            </w:pPr>
            <w:r>
              <w:rPr>
                <w:rFonts w:ascii="Arial" w:eastAsia="Arial" w:hAnsi="Arial" w:cs="Arial"/>
              </w:rPr>
              <w:t>1.21</w:t>
            </w:r>
          </w:p>
        </w:tc>
      </w:tr>
      <w:tr w:rsidR="00E7667D" w14:paraId="12EAD40E" w14:textId="77777777">
        <w:trPr>
          <w:trHeight w:val="193"/>
        </w:trPr>
        <w:tc>
          <w:tcPr>
            <w:tcW w:w="6924" w:type="dxa"/>
            <w:vAlign w:val="center"/>
          </w:tcPr>
          <w:p w14:paraId="20B660A9" w14:textId="77777777" w:rsidR="00E7667D" w:rsidRDefault="002E40EE">
            <w:pPr>
              <w:rPr>
                <w:rFonts w:ascii="Arial" w:eastAsia="Arial" w:hAnsi="Arial" w:cs="Arial"/>
              </w:rPr>
            </w:pPr>
            <w:r>
              <w:rPr>
                <w:rFonts w:ascii="Arial" w:eastAsia="Arial" w:hAnsi="Arial" w:cs="Arial"/>
                <w:color w:val="2E2E2E"/>
              </w:rPr>
              <w:t>I was jumpy and easily startled.</w:t>
            </w:r>
          </w:p>
        </w:tc>
        <w:tc>
          <w:tcPr>
            <w:tcW w:w="1881" w:type="dxa"/>
            <w:vAlign w:val="center"/>
          </w:tcPr>
          <w:p w14:paraId="0FA6F3FC" w14:textId="77777777" w:rsidR="00E7667D" w:rsidRDefault="002E40EE">
            <w:pPr>
              <w:jc w:val="center"/>
              <w:rPr>
                <w:rFonts w:ascii="Arial" w:eastAsia="Arial" w:hAnsi="Arial" w:cs="Arial"/>
              </w:rPr>
            </w:pPr>
            <w:r>
              <w:rPr>
                <w:rFonts w:ascii="Arial" w:eastAsia="Arial" w:hAnsi="Arial" w:cs="Arial"/>
              </w:rPr>
              <w:t>1.19</w:t>
            </w:r>
          </w:p>
        </w:tc>
      </w:tr>
      <w:tr w:rsidR="00E7667D" w14:paraId="49CDBD55" w14:textId="77777777">
        <w:trPr>
          <w:trHeight w:val="266"/>
        </w:trPr>
        <w:tc>
          <w:tcPr>
            <w:tcW w:w="6924" w:type="dxa"/>
            <w:vAlign w:val="center"/>
          </w:tcPr>
          <w:p w14:paraId="55D5D7D4" w14:textId="77777777" w:rsidR="00E7667D" w:rsidRDefault="002E40EE">
            <w:pPr>
              <w:rPr>
                <w:rFonts w:ascii="Arial" w:eastAsia="Arial" w:hAnsi="Arial" w:cs="Arial"/>
              </w:rPr>
            </w:pPr>
            <w:r>
              <w:rPr>
                <w:rFonts w:ascii="Arial" w:eastAsia="Arial" w:hAnsi="Arial" w:cs="Arial"/>
                <w:color w:val="2E2E2E"/>
              </w:rPr>
              <w:t>Reminders of it caused me to have physical reactions, such as sweating and trouble breathing.</w:t>
            </w:r>
          </w:p>
        </w:tc>
        <w:tc>
          <w:tcPr>
            <w:tcW w:w="1881" w:type="dxa"/>
            <w:vAlign w:val="center"/>
          </w:tcPr>
          <w:p w14:paraId="07C5C972" w14:textId="77777777" w:rsidR="00E7667D" w:rsidRDefault="002E40EE">
            <w:pPr>
              <w:jc w:val="center"/>
              <w:rPr>
                <w:rFonts w:ascii="Arial" w:eastAsia="Arial" w:hAnsi="Arial" w:cs="Arial"/>
              </w:rPr>
            </w:pPr>
            <w:r>
              <w:rPr>
                <w:rFonts w:ascii="Arial" w:eastAsia="Arial" w:hAnsi="Arial" w:cs="Arial"/>
              </w:rPr>
              <w:t>1.09</w:t>
            </w:r>
          </w:p>
        </w:tc>
      </w:tr>
      <w:tr w:rsidR="00E7667D" w14:paraId="1A17243F" w14:textId="77777777">
        <w:trPr>
          <w:trHeight w:val="266"/>
        </w:trPr>
        <w:tc>
          <w:tcPr>
            <w:tcW w:w="6924" w:type="dxa"/>
            <w:tcBorders>
              <w:bottom w:val="single" w:sz="4" w:space="0" w:color="000000"/>
            </w:tcBorders>
            <w:vAlign w:val="center"/>
          </w:tcPr>
          <w:p w14:paraId="74E53214" w14:textId="77777777" w:rsidR="00E7667D" w:rsidRDefault="002E40EE">
            <w:pPr>
              <w:jc w:val="center"/>
              <w:rPr>
                <w:rFonts w:ascii="Arial" w:eastAsia="Arial" w:hAnsi="Arial" w:cs="Arial"/>
                <w:b/>
                <w:bCs/>
                <w:color w:val="2E2E2E"/>
              </w:rPr>
            </w:pPr>
            <w:r>
              <w:rPr>
                <w:rFonts w:ascii="Arial" w:eastAsia="Arial" w:hAnsi="Arial" w:cs="Arial"/>
                <w:b/>
                <w:bCs/>
                <w:color w:val="2E2E2E"/>
              </w:rPr>
              <w:t>Mean Hyperarousal Score</w:t>
            </w:r>
          </w:p>
        </w:tc>
        <w:tc>
          <w:tcPr>
            <w:tcW w:w="1881" w:type="dxa"/>
            <w:tcBorders>
              <w:bottom w:val="single" w:sz="4" w:space="0" w:color="000000"/>
            </w:tcBorders>
            <w:vAlign w:val="center"/>
          </w:tcPr>
          <w:p w14:paraId="17BF1F0E" w14:textId="77777777" w:rsidR="00E7667D" w:rsidRDefault="002E40EE">
            <w:pPr>
              <w:jc w:val="center"/>
              <w:rPr>
                <w:rFonts w:ascii="Arial" w:eastAsia="Arial" w:hAnsi="Arial" w:cs="Arial"/>
                <w:b/>
                <w:bCs/>
              </w:rPr>
            </w:pPr>
            <w:r>
              <w:rPr>
                <w:rFonts w:ascii="Arial" w:eastAsia="Arial" w:hAnsi="Arial" w:cs="Arial"/>
                <w:b/>
                <w:bCs/>
              </w:rPr>
              <w:t>1.22</w:t>
            </w:r>
          </w:p>
        </w:tc>
      </w:tr>
      <w:tr w:rsidR="00E7667D" w14:paraId="7EBF815F" w14:textId="77777777">
        <w:trPr>
          <w:trHeight w:val="266"/>
        </w:trPr>
        <w:tc>
          <w:tcPr>
            <w:tcW w:w="6924" w:type="dxa"/>
            <w:tcBorders>
              <w:top w:val="single" w:sz="4" w:space="0" w:color="000000"/>
              <w:bottom w:val="single" w:sz="4" w:space="0" w:color="000000"/>
            </w:tcBorders>
            <w:vAlign w:val="center"/>
          </w:tcPr>
          <w:p w14:paraId="04D6354B" w14:textId="77777777" w:rsidR="00E7667D" w:rsidRDefault="002E40EE">
            <w:pPr>
              <w:jc w:val="center"/>
              <w:rPr>
                <w:rFonts w:ascii="Arial" w:eastAsia="Arial" w:hAnsi="Arial" w:cs="Arial"/>
                <w:b/>
                <w:bCs/>
                <w:color w:val="2E2E2E"/>
              </w:rPr>
            </w:pPr>
            <w:r>
              <w:rPr>
                <w:rFonts w:ascii="Arial" w:eastAsia="Arial" w:hAnsi="Arial" w:cs="Arial"/>
                <w:b/>
                <w:bCs/>
                <w:color w:val="2E2E2E"/>
              </w:rPr>
              <w:t>Overall Traumatic Clinical Experience Mean</w:t>
            </w:r>
          </w:p>
        </w:tc>
        <w:tc>
          <w:tcPr>
            <w:tcW w:w="1881" w:type="dxa"/>
            <w:tcBorders>
              <w:top w:val="single" w:sz="4" w:space="0" w:color="000000"/>
              <w:bottom w:val="single" w:sz="4" w:space="0" w:color="000000"/>
            </w:tcBorders>
            <w:vAlign w:val="center"/>
          </w:tcPr>
          <w:p w14:paraId="28C73EC3" w14:textId="77777777" w:rsidR="00E7667D" w:rsidRDefault="002E40EE">
            <w:pPr>
              <w:jc w:val="center"/>
              <w:rPr>
                <w:rFonts w:ascii="Arial" w:eastAsia="Arial" w:hAnsi="Arial" w:cs="Arial"/>
                <w:b/>
                <w:bCs/>
              </w:rPr>
            </w:pPr>
            <w:r>
              <w:rPr>
                <w:rFonts w:ascii="Arial" w:eastAsia="Arial" w:hAnsi="Arial" w:cs="Arial"/>
                <w:b/>
                <w:bCs/>
              </w:rPr>
              <w:t xml:space="preserve">1.44 out of 3.00 </w:t>
            </w:r>
          </w:p>
        </w:tc>
      </w:tr>
    </w:tbl>
    <w:p w14:paraId="13D3251B" w14:textId="77777777" w:rsidR="00E7667D" w:rsidRDefault="002E40EE">
      <w:pPr>
        <w:rPr>
          <w:rFonts w:ascii="Arial" w:eastAsia="Arial" w:hAnsi="Arial" w:cs="Arial"/>
        </w:rPr>
      </w:pPr>
      <w:r>
        <w:rPr>
          <w:rFonts w:ascii="Arial" w:eastAsia="Arial" w:hAnsi="Arial" w:cs="Arial"/>
          <w:i/>
          <w:iCs/>
        </w:rPr>
        <w:lastRenderedPageBreak/>
        <w:t>*Legend: Low (1.08 and below), Clinically Significant (1.09 – 1.4), Probable (1.5 – 1.6), Extreme (1.7 and above)</w:t>
      </w:r>
    </w:p>
    <w:p w14:paraId="26433F92" w14:textId="77777777" w:rsidR="00E7667D" w:rsidRDefault="00E7667D">
      <w:pPr>
        <w:jc w:val="both"/>
        <w:rPr>
          <w:rFonts w:ascii="Arial" w:eastAsia="Arial" w:hAnsi="Arial" w:cs="Arial"/>
          <w:u w:val="single"/>
        </w:rPr>
      </w:pPr>
    </w:p>
    <w:p w14:paraId="7CEA97CE" w14:textId="77777777" w:rsidR="00E7667D" w:rsidRDefault="00E7667D">
      <w:pPr>
        <w:rPr>
          <w:rFonts w:ascii="Arial" w:eastAsia="Arial" w:hAnsi="Arial" w:cs="Arial"/>
          <w:b/>
          <w:bCs/>
        </w:rPr>
      </w:pPr>
    </w:p>
    <w:p w14:paraId="4ECEBCE3" w14:textId="77777777" w:rsidR="00E7667D" w:rsidRDefault="002E40EE">
      <w:pPr>
        <w:rPr>
          <w:rFonts w:ascii="Arial" w:eastAsia="Arial" w:hAnsi="Arial" w:cs="Arial"/>
        </w:rPr>
      </w:pPr>
      <w:r>
        <w:rPr>
          <w:rFonts w:ascii="Arial" w:eastAsia="Arial" w:hAnsi="Arial" w:cs="Arial"/>
          <w:b/>
          <w:bCs/>
        </w:rPr>
        <w:t>Table 2b.</w:t>
      </w:r>
    </w:p>
    <w:p w14:paraId="6C311E76" w14:textId="77777777" w:rsidR="00E7667D" w:rsidRDefault="002E40EE">
      <w:pPr>
        <w:rPr>
          <w:rFonts w:ascii="Arial" w:eastAsia="Arial" w:hAnsi="Arial" w:cs="Arial"/>
          <w:b/>
          <w:bCs/>
        </w:rPr>
      </w:pPr>
      <w:r>
        <w:rPr>
          <w:rFonts w:ascii="Arial" w:eastAsia="Arial" w:hAnsi="Arial" w:cs="Arial"/>
          <w:b/>
          <w:bCs/>
        </w:rPr>
        <w:t xml:space="preserve">Level of Traumatic Clinical Experience among the Respondents (n = 275) </w:t>
      </w:r>
    </w:p>
    <w:tbl>
      <w:tblPr>
        <w:tblStyle w:val="a2"/>
        <w:tblW w:w="8670" w:type="dxa"/>
        <w:tblInd w:w="0" w:type="dxa"/>
        <w:tblLayout w:type="fixed"/>
        <w:tblLook w:val="0400" w:firstRow="0" w:lastRow="0" w:firstColumn="0" w:lastColumn="0" w:noHBand="0" w:noVBand="1"/>
      </w:tblPr>
      <w:tblGrid>
        <w:gridCol w:w="2940"/>
        <w:gridCol w:w="2940"/>
        <w:gridCol w:w="2790"/>
      </w:tblGrid>
      <w:tr w:rsidR="00E7667D" w14:paraId="65F84E13" w14:textId="77777777">
        <w:trPr>
          <w:trHeight w:val="315"/>
        </w:trPr>
        <w:tc>
          <w:tcPr>
            <w:tcW w:w="2940" w:type="dxa"/>
            <w:tcBorders>
              <w:top w:val="single" w:sz="4" w:space="0" w:color="000000"/>
              <w:bottom w:val="single" w:sz="4" w:space="0" w:color="000000"/>
            </w:tcBorders>
            <w:tcMar>
              <w:top w:w="30" w:type="dxa"/>
              <w:left w:w="45" w:type="dxa"/>
              <w:bottom w:w="30" w:type="dxa"/>
              <w:right w:w="45" w:type="dxa"/>
            </w:tcMar>
            <w:vAlign w:val="bottom"/>
          </w:tcPr>
          <w:p w14:paraId="336A9871" w14:textId="77777777" w:rsidR="00E7667D" w:rsidRDefault="002E40EE">
            <w:pPr>
              <w:jc w:val="center"/>
              <w:rPr>
                <w:rFonts w:ascii="Arial" w:eastAsia="Arial" w:hAnsi="Arial" w:cs="Arial"/>
                <w:b/>
                <w:bCs/>
              </w:rPr>
            </w:pPr>
            <w:r>
              <w:rPr>
                <w:rFonts w:ascii="Arial" w:eastAsia="Arial" w:hAnsi="Arial" w:cs="Arial"/>
                <w:b/>
                <w:bCs/>
              </w:rPr>
              <w:t>Level of Traumatic Clinical Experience</w:t>
            </w:r>
          </w:p>
        </w:tc>
        <w:tc>
          <w:tcPr>
            <w:tcW w:w="2940" w:type="dxa"/>
            <w:tcBorders>
              <w:top w:val="single" w:sz="4" w:space="0" w:color="000000"/>
              <w:bottom w:val="single" w:sz="4" w:space="0" w:color="000000"/>
            </w:tcBorders>
            <w:tcMar>
              <w:top w:w="30" w:type="dxa"/>
              <w:left w:w="45" w:type="dxa"/>
              <w:bottom w:w="30" w:type="dxa"/>
              <w:right w:w="45" w:type="dxa"/>
            </w:tcMar>
            <w:vAlign w:val="bottom"/>
          </w:tcPr>
          <w:p w14:paraId="1B66FF65" w14:textId="77777777" w:rsidR="00E7667D" w:rsidRDefault="002E40EE">
            <w:pPr>
              <w:jc w:val="center"/>
              <w:rPr>
                <w:rFonts w:ascii="Arial" w:eastAsia="Arial" w:hAnsi="Arial" w:cs="Arial"/>
                <w:b/>
                <w:bCs/>
                <w:i/>
                <w:iCs/>
              </w:rPr>
            </w:pPr>
            <w:r>
              <w:rPr>
                <w:rFonts w:ascii="Arial" w:eastAsia="Arial" w:hAnsi="Arial" w:cs="Arial"/>
                <w:b/>
                <w:bCs/>
                <w:i/>
                <w:iCs/>
              </w:rPr>
              <w:t>f</w:t>
            </w:r>
          </w:p>
        </w:tc>
        <w:tc>
          <w:tcPr>
            <w:tcW w:w="2790" w:type="dxa"/>
            <w:tcBorders>
              <w:top w:val="single" w:sz="4" w:space="0" w:color="000000"/>
              <w:bottom w:val="single" w:sz="4" w:space="0" w:color="000000"/>
            </w:tcBorders>
            <w:tcMar>
              <w:top w:w="30" w:type="dxa"/>
              <w:left w:w="45" w:type="dxa"/>
              <w:bottom w:w="30" w:type="dxa"/>
              <w:right w:w="45" w:type="dxa"/>
            </w:tcMar>
            <w:vAlign w:val="bottom"/>
          </w:tcPr>
          <w:p w14:paraId="59607F16" w14:textId="77777777" w:rsidR="00E7667D" w:rsidRDefault="002E40EE">
            <w:pPr>
              <w:jc w:val="center"/>
              <w:rPr>
                <w:rFonts w:ascii="Arial" w:eastAsia="Arial" w:hAnsi="Arial" w:cs="Arial"/>
                <w:b/>
                <w:bCs/>
              </w:rPr>
            </w:pPr>
            <w:r>
              <w:rPr>
                <w:rFonts w:ascii="Arial" w:eastAsia="Arial" w:hAnsi="Arial" w:cs="Arial"/>
                <w:b/>
                <w:bCs/>
              </w:rPr>
              <w:t>%</w:t>
            </w:r>
          </w:p>
        </w:tc>
      </w:tr>
      <w:tr w:rsidR="00E7667D" w14:paraId="1270726E" w14:textId="77777777">
        <w:trPr>
          <w:trHeight w:val="315"/>
        </w:trPr>
        <w:tc>
          <w:tcPr>
            <w:tcW w:w="2940" w:type="dxa"/>
            <w:tcBorders>
              <w:top w:val="single" w:sz="4" w:space="0" w:color="000000"/>
            </w:tcBorders>
            <w:tcMar>
              <w:top w:w="30" w:type="dxa"/>
              <w:left w:w="45" w:type="dxa"/>
              <w:bottom w:w="30" w:type="dxa"/>
              <w:right w:w="45" w:type="dxa"/>
            </w:tcMar>
            <w:vAlign w:val="bottom"/>
          </w:tcPr>
          <w:p w14:paraId="01D81C01" w14:textId="77777777" w:rsidR="00E7667D" w:rsidRDefault="002E40EE">
            <w:pPr>
              <w:rPr>
                <w:rFonts w:ascii="Arial" w:eastAsia="Arial" w:hAnsi="Arial" w:cs="Arial"/>
              </w:rPr>
            </w:pPr>
            <w:r>
              <w:rPr>
                <w:rFonts w:ascii="Arial" w:eastAsia="Arial" w:hAnsi="Arial" w:cs="Arial"/>
              </w:rPr>
              <w:t>Low (0 – 23)</w:t>
            </w:r>
          </w:p>
        </w:tc>
        <w:tc>
          <w:tcPr>
            <w:tcW w:w="2940" w:type="dxa"/>
            <w:tcBorders>
              <w:top w:val="single" w:sz="4" w:space="0" w:color="000000"/>
            </w:tcBorders>
            <w:tcMar>
              <w:top w:w="30" w:type="dxa"/>
              <w:left w:w="45" w:type="dxa"/>
              <w:bottom w:w="30" w:type="dxa"/>
              <w:right w:w="45" w:type="dxa"/>
            </w:tcMar>
            <w:vAlign w:val="bottom"/>
          </w:tcPr>
          <w:p w14:paraId="5AB6F175" w14:textId="77777777" w:rsidR="00E7667D" w:rsidRDefault="002E40EE">
            <w:pPr>
              <w:ind w:right="850"/>
              <w:jc w:val="right"/>
              <w:rPr>
                <w:rFonts w:ascii="Arial" w:eastAsia="Arial" w:hAnsi="Arial" w:cs="Arial"/>
              </w:rPr>
            </w:pPr>
            <w:r>
              <w:rPr>
                <w:rFonts w:ascii="Arial" w:eastAsia="Arial" w:hAnsi="Arial" w:cs="Arial"/>
              </w:rPr>
              <w:t>105</w:t>
            </w:r>
          </w:p>
        </w:tc>
        <w:tc>
          <w:tcPr>
            <w:tcW w:w="2790" w:type="dxa"/>
            <w:tcBorders>
              <w:top w:val="single" w:sz="4" w:space="0" w:color="000000"/>
            </w:tcBorders>
            <w:tcMar>
              <w:top w:w="30" w:type="dxa"/>
              <w:left w:w="45" w:type="dxa"/>
              <w:bottom w:w="30" w:type="dxa"/>
              <w:right w:w="45" w:type="dxa"/>
            </w:tcMar>
            <w:vAlign w:val="bottom"/>
          </w:tcPr>
          <w:p w14:paraId="3759FDF5" w14:textId="77777777" w:rsidR="00E7667D" w:rsidRDefault="002E40EE">
            <w:pPr>
              <w:ind w:right="579"/>
              <w:jc w:val="right"/>
              <w:rPr>
                <w:rFonts w:ascii="Arial" w:eastAsia="Arial" w:hAnsi="Arial" w:cs="Arial"/>
              </w:rPr>
            </w:pPr>
            <w:r>
              <w:rPr>
                <w:rFonts w:ascii="Arial" w:eastAsia="Arial" w:hAnsi="Arial" w:cs="Arial"/>
              </w:rPr>
              <w:t>38.20</w:t>
            </w:r>
          </w:p>
        </w:tc>
      </w:tr>
      <w:tr w:rsidR="00E7667D" w14:paraId="46002641" w14:textId="77777777">
        <w:trPr>
          <w:trHeight w:val="315"/>
        </w:trPr>
        <w:tc>
          <w:tcPr>
            <w:tcW w:w="2940" w:type="dxa"/>
            <w:tcMar>
              <w:top w:w="30" w:type="dxa"/>
              <w:left w:w="45" w:type="dxa"/>
              <w:bottom w:w="30" w:type="dxa"/>
              <w:right w:w="45" w:type="dxa"/>
            </w:tcMar>
            <w:vAlign w:val="bottom"/>
          </w:tcPr>
          <w:p w14:paraId="7EE291F1" w14:textId="77777777" w:rsidR="00E7667D" w:rsidRDefault="002E40EE">
            <w:pPr>
              <w:rPr>
                <w:rFonts w:ascii="Arial" w:eastAsia="Arial" w:hAnsi="Arial" w:cs="Arial"/>
              </w:rPr>
            </w:pPr>
            <w:r>
              <w:rPr>
                <w:rFonts w:ascii="Arial" w:eastAsia="Arial" w:hAnsi="Arial" w:cs="Arial"/>
              </w:rPr>
              <w:t>Clinically Significant (24 – 32)</w:t>
            </w:r>
          </w:p>
        </w:tc>
        <w:tc>
          <w:tcPr>
            <w:tcW w:w="2940" w:type="dxa"/>
            <w:tcMar>
              <w:top w:w="30" w:type="dxa"/>
              <w:left w:w="45" w:type="dxa"/>
              <w:bottom w:w="30" w:type="dxa"/>
              <w:right w:w="45" w:type="dxa"/>
            </w:tcMar>
            <w:vAlign w:val="bottom"/>
          </w:tcPr>
          <w:p w14:paraId="5505BC4A" w14:textId="77777777" w:rsidR="00E7667D" w:rsidRDefault="002E40EE">
            <w:pPr>
              <w:ind w:right="850"/>
              <w:jc w:val="right"/>
              <w:rPr>
                <w:rFonts w:ascii="Arial" w:eastAsia="Arial" w:hAnsi="Arial" w:cs="Arial"/>
              </w:rPr>
            </w:pPr>
            <w:r>
              <w:rPr>
                <w:rFonts w:ascii="Arial" w:eastAsia="Arial" w:hAnsi="Arial" w:cs="Arial"/>
              </w:rPr>
              <w:t>37</w:t>
            </w:r>
          </w:p>
        </w:tc>
        <w:tc>
          <w:tcPr>
            <w:tcW w:w="2790" w:type="dxa"/>
            <w:tcMar>
              <w:top w:w="30" w:type="dxa"/>
              <w:left w:w="45" w:type="dxa"/>
              <w:bottom w:w="30" w:type="dxa"/>
              <w:right w:w="45" w:type="dxa"/>
            </w:tcMar>
            <w:vAlign w:val="bottom"/>
          </w:tcPr>
          <w:p w14:paraId="581558E5" w14:textId="77777777" w:rsidR="00E7667D" w:rsidRDefault="002E40EE">
            <w:pPr>
              <w:ind w:right="579"/>
              <w:jc w:val="right"/>
              <w:rPr>
                <w:rFonts w:ascii="Arial" w:eastAsia="Arial" w:hAnsi="Arial" w:cs="Arial"/>
              </w:rPr>
            </w:pPr>
            <w:r>
              <w:rPr>
                <w:rFonts w:ascii="Arial" w:eastAsia="Arial" w:hAnsi="Arial" w:cs="Arial"/>
              </w:rPr>
              <w:t>13.50</w:t>
            </w:r>
          </w:p>
        </w:tc>
      </w:tr>
      <w:tr w:rsidR="00E7667D" w14:paraId="168D4D19" w14:textId="77777777">
        <w:trPr>
          <w:trHeight w:val="315"/>
        </w:trPr>
        <w:tc>
          <w:tcPr>
            <w:tcW w:w="2940" w:type="dxa"/>
            <w:tcMar>
              <w:top w:w="30" w:type="dxa"/>
              <w:left w:w="45" w:type="dxa"/>
              <w:bottom w:w="30" w:type="dxa"/>
              <w:right w:w="45" w:type="dxa"/>
            </w:tcMar>
            <w:vAlign w:val="bottom"/>
          </w:tcPr>
          <w:p w14:paraId="0EC85605" w14:textId="77777777" w:rsidR="00E7667D" w:rsidRDefault="002E40EE">
            <w:pPr>
              <w:rPr>
                <w:rFonts w:ascii="Arial" w:eastAsia="Arial" w:hAnsi="Arial" w:cs="Arial"/>
              </w:rPr>
            </w:pPr>
            <w:r>
              <w:rPr>
                <w:rFonts w:ascii="Arial" w:eastAsia="Arial" w:hAnsi="Arial" w:cs="Arial"/>
              </w:rPr>
              <w:t xml:space="preserve">Probable (33 – 36) </w:t>
            </w:r>
          </w:p>
        </w:tc>
        <w:tc>
          <w:tcPr>
            <w:tcW w:w="2940" w:type="dxa"/>
            <w:tcMar>
              <w:top w:w="30" w:type="dxa"/>
              <w:left w:w="45" w:type="dxa"/>
              <w:bottom w:w="30" w:type="dxa"/>
              <w:right w:w="45" w:type="dxa"/>
            </w:tcMar>
            <w:vAlign w:val="bottom"/>
          </w:tcPr>
          <w:p w14:paraId="3698BF74" w14:textId="77777777" w:rsidR="00E7667D" w:rsidRDefault="002E40EE">
            <w:pPr>
              <w:ind w:right="850"/>
              <w:jc w:val="right"/>
              <w:rPr>
                <w:rFonts w:ascii="Arial" w:eastAsia="Arial" w:hAnsi="Arial" w:cs="Arial"/>
              </w:rPr>
            </w:pPr>
            <w:r>
              <w:rPr>
                <w:rFonts w:ascii="Arial" w:eastAsia="Arial" w:hAnsi="Arial" w:cs="Arial"/>
              </w:rPr>
              <w:t>22</w:t>
            </w:r>
          </w:p>
        </w:tc>
        <w:tc>
          <w:tcPr>
            <w:tcW w:w="2790" w:type="dxa"/>
            <w:tcMar>
              <w:top w:w="30" w:type="dxa"/>
              <w:left w:w="45" w:type="dxa"/>
              <w:bottom w:w="30" w:type="dxa"/>
              <w:right w:w="45" w:type="dxa"/>
            </w:tcMar>
            <w:vAlign w:val="bottom"/>
          </w:tcPr>
          <w:p w14:paraId="1CF5A37A" w14:textId="77777777" w:rsidR="00E7667D" w:rsidRDefault="002E40EE">
            <w:pPr>
              <w:ind w:right="579"/>
              <w:jc w:val="right"/>
              <w:rPr>
                <w:rFonts w:ascii="Arial" w:eastAsia="Arial" w:hAnsi="Arial" w:cs="Arial"/>
              </w:rPr>
            </w:pPr>
            <w:r>
              <w:rPr>
                <w:rFonts w:ascii="Arial" w:eastAsia="Arial" w:hAnsi="Arial" w:cs="Arial"/>
              </w:rPr>
              <w:t>8.00</w:t>
            </w:r>
          </w:p>
        </w:tc>
      </w:tr>
      <w:tr w:rsidR="00E7667D" w14:paraId="4F1225C3" w14:textId="77777777">
        <w:trPr>
          <w:trHeight w:val="315"/>
        </w:trPr>
        <w:tc>
          <w:tcPr>
            <w:tcW w:w="2940" w:type="dxa"/>
            <w:tcBorders>
              <w:bottom w:val="single" w:sz="4" w:space="0" w:color="000000"/>
            </w:tcBorders>
            <w:tcMar>
              <w:top w:w="30" w:type="dxa"/>
              <w:left w:w="45" w:type="dxa"/>
              <w:bottom w:w="30" w:type="dxa"/>
              <w:right w:w="45" w:type="dxa"/>
            </w:tcMar>
            <w:vAlign w:val="bottom"/>
          </w:tcPr>
          <w:p w14:paraId="45D38063" w14:textId="77777777" w:rsidR="00E7667D" w:rsidRDefault="002E40EE">
            <w:pPr>
              <w:rPr>
                <w:rFonts w:ascii="Arial" w:eastAsia="Arial" w:hAnsi="Arial" w:cs="Arial"/>
              </w:rPr>
            </w:pPr>
            <w:r>
              <w:rPr>
                <w:rFonts w:ascii="Arial" w:eastAsia="Arial" w:hAnsi="Arial" w:cs="Arial"/>
              </w:rPr>
              <w:t>Extreme (37 and above)</w:t>
            </w:r>
          </w:p>
        </w:tc>
        <w:tc>
          <w:tcPr>
            <w:tcW w:w="2940" w:type="dxa"/>
            <w:tcBorders>
              <w:bottom w:val="single" w:sz="4" w:space="0" w:color="000000"/>
            </w:tcBorders>
            <w:tcMar>
              <w:top w:w="30" w:type="dxa"/>
              <w:left w:w="45" w:type="dxa"/>
              <w:bottom w:w="30" w:type="dxa"/>
              <w:right w:w="45" w:type="dxa"/>
            </w:tcMar>
            <w:vAlign w:val="bottom"/>
          </w:tcPr>
          <w:p w14:paraId="5DF13AAB" w14:textId="77777777" w:rsidR="00E7667D" w:rsidRDefault="002E40EE">
            <w:pPr>
              <w:ind w:right="850"/>
              <w:jc w:val="right"/>
              <w:rPr>
                <w:rFonts w:ascii="Arial" w:eastAsia="Arial" w:hAnsi="Arial" w:cs="Arial"/>
              </w:rPr>
            </w:pPr>
            <w:r>
              <w:rPr>
                <w:rFonts w:ascii="Arial" w:eastAsia="Arial" w:hAnsi="Arial" w:cs="Arial"/>
              </w:rPr>
              <w:t>111</w:t>
            </w:r>
          </w:p>
        </w:tc>
        <w:tc>
          <w:tcPr>
            <w:tcW w:w="2790" w:type="dxa"/>
            <w:tcBorders>
              <w:bottom w:val="single" w:sz="4" w:space="0" w:color="000000"/>
            </w:tcBorders>
            <w:tcMar>
              <w:top w:w="30" w:type="dxa"/>
              <w:left w:w="45" w:type="dxa"/>
              <w:bottom w:w="30" w:type="dxa"/>
              <w:right w:w="45" w:type="dxa"/>
            </w:tcMar>
            <w:vAlign w:val="bottom"/>
          </w:tcPr>
          <w:p w14:paraId="0A6490C2" w14:textId="77777777" w:rsidR="00E7667D" w:rsidRDefault="002E40EE">
            <w:pPr>
              <w:ind w:right="579"/>
              <w:jc w:val="right"/>
              <w:rPr>
                <w:rFonts w:ascii="Arial" w:eastAsia="Arial" w:hAnsi="Arial" w:cs="Arial"/>
              </w:rPr>
            </w:pPr>
            <w:r>
              <w:rPr>
                <w:rFonts w:ascii="Arial" w:eastAsia="Arial" w:hAnsi="Arial" w:cs="Arial"/>
              </w:rPr>
              <w:t>40.40</w:t>
            </w:r>
          </w:p>
        </w:tc>
      </w:tr>
      <w:tr w:rsidR="00E7667D" w14:paraId="03FEE9C3" w14:textId="77777777">
        <w:trPr>
          <w:trHeight w:val="315"/>
        </w:trPr>
        <w:tc>
          <w:tcPr>
            <w:tcW w:w="2940" w:type="dxa"/>
            <w:tcBorders>
              <w:top w:val="single" w:sz="4" w:space="0" w:color="000000"/>
              <w:bottom w:val="single" w:sz="4" w:space="0" w:color="000000"/>
            </w:tcBorders>
            <w:tcMar>
              <w:top w:w="30" w:type="dxa"/>
              <w:left w:w="45" w:type="dxa"/>
              <w:bottom w:w="30" w:type="dxa"/>
              <w:right w:w="45" w:type="dxa"/>
            </w:tcMar>
            <w:vAlign w:val="bottom"/>
          </w:tcPr>
          <w:p w14:paraId="063F8807" w14:textId="77777777" w:rsidR="00E7667D" w:rsidRDefault="002E40EE">
            <w:pPr>
              <w:jc w:val="center"/>
              <w:rPr>
                <w:rFonts w:ascii="Arial" w:eastAsia="Arial" w:hAnsi="Arial" w:cs="Arial"/>
                <w:b/>
                <w:bCs/>
              </w:rPr>
            </w:pPr>
            <w:r>
              <w:rPr>
                <w:rFonts w:ascii="Arial" w:eastAsia="Arial" w:hAnsi="Arial" w:cs="Arial"/>
                <w:b/>
                <w:bCs/>
              </w:rPr>
              <w:t>Total</w:t>
            </w:r>
          </w:p>
        </w:tc>
        <w:tc>
          <w:tcPr>
            <w:tcW w:w="2940" w:type="dxa"/>
            <w:tcBorders>
              <w:top w:val="single" w:sz="4" w:space="0" w:color="000000"/>
              <w:bottom w:val="single" w:sz="4" w:space="0" w:color="000000"/>
            </w:tcBorders>
            <w:tcMar>
              <w:top w:w="30" w:type="dxa"/>
              <w:left w:w="45" w:type="dxa"/>
              <w:bottom w:w="30" w:type="dxa"/>
              <w:right w:w="45" w:type="dxa"/>
            </w:tcMar>
            <w:vAlign w:val="bottom"/>
          </w:tcPr>
          <w:p w14:paraId="4E523462" w14:textId="77777777" w:rsidR="00E7667D" w:rsidRDefault="002E40EE">
            <w:pPr>
              <w:ind w:right="850"/>
              <w:jc w:val="right"/>
              <w:rPr>
                <w:rFonts w:ascii="Arial" w:eastAsia="Arial" w:hAnsi="Arial" w:cs="Arial"/>
                <w:b/>
                <w:bCs/>
              </w:rPr>
            </w:pPr>
            <w:r>
              <w:rPr>
                <w:rFonts w:ascii="Arial" w:eastAsia="Arial" w:hAnsi="Arial" w:cs="Arial"/>
                <w:b/>
                <w:bCs/>
              </w:rPr>
              <w:t>275</w:t>
            </w:r>
          </w:p>
        </w:tc>
        <w:tc>
          <w:tcPr>
            <w:tcW w:w="2790" w:type="dxa"/>
            <w:tcBorders>
              <w:top w:val="single" w:sz="4" w:space="0" w:color="000000"/>
              <w:bottom w:val="single" w:sz="4" w:space="0" w:color="000000"/>
            </w:tcBorders>
            <w:tcMar>
              <w:top w:w="30" w:type="dxa"/>
              <w:left w:w="45" w:type="dxa"/>
              <w:bottom w:w="30" w:type="dxa"/>
              <w:right w:w="45" w:type="dxa"/>
            </w:tcMar>
            <w:vAlign w:val="bottom"/>
          </w:tcPr>
          <w:p w14:paraId="42B06426" w14:textId="77777777" w:rsidR="00E7667D" w:rsidRDefault="002E40EE">
            <w:pPr>
              <w:ind w:right="579"/>
              <w:jc w:val="right"/>
              <w:rPr>
                <w:rFonts w:ascii="Arial" w:eastAsia="Arial" w:hAnsi="Arial" w:cs="Arial"/>
                <w:b/>
                <w:bCs/>
              </w:rPr>
            </w:pPr>
            <w:r>
              <w:rPr>
                <w:rFonts w:ascii="Arial" w:eastAsia="Arial" w:hAnsi="Arial" w:cs="Arial"/>
                <w:b/>
                <w:bCs/>
              </w:rPr>
              <w:t>100.00</w:t>
            </w:r>
          </w:p>
        </w:tc>
      </w:tr>
    </w:tbl>
    <w:p w14:paraId="655A9D27" w14:textId="77777777" w:rsidR="00E7667D" w:rsidRDefault="00E7667D">
      <w:pPr>
        <w:rPr>
          <w:rFonts w:ascii="Arial" w:eastAsia="Arial" w:hAnsi="Arial" w:cs="Arial"/>
          <w:b/>
          <w:bCs/>
        </w:rPr>
      </w:pPr>
    </w:p>
    <w:p w14:paraId="604BCDAA" w14:textId="77777777" w:rsidR="00E7667D" w:rsidRDefault="002E40EE">
      <w:pPr>
        <w:rPr>
          <w:rFonts w:ascii="Arial" w:eastAsia="Arial" w:hAnsi="Arial" w:cs="Arial"/>
          <w:b/>
          <w:bCs/>
        </w:rPr>
      </w:pPr>
      <w:r>
        <w:rPr>
          <w:rFonts w:ascii="Arial" w:eastAsia="Arial" w:hAnsi="Arial" w:cs="Arial"/>
          <w:b/>
          <w:bCs/>
        </w:rPr>
        <w:t xml:space="preserve">Table 3a. </w:t>
      </w:r>
    </w:p>
    <w:p w14:paraId="571DCD32" w14:textId="77777777" w:rsidR="00E7667D" w:rsidRDefault="002E40EE">
      <w:pPr>
        <w:rPr>
          <w:rFonts w:ascii="Arial" w:eastAsia="Arial" w:hAnsi="Arial" w:cs="Arial"/>
          <w:b/>
          <w:bCs/>
        </w:rPr>
      </w:pPr>
      <w:r>
        <w:rPr>
          <w:rFonts w:ascii="Arial" w:eastAsia="Arial" w:hAnsi="Arial" w:cs="Arial"/>
          <w:b/>
          <w:bCs/>
        </w:rPr>
        <w:t>Level of Anxiety among the Respondents (n=275)</w:t>
      </w:r>
    </w:p>
    <w:tbl>
      <w:tblPr>
        <w:tblStyle w:val="a3"/>
        <w:tblW w:w="8550" w:type="dxa"/>
        <w:tblInd w:w="0" w:type="dxa"/>
        <w:tblLayout w:type="fixed"/>
        <w:tblLook w:val="0000" w:firstRow="0" w:lastRow="0" w:firstColumn="0" w:lastColumn="0" w:noHBand="0" w:noVBand="0"/>
      </w:tblPr>
      <w:tblGrid>
        <w:gridCol w:w="4050"/>
        <w:gridCol w:w="4500"/>
      </w:tblGrid>
      <w:tr w:rsidR="00E7667D" w14:paraId="3A174436" w14:textId="77777777">
        <w:trPr>
          <w:trHeight w:val="322"/>
        </w:trPr>
        <w:tc>
          <w:tcPr>
            <w:tcW w:w="4050" w:type="dxa"/>
            <w:tcBorders>
              <w:top w:val="single" w:sz="4" w:space="0" w:color="000000"/>
              <w:bottom w:val="single" w:sz="4" w:space="0" w:color="000000"/>
            </w:tcBorders>
          </w:tcPr>
          <w:p w14:paraId="2D55DA39" w14:textId="77777777" w:rsidR="00E7667D" w:rsidRDefault="002E40EE">
            <w:pPr>
              <w:jc w:val="center"/>
              <w:rPr>
                <w:rFonts w:ascii="Arial" w:eastAsia="Arial" w:hAnsi="Arial" w:cs="Arial"/>
                <w:b/>
                <w:bCs/>
              </w:rPr>
            </w:pPr>
            <w:r>
              <w:rPr>
                <w:rFonts w:ascii="Arial" w:eastAsia="Arial" w:hAnsi="Arial" w:cs="Arial"/>
                <w:b/>
                <w:bCs/>
              </w:rPr>
              <w:t>GAD-7 Items</w:t>
            </w:r>
          </w:p>
        </w:tc>
        <w:tc>
          <w:tcPr>
            <w:tcW w:w="4500" w:type="dxa"/>
            <w:tcBorders>
              <w:top w:val="single" w:sz="4" w:space="0" w:color="000000"/>
              <w:bottom w:val="single" w:sz="4" w:space="0" w:color="000000"/>
            </w:tcBorders>
          </w:tcPr>
          <w:p w14:paraId="51A17521" w14:textId="77777777" w:rsidR="00E7667D" w:rsidRDefault="002E40EE">
            <w:pPr>
              <w:jc w:val="center"/>
              <w:rPr>
                <w:rFonts w:ascii="Arial" w:eastAsia="Arial" w:hAnsi="Arial" w:cs="Arial"/>
                <w:b/>
                <w:bCs/>
              </w:rPr>
            </w:pPr>
            <w:r>
              <w:rPr>
                <w:rFonts w:ascii="Arial" w:eastAsia="Arial" w:hAnsi="Arial" w:cs="Arial"/>
                <w:b/>
                <w:bCs/>
              </w:rPr>
              <w:t>Mean</w:t>
            </w:r>
          </w:p>
        </w:tc>
      </w:tr>
      <w:tr w:rsidR="00E7667D" w14:paraId="741B546B" w14:textId="77777777">
        <w:trPr>
          <w:trHeight w:val="233"/>
        </w:trPr>
        <w:tc>
          <w:tcPr>
            <w:tcW w:w="4050" w:type="dxa"/>
            <w:tcBorders>
              <w:top w:val="single" w:sz="4" w:space="0" w:color="000000"/>
            </w:tcBorders>
          </w:tcPr>
          <w:p w14:paraId="29A0A190" w14:textId="77777777" w:rsidR="00E7667D" w:rsidRDefault="002E40EE">
            <w:pPr>
              <w:rPr>
                <w:rFonts w:ascii="Arial" w:eastAsia="Arial" w:hAnsi="Arial" w:cs="Arial"/>
              </w:rPr>
            </w:pPr>
            <w:r>
              <w:rPr>
                <w:rFonts w:ascii="Arial" w:eastAsia="Arial" w:hAnsi="Arial" w:cs="Arial"/>
              </w:rPr>
              <w:t>Feeling nervous, anxious, or on edge</w:t>
            </w:r>
          </w:p>
        </w:tc>
        <w:tc>
          <w:tcPr>
            <w:tcW w:w="4500" w:type="dxa"/>
            <w:tcBorders>
              <w:top w:val="single" w:sz="4" w:space="0" w:color="000000"/>
            </w:tcBorders>
            <w:vAlign w:val="bottom"/>
          </w:tcPr>
          <w:p w14:paraId="1262D1E7" w14:textId="77777777" w:rsidR="00E7667D" w:rsidRDefault="002E40EE">
            <w:pPr>
              <w:jc w:val="center"/>
              <w:rPr>
                <w:rFonts w:ascii="Arial" w:eastAsia="Arial" w:hAnsi="Arial" w:cs="Arial"/>
              </w:rPr>
            </w:pPr>
            <w:r>
              <w:rPr>
                <w:rFonts w:ascii="Arial" w:eastAsia="Arial" w:hAnsi="Arial" w:cs="Arial"/>
              </w:rPr>
              <w:t>1.00</w:t>
            </w:r>
          </w:p>
        </w:tc>
      </w:tr>
      <w:tr w:rsidR="00E7667D" w14:paraId="5657772F" w14:textId="77777777">
        <w:trPr>
          <w:trHeight w:val="201"/>
        </w:trPr>
        <w:tc>
          <w:tcPr>
            <w:tcW w:w="4050" w:type="dxa"/>
          </w:tcPr>
          <w:p w14:paraId="57829457" w14:textId="77777777" w:rsidR="00E7667D" w:rsidRDefault="002E40EE">
            <w:pPr>
              <w:rPr>
                <w:rFonts w:ascii="Arial" w:eastAsia="Arial" w:hAnsi="Arial" w:cs="Arial"/>
              </w:rPr>
            </w:pPr>
            <w:r>
              <w:rPr>
                <w:rFonts w:ascii="Arial" w:eastAsia="Arial" w:hAnsi="Arial" w:cs="Arial"/>
              </w:rPr>
              <w:t>Not being able to stop or control worrying</w:t>
            </w:r>
          </w:p>
        </w:tc>
        <w:tc>
          <w:tcPr>
            <w:tcW w:w="4500" w:type="dxa"/>
            <w:vAlign w:val="bottom"/>
          </w:tcPr>
          <w:p w14:paraId="4781B708" w14:textId="77777777" w:rsidR="00E7667D" w:rsidRDefault="002E40EE">
            <w:pPr>
              <w:jc w:val="center"/>
              <w:rPr>
                <w:rFonts w:ascii="Arial" w:eastAsia="Arial" w:hAnsi="Arial" w:cs="Arial"/>
              </w:rPr>
            </w:pPr>
            <w:r>
              <w:rPr>
                <w:rFonts w:ascii="Arial" w:eastAsia="Arial" w:hAnsi="Arial" w:cs="Arial"/>
              </w:rPr>
              <w:t>1.01</w:t>
            </w:r>
          </w:p>
        </w:tc>
      </w:tr>
      <w:tr w:rsidR="00E7667D" w14:paraId="657BDD84" w14:textId="77777777">
        <w:trPr>
          <w:trHeight w:val="241"/>
        </w:trPr>
        <w:tc>
          <w:tcPr>
            <w:tcW w:w="4050" w:type="dxa"/>
          </w:tcPr>
          <w:p w14:paraId="748438A3" w14:textId="77777777" w:rsidR="00E7667D" w:rsidRDefault="002E40EE">
            <w:pPr>
              <w:rPr>
                <w:rFonts w:ascii="Arial" w:eastAsia="Arial" w:hAnsi="Arial" w:cs="Arial"/>
              </w:rPr>
            </w:pPr>
            <w:r>
              <w:rPr>
                <w:rFonts w:ascii="Arial" w:eastAsia="Arial" w:hAnsi="Arial" w:cs="Arial"/>
              </w:rPr>
              <w:t>Worrying too much about different things</w:t>
            </w:r>
          </w:p>
        </w:tc>
        <w:tc>
          <w:tcPr>
            <w:tcW w:w="4500" w:type="dxa"/>
            <w:vAlign w:val="bottom"/>
          </w:tcPr>
          <w:p w14:paraId="0F7DBB01" w14:textId="77777777" w:rsidR="00E7667D" w:rsidRDefault="002E40EE">
            <w:pPr>
              <w:jc w:val="center"/>
              <w:rPr>
                <w:rFonts w:ascii="Arial" w:eastAsia="Arial" w:hAnsi="Arial" w:cs="Arial"/>
              </w:rPr>
            </w:pPr>
            <w:r>
              <w:rPr>
                <w:rFonts w:ascii="Arial" w:eastAsia="Arial" w:hAnsi="Arial" w:cs="Arial"/>
              </w:rPr>
              <w:t>1.22</w:t>
            </w:r>
          </w:p>
        </w:tc>
      </w:tr>
      <w:tr w:rsidR="00E7667D" w14:paraId="31FB97C4" w14:textId="77777777">
        <w:trPr>
          <w:trHeight w:val="185"/>
        </w:trPr>
        <w:tc>
          <w:tcPr>
            <w:tcW w:w="4050" w:type="dxa"/>
          </w:tcPr>
          <w:p w14:paraId="5BEE0E15" w14:textId="77777777" w:rsidR="00E7667D" w:rsidRDefault="002E40EE">
            <w:pPr>
              <w:rPr>
                <w:rFonts w:ascii="Arial" w:eastAsia="Arial" w:hAnsi="Arial" w:cs="Arial"/>
              </w:rPr>
            </w:pPr>
            <w:r>
              <w:rPr>
                <w:rFonts w:ascii="Arial" w:eastAsia="Arial" w:hAnsi="Arial" w:cs="Arial"/>
              </w:rPr>
              <w:t>Trouble relaxing</w:t>
            </w:r>
          </w:p>
        </w:tc>
        <w:tc>
          <w:tcPr>
            <w:tcW w:w="4500" w:type="dxa"/>
            <w:vAlign w:val="bottom"/>
          </w:tcPr>
          <w:p w14:paraId="569F2281" w14:textId="77777777" w:rsidR="00E7667D" w:rsidRDefault="002E40EE">
            <w:pPr>
              <w:jc w:val="center"/>
              <w:rPr>
                <w:rFonts w:ascii="Arial" w:eastAsia="Arial" w:hAnsi="Arial" w:cs="Arial"/>
              </w:rPr>
            </w:pPr>
            <w:r>
              <w:rPr>
                <w:rFonts w:ascii="Arial" w:eastAsia="Arial" w:hAnsi="Arial" w:cs="Arial"/>
              </w:rPr>
              <w:t>0.92</w:t>
            </w:r>
          </w:p>
        </w:tc>
      </w:tr>
      <w:tr w:rsidR="00E7667D" w14:paraId="062A7FE0" w14:textId="77777777">
        <w:trPr>
          <w:trHeight w:val="257"/>
        </w:trPr>
        <w:tc>
          <w:tcPr>
            <w:tcW w:w="4050" w:type="dxa"/>
          </w:tcPr>
          <w:p w14:paraId="1BF9F912" w14:textId="77777777" w:rsidR="00E7667D" w:rsidRDefault="002E40EE">
            <w:pPr>
              <w:rPr>
                <w:rFonts w:ascii="Arial" w:eastAsia="Arial" w:hAnsi="Arial" w:cs="Arial"/>
              </w:rPr>
            </w:pPr>
            <w:r>
              <w:rPr>
                <w:rFonts w:ascii="Arial" w:eastAsia="Arial" w:hAnsi="Arial" w:cs="Arial"/>
              </w:rPr>
              <w:t>Being so restless that it is hard to sit still</w:t>
            </w:r>
          </w:p>
        </w:tc>
        <w:tc>
          <w:tcPr>
            <w:tcW w:w="4500" w:type="dxa"/>
            <w:vAlign w:val="bottom"/>
          </w:tcPr>
          <w:p w14:paraId="5FD4EA39" w14:textId="77777777" w:rsidR="00E7667D" w:rsidRDefault="002E40EE">
            <w:pPr>
              <w:jc w:val="center"/>
              <w:rPr>
                <w:rFonts w:ascii="Arial" w:eastAsia="Arial" w:hAnsi="Arial" w:cs="Arial"/>
              </w:rPr>
            </w:pPr>
            <w:r>
              <w:rPr>
                <w:rFonts w:ascii="Arial" w:eastAsia="Arial" w:hAnsi="Arial" w:cs="Arial"/>
              </w:rPr>
              <w:t>0.80</w:t>
            </w:r>
          </w:p>
        </w:tc>
      </w:tr>
      <w:tr w:rsidR="00E7667D" w14:paraId="054480E0" w14:textId="77777777">
        <w:trPr>
          <w:trHeight w:val="265"/>
        </w:trPr>
        <w:tc>
          <w:tcPr>
            <w:tcW w:w="4050" w:type="dxa"/>
          </w:tcPr>
          <w:p w14:paraId="27786ED2" w14:textId="77777777" w:rsidR="00E7667D" w:rsidRDefault="002E40EE">
            <w:pPr>
              <w:rPr>
                <w:rFonts w:ascii="Arial" w:eastAsia="Arial" w:hAnsi="Arial" w:cs="Arial"/>
              </w:rPr>
            </w:pPr>
            <w:r>
              <w:rPr>
                <w:rFonts w:ascii="Arial" w:eastAsia="Arial" w:hAnsi="Arial" w:cs="Arial"/>
              </w:rPr>
              <w:t>Becoming easily annoyed or irritable</w:t>
            </w:r>
          </w:p>
        </w:tc>
        <w:tc>
          <w:tcPr>
            <w:tcW w:w="4500" w:type="dxa"/>
            <w:vAlign w:val="bottom"/>
          </w:tcPr>
          <w:p w14:paraId="52403BD7" w14:textId="77777777" w:rsidR="00E7667D" w:rsidRDefault="002E40EE">
            <w:pPr>
              <w:jc w:val="center"/>
              <w:rPr>
                <w:rFonts w:ascii="Arial" w:eastAsia="Arial" w:hAnsi="Arial" w:cs="Arial"/>
              </w:rPr>
            </w:pPr>
            <w:r>
              <w:rPr>
                <w:rFonts w:ascii="Arial" w:eastAsia="Arial" w:hAnsi="Arial" w:cs="Arial"/>
              </w:rPr>
              <w:t>1.12</w:t>
            </w:r>
          </w:p>
        </w:tc>
      </w:tr>
      <w:tr w:rsidR="00E7667D" w14:paraId="116A8021" w14:textId="77777777">
        <w:trPr>
          <w:trHeight w:val="499"/>
        </w:trPr>
        <w:tc>
          <w:tcPr>
            <w:tcW w:w="4050" w:type="dxa"/>
            <w:tcBorders>
              <w:bottom w:val="single" w:sz="4" w:space="0" w:color="000000"/>
            </w:tcBorders>
          </w:tcPr>
          <w:p w14:paraId="3010B5B7" w14:textId="77777777" w:rsidR="00E7667D" w:rsidRDefault="002E40EE">
            <w:pPr>
              <w:rPr>
                <w:rFonts w:ascii="Arial" w:eastAsia="Arial" w:hAnsi="Arial" w:cs="Arial"/>
              </w:rPr>
            </w:pPr>
            <w:r>
              <w:rPr>
                <w:rFonts w:ascii="Arial" w:eastAsia="Arial" w:hAnsi="Arial" w:cs="Arial"/>
              </w:rPr>
              <w:t>Feeling afraid, as if something awful might happen</w:t>
            </w:r>
          </w:p>
        </w:tc>
        <w:tc>
          <w:tcPr>
            <w:tcW w:w="4500" w:type="dxa"/>
            <w:tcBorders>
              <w:bottom w:val="single" w:sz="4" w:space="0" w:color="000000"/>
            </w:tcBorders>
            <w:vAlign w:val="bottom"/>
          </w:tcPr>
          <w:p w14:paraId="0C180AFF" w14:textId="77777777" w:rsidR="00E7667D" w:rsidRDefault="002E40EE">
            <w:pPr>
              <w:jc w:val="center"/>
              <w:rPr>
                <w:rFonts w:ascii="Arial" w:eastAsia="Arial" w:hAnsi="Arial" w:cs="Arial"/>
              </w:rPr>
            </w:pPr>
            <w:r>
              <w:rPr>
                <w:rFonts w:ascii="Arial" w:eastAsia="Arial" w:hAnsi="Arial" w:cs="Arial"/>
              </w:rPr>
              <w:t>1.13</w:t>
            </w:r>
          </w:p>
        </w:tc>
      </w:tr>
      <w:tr w:rsidR="00E7667D" w14:paraId="32ED7FBA" w14:textId="77777777">
        <w:trPr>
          <w:trHeight w:val="499"/>
        </w:trPr>
        <w:tc>
          <w:tcPr>
            <w:tcW w:w="4050" w:type="dxa"/>
            <w:tcBorders>
              <w:top w:val="single" w:sz="4" w:space="0" w:color="000000"/>
              <w:bottom w:val="single" w:sz="4" w:space="0" w:color="000000"/>
            </w:tcBorders>
          </w:tcPr>
          <w:p w14:paraId="3DC21AE6" w14:textId="77777777" w:rsidR="00E7667D" w:rsidRDefault="002E40EE">
            <w:pPr>
              <w:rPr>
                <w:rFonts w:ascii="Arial" w:eastAsia="Arial" w:hAnsi="Arial" w:cs="Arial"/>
                <w:b/>
                <w:bCs/>
              </w:rPr>
            </w:pPr>
            <w:r>
              <w:rPr>
                <w:rFonts w:ascii="Arial" w:eastAsia="Arial" w:hAnsi="Arial" w:cs="Arial"/>
                <w:b/>
                <w:bCs/>
              </w:rPr>
              <w:t>Overall Mean</w:t>
            </w:r>
          </w:p>
        </w:tc>
        <w:tc>
          <w:tcPr>
            <w:tcW w:w="4500" w:type="dxa"/>
            <w:tcBorders>
              <w:top w:val="single" w:sz="4" w:space="0" w:color="000000"/>
              <w:bottom w:val="single" w:sz="4" w:space="0" w:color="000000"/>
            </w:tcBorders>
            <w:vAlign w:val="bottom"/>
          </w:tcPr>
          <w:p w14:paraId="5A8ECA23" w14:textId="77777777" w:rsidR="00E7667D" w:rsidRDefault="002E40EE">
            <w:pPr>
              <w:jc w:val="center"/>
              <w:rPr>
                <w:rFonts w:ascii="Arial" w:eastAsia="Arial" w:hAnsi="Arial" w:cs="Arial"/>
                <w:b/>
                <w:bCs/>
              </w:rPr>
            </w:pPr>
            <w:r>
              <w:rPr>
                <w:rFonts w:ascii="Arial" w:eastAsia="Arial" w:hAnsi="Arial" w:cs="Arial"/>
                <w:b/>
                <w:bCs/>
              </w:rPr>
              <w:t>1.03</w:t>
            </w:r>
          </w:p>
        </w:tc>
      </w:tr>
    </w:tbl>
    <w:p w14:paraId="5C49C255" w14:textId="77777777" w:rsidR="00E7667D" w:rsidRDefault="002E40EE">
      <w:pPr>
        <w:rPr>
          <w:rFonts w:ascii="Arial" w:eastAsia="Arial" w:hAnsi="Arial" w:cs="Arial"/>
          <w:i/>
          <w:iCs/>
        </w:rPr>
      </w:pPr>
      <w:r>
        <w:rPr>
          <w:rFonts w:ascii="Arial" w:eastAsia="Arial" w:hAnsi="Arial" w:cs="Arial"/>
          <w:i/>
          <w:iCs/>
        </w:rPr>
        <w:t>*Legend: Minimal (0.70 and below), Mild (0.71-1.42), Moderate (1.43-2.13), Severe (2.13-3.00)</w:t>
      </w:r>
    </w:p>
    <w:p w14:paraId="14B126D3" w14:textId="77777777" w:rsidR="00E7667D" w:rsidRDefault="00E7667D">
      <w:pPr>
        <w:rPr>
          <w:rFonts w:ascii="Arial" w:eastAsia="Arial" w:hAnsi="Arial" w:cs="Arial"/>
          <w:i/>
          <w:iCs/>
        </w:rPr>
      </w:pPr>
    </w:p>
    <w:p w14:paraId="6B2B2E5D" w14:textId="77777777" w:rsidR="00E7667D" w:rsidRDefault="002E40EE">
      <w:pPr>
        <w:rPr>
          <w:rFonts w:ascii="Arial" w:eastAsia="Arial" w:hAnsi="Arial" w:cs="Arial"/>
          <w:b/>
          <w:bCs/>
        </w:rPr>
      </w:pPr>
      <w:r>
        <w:rPr>
          <w:rFonts w:ascii="Arial" w:eastAsia="Arial" w:hAnsi="Arial" w:cs="Arial"/>
          <w:b/>
          <w:bCs/>
        </w:rPr>
        <w:t xml:space="preserve">Table 3b. </w:t>
      </w:r>
    </w:p>
    <w:p w14:paraId="729E8B16" w14:textId="77777777" w:rsidR="00E7667D" w:rsidRDefault="002E40EE">
      <w:pPr>
        <w:rPr>
          <w:rFonts w:ascii="Arial" w:eastAsia="Arial" w:hAnsi="Arial" w:cs="Arial"/>
          <w:b/>
          <w:bCs/>
        </w:rPr>
      </w:pPr>
      <w:r>
        <w:rPr>
          <w:rFonts w:ascii="Arial" w:eastAsia="Arial" w:hAnsi="Arial" w:cs="Arial"/>
          <w:b/>
          <w:bCs/>
        </w:rPr>
        <w:t>Level of Anxiety among the Respondents (n=275)</w:t>
      </w:r>
    </w:p>
    <w:tbl>
      <w:tblPr>
        <w:tblStyle w:val="a4"/>
        <w:tblW w:w="8580" w:type="dxa"/>
        <w:tblInd w:w="0" w:type="dxa"/>
        <w:tblLayout w:type="fixed"/>
        <w:tblLook w:val="0000" w:firstRow="0" w:lastRow="0" w:firstColumn="0" w:lastColumn="0" w:noHBand="0" w:noVBand="0"/>
      </w:tblPr>
      <w:tblGrid>
        <w:gridCol w:w="2940"/>
        <w:gridCol w:w="2940"/>
        <w:gridCol w:w="2700"/>
      </w:tblGrid>
      <w:tr w:rsidR="00E7667D" w14:paraId="217B01AC" w14:textId="77777777">
        <w:trPr>
          <w:trHeight w:val="275"/>
        </w:trPr>
        <w:tc>
          <w:tcPr>
            <w:tcW w:w="2940" w:type="dxa"/>
            <w:tcBorders>
              <w:top w:val="single" w:sz="4" w:space="0" w:color="000000"/>
              <w:bottom w:val="single" w:sz="4" w:space="0" w:color="000000"/>
            </w:tcBorders>
          </w:tcPr>
          <w:p w14:paraId="474ABB03" w14:textId="77777777" w:rsidR="00E7667D" w:rsidRDefault="002E40EE">
            <w:pPr>
              <w:rPr>
                <w:rFonts w:ascii="Arial" w:eastAsia="Arial" w:hAnsi="Arial" w:cs="Arial"/>
                <w:b/>
                <w:bCs/>
              </w:rPr>
            </w:pPr>
            <w:r>
              <w:rPr>
                <w:rFonts w:ascii="Arial" w:eastAsia="Arial" w:hAnsi="Arial" w:cs="Arial"/>
                <w:b/>
                <w:bCs/>
              </w:rPr>
              <w:t>Level of Anxiety</w:t>
            </w:r>
          </w:p>
        </w:tc>
        <w:tc>
          <w:tcPr>
            <w:tcW w:w="2940" w:type="dxa"/>
            <w:tcBorders>
              <w:top w:val="single" w:sz="4" w:space="0" w:color="000000"/>
              <w:bottom w:val="single" w:sz="4" w:space="0" w:color="000000"/>
            </w:tcBorders>
          </w:tcPr>
          <w:p w14:paraId="18F52AD9" w14:textId="77777777" w:rsidR="00E7667D" w:rsidRDefault="002E40EE">
            <w:pPr>
              <w:jc w:val="center"/>
              <w:rPr>
                <w:rFonts w:ascii="Arial" w:eastAsia="Arial" w:hAnsi="Arial" w:cs="Arial"/>
                <w:b/>
                <w:bCs/>
              </w:rPr>
            </w:pPr>
            <w:r>
              <w:rPr>
                <w:rFonts w:ascii="Arial" w:eastAsia="Arial" w:hAnsi="Arial" w:cs="Arial"/>
                <w:b/>
                <w:bCs/>
                <w:i/>
                <w:iCs/>
              </w:rPr>
              <w:t xml:space="preserve">            f</w:t>
            </w:r>
          </w:p>
        </w:tc>
        <w:tc>
          <w:tcPr>
            <w:tcW w:w="2700" w:type="dxa"/>
            <w:tcBorders>
              <w:top w:val="single" w:sz="4" w:space="0" w:color="000000"/>
              <w:bottom w:val="single" w:sz="4" w:space="0" w:color="000000"/>
            </w:tcBorders>
          </w:tcPr>
          <w:p w14:paraId="1079889F" w14:textId="77777777" w:rsidR="00E7667D" w:rsidRDefault="002E40EE">
            <w:pPr>
              <w:jc w:val="center"/>
              <w:rPr>
                <w:rFonts w:ascii="Arial" w:eastAsia="Arial" w:hAnsi="Arial" w:cs="Arial"/>
                <w:b/>
                <w:bCs/>
              </w:rPr>
            </w:pPr>
            <w:r>
              <w:rPr>
                <w:rFonts w:ascii="Arial" w:eastAsia="Arial" w:hAnsi="Arial" w:cs="Arial"/>
                <w:b/>
                <w:bCs/>
              </w:rPr>
              <w:t>%</w:t>
            </w:r>
          </w:p>
        </w:tc>
      </w:tr>
      <w:tr w:rsidR="00E7667D" w14:paraId="08A21F46" w14:textId="77777777">
        <w:trPr>
          <w:trHeight w:val="275"/>
        </w:trPr>
        <w:tc>
          <w:tcPr>
            <w:tcW w:w="2940" w:type="dxa"/>
            <w:tcBorders>
              <w:top w:val="single" w:sz="4" w:space="0" w:color="000000"/>
            </w:tcBorders>
          </w:tcPr>
          <w:p w14:paraId="06FBE906" w14:textId="77777777" w:rsidR="00E7667D" w:rsidRDefault="002E40EE">
            <w:pPr>
              <w:rPr>
                <w:rFonts w:ascii="Arial" w:eastAsia="Arial" w:hAnsi="Arial" w:cs="Arial"/>
              </w:rPr>
            </w:pPr>
            <w:r>
              <w:rPr>
                <w:rFonts w:ascii="Arial" w:eastAsia="Arial" w:hAnsi="Arial" w:cs="Arial"/>
              </w:rPr>
              <w:t>Minimal</w:t>
            </w:r>
          </w:p>
        </w:tc>
        <w:tc>
          <w:tcPr>
            <w:tcW w:w="2940" w:type="dxa"/>
            <w:tcBorders>
              <w:top w:val="single" w:sz="4" w:space="0" w:color="000000"/>
            </w:tcBorders>
          </w:tcPr>
          <w:p w14:paraId="09272DE0" w14:textId="77777777" w:rsidR="00E7667D" w:rsidRDefault="002E40EE">
            <w:pPr>
              <w:ind w:right="807"/>
              <w:jc w:val="right"/>
              <w:rPr>
                <w:rFonts w:ascii="Arial" w:eastAsia="Arial" w:hAnsi="Arial" w:cs="Arial"/>
              </w:rPr>
            </w:pPr>
            <w:r>
              <w:rPr>
                <w:rFonts w:ascii="Arial" w:eastAsia="Arial" w:hAnsi="Arial" w:cs="Arial"/>
              </w:rPr>
              <w:t>103</w:t>
            </w:r>
          </w:p>
        </w:tc>
        <w:tc>
          <w:tcPr>
            <w:tcW w:w="2700" w:type="dxa"/>
            <w:tcBorders>
              <w:top w:val="single" w:sz="4" w:space="0" w:color="000000"/>
            </w:tcBorders>
          </w:tcPr>
          <w:p w14:paraId="3F17A1AC" w14:textId="77777777" w:rsidR="00E7667D" w:rsidRDefault="002E40EE">
            <w:pPr>
              <w:jc w:val="center"/>
              <w:rPr>
                <w:rFonts w:ascii="Arial" w:eastAsia="Arial" w:hAnsi="Arial" w:cs="Arial"/>
                <w:i/>
                <w:iCs/>
              </w:rPr>
            </w:pPr>
            <w:r>
              <w:rPr>
                <w:rFonts w:ascii="Arial" w:eastAsia="Arial" w:hAnsi="Arial" w:cs="Arial"/>
                <w:i/>
                <w:iCs/>
              </w:rPr>
              <w:t>37.5</w:t>
            </w:r>
          </w:p>
        </w:tc>
      </w:tr>
      <w:tr w:rsidR="00E7667D" w14:paraId="2EB08434" w14:textId="77777777">
        <w:trPr>
          <w:trHeight w:val="275"/>
        </w:trPr>
        <w:tc>
          <w:tcPr>
            <w:tcW w:w="2940" w:type="dxa"/>
          </w:tcPr>
          <w:p w14:paraId="4E968776" w14:textId="77777777" w:rsidR="00E7667D" w:rsidRDefault="002E40EE">
            <w:pPr>
              <w:rPr>
                <w:rFonts w:ascii="Arial" w:eastAsia="Arial" w:hAnsi="Arial" w:cs="Arial"/>
              </w:rPr>
            </w:pPr>
            <w:r>
              <w:rPr>
                <w:rFonts w:ascii="Arial" w:eastAsia="Arial" w:hAnsi="Arial" w:cs="Arial"/>
              </w:rPr>
              <w:t>Mild</w:t>
            </w:r>
          </w:p>
        </w:tc>
        <w:tc>
          <w:tcPr>
            <w:tcW w:w="2940" w:type="dxa"/>
          </w:tcPr>
          <w:p w14:paraId="7FD79B32" w14:textId="77777777" w:rsidR="00E7667D" w:rsidRDefault="002E40EE">
            <w:pPr>
              <w:ind w:right="807"/>
              <w:jc w:val="right"/>
              <w:rPr>
                <w:rFonts w:ascii="Arial" w:eastAsia="Arial" w:hAnsi="Arial" w:cs="Arial"/>
              </w:rPr>
            </w:pPr>
            <w:r>
              <w:rPr>
                <w:rFonts w:ascii="Arial" w:eastAsia="Arial" w:hAnsi="Arial" w:cs="Arial"/>
              </w:rPr>
              <w:t>84</w:t>
            </w:r>
          </w:p>
        </w:tc>
        <w:tc>
          <w:tcPr>
            <w:tcW w:w="2700" w:type="dxa"/>
          </w:tcPr>
          <w:p w14:paraId="0D69CB7F" w14:textId="77777777" w:rsidR="00E7667D" w:rsidRDefault="002E40EE">
            <w:pPr>
              <w:jc w:val="center"/>
              <w:rPr>
                <w:rFonts w:ascii="Arial" w:eastAsia="Arial" w:hAnsi="Arial" w:cs="Arial"/>
                <w:i/>
                <w:iCs/>
              </w:rPr>
            </w:pPr>
            <w:r>
              <w:rPr>
                <w:rFonts w:ascii="Arial" w:eastAsia="Arial" w:hAnsi="Arial" w:cs="Arial"/>
              </w:rPr>
              <w:t>30.5</w:t>
            </w:r>
          </w:p>
        </w:tc>
      </w:tr>
      <w:tr w:rsidR="00E7667D" w14:paraId="6A49431A" w14:textId="77777777">
        <w:trPr>
          <w:trHeight w:val="275"/>
        </w:trPr>
        <w:tc>
          <w:tcPr>
            <w:tcW w:w="2940" w:type="dxa"/>
          </w:tcPr>
          <w:p w14:paraId="44CC9A27" w14:textId="77777777" w:rsidR="00E7667D" w:rsidRDefault="002E40EE">
            <w:pPr>
              <w:rPr>
                <w:rFonts w:ascii="Arial" w:eastAsia="Arial" w:hAnsi="Arial" w:cs="Arial"/>
              </w:rPr>
            </w:pPr>
            <w:r>
              <w:rPr>
                <w:rFonts w:ascii="Arial" w:eastAsia="Arial" w:hAnsi="Arial" w:cs="Arial"/>
              </w:rPr>
              <w:t>Moderate</w:t>
            </w:r>
          </w:p>
        </w:tc>
        <w:tc>
          <w:tcPr>
            <w:tcW w:w="2940" w:type="dxa"/>
          </w:tcPr>
          <w:p w14:paraId="7842AD25" w14:textId="77777777" w:rsidR="00E7667D" w:rsidRDefault="002E40EE">
            <w:pPr>
              <w:ind w:right="807"/>
              <w:jc w:val="right"/>
              <w:rPr>
                <w:rFonts w:ascii="Arial" w:eastAsia="Arial" w:hAnsi="Arial" w:cs="Arial"/>
              </w:rPr>
            </w:pPr>
            <w:r>
              <w:rPr>
                <w:rFonts w:ascii="Arial" w:eastAsia="Arial" w:hAnsi="Arial" w:cs="Arial"/>
              </w:rPr>
              <w:t>56</w:t>
            </w:r>
          </w:p>
        </w:tc>
        <w:tc>
          <w:tcPr>
            <w:tcW w:w="2700" w:type="dxa"/>
          </w:tcPr>
          <w:p w14:paraId="30F9629F" w14:textId="77777777" w:rsidR="00E7667D" w:rsidRDefault="002E40EE">
            <w:pPr>
              <w:jc w:val="center"/>
              <w:rPr>
                <w:rFonts w:ascii="Arial" w:eastAsia="Arial" w:hAnsi="Arial" w:cs="Arial"/>
                <w:i/>
                <w:iCs/>
              </w:rPr>
            </w:pPr>
            <w:r>
              <w:rPr>
                <w:rFonts w:ascii="Arial" w:eastAsia="Arial" w:hAnsi="Arial" w:cs="Arial"/>
              </w:rPr>
              <w:t>20.4</w:t>
            </w:r>
          </w:p>
        </w:tc>
      </w:tr>
      <w:tr w:rsidR="00E7667D" w14:paraId="04843F4A" w14:textId="77777777">
        <w:trPr>
          <w:trHeight w:val="275"/>
        </w:trPr>
        <w:tc>
          <w:tcPr>
            <w:tcW w:w="2940" w:type="dxa"/>
            <w:tcBorders>
              <w:bottom w:val="single" w:sz="4" w:space="0" w:color="000000"/>
            </w:tcBorders>
          </w:tcPr>
          <w:p w14:paraId="17A03861" w14:textId="77777777" w:rsidR="00E7667D" w:rsidRDefault="002E40EE">
            <w:pPr>
              <w:rPr>
                <w:rFonts w:ascii="Arial" w:eastAsia="Arial" w:hAnsi="Arial" w:cs="Arial"/>
              </w:rPr>
            </w:pPr>
            <w:r>
              <w:rPr>
                <w:rFonts w:ascii="Arial" w:eastAsia="Arial" w:hAnsi="Arial" w:cs="Arial"/>
              </w:rPr>
              <w:t>Severe</w:t>
            </w:r>
          </w:p>
        </w:tc>
        <w:tc>
          <w:tcPr>
            <w:tcW w:w="2940" w:type="dxa"/>
            <w:tcBorders>
              <w:bottom w:val="single" w:sz="4" w:space="0" w:color="000000"/>
            </w:tcBorders>
          </w:tcPr>
          <w:p w14:paraId="789FA558" w14:textId="77777777" w:rsidR="00E7667D" w:rsidRDefault="002E40EE">
            <w:pPr>
              <w:ind w:right="807"/>
              <w:jc w:val="right"/>
              <w:rPr>
                <w:rFonts w:ascii="Arial" w:eastAsia="Arial" w:hAnsi="Arial" w:cs="Arial"/>
              </w:rPr>
            </w:pPr>
            <w:r>
              <w:rPr>
                <w:rFonts w:ascii="Arial" w:eastAsia="Arial" w:hAnsi="Arial" w:cs="Arial"/>
              </w:rPr>
              <w:t>32</w:t>
            </w:r>
          </w:p>
        </w:tc>
        <w:tc>
          <w:tcPr>
            <w:tcW w:w="2700" w:type="dxa"/>
            <w:tcBorders>
              <w:bottom w:val="single" w:sz="4" w:space="0" w:color="000000"/>
            </w:tcBorders>
          </w:tcPr>
          <w:p w14:paraId="1F972572" w14:textId="77777777" w:rsidR="00E7667D" w:rsidRDefault="002E40EE">
            <w:pPr>
              <w:jc w:val="center"/>
              <w:rPr>
                <w:rFonts w:ascii="Arial" w:eastAsia="Arial" w:hAnsi="Arial" w:cs="Arial"/>
                <w:i/>
                <w:iCs/>
              </w:rPr>
            </w:pPr>
            <w:r>
              <w:rPr>
                <w:rFonts w:ascii="Arial" w:eastAsia="Arial" w:hAnsi="Arial" w:cs="Arial"/>
              </w:rPr>
              <w:t>11.6</w:t>
            </w:r>
          </w:p>
        </w:tc>
      </w:tr>
      <w:tr w:rsidR="00E7667D" w14:paraId="6F4EE067" w14:textId="77777777">
        <w:trPr>
          <w:trHeight w:val="275"/>
        </w:trPr>
        <w:tc>
          <w:tcPr>
            <w:tcW w:w="2940" w:type="dxa"/>
            <w:tcBorders>
              <w:top w:val="single" w:sz="4" w:space="0" w:color="000000"/>
              <w:bottom w:val="single" w:sz="4" w:space="0" w:color="000000"/>
            </w:tcBorders>
          </w:tcPr>
          <w:p w14:paraId="607CA830" w14:textId="77777777" w:rsidR="00E7667D" w:rsidRDefault="00E7667D">
            <w:pPr>
              <w:rPr>
                <w:rFonts w:ascii="Arial" w:eastAsia="Arial" w:hAnsi="Arial" w:cs="Arial"/>
              </w:rPr>
            </w:pPr>
          </w:p>
        </w:tc>
        <w:tc>
          <w:tcPr>
            <w:tcW w:w="2940" w:type="dxa"/>
            <w:tcBorders>
              <w:top w:val="single" w:sz="4" w:space="0" w:color="000000"/>
              <w:bottom w:val="single" w:sz="4" w:space="0" w:color="000000"/>
            </w:tcBorders>
          </w:tcPr>
          <w:p w14:paraId="294D1D05" w14:textId="77777777" w:rsidR="00E7667D" w:rsidRDefault="002E40EE">
            <w:pPr>
              <w:ind w:right="807"/>
              <w:jc w:val="right"/>
              <w:rPr>
                <w:rFonts w:ascii="Arial" w:eastAsia="Arial" w:hAnsi="Arial" w:cs="Arial"/>
                <w:b/>
                <w:bCs/>
              </w:rPr>
            </w:pPr>
            <w:r>
              <w:rPr>
                <w:rFonts w:ascii="Arial" w:eastAsia="Arial" w:hAnsi="Arial" w:cs="Arial"/>
                <w:b/>
                <w:bCs/>
              </w:rPr>
              <w:t>275</w:t>
            </w:r>
          </w:p>
        </w:tc>
        <w:tc>
          <w:tcPr>
            <w:tcW w:w="2700" w:type="dxa"/>
            <w:tcBorders>
              <w:top w:val="single" w:sz="4" w:space="0" w:color="000000"/>
              <w:bottom w:val="single" w:sz="4" w:space="0" w:color="000000"/>
            </w:tcBorders>
          </w:tcPr>
          <w:p w14:paraId="0E5F0BA8" w14:textId="77777777" w:rsidR="00E7667D" w:rsidRDefault="002E40EE">
            <w:pPr>
              <w:jc w:val="center"/>
              <w:rPr>
                <w:rFonts w:ascii="Arial" w:eastAsia="Arial" w:hAnsi="Arial" w:cs="Arial"/>
                <w:b/>
                <w:bCs/>
              </w:rPr>
            </w:pPr>
            <w:r>
              <w:rPr>
                <w:rFonts w:ascii="Arial" w:eastAsia="Arial" w:hAnsi="Arial" w:cs="Arial"/>
                <w:b/>
                <w:bCs/>
              </w:rPr>
              <w:t>100</w:t>
            </w:r>
          </w:p>
        </w:tc>
      </w:tr>
    </w:tbl>
    <w:p w14:paraId="4003CE59" w14:textId="77777777" w:rsidR="00E7667D" w:rsidRDefault="002E40EE">
      <w:pPr>
        <w:rPr>
          <w:rFonts w:ascii="Arial" w:eastAsia="Arial" w:hAnsi="Arial" w:cs="Arial"/>
          <w:b/>
          <w:bCs/>
        </w:rPr>
      </w:pPr>
      <w:r>
        <w:rPr>
          <w:rFonts w:ascii="Arial" w:eastAsia="Arial" w:hAnsi="Arial" w:cs="Arial"/>
          <w:i/>
          <w:iCs/>
        </w:rPr>
        <w:t>*Legend: Minimal (0-4), Mild (5-9), Moderate (10-14), Severe (15-21)</w:t>
      </w:r>
    </w:p>
    <w:p w14:paraId="6D0FFAC8" w14:textId="77777777" w:rsidR="00E7667D" w:rsidRDefault="00E7667D">
      <w:pPr>
        <w:rPr>
          <w:rFonts w:ascii="Arial" w:eastAsia="Arial" w:hAnsi="Arial" w:cs="Arial"/>
          <w:b/>
          <w:bCs/>
        </w:rPr>
      </w:pPr>
    </w:p>
    <w:p w14:paraId="1914AB51" w14:textId="77777777" w:rsidR="00E7667D" w:rsidRDefault="00E7667D">
      <w:pPr>
        <w:rPr>
          <w:rFonts w:ascii="Arial" w:eastAsia="Arial" w:hAnsi="Arial" w:cs="Arial"/>
          <w:b/>
          <w:bCs/>
        </w:rPr>
      </w:pPr>
    </w:p>
    <w:p w14:paraId="48FD0231" w14:textId="77777777" w:rsidR="00E7667D" w:rsidRDefault="00E7667D">
      <w:pPr>
        <w:rPr>
          <w:rFonts w:ascii="Arial" w:eastAsia="Arial" w:hAnsi="Arial" w:cs="Arial"/>
          <w:b/>
          <w:bCs/>
        </w:rPr>
      </w:pPr>
    </w:p>
    <w:p w14:paraId="2D49DB62" w14:textId="77777777" w:rsidR="00E7667D" w:rsidRDefault="00E7667D">
      <w:pPr>
        <w:rPr>
          <w:rFonts w:ascii="Arial" w:eastAsia="Arial" w:hAnsi="Arial" w:cs="Arial"/>
          <w:b/>
          <w:bCs/>
        </w:rPr>
      </w:pPr>
    </w:p>
    <w:p w14:paraId="05720051" w14:textId="77777777" w:rsidR="00E7667D" w:rsidRDefault="00E7667D">
      <w:pPr>
        <w:rPr>
          <w:rFonts w:ascii="Arial" w:eastAsia="Arial" w:hAnsi="Arial" w:cs="Arial"/>
          <w:b/>
          <w:bCs/>
        </w:rPr>
      </w:pPr>
    </w:p>
    <w:p w14:paraId="0182E25F" w14:textId="77777777" w:rsidR="00E7667D" w:rsidRDefault="002E40EE">
      <w:pPr>
        <w:rPr>
          <w:rFonts w:ascii="Arial" w:eastAsia="Arial" w:hAnsi="Arial" w:cs="Arial"/>
          <w:b/>
          <w:bCs/>
        </w:rPr>
      </w:pPr>
      <w:r>
        <w:rPr>
          <w:rFonts w:ascii="Arial" w:eastAsia="Arial" w:hAnsi="Arial" w:cs="Arial"/>
          <w:b/>
          <w:bCs/>
        </w:rPr>
        <w:t xml:space="preserve">Table 4. </w:t>
      </w:r>
    </w:p>
    <w:p w14:paraId="1532F9CE" w14:textId="77777777" w:rsidR="00E7667D" w:rsidRDefault="002E40EE">
      <w:pPr>
        <w:rPr>
          <w:rFonts w:ascii="Arial" w:eastAsia="Arial" w:hAnsi="Arial" w:cs="Arial"/>
          <w:b/>
          <w:bCs/>
        </w:rPr>
      </w:pPr>
      <w:r>
        <w:rPr>
          <w:rFonts w:ascii="Arial" w:eastAsia="Arial" w:hAnsi="Arial" w:cs="Arial"/>
          <w:b/>
          <w:bCs/>
        </w:rPr>
        <w:t>Level of Debriefing Received among the Respondents (n=275)</w:t>
      </w:r>
    </w:p>
    <w:tbl>
      <w:tblPr>
        <w:tblStyle w:val="a5"/>
        <w:tblW w:w="8550" w:type="dxa"/>
        <w:tblInd w:w="21" w:type="dxa"/>
        <w:tblLayout w:type="fixed"/>
        <w:tblLook w:val="0000" w:firstRow="0" w:lastRow="0" w:firstColumn="0" w:lastColumn="0" w:noHBand="0" w:noVBand="0"/>
      </w:tblPr>
      <w:tblGrid>
        <w:gridCol w:w="7290"/>
        <w:gridCol w:w="1260"/>
      </w:tblGrid>
      <w:tr w:rsidR="00E7667D" w14:paraId="70D6A5ED" w14:textId="77777777">
        <w:trPr>
          <w:trHeight w:val="144"/>
        </w:trPr>
        <w:tc>
          <w:tcPr>
            <w:tcW w:w="7290" w:type="dxa"/>
            <w:tcBorders>
              <w:top w:val="single" w:sz="4" w:space="0" w:color="000000"/>
              <w:bottom w:val="single" w:sz="4" w:space="0" w:color="000000"/>
            </w:tcBorders>
            <w:tcMar>
              <w:left w:w="0" w:type="dxa"/>
              <w:right w:w="0" w:type="dxa"/>
            </w:tcMar>
          </w:tcPr>
          <w:p w14:paraId="5FA61C84" w14:textId="77777777" w:rsidR="00E7667D" w:rsidRDefault="002E40EE">
            <w:pPr>
              <w:ind w:left="720"/>
              <w:jc w:val="center"/>
              <w:rPr>
                <w:rFonts w:ascii="Arial" w:eastAsia="Arial" w:hAnsi="Arial" w:cs="Arial"/>
                <w:b/>
                <w:bCs/>
              </w:rPr>
            </w:pPr>
            <w:r>
              <w:rPr>
                <w:rFonts w:ascii="Arial" w:eastAsia="Arial" w:hAnsi="Arial" w:cs="Arial"/>
                <w:b/>
                <w:bCs/>
              </w:rPr>
              <w:t xml:space="preserve">Items </w:t>
            </w:r>
          </w:p>
        </w:tc>
        <w:tc>
          <w:tcPr>
            <w:tcW w:w="1260" w:type="dxa"/>
            <w:tcBorders>
              <w:top w:val="single" w:sz="4" w:space="0" w:color="000000"/>
              <w:bottom w:val="single" w:sz="4" w:space="0" w:color="000000"/>
            </w:tcBorders>
            <w:tcMar>
              <w:left w:w="0" w:type="dxa"/>
              <w:right w:w="0" w:type="dxa"/>
            </w:tcMar>
          </w:tcPr>
          <w:p w14:paraId="02A0E0A4" w14:textId="77777777" w:rsidR="00E7667D" w:rsidRDefault="002E40EE">
            <w:pPr>
              <w:ind w:left="720"/>
              <w:jc w:val="center"/>
              <w:rPr>
                <w:rFonts w:ascii="Arial" w:eastAsia="Arial" w:hAnsi="Arial" w:cs="Arial"/>
                <w:b/>
                <w:bCs/>
              </w:rPr>
            </w:pPr>
            <w:r>
              <w:rPr>
                <w:rFonts w:ascii="Arial" w:eastAsia="Arial" w:hAnsi="Arial" w:cs="Arial"/>
                <w:b/>
                <w:bCs/>
              </w:rPr>
              <w:t>Mean</w:t>
            </w:r>
          </w:p>
        </w:tc>
      </w:tr>
      <w:tr w:rsidR="00E7667D" w14:paraId="67653434" w14:textId="77777777">
        <w:trPr>
          <w:trHeight w:val="144"/>
        </w:trPr>
        <w:tc>
          <w:tcPr>
            <w:tcW w:w="7290" w:type="dxa"/>
            <w:tcBorders>
              <w:top w:val="nil"/>
              <w:left w:val="nil"/>
              <w:bottom w:val="nil"/>
              <w:right w:val="nil"/>
            </w:tcBorders>
            <w:tcMar>
              <w:left w:w="0" w:type="dxa"/>
              <w:right w:w="0" w:type="dxa"/>
            </w:tcMar>
          </w:tcPr>
          <w:p w14:paraId="75A877B2" w14:textId="77777777" w:rsidR="00E7667D" w:rsidRDefault="002E40EE">
            <w:pPr>
              <w:ind w:left="720"/>
              <w:jc w:val="both"/>
              <w:rPr>
                <w:rFonts w:ascii="Arial" w:eastAsia="Arial" w:hAnsi="Arial" w:cs="Arial"/>
              </w:rPr>
            </w:pPr>
            <w:r>
              <w:rPr>
                <w:rFonts w:ascii="Arial" w:eastAsia="Arial" w:hAnsi="Arial" w:cs="Arial"/>
              </w:rPr>
              <w:lastRenderedPageBreak/>
              <w:t>Debriefing helps improve my clinical judgement and critical thinking skills.</w:t>
            </w:r>
          </w:p>
        </w:tc>
        <w:tc>
          <w:tcPr>
            <w:tcW w:w="1260" w:type="dxa"/>
            <w:tcBorders>
              <w:top w:val="nil"/>
              <w:left w:val="nil"/>
              <w:bottom w:val="nil"/>
              <w:right w:val="nil"/>
            </w:tcBorders>
            <w:tcMar>
              <w:left w:w="0" w:type="dxa"/>
              <w:right w:w="0" w:type="dxa"/>
            </w:tcMar>
          </w:tcPr>
          <w:p w14:paraId="5B04EF82" w14:textId="77777777" w:rsidR="00E7667D" w:rsidRDefault="002E40EE">
            <w:pPr>
              <w:ind w:left="720"/>
              <w:jc w:val="center"/>
              <w:rPr>
                <w:rFonts w:ascii="Arial" w:eastAsia="Arial" w:hAnsi="Arial" w:cs="Arial"/>
              </w:rPr>
            </w:pPr>
            <w:r>
              <w:rPr>
                <w:rFonts w:ascii="Arial" w:eastAsia="Arial" w:hAnsi="Arial" w:cs="Arial"/>
              </w:rPr>
              <w:t>3.88</w:t>
            </w:r>
          </w:p>
        </w:tc>
      </w:tr>
      <w:tr w:rsidR="00E7667D" w14:paraId="4AC20CC8" w14:textId="77777777">
        <w:trPr>
          <w:trHeight w:val="144"/>
        </w:trPr>
        <w:tc>
          <w:tcPr>
            <w:tcW w:w="7290" w:type="dxa"/>
            <w:tcBorders>
              <w:top w:val="nil"/>
              <w:left w:val="nil"/>
              <w:bottom w:val="nil"/>
              <w:right w:val="nil"/>
            </w:tcBorders>
            <w:tcMar>
              <w:left w:w="0" w:type="dxa"/>
              <w:right w:w="0" w:type="dxa"/>
            </w:tcMar>
          </w:tcPr>
          <w:p w14:paraId="309090E6" w14:textId="77777777" w:rsidR="00E7667D" w:rsidRDefault="002E40EE">
            <w:pPr>
              <w:ind w:left="720"/>
              <w:jc w:val="both"/>
              <w:rPr>
                <w:rFonts w:ascii="Arial" w:eastAsia="Arial" w:hAnsi="Arial" w:cs="Arial"/>
              </w:rPr>
            </w:pPr>
            <w:r>
              <w:rPr>
                <w:rFonts w:ascii="Arial" w:eastAsia="Arial" w:hAnsi="Arial" w:cs="Arial"/>
              </w:rPr>
              <w:t>Debriefing helps me learn from the traumatic experience.</w:t>
            </w:r>
          </w:p>
        </w:tc>
        <w:tc>
          <w:tcPr>
            <w:tcW w:w="1260" w:type="dxa"/>
            <w:tcBorders>
              <w:top w:val="nil"/>
              <w:left w:val="nil"/>
              <w:bottom w:val="nil"/>
              <w:right w:val="nil"/>
            </w:tcBorders>
            <w:tcMar>
              <w:left w:w="0" w:type="dxa"/>
              <w:right w:w="0" w:type="dxa"/>
            </w:tcMar>
          </w:tcPr>
          <w:p w14:paraId="35139183" w14:textId="77777777" w:rsidR="00E7667D" w:rsidRDefault="002E40EE">
            <w:pPr>
              <w:ind w:left="720"/>
              <w:jc w:val="center"/>
              <w:rPr>
                <w:rFonts w:ascii="Arial" w:eastAsia="Arial" w:hAnsi="Arial" w:cs="Arial"/>
              </w:rPr>
            </w:pPr>
            <w:r>
              <w:rPr>
                <w:rFonts w:ascii="Arial" w:eastAsia="Arial" w:hAnsi="Arial" w:cs="Arial"/>
              </w:rPr>
              <w:t>3.86</w:t>
            </w:r>
          </w:p>
        </w:tc>
      </w:tr>
      <w:tr w:rsidR="00E7667D" w14:paraId="35385AEE" w14:textId="77777777">
        <w:trPr>
          <w:trHeight w:val="144"/>
        </w:trPr>
        <w:tc>
          <w:tcPr>
            <w:tcW w:w="7290" w:type="dxa"/>
            <w:tcBorders>
              <w:top w:val="nil"/>
              <w:left w:val="nil"/>
              <w:bottom w:val="nil"/>
              <w:right w:val="nil"/>
            </w:tcBorders>
            <w:tcMar>
              <w:left w:w="0" w:type="dxa"/>
              <w:right w:w="0" w:type="dxa"/>
            </w:tcMar>
          </w:tcPr>
          <w:p w14:paraId="1171255B" w14:textId="77777777" w:rsidR="00E7667D" w:rsidRDefault="002E40EE">
            <w:pPr>
              <w:ind w:left="720"/>
              <w:jc w:val="both"/>
              <w:rPr>
                <w:rFonts w:ascii="Arial" w:eastAsia="Arial" w:hAnsi="Arial" w:cs="Arial"/>
              </w:rPr>
            </w:pPr>
            <w:r>
              <w:rPr>
                <w:rFonts w:ascii="Arial" w:eastAsia="Arial" w:hAnsi="Arial" w:cs="Arial"/>
              </w:rPr>
              <w:t>Debriefing helps me improve my communication skills in dealing with my patients.</w:t>
            </w:r>
          </w:p>
        </w:tc>
        <w:tc>
          <w:tcPr>
            <w:tcW w:w="1260" w:type="dxa"/>
            <w:tcBorders>
              <w:top w:val="nil"/>
              <w:left w:val="nil"/>
              <w:bottom w:val="nil"/>
              <w:right w:val="nil"/>
            </w:tcBorders>
            <w:tcMar>
              <w:left w:w="0" w:type="dxa"/>
              <w:right w:w="0" w:type="dxa"/>
            </w:tcMar>
          </w:tcPr>
          <w:p w14:paraId="3CB2DF96" w14:textId="77777777" w:rsidR="00E7667D" w:rsidRDefault="002E40EE">
            <w:pPr>
              <w:ind w:left="720"/>
              <w:jc w:val="center"/>
              <w:rPr>
                <w:rFonts w:ascii="Arial" w:eastAsia="Arial" w:hAnsi="Arial" w:cs="Arial"/>
              </w:rPr>
            </w:pPr>
            <w:r>
              <w:rPr>
                <w:rFonts w:ascii="Arial" w:eastAsia="Arial" w:hAnsi="Arial" w:cs="Arial"/>
              </w:rPr>
              <w:t>3.86</w:t>
            </w:r>
          </w:p>
        </w:tc>
      </w:tr>
      <w:tr w:rsidR="00E7667D" w14:paraId="79DF61FD" w14:textId="77777777">
        <w:trPr>
          <w:trHeight w:val="144"/>
        </w:trPr>
        <w:tc>
          <w:tcPr>
            <w:tcW w:w="7290" w:type="dxa"/>
            <w:tcBorders>
              <w:top w:val="nil"/>
              <w:left w:val="nil"/>
              <w:bottom w:val="nil"/>
              <w:right w:val="nil"/>
            </w:tcBorders>
            <w:tcMar>
              <w:left w:w="0" w:type="dxa"/>
              <w:right w:w="0" w:type="dxa"/>
            </w:tcMar>
          </w:tcPr>
          <w:p w14:paraId="4E052358" w14:textId="77777777" w:rsidR="00E7667D" w:rsidRDefault="002E40EE">
            <w:pPr>
              <w:ind w:left="720"/>
              <w:jc w:val="both"/>
              <w:rPr>
                <w:rFonts w:ascii="Arial" w:eastAsia="Arial" w:hAnsi="Arial" w:cs="Arial"/>
              </w:rPr>
            </w:pPr>
            <w:r>
              <w:rPr>
                <w:rFonts w:ascii="Arial" w:eastAsia="Arial" w:hAnsi="Arial" w:cs="Arial"/>
              </w:rPr>
              <w:t>With a formal debriefing session, I would feel less overwhelmed.</w:t>
            </w:r>
          </w:p>
        </w:tc>
        <w:tc>
          <w:tcPr>
            <w:tcW w:w="1260" w:type="dxa"/>
            <w:tcBorders>
              <w:top w:val="nil"/>
              <w:left w:val="nil"/>
              <w:bottom w:val="nil"/>
              <w:right w:val="nil"/>
            </w:tcBorders>
            <w:tcMar>
              <w:left w:w="0" w:type="dxa"/>
              <w:right w:w="0" w:type="dxa"/>
            </w:tcMar>
          </w:tcPr>
          <w:p w14:paraId="3629BA5D" w14:textId="77777777" w:rsidR="00E7667D" w:rsidRDefault="002E40EE">
            <w:pPr>
              <w:ind w:left="720"/>
              <w:jc w:val="center"/>
              <w:rPr>
                <w:rFonts w:ascii="Arial" w:eastAsia="Arial" w:hAnsi="Arial" w:cs="Arial"/>
              </w:rPr>
            </w:pPr>
            <w:r>
              <w:rPr>
                <w:rFonts w:ascii="Arial" w:eastAsia="Arial" w:hAnsi="Arial" w:cs="Arial"/>
              </w:rPr>
              <w:t>3.81</w:t>
            </w:r>
          </w:p>
        </w:tc>
      </w:tr>
      <w:tr w:rsidR="00E7667D" w14:paraId="545886D4" w14:textId="77777777">
        <w:trPr>
          <w:trHeight w:val="144"/>
        </w:trPr>
        <w:tc>
          <w:tcPr>
            <w:tcW w:w="7290" w:type="dxa"/>
            <w:tcBorders>
              <w:top w:val="nil"/>
              <w:left w:val="nil"/>
              <w:bottom w:val="nil"/>
              <w:right w:val="nil"/>
            </w:tcBorders>
            <w:tcMar>
              <w:left w:w="0" w:type="dxa"/>
              <w:right w:w="0" w:type="dxa"/>
            </w:tcMar>
          </w:tcPr>
          <w:p w14:paraId="09BF2FCF" w14:textId="77777777" w:rsidR="00E7667D" w:rsidRDefault="002E40EE">
            <w:pPr>
              <w:ind w:left="720"/>
              <w:jc w:val="both"/>
              <w:rPr>
                <w:rFonts w:ascii="Arial" w:eastAsia="Arial" w:hAnsi="Arial" w:cs="Arial"/>
              </w:rPr>
            </w:pPr>
            <w:r>
              <w:rPr>
                <w:rFonts w:ascii="Arial" w:eastAsia="Arial" w:hAnsi="Arial" w:cs="Arial"/>
              </w:rPr>
              <w:t>Debriefing reduces my feelings of anxiety or distress.</w:t>
            </w:r>
          </w:p>
        </w:tc>
        <w:tc>
          <w:tcPr>
            <w:tcW w:w="1260" w:type="dxa"/>
            <w:tcBorders>
              <w:top w:val="nil"/>
              <w:left w:val="nil"/>
              <w:bottom w:val="nil"/>
              <w:right w:val="nil"/>
            </w:tcBorders>
            <w:tcMar>
              <w:left w:w="0" w:type="dxa"/>
              <w:right w:w="0" w:type="dxa"/>
            </w:tcMar>
          </w:tcPr>
          <w:p w14:paraId="0699C649" w14:textId="77777777" w:rsidR="00E7667D" w:rsidRDefault="002E40EE">
            <w:pPr>
              <w:ind w:left="720"/>
              <w:jc w:val="center"/>
              <w:rPr>
                <w:rFonts w:ascii="Arial" w:eastAsia="Arial" w:hAnsi="Arial" w:cs="Arial"/>
              </w:rPr>
            </w:pPr>
            <w:r>
              <w:rPr>
                <w:rFonts w:ascii="Arial" w:eastAsia="Arial" w:hAnsi="Arial" w:cs="Arial"/>
              </w:rPr>
              <w:t>3.78</w:t>
            </w:r>
          </w:p>
        </w:tc>
      </w:tr>
      <w:tr w:rsidR="00E7667D" w14:paraId="0BB99F5F" w14:textId="77777777">
        <w:trPr>
          <w:trHeight w:val="144"/>
        </w:trPr>
        <w:tc>
          <w:tcPr>
            <w:tcW w:w="7290" w:type="dxa"/>
            <w:tcBorders>
              <w:top w:val="nil"/>
              <w:left w:val="nil"/>
              <w:bottom w:val="nil"/>
              <w:right w:val="nil"/>
            </w:tcBorders>
            <w:tcMar>
              <w:left w:w="0" w:type="dxa"/>
              <w:right w:w="0" w:type="dxa"/>
            </w:tcMar>
          </w:tcPr>
          <w:p w14:paraId="63396894" w14:textId="77777777" w:rsidR="00E7667D" w:rsidRDefault="002E40EE">
            <w:pPr>
              <w:ind w:left="720"/>
              <w:jc w:val="both"/>
              <w:rPr>
                <w:rFonts w:ascii="Arial" w:eastAsia="Arial" w:hAnsi="Arial" w:cs="Arial"/>
              </w:rPr>
            </w:pPr>
            <w:r>
              <w:rPr>
                <w:rFonts w:ascii="Arial" w:eastAsia="Arial" w:hAnsi="Arial" w:cs="Arial"/>
              </w:rPr>
              <w:t>I feel supported by my clinical instructor during and after the debriefing.</w:t>
            </w:r>
          </w:p>
        </w:tc>
        <w:tc>
          <w:tcPr>
            <w:tcW w:w="1260" w:type="dxa"/>
            <w:tcBorders>
              <w:top w:val="nil"/>
              <w:left w:val="nil"/>
              <w:bottom w:val="nil"/>
              <w:right w:val="nil"/>
            </w:tcBorders>
            <w:tcMar>
              <w:left w:w="0" w:type="dxa"/>
              <w:right w:w="0" w:type="dxa"/>
            </w:tcMar>
          </w:tcPr>
          <w:p w14:paraId="2C6DCF62" w14:textId="77777777" w:rsidR="00E7667D" w:rsidRDefault="002E40EE">
            <w:pPr>
              <w:ind w:left="720"/>
              <w:jc w:val="center"/>
              <w:rPr>
                <w:rFonts w:ascii="Arial" w:eastAsia="Arial" w:hAnsi="Arial" w:cs="Arial"/>
              </w:rPr>
            </w:pPr>
            <w:r>
              <w:rPr>
                <w:rFonts w:ascii="Arial" w:eastAsia="Arial" w:hAnsi="Arial" w:cs="Arial"/>
              </w:rPr>
              <w:t>3.77</w:t>
            </w:r>
          </w:p>
        </w:tc>
      </w:tr>
      <w:tr w:rsidR="00E7667D" w14:paraId="497FA335" w14:textId="77777777">
        <w:trPr>
          <w:trHeight w:val="144"/>
        </w:trPr>
        <w:tc>
          <w:tcPr>
            <w:tcW w:w="7290" w:type="dxa"/>
            <w:tcBorders>
              <w:top w:val="nil"/>
              <w:left w:val="nil"/>
              <w:bottom w:val="nil"/>
              <w:right w:val="nil"/>
            </w:tcBorders>
            <w:tcMar>
              <w:left w:w="0" w:type="dxa"/>
              <w:right w:w="0" w:type="dxa"/>
            </w:tcMar>
          </w:tcPr>
          <w:p w14:paraId="6B23BEE6" w14:textId="77777777" w:rsidR="00E7667D" w:rsidRDefault="002E40EE">
            <w:pPr>
              <w:ind w:left="720"/>
              <w:jc w:val="both"/>
              <w:rPr>
                <w:rFonts w:ascii="Arial" w:eastAsia="Arial" w:hAnsi="Arial" w:cs="Arial"/>
              </w:rPr>
            </w:pPr>
            <w:r>
              <w:rPr>
                <w:rFonts w:ascii="Arial" w:eastAsia="Arial" w:hAnsi="Arial" w:cs="Arial"/>
              </w:rPr>
              <w:t>I am able to anticipate and manage challenging situations in the clinical area.</w:t>
            </w:r>
          </w:p>
        </w:tc>
        <w:tc>
          <w:tcPr>
            <w:tcW w:w="1260" w:type="dxa"/>
            <w:tcBorders>
              <w:top w:val="nil"/>
              <w:left w:val="nil"/>
              <w:bottom w:val="nil"/>
              <w:right w:val="nil"/>
            </w:tcBorders>
            <w:tcMar>
              <w:left w:w="0" w:type="dxa"/>
              <w:right w:w="0" w:type="dxa"/>
            </w:tcMar>
          </w:tcPr>
          <w:p w14:paraId="555F7105" w14:textId="77777777" w:rsidR="00E7667D" w:rsidRDefault="002E40EE">
            <w:pPr>
              <w:ind w:left="720"/>
              <w:jc w:val="center"/>
              <w:rPr>
                <w:rFonts w:ascii="Arial" w:eastAsia="Arial" w:hAnsi="Arial" w:cs="Arial"/>
              </w:rPr>
            </w:pPr>
            <w:r>
              <w:rPr>
                <w:rFonts w:ascii="Arial" w:eastAsia="Arial" w:hAnsi="Arial" w:cs="Arial"/>
              </w:rPr>
              <w:t>3.77</w:t>
            </w:r>
          </w:p>
        </w:tc>
      </w:tr>
      <w:tr w:rsidR="00E7667D" w14:paraId="24A0538E" w14:textId="77777777">
        <w:trPr>
          <w:trHeight w:val="144"/>
        </w:trPr>
        <w:tc>
          <w:tcPr>
            <w:tcW w:w="7290" w:type="dxa"/>
            <w:tcBorders>
              <w:top w:val="nil"/>
              <w:left w:val="nil"/>
              <w:bottom w:val="nil"/>
              <w:right w:val="nil"/>
            </w:tcBorders>
            <w:tcMar>
              <w:left w:w="0" w:type="dxa"/>
              <w:right w:w="0" w:type="dxa"/>
            </w:tcMar>
          </w:tcPr>
          <w:p w14:paraId="40A512A7" w14:textId="77777777" w:rsidR="00E7667D" w:rsidRDefault="002E40EE">
            <w:pPr>
              <w:ind w:left="720"/>
              <w:jc w:val="both"/>
              <w:rPr>
                <w:rFonts w:ascii="Arial" w:eastAsia="Arial" w:hAnsi="Arial" w:cs="Arial"/>
              </w:rPr>
            </w:pPr>
            <w:r>
              <w:rPr>
                <w:rFonts w:ascii="Arial" w:eastAsia="Arial" w:hAnsi="Arial" w:cs="Arial"/>
              </w:rPr>
              <w:t>I feel more confident facing future clinical challenges when debriefing is available.</w:t>
            </w:r>
          </w:p>
        </w:tc>
        <w:tc>
          <w:tcPr>
            <w:tcW w:w="1260" w:type="dxa"/>
            <w:tcBorders>
              <w:top w:val="nil"/>
              <w:left w:val="nil"/>
              <w:bottom w:val="nil"/>
              <w:right w:val="nil"/>
            </w:tcBorders>
            <w:tcMar>
              <w:left w:w="0" w:type="dxa"/>
              <w:right w:w="0" w:type="dxa"/>
            </w:tcMar>
          </w:tcPr>
          <w:p w14:paraId="17C967D0" w14:textId="77777777" w:rsidR="00E7667D" w:rsidRDefault="002E40EE">
            <w:pPr>
              <w:ind w:left="720"/>
              <w:jc w:val="center"/>
              <w:rPr>
                <w:rFonts w:ascii="Arial" w:eastAsia="Arial" w:hAnsi="Arial" w:cs="Arial"/>
              </w:rPr>
            </w:pPr>
            <w:r>
              <w:rPr>
                <w:rFonts w:ascii="Arial" w:eastAsia="Arial" w:hAnsi="Arial" w:cs="Arial"/>
              </w:rPr>
              <w:t>3.77</w:t>
            </w:r>
          </w:p>
        </w:tc>
      </w:tr>
      <w:tr w:rsidR="00E7667D" w14:paraId="6840478B" w14:textId="77777777">
        <w:trPr>
          <w:trHeight w:val="144"/>
        </w:trPr>
        <w:tc>
          <w:tcPr>
            <w:tcW w:w="7290" w:type="dxa"/>
            <w:tcBorders>
              <w:top w:val="nil"/>
              <w:left w:val="nil"/>
              <w:bottom w:val="nil"/>
              <w:right w:val="nil"/>
            </w:tcBorders>
            <w:tcMar>
              <w:left w:w="0" w:type="dxa"/>
              <w:right w:w="0" w:type="dxa"/>
            </w:tcMar>
          </w:tcPr>
          <w:p w14:paraId="35B242E2" w14:textId="77777777" w:rsidR="00E7667D" w:rsidRDefault="002E40EE">
            <w:pPr>
              <w:ind w:left="720"/>
              <w:jc w:val="both"/>
              <w:rPr>
                <w:rFonts w:ascii="Arial" w:eastAsia="Arial" w:hAnsi="Arial" w:cs="Arial"/>
              </w:rPr>
            </w:pPr>
            <w:r>
              <w:rPr>
                <w:rFonts w:ascii="Arial" w:eastAsia="Arial" w:hAnsi="Arial" w:cs="Arial"/>
              </w:rPr>
              <w:t>The debriefing session is being conducted at an appropriate time after the traumatic event.</w:t>
            </w:r>
          </w:p>
        </w:tc>
        <w:tc>
          <w:tcPr>
            <w:tcW w:w="1260" w:type="dxa"/>
            <w:tcBorders>
              <w:top w:val="nil"/>
              <w:left w:val="nil"/>
              <w:bottom w:val="nil"/>
              <w:right w:val="nil"/>
            </w:tcBorders>
            <w:tcMar>
              <w:left w:w="0" w:type="dxa"/>
              <w:right w:w="0" w:type="dxa"/>
            </w:tcMar>
          </w:tcPr>
          <w:p w14:paraId="12BC98D8" w14:textId="77777777" w:rsidR="00E7667D" w:rsidRDefault="002E40EE">
            <w:pPr>
              <w:ind w:left="720"/>
              <w:jc w:val="center"/>
              <w:rPr>
                <w:rFonts w:ascii="Arial" w:eastAsia="Arial" w:hAnsi="Arial" w:cs="Arial"/>
              </w:rPr>
            </w:pPr>
            <w:r>
              <w:rPr>
                <w:rFonts w:ascii="Arial" w:eastAsia="Arial" w:hAnsi="Arial" w:cs="Arial"/>
              </w:rPr>
              <w:t>3.76</w:t>
            </w:r>
          </w:p>
        </w:tc>
      </w:tr>
      <w:tr w:rsidR="00E7667D" w14:paraId="7A1FB6D6" w14:textId="77777777">
        <w:trPr>
          <w:trHeight w:val="144"/>
        </w:trPr>
        <w:tc>
          <w:tcPr>
            <w:tcW w:w="7290" w:type="dxa"/>
            <w:tcBorders>
              <w:top w:val="nil"/>
              <w:left w:val="nil"/>
              <w:bottom w:val="nil"/>
              <w:right w:val="nil"/>
            </w:tcBorders>
            <w:tcMar>
              <w:left w:w="0" w:type="dxa"/>
              <w:right w:w="0" w:type="dxa"/>
            </w:tcMar>
          </w:tcPr>
          <w:p w14:paraId="05059EBA" w14:textId="77777777" w:rsidR="00E7667D" w:rsidRDefault="002E40EE">
            <w:pPr>
              <w:ind w:left="720"/>
              <w:jc w:val="both"/>
              <w:rPr>
                <w:rFonts w:ascii="Arial" w:eastAsia="Arial" w:hAnsi="Arial" w:cs="Arial"/>
              </w:rPr>
            </w:pPr>
            <w:r>
              <w:rPr>
                <w:rFonts w:ascii="Arial" w:eastAsia="Arial" w:hAnsi="Arial" w:cs="Arial"/>
              </w:rPr>
              <w:t>The debriefing session helps me understand and process what happened.</w:t>
            </w:r>
          </w:p>
        </w:tc>
        <w:tc>
          <w:tcPr>
            <w:tcW w:w="1260" w:type="dxa"/>
            <w:tcBorders>
              <w:top w:val="nil"/>
              <w:left w:val="nil"/>
              <w:bottom w:val="nil"/>
              <w:right w:val="nil"/>
            </w:tcBorders>
            <w:tcMar>
              <w:left w:w="0" w:type="dxa"/>
              <w:right w:w="0" w:type="dxa"/>
            </w:tcMar>
          </w:tcPr>
          <w:p w14:paraId="43A70961" w14:textId="77777777" w:rsidR="00E7667D" w:rsidRDefault="002E40EE">
            <w:pPr>
              <w:ind w:left="720"/>
              <w:jc w:val="center"/>
              <w:rPr>
                <w:rFonts w:ascii="Arial" w:eastAsia="Arial" w:hAnsi="Arial" w:cs="Arial"/>
              </w:rPr>
            </w:pPr>
            <w:r>
              <w:rPr>
                <w:rFonts w:ascii="Arial" w:eastAsia="Arial" w:hAnsi="Arial" w:cs="Arial"/>
              </w:rPr>
              <w:t>3.75</w:t>
            </w:r>
          </w:p>
        </w:tc>
      </w:tr>
      <w:tr w:rsidR="00E7667D" w14:paraId="7653BBCE" w14:textId="77777777">
        <w:trPr>
          <w:trHeight w:val="144"/>
        </w:trPr>
        <w:tc>
          <w:tcPr>
            <w:tcW w:w="7290" w:type="dxa"/>
            <w:tcBorders>
              <w:top w:val="nil"/>
              <w:left w:val="nil"/>
              <w:bottom w:val="nil"/>
              <w:right w:val="nil"/>
            </w:tcBorders>
            <w:tcMar>
              <w:left w:w="0" w:type="dxa"/>
              <w:right w:w="0" w:type="dxa"/>
            </w:tcMar>
          </w:tcPr>
          <w:p w14:paraId="2DB61F76" w14:textId="77777777" w:rsidR="00E7667D" w:rsidRDefault="002E40EE">
            <w:pPr>
              <w:ind w:left="720"/>
              <w:jc w:val="both"/>
              <w:rPr>
                <w:rFonts w:ascii="Arial" w:eastAsia="Arial" w:hAnsi="Arial" w:cs="Arial"/>
              </w:rPr>
            </w:pPr>
            <w:r>
              <w:rPr>
                <w:rFonts w:ascii="Arial" w:eastAsia="Arial" w:hAnsi="Arial" w:cs="Arial"/>
              </w:rPr>
              <w:t>The debriefing makes it easier for me to return to my clinical duties.</w:t>
            </w:r>
          </w:p>
        </w:tc>
        <w:tc>
          <w:tcPr>
            <w:tcW w:w="1260" w:type="dxa"/>
            <w:tcBorders>
              <w:top w:val="nil"/>
              <w:left w:val="nil"/>
              <w:bottom w:val="nil"/>
              <w:right w:val="nil"/>
            </w:tcBorders>
            <w:tcMar>
              <w:left w:w="0" w:type="dxa"/>
              <w:right w:w="0" w:type="dxa"/>
            </w:tcMar>
          </w:tcPr>
          <w:p w14:paraId="3EE1C51D" w14:textId="77777777" w:rsidR="00E7667D" w:rsidRDefault="002E40EE">
            <w:pPr>
              <w:ind w:left="720"/>
              <w:jc w:val="center"/>
              <w:rPr>
                <w:rFonts w:ascii="Arial" w:eastAsia="Arial" w:hAnsi="Arial" w:cs="Arial"/>
              </w:rPr>
            </w:pPr>
            <w:r>
              <w:rPr>
                <w:rFonts w:ascii="Arial" w:eastAsia="Arial" w:hAnsi="Arial" w:cs="Arial"/>
              </w:rPr>
              <w:t>3.75</w:t>
            </w:r>
          </w:p>
        </w:tc>
      </w:tr>
      <w:tr w:rsidR="00E7667D" w14:paraId="517A47DE" w14:textId="77777777">
        <w:trPr>
          <w:trHeight w:val="144"/>
        </w:trPr>
        <w:tc>
          <w:tcPr>
            <w:tcW w:w="7290" w:type="dxa"/>
            <w:tcBorders>
              <w:top w:val="nil"/>
              <w:left w:val="nil"/>
              <w:bottom w:val="nil"/>
              <w:right w:val="nil"/>
            </w:tcBorders>
            <w:tcMar>
              <w:left w:w="0" w:type="dxa"/>
              <w:right w:w="0" w:type="dxa"/>
            </w:tcMar>
          </w:tcPr>
          <w:p w14:paraId="0558B89D" w14:textId="77777777" w:rsidR="00E7667D" w:rsidRDefault="002E40EE">
            <w:pPr>
              <w:ind w:left="720"/>
              <w:jc w:val="both"/>
              <w:rPr>
                <w:rFonts w:ascii="Arial" w:eastAsia="Arial" w:hAnsi="Arial" w:cs="Arial"/>
              </w:rPr>
            </w:pPr>
            <w:r>
              <w:rPr>
                <w:rFonts w:ascii="Arial" w:eastAsia="Arial" w:hAnsi="Arial" w:cs="Arial"/>
              </w:rPr>
              <w:t>I feel that the information I share during the debriefing is treated with confidentiality.</w:t>
            </w:r>
          </w:p>
        </w:tc>
        <w:tc>
          <w:tcPr>
            <w:tcW w:w="1260" w:type="dxa"/>
            <w:tcBorders>
              <w:top w:val="nil"/>
              <w:left w:val="nil"/>
              <w:bottom w:val="nil"/>
              <w:right w:val="nil"/>
            </w:tcBorders>
            <w:tcMar>
              <w:left w:w="0" w:type="dxa"/>
              <w:right w:w="0" w:type="dxa"/>
            </w:tcMar>
          </w:tcPr>
          <w:p w14:paraId="37AF0C5E" w14:textId="77777777" w:rsidR="00E7667D" w:rsidRDefault="002E40EE">
            <w:pPr>
              <w:ind w:left="720"/>
              <w:jc w:val="center"/>
              <w:rPr>
                <w:rFonts w:ascii="Arial" w:eastAsia="Arial" w:hAnsi="Arial" w:cs="Arial"/>
              </w:rPr>
            </w:pPr>
            <w:r>
              <w:rPr>
                <w:rFonts w:ascii="Arial" w:eastAsia="Arial" w:hAnsi="Arial" w:cs="Arial"/>
              </w:rPr>
              <w:t>3.74</w:t>
            </w:r>
          </w:p>
        </w:tc>
      </w:tr>
      <w:tr w:rsidR="00E7667D" w14:paraId="41102464" w14:textId="77777777">
        <w:trPr>
          <w:trHeight w:val="144"/>
        </w:trPr>
        <w:tc>
          <w:tcPr>
            <w:tcW w:w="7290" w:type="dxa"/>
            <w:tcBorders>
              <w:top w:val="nil"/>
              <w:left w:val="nil"/>
              <w:bottom w:val="nil"/>
              <w:right w:val="nil"/>
            </w:tcBorders>
            <w:tcMar>
              <w:left w:w="0" w:type="dxa"/>
              <w:right w:w="0" w:type="dxa"/>
            </w:tcMar>
          </w:tcPr>
          <w:p w14:paraId="5B23E1B2" w14:textId="77777777" w:rsidR="00E7667D" w:rsidRDefault="002E40EE">
            <w:pPr>
              <w:ind w:left="720"/>
              <w:jc w:val="both"/>
              <w:rPr>
                <w:rFonts w:ascii="Arial" w:eastAsia="Arial" w:hAnsi="Arial" w:cs="Arial"/>
              </w:rPr>
            </w:pPr>
            <w:r>
              <w:rPr>
                <w:rFonts w:ascii="Arial" w:eastAsia="Arial" w:hAnsi="Arial" w:cs="Arial"/>
              </w:rPr>
              <w:t>Debriefing with my clinical instructor helps me to feel calmer after the traumatic event.</w:t>
            </w:r>
          </w:p>
        </w:tc>
        <w:tc>
          <w:tcPr>
            <w:tcW w:w="1260" w:type="dxa"/>
            <w:tcBorders>
              <w:top w:val="nil"/>
              <w:left w:val="nil"/>
              <w:bottom w:val="nil"/>
              <w:right w:val="nil"/>
            </w:tcBorders>
            <w:tcMar>
              <w:left w:w="0" w:type="dxa"/>
              <w:right w:w="0" w:type="dxa"/>
            </w:tcMar>
          </w:tcPr>
          <w:p w14:paraId="0A963F89" w14:textId="77777777" w:rsidR="00E7667D" w:rsidRDefault="002E40EE">
            <w:pPr>
              <w:ind w:left="720"/>
              <w:jc w:val="center"/>
              <w:rPr>
                <w:rFonts w:ascii="Arial" w:eastAsia="Arial" w:hAnsi="Arial" w:cs="Arial"/>
              </w:rPr>
            </w:pPr>
            <w:r>
              <w:rPr>
                <w:rFonts w:ascii="Arial" w:eastAsia="Arial" w:hAnsi="Arial" w:cs="Arial"/>
              </w:rPr>
              <w:t>3.65</w:t>
            </w:r>
          </w:p>
        </w:tc>
      </w:tr>
      <w:tr w:rsidR="00E7667D" w14:paraId="237DBB76" w14:textId="77777777">
        <w:trPr>
          <w:trHeight w:val="144"/>
        </w:trPr>
        <w:tc>
          <w:tcPr>
            <w:tcW w:w="7290" w:type="dxa"/>
            <w:tcBorders>
              <w:top w:val="nil"/>
              <w:left w:val="nil"/>
              <w:bottom w:val="nil"/>
              <w:right w:val="nil"/>
            </w:tcBorders>
            <w:tcMar>
              <w:left w:w="0" w:type="dxa"/>
              <w:right w:w="0" w:type="dxa"/>
            </w:tcMar>
          </w:tcPr>
          <w:p w14:paraId="2350DDF5" w14:textId="77777777" w:rsidR="00E7667D" w:rsidRDefault="002E40EE">
            <w:pPr>
              <w:ind w:left="720"/>
              <w:jc w:val="both"/>
              <w:rPr>
                <w:rFonts w:ascii="Arial" w:eastAsia="Arial" w:hAnsi="Arial" w:cs="Arial"/>
              </w:rPr>
            </w:pPr>
            <w:r>
              <w:rPr>
                <w:rFonts w:ascii="Arial" w:eastAsia="Arial" w:hAnsi="Arial" w:cs="Arial"/>
              </w:rPr>
              <w:t>The debriefing lasts long enough for me to process my emotions and thoughts.</w:t>
            </w:r>
          </w:p>
        </w:tc>
        <w:tc>
          <w:tcPr>
            <w:tcW w:w="1260" w:type="dxa"/>
            <w:tcBorders>
              <w:top w:val="nil"/>
              <w:left w:val="nil"/>
              <w:bottom w:val="nil"/>
              <w:right w:val="nil"/>
            </w:tcBorders>
            <w:tcMar>
              <w:left w:w="0" w:type="dxa"/>
              <w:right w:w="0" w:type="dxa"/>
            </w:tcMar>
          </w:tcPr>
          <w:p w14:paraId="705FBA5F" w14:textId="77777777" w:rsidR="00E7667D" w:rsidRDefault="002E40EE">
            <w:pPr>
              <w:ind w:left="720"/>
              <w:jc w:val="center"/>
              <w:rPr>
                <w:rFonts w:ascii="Arial" w:eastAsia="Arial" w:hAnsi="Arial" w:cs="Arial"/>
              </w:rPr>
            </w:pPr>
            <w:r>
              <w:rPr>
                <w:rFonts w:ascii="Arial" w:eastAsia="Arial" w:hAnsi="Arial" w:cs="Arial"/>
              </w:rPr>
              <w:t>3.63</w:t>
            </w:r>
          </w:p>
        </w:tc>
      </w:tr>
      <w:tr w:rsidR="00E7667D" w14:paraId="52E68CD8" w14:textId="77777777">
        <w:trPr>
          <w:trHeight w:val="144"/>
        </w:trPr>
        <w:tc>
          <w:tcPr>
            <w:tcW w:w="7290" w:type="dxa"/>
            <w:tcBorders>
              <w:top w:val="nil"/>
              <w:left w:val="nil"/>
              <w:bottom w:val="nil"/>
              <w:right w:val="nil"/>
            </w:tcBorders>
            <w:tcMar>
              <w:left w:w="0" w:type="dxa"/>
              <w:right w:w="0" w:type="dxa"/>
            </w:tcMar>
          </w:tcPr>
          <w:p w14:paraId="298D558A" w14:textId="77777777" w:rsidR="00E7667D" w:rsidRDefault="002E40EE">
            <w:pPr>
              <w:ind w:left="720"/>
              <w:jc w:val="both"/>
              <w:rPr>
                <w:rFonts w:ascii="Arial" w:eastAsia="Arial" w:hAnsi="Arial" w:cs="Arial"/>
              </w:rPr>
            </w:pPr>
            <w:r>
              <w:rPr>
                <w:rFonts w:ascii="Arial" w:eastAsia="Arial" w:hAnsi="Arial" w:cs="Arial"/>
              </w:rPr>
              <w:t>I feel comfortable sharing my thoughts and emotions during the debriefing.</w:t>
            </w:r>
          </w:p>
        </w:tc>
        <w:tc>
          <w:tcPr>
            <w:tcW w:w="1260" w:type="dxa"/>
            <w:tcBorders>
              <w:top w:val="nil"/>
              <w:left w:val="nil"/>
              <w:bottom w:val="nil"/>
              <w:right w:val="nil"/>
            </w:tcBorders>
            <w:tcMar>
              <w:left w:w="0" w:type="dxa"/>
              <w:right w:w="0" w:type="dxa"/>
            </w:tcMar>
          </w:tcPr>
          <w:p w14:paraId="2E176766" w14:textId="77777777" w:rsidR="00E7667D" w:rsidRDefault="002E40EE">
            <w:pPr>
              <w:ind w:left="720"/>
              <w:jc w:val="center"/>
              <w:rPr>
                <w:rFonts w:ascii="Arial" w:eastAsia="Arial" w:hAnsi="Arial" w:cs="Arial"/>
              </w:rPr>
            </w:pPr>
            <w:r>
              <w:rPr>
                <w:rFonts w:ascii="Arial" w:eastAsia="Arial" w:hAnsi="Arial" w:cs="Arial"/>
              </w:rPr>
              <w:t>3.59</w:t>
            </w:r>
          </w:p>
        </w:tc>
      </w:tr>
      <w:tr w:rsidR="00E7667D" w14:paraId="151B8650" w14:textId="77777777">
        <w:trPr>
          <w:trHeight w:val="144"/>
        </w:trPr>
        <w:tc>
          <w:tcPr>
            <w:tcW w:w="7290" w:type="dxa"/>
            <w:tcBorders>
              <w:top w:val="nil"/>
              <w:left w:val="nil"/>
              <w:bottom w:val="nil"/>
              <w:right w:val="nil"/>
            </w:tcBorders>
            <w:tcMar>
              <w:left w:w="0" w:type="dxa"/>
              <w:right w:w="0" w:type="dxa"/>
            </w:tcMar>
          </w:tcPr>
          <w:p w14:paraId="71B61DAC" w14:textId="77777777" w:rsidR="00E7667D" w:rsidRDefault="002E40EE">
            <w:pPr>
              <w:ind w:left="720"/>
              <w:jc w:val="both"/>
              <w:rPr>
                <w:rFonts w:ascii="Arial" w:eastAsia="Arial" w:hAnsi="Arial" w:cs="Arial"/>
              </w:rPr>
            </w:pPr>
            <w:r>
              <w:rPr>
                <w:rFonts w:ascii="Arial" w:eastAsia="Arial" w:hAnsi="Arial" w:cs="Arial"/>
              </w:rPr>
              <w:t>I am able to express my emotions freely during the debriefing.</w:t>
            </w:r>
          </w:p>
        </w:tc>
        <w:tc>
          <w:tcPr>
            <w:tcW w:w="1260" w:type="dxa"/>
            <w:tcBorders>
              <w:top w:val="nil"/>
              <w:left w:val="nil"/>
              <w:bottom w:val="nil"/>
              <w:right w:val="nil"/>
            </w:tcBorders>
            <w:tcMar>
              <w:left w:w="0" w:type="dxa"/>
              <w:right w:w="0" w:type="dxa"/>
            </w:tcMar>
          </w:tcPr>
          <w:p w14:paraId="729D3C34" w14:textId="77777777" w:rsidR="00E7667D" w:rsidRDefault="002E40EE">
            <w:pPr>
              <w:ind w:left="720"/>
              <w:jc w:val="center"/>
              <w:rPr>
                <w:rFonts w:ascii="Arial" w:eastAsia="Arial" w:hAnsi="Arial" w:cs="Arial"/>
              </w:rPr>
            </w:pPr>
            <w:r>
              <w:rPr>
                <w:rFonts w:ascii="Arial" w:eastAsia="Arial" w:hAnsi="Arial" w:cs="Arial"/>
              </w:rPr>
              <w:t>3.49</w:t>
            </w:r>
          </w:p>
        </w:tc>
      </w:tr>
      <w:tr w:rsidR="00E7667D" w14:paraId="020A2B8B" w14:textId="77777777">
        <w:trPr>
          <w:trHeight w:val="144"/>
        </w:trPr>
        <w:tc>
          <w:tcPr>
            <w:tcW w:w="7290" w:type="dxa"/>
            <w:tcBorders>
              <w:top w:val="single" w:sz="4" w:space="0" w:color="000000"/>
              <w:bottom w:val="single" w:sz="4" w:space="0" w:color="000000"/>
            </w:tcBorders>
            <w:tcMar>
              <w:left w:w="0" w:type="dxa"/>
              <w:right w:w="0" w:type="dxa"/>
            </w:tcMar>
          </w:tcPr>
          <w:p w14:paraId="5BFC626F" w14:textId="77777777" w:rsidR="00E7667D" w:rsidRDefault="00E7667D">
            <w:pPr>
              <w:ind w:left="720"/>
              <w:rPr>
                <w:rFonts w:ascii="Arial" w:eastAsia="Arial" w:hAnsi="Arial" w:cs="Arial"/>
                <w:i/>
                <w:iCs/>
              </w:rPr>
            </w:pPr>
          </w:p>
        </w:tc>
        <w:tc>
          <w:tcPr>
            <w:tcW w:w="1260" w:type="dxa"/>
            <w:tcBorders>
              <w:top w:val="single" w:sz="4" w:space="0" w:color="000000"/>
              <w:bottom w:val="single" w:sz="4" w:space="0" w:color="000000"/>
            </w:tcBorders>
            <w:tcMar>
              <w:left w:w="0" w:type="dxa"/>
              <w:right w:w="0" w:type="dxa"/>
            </w:tcMar>
          </w:tcPr>
          <w:p w14:paraId="7C591F14" w14:textId="77777777" w:rsidR="00E7667D" w:rsidRDefault="002E40EE">
            <w:pPr>
              <w:ind w:left="720"/>
              <w:jc w:val="center"/>
              <w:rPr>
                <w:rFonts w:ascii="Arial" w:eastAsia="Arial" w:hAnsi="Arial" w:cs="Arial"/>
                <w:b/>
                <w:bCs/>
              </w:rPr>
            </w:pPr>
            <w:r>
              <w:rPr>
                <w:rFonts w:ascii="Arial" w:eastAsia="Arial" w:hAnsi="Arial" w:cs="Arial"/>
                <w:b/>
                <w:bCs/>
              </w:rPr>
              <w:t>3.74 / 5.00</w:t>
            </w:r>
          </w:p>
        </w:tc>
      </w:tr>
    </w:tbl>
    <w:p w14:paraId="5B352EEA" w14:textId="77777777" w:rsidR="00E7667D" w:rsidRDefault="00E7667D">
      <w:pPr>
        <w:rPr>
          <w:rFonts w:ascii="Arial" w:eastAsia="Arial" w:hAnsi="Arial" w:cs="Arial"/>
          <w:b/>
          <w:bCs/>
        </w:rPr>
      </w:pPr>
    </w:p>
    <w:p w14:paraId="2255A26D" w14:textId="77777777" w:rsidR="00E7667D" w:rsidRDefault="00E7667D">
      <w:pPr>
        <w:rPr>
          <w:rFonts w:ascii="Arial" w:eastAsia="Arial" w:hAnsi="Arial" w:cs="Arial"/>
          <w:b/>
          <w:bCs/>
        </w:rPr>
      </w:pPr>
    </w:p>
    <w:p w14:paraId="4A44EACA" w14:textId="77777777" w:rsidR="00E7667D" w:rsidRDefault="002E40EE">
      <w:pPr>
        <w:rPr>
          <w:rFonts w:ascii="Arial" w:eastAsia="Arial" w:hAnsi="Arial" w:cs="Arial"/>
          <w:b/>
          <w:bCs/>
        </w:rPr>
      </w:pPr>
      <w:r>
        <w:rPr>
          <w:rFonts w:ascii="Arial" w:eastAsia="Arial" w:hAnsi="Arial" w:cs="Arial"/>
          <w:b/>
          <w:bCs/>
        </w:rPr>
        <w:t xml:space="preserve">Table 5. </w:t>
      </w:r>
    </w:p>
    <w:p w14:paraId="50F03441" w14:textId="77777777" w:rsidR="00E7667D" w:rsidRDefault="002E40EE">
      <w:pPr>
        <w:rPr>
          <w:rFonts w:ascii="Arial" w:eastAsia="Arial" w:hAnsi="Arial" w:cs="Arial"/>
          <w:b/>
          <w:bCs/>
        </w:rPr>
      </w:pPr>
      <w:r>
        <w:rPr>
          <w:rFonts w:ascii="Arial" w:eastAsia="Arial" w:hAnsi="Arial" w:cs="Arial"/>
          <w:b/>
          <w:bCs/>
        </w:rPr>
        <w:t>Spearman’s rho results for relationship between impact of traumatic clinical experience, anxiety, debriefing received among student nurses (n=275)</w:t>
      </w:r>
    </w:p>
    <w:tbl>
      <w:tblPr>
        <w:tblStyle w:val="a6"/>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2805"/>
        <w:gridCol w:w="2460"/>
      </w:tblGrid>
      <w:tr w:rsidR="00E7667D" w14:paraId="00F30D1D" w14:textId="77777777">
        <w:tc>
          <w:tcPr>
            <w:tcW w:w="3375" w:type="dxa"/>
            <w:tcBorders>
              <w:left w:val="single" w:sz="8" w:space="0" w:color="FFFFFF"/>
              <w:right w:val="single" w:sz="8" w:space="0" w:color="FFFFFF"/>
            </w:tcBorders>
            <w:shd w:val="clear" w:color="auto" w:fill="FFFFFF"/>
            <w:tcMar>
              <w:top w:w="100" w:type="dxa"/>
              <w:left w:w="100" w:type="dxa"/>
              <w:bottom w:w="100" w:type="dxa"/>
              <w:right w:w="100" w:type="dxa"/>
            </w:tcMar>
            <w:vAlign w:val="bottom"/>
          </w:tcPr>
          <w:p w14:paraId="2A117888" w14:textId="77777777" w:rsidR="00E7667D" w:rsidRDefault="00E7667D">
            <w:pPr>
              <w:widowControl w:val="0"/>
              <w:spacing w:line="276" w:lineRule="auto"/>
              <w:jc w:val="center"/>
              <w:rPr>
                <w:rFonts w:ascii="Arial" w:eastAsia="Arial" w:hAnsi="Arial" w:cs="Arial"/>
                <w:b/>
                <w:bCs/>
              </w:rPr>
            </w:pPr>
          </w:p>
        </w:tc>
        <w:tc>
          <w:tcPr>
            <w:tcW w:w="2805" w:type="dxa"/>
            <w:tcBorders>
              <w:left w:val="single" w:sz="8" w:space="0" w:color="FFFFFF"/>
              <w:right w:val="single" w:sz="8" w:space="0" w:color="FFFFFF"/>
            </w:tcBorders>
            <w:shd w:val="clear" w:color="auto" w:fill="FFFFFF"/>
            <w:tcMar>
              <w:top w:w="100" w:type="dxa"/>
              <w:left w:w="100" w:type="dxa"/>
              <w:bottom w:w="100" w:type="dxa"/>
              <w:right w:w="100" w:type="dxa"/>
            </w:tcMar>
            <w:vAlign w:val="bottom"/>
          </w:tcPr>
          <w:p w14:paraId="7B49C7DA" w14:textId="77777777" w:rsidR="00E7667D" w:rsidRDefault="00E7667D">
            <w:pPr>
              <w:widowControl w:val="0"/>
              <w:spacing w:line="276" w:lineRule="auto"/>
              <w:jc w:val="center"/>
              <w:rPr>
                <w:rFonts w:ascii="Arial" w:eastAsia="Arial" w:hAnsi="Arial" w:cs="Arial"/>
                <w:b/>
                <w:bCs/>
              </w:rPr>
            </w:pPr>
          </w:p>
        </w:tc>
        <w:tc>
          <w:tcPr>
            <w:tcW w:w="2460" w:type="dxa"/>
            <w:tcBorders>
              <w:left w:val="single" w:sz="8" w:space="0" w:color="FFFFFF"/>
              <w:right w:val="single" w:sz="8" w:space="0" w:color="FFFFFF"/>
            </w:tcBorders>
            <w:shd w:val="clear" w:color="auto" w:fill="FFFFFF"/>
            <w:tcMar>
              <w:top w:w="100" w:type="dxa"/>
              <w:left w:w="100" w:type="dxa"/>
              <w:bottom w:w="100" w:type="dxa"/>
              <w:right w:w="100" w:type="dxa"/>
            </w:tcMar>
            <w:vAlign w:val="bottom"/>
          </w:tcPr>
          <w:p w14:paraId="5884FD37" w14:textId="77777777" w:rsidR="00E7667D" w:rsidRDefault="002E40EE">
            <w:pPr>
              <w:widowControl w:val="0"/>
              <w:spacing w:line="276" w:lineRule="auto"/>
              <w:jc w:val="center"/>
              <w:rPr>
                <w:rFonts w:ascii="Arial" w:eastAsia="Arial" w:hAnsi="Arial" w:cs="Arial"/>
                <w:b/>
                <w:bCs/>
              </w:rPr>
            </w:pPr>
            <w:r>
              <w:rPr>
                <w:rFonts w:ascii="Arial" w:eastAsia="Arial" w:hAnsi="Arial" w:cs="Arial"/>
                <w:b/>
                <w:bCs/>
              </w:rPr>
              <w:t>Anxiety</w:t>
            </w:r>
          </w:p>
        </w:tc>
      </w:tr>
      <w:tr w:rsidR="00E7667D" w14:paraId="200FACC6" w14:textId="77777777">
        <w:trPr>
          <w:trHeight w:val="802"/>
        </w:trPr>
        <w:tc>
          <w:tcPr>
            <w:tcW w:w="3375"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074AB4C1" w14:textId="77777777" w:rsidR="00E7667D" w:rsidRDefault="002E40EE">
            <w:pPr>
              <w:widowControl w:val="0"/>
              <w:spacing w:line="276" w:lineRule="auto"/>
              <w:rPr>
                <w:rFonts w:ascii="Arial" w:eastAsia="Arial" w:hAnsi="Arial" w:cs="Arial"/>
              </w:rPr>
            </w:pPr>
            <w:r>
              <w:rPr>
                <w:rFonts w:ascii="Arial" w:eastAsia="Arial" w:hAnsi="Arial" w:cs="Arial"/>
                <w:b/>
                <w:bCs/>
              </w:rPr>
              <w:t>Traumatic Clinical Experience</w:t>
            </w:r>
          </w:p>
        </w:tc>
        <w:tc>
          <w:tcPr>
            <w:tcW w:w="2805"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580511D3" w14:textId="77777777" w:rsidR="00E7667D" w:rsidRDefault="002E40EE">
            <w:pPr>
              <w:widowControl w:val="0"/>
              <w:spacing w:line="276" w:lineRule="auto"/>
              <w:rPr>
                <w:rFonts w:ascii="Arial" w:eastAsia="Arial" w:hAnsi="Arial" w:cs="Arial"/>
              </w:rPr>
            </w:pPr>
            <w:r>
              <w:rPr>
                <w:rFonts w:ascii="Arial" w:eastAsia="Arial" w:hAnsi="Arial" w:cs="Arial"/>
              </w:rPr>
              <w:t xml:space="preserve">Correlation Coefficient </w:t>
            </w:r>
          </w:p>
        </w:tc>
        <w:tc>
          <w:tcPr>
            <w:tcW w:w="2460"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5589BC75" w14:textId="77777777" w:rsidR="00E7667D" w:rsidRDefault="002E40EE">
            <w:pPr>
              <w:widowControl w:val="0"/>
              <w:spacing w:line="276" w:lineRule="auto"/>
              <w:jc w:val="right"/>
              <w:rPr>
                <w:rFonts w:ascii="Arial" w:eastAsia="Arial" w:hAnsi="Arial" w:cs="Arial"/>
              </w:rPr>
            </w:pPr>
            <w:r>
              <w:rPr>
                <w:rFonts w:ascii="Arial" w:eastAsia="Arial" w:hAnsi="Arial" w:cs="Arial"/>
                <w:i/>
                <w:iCs/>
              </w:rPr>
              <w:t>r</w:t>
            </w:r>
            <w:r>
              <w:rPr>
                <w:rFonts w:ascii="Arial" w:eastAsia="Arial" w:hAnsi="Arial" w:cs="Arial"/>
                <w:i/>
                <w:iCs/>
                <w:color w:val="0A0A0A"/>
                <w:highlight w:val="white"/>
              </w:rPr>
              <w:t>ₛ</w:t>
            </w:r>
            <w:r>
              <w:rPr>
                <w:rFonts w:ascii="Arial" w:eastAsia="Arial" w:hAnsi="Arial" w:cs="Arial"/>
                <w:color w:val="0A0A0A"/>
                <w:highlight w:val="white"/>
              </w:rPr>
              <w:t>=</w:t>
            </w:r>
            <w:r>
              <w:rPr>
                <w:rFonts w:ascii="Arial" w:eastAsia="Arial" w:hAnsi="Arial" w:cs="Arial"/>
              </w:rPr>
              <w:t>.587</w:t>
            </w:r>
          </w:p>
        </w:tc>
      </w:tr>
      <w:tr w:rsidR="00E7667D" w14:paraId="481561CB" w14:textId="77777777">
        <w:tc>
          <w:tcPr>
            <w:tcW w:w="3375"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1463DA5C" w14:textId="77777777" w:rsidR="00E7667D" w:rsidRDefault="00E7667D">
            <w:pPr>
              <w:widowControl w:val="0"/>
              <w:spacing w:line="276" w:lineRule="auto"/>
              <w:rPr>
                <w:rFonts w:ascii="Arial" w:eastAsia="Arial" w:hAnsi="Arial" w:cs="Arial"/>
              </w:rPr>
            </w:pPr>
          </w:p>
        </w:tc>
        <w:tc>
          <w:tcPr>
            <w:tcW w:w="2805"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55BCB843" w14:textId="77777777" w:rsidR="00E7667D" w:rsidRDefault="002E40EE">
            <w:pPr>
              <w:widowControl w:val="0"/>
              <w:spacing w:line="276" w:lineRule="auto"/>
              <w:rPr>
                <w:rFonts w:ascii="Arial" w:eastAsia="Arial" w:hAnsi="Arial" w:cs="Arial"/>
              </w:rPr>
            </w:pPr>
            <w:r>
              <w:rPr>
                <w:rFonts w:ascii="Arial" w:eastAsia="Arial" w:hAnsi="Arial" w:cs="Arial"/>
              </w:rPr>
              <w:t>Sig. (2-tailed)</w:t>
            </w:r>
          </w:p>
        </w:tc>
        <w:tc>
          <w:tcPr>
            <w:tcW w:w="2460"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43F5CF10" w14:textId="77777777" w:rsidR="00E7667D" w:rsidRDefault="002E40EE">
            <w:pPr>
              <w:widowControl w:val="0"/>
              <w:spacing w:line="276" w:lineRule="auto"/>
              <w:jc w:val="right"/>
              <w:rPr>
                <w:rFonts w:ascii="Arial" w:eastAsia="Arial" w:hAnsi="Arial" w:cs="Arial"/>
              </w:rPr>
            </w:pPr>
            <w:r>
              <w:rPr>
                <w:rFonts w:ascii="Arial" w:eastAsia="Arial" w:hAnsi="Arial" w:cs="Arial"/>
                <w:i/>
                <w:iCs/>
              </w:rPr>
              <w:t>p</w:t>
            </w:r>
            <w:r>
              <w:rPr>
                <w:rFonts w:ascii="Arial" w:eastAsia="Arial" w:hAnsi="Arial" w:cs="Arial"/>
              </w:rPr>
              <w:t>= .001</w:t>
            </w:r>
          </w:p>
        </w:tc>
      </w:tr>
      <w:tr w:rsidR="00E7667D" w14:paraId="17FAD004" w14:textId="77777777">
        <w:tc>
          <w:tcPr>
            <w:tcW w:w="3375" w:type="dxa"/>
            <w:tcBorders>
              <w:left w:val="single" w:sz="8" w:space="0" w:color="FFFFFF"/>
              <w:bottom w:val="single" w:sz="4" w:space="0" w:color="FFFFFF"/>
              <w:right w:val="single" w:sz="8" w:space="0" w:color="FFFFFF"/>
            </w:tcBorders>
          </w:tcPr>
          <w:p w14:paraId="77557F6F" w14:textId="77777777" w:rsidR="00E7667D" w:rsidRDefault="002E40EE">
            <w:pPr>
              <w:rPr>
                <w:rFonts w:ascii="Arial" w:eastAsia="Arial" w:hAnsi="Arial" w:cs="Arial"/>
                <w:b/>
                <w:bCs/>
              </w:rPr>
            </w:pPr>
            <w:r>
              <w:rPr>
                <w:rFonts w:ascii="Arial" w:eastAsia="Arial" w:hAnsi="Arial" w:cs="Arial"/>
                <w:b/>
                <w:bCs/>
              </w:rPr>
              <w:t xml:space="preserve">Debriefing </w:t>
            </w:r>
          </w:p>
        </w:tc>
        <w:tc>
          <w:tcPr>
            <w:tcW w:w="2805"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2606CB99" w14:textId="77777777" w:rsidR="00E7667D" w:rsidRDefault="002E40EE">
            <w:pPr>
              <w:widowControl w:val="0"/>
              <w:spacing w:line="276" w:lineRule="auto"/>
              <w:rPr>
                <w:rFonts w:ascii="Arial" w:eastAsia="Arial" w:hAnsi="Arial" w:cs="Arial"/>
              </w:rPr>
            </w:pPr>
            <w:r>
              <w:rPr>
                <w:rFonts w:ascii="Arial" w:eastAsia="Arial" w:hAnsi="Arial" w:cs="Arial"/>
              </w:rPr>
              <w:t>Correlation Coefficient</w:t>
            </w:r>
          </w:p>
        </w:tc>
        <w:tc>
          <w:tcPr>
            <w:tcW w:w="2460"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6DBD733D" w14:textId="77777777" w:rsidR="00E7667D" w:rsidRDefault="002E40EE">
            <w:pPr>
              <w:widowControl w:val="0"/>
              <w:spacing w:line="276" w:lineRule="auto"/>
              <w:jc w:val="right"/>
              <w:rPr>
                <w:rFonts w:ascii="Arial" w:eastAsia="Arial" w:hAnsi="Arial" w:cs="Arial"/>
              </w:rPr>
            </w:pPr>
            <w:r>
              <w:rPr>
                <w:rFonts w:ascii="Arial" w:eastAsia="Arial" w:hAnsi="Arial" w:cs="Arial"/>
                <w:i/>
                <w:iCs/>
              </w:rPr>
              <w:t>r</w:t>
            </w:r>
            <w:r>
              <w:rPr>
                <w:rFonts w:ascii="Arial" w:eastAsia="Arial" w:hAnsi="Arial" w:cs="Arial"/>
                <w:i/>
                <w:iCs/>
                <w:color w:val="0A0A0A"/>
                <w:highlight w:val="white"/>
              </w:rPr>
              <w:t>ₛ</w:t>
            </w:r>
            <w:r>
              <w:rPr>
                <w:rFonts w:ascii="Arial" w:eastAsia="Arial" w:hAnsi="Arial" w:cs="Arial"/>
                <w:color w:val="0A0A0A"/>
                <w:highlight w:val="white"/>
              </w:rPr>
              <w:t xml:space="preserve">= </w:t>
            </w:r>
            <w:r>
              <w:rPr>
                <w:rFonts w:ascii="Arial" w:eastAsia="Arial" w:hAnsi="Arial" w:cs="Arial"/>
              </w:rPr>
              <w:t>-0.049</w:t>
            </w:r>
          </w:p>
        </w:tc>
      </w:tr>
      <w:tr w:rsidR="00E7667D" w14:paraId="0E466F59" w14:textId="77777777">
        <w:tc>
          <w:tcPr>
            <w:tcW w:w="3375" w:type="dxa"/>
            <w:tcBorders>
              <w:top w:val="single" w:sz="4"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0C0AEFD0" w14:textId="77777777" w:rsidR="00E7667D" w:rsidRDefault="00E7667D">
            <w:pPr>
              <w:widowControl w:val="0"/>
              <w:spacing w:line="276" w:lineRule="auto"/>
              <w:rPr>
                <w:rFonts w:ascii="Arial" w:eastAsia="Arial" w:hAnsi="Arial" w:cs="Arial"/>
              </w:rPr>
            </w:pPr>
          </w:p>
        </w:tc>
        <w:tc>
          <w:tcPr>
            <w:tcW w:w="2805"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1A9EC78C" w14:textId="77777777" w:rsidR="00E7667D" w:rsidRDefault="002E40EE">
            <w:pPr>
              <w:widowControl w:val="0"/>
              <w:spacing w:line="276" w:lineRule="auto"/>
              <w:rPr>
                <w:rFonts w:ascii="Arial" w:eastAsia="Arial" w:hAnsi="Arial" w:cs="Arial"/>
              </w:rPr>
            </w:pPr>
            <w:r>
              <w:rPr>
                <w:rFonts w:ascii="Arial" w:eastAsia="Arial" w:hAnsi="Arial" w:cs="Arial"/>
              </w:rPr>
              <w:t>Sig. (2-tailed)</w:t>
            </w:r>
          </w:p>
        </w:tc>
        <w:tc>
          <w:tcPr>
            <w:tcW w:w="2460"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5859F630" w14:textId="77777777" w:rsidR="00E7667D" w:rsidRDefault="002E40EE">
            <w:pPr>
              <w:widowControl w:val="0"/>
              <w:spacing w:line="276" w:lineRule="auto"/>
              <w:jc w:val="right"/>
              <w:rPr>
                <w:rFonts w:ascii="Arial" w:eastAsia="Arial" w:hAnsi="Arial" w:cs="Arial"/>
              </w:rPr>
            </w:pPr>
            <w:r>
              <w:rPr>
                <w:rFonts w:ascii="Arial" w:eastAsia="Arial" w:hAnsi="Arial" w:cs="Arial"/>
                <w:i/>
                <w:iCs/>
              </w:rPr>
              <w:t>p</w:t>
            </w:r>
            <w:r>
              <w:rPr>
                <w:rFonts w:ascii="Arial" w:eastAsia="Arial" w:hAnsi="Arial" w:cs="Arial"/>
              </w:rPr>
              <w:t>= 0.415</w:t>
            </w:r>
          </w:p>
        </w:tc>
      </w:tr>
    </w:tbl>
    <w:p w14:paraId="3F2A6FFD" w14:textId="77777777" w:rsidR="00E7667D" w:rsidRDefault="002E40EE">
      <w:pPr>
        <w:spacing w:before="240"/>
        <w:rPr>
          <w:rFonts w:ascii="Arial" w:eastAsia="Arial" w:hAnsi="Arial" w:cs="Arial"/>
        </w:rPr>
      </w:pPr>
      <w:r>
        <w:rPr>
          <w:rFonts w:ascii="Arial" w:eastAsia="Arial" w:hAnsi="Arial" w:cs="Arial"/>
          <w:i/>
          <w:iCs/>
        </w:rPr>
        <w:t>Correlation is significant at the 0.01 level (2-tailed</w:t>
      </w:r>
      <w:r>
        <w:rPr>
          <w:rFonts w:ascii="Arial" w:eastAsia="Arial" w:hAnsi="Arial" w:cs="Arial"/>
          <w:b/>
          <w:bCs/>
          <w:i/>
          <w:iCs/>
        </w:rPr>
        <w:t>)</w:t>
      </w:r>
    </w:p>
    <w:p w14:paraId="5A1721C3" w14:textId="77777777" w:rsidR="00E7667D" w:rsidRDefault="00E7667D">
      <w:pPr>
        <w:rPr>
          <w:rFonts w:ascii="Arial" w:eastAsia="Arial" w:hAnsi="Arial" w:cs="Arial"/>
          <w:b/>
          <w:bCs/>
        </w:rPr>
      </w:pPr>
    </w:p>
    <w:p w14:paraId="44772269" w14:textId="77777777" w:rsidR="00E7667D" w:rsidRDefault="002E40EE">
      <w:pPr>
        <w:rPr>
          <w:rFonts w:ascii="Arial" w:eastAsia="Arial" w:hAnsi="Arial" w:cs="Arial"/>
          <w:b/>
          <w:bCs/>
        </w:rPr>
      </w:pPr>
      <w:r>
        <w:rPr>
          <w:rFonts w:ascii="Arial" w:eastAsia="Arial" w:hAnsi="Arial" w:cs="Arial"/>
          <w:b/>
          <w:bCs/>
        </w:rPr>
        <w:t>Table 6.</w:t>
      </w:r>
    </w:p>
    <w:p w14:paraId="296FF78E" w14:textId="77777777" w:rsidR="00E7667D" w:rsidRDefault="002E40EE">
      <w:pPr>
        <w:rPr>
          <w:rFonts w:ascii="Arial" w:eastAsia="Arial" w:hAnsi="Arial" w:cs="Arial"/>
          <w:b/>
          <w:bCs/>
        </w:rPr>
      </w:pPr>
      <w:r>
        <w:rPr>
          <w:rFonts w:ascii="Arial" w:eastAsia="Arial" w:hAnsi="Arial" w:cs="Arial"/>
          <w:b/>
          <w:bCs/>
        </w:rPr>
        <w:t>Profile of the Participants</w:t>
      </w:r>
    </w:p>
    <w:tbl>
      <w:tblPr>
        <w:tblStyle w:val="a7"/>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505"/>
        <w:gridCol w:w="3645"/>
      </w:tblGrid>
      <w:tr w:rsidR="00E7667D" w14:paraId="393A97C7" w14:textId="77777777">
        <w:tc>
          <w:tcPr>
            <w:tcW w:w="2385" w:type="dxa"/>
            <w:tcBorders>
              <w:left w:val="nil"/>
              <w:right w:val="nil"/>
            </w:tcBorders>
            <w:shd w:val="clear" w:color="auto" w:fill="FFFFFF"/>
            <w:tcMar>
              <w:top w:w="100" w:type="dxa"/>
              <w:left w:w="100" w:type="dxa"/>
              <w:bottom w:w="100" w:type="dxa"/>
              <w:right w:w="100" w:type="dxa"/>
            </w:tcMar>
            <w:vAlign w:val="bottom"/>
          </w:tcPr>
          <w:p w14:paraId="4778BB28" w14:textId="77777777" w:rsidR="00E7667D" w:rsidRDefault="002E40EE">
            <w:pPr>
              <w:rPr>
                <w:rFonts w:ascii="Arial" w:eastAsia="Arial" w:hAnsi="Arial" w:cs="Arial"/>
              </w:rPr>
            </w:pPr>
            <w:r>
              <w:rPr>
                <w:rFonts w:ascii="Arial" w:eastAsia="Arial" w:hAnsi="Arial" w:cs="Arial"/>
              </w:rPr>
              <w:t>Participant ID</w:t>
            </w:r>
          </w:p>
        </w:tc>
        <w:tc>
          <w:tcPr>
            <w:tcW w:w="2505" w:type="dxa"/>
            <w:tcBorders>
              <w:left w:val="nil"/>
              <w:right w:val="nil"/>
            </w:tcBorders>
            <w:shd w:val="clear" w:color="auto" w:fill="FFFFFF"/>
            <w:tcMar>
              <w:top w:w="100" w:type="dxa"/>
              <w:left w:w="100" w:type="dxa"/>
              <w:bottom w:w="100" w:type="dxa"/>
              <w:right w:w="100" w:type="dxa"/>
            </w:tcMar>
            <w:vAlign w:val="bottom"/>
          </w:tcPr>
          <w:p w14:paraId="7DB0CCB0" w14:textId="77777777" w:rsidR="00E7667D" w:rsidRDefault="002E40EE">
            <w:pPr>
              <w:rPr>
                <w:rFonts w:ascii="Arial" w:eastAsia="Arial" w:hAnsi="Arial" w:cs="Arial"/>
              </w:rPr>
            </w:pPr>
            <w:r>
              <w:rPr>
                <w:rFonts w:ascii="Arial" w:eastAsia="Arial" w:hAnsi="Arial" w:cs="Arial"/>
              </w:rPr>
              <w:t>Age</w:t>
            </w:r>
          </w:p>
        </w:tc>
        <w:tc>
          <w:tcPr>
            <w:tcW w:w="3645" w:type="dxa"/>
            <w:tcBorders>
              <w:left w:val="nil"/>
              <w:right w:val="nil"/>
            </w:tcBorders>
            <w:shd w:val="clear" w:color="auto" w:fill="FFFFFF"/>
            <w:tcMar>
              <w:top w:w="100" w:type="dxa"/>
              <w:left w:w="100" w:type="dxa"/>
              <w:bottom w:w="100" w:type="dxa"/>
              <w:right w:w="100" w:type="dxa"/>
            </w:tcMar>
            <w:vAlign w:val="bottom"/>
          </w:tcPr>
          <w:p w14:paraId="02A97001" w14:textId="77777777" w:rsidR="00E7667D" w:rsidRDefault="002E40EE">
            <w:pPr>
              <w:rPr>
                <w:rFonts w:ascii="Arial" w:eastAsia="Arial" w:hAnsi="Arial" w:cs="Arial"/>
              </w:rPr>
            </w:pPr>
            <w:r>
              <w:rPr>
                <w:rFonts w:ascii="Arial" w:eastAsia="Arial" w:hAnsi="Arial" w:cs="Arial"/>
              </w:rPr>
              <w:t>Year Level</w:t>
            </w:r>
          </w:p>
        </w:tc>
      </w:tr>
      <w:tr w:rsidR="00E7667D" w14:paraId="4441CF4B" w14:textId="77777777">
        <w:tc>
          <w:tcPr>
            <w:tcW w:w="2385" w:type="dxa"/>
            <w:tcBorders>
              <w:left w:val="nil"/>
              <w:bottom w:val="nil"/>
              <w:right w:val="nil"/>
            </w:tcBorders>
            <w:shd w:val="clear" w:color="auto" w:fill="FFFFFF"/>
            <w:tcMar>
              <w:top w:w="100" w:type="dxa"/>
              <w:left w:w="100" w:type="dxa"/>
              <w:bottom w:w="100" w:type="dxa"/>
              <w:right w:w="100" w:type="dxa"/>
            </w:tcMar>
            <w:vAlign w:val="bottom"/>
          </w:tcPr>
          <w:p w14:paraId="17DD76BA" w14:textId="77777777" w:rsidR="00E7667D" w:rsidRDefault="002E40EE">
            <w:pPr>
              <w:rPr>
                <w:rFonts w:ascii="Arial" w:eastAsia="Arial" w:hAnsi="Arial" w:cs="Arial"/>
              </w:rPr>
            </w:pPr>
            <w:r>
              <w:rPr>
                <w:rFonts w:ascii="Arial" w:eastAsia="Arial" w:hAnsi="Arial" w:cs="Arial"/>
              </w:rPr>
              <w:t>P1</w:t>
            </w:r>
          </w:p>
        </w:tc>
        <w:tc>
          <w:tcPr>
            <w:tcW w:w="2505" w:type="dxa"/>
            <w:tcBorders>
              <w:left w:val="nil"/>
              <w:bottom w:val="nil"/>
              <w:right w:val="nil"/>
            </w:tcBorders>
            <w:shd w:val="clear" w:color="auto" w:fill="FFFFFF"/>
            <w:tcMar>
              <w:top w:w="100" w:type="dxa"/>
              <w:left w:w="100" w:type="dxa"/>
              <w:bottom w:w="100" w:type="dxa"/>
              <w:right w:w="100" w:type="dxa"/>
            </w:tcMar>
            <w:vAlign w:val="bottom"/>
          </w:tcPr>
          <w:p w14:paraId="2620885A" w14:textId="77777777" w:rsidR="00E7667D" w:rsidRDefault="002E40EE">
            <w:pPr>
              <w:rPr>
                <w:rFonts w:ascii="Arial" w:eastAsia="Arial" w:hAnsi="Arial" w:cs="Arial"/>
              </w:rPr>
            </w:pPr>
            <w:r>
              <w:rPr>
                <w:rFonts w:ascii="Arial" w:eastAsia="Arial" w:hAnsi="Arial" w:cs="Arial"/>
              </w:rPr>
              <w:t>21</w:t>
            </w:r>
          </w:p>
        </w:tc>
        <w:tc>
          <w:tcPr>
            <w:tcW w:w="3645" w:type="dxa"/>
            <w:tcBorders>
              <w:left w:val="nil"/>
              <w:bottom w:val="nil"/>
              <w:right w:val="nil"/>
            </w:tcBorders>
            <w:shd w:val="clear" w:color="auto" w:fill="FFFFFF"/>
            <w:tcMar>
              <w:top w:w="100" w:type="dxa"/>
              <w:left w:w="100" w:type="dxa"/>
              <w:bottom w:w="100" w:type="dxa"/>
              <w:right w:w="100" w:type="dxa"/>
            </w:tcMar>
            <w:vAlign w:val="bottom"/>
          </w:tcPr>
          <w:p w14:paraId="491BA2D0" w14:textId="77777777" w:rsidR="00E7667D" w:rsidRDefault="002E40EE">
            <w:pPr>
              <w:rPr>
                <w:rFonts w:ascii="Arial" w:eastAsia="Arial" w:hAnsi="Arial" w:cs="Arial"/>
              </w:rPr>
            </w:pPr>
            <w:r>
              <w:rPr>
                <w:rFonts w:ascii="Arial" w:eastAsia="Arial" w:hAnsi="Arial" w:cs="Arial"/>
              </w:rPr>
              <w:t>Third Year</w:t>
            </w:r>
          </w:p>
        </w:tc>
      </w:tr>
      <w:tr w:rsidR="00E7667D" w14:paraId="12494275" w14:textId="77777777">
        <w:tc>
          <w:tcPr>
            <w:tcW w:w="2385" w:type="dxa"/>
            <w:tcBorders>
              <w:top w:val="nil"/>
              <w:left w:val="nil"/>
              <w:bottom w:val="nil"/>
              <w:right w:val="nil"/>
            </w:tcBorders>
            <w:shd w:val="clear" w:color="auto" w:fill="FFFFFF"/>
            <w:tcMar>
              <w:top w:w="100" w:type="dxa"/>
              <w:left w:w="100" w:type="dxa"/>
              <w:bottom w:w="100" w:type="dxa"/>
              <w:right w:w="100" w:type="dxa"/>
            </w:tcMar>
            <w:vAlign w:val="bottom"/>
          </w:tcPr>
          <w:p w14:paraId="2BBA3FE5" w14:textId="77777777" w:rsidR="00E7667D" w:rsidRDefault="002E40EE">
            <w:pPr>
              <w:rPr>
                <w:rFonts w:ascii="Arial" w:eastAsia="Arial" w:hAnsi="Arial" w:cs="Arial"/>
              </w:rPr>
            </w:pPr>
            <w:r>
              <w:rPr>
                <w:rFonts w:ascii="Arial" w:eastAsia="Arial" w:hAnsi="Arial" w:cs="Arial"/>
              </w:rPr>
              <w:lastRenderedPageBreak/>
              <w:t>P2</w:t>
            </w:r>
          </w:p>
        </w:tc>
        <w:tc>
          <w:tcPr>
            <w:tcW w:w="2505" w:type="dxa"/>
            <w:tcBorders>
              <w:top w:val="nil"/>
              <w:left w:val="nil"/>
              <w:bottom w:val="nil"/>
              <w:right w:val="nil"/>
            </w:tcBorders>
            <w:shd w:val="clear" w:color="auto" w:fill="FFFFFF"/>
            <w:tcMar>
              <w:top w:w="100" w:type="dxa"/>
              <w:left w:w="100" w:type="dxa"/>
              <w:bottom w:w="100" w:type="dxa"/>
              <w:right w:w="100" w:type="dxa"/>
            </w:tcMar>
            <w:vAlign w:val="bottom"/>
          </w:tcPr>
          <w:p w14:paraId="23321141" w14:textId="77777777" w:rsidR="00E7667D" w:rsidRDefault="002E40EE">
            <w:pPr>
              <w:rPr>
                <w:rFonts w:ascii="Arial" w:eastAsia="Arial" w:hAnsi="Arial" w:cs="Arial"/>
              </w:rPr>
            </w:pPr>
            <w:r>
              <w:rPr>
                <w:rFonts w:ascii="Arial" w:eastAsia="Arial" w:hAnsi="Arial" w:cs="Arial"/>
              </w:rPr>
              <w:t>22</w:t>
            </w:r>
          </w:p>
        </w:tc>
        <w:tc>
          <w:tcPr>
            <w:tcW w:w="3645" w:type="dxa"/>
            <w:tcBorders>
              <w:top w:val="nil"/>
              <w:left w:val="nil"/>
              <w:bottom w:val="nil"/>
              <w:right w:val="nil"/>
            </w:tcBorders>
            <w:shd w:val="clear" w:color="auto" w:fill="FFFFFF"/>
            <w:tcMar>
              <w:top w:w="100" w:type="dxa"/>
              <w:left w:w="100" w:type="dxa"/>
              <w:bottom w:w="100" w:type="dxa"/>
              <w:right w:w="100" w:type="dxa"/>
            </w:tcMar>
            <w:vAlign w:val="bottom"/>
          </w:tcPr>
          <w:p w14:paraId="52CCB504" w14:textId="77777777" w:rsidR="00E7667D" w:rsidRDefault="002E40EE">
            <w:pPr>
              <w:rPr>
                <w:rFonts w:ascii="Arial" w:eastAsia="Arial" w:hAnsi="Arial" w:cs="Arial"/>
              </w:rPr>
            </w:pPr>
            <w:r>
              <w:rPr>
                <w:rFonts w:ascii="Arial" w:eastAsia="Arial" w:hAnsi="Arial" w:cs="Arial"/>
              </w:rPr>
              <w:t>Fourth Year</w:t>
            </w:r>
          </w:p>
        </w:tc>
      </w:tr>
      <w:tr w:rsidR="00E7667D" w14:paraId="1DC12DAC" w14:textId="77777777">
        <w:tc>
          <w:tcPr>
            <w:tcW w:w="2385" w:type="dxa"/>
            <w:tcBorders>
              <w:top w:val="nil"/>
              <w:left w:val="nil"/>
              <w:bottom w:val="nil"/>
              <w:right w:val="nil"/>
            </w:tcBorders>
            <w:shd w:val="clear" w:color="auto" w:fill="FFFFFF"/>
            <w:tcMar>
              <w:top w:w="100" w:type="dxa"/>
              <w:left w:w="100" w:type="dxa"/>
              <w:bottom w:w="100" w:type="dxa"/>
              <w:right w:w="100" w:type="dxa"/>
            </w:tcMar>
            <w:vAlign w:val="bottom"/>
          </w:tcPr>
          <w:p w14:paraId="1F873A7A" w14:textId="77777777" w:rsidR="00E7667D" w:rsidRDefault="002E40EE">
            <w:pPr>
              <w:rPr>
                <w:rFonts w:ascii="Arial" w:eastAsia="Arial" w:hAnsi="Arial" w:cs="Arial"/>
              </w:rPr>
            </w:pPr>
            <w:r>
              <w:rPr>
                <w:rFonts w:ascii="Arial" w:eastAsia="Arial" w:hAnsi="Arial" w:cs="Arial"/>
              </w:rPr>
              <w:t>P3</w:t>
            </w:r>
          </w:p>
        </w:tc>
        <w:tc>
          <w:tcPr>
            <w:tcW w:w="2505" w:type="dxa"/>
            <w:tcBorders>
              <w:top w:val="nil"/>
              <w:left w:val="nil"/>
              <w:bottom w:val="nil"/>
              <w:right w:val="nil"/>
            </w:tcBorders>
            <w:shd w:val="clear" w:color="auto" w:fill="FFFFFF"/>
            <w:tcMar>
              <w:top w:w="100" w:type="dxa"/>
              <w:left w:w="100" w:type="dxa"/>
              <w:bottom w:w="100" w:type="dxa"/>
              <w:right w:w="100" w:type="dxa"/>
            </w:tcMar>
            <w:vAlign w:val="bottom"/>
          </w:tcPr>
          <w:p w14:paraId="21DB2819" w14:textId="77777777" w:rsidR="00E7667D" w:rsidRDefault="002E40EE">
            <w:pPr>
              <w:rPr>
                <w:rFonts w:ascii="Arial" w:eastAsia="Arial" w:hAnsi="Arial" w:cs="Arial"/>
              </w:rPr>
            </w:pPr>
            <w:r>
              <w:rPr>
                <w:rFonts w:ascii="Arial" w:eastAsia="Arial" w:hAnsi="Arial" w:cs="Arial"/>
              </w:rPr>
              <w:t>21</w:t>
            </w:r>
          </w:p>
        </w:tc>
        <w:tc>
          <w:tcPr>
            <w:tcW w:w="3645" w:type="dxa"/>
            <w:tcBorders>
              <w:top w:val="nil"/>
              <w:left w:val="nil"/>
              <w:bottom w:val="nil"/>
              <w:right w:val="nil"/>
            </w:tcBorders>
            <w:shd w:val="clear" w:color="auto" w:fill="FFFFFF"/>
            <w:tcMar>
              <w:top w:w="100" w:type="dxa"/>
              <w:left w:w="100" w:type="dxa"/>
              <w:bottom w:w="100" w:type="dxa"/>
              <w:right w:w="100" w:type="dxa"/>
            </w:tcMar>
            <w:vAlign w:val="bottom"/>
          </w:tcPr>
          <w:p w14:paraId="6F9E0F63" w14:textId="77777777" w:rsidR="00E7667D" w:rsidRDefault="002E40EE">
            <w:pPr>
              <w:rPr>
                <w:rFonts w:ascii="Arial" w:eastAsia="Arial" w:hAnsi="Arial" w:cs="Arial"/>
              </w:rPr>
            </w:pPr>
            <w:r>
              <w:rPr>
                <w:rFonts w:ascii="Arial" w:eastAsia="Arial" w:hAnsi="Arial" w:cs="Arial"/>
              </w:rPr>
              <w:t>Third Year</w:t>
            </w:r>
          </w:p>
        </w:tc>
      </w:tr>
      <w:tr w:rsidR="00E7667D" w14:paraId="71DC9761" w14:textId="77777777">
        <w:tc>
          <w:tcPr>
            <w:tcW w:w="2385" w:type="dxa"/>
            <w:tcBorders>
              <w:top w:val="nil"/>
              <w:left w:val="nil"/>
              <w:bottom w:val="nil"/>
              <w:right w:val="nil"/>
            </w:tcBorders>
            <w:shd w:val="clear" w:color="auto" w:fill="FFFFFF"/>
            <w:tcMar>
              <w:top w:w="100" w:type="dxa"/>
              <w:left w:w="100" w:type="dxa"/>
              <w:bottom w:w="100" w:type="dxa"/>
              <w:right w:w="100" w:type="dxa"/>
            </w:tcMar>
            <w:vAlign w:val="bottom"/>
          </w:tcPr>
          <w:p w14:paraId="1701D7C2" w14:textId="77777777" w:rsidR="00E7667D" w:rsidRDefault="002E40EE">
            <w:pPr>
              <w:rPr>
                <w:rFonts w:ascii="Arial" w:eastAsia="Arial" w:hAnsi="Arial" w:cs="Arial"/>
              </w:rPr>
            </w:pPr>
            <w:r>
              <w:rPr>
                <w:rFonts w:ascii="Arial" w:eastAsia="Arial" w:hAnsi="Arial" w:cs="Arial"/>
              </w:rPr>
              <w:t>P4</w:t>
            </w:r>
          </w:p>
        </w:tc>
        <w:tc>
          <w:tcPr>
            <w:tcW w:w="2505" w:type="dxa"/>
            <w:tcBorders>
              <w:top w:val="nil"/>
              <w:left w:val="nil"/>
              <w:bottom w:val="nil"/>
              <w:right w:val="nil"/>
            </w:tcBorders>
            <w:shd w:val="clear" w:color="auto" w:fill="FFFFFF"/>
            <w:tcMar>
              <w:top w:w="100" w:type="dxa"/>
              <w:left w:w="100" w:type="dxa"/>
              <w:bottom w:w="100" w:type="dxa"/>
              <w:right w:w="100" w:type="dxa"/>
            </w:tcMar>
            <w:vAlign w:val="bottom"/>
          </w:tcPr>
          <w:p w14:paraId="3CBEF0C3" w14:textId="77777777" w:rsidR="00E7667D" w:rsidRDefault="002E40EE">
            <w:pPr>
              <w:rPr>
                <w:rFonts w:ascii="Arial" w:eastAsia="Arial" w:hAnsi="Arial" w:cs="Arial"/>
              </w:rPr>
            </w:pPr>
            <w:r>
              <w:rPr>
                <w:rFonts w:ascii="Arial" w:eastAsia="Arial" w:hAnsi="Arial" w:cs="Arial"/>
              </w:rPr>
              <w:t>22</w:t>
            </w:r>
          </w:p>
        </w:tc>
        <w:tc>
          <w:tcPr>
            <w:tcW w:w="3645" w:type="dxa"/>
            <w:tcBorders>
              <w:top w:val="nil"/>
              <w:left w:val="nil"/>
              <w:bottom w:val="nil"/>
              <w:right w:val="nil"/>
            </w:tcBorders>
            <w:shd w:val="clear" w:color="auto" w:fill="FFFFFF"/>
            <w:tcMar>
              <w:top w:w="100" w:type="dxa"/>
              <w:left w:w="100" w:type="dxa"/>
              <w:bottom w:w="100" w:type="dxa"/>
              <w:right w:w="100" w:type="dxa"/>
            </w:tcMar>
            <w:vAlign w:val="bottom"/>
          </w:tcPr>
          <w:p w14:paraId="04274707" w14:textId="77777777" w:rsidR="00E7667D" w:rsidRDefault="002E40EE">
            <w:pPr>
              <w:rPr>
                <w:rFonts w:ascii="Arial" w:eastAsia="Arial" w:hAnsi="Arial" w:cs="Arial"/>
              </w:rPr>
            </w:pPr>
            <w:r>
              <w:rPr>
                <w:rFonts w:ascii="Arial" w:eastAsia="Arial" w:hAnsi="Arial" w:cs="Arial"/>
              </w:rPr>
              <w:t>Fourth Year</w:t>
            </w:r>
          </w:p>
        </w:tc>
      </w:tr>
      <w:tr w:rsidR="00E7667D" w14:paraId="60620AB4" w14:textId="77777777">
        <w:tc>
          <w:tcPr>
            <w:tcW w:w="2385" w:type="dxa"/>
            <w:tcBorders>
              <w:top w:val="nil"/>
              <w:left w:val="nil"/>
              <w:bottom w:val="nil"/>
              <w:right w:val="nil"/>
            </w:tcBorders>
            <w:shd w:val="clear" w:color="auto" w:fill="FFFFFF"/>
            <w:tcMar>
              <w:top w:w="100" w:type="dxa"/>
              <w:left w:w="100" w:type="dxa"/>
              <w:bottom w:w="100" w:type="dxa"/>
              <w:right w:w="100" w:type="dxa"/>
            </w:tcMar>
            <w:vAlign w:val="bottom"/>
          </w:tcPr>
          <w:p w14:paraId="36A85B26" w14:textId="77777777" w:rsidR="00E7667D" w:rsidRDefault="002E40EE">
            <w:pPr>
              <w:rPr>
                <w:rFonts w:ascii="Arial" w:eastAsia="Arial" w:hAnsi="Arial" w:cs="Arial"/>
              </w:rPr>
            </w:pPr>
            <w:r>
              <w:rPr>
                <w:rFonts w:ascii="Arial" w:eastAsia="Arial" w:hAnsi="Arial" w:cs="Arial"/>
              </w:rPr>
              <w:t>P5</w:t>
            </w:r>
          </w:p>
        </w:tc>
        <w:tc>
          <w:tcPr>
            <w:tcW w:w="2505" w:type="dxa"/>
            <w:tcBorders>
              <w:top w:val="nil"/>
              <w:left w:val="nil"/>
              <w:bottom w:val="nil"/>
              <w:right w:val="nil"/>
            </w:tcBorders>
            <w:shd w:val="clear" w:color="auto" w:fill="FFFFFF"/>
            <w:tcMar>
              <w:top w:w="100" w:type="dxa"/>
              <w:left w:w="100" w:type="dxa"/>
              <w:bottom w:w="100" w:type="dxa"/>
              <w:right w:w="100" w:type="dxa"/>
            </w:tcMar>
            <w:vAlign w:val="bottom"/>
          </w:tcPr>
          <w:p w14:paraId="73BDA4D5" w14:textId="77777777" w:rsidR="00E7667D" w:rsidRDefault="002E40EE">
            <w:pPr>
              <w:rPr>
                <w:rFonts w:ascii="Arial" w:eastAsia="Arial" w:hAnsi="Arial" w:cs="Arial"/>
              </w:rPr>
            </w:pPr>
            <w:r>
              <w:rPr>
                <w:rFonts w:ascii="Arial" w:eastAsia="Arial" w:hAnsi="Arial" w:cs="Arial"/>
              </w:rPr>
              <w:t>21</w:t>
            </w:r>
          </w:p>
        </w:tc>
        <w:tc>
          <w:tcPr>
            <w:tcW w:w="3645" w:type="dxa"/>
            <w:tcBorders>
              <w:top w:val="nil"/>
              <w:left w:val="nil"/>
              <w:bottom w:val="nil"/>
              <w:right w:val="nil"/>
            </w:tcBorders>
            <w:shd w:val="clear" w:color="auto" w:fill="FFFFFF"/>
            <w:tcMar>
              <w:top w:w="100" w:type="dxa"/>
              <w:left w:w="100" w:type="dxa"/>
              <w:bottom w:w="100" w:type="dxa"/>
              <w:right w:w="100" w:type="dxa"/>
            </w:tcMar>
            <w:vAlign w:val="bottom"/>
          </w:tcPr>
          <w:p w14:paraId="4D696C06" w14:textId="77777777" w:rsidR="00E7667D" w:rsidRDefault="002E40EE">
            <w:pPr>
              <w:rPr>
                <w:rFonts w:ascii="Arial" w:eastAsia="Arial" w:hAnsi="Arial" w:cs="Arial"/>
              </w:rPr>
            </w:pPr>
            <w:r>
              <w:rPr>
                <w:rFonts w:ascii="Arial" w:eastAsia="Arial" w:hAnsi="Arial" w:cs="Arial"/>
              </w:rPr>
              <w:t>Third Year</w:t>
            </w:r>
          </w:p>
        </w:tc>
      </w:tr>
      <w:tr w:rsidR="00E7667D" w14:paraId="4AFDF61A" w14:textId="77777777">
        <w:tc>
          <w:tcPr>
            <w:tcW w:w="2385" w:type="dxa"/>
            <w:tcBorders>
              <w:top w:val="nil"/>
              <w:left w:val="nil"/>
              <w:bottom w:val="nil"/>
              <w:right w:val="nil"/>
            </w:tcBorders>
            <w:shd w:val="clear" w:color="auto" w:fill="FFFFFF"/>
            <w:tcMar>
              <w:top w:w="100" w:type="dxa"/>
              <w:left w:w="100" w:type="dxa"/>
              <w:bottom w:w="100" w:type="dxa"/>
              <w:right w:w="100" w:type="dxa"/>
            </w:tcMar>
            <w:vAlign w:val="bottom"/>
          </w:tcPr>
          <w:p w14:paraId="2C418424" w14:textId="77777777" w:rsidR="00E7667D" w:rsidRDefault="002E40EE">
            <w:pPr>
              <w:rPr>
                <w:rFonts w:ascii="Arial" w:eastAsia="Arial" w:hAnsi="Arial" w:cs="Arial"/>
              </w:rPr>
            </w:pPr>
            <w:r>
              <w:rPr>
                <w:rFonts w:ascii="Arial" w:eastAsia="Arial" w:hAnsi="Arial" w:cs="Arial"/>
              </w:rPr>
              <w:t>P6</w:t>
            </w:r>
          </w:p>
        </w:tc>
        <w:tc>
          <w:tcPr>
            <w:tcW w:w="2505" w:type="dxa"/>
            <w:tcBorders>
              <w:top w:val="nil"/>
              <w:left w:val="nil"/>
              <w:bottom w:val="nil"/>
              <w:right w:val="nil"/>
            </w:tcBorders>
            <w:shd w:val="clear" w:color="auto" w:fill="FFFFFF"/>
            <w:tcMar>
              <w:top w:w="100" w:type="dxa"/>
              <w:left w:w="100" w:type="dxa"/>
              <w:bottom w:w="100" w:type="dxa"/>
              <w:right w:w="100" w:type="dxa"/>
            </w:tcMar>
            <w:vAlign w:val="bottom"/>
          </w:tcPr>
          <w:p w14:paraId="6877305E" w14:textId="77777777" w:rsidR="00E7667D" w:rsidRDefault="002E40EE">
            <w:pPr>
              <w:rPr>
                <w:rFonts w:ascii="Arial" w:eastAsia="Arial" w:hAnsi="Arial" w:cs="Arial"/>
              </w:rPr>
            </w:pPr>
            <w:r>
              <w:rPr>
                <w:rFonts w:ascii="Arial" w:eastAsia="Arial" w:hAnsi="Arial" w:cs="Arial"/>
              </w:rPr>
              <w:t>21</w:t>
            </w:r>
          </w:p>
        </w:tc>
        <w:tc>
          <w:tcPr>
            <w:tcW w:w="3645" w:type="dxa"/>
            <w:tcBorders>
              <w:top w:val="nil"/>
              <w:left w:val="nil"/>
              <w:bottom w:val="nil"/>
              <w:right w:val="nil"/>
            </w:tcBorders>
            <w:shd w:val="clear" w:color="auto" w:fill="FFFFFF"/>
            <w:tcMar>
              <w:top w:w="100" w:type="dxa"/>
              <w:left w:w="100" w:type="dxa"/>
              <w:bottom w:w="100" w:type="dxa"/>
              <w:right w:w="100" w:type="dxa"/>
            </w:tcMar>
            <w:vAlign w:val="bottom"/>
          </w:tcPr>
          <w:p w14:paraId="3F877771" w14:textId="77777777" w:rsidR="00E7667D" w:rsidRDefault="002E40EE">
            <w:pPr>
              <w:rPr>
                <w:rFonts w:ascii="Arial" w:eastAsia="Arial" w:hAnsi="Arial" w:cs="Arial"/>
              </w:rPr>
            </w:pPr>
            <w:r>
              <w:rPr>
                <w:rFonts w:ascii="Arial" w:eastAsia="Arial" w:hAnsi="Arial" w:cs="Arial"/>
              </w:rPr>
              <w:t>Fourth Year</w:t>
            </w:r>
          </w:p>
        </w:tc>
      </w:tr>
      <w:tr w:rsidR="00E7667D" w14:paraId="182B6BF2" w14:textId="77777777">
        <w:tc>
          <w:tcPr>
            <w:tcW w:w="2385" w:type="dxa"/>
            <w:tcBorders>
              <w:top w:val="nil"/>
              <w:left w:val="nil"/>
              <w:right w:val="nil"/>
            </w:tcBorders>
            <w:shd w:val="clear" w:color="auto" w:fill="FFFFFF"/>
            <w:tcMar>
              <w:top w:w="100" w:type="dxa"/>
              <w:left w:w="100" w:type="dxa"/>
              <w:bottom w:w="100" w:type="dxa"/>
              <w:right w:w="100" w:type="dxa"/>
            </w:tcMar>
            <w:vAlign w:val="bottom"/>
          </w:tcPr>
          <w:p w14:paraId="0BD72B4D" w14:textId="77777777" w:rsidR="00E7667D" w:rsidRDefault="002E40EE">
            <w:pPr>
              <w:rPr>
                <w:rFonts w:ascii="Arial" w:eastAsia="Arial" w:hAnsi="Arial" w:cs="Arial"/>
              </w:rPr>
            </w:pPr>
            <w:r>
              <w:rPr>
                <w:rFonts w:ascii="Arial" w:eastAsia="Arial" w:hAnsi="Arial" w:cs="Arial"/>
              </w:rPr>
              <w:t>P7</w:t>
            </w:r>
          </w:p>
        </w:tc>
        <w:tc>
          <w:tcPr>
            <w:tcW w:w="2505" w:type="dxa"/>
            <w:tcBorders>
              <w:top w:val="nil"/>
              <w:left w:val="nil"/>
              <w:right w:val="nil"/>
            </w:tcBorders>
            <w:shd w:val="clear" w:color="auto" w:fill="FFFFFF"/>
            <w:tcMar>
              <w:top w:w="100" w:type="dxa"/>
              <w:left w:w="100" w:type="dxa"/>
              <w:bottom w:w="100" w:type="dxa"/>
              <w:right w:w="100" w:type="dxa"/>
            </w:tcMar>
            <w:vAlign w:val="bottom"/>
          </w:tcPr>
          <w:p w14:paraId="58A4D302" w14:textId="77777777" w:rsidR="00E7667D" w:rsidRDefault="002E40EE">
            <w:pPr>
              <w:rPr>
                <w:rFonts w:ascii="Arial" w:eastAsia="Arial" w:hAnsi="Arial" w:cs="Arial"/>
              </w:rPr>
            </w:pPr>
            <w:r>
              <w:rPr>
                <w:rFonts w:ascii="Arial" w:eastAsia="Arial" w:hAnsi="Arial" w:cs="Arial"/>
              </w:rPr>
              <w:t>21</w:t>
            </w:r>
          </w:p>
        </w:tc>
        <w:tc>
          <w:tcPr>
            <w:tcW w:w="3645" w:type="dxa"/>
            <w:tcBorders>
              <w:top w:val="nil"/>
              <w:left w:val="nil"/>
              <w:right w:val="nil"/>
            </w:tcBorders>
            <w:shd w:val="clear" w:color="auto" w:fill="FFFFFF"/>
            <w:tcMar>
              <w:top w:w="100" w:type="dxa"/>
              <w:left w:w="100" w:type="dxa"/>
              <w:bottom w:w="100" w:type="dxa"/>
              <w:right w:w="100" w:type="dxa"/>
            </w:tcMar>
            <w:vAlign w:val="bottom"/>
          </w:tcPr>
          <w:p w14:paraId="463FC9BF" w14:textId="77777777" w:rsidR="00E7667D" w:rsidRDefault="002E40EE">
            <w:pPr>
              <w:rPr>
                <w:rFonts w:ascii="Arial" w:eastAsia="Arial" w:hAnsi="Arial" w:cs="Arial"/>
              </w:rPr>
            </w:pPr>
            <w:r>
              <w:rPr>
                <w:rFonts w:ascii="Arial" w:eastAsia="Arial" w:hAnsi="Arial" w:cs="Arial"/>
              </w:rPr>
              <w:t>Third Year</w:t>
            </w:r>
          </w:p>
        </w:tc>
      </w:tr>
    </w:tbl>
    <w:p w14:paraId="54D8E84C" w14:textId="77777777" w:rsidR="00E7667D" w:rsidRDefault="00E7667D">
      <w:pPr>
        <w:keepNext/>
        <w:pBdr>
          <w:top w:val="nil"/>
          <w:left w:val="nil"/>
          <w:bottom w:val="nil"/>
          <w:right w:val="nil"/>
          <w:between w:val="nil"/>
        </w:pBdr>
        <w:jc w:val="both"/>
        <w:rPr>
          <w:rFonts w:ascii="Arial" w:eastAsia="Arial" w:hAnsi="Arial" w:cs="Arial"/>
          <w:b/>
          <w:bCs/>
          <w:smallCaps/>
          <w:sz w:val="22"/>
          <w:szCs w:val="22"/>
        </w:rPr>
      </w:pPr>
    </w:p>
    <w:p w14:paraId="20548D18" w14:textId="77777777" w:rsidR="00E7667D" w:rsidRDefault="002E40EE">
      <w:pPr>
        <w:rPr>
          <w:rFonts w:ascii="Arial" w:eastAsia="Arial" w:hAnsi="Arial" w:cs="Arial"/>
          <w:b/>
          <w:bCs/>
          <w:sz w:val="24"/>
          <w:szCs w:val="24"/>
        </w:rPr>
      </w:pPr>
      <w:r>
        <w:rPr>
          <w:rFonts w:ascii="Arial" w:eastAsia="Arial" w:hAnsi="Arial" w:cs="Arial"/>
          <w:b/>
          <w:bCs/>
          <w:sz w:val="24"/>
          <w:szCs w:val="24"/>
        </w:rPr>
        <w:t xml:space="preserve">4. </w:t>
      </w:r>
      <w:r>
        <w:rPr>
          <w:rFonts w:ascii="Arial" w:eastAsia="Arial" w:hAnsi="Arial" w:cs="Arial"/>
          <w:b/>
          <w:bCs/>
          <w:smallCaps/>
          <w:sz w:val="22"/>
          <w:szCs w:val="22"/>
        </w:rPr>
        <w:t>Conclusion</w:t>
      </w:r>
    </w:p>
    <w:p w14:paraId="66B59142" w14:textId="77777777" w:rsidR="00E7667D" w:rsidRDefault="00E7667D"/>
    <w:p w14:paraId="5E926C03" w14:textId="03C24FDA" w:rsidR="00E7667D" w:rsidRDefault="002E40EE">
      <w:pPr>
        <w:jc w:val="both"/>
      </w:pPr>
      <w:r>
        <w:t xml:space="preserve">​It is concluded that traumatic clinical experiences are a </w:t>
      </w:r>
      <w:bookmarkStart w:id="1" w:name="_GoBack"/>
      <w:bookmarkEnd w:id="1"/>
      <w:r w:rsidR="007C384A">
        <w:t>constant reality</w:t>
      </w:r>
      <w:r>
        <w:t xml:space="preserve"> for student nurses and have an extreme psychological impact on a number of students in the population. A direct relationship exists where increased exposure to clinical trauma results in higher levels of anxiety and secondary traumatic stress. Furthermore, the study concludes that there is no significant relationship between debriefing and anxiety. This suggests that while debriefing is truly comforting and useful for learning, its current implementation lacks the formal structure, timeliness, and depth required to produce reduced anxiety. Lastly, the shame linked to mental health struggles prevents students from seeking help, indicating that institutional support must change from informal sessions toward standardized, culturally relevant debriefing frameworks.</w:t>
      </w:r>
    </w:p>
    <w:p w14:paraId="3246A388" w14:textId="77777777" w:rsidR="00E7667D" w:rsidRDefault="00E7667D">
      <w:pPr>
        <w:pBdr>
          <w:top w:val="nil"/>
          <w:left w:val="nil"/>
          <w:bottom w:val="nil"/>
          <w:right w:val="nil"/>
          <w:between w:val="nil"/>
        </w:pBdr>
        <w:jc w:val="both"/>
        <w:rPr>
          <w:rFonts w:ascii="Arial" w:eastAsia="Arial" w:hAnsi="Arial" w:cs="Arial"/>
          <w:color w:val="000000"/>
        </w:rPr>
      </w:pPr>
    </w:p>
    <w:p w14:paraId="1ACA4921" w14:textId="77777777" w:rsidR="00E7667D" w:rsidRDefault="002E40EE">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14:paraId="5D643E52" w14:textId="77777777" w:rsidR="00E7667D" w:rsidRDefault="00E7667D">
      <w:pPr>
        <w:keepNext/>
        <w:pBdr>
          <w:top w:val="nil"/>
          <w:left w:val="nil"/>
          <w:bottom w:val="nil"/>
          <w:right w:val="nil"/>
          <w:between w:val="nil"/>
        </w:pBdr>
        <w:jc w:val="both"/>
        <w:rPr>
          <w:rFonts w:ascii="Arial" w:eastAsia="Arial" w:hAnsi="Arial" w:cs="Arial"/>
          <w:b/>
          <w:bCs/>
          <w:smallCaps/>
          <w:color w:val="000000"/>
          <w:sz w:val="22"/>
          <w:szCs w:val="22"/>
        </w:rPr>
      </w:pPr>
    </w:p>
    <w:p w14:paraId="69B7A6A1" w14:textId="77777777" w:rsidR="00E7667D" w:rsidRDefault="002E40EE">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Authors have declared that no competing interests exist.</w:t>
      </w:r>
    </w:p>
    <w:p w14:paraId="45805C55" w14:textId="77777777" w:rsidR="00E7667D" w:rsidRDefault="00E7667D">
      <w:pPr>
        <w:keepNext/>
        <w:pBdr>
          <w:top w:val="nil"/>
          <w:left w:val="nil"/>
          <w:bottom w:val="nil"/>
          <w:right w:val="nil"/>
          <w:between w:val="nil"/>
        </w:pBdr>
        <w:jc w:val="both"/>
        <w:rPr>
          <w:rFonts w:ascii="Arial" w:eastAsia="Arial" w:hAnsi="Arial" w:cs="Arial"/>
        </w:rPr>
      </w:pPr>
    </w:p>
    <w:p w14:paraId="7969C6CB" w14:textId="77777777" w:rsidR="00E7667D" w:rsidRDefault="00E7667D">
      <w:pPr>
        <w:keepNext/>
        <w:pBdr>
          <w:top w:val="nil"/>
          <w:left w:val="nil"/>
          <w:bottom w:val="nil"/>
          <w:right w:val="nil"/>
          <w:between w:val="nil"/>
        </w:pBdr>
        <w:jc w:val="both"/>
        <w:rPr>
          <w:rFonts w:ascii="Arial" w:eastAsia="Arial" w:hAnsi="Arial" w:cs="Arial"/>
          <w:color w:val="000000"/>
        </w:rPr>
      </w:pPr>
    </w:p>
    <w:p w14:paraId="69FC62CA" w14:textId="77777777" w:rsidR="00E7667D" w:rsidRDefault="002E40EE">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Consent </w:t>
      </w:r>
    </w:p>
    <w:p w14:paraId="1266C1C4" w14:textId="77777777" w:rsidR="00E7667D" w:rsidRDefault="00E7667D">
      <w:pPr>
        <w:keepNext/>
        <w:pBdr>
          <w:top w:val="nil"/>
          <w:left w:val="nil"/>
          <w:bottom w:val="nil"/>
          <w:right w:val="nil"/>
          <w:between w:val="nil"/>
        </w:pBdr>
        <w:jc w:val="both"/>
        <w:rPr>
          <w:rFonts w:ascii="Arial" w:eastAsia="Arial" w:hAnsi="Arial" w:cs="Arial"/>
          <w:b/>
          <w:bCs/>
          <w:smallCaps/>
          <w:sz w:val="22"/>
          <w:szCs w:val="22"/>
        </w:rPr>
      </w:pPr>
    </w:p>
    <w:p w14:paraId="0B2442A4" w14:textId="77777777" w:rsidR="00E7667D" w:rsidRDefault="002E40EE">
      <w:pPr>
        <w:keepNext/>
        <w:pBdr>
          <w:top w:val="nil"/>
          <w:left w:val="nil"/>
          <w:bottom w:val="nil"/>
          <w:right w:val="nil"/>
          <w:between w:val="nil"/>
        </w:pBdr>
        <w:jc w:val="both"/>
        <w:rPr>
          <w:rFonts w:ascii="Arial" w:eastAsia="Arial" w:hAnsi="Arial" w:cs="Arial"/>
        </w:rPr>
      </w:pPr>
      <w:r>
        <w:rPr>
          <w:rFonts w:ascii="Arial" w:eastAsia="Arial" w:hAnsi="Arial" w:cs="Arial"/>
        </w:rPr>
        <w:t>Prior to data collection, all participants were provided with a comprehensive explanation regarding the study’s purpose, procedures, potential risks, and their right to withdraw at any time without penalty. The participants in this study read and voluntarily signed a written informed consent form. To ensure confidentiality and anonymity, all personal identifiers were removed from the data during analysis and reporting.</w:t>
      </w:r>
    </w:p>
    <w:p w14:paraId="091D372B" w14:textId="77777777" w:rsidR="00E7667D" w:rsidRDefault="00E7667D">
      <w:pPr>
        <w:keepNext/>
        <w:pBdr>
          <w:top w:val="nil"/>
          <w:left w:val="nil"/>
          <w:bottom w:val="nil"/>
          <w:right w:val="nil"/>
          <w:between w:val="nil"/>
        </w:pBdr>
        <w:jc w:val="both"/>
        <w:rPr>
          <w:rFonts w:ascii="Arial" w:eastAsia="Arial" w:hAnsi="Arial" w:cs="Arial"/>
          <w:u w:val="single"/>
        </w:rPr>
      </w:pPr>
    </w:p>
    <w:p w14:paraId="40DA18D4" w14:textId="77777777" w:rsidR="00E7667D" w:rsidRDefault="002E40EE">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Ethical approval</w:t>
      </w:r>
    </w:p>
    <w:p w14:paraId="09F75D4D" w14:textId="77777777" w:rsidR="00E7667D" w:rsidRDefault="00E7667D">
      <w:pPr>
        <w:keepNext/>
        <w:pBdr>
          <w:top w:val="nil"/>
          <w:left w:val="nil"/>
          <w:bottom w:val="nil"/>
          <w:right w:val="nil"/>
          <w:between w:val="nil"/>
        </w:pBdr>
        <w:jc w:val="both"/>
        <w:rPr>
          <w:rFonts w:ascii="Arial" w:eastAsia="Arial" w:hAnsi="Arial" w:cs="Arial"/>
          <w:b/>
          <w:bCs/>
          <w:smallCaps/>
          <w:sz w:val="22"/>
          <w:szCs w:val="22"/>
        </w:rPr>
      </w:pPr>
    </w:p>
    <w:p w14:paraId="71C3161B" w14:textId="77777777" w:rsidR="00E7667D" w:rsidRDefault="002E40EE">
      <w:pPr>
        <w:keepNext/>
        <w:jc w:val="both"/>
        <w:rPr>
          <w:rFonts w:ascii="Arial" w:eastAsia="Arial" w:hAnsi="Arial" w:cs="Arial"/>
        </w:rPr>
      </w:pPr>
      <w:r>
        <w:rPr>
          <w:rFonts w:ascii="Arial" w:eastAsia="Arial" w:hAnsi="Arial" w:cs="Arial"/>
        </w:rPr>
        <w:t xml:space="preserve">Ethical clearance was reviewed and secured from Iloilo Doctors’ Institutional Research Ethics Committee (IDIREC) with the code IDIREC-2025-OI-196.  This was to ensure participant protection and research integrity prior to data collection. Written informed consent was obtained from every participant, clearly detailing the study’s purpose, procedures, risks, and their right to voluntary withdrawal at any time without penalty. The study was categorized as minimal risk. To address potential psychological distress from discussing traumatic events, a professional counselor or clinical instructor was on standby to provide support or referrals if needed. Confidentiality was strictly maintained by limiting data access to the research team. Anonymity was ensured by using pseudonyms or codes for qualitative transcripts and keeping quantitative surveys anonymous. All personal data were collected and handled in accordance </w:t>
      </w:r>
      <w:r>
        <w:rPr>
          <w:rFonts w:ascii="Arial" w:eastAsia="Arial" w:hAnsi="Arial" w:cs="Arial"/>
        </w:rPr>
        <w:lastRenderedPageBreak/>
        <w:t>with RA 10173 (Data Privacy Act of 2012). Digital data were encrypted, and all records are to be stored securely for two years following the study’s completion.</w:t>
      </w:r>
    </w:p>
    <w:p w14:paraId="5D0702C4" w14:textId="77777777" w:rsidR="00237494" w:rsidRDefault="00237494">
      <w:pPr>
        <w:keepNext/>
        <w:jc w:val="both"/>
        <w:rPr>
          <w:rFonts w:ascii="Arial" w:eastAsia="Arial" w:hAnsi="Arial" w:cs="Arial"/>
        </w:rPr>
      </w:pPr>
    </w:p>
    <w:p w14:paraId="04637075" w14:textId="77777777" w:rsidR="00237494" w:rsidRDefault="00237494">
      <w:pPr>
        <w:keepNext/>
        <w:jc w:val="both"/>
        <w:rPr>
          <w:rFonts w:ascii="Arial" w:eastAsia="Arial" w:hAnsi="Arial" w:cs="Arial"/>
        </w:rPr>
      </w:pPr>
    </w:p>
    <w:p w14:paraId="068A200C" w14:textId="77777777" w:rsidR="00237494" w:rsidRDefault="00237494">
      <w:pPr>
        <w:keepNext/>
        <w:jc w:val="both"/>
        <w:rPr>
          <w:rFonts w:ascii="Arial" w:eastAsia="Arial" w:hAnsi="Arial" w:cs="Arial"/>
        </w:rPr>
      </w:pPr>
    </w:p>
    <w:p w14:paraId="71B74CE1" w14:textId="77777777" w:rsidR="00237494" w:rsidRPr="00237494" w:rsidRDefault="00237494" w:rsidP="00237494">
      <w:pPr>
        <w:spacing w:after="200" w:line="276" w:lineRule="auto"/>
        <w:rPr>
          <w:rFonts w:ascii="Arial" w:eastAsia="Times New Roman" w:hAnsi="Arial" w:cs="Arial"/>
          <w:b/>
          <w:bCs/>
          <w:sz w:val="22"/>
          <w:szCs w:val="22"/>
          <w:lang w:val="en-GB" w:eastAsia="en-GB"/>
        </w:rPr>
      </w:pPr>
      <w:r w:rsidRPr="00237494">
        <w:rPr>
          <w:rFonts w:ascii="Arial" w:eastAsia="Times New Roman" w:hAnsi="Arial" w:cs="Arial"/>
          <w:b/>
          <w:bCs/>
          <w:sz w:val="22"/>
          <w:szCs w:val="22"/>
          <w:lang w:val="en-GB" w:eastAsia="en-GB"/>
        </w:rPr>
        <w:t>COMPETING INTERESTS DISCLAIMER:</w:t>
      </w:r>
    </w:p>
    <w:p w14:paraId="200D4EEC" w14:textId="77777777" w:rsidR="00237494" w:rsidRPr="00237494" w:rsidRDefault="00237494" w:rsidP="00237494">
      <w:pPr>
        <w:spacing w:after="200" w:line="276" w:lineRule="auto"/>
        <w:rPr>
          <w:rFonts w:ascii="Calibri" w:eastAsia="Times New Roman" w:hAnsi="Calibri" w:cs="Times New Roman"/>
          <w:sz w:val="22"/>
          <w:szCs w:val="22"/>
          <w:lang w:val="en-GB" w:eastAsia="en-GB"/>
        </w:rPr>
      </w:pPr>
      <w:r w:rsidRPr="00237494">
        <w:rPr>
          <w:rFonts w:ascii="Arial" w:eastAsia="Times New Roman"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C495718" w14:textId="77777777" w:rsidR="00237494" w:rsidRDefault="00237494">
      <w:pPr>
        <w:keepNext/>
        <w:jc w:val="both"/>
        <w:rPr>
          <w:rFonts w:ascii="Arial" w:eastAsia="Arial" w:hAnsi="Arial" w:cs="Arial"/>
          <w:b/>
          <w:bCs/>
          <w:smallCaps/>
        </w:rPr>
      </w:pPr>
    </w:p>
    <w:p w14:paraId="6434006B" w14:textId="77777777" w:rsidR="00E7667D" w:rsidRDefault="00E7667D">
      <w:pPr>
        <w:keepNext/>
        <w:pBdr>
          <w:top w:val="nil"/>
          <w:left w:val="nil"/>
          <w:bottom w:val="nil"/>
          <w:right w:val="nil"/>
          <w:between w:val="nil"/>
        </w:pBdr>
        <w:jc w:val="both"/>
        <w:rPr>
          <w:rFonts w:ascii="Arial" w:eastAsia="Arial" w:hAnsi="Arial" w:cs="Arial"/>
          <w:b/>
          <w:bCs/>
          <w:smallCaps/>
          <w:color w:val="000000"/>
        </w:rPr>
      </w:pPr>
    </w:p>
    <w:p w14:paraId="3A00F764" w14:textId="77777777" w:rsidR="00E7667D" w:rsidRDefault="002E40EE">
      <w:pPr>
        <w:keepNext/>
        <w:pBdr>
          <w:top w:val="nil"/>
          <w:left w:val="nil"/>
          <w:bottom w:val="nil"/>
          <w:right w:val="nil"/>
          <w:between w:val="nil"/>
        </w:pBdr>
        <w:jc w:val="both"/>
        <w:rPr>
          <w:rFonts w:ascii="Arial" w:eastAsia="Arial" w:hAnsi="Arial" w:cs="Arial"/>
          <w:color w:val="000000"/>
        </w:rPr>
      </w:pPr>
      <w:r>
        <w:rPr>
          <w:rFonts w:ascii="Arial" w:eastAsia="Arial" w:hAnsi="Arial" w:cs="Arial"/>
          <w:b/>
          <w:bCs/>
          <w:smallCaps/>
          <w:color w:val="000000"/>
          <w:sz w:val="22"/>
          <w:szCs w:val="22"/>
        </w:rPr>
        <w:t>References</w:t>
      </w:r>
    </w:p>
    <w:p w14:paraId="521F8E18" w14:textId="77777777" w:rsidR="00E7667D" w:rsidRDefault="00E7667D">
      <w:pPr>
        <w:pBdr>
          <w:top w:val="nil"/>
          <w:left w:val="nil"/>
          <w:bottom w:val="nil"/>
          <w:right w:val="nil"/>
          <w:between w:val="nil"/>
        </w:pBdr>
        <w:jc w:val="both"/>
        <w:rPr>
          <w:rFonts w:ascii="Arial" w:eastAsia="Arial" w:hAnsi="Arial" w:cs="Arial"/>
          <w:i/>
          <w:iCs/>
          <w:u w:val="single"/>
        </w:rPr>
      </w:pPr>
    </w:p>
    <w:p w14:paraId="1F9B1599" w14:textId="77777777" w:rsidR="00E7667D" w:rsidRDefault="002E40EE">
      <w:r>
        <w:t xml:space="preserve">Albulescu, I., Labar, A., Manea, A. D., &amp; Stan, C. (2023). The Mediating Role of Anxiety between Parenting Styles and Academic Performance among Primary School Students in the Context of Sustainable Education. Sustainability, 15(2), 1539. </w:t>
      </w:r>
      <w:hyperlink r:id="rId22">
        <w:r w:rsidR="00E7667D">
          <w:t>https://doi.org/10.3390/su15021539</w:t>
        </w:r>
      </w:hyperlink>
    </w:p>
    <w:p w14:paraId="1B98511F" w14:textId="77777777" w:rsidR="00E7667D" w:rsidRDefault="00E7667D"/>
    <w:p w14:paraId="3D6CD121" w14:textId="77777777" w:rsidR="00E7667D" w:rsidRDefault="002E40EE">
      <w:r>
        <w:t xml:space="preserve">Beck, C. T., Cusson, R. M., &amp; Gable, R. K. (2017). Secondary Traumatic Stress in NICU Nurses: A Mixed-Methods Study. Advances in neonatal </w:t>
      </w:r>
      <w:proofErr w:type="gramStart"/>
      <w:r>
        <w:t>care :</w:t>
      </w:r>
      <w:proofErr w:type="gramEnd"/>
      <w:r>
        <w:t xml:space="preserve"> official journal of the National Association of Neonatal Nurses, 17(6), 478–488. </w:t>
      </w:r>
      <w:hyperlink r:id="rId23">
        <w:r w:rsidR="00E7667D">
          <w:t>https://doi.org/10.1097/ANC.0000000000000428</w:t>
        </w:r>
      </w:hyperlink>
    </w:p>
    <w:p w14:paraId="129FA1AD" w14:textId="77777777" w:rsidR="00E7667D" w:rsidRDefault="00E7667D"/>
    <w:p w14:paraId="110A36A7" w14:textId="77777777" w:rsidR="00E7667D" w:rsidRDefault="002E40EE">
      <w:pPr>
        <w:rPr>
          <w:rFonts w:ascii="Arial" w:eastAsia="Arial" w:hAnsi="Arial" w:cs="Arial"/>
          <w:sz w:val="16"/>
          <w:szCs w:val="16"/>
        </w:rPr>
      </w:pPr>
      <w:r>
        <w:rPr>
          <w:rFonts w:ascii="Arial" w:eastAsia="Arial" w:hAnsi="Arial" w:cs="Arial"/>
        </w:rPr>
        <w:t xml:space="preserve">Beck C. T. (2011). Secondary traumatic stress in nurses: a systematic review. Archives of psychiatric nursing, 25(1), 1–10. </w:t>
      </w:r>
      <w:hyperlink r:id="rId24">
        <w:r w:rsidR="00E7667D">
          <w:rPr>
            <w:rFonts w:ascii="Arial" w:eastAsia="Arial" w:hAnsi="Arial" w:cs="Arial"/>
          </w:rPr>
          <w:t>https://doi.org/10.1016/j.apnu.2010.05.005</w:t>
        </w:r>
      </w:hyperlink>
    </w:p>
    <w:p w14:paraId="4FDF5F1D" w14:textId="77777777" w:rsidR="00E7667D" w:rsidRDefault="00E7667D">
      <w:pPr>
        <w:ind w:left="720"/>
      </w:pPr>
    </w:p>
    <w:p w14:paraId="4750A916" w14:textId="77777777" w:rsidR="00E7667D" w:rsidRDefault="002E40EE">
      <w:pPr>
        <w:pBdr>
          <w:top w:val="nil"/>
          <w:left w:val="nil"/>
          <w:bottom w:val="nil"/>
          <w:right w:val="nil"/>
          <w:between w:val="nil"/>
        </w:pBdr>
        <w:jc w:val="both"/>
      </w:pPr>
      <w:r>
        <w:t xml:space="preserve">Cambridge, P., </w:t>
      </w:r>
      <w:proofErr w:type="spellStart"/>
      <w:r>
        <w:t>Brockenshire</w:t>
      </w:r>
      <w:proofErr w:type="spellEnd"/>
      <w:r>
        <w:t xml:space="preserve">, N., Bridge, N., &amp; Jarden, R. J. (2023). Entry to practice nursing students' experiences of debriefing during clinical practice: A qualitative meta-synthesis. </w:t>
      </w:r>
      <w:r>
        <w:rPr>
          <w:i/>
          <w:iCs/>
        </w:rPr>
        <w:t>Nurse education today</w:t>
      </w:r>
      <w:r>
        <w:t xml:space="preserve">, 128, 105871. </w:t>
      </w:r>
      <w:hyperlink r:id="rId25">
        <w:r w:rsidR="00E7667D">
          <w:t>https://doi.org/10.1016/j.nedt.2023.105871</w:t>
        </w:r>
      </w:hyperlink>
    </w:p>
    <w:p w14:paraId="7C738AC1" w14:textId="77777777" w:rsidR="00E7667D" w:rsidRDefault="00E7667D">
      <w:pPr>
        <w:pBdr>
          <w:top w:val="nil"/>
          <w:left w:val="nil"/>
          <w:bottom w:val="nil"/>
          <w:right w:val="nil"/>
          <w:between w:val="nil"/>
        </w:pBdr>
        <w:jc w:val="both"/>
      </w:pPr>
    </w:p>
    <w:p w14:paraId="779EFF2D" w14:textId="77777777" w:rsidR="00E7667D" w:rsidRDefault="002E40EE">
      <w:r>
        <w:t xml:space="preserve">Ching, S. S. Y., &amp; Cheung, K. (2021). Factors affecting resilience of nursing, optometry, radiography and medical laboratory science students. </w:t>
      </w:r>
      <w:r>
        <w:rPr>
          <w:i/>
          <w:iCs/>
        </w:rPr>
        <w:t>International Journal of Environmental Research and Public Health</w:t>
      </w:r>
      <w:r>
        <w:t xml:space="preserve">, </w:t>
      </w:r>
      <w:r>
        <w:rPr>
          <w:i/>
          <w:iCs/>
        </w:rPr>
        <w:t>18</w:t>
      </w:r>
      <w:r>
        <w:t>(8), 3867.</w:t>
      </w:r>
      <w:hyperlink r:id="rId26">
        <w:r w:rsidR="00E7667D">
          <w:t>https://pmc.ncbi.nlm.nih.gov/articles/PMC8067740/</w:t>
        </w:r>
      </w:hyperlink>
    </w:p>
    <w:p w14:paraId="29B0654C" w14:textId="77777777" w:rsidR="00E7667D" w:rsidRDefault="00E7667D">
      <w:pPr>
        <w:pBdr>
          <w:top w:val="nil"/>
          <w:left w:val="nil"/>
          <w:bottom w:val="nil"/>
          <w:right w:val="nil"/>
          <w:between w:val="nil"/>
        </w:pBdr>
        <w:jc w:val="both"/>
      </w:pPr>
    </w:p>
    <w:p w14:paraId="6F2AE980" w14:textId="77777777" w:rsidR="00E7667D" w:rsidRDefault="002E40EE">
      <w:r>
        <w:t xml:space="preserve">Duffy, E., Avalos, G., &amp; Dowling, M. (2015). Secondary traumatic stress among emergency nurses: a cross-sectional study. </w:t>
      </w:r>
      <w:r>
        <w:rPr>
          <w:i/>
          <w:iCs/>
        </w:rPr>
        <w:t xml:space="preserve">International emergency nursing, </w:t>
      </w:r>
      <w:r>
        <w:t>23(2), 53–58. https://doi.org/10.1016/j.ienj.2014.05.001</w:t>
      </w:r>
    </w:p>
    <w:p w14:paraId="5C4CCBFC" w14:textId="77777777" w:rsidR="00E7667D" w:rsidRDefault="00E7667D">
      <w:pPr>
        <w:pBdr>
          <w:top w:val="nil"/>
          <w:left w:val="nil"/>
          <w:bottom w:val="nil"/>
          <w:right w:val="nil"/>
          <w:between w:val="nil"/>
        </w:pBdr>
        <w:jc w:val="both"/>
      </w:pPr>
    </w:p>
    <w:p w14:paraId="093A5F63" w14:textId="77777777" w:rsidR="00E7667D" w:rsidRDefault="002E40EE">
      <w:pPr>
        <w:rPr>
          <w:highlight w:val="white"/>
        </w:rPr>
      </w:pPr>
      <w:r>
        <w:t>Fetters, M. D., Curry, L. A., &amp; Creswell, J. W. (2013). Achieving Integration in Mixed Methods Designs—Principles and Practices.</w:t>
      </w:r>
      <w:r>
        <w:rPr>
          <w:i/>
          <w:iCs/>
        </w:rPr>
        <w:t xml:space="preserve"> Health Services Research, 48</w:t>
      </w:r>
      <w:r>
        <w:t xml:space="preserve">(6pt2), 2134–2156. </w:t>
      </w:r>
      <w:hyperlink r:id="rId27">
        <w:r w:rsidR="00E7667D">
          <w:t>https://doi.org/10.1111/1475-6773.12117</w:t>
        </w:r>
      </w:hyperlink>
    </w:p>
    <w:p w14:paraId="1F6A0E77" w14:textId="77777777" w:rsidR="00E7667D" w:rsidRDefault="00E7667D"/>
    <w:p w14:paraId="42B9B93B" w14:textId="77777777" w:rsidR="00E7667D" w:rsidRDefault="002E40EE">
      <w:r>
        <w:rPr>
          <w:highlight w:val="white"/>
        </w:rPr>
        <w:t xml:space="preserve">Fisher, R. A. (1950). </w:t>
      </w:r>
      <w:r>
        <w:rPr>
          <w:i/>
          <w:iCs/>
          <w:highlight w:val="white"/>
        </w:rPr>
        <w:t>Statistical methods for research workers</w:t>
      </w:r>
      <w:r>
        <w:rPr>
          <w:highlight w:val="white"/>
        </w:rPr>
        <w:t xml:space="preserve"> (11th ed.). Oliver and Boyd. Retrieved from </w:t>
      </w:r>
      <w:hyperlink r:id="rId28">
        <w:r w:rsidR="00E7667D">
          <w:rPr>
            <w:highlight w:val="white"/>
          </w:rPr>
          <w:t>https://digital.library.adelaide.edu.au/dspace/handle/2440/15227</w:t>
        </w:r>
      </w:hyperlink>
    </w:p>
    <w:p w14:paraId="6A03E9A4" w14:textId="77777777" w:rsidR="00E7667D" w:rsidRDefault="00E7667D"/>
    <w:p w14:paraId="33273748" w14:textId="77777777" w:rsidR="00E7667D" w:rsidRDefault="002E40EE">
      <w:r>
        <w:lastRenderedPageBreak/>
        <w:t>Franco-</w:t>
      </w:r>
      <w:proofErr w:type="spellStart"/>
      <w:r>
        <w:t>Tantuico</w:t>
      </w:r>
      <w:proofErr w:type="spellEnd"/>
      <w:r>
        <w:t xml:space="preserve">, M. A., &amp; </w:t>
      </w:r>
      <w:proofErr w:type="spellStart"/>
      <w:r>
        <w:t>Btoush</w:t>
      </w:r>
      <w:proofErr w:type="spellEnd"/>
      <w:r>
        <w:t xml:space="preserve">, R. (2025). Simulation Debriefing in Graduate Nursing Education: A literature review. Nursing Education Perspectives, 46(5), 278–283. </w:t>
      </w:r>
      <w:hyperlink r:id="rId29">
        <w:r w:rsidR="00E7667D">
          <w:t>https://doi.org/10.1097/01.nep.0000000000001434</w:t>
        </w:r>
      </w:hyperlink>
    </w:p>
    <w:p w14:paraId="0280A4EB" w14:textId="77777777" w:rsidR="00E7667D" w:rsidRDefault="00E7667D">
      <w:pPr>
        <w:ind w:right="1080"/>
      </w:pPr>
    </w:p>
    <w:p w14:paraId="1C438418" w14:textId="77777777" w:rsidR="00E7667D" w:rsidRDefault="002E40EE">
      <w:pPr>
        <w:ind w:right="1080"/>
      </w:pPr>
      <w:r>
        <w:t xml:space="preserve">Goffman, E. (1959). The presentation of self in everyday life. Doubleday. </w:t>
      </w:r>
      <w:hyperlink r:id="rId30">
        <w:r w:rsidR="00E7667D">
          <w:t>https://archive.org/details/presentationofs00goff</w:t>
        </w:r>
      </w:hyperlink>
    </w:p>
    <w:p w14:paraId="652F5374" w14:textId="77777777" w:rsidR="00E7667D" w:rsidRDefault="00E7667D"/>
    <w:p w14:paraId="63A1659A" w14:textId="77777777" w:rsidR="00E7667D" w:rsidRDefault="002E40EE">
      <w:r>
        <w:t>González-Tejerina, B., Pérez-Corrales, J., Palacios-</w:t>
      </w:r>
      <w:proofErr w:type="spellStart"/>
      <w:r>
        <w:t>Ceña</w:t>
      </w:r>
      <w:proofErr w:type="spellEnd"/>
      <w:r>
        <w:t xml:space="preserve">, D., Abad-Valle, J., Gómez, P. R., González-Toledo, B., García-Carpintero Blas, E., &amp; Garrigues-Ramón, M. (2025). Nursing Students' Perceptions of Clinical Debriefing TALK©: A Qualitative Case Study. </w:t>
      </w:r>
      <w:r>
        <w:rPr>
          <w:i/>
          <w:iCs/>
        </w:rPr>
        <w:t>Nursing reports</w:t>
      </w:r>
      <w:r>
        <w:t xml:space="preserve"> (Pavia, Italy), 15(6), 194. </w:t>
      </w:r>
      <w:hyperlink r:id="rId31">
        <w:r w:rsidR="00E7667D">
          <w:t>https://doi.org/10.3390/nursrep15060194</w:t>
        </w:r>
      </w:hyperlink>
    </w:p>
    <w:p w14:paraId="41C3A454" w14:textId="77777777" w:rsidR="00E7667D" w:rsidRDefault="00E7667D">
      <w:pPr>
        <w:ind w:left="720"/>
      </w:pPr>
    </w:p>
    <w:p w14:paraId="09840D20" w14:textId="77777777" w:rsidR="00E7667D" w:rsidRDefault="002E40EE">
      <w:r>
        <w:t xml:space="preserve">Gupta, A., Mishra, P., Pandey, C., Singh, U., Sahu, C., &amp; Keshri, A. (2019). Descriptive statistics and normality tests for statistical data. </w:t>
      </w:r>
      <w:r>
        <w:rPr>
          <w:i/>
          <w:iCs/>
        </w:rPr>
        <w:t xml:space="preserve">Annals of Cardiac </w:t>
      </w:r>
      <w:proofErr w:type="spellStart"/>
      <w:r>
        <w:rPr>
          <w:i/>
          <w:iCs/>
        </w:rPr>
        <w:t>Anaesthesia</w:t>
      </w:r>
      <w:proofErr w:type="spellEnd"/>
      <w:r>
        <w:t xml:space="preserve">, 22(1), 67. </w:t>
      </w:r>
      <w:hyperlink r:id="rId32">
        <w:r w:rsidR="00E7667D">
          <w:t>https://doi.org/10.4103/aca.aca_157_18</w:t>
        </w:r>
      </w:hyperlink>
    </w:p>
    <w:p w14:paraId="29F8399A" w14:textId="77777777" w:rsidR="00E7667D" w:rsidRDefault="00E7667D"/>
    <w:p w14:paraId="32C68C88" w14:textId="77777777" w:rsidR="00E7667D" w:rsidRDefault="002E40EE">
      <w:r>
        <w:t xml:space="preserve">Hochschild, A. R. (2012). The managed heart: Commercialization of human feeling (3rd ed.). University of California Press. </w:t>
      </w:r>
      <w:hyperlink r:id="rId33">
        <w:r w:rsidR="00E7667D">
          <w:t>https://www.ucpress.edu/books/the-managed-heart/paper</w:t>
        </w:r>
      </w:hyperlink>
    </w:p>
    <w:p w14:paraId="060A111B" w14:textId="77777777" w:rsidR="00E7667D" w:rsidRDefault="00E7667D">
      <w:pPr>
        <w:ind w:left="720"/>
      </w:pPr>
    </w:p>
    <w:p w14:paraId="4B3EE82A" w14:textId="77777777" w:rsidR="00E7667D" w:rsidRDefault="002E40EE">
      <w:r>
        <w:t xml:space="preserve">Hood, T. L., &amp; Copeland, D. (2021). Student Nurses’ Experiences of Critical Events in the Clinical Setting: A Grounded Theory. </w:t>
      </w:r>
      <w:r>
        <w:rPr>
          <w:i/>
          <w:iCs/>
        </w:rPr>
        <w:t>Journal of Professional Nursing, 37</w:t>
      </w:r>
      <w:r>
        <w:t xml:space="preserve">(5), 885–893. </w:t>
      </w:r>
      <w:hyperlink r:id="rId34">
        <w:r w:rsidR="00E7667D">
          <w:t>https://doi.org/10.1016/j.profnurs.2021.07.007</w:t>
        </w:r>
      </w:hyperlink>
    </w:p>
    <w:p w14:paraId="475D654E" w14:textId="77777777" w:rsidR="00E7667D" w:rsidRDefault="00E7667D">
      <w:pPr>
        <w:ind w:left="720"/>
      </w:pPr>
    </w:p>
    <w:p w14:paraId="65043734" w14:textId="77777777" w:rsidR="00E7667D" w:rsidRDefault="002E40EE">
      <w:r>
        <w:t xml:space="preserve">Hoying, J., Melnyk, B. M., Hutson, E., &amp; Tan, A. (2020). Prevalence and Correlates of Depression, Anxiety, Stress, Healthy Beliefs, and Lifestyle Behaviors in First-Year Graduate Health Sciences Students. </w:t>
      </w:r>
      <w:r>
        <w:rPr>
          <w:i/>
          <w:iCs/>
        </w:rPr>
        <w:t>Worldviews on evidence-based nursing</w:t>
      </w:r>
      <w:r>
        <w:t xml:space="preserve">, 17(1), 49–59. </w:t>
      </w:r>
      <w:hyperlink r:id="rId35">
        <w:r w:rsidR="00E7667D">
          <w:t>https://doi.org/10.1111/wvn.12415</w:t>
        </w:r>
      </w:hyperlink>
    </w:p>
    <w:p w14:paraId="6DC6A5DF" w14:textId="77777777" w:rsidR="00E7667D" w:rsidRDefault="00E7667D"/>
    <w:p w14:paraId="78D64FFF" w14:textId="77777777" w:rsidR="00E7667D" w:rsidRDefault="002E40EE">
      <w:r>
        <w:t xml:space="preserve">Hurley, M., &amp; Tenny, S. (2023, July 17). </w:t>
      </w:r>
      <w:r>
        <w:rPr>
          <w:i/>
          <w:iCs/>
        </w:rPr>
        <w:t>Mean</w:t>
      </w:r>
      <w:r>
        <w:t xml:space="preserve">. </w:t>
      </w:r>
      <w:proofErr w:type="spellStart"/>
      <w:r>
        <w:t>StatPearls</w:t>
      </w:r>
      <w:proofErr w:type="spellEnd"/>
      <w:r>
        <w:t xml:space="preserve"> - NCBI Bookshelf. https://www.ncbi.nlm.nih.gov/sites/books/NBK546702/</w:t>
      </w:r>
    </w:p>
    <w:p w14:paraId="50C7F0BB" w14:textId="77777777" w:rsidR="00E7667D" w:rsidRDefault="00E7667D"/>
    <w:p w14:paraId="216B22F5" w14:textId="77777777" w:rsidR="00E7667D" w:rsidRDefault="002E40EE">
      <w:proofErr w:type="spellStart"/>
      <w:r>
        <w:t>Labrague</w:t>
      </w:r>
      <w:proofErr w:type="spellEnd"/>
      <w:r>
        <w:t xml:space="preserve">, L. J., McEnroe-Petitte, D. M., Al Amri, M., Fronda, D. C., &amp; Obeidat, A. A. (2018). An integrative review on coping skills in nursing students: implications for policymaking. </w:t>
      </w:r>
      <w:r>
        <w:rPr>
          <w:i/>
          <w:iCs/>
        </w:rPr>
        <w:t xml:space="preserve">International nursing review, </w:t>
      </w:r>
      <w:r>
        <w:t xml:space="preserve">65(2), 279–291. </w:t>
      </w:r>
      <w:hyperlink r:id="rId36">
        <w:r w:rsidR="00E7667D">
          <w:t>https://doi.org/10.1111/inr.12393</w:t>
        </w:r>
      </w:hyperlink>
    </w:p>
    <w:p w14:paraId="2628CF7F" w14:textId="77777777" w:rsidR="00E7667D" w:rsidRDefault="00E7667D">
      <w:pPr>
        <w:ind w:left="720"/>
      </w:pPr>
    </w:p>
    <w:p w14:paraId="06AD0159" w14:textId="77777777" w:rsidR="00E7667D" w:rsidRDefault="002E40EE">
      <w:proofErr w:type="spellStart"/>
      <w:r>
        <w:t>Labrague</w:t>
      </w:r>
      <w:proofErr w:type="spellEnd"/>
      <w:r>
        <w:t xml:space="preserve">, L. J. (2024). Umbrella review: Stress levels, sources of stress, and coping mechanisms among student nurses. </w:t>
      </w:r>
      <w:r>
        <w:rPr>
          <w:i/>
          <w:iCs/>
        </w:rPr>
        <w:t>Nursing Reports</w:t>
      </w:r>
      <w:r>
        <w:t xml:space="preserve">, </w:t>
      </w:r>
      <w:r>
        <w:rPr>
          <w:i/>
          <w:iCs/>
        </w:rPr>
        <w:t>14</w:t>
      </w:r>
      <w:r>
        <w:t>(1), 362–375.</w:t>
      </w:r>
      <w:hyperlink r:id="rId37">
        <w:r w:rsidR="00E7667D">
          <w:t>https://www.mdpi.com/2039-4403/14/1/2</w:t>
        </w:r>
      </w:hyperlink>
      <w:r>
        <w:t>8</w:t>
      </w:r>
    </w:p>
    <w:p w14:paraId="36196E60" w14:textId="77777777" w:rsidR="00E7667D" w:rsidRDefault="00E7667D">
      <w:pPr>
        <w:ind w:left="720"/>
      </w:pPr>
    </w:p>
    <w:p w14:paraId="08AC37D0" w14:textId="77777777" w:rsidR="00E7667D" w:rsidRDefault="002E40EE">
      <w:r>
        <w:t xml:space="preserve">Lee, J., Lee, H., Kim, S., Kim, S., Choi, M., Ko, I. S., Bae, J., Kim, S. H., &amp; Kim, S. H. (2020). Debriefing methods and learning outcomes in simulation nursing education: A systematic review and meta-analysis. Nurse Education Today, 87, 104345. </w:t>
      </w:r>
      <w:hyperlink r:id="rId38">
        <w:r w:rsidR="00E7667D">
          <w:t>https://doi.org/10.1016/j.nedt.2020.104345</w:t>
        </w:r>
      </w:hyperlink>
    </w:p>
    <w:p w14:paraId="51E5DF5B" w14:textId="77777777" w:rsidR="00E7667D" w:rsidRDefault="00E7667D"/>
    <w:p w14:paraId="7AB69A1F" w14:textId="77777777" w:rsidR="00E7667D" w:rsidRDefault="002E40EE">
      <w:r>
        <w:t xml:space="preserve">Mahinay, S. D., Jr, </w:t>
      </w:r>
      <w:proofErr w:type="spellStart"/>
      <w:r>
        <w:t>Mostrales-Laco</w:t>
      </w:r>
      <w:proofErr w:type="spellEnd"/>
      <w:r>
        <w:t xml:space="preserve">, R., Jaramillo, J. M., Mosanip, Z., &amp; </w:t>
      </w:r>
      <w:proofErr w:type="spellStart"/>
      <w:r>
        <w:t>Panigon</w:t>
      </w:r>
      <w:proofErr w:type="spellEnd"/>
      <w:r>
        <w:t xml:space="preserve">, J. (2025). Exploring Psychological Well-Being of Nursing Students after Traumatic Experiences in Clinical Area. </w:t>
      </w:r>
      <w:r>
        <w:rPr>
          <w:i/>
          <w:iCs/>
        </w:rPr>
        <w:t>International Journal of Research and Innovation in Social Science,</w:t>
      </w:r>
      <w:r>
        <w:t xml:space="preserve"> IX(IIIS), 4492–4509. https://doi.org/10.47772/ijriss.2025.903sedu0322</w:t>
      </w:r>
    </w:p>
    <w:p w14:paraId="4A437EF6" w14:textId="77777777" w:rsidR="00E7667D" w:rsidRDefault="00E7667D">
      <w:pPr>
        <w:pBdr>
          <w:top w:val="nil"/>
          <w:left w:val="nil"/>
          <w:bottom w:val="nil"/>
          <w:right w:val="nil"/>
          <w:between w:val="nil"/>
        </w:pBdr>
        <w:jc w:val="both"/>
      </w:pPr>
    </w:p>
    <w:p w14:paraId="1A6A8C32" w14:textId="77777777" w:rsidR="00E7667D" w:rsidRDefault="002E40EE">
      <w:pPr>
        <w:pBdr>
          <w:top w:val="nil"/>
          <w:left w:val="nil"/>
          <w:bottom w:val="nil"/>
          <w:right w:val="nil"/>
          <w:between w:val="nil"/>
        </w:pBdr>
        <w:jc w:val="both"/>
      </w:pPr>
      <w:r>
        <w:lastRenderedPageBreak/>
        <w:t xml:space="preserve">Miller, S., &amp; Miller, M. A. (2020). Mind the Gap! a strategy to bridge the time between simulation and debriefing. </w:t>
      </w:r>
      <w:r>
        <w:rPr>
          <w:i/>
          <w:iCs/>
        </w:rPr>
        <w:t>Clinical Simulation in Nursing</w:t>
      </w:r>
      <w:r>
        <w:t xml:space="preserve">, 51, 10–13. </w:t>
      </w:r>
      <w:hyperlink r:id="rId39">
        <w:r w:rsidR="00E7667D">
          <w:t>https://doi.org/10.1016/j.ecns.2020.11.004</w:t>
        </w:r>
      </w:hyperlink>
    </w:p>
    <w:p w14:paraId="04911211" w14:textId="77777777" w:rsidR="00E7667D" w:rsidRDefault="00E7667D">
      <w:pPr>
        <w:pBdr>
          <w:top w:val="nil"/>
          <w:left w:val="nil"/>
          <w:bottom w:val="nil"/>
          <w:right w:val="nil"/>
          <w:between w:val="nil"/>
        </w:pBdr>
        <w:jc w:val="both"/>
      </w:pPr>
    </w:p>
    <w:p w14:paraId="4C6EB69F" w14:textId="77777777" w:rsidR="00E7667D" w:rsidRDefault="002E40EE">
      <w:pPr>
        <w:pBdr>
          <w:top w:val="nil"/>
          <w:left w:val="nil"/>
          <w:bottom w:val="nil"/>
          <w:right w:val="nil"/>
          <w:between w:val="nil"/>
        </w:pBdr>
        <w:jc w:val="both"/>
      </w:pPr>
      <w:r>
        <w:t xml:space="preserve">Mishra, P., Pandey, C. M., Singh, U., Gupta, A., Sahu, C., &amp; Keshri, A. (2019). Descriptive statistics and normality tests for statistical data. </w:t>
      </w:r>
      <w:r>
        <w:rPr>
          <w:i/>
          <w:iCs/>
        </w:rPr>
        <w:t xml:space="preserve">Annals of Cardiac </w:t>
      </w:r>
      <w:proofErr w:type="spellStart"/>
      <w:r>
        <w:rPr>
          <w:i/>
          <w:iCs/>
        </w:rPr>
        <w:t>Anaesthesia</w:t>
      </w:r>
      <w:proofErr w:type="spellEnd"/>
      <w:r>
        <w:t xml:space="preserve">, </w:t>
      </w:r>
      <w:r>
        <w:rPr>
          <w:i/>
          <w:iCs/>
        </w:rPr>
        <w:t>22</w:t>
      </w:r>
      <w:r>
        <w:t>(1), 67–72.</w:t>
      </w:r>
      <w:hyperlink r:id="rId40">
        <w:r w:rsidR="00E7667D">
          <w:t xml:space="preserve"> </w:t>
        </w:r>
      </w:hyperlink>
      <w:hyperlink r:id="rId41">
        <w:r w:rsidR="00E7667D">
          <w:t>https://doi.org/10.4103/aca.ACA_157_18</w:t>
        </w:r>
      </w:hyperlink>
    </w:p>
    <w:p w14:paraId="4E60BE30" w14:textId="77777777" w:rsidR="00E7667D" w:rsidRDefault="00E7667D">
      <w:pPr>
        <w:pBdr>
          <w:top w:val="nil"/>
          <w:left w:val="nil"/>
          <w:bottom w:val="nil"/>
          <w:right w:val="nil"/>
          <w:between w:val="nil"/>
        </w:pBdr>
        <w:jc w:val="both"/>
      </w:pPr>
    </w:p>
    <w:p w14:paraId="706D1BC4" w14:textId="77777777" w:rsidR="00E7667D" w:rsidRDefault="002E40EE">
      <w:pPr>
        <w:pBdr>
          <w:top w:val="nil"/>
          <w:left w:val="nil"/>
          <w:bottom w:val="nil"/>
          <w:right w:val="nil"/>
          <w:between w:val="nil"/>
        </w:pBdr>
        <w:jc w:val="both"/>
        <w:rPr>
          <w:highlight w:val="white"/>
        </w:rPr>
      </w:pPr>
      <w:r>
        <w:t xml:space="preserve">Oakley, K. N., Copel, L. C., &amp; Ross, J. G. (2024). Secondary traumatic stress in nursing students: An integrative review. </w:t>
      </w:r>
      <w:r>
        <w:rPr>
          <w:i/>
          <w:iCs/>
        </w:rPr>
        <w:t>Nurse Educator</w:t>
      </w:r>
      <w:r>
        <w:t>. Advance online publication.</w:t>
      </w:r>
      <w:hyperlink r:id="rId42">
        <w:r w:rsidR="00E7667D">
          <w:t xml:space="preserve"> https://doi.org/10.1097/NNE.0000000000001716</w:t>
        </w:r>
      </w:hyperlink>
    </w:p>
    <w:p w14:paraId="24CF105C" w14:textId="77777777" w:rsidR="00E7667D" w:rsidRDefault="00E7667D">
      <w:pPr>
        <w:pBdr>
          <w:top w:val="nil"/>
          <w:left w:val="nil"/>
          <w:bottom w:val="nil"/>
          <w:right w:val="nil"/>
          <w:between w:val="nil"/>
        </w:pBdr>
        <w:jc w:val="both"/>
      </w:pPr>
    </w:p>
    <w:p w14:paraId="36B37177" w14:textId="77777777" w:rsidR="00E7667D" w:rsidRDefault="002E40EE">
      <w:pPr>
        <w:pBdr>
          <w:top w:val="nil"/>
          <w:left w:val="nil"/>
          <w:bottom w:val="nil"/>
          <w:right w:val="nil"/>
          <w:between w:val="nil"/>
        </w:pBdr>
        <w:jc w:val="both"/>
      </w:pPr>
      <w:proofErr w:type="spellStart"/>
      <w:r>
        <w:rPr>
          <w:highlight w:val="white"/>
        </w:rPr>
        <w:t>O'Cathain</w:t>
      </w:r>
      <w:proofErr w:type="spellEnd"/>
      <w:r>
        <w:rPr>
          <w:highlight w:val="white"/>
        </w:rPr>
        <w:t xml:space="preserve">, A., Murphy, E., &amp; Nicholl, J. (2008). The quality of mixed methods studies in health services research. </w:t>
      </w:r>
      <w:r>
        <w:rPr>
          <w:i/>
          <w:iCs/>
          <w:highlight w:val="white"/>
        </w:rPr>
        <w:t>Journal of health services research &amp; policy</w:t>
      </w:r>
      <w:r>
        <w:rPr>
          <w:highlight w:val="white"/>
        </w:rPr>
        <w:t xml:space="preserve">, </w:t>
      </w:r>
      <w:r>
        <w:rPr>
          <w:i/>
          <w:iCs/>
          <w:highlight w:val="white"/>
        </w:rPr>
        <w:t>13</w:t>
      </w:r>
      <w:r>
        <w:rPr>
          <w:highlight w:val="white"/>
        </w:rPr>
        <w:t xml:space="preserve">(2), 92–98. </w:t>
      </w:r>
      <w:hyperlink r:id="rId43">
        <w:r w:rsidR="00E7667D">
          <w:rPr>
            <w:highlight w:val="white"/>
          </w:rPr>
          <w:t>https://doi.org/10.1258/jhsrp.2007.007074</w:t>
        </w:r>
      </w:hyperlink>
    </w:p>
    <w:p w14:paraId="1D14A61E" w14:textId="77777777" w:rsidR="00E7667D" w:rsidRDefault="00E7667D">
      <w:pPr>
        <w:pBdr>
          <w:top w:val="nil"/>
          <w:left w:val="nil"/>
          <w:bottom w:val="nil"/>
          <w:right w:val="nil"/>
          <w:between w:val="nil"/>
        </w:pBdr>
        <w:jc w:val="both"/>
      </w:pPr>
    </w:p>
    <w:p w14:paraId="3C35961B" w14:textId="77777777" w:rsidR="00E7667D" w:rsidRDefault="002E40EE">
      <w:pPr>
        <w:pBdr>
          <w:top w:val="nil"/>
          <w:left w:val="nil"/>
          <w:bottom w:val="nil"/>
          <w:right w:val="nil"/>
          <w:between w:val="nil"/>
        </w:pBdr>
        <w:jc w:val="both"/>
      </w:pPr>
      <w:r>
        <w:t xml:space="preserve">Onieva-Zafra, M. D., Fernández-Muñoz, J. J., Fernández-Martínez, E., García-Sánchez, F. J., Abreu-Sánchez, A., &amp; Parra-Fernández, M. L. (2020). Anxiety, perceived stress and coping strategies in nursing students: a cross-sectional, correlational, descriptive study. </w:t>
      </w:r>
      <w:r>
        <w:rPr>
          <w:i/>
          <w:iCs/>
        </w:rPr>
        <w:t>BMC Medical Education</w:t>
      </w:r>
      <w:r>
        <w:t xml:space="preserve">, 20(1), 370. </w:t>
      </w:r>
      <w:hyperlink r:id="rId44">
        <w:r w:rsidR="00E7667D">
          <w:t>https://doi.org/10.1186/s12909-020-02294-z</w:t>
        </w:r>
      </w:hyperlink>
    </w:p>
    <w:p w14:paraId="6ECC4F0A" w14:textId="77777777" w:rsidR="00E7667D" w:rsidRDefault="00E7667D">
      <w:pPr>
        <w:pBdr>
          <w:top w:val="nil"/>
          <w:left w:val="nil"/>
          <w:bottom w:val="nil"/>
          <w:right w:val="nil"/>
          <w:between w:val="nil"/>
        </w:pBdr>
        <w:jc w:val="both"/>
      </w:pPr>
    </w:p>
    <w:p w14:paraId="2F012C8B" w14:textId="77777777" w:rsidR="00E7667D" w:rsidRDefault="002E40EE">
      <w:pPr>
        <w:pBdr>
          <w:top w:val="nil"/>
          <w:left w:val="nil"/>
          <w:bottom w:val="nil"/>
          <w:right w:val="nil"/>
          <w:between w:val="nil"/>
        </w:pBdr>
        <w:jc w:val="both"/>
      </w:pPr>
      <w:r>
        <w:t xml:space="preserve">Spitzer, R. L., Kroenke, K., Williams, J. B., &amp; Lowe, B. (2006). A brief measure for assessing generalized anxiety disorder: The GAD-7. </w:t>
      </w:r>
      <w:r>
        <w:rPr>
          <w:i/>
          <w:iCs/>
        </w:rPr>
        <w:t>Archives of Internal Medicine</w:t>
      </w:r>
      <w:r>
        <w:t xml:space="preserve">, </w:t>
      </w:r>
      <w:r>
        <w:rPr>
          <w:i/>
          <w:iCs/>
        </w:rPr>
        <w:t>166</w:t>
      </w:r>
      <w:r>
        <w:t>(10), 1092–1097. Retrieved from</w:t>
      </w:r>
    </w:p>
    <w:p w14:paraId="5B16985A" w14:textId="77777777" w:rsidR="00E7667D" w:rsidRDefault="00400B07">
      <w:pPr>
        <w:pBdr>
          <w:top w:val="nil"/>
          <w:left w:val="nil"/>
          <w:bottom w:val="nil"/>
          <w:right w:val="nil"/>
          <w:between w:val="nil"/>
        </w:pBdr>
        <w:jc w:val="both"/>
      </w:pPr>
      <w:hyperlink r:id="rId45">
        <w:r w:rsidR="00E7667D">
          <w:t>https://novopsych.com/wp-content/uploads/2023/03/Generalised-Anxiety-Disorder-Assesment-GAD-7.pdf</w:t>
        </w:r>
      </w:hyperlink>
    </w:p>
    <w:p w14:paraId="0CDF95F5" w14:textId="77777777" w:rsidR="00E7667D" w:rsidRDefault="00E7667D">
      <w:pPr>
        <w:pBdr>
          <w:top w:val="nil"/>
          <w:left w:val="nil"/>
          <w:bottom w:val="nil"/>
          <w:right w:val="nil"/>
          <w:between w:val="nil"/>
        </w:pBdr>
        <w:jc w:val="both"/>
      </w:pPr>
    </w:p>
    <w:p w14:paraId="788882A3" w14:textId="77777777" w:rsidR="00E7667D" w:rsidRDefault="002E40EE">
      <w:pPr>
        <w:pBdr>
          <w:top w:val="nil"/>
          <w:left w:val="nil"/>
          <w:bottom w:val="nil"/>
          <w:right w:val="nil"/>
          <w:between w:val="nil"/>
        </w:pBdr>
        <w:jc w:val="both"/>
        <w:rPr>
          <w:rFonts w:ascii="Arial" w:eastAsia="Arial" w:hAnsi="Arial" w:cs="Arial"/>
        </w:rPr>
      </w:pPr>
      <w:r>
        <w:t xml:space="preserve">Younas, A., </w:t>
      </w:r>
      <w:proofErr w:type="spellStart"/>
      <w:r>
        <w:t>Fàbregues</w:t>
      </w:r>
      <w:proofErr w:type="spellEnd"/>
      <w:r>
        <w:t xml:space="preserve">, S., &amp; Creswell, J. W. (2023). Generating </w:t>
      </w:r>
      <w:proofErr w:type="spellStart"/>
      <w:r>
        <w:t>metainferences</w:t>
      </w:r>
      <w:proofErr w:type="spellEnd"/>
      <w:r>
        <w:t xml:space="preserve"> in mixed methods research: A worked example in convergent mixed methods designs. </w:t>
      </w:r>
      <w:r>
        <w:rPr>
          <w:i/>
          <w:iCs/>
        </w:rPr>
        <w:t>Methodological Innovations,</w:t>
      </w:r>
      <w:r>
        <w:t xml:space="preserve"> 16(3), 276–291. </w:t>
      </w:r>
      <w:hyperlink r:id="rId46">
        <w:r w:rsidR="00E7667D">
          <w:t>https://doi.org/10.1177/20597991231188121</w:t>
        </w:r>
      </w:hyperlink>
    </w:p>
    <w:p w14:paraId="28088E9E" w14:textId="77777777" w:rsidR="00E7667D" w:rsidRDefault="00E7667D">
      <w:pPr>
        <w:keepNext/>
        <w:pBdr>
          <w:top w:val="nil"/>
          <w:left w:val="nil"/>
          <w:bottom w:val="nil"/>
          <w:right w:val="nil"/>
          <w:between w:val="nil"/>
        </w:pBdr>
        <w:jc w:val="both"/>
        <w:rPr>
          <w:rFonts w:ascii="Arial" w:eastAsia="Arial" w:hAnsi="Arial" w:cs="Arial"/>
          <w:smallCaps/>
          <w:sz w:val="22"/>
          <w:szCs w:val="22"/>
        </w:rPr>
      </w:pPr>
    </w:p>
    <w:sectPr w:rsidR="00E7667D" w:rsidSect="00776D52">
      <w:headerReference w:type="even" r:id="rId47"/>
      <w:headerReference w:type="default" r:id="rId48"/>
      <w:footerReference w:type="default" r:id="rId49"/>
      <w:headerReference w:type="first" r:id="rId50"/>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pc" w:date="2026-03-31T14:27:00Z" w:initials="p">
    <w:p w14:paraId="6676FFA5" w14:textId="71D6505A" w:rsidR="00977C6F" w:rsidRDefault="00977C6F">
      <w:pPr>
        <w:pStyle w:val="CommentText"/>
      </w:pPr>
      <w:r>
        <w:rPr>
          <w:rStyle w:val="CommentReference"/>
        </w:rPr>
        <w:annotationRef/>
      </w:r>
      <w:proofErr w:type="gramStart"/>
      <w:r>
        <w:t>Relevancy ?</w:t>
      </w:r>
      <w:proofErr w:type="gramEnd"/>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676FFA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AD0D1" w14:textId="77777777" w:rsidR="00400B07" w:rsidRDefault="00400B07">
      <w:r>
        <w:separator/>
      </w:r>
    </w:p>
  </w:endnote>
  <w:endnote w:type="continuationSeparator" w:id="0">
    <w:p w14:paraId="202401C3" w14:textId="77777777" w:rsidR="00400B07" w:rsidRDefault="00400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SimSun"/>
    <w:charset w:val="00"/>
    <w:family w:val="auto"/>
    <w:pitch w:val="default"/>
    <w:embedRegular r:id="rId1" w:fontKey="{6AD88418-DF6F-416F-876A-1E911E2F2133}"/>
    <w:embedBold r:id="rId2" w:fontKey="{746A3301-1434-41E2-A9E7-E2A260FC043D}"/>
    <w:embedItalic r:id="rId3" w:fontKey="{4B2EA202-72B3-4057-8D7E-914DFEDE20F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4AF4E46-BB2C-49E9-9CE7-AA38E048DA03}"/>
  </w:font>
  <w:font w:name="Segoe UI">
    <w:panose1 w:val="020B0502040204020203"/>
    <w:charset w:val="00"/>
    <w:family w:val="swiss"/>
    <w:pitch w:val="variable"/>
    <w:sig w:usb0="E4002EFF" w:usb1="C000E47F" w:usb2="00000009" w:usb3="00000000" w:csb0="000001FF" w:csb1="00000000"/>
    <w:embedRegular r:id="rId5" w:fontKey="{EBA189D1-F9AF-4340-9F9E-254C3A00BFC1}"/>
  </w:font>
  <w:font w:name="Arial Unicode MS">
    <w:panose1 w:val="020B0604020202020204"/>
    <w:charset w:val="80"/>
    <w:family w:val="swiss"/>
    <w:pitch w:val="variable"/>
    <w:sig w:usb0="F7FFAFFF" w:usb1="E9DFFFFF" w:usb2="0000003F" w:usb3="00000000" w:csb0="003F01FF" w:csb1="00000000"/>
    <w:embedRegular r:id="rId6" w:subsetted="1" w:fontKey="{D0B87A3E-A80D-4DA0-B04B-0A8F98115BC9}"/>
  </w:font>
  <w:font w:name="Calibri">
    <w:panose1 w:val="020F0502020204030204"/>
    <w:charset w:val="00"/>
    <w:family w:val="swiss"/>
    <w:pitch w:val="variable"/>
    <w:sig w:usb0="E4002EFF" w:usb1="C200247B" w:usb2="00000009" w:usb3="00000000" w:csb0="000001FF" w:csb1="00000000"/>
    <w:embedRegular r:id="rId7" w:fontKey="{CA1E31A9-CD6B-4289-B0C9-5D0CCB8D802E}"/>
  </w:font>
  <w:font w:name="Shruti">
    <w:panose1 w:val="020B0502040204020203"/>
    <w:charset w:val="00"/>
    <w:family w:val="swiss"/>
    <w:pitch w:val="variable"/>
    <w:sig w:usb0="00040003" w:usb1="00000000" w:usb2="00000000" w:usb3="00000000" w:csb0="00000001" w:csb1="00000000"/>
    <w:embedRegular r:id="rId8" w:fontKey="{8681DF96-6BD9-4067-B50B-F9AC96CAA5DC}"/>
  </w:font>
  <w:font w:name="Cambria">
    <w:panose1 w:val="02040503050406030204"/>
    <w:charset w:val="00"/>
    <w:family w:val="roman"/>
    <w:pitch w:val="variable"/>
    <w:sig w:usb0="E00006FF" w:usb1="420024FF" w:usb2="02000000" w:usb3="00000000" w:csb0="0000019F" w:csb1="00000000"/>
    <w:embedRegular r:id="rId9" w:fontKey="{63B77460-7BD4-41D9-BBB1-936A38AF534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2CC36" w14:textId="77777777" w:rsidR="00E7667D" w:rsidRDefault="00E7667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6F9C9" w14:textId="24603C77" w:rsidR="00E7667D" w:rsidRPr="00896F64" w:rsidRDefault="00E7667D" w:rsidP="00896F6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83D3D" w14:textId="77777777" w:rsidR="00E7667D" w:rsidRDefault="00E7667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D6608" w14:textId="77777777" w:rsidR="00400B07" w:rsidRDefault="00400B07">
      <w:r>
        <w:separator/>
      </w:r>
    </w:p>
  </w:footnote>
  <w:footnote w:type="continuationSeparator" w:id="0">
    <w:p w14:paraId="1196287E" w14:textId="77777777" w:rsidR="00400B07" w:rsidRDefault="00400B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EBA8D" w14:textId="29DC3ACF" w:rsidR="00E7667D" w:rsidRDefault="00400B07">
    <w:pPr>
      <w:pBdr>
        <w:top w:val="nil"/>
        <w:left w:val="nil"/>
        <w:bottom w:val="nil"/>
        <w:right w:val="nil"/>
        <w:between w:val="nil"/>
      </w:pBdr>
      <w:tabs>
        <w:tab w:val="center" w:pos="4320"/>
        <w:tab w:val="right" w:pos="8640"/>
      </w:tabs>
      <w:rPr>
        <w:color w:val="000000"/>
      </w:rPr>
    </w:pPr>
    <w:r>
      <w:rPr>
        <w:noProof/>
      </w:rPr>
      <w:pict w14:anchorId="6EBB7D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66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363F4" w14:textId="7277E515" w:rsidR="00E7667D" w:rsidRDefault="00400B07">
    <w:pPr>
      <w:pBdr>
        <w:top w:val="nil"/>
        <w:left w:val="nil"/>
        <w:bottom w:val="nil"/>
        <w:right w:val="nil"/>
        <w:between w:val="nil"/>
      </w:pBdr>
      <w:tabs>
        <w:tab w:val="center" w:pos="4320"/>
        <w:tab w:val="right" w:pos="8640"/>
      </w:tabs>
      <w:rPr>
        <w:color w:val="000000"/>
      </w:rPr>
    </w:pPr>
    <w:r>
      <w:rPr>
        <w:noProof/>
      </w:rPr>
      <w:pict w14:anchorId="15978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66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5720B" w14:textId="486BFCBC" w:rsidR="00E7667D" w:rsidRDefault="00400B07">
    <w:pPr>
      <w:ind w:left="2160"/>
      <w:jc w:val="center"/>
      <w:rPr>
        <w:rFonts w:ascii="Times New Roman" w:eastAsia="Times New Roman" w:hAnsi="Times New Roman" w:cs="Times New Roman"/>
        <w:i/>
        <w:iCs/>
        <w:sz w:val="18"/>
        <w:szCs w:val="18"/>
      </w:rPr>
    </w:pPr>
    <w:r>
      <w:rPr>
        <w:noProof/>
      </w:rPr>
      <w:pict w14:anchorId="56B713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66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42F4F7D9" w14:textId="77777777" w:rsidR="00E7667D" w:rsidRDefault="002E40EE">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AD5103B" w14:textId="77777777" w:rsidR="00E7667D" w:rsidRDefault="002E40E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6ADC7D73" w14:textId="77777777" w:rsidR="00E7667D" w:rsidRDefault="002E40EE">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7C592B3" w14:textId="77777777" w:rsidR="00E7667D" w:rsidRDefault="002E40EE">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6199A27C" w14:textId="77777777" w:rsidR="00E7667D" w:rsidRDefault="002E40EE">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5DFB577F" w14:textId="77777777" w:rsidR="00E7667D" w:rsidRDefault="002E40EE">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7DE80" w14:textId="53080993" w:rsidR="00896F64" w:rsidRDefault="00400B07">
    <w:pPr>
      <w:pStyle w:val="Header"/>
    </w:pPr>
    <w:r>
      <w:rPr>
        <w:noProof/>
      </w:rPr>
      <w:pict w14:anchorId="2501D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66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D2344" w14:textId="0477A921" w:rsidR="00896F64" w:rsidRDefault="00400B07">
    <w:pPr>
      <w:pStyle w:val="Header"/>
    </w:pPr>
    <w:r>
      <w:rPr>
        <w:noProof/>
      </w:rPr>
      <w:pict w14:anchorId="198E55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66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C67" w14:textId="7C826FF7" w:rsidR="00896F64" w:rsidRDefault="00400B07">
    <w:pPr>
      <w:pStyle w:val="Header"/>
    </w:pPr>
    <w:r>
      <w:rPr>
        <w:noProof/>
      </w:rPr>
      <w:pict w14:anchorId="199ECF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66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67D"/>
    <w:rsid w:val="000A6D9D"/>
    <w:rsid w:val="000B5D7D"/>
    <w:rsid w:val="00237494"/>
    <w:rsid w:val="002E40EE"/>
    <w:rsid w:val="00371EDD"/>
    <w:rsid w:val="00400B07"/>
    <w:rsid w:val="00452E77"/>
    <w:rsid w:val="005D152C"/>
    <w:rsid w:val="00776D52"/>
    <w:rsid w:val="007B2839"/>
    <w:rsid w:val="007C384A"/>
    <w:rsid w:val="00896F64"/>
    <w:rsid w:val="008A13E3"/>
    <w:rsid w:val="00977C6F"/>
    <w:rsid w:val="00982429"/>
    <w:rsid w:val="00C95546"/>
    <w:rsid w:val="00D15FA9"/>
    <w:rsid w:val="00D37B37"/>
    <w:rsid w:val="00E7667D"/>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E5822B1"/>
  <w15:docId w15:val="{1F92EB84-1C2C-4B3C-8352-D710F4771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character" w:styleId="LineNumber">
    <w:name w:val="line number"/>
    <w:basedOn w:val="DefaultParagraphFont"/>
    <w:uiPriority w:val="99"/>
    <w:semiHidden/>
    <w:unhideWhenUsed/>
    <w:rsid w:val="00452E77"/>
  </w:style>
  <w:style w:type="character" w:styleId="Hyperlink">
    <w:name w:val="Hyperlink"/>
    <w:basedOn w:val="DefaultParagraphFont"/>
    <w:uiPriority w:val="99"/>
    <w:unhideWhenUsed/>
    <w:rsid w:val="00452E77"/>
    <w:rPr>
      <w:color w:val="0000FF" w:themeColor="hyperlink"/>
      <w:u w:val="single"/>
    </w:rPr>
  </w:style>
  <w:style w:type="character" w:customStyle="1" w:styleId="UnresolvedMention">
    <w:name w:val="Unresolved Mention"/>
    <w:basedOn w:val="DefaultParagraphFont"/>
    <w:uiPriority w:val="99"/>
    <w:semiHidden/>
    <w:unhideWhenUsed/>
    <w:rsid w:val="00452E77"/>
    <w:rPr>
      <w:color w:val="605E5C"/>
      <w:shd w:val="clear" w:color="auto" w:fill="E1DFDD"/>
    </w:rPr>
  </w:style>
  <w:style w:type="paragraph" w:styleId="Footer">
    <w:name w:val="footer"/>
    <w:basedOn w:val="Normal"/>
    <w:link w:val="FooterChar"/>
    <w:uiPriority w:val="99"/>
    <w:unhideWhenUsed/>
    <w:rsid w:val="000B5D7D"/>
    <w:pPr>
      <w:tabs>
        <w:tab w:val="center" w:pos="4680"/>
        <w:tab w:val="right" w:pos="9360"/>
      </w:tabs>
    </w:pPr>
  </w:style>
  <w:style w:type="character" w:customStyle="1" w:styleId="FooterChar">
    <w:name w:val="Footer Char"/>
    <w:basedOn w:val="DefaultParagraphFont"/>
    <w:link w:val="Footer"/>
    <w:uiPriority w:val="99"/>
    <w:rsid w:val="000B5D7D"/>
  </w:style>
  <w:style w:type="paragraph" w:styleId="ListParagraph">
    <w:name w:val="List Paragraph"/>
    <w:basedOn w:val="Normal"/>
    <w:uiPriority w:val="34"/>
    <w:qFormat/>
    <w:rsid w:val="00237494"/>
    <w:pPr>
      <w:ind w:left="720"/>
      <w:contextualSpacing/>
    </w:pPr>
  </w:style>
  <w:style w:type="paragraph" w:styleId="Header">
    <w:name w:val="header"/>
    <w:basedOn w:val="Normal"/>
    <w:link w:val="HeaderChar"/>
    <w:uiPriority w:val="99"/>
    <w:unhideWhenUsed/>
    <w:rsid w:val="00896F64"/>
    <w:pPr>
      <w:tabs>
        <w:tab w:val="center" w:pos="4513"/>
        <w:tab w:val="right" w:pos="9026"/>
      </w:tabs>
    </w:pPr>
  </w:style>
  <w:style w:type="character" w:customStyle="1" w:styleId="HeaderChar">
    <w:name w:val="Header Char"/>
    <w:basedOn w:val="DefaultParagraphFont"/>
    <w:link w:val="Header"/>
    <w:uiPriority w:val="99"/>
    <w:rsid w:val="00896F64"/>
  </w:style>
  <w:style w:type="character" w:styleId="CommentReference">
    <w:name w:val="annotation reference"/>
    <w:basedOn w:val="DefaultParagraphFont"/>
    <w:uiPriority w:val="99"/>
    <w:semiHidden/>
    <w:unhideWhenUsed/>
    <w:rsid w:val="00977C6F"/>
    <w:rPr>
      <w:sz w:val="16"/>
      <w:szCs w:val="16"/>
    </w:rPr>
  </w:style>
  <w:style w:type="paragraph" w:styleId="CommentText">
    <w:name w:val="annotation text"/>
    <w:basedOn w:val="Normal"/>
    <w:link w:val="CommentTextChar"/>
    <w:uiPriority w:val="99"/>
    <w:semiHidden/>
    <w:unhideWhenUsed/>
    <w:rsid w:val="00977C6F"/>
  </w:style>
  <w:style w:type="character" w:customStyle="1" w:styleId="CommentTextChar">
    <w:name w:val="Comment Text Char"/>
    <w:basedOn w:val="DefaultParagraphFont"/>
    <w:link w:val="CommentText"/>
    <w:uiPriority w:val="99"/>
    <w:semiHidden/>
    <w:rsid w:val="00977C6F"/>
  </w:style>
  <w:style w:type="paragraph" w:styleId="CommentSubject">
    <w:name w:val="annotation subject"/>
    <w:basedOn w:val="CommentText"/>
    <w:next w:val="CommentText"/>
    <w:link w:val="CommentSubjectChar"/>
    <w:uiPriority w:val="99"/>
    <w:semiHidden/>
    <w:unhideWhenUsed/>
    <w:rsid w:val="00977C6F"/>
    <w:rPr>
      <w:b/>
      <w:bCs/>
    </w:rPr>
  </w:style>
  <w:style w:type="character" w:customStyle="1" w:styleId="CommentSubjectChar">
    <w:name w:val="Comment Subject Char"/>
    <w:basedOn w:val="CommentTextChar"/>
    <w:link w:val="CommentSubject"/>
    <w:uiPriority w:val="99"/>
    <w:semiHidden/>
    <w:rsid w:val="00977C6F"/>
    <w:rPr>
      <w:b/>
      <w:bCs/>
    </w:rPr>
  </w:style>
  <w:style w:type="paragraph" w:styleId="BalloonText">
    <w:name w:val="Balloon Text"/>
    <w:basedOn w:val="Normal"/>
    <w:link w:val="BalloonTextChar"/>
    <w:uiPriority w:val="99"/>
    <w:semiHidden/>
    <w:unhideWhenUsed/>
    <w:rsid w:val="00977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C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mc.ncbi.nlm.nih.gov/articles/PMC8067740/" TargetMode="External"/><Relationship Id="rId39" Type="http://schemas.openxmlformats.org/officeDocument/2006/relationships/hyperlink" Target="https://doi.org/10.1016/j.ecns.2020.11.004" TargetMode="External"/><Relationship Id="rId21" Type="http://schemas.microsoft.com/office/2011/relationships/commentsExtended" Target="commentsExtended.xml"/><Relationship Id="rId34" Type="http://schemas.openxmlformats.org/officeDocument/2006/relationships/hyperlink" Target="https://doi.org/10.1016/j.profnurs.2021.07.007" TargetMode="External"/><Relationship Id="rId42" Type="http://schemas.openxmlformats.org/officeDocument/2006/relationships/hyperlink" Target="https://doi.org/10.1097/NNE.0000000000001716"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header" Target="header2.xml"/><Relationship Id="rId2" Type="http://schemas.openxmlformats.org/officeDocument/2006/relationships/settings" Target="settings.xml"/><Relationship Id="rId29" Type="http://schemas.openxmlformats.org/officeDocument/2006/relationships/hyperlink" Target="https://doi.org/10.1097/01.nep.0000000000001434" TargetMode="External"/><Relationship Id="rId1" Type="http://schemas.openxmlformats.org/officeDocument/2006/relationships/styles" Target="styles.xml"/><Relationship Id="rId6" Type="http://schemas.openxmlformats.org/officeDocument/2006/relationships/header" Target="header1.xml"/><Relationship Id="rId24" Type="http://schemas.openxmlformats.org/officeDocument/2006/relationships/hyperlink" Target="https://doi.org/10.1016/j.apnu.2010.05.005" TargetMode="External"/><Relationship Id="rId32" Type="http://schemas.openxmlformats.org/officeDocument/2006/relationships/hyperlink" Target="https://doi.org/10.4103/aca.aca_157_18" TargetMode="External"/><Relationship Id="rId37" Type="http://schemas.openxmlformats.org/officeDocument/2006/relationships/hyperlink" Target="https://www.mdpi.com/2039-4403/14/1/28" TargetMode="External"/><Relationship Id="rId40" Type="http://schemas.openxmlformats.org/officeDocument/2006/relationships/hyperlink" Target="https://doi.org/10.4103/aca.ACA_157_18" TargetMode="External"/><Relationship Id="rId45" Type="http://schemas.openxmlformats.org/officeDocument/2006/relationships/hyperlink" Target="https://novopsych.com/wp-content/uploads/2023/03/Generalised-Anxiety-Disorder-Assesment-GAD-7.pdf" TargetMode="External"/><Relationship Id="rId53" Type="http://schemas.openxmlformats.org/officeDocument/2006/relationships/theme" Target="theme/theme1.xml"/><Relationship Id="rId5" Type="http://schemas.openxmlformats.org/officeDocument/2006/relationships/endnotes" Target="endnotes.xml"/><Relationship Id="rId23" Type="http://schemas.openxmlformats.org/officeDocument/2006/relationships/hyperlink" Target="https://doi.org/10.1097/ANC.0000000000000428" TargetMode="External"/><Relationship Id="rId28" Type="http://schemas.openxmlformats.org/officeDocument/2006/relationships/hyperlink" Target="https://www.google.com/search?q=https://digital.library.adelaide.edu.au/dspace/handle/2440/15227" TargetMode="External"/><Relationship Id="rId36" Type="http://schemas.openxmlformats.org/officeDocument/2006/relationships/hyperlink" Target="https://doi.org/10.1111/inr.12393" TargetMode="External"/><Relationship Id="rId49"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1.png"/><Relationship Id="rId31" Type="http://schemas.openxmlformats.org/officeDocument/2006/relationships/hyperlink" Target="https://doi.org/10.3390/nursrep15060194" TargetMode="External"/><Relationship Id="rId44" Type="http://schemas.openxmlformats.org/officeDocument/2006/relationships/hyperlink" Target="https://doi.org/10.1186/s12909-020-02294-z" TargetMode="External"/><Relationship Id="rId52" Type="http://schemas.microsoft.com/office/2011/relationships/people" Target="people.xml"/><Relationship Id="rId4" Type="http://schemas.openxmlformats.org/officeDocument/2006/relationships/footnotes" Target="footnotes.xml"/><Relationship Id="rId9" Type="http://schemas.openxmlformats.org/officeDocument/2006/relationships/header" Target="header3.xml"/><Relationship Id="rId22" Type="http://schemas.openxmlformats.org/officeDocument/2006/relationships/hyperlink" Target="https://doi.org/10.3390/su15021539" TargetMode="External"/><Relationship Id="rId27" Type="http://schemas.openxmlformats.org/officeDocument/2006/relationships/hyperlink" Target="https://doi.org/10.1111/1475-6773.12117" TargetMode="External"/><Relationship Id="rId30" Type="http://schemas.openxmlformats.org/officeDocument/2006/relationships/hyperlink" Target="https://archive.org/details/presentationofs00goff" TargetMode="External"/><Relationship Id="rId35" Type="http://schemas.openxmlformats.org/officeDocument/2006/relationships/hyperlink" Target="https://doi.org/10.1111/wvn.12415" TargetMode="External"/><Relationship Id="rId43" Type="http://schemas.openxmlformats.org/officeDocument/2006/relationships/hyperlink" Target="https://doi.org/10.1258/jhsrp.2007.007074" TargetMode="External"/><Relationship Id="rId48" Type="http://schemas.openxmlformats.org/officeDocument/2006/relationships/header" Target="header5.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hyperlink" Target="https://doi.org/10.1016/j.nedt.2023.105871" TargetMode="External"/><Relationship Id="rId33" Type="http://schemas.openxmlformats.org/officeDocument/2006/relationships/hyperlink" Target="https://www.ucpress.edu/books/the-managed-heart/paper" TargetMode="External"/><Relationship Id="rId38" Type="http://schemas.openxmlformats.org/officeDocument/2006/relationships/hyperlink" Target="https://doi.org/10.1016/j.nedt.2020.104345" TargetMode="External"/><Relationship Id="rId46" Type="http://schemas.openxmlformats.org/officeDocument/2006/relationships/hyperlink" Target="https://doi.org/10.1177/20597991231188121" TargetMode="External"/><Relationship Id="rId20" Type="http://schemas.openxmlformats.org/officeDocument/2006/relationships/comments" Target="comments.xml"/><Relationship Id="rId41" Type="http://schemas.openxmlformats.org/officeDocument/2006/relationships/hyperlink" Target="https://doi.org/10.4103/aca.ACA_157_1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8454</Words>
  <Characters>48193</Characters>
  <Application>Microsoft Office Word</Application>
  <DocSecurity>0</DocSecurity>
  <Lines>401</Lines>
  <Paragraphs>113</Paragraphs>
  <ScaleCrop>false</ScaleCrop>
  <Company/>
  <LinksUpToDate>false</LinksUpToDate>
  <CharactersWithSpaces>56534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18</cp:revision>
  <dcterms:created xsi:type="dcterms:W3CDTF">2026-03-30T07:11:00Z</dcterms:created>
  <dcterms:modified xsi:type="dcterms:W3CDTF">2026-03-31T09:11:00Z</dcterms:modified>
</cp:coreProperties>
</file>