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E3922" w14:textId="21B31BB9" w:rsidR="00BC25C4" w:rsidRDefault="00D16CB1" w:rsidP="00E973D4">
      <w:pPr>
        <w:spacing w:after="0" w:line="240" w:lineRule="auto"/>
        <w:rPr>
          <w:rFonts w:ascii="Times New Roman" w:hAnsi="Times New Roman" w:cs="Times New Roman"/>
          <w:b/>
          <w:bCs/>
          <w:sz w:val="24"/>
          <w:szCs w:val="24"/>
        </w:rPr>
      </w:pPr>
      <w:r w:rsidRPr="00D16CB1">
        <w:rPr>
          <w:rFonts w:ascii="Times New Roman" w:hAnsi="Times New Roman" w:cs="Times New Roman"/>
          <w:b/>
          <w:bCs/>
          <w:sz w:val="24"/>
          <w:szCs w:val="24"/>
        </w:rPr>
        <w:t xml:space="preserve">Awareness, Knowledge, and Perception of Human Papilloma Virus (HPV) Vaccination Among Healthcare Workers </w:t>
      </w:r>
      <w:proofErr w:type="gramStart"/>
      <w:r w:rsidRPr="005F5AF7">
        <w:rPr>
          <w:rFonts w:ascii="Times New Roman" w:hAnsi="Times New Roman" w:cs="Times New Roman"/>
          <w:b/>
          <w:bCs/>
          <w:sz w:val="24"/>
          <w:szCs w:val="24"/>
          <w:highlight w:val="yellow"/>
        </w:rPr>
        <w:t>In</w:t>
      </w:r>
      <w:proofErr w:type="gramEnd"/>
      <w:r w:rsidRPr="00D16CB1">
        <w:rPr>
          <w:rFonts w:ascii="Times New Roman" w:hAnsi="Times New Roman" w:cs="Times New Roman"/>
          <w:b/>
          <w:bCs/>
          <w:sz w:val="24"/>
          <w:szCs w:val="24"/>
        </w:rPr>
        <w:t xml:space="preserve"> Selected Primary Health Centres in </w:t>
      </w:r>
      <w:r w:rsidRPr="005F5AF7">
        <w:rPr>
          <w:rFonts w:ascii="Times New Roman" w:hAnsi="Times New Roman" w:cs="Times New Roman"/>
          <w:b/>
          <w:bCs/>
          <w:sz w:val="24"/>
          <w:szCs w:val="24"/>
          <w:highlight w:val="yellow"/>
        </w:rPr>
        <w:t>Ado-Ekiti</w:t>
      </w:r>
    </w:p>
    <w:p w14:paraId="6F3B451F" w14:textId="77777777" w:rsidR="00D16CB1" w:rsidRDefault="00D16CB1" w:rsidP="00E973D4">
      <w:pPr>
        <w:spacing w:after="0" w:line="240" w:lineRule="auto"/>
        <w:rPr>
          <w:rFonts w:ascii="Times New Roman" w:hAnsi="Times New Roman" w:cs="Times New Roman"/>
          <w:b/>
          <w:bCs/>
          <w:sz w:val="24"/>
          <w:szCs w:val="24"/>
        </w:rPr>
      </w:pPr>
    </w:p>
    <w:p w14:paraId="69F97C3F" w14:textId="77777777" w:rsidR="00BC25C4" w:rsidRPr="00942103" w:rsidRDefault="00BC25C4" w:rsidP="00E973D4">
      <w:pPr>
        <w:spacing w:after="0" w:line="240" w:lineRule="auto"/>
        <w:rPr>
          <w:rFonts w:ascii="Times New Roman" w:hAnsi="Times New Roman" w:cs="Times New Roman"/>
          <w:b/>
          <w:bCs/>
          <w:sz w:val="24"/>
          <w:szCs w:val="24"/>
        </w:rPr>
      </w:pPr>
    </w:p>
    <w:p w14:paraId="4BD42D6F" w14:textId="77777777" w:rsidR="00E973D4" w:rsidRDefault="00E973D4" w:rsidP="00DD57A3">
      <w:pPr>
        <w:spacing w:after="0" w:line="240" w:lineRule="auto"/>
        <w:jc w:val="both"/>
        <w:rPr>
          <w:rFonts w:ascii="Times New Roman" w:hAnsi="Times New Roman" w:cs="Times New Roman"/>
          <w:b/>
          <w:bCs/>
          <w:sz w:val="24"/>
          <w:szCs w:val="24"/>
          <w:lang w:val="en-US"/>
        </w:rPr>
      </w:pPr>
    </w:p>
    <w:p w14:paraId="25DFC821" w14:textId="77777777" w:rsidR="00DD57A3" w:rsidRDefault="00DD57A3" w:rsidP="00DD57A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50D546F" w14:textId="77777777" w:rsidR="00DD57A3"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Introduction</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 xml:space="preserve">Cervical cancer remains a major public health challenge in low- and middle-income countries, including Nigeria, despite the availability of effective prevention through human papillomavirus (HPV) vaccination. This study assessed awareness, knowledge, perception, and acceptability of HPV vaccination among primary healthcare workers (PHCWs) in </w:t>
      </w:r>
      <w:proofErr w:type="spellStart"/>
      <w:r w:rsidRPr="001508BC">
        <w:rPr>
          <w:rFonts w:ascii="Times New Roman" w:hAnsi="Times New Roman" w:cs="Times New Roman"/>
          <w:bCs/>
          <w:sz w:val="24"/>
          <w:szCs w:val="24"/>
          <w:lang w:val="en-US"/>
        </w:rPr>
        <w:t>Ado</w:t>
      </w:r>
      <w:proofErr w:type="spellEnd"/>
      <w:r w:rsidRPr="001508BC">
        <w:rPr>
          <w:rFonts w:ascii="Times New Roman" w:hAnsi="Times New Roman" w:cs="Times New Roman"/>
          <w:bCs/>
          <w:sz w:val="24"/>
          <w:szCs w:val="24"/>
          <w:lang w:val="en-US"/>
        </w:rPr>
        <w:t xml:space="preserve">-Ekiti, Nigeria. </w:t>
      </w:r>
    </w:p>
    <w:p w14:paraId="3B6CF3E0"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Methods</w:t>
      </w:r>
      <w:r>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 xml:space="preserve">A descriptive cross-sectional design was employed, with 79 PHCWs selected through multistage sampling. Data were collected using a validated self-administered questionnaire and </w:t>
      </w:r>
      <w:proofErr w:type="spellStart"/>
      <w:r w:rsidRPr="001508BC">
        <w:rPr>
          <w:rFonts w:ascii="Times New Roman" w:hAnsi="Times New Roman" w:cs="Times New Roman"/>
          <w:bCs/>
          <w:sz w:val="24"/>
          <w:szCs w:val="24"/>
          <w:lang w:val="en-US"/>
        </w:rPr>
        <w:t>analysed</w:t>
      </w:r>
      <w:proofErr w:type="spellEnd"/>
      <w:r w:rsidRPr="001508BC">
        <w:rPr>
          <w:rFonts w:ascii="Times New Roman" w:hAnsi="Times New Roman" w:cs="Times New Roman"/>
          <w:bCs/>
          <w:sz w:val="24"/>
          <w:szCs w:val="24"/>
          <w:lang w:val="en-US"/>
        </w:rPr>
        <w:t xml:space="preserve"> using descriptive statistics and chi-square tests </w:t>
      </w:r>
      <w:r w:rsidRPr="005F5AF7">
        <w:rPr>
          <w:rFonts w:ascii="Times New Roman" w:hAnsi="Times New Roman" w:cs="Times New Roman"/>
          <w:bCs/>
          <w:sz w:val="24"/>
          <w:szCs w:val="24"/>
          <w:highlight w:val="yellow"/>
          <w:lang w:val="en-US"/>
        </w:rPr>
        <w:t>at p &lt; 0.05</w:t>
      </w:r>
      <w:r w:rsidRPr="001508BC">
        <w:rPr>
          <w:rFonts w:ascii="Times New Roman" w:hAnsi="Times New Roman" w:cs="Times New Roman"/>
          <w:bCs/>
          <w:sz w:val="24"/>
          <w:szCs w:val="24"/>
          <w:lang w:val="en-US"/>
        </w:rPr>
        <w:t>.</w:t>
      </w:r>
    </w:p>
    <w:p w14:paraId="5DD4B223"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Results:</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Findings revealed universal awareness (100%) of HPV vaccination and high overall awareness levels (82%). Most respondents correctly identified the recommended vaccination age (9–14 years) and its role in preventing cervical cancer. However, notable knowledge gaps were observed: 59.5% believed HPV affects only females, 53.2% considered vaccination inappropriate for sexually active individuals, and 98.7% incorrectly recommended pre-vaccination screening. While perception of vaccine effectiveness was overwhelmingly positive (100%), safety concerns persisted, with 58.2% expressing doubts about vaccine safety and 50.6% perceiving negative societal attitudes.</w:t>
      </w:r>
    </w:p>
    <w:p w14:paraId="43C2D9C8"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Cs/>
          <w:sz w:val="24"/>
          <w:szCs w:val="24"/>
          <w:lang w:val="en-US"/>
        </w:rPr>
        <w:t xml:space="preserve">Acceptability was generally high, with all respondents supporting HPV vaccination, its inclusion in routine immunization, and willingness to recommend it. However, only 33.3% had personally received the vaccine. Years of professional experience </w:t>
      </w:r>
      <w:r w:rsidR="00E973D4">
        <w:rPr>
          <w:rFonts w:ascii="Times New Roman" w:hAnsi="Times New Roman" w:cs="Times New Roman"/>
          <w:bCs/>
          <w:sz w:val="24"/>
          <w:szCs w:val="24"/>
          <w:lang w:val="en-US"/>
        </w:rPr>
        <w:t>were</w:t>
      </w:r>
      <w:r w:rsidRPr="001508BC">
        <w:rPr>
          <w:rFonts w:ascii="Times New Roman" w:hAnsi="Times New Roman" w:cs="Times New Roman"/>
          <w:bCs/>
          <w:sz w:val="24"/>
          <w:szCs w:val="24"/>
          <w:lang w:val="en-US"/>
        </w:rPr>
        <w:t xml:space="preserve"> significantly associated with acceptability (χ² = 21.407, p = 0.006).</w:t>
      </w:r>
    </w:p>
    <w:p w14:paraId="2529AB2B"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Conclusion</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The study concludes that although PHCWs demonstrate high awareness and positive disposition toward HPV vaccination, critical knowledge gaps and safety concerns persist. Targeted training and risk communication strategies are essential to strengthen vaccine confidence and optimize uptake.</w:t>
      </w:r>
    </w:p>
    <w:p w14:paraId="3221A17E" w14:textId="77777777" w:rsidR="00DD57A3" w:rsidRDefault="00DD57A3" w:rsidP="00DD57A3">
      <w:pPr>
        <w:spacing w:after="0" w:line="240" w:lineRule="auto"/>
        <w:jc w:val="both"/>
        <w:rPr>
          <w:rFonts w:ascii="Times New Roman" w:hAnsi="Times New Roman" w:cs="Times New Roman"/>
          <w:b/>
          <w:bCs/>
          <w:sz w:val="24"/>
          <w:szCs w:val="24"/>
          <w:lang w:val="en-US"/>
        </w:rPr>
      </w:pPr>
    </w:p>
    <w:p w14:paraId="4F3D285A" w14:textId="77777777" w:rsidR="00DD57A3" w:rsidRDefault="00DD57A3" w:rsidP="00DD57A3">
      <w:pPr>
        <w:spacing w:after="0" w:line="240" w:lineRule="auto"/>
        <w:jc w:val="both"/>
        <w:rPr>
          <w:rFonts w:ascii="Times New Roman" w:hAnsi="Times New Roman" w:cs="Times New Roman"/>
          <w:b/>
          <w:bCs/>
          <w:sz w:val="24"/>
          <w:szCs w:val="24"/>
          <w:lang w:val="en-US"/>
        </w:rPr>
      </w:pPr>
    </w:p>
    <w:p w14:paraId="7841ECC5" w14:textId="77777777" w:rsidR="00E973D4" w:rsidRDefault="00E973D4" w:rsidP="00DD57A3">
      <w:pPr>
        <w:spacing w:after="0" w:line="240" w:lineRule="auto"/>
        <w:jc w:val="both"/>
        <w:rPr>
          <w:rFonts w:ascii="Times New Roman" w:hAnsi="Times New Roman" w:cs="Times New Roman"/>
          <w:b/>
          <w:bCs/>
          <w:sz w:val="24"/>
          <w:szCs w:val="24"/>
          <w:lang w:val="en-US"/>
        </w:rPr>
      </w:pPr>
    </w:p>
    <w:p w14:paraId="142526DF" w14:textId="77777777" w:rsidR="00DD57A3" w:rsidRPr="001508BC" w:rsidRDefault="00DD57A3" w:rsidP="00DD57A3">
      <w:pPr>
        <w:spacing w:after="0" w:line="240" w:lineRule="auto"/>
        <w:jc w:val="both"/>
        <w:rPr>
          <w:rFonts w:ascii="Times New Roman" w:hAnsi="Times New Roman" w:cs="Times New Roman"/>
          <w:b/>
          <w:bCs/>
          <w:sz w:val="24"/>
          <w:szCs w:val="24"/>
          <w:lang w:val="en-US"/>
        </w:rPr>
      </w:pPr>
      <w:r w:rsidRPr="005F5AF7">
        <w:rPr>
          <w:rFonts w:ascii="Times New Roman" w:hAnsi="Times New Roman" w:cs="Times New Roman"/>
          <w:b/>
          <w:bCs/>
          <w:sz w:val="24"/>
          <w:szCs w:val="24"/>
          <w:highlight w:val="yellow"/>
          <w:lang w:val="en-US"/>
        </w:rPr>
        <w:t>Background of the Study</w:t>
      </w:r>
    </w:p>
    <w:p w14:paraId="705102AA"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Cervical cancer remains one of the leading causes of cancer morbidity and mortality among women in low</w:t>
      </w:r>
      <w:r w:rsidRPr="00162CDF">
        <w:rPr>
          <w:rFonts w:ascii="Times New Roman" w:hAnsi="Times New Roman" w:cs="Times New Roman"/>
          <w:bCs/>
          <w:sz w:val="24"/>
          <w:szCs w:val="24"/>
          <w:lang w:val="en-US"/>
        </w:rPr>
        <w:noBreakHyphen/>
        <w:t xml:space="preserve"> and middle</w:t>
      </w:r>
      <w:r w:rsidRPr="00162CDF">
        <w:rPr>
          <w:rFonts w:ascii="Times New Roman" w:hAnsi="Times New Roman" w:cs="Times New Roman"/>
          <w:bCs/>
          <w:sz w:val="24"/>
          <w:szCs w:val="24"/>
          <w:lang w:val="en-US"/>
        </w:rPr>
        <w:noBreakHyphen/>
        <w:t>income countries, despite being largely preventable through timely vaccination against high</w:t>
      </w:r>
      <w:r w:rsidRPr="00162CDF">
        <w:rPr>
          <w:rFonts w:ascii="Times New Roman" w:hAnsi="Times New Roman" w:cs="Times New Roman"/>
          <w:bCs/>
          <w:sz w:val="24"/>
          <w:szCs w:val="24"/>
          <w:lang w:val="en-US"/>
        </w:rPr>
        <w:noBreakHyphen/>
        <w:t>risk human papillomavirus (HPV) types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{"citationID":"jV80tqo9","properties":{"formattedCitation":"(Kyei et al., 2025; Okagbue et al., 2025)","plainCitation":"(Kyei et al., 2025; Okagbue et al., 2025)","noteIndex":0},"citationItems":[{"id":664,"uris":["http://zotero.org/users/local/JDPtEcoO/items/ZDHRKIWY"],"itemData":{"id":664,"type":"article-journal","abstract":"The human papillomavirus (HPV) vaccine is a critical tool in cervical cancer prevention, yet uptake remains suboptimal in the United States. This scoping review examines the multilevel determinants influencing HPV vaccine uptake among women, identifying key barriers and facilitators to vaccination. Using the socioecological model (SEM), this review categorizes factors affecting vaccine uptake across individual, interpersonal, community, and societal levels, providing a structured framework for analyzing multilevel influences. Studies published in English between 2009 and 2023 were systematically reviewed, focusing on HPV vaccine uptake determinants among U.S. females aged 9 to 45, aligning with vaccination guidelines. Fifteen studies were included in the final analysis. However, studies including older adults (up to 80 years) were analyzed to explore vaccine awareness trends and decision-making beyond the routinely recommended age groups. Excluded were studies focusing solely on healthcare providers’ perspectives, those conducted outside the United States, and non-English language publications. A comprehensive search of PsycINFO, CINAHL, and PubMed was conducted using relevant keywords to ensure a thorough literature review. Findings indicate that multiple interrelated factors, including misinformation, healthcare provider recommendations, socioeconomic status, insurance coverage, cultural beliefs, and geographic disparities, shape vaccine hesitancy. Key barriers include a lack of provider recommendations, financial constraints, and concerns about vaccine safety, while facilitators include strong provider communication and targeted educational interventions. Addressing these barriers through multilevel interventions such as provider training, policy reforms, and community-driven outreach will be essential for increasing HPV vaccine uptake and reducing cervical cancer disparities among underserved populations.","container-title":"Policy, Politics, &amp; Nursing Practice","DOI":"10.1177/15271544251364251","ISSN":"1527-1544","issue":"4","page":"256-272","publisher":"SAGE Publications","source":"journals.sagepub.com (Atypon)","title":"Determinants of HPV Vaccine Uptake in Women in the United States: A Scoping Review of Socioecological Influences","title-short":"Determinants of HPV Vaccine Uptake in Women in the United States","volume":"26","author":[{"family":"Kyei","given":"Grace K."},{"family":"Kyei","given":"Evans F."},{"family":"Ansong","given":"Rockson"}],"issued":{"date-parts":[["2025",11]]}}},{"id":662,"uris":["http://zotero.org/users/local/JDPtEcoO/items/G9ZPP8HE"],"itemData":{"id":662,"type":"article-journal","abstract":"The Nigerian Federal Government planned to launch the Human Papillomavirus (HPV) vaccine on September 25, 2023. We therefore aimed to assess caregiver awareness and willingness regarding HPV vaccine uptake for girls aged 9-14 across eight states (Abia, Adamawa, Bayelsa, Benue, Enugu, FCT, Jigawa, and Taraba), evaluating public readiness for the vaccine rollout. A cross-sectional telephone survey was conducted in the eight states using a structured questionnaire. Stratified random sampling was employed to ensure representation from each state's three senatorial districts. Adult participants' socio-demographic characteristics-including their relationship to the child, gender, settlement type (rural/urban), and age group-were analyzed. Local Government Area and Senatorial Zone were used solely for geographical representation. Awareness, perceived severity, susceptibility, and willingness for HPV vaccine uptake were calculated based on questionnaire responses. Descriptive statistics, correlation analyses, ordinal and linear regression, and mediation regression were applied to derive results. Our findings indicated low general HPV awareness but high willingness for vaccine uptake among caregivers. Northern states exhibited higher awareness, perceived severity, susceptibility, and willingness compared to Southern states. Significant differences emerged across states in awareness and willingness, with positive correlations observed among awareness, severity, susceptibility, and willingness. Multiple linear regression revealed that awareness does not directly predict willingness, while mediation regression demonstrated that awareness indirectly influences willingness through severity and susceptibility. The study's implications were analyzed using the Health Belief Model (HBM). Our survey found geopolitical disparities in HPV awareness and willingness across Nigeria. Future interventions should prioritize emphasizing the severity and susceptibility of HPV-related diseases, particularly in low-resource settings. Providing accurate information from trusted sources and addressing misconceptions through evidence-based strategies can enhance informed decision-making regarding HPV vaccination.","container-title":"BMC Public Health","DOI":"10.1186/s12889-025-22000-2","source":"consensus.app","title":"Predictors of willingness of HPV vaccine uptake across Eight States in Nigeria","URL":"https://consensus.app/papers/predictors-of-willingness-of-hpv-vaccine-uptake-across-okagbue-erekosima/7b92f4e252c05a72889b6a08d0b6a297/","volume":"25","author":[{"family":"Okagbue","given":"Hilary"},{"family":"Erekosima","given":"Grace"},{"family":"Sampson","given":"Sidney"},{"family":"Atuhaire","given":"Brian"},{"family":"Samuel","given":"O."},{"family":"Chimezie","given":"Bright"},{"family":"Dauda","given":"Mahfus"},{"family":"Jimoh","given":"A."},{"family":"Ogbu","given":"Gideon"},{"family":"Ayuba","given":"Joshua"},{"family":"Shinshima","given":"Iveren"}],"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F52DBD">
        <w:rPr>
          <w:rFonts w:ascii="Times New Roman" w:hAnsi="Times New Roman" w:cs="Times New Roman"/>
          <w:sz w:val="24"/>
        </w:rPr>
        <w:t>(Kyei et al., 2025; Okagbue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Nigeria, cervical cancer is the second most frequent cancer among women aged 15</w:t>
      </w:r>
      <w:r>
        <w:rPr>
          <w:rFonts w:ascii="Times New Roman" w:hAnsi="Times New Roman" w:cs="Times New Roman"/>
          <w:bCs/>
          <w:sz w:val="24"/>
          <w:szCs w:val="24"/>
          <w:lang w:val="en-US"/>
        </w:rPr>
        <w:t>-</w:t>
      </w:r>
      <w:r w:rsidRPr="00162CDF">
        <w:rPr>
          <w:rFonts w:ascii="Times New Roman" w:hAnsi="Times New Roman" w:cs="Times New Roman"/>
          <w:bCs/>
          <w:sz w:val="24"/>
          <w:szCs w:val="24"/>
          <w:lang w:val="en-US"/>
        </w:rPr>
        <w:t>44 years, with a substantial burden of new diagnoses and preventable deaths each day</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{"citationID":"EiugXDOh","properties":{"formattedCitation":"(Suberu et al., 2025)","plainCitation":"(Suberu et al., 2025)","noteIndex":0},"citationItems":[{"id":668,"uris":["http://zotero.org/users/local/JDPtEcoO/items/9LF5ZAA6"],"itemData":{"id":668,"type":"article-journal","abstract":"Cervical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F52DBD">
        <w:rPr>
          <w:rFonts w:ascii="Times New Roman" w:hAnsi="Times New Roman" w:cs="Times New Roman"/>
          <w:sz w:val="24"/>
        </w:rPr>
        <w:t>(Suberu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Persistent infection with oncogenic HPV types 16 and 18 accounts for about 70% of cervical cancers and contributes to other anogenital and oropharyngeal malignancies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{"citationID":"awwPt6rw","properties":{"unsorted":true,"formattedCitation":"(Vincent et al., 2024; Nkechi &amp; Josephine, 2025)","plainCitation":"(Vincent et al., 2024; Nkechi &amp; Josephine, 2025)","noteIndex":0},"citationItems":[{"id":672,"uris":["http://zotero.org/users/local/JDPtEcoO/items/D2J5Q4LH"],"itemData":{"id":672,"type":"article-journal","abstract":"Human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Hashmi","given":"Aysha"}],"accessed":{"date-parts":[["2026",3,11]]},"issued":{"date-parts":[["2024",5,14]]}}},{"id":670,"uris":["http://zotero.org/users/local/JDPtEcoO/items/HIG2HKWZ"],"itemData":{"id":670,"type":"article-journal","abstract":"Background\n\nHuman papillomavirus (HPV) infection is the most common sexually transmitted infection. Persistent infection accounts for about 70% of all invasive cancers, including cervical, anal, penile, and oropharyngeal cancers.\n\nObjective\n\nThis study aimed to determine the level of knowledge of HPV infections and vaccination among midwives at the University of Port Harcourt Teaching Hospital, Rivers State.\n\nStudy Design\n\nA descriptive cross-sectional survey design was adopted. A convenience sampling technique was used to select 203 midwives from a population of 679. A self-structured and validated questionnaire was used for data collection. Data were analysed using the Statistical Package for the Social Sciences (SPSS) version 22.0, employing descriptive statistics and binary logistic regression.\n\nResults\n\nThe findings revealed that midwives had high foundational knowledge of HPV, with 87.7% of respondents correctly identifying sexual intercourse as the primary transmission route and 85.7% acknowledging its link to cervical cancer. However, significant misconceptions about HPV transmission remained evident. Educational qualification significantly influenced midwives’ general knowledge of HPV and their clinical decision-making capabilities, as those with advanced degrees (MMW) consistently demonstrated superior knowledge compared to their diploma-qualified counterparts (RM, RN/M). Awareness of the HPV vaccine’s preventive role was relatively high (69.5%), but misconceptions regarding its coverage and long-term protective efficacy, alongside concerns about vaccine safety and financial constraints, significantly impeded vaccine uptake.\n\nConclusion\n\nThe study concludes that midwives have a generally high level of knowledge about HPV, but persistent misconceptions about the infection and vaccine remain. Regular training is needed to improve their understanding, increase vaccine uptake, and strengthen preventive healthcare delivery.","container-title":"International Journal of Research and Scientific Innovation","DOI":"10.51244/IJRSI.2025.121500072P","ISSN":"23212705","issue":"XV","journalAbbreviation":"IJRSI","page":"812-824","source":"DOI.org (Crossref)","title":"Knowledge of Human Papilloma Virus Infections and Vaccination Among Midwives in University of Port Harcourt Teaching Hospital, Rivers State, Nigeria","volume":"XII","author":[{"family":"Nkechi","given":"Ikukaiwe Juliet"},{"family":"Josephine","given":"Gbobbo"}],"issued":{"date-parts":[["2025"]]}}}],"schema":"https://github.com/citation-style-language/schema/raw/master/csl-citation.json"} </w:instrText>
      </w:r>
      <w:r>
        <w:rPr>
          <w:rFonts w:ascii="Times New Roman" w:hAnsi="Times New Roman" w:cs="Times New Roman"/>
          <w:bCs/>
          <w:sz w:val="24"/>
          <w:szCs w:val="24"/>
          <w:lang w:val="en-US"/>
        </w:rPr>
        <w:fldChar w:fldCharType="separate"/>
      </w:r>
      <w:r w:rsidRPr="00274EB8">
        <w:rPr>
          <w:rFonts w:ascii="Times New Roman" w:hAnsi="Times New Roman" w:cs="Times New Roman"/>
          <w:sz w:val="24"/>
        </w:rPr>
        <w:t>(Vincent et al., 2024; Nkechi &amp; Josephine,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response, the World Health Organization recommends HPV vaccination of girls aged 9</w:t>
      </w:r>
      <w:r>
        <w:rPr>
          <w:rFonts w:ascii="Times New Roman" w:hAnsi="Times New Roman" w:cs="Times New Roman"/>
          <w:bCs/>
          <w:sz w:val="24"/>
          <w:szCs w:val="24"/>
          <w:lang w:val="en-US"/>
        </w:rPr>
        <w:t>-</w:t>
      </w:r>
      <w:r w:rsidRPr="00162CDF">
        <w:rPr>
          <w:rFonts w:ascii="Times New Roman" w:hAnsi="Times New Roman" w:cs="Times New Roman"/>
          <w:bCs/>
          <w:sz w:val="24"/>
          <w:szCs w:val="24"/>
          <w:lang w:val="en-US"/>
        </w:rPr>
        <w:t>14 years as a cornerstone of primary prevention and as part of the global strategy to eliminate cervical cancer as a public health problem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{"citationID":"1LESPyEL","properties":{"formattedCitation":"(Wees et al., 2025)","plainCitation":"(Wees et al., 2025)","noteIndex":0},"citationItems":[{"id":676,"uris":["http://zotero.org/users/local/JDPtEcoO/items/B7R52LXY"],"itemData":{"id":676,"type":"article-journal","abstract":"Introduction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xml:space="preserve">. Nigeria has recently introduced HPV vaccination into the national immunization </w:t>
      </w:r>
      <w:proofErr w:type="spellStart"/>
      <w:r w:rsidRPr="00162CDF">
        <w:rPr>
          <w:rFonts w:ascii="Times New Roman" w:hAnsi="Times New Roman" w:cs="Times New Roman"/>
          <w:bCs/>
          <w:sz w:val="24"/>
          <w:szCs w:val="24"/>
          <w:lang w:val="en-US"/>
        </w:rPr>
        <w:t>programme</w:t>
      </w:r>
      <w:proofErr w:type="spellEnd"/>
      <w:r w:rsidRPr="00162CDF">
        <w:rPr>
          <w:rFonts w:ascii="Times New Roman" w:hAnsi="Times New Roman" w:cs="Times New Roman"/>
          <w:bCs/>
          <w:sz w:val="24"/>
          <w:szCs w:val="24"/>
          <w:lang w:val="en-US"/>
        </w:rPr>
        <w:t xml:space="preserve">, positioning </w:t>
      </w:r>
      <w:r w:rsidRPr="00162CDF">
        <w:rPr>
          <w:rFonts w:ascii="Times New Roman" w:hAnsi="Times New Roman" w:cs="Times New Roman"/>
          <w:bCs/>
          <w:sz w:val="24"/>
          <w:szCs w:val="24"/>
          <w:lang w:val="en-US"/>
        </w:rPr>
        <w:lastRenderedPageBreak/>
        <w:t>primary healthcare (PHC) facilities and their staff at the front line of vaccine delivery and community engagement.</w:t>
      </w:r>
    </w:p>
    <w:p w14:paraId="6EE022CD"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 xml:space="preserve">Healthcare workers (HCWs) are critical “trusted messengers” whose knowledge, attitudes, and </w:t>
      </w:r>
      <w:proofErr w:type="spellStart"/>
      <w:r w:rsidRPr="00162CDF">
        <w:rPr>
          <w:rFonts w:ascii="Times New Roman" w:hAnsi="Times New Roman" w:cs="Times New Roman"/>
          <w:bCs/>
          <w:sz w:val="24"/>
          <w:szCs w:val="24"/>
          <w:lang w:val="en-US"/>
        </w:rPr>
        <w:t>behaviours</w:t>
      </w:r>
      <w:proofErr w:type="spellEnd"/>
      <w:r w:rsidRPr="00162CDF">
        <w:rPr>
          <w:rFonts w:ascii="Times New Roman" w:hAnsi="Times New Roman" w:cs="Times New Roman"/>
          <w:bCs/>
          <w:sz w:val="24"/>
          <w:szCs w:val="24"/>
          <w:lang w:val="en-US"/>
        </w:rPr>
        <w:t xml:space="preserve"> strongly influence vaccine acceptance, parental decision</w:t>
      </w:r>
      <w:r w:rsidRPr="00162CDF">
        <w:rPr>
          <w:rFonts w:ascii="Times New Roman" w:hAnsi="Times New Roman" w:cs="Times New Roman"/>
          <w:bCs/>
          <w:sz w:val="24"/>
          <w:szCs w:val="24"/>
          <w:lang w:val="en-US"/>
        </w:rPr>
        <w:noBreakHyphen/>
        <w:t>making, and community uptake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{"citationID":"tfkMEjG3","properties":{"formattedCitation":"(Lin et al., 2021; Thanasa et al., 2022)","plainCitation":"(Lin et al., 2021; Thanasa et al., 2022)","noteIndex":0},"citationItems":[{"id":679,"uris":["http://zotero.org/users/local/JDPtEcoO/items/A9HMHA33"],"itemData":{"id":679,"type":"article-journal","abstract":"Despite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J."},{"family":"Tu","given":"Pikuei"}],"accessed":{"date-parts":[["2026",3,11]]},"issued":{"date-parts":[["2021"]]}}},{"id":683,"uris":["http://zotero.org/users/local/JDPtEcoO/items/7W39EMW9"],"itemData":{"id":683,"type":"article-journal","abstract":"Human Papilloma Virus (HPV) infection is the most common sexually transmitted disease and the leading cause of cervical cancer. The undeniable causal link between HPV and cervical cancer led to the creation of HPV prophylactic vaccines. Health professionals are key in counseling parents about their children's immunization, as they are considered valid and reliable sources of information. The systematic review aimed to determine doctors' and nurses' knowledge of HPV, their awareness of the vaccine, and their willingness to accept vaccination. Systematic studies were conducted from 2015 to January 2022 in Medline/PubMed and Google Scholar online databases. The systematic review included 10 good-quality cross-sectional studies and a total of 6700 participants who were administered self-administered questionnaires or personal interviews. From the analysis of most of the studies, it is demonstrated that health professionals have a satisfactory level of knowledge about HPV infection and its effects on human health, even if their knowledge gap in essential details regarding the virus and HPV vaccination is apparent. It was found that various factors regarding health professionals, such as their specialty, gender, working environment, weekly working hours, and the interval since their last HPV training, contribute to forming their knowledge level about HPV and vaccination. In addition, most studies show that most healthcare professionals knew about the existence of HPV vaccines but did not know many details about how their work and their potential benefits. In conclusion, the provision of counseling by health professionals is currently estimated to be the strongest predictor of target group compliance with the HPV vaccine. Consequently, it is essentially considered to investigate the HPV-related knowledge level among health workers and to intensively reeducate them regarding the HPV infection risks and the necessity of HPV vaccination to improve their awareness and strengthen their attitude in favor of vaccination against cervical cancer.","container-title":"Cureus","DOI":"10.7759/cureus.30855","ISSN":"2168-8184","language":"en","source":"DOI.org (Crossref)","title":"Awareness Regarding Human Papilloma Virus Among Health Professionals and Will to Accept Vaccination: A Systematic Review","title-short":"Awareness Regarding Human Papilloma Virus Among Health Professionals and Will to Accept Vaccination","URL":"https://www.cureus.com/articles/121532-awareness-regarding-human-papilloma-virus-among-health-professionals-and-will-to-accept-vaccination-a-systematic-review","author":[{"family":"Thanasa","given":"Efthymia"},{"family":"Thanasa","given":"Anna"},{"family":"Kamaretsos","given":"Evangelos"},{"family":"Paraoulakis","given":"Ioannis"},{"family":"Balafa","given":"Konstantina"},{"family":"Gerokostas","given":"Ektoras-Evangelos"},{"family":"Kontogeorgis","given":"Gerasimos"},{"family":"Koutalia","given":"Nikoleta"},{"family":"Stamouli","given":"Dimitra"},{"family":"Grapsidi","given":"Vasiliki"},{"family":"Alexopoulou","given":"Efthymia"},{"family":"Ntella","given":"Georgia"},{"family":"Sfondyli","given":"Elena"},{"family":"Thanasas","given":"Ioannis"}],"accessed":{"date-parts":[["2026",3,11]]},"issued":{"date-parts":[["2022",10,29]]}}}],"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w:t>
      </w:r>
      <w:r>
        <w:rPr>
          <w:rFonts w:ascii="Times New Roman" w:hAnsi="Times New Roman" w:cs="Times New Roman"/>
          <w:bCs/>
          <w:sz w:val="24"/>
          <w:szCs w:val="24"/>
          <w:lang w:val="en-US"/>
        </w:rPr>
        <w:t>R</w:t>
      </w:r>
      <w:r w:rsidRPr="00162CDF">
        <w:rPr>
          <w:rFonts w:ascii="Times New Roman" w:hAnsi="Times New Roman" w:cs="Times New Roman"/>
          <w:bCs/>
          <w:sz w:val="24"/>
          <w:szCs w:val="24"/>
          <w:lang w:val="en-US"/>
        </w:rPr>
        <w:t>eviews show that provider recommendation is among the strongest predictors of HPV vaccine initiation and completion, whereas provider hesitancy, inadequate knowledge, and low personal uptake undermine public confidence</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{"citationID":"IO3xYwYz","properties":{"formattedCitation":"(Lin et al., 2021; Thanasa et al., 2022)","plainCitation":"(Lin et al., 2021; Thanasa et al., 2022)","noteIndex":0},"citationItems":[{"id":679,"uris":["http://zotero.org/users/local/JDPtEcoO/items/A9HMHA33"],"itemData":{"id":679,"type":"article-journal","abstract":"Despite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J."},{"family":"Tu","given":"Pikuei"}],"accessed":{"date-parts":[["2026",3,11]]},"issued":{"date-parts":[["2021"]]}}},{"id":683,"uris":["http://zotero.org/users/local/JDPtEcoO/items/7W39EMW9"],"itemData":{"id":683,"type":"article-journal","abstract":"Human Papilloma Virus (HPV) infection is the most common sexually transmitted disease and the leading cause of cervical cancer. The undeniable causal link between HPV and cervical cancer led to the creation of HPV prophylactic vaccines. Health professionals are key in counseling parents about their children's immunization, as they are considered valid and reliable sources of information. The systematic review aimed to determine doctors' and nurses' knowledge of HPV, their awareness of the vaccine, and their willingness to accept vaccination. Systematic studies were conducted from 2015 to January 2022 in Medline/PubMed and Google Scholar online databases. The systematic review included 10 good-quality cross-sectional studies and a total of 6700 participants who were administered self-administered questionnaires or personal interviews. From the analysis of most of the studies, it is demonstrated that health professionals have a satisfactory level of knowledge about HPV infection and its effects on human health, even if their knowledge gap in essential details regarding the virus and HPV vaccination is apparent. It was found that various factors regarding health professionals, such as their specialty, gender, working environment, weekly working hours, and the interval since their last HPV training, contribute to forming their knowledge level about HPV and vaccination. In addition, most studies show that most healthcare professionals knew about the existence of HPV vaccines but did not know many details about how their work and their potential benefits. In conclusion, the provision of counseling by health professionals is currently estimated to be the strongest predictor of target group compliance with the HPV vaccine. Consequently, it is essentially considered to investigate the HPV-related knowledge level among health workers and to intensively reeducate them regarding the HPV infection risks and the necessity of HPV vaccination to improve their awareness and strengthen their attitude in favor of vaccination against cervical cancer.","container-title":"Cureus","DOI":"10.7759/cureus.30855","ISSN":"2168-8184","language":"en","source":"DOI.org (Crossref)","title":"Awareness Regarding Human Papilloma Virus Among Health Professionals and Will to Accept Vaccination: A Systematic Review","title-short":"Awareness Regarding Human Papilloma Virus Among Health Professionals and Will to Accept Vaccination","URL":"https://www.cureus.com/articles/121532-awareness-regarding-human-papilloma-virus-among-health-professionals-and-will-to-accept-vaccination-a-systematic-review","author":[{"family":"Thanasa","given":"Efthymia"},{"family":"Thanasa","given":"Anna"},{"family":"Kamaretsos","given":"Evangelos"},{"family":"Paraoulakis","given":"Ioannis"},{"family":"Balafa","given":"Konstantina"},{"family":"Gerokostas","given":"Ektoras-Evangelos"},{"family":"Kontogeorgis","given":"Gerasimos"},{"family":"Koutalia","given":"Nikoleta"},{"family":"Stamouli","given":"Dimitra"},{"family":"Grapsidi","given":"Vasiliki"},{"family":"Alexopoulou","given":"Efthymia"},{"family":"Ntella","given":"Georgia"},{"family":"Sfondyli","given":"Elena"},{"family":"Thanasas","given":"Ioannis"}],"accessed":{"date-parts":[["2026",3,11]]},"issued":{"date-parts":[["2022",10,29]]}}}],"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 Across diverse settings, HCWs often demonstrate good foundational awareness of HPV and its link to cervical cancer but retain important misconceptions about transmission, target groups, dosing schedules, and vaccine safety or efficacy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{"citationID":"uiAmKMiw","properties":{"formattedCitation":"(Nkechi &amp; Josephine, 2025)","plainCitation":"(Nkechi &amp; Josephine, 2025)","noteIndex":0},"citationItems":[{"id":670,"uris":["http://zotero.org/users/local/JDPtEcoO/items/HIG2HKWZ"],"itemData":{"id":670,"type":"article-journal","abstract":"Background\n\nHuman papillomavirus (HPV) infection is the most common sexually transmitted infection. Persistent infection accounts for about 70% of all invasive cancers, including cervical, anal, penile, and oropharyngeal cancers.\n\nObjective\n\nThis study aimed to determine the level of knowledge of HPV infections and vaccination among midwives at the University of Port Harcourt Teaching Hospital, Rivers State.\n\nStudy Design\n\nA descriptive cross-sectional survey design was adopted. A convenience sampling technique was used to select 203 midwives from a population of 679. A self-structured and validated questionnaire was used for data collection. Data were analysed using the Statistical Package for the Social Sciences (SPSS) version 22.0, employing descriptive statistics and binary logistic regression.\n\nResults\n\nThe findings revealed that midwives had high foundational knowledge of HPV, with 87.7% of respondents correctly identifying sexual intercourse as the primary transmission route and 85.7% acknowledging its link to cervical cancer. However, significant misconceptions about HPV transmission remained evident. Educational qualification significantly influenced midwives’ general knowledge of HPV and their clinical decision-making capabilities, as those with advanced degrees (MMW) consistently demonstrated superior knowledge compared to their diploma-qualified counterparts (RM, RN/M). Awareness of the HPV vaccine’s preventive role was relatively high (69.5%), but misconceptions regarding its coverage and long-term protective efficacy, alongside concerns about vaccine safety and financial constraints, significantly impeded vaccine uptake.\n\nConclusion\n\nThe study concludes that midwives have a generally high level of knowledge about HPV, but persistent misconceptions about the infection and vaccine remain. Regular training is needed to improve their understanding, increase vaccine uptake, and strengthen preventive healthcare delivery.","container-title":"International Journal of Research and Scientific Innovation","DOI":"10.51244/IJRSI.2025.121500072P","ISSN":"23212705","issue":"XV","journalAbbreviation":"IJRSI","page":"812-824","source":"DOI.org (Crossref)","title":"Knowledge of Human Papilloma Virus Infections and Vaccination Among Midwives in University of Port Harcourt Teaching Hospital, Rivers State, Nigeria","volume":"XII","author":[{"family":"Nkechi","given":"Ikukaiwe Juliet"},{"family":"Josephine","given":"Gbobbo"}],"issued":{"date-parts":[["2025"]]}}}],"schema":"https://github.com/citation-style-language/schema/raw/master/csl-citation.json"} </w:instrText>
      </w:r>
      <w:r>
        <w:rPr>
          <w:rFonts w:ascii="Times New Roman" w:hAnsi="Times New Roman" w:cs="Times New Roman"/>
          <w:bCs/>
          <w:sz w:val="24"/>
          <w:szCs w:val="24"/>
          <w:lang w:val="en-US"/>
        </w:rPr>
        <w:fldChar w:fldCharType="separate"/>
      </w:r>
      <w:r w:rsidRPr="008813F8">
        <w:rPr>
          <w:rFonts w:ascii="Times New Roman" w:hAnsi="Times New Roman" w:cs="Times New Roman"/>
          <w:sz w:val="24"/>
        </w:rPr>
        <w:t>(Nkechi &amp; Josephine,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These knowledge gaps, coupled with concerns about adverse effects, cost, and cultural or religious beliefs, have been repeatedly identified as barriers to HPV vaccine uptake in both general populations and professional groups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{"citationID":"RenuX1m6","properties":{"formattedCitation":"(Nguyen et al., 2020; Vincent et al., 2024; Yahya et al., 2025)","plainCitation":"(Nguyen et al., 2020; Vincent et al., 2024; Yahya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Hashmi","given":"Aysha"}],"accessed":{"date-parts":[["2026",3,11]]},"issued":{"date-parts":[["2024",5,14]]}}},{"id":686,"uris":["http://zotero.org/users/local/JDPtEcoO/items/RUQQME2A"],"itemData":{"id":686,"type":"article-journal","abstract":"Cervical cancer is the second leading cause of maternal cancer deaths in Nigeria, and addressing HPV vaccine hesitancy could help reduce maternal mortality. This study explored HPV vaccine hesitancy among healthcare workers in Kano State and identified strategies to enhance vaccine uptake. Sixteen healthcare workers were interviewed using a purposive sampling technique. Interviews, lasting about 30 minutes each, were recorded, transcribed, and analyzed through thematic analysis. The findings revealed varied perceptions of the vaccine. While some participants were positive and willing to vaccinate their daughters, others expressed concerns about its safety and efficacy. Major barriers to vaccine acceptance included lack of awareness, misinformation, and cultural and socioeconomic factors. Knowledge gaps were also noted regarding dosage, administration, and eligibility criteria. To increase uptake, comprehensive education and awareness initiatives were recommended.","container-title":"Dutse Journal of Pure and Applied Sciences","DOI":"10.4314/dujopas.v10i4a.11","source":"consensus.app","title":"Human Papilloma Virus (HPV) vaccine: Hesitancy and strategies for increasing acceptance among health care workers in parts of Kano, Nigeria","title-short":"Human Papilloma Virus (HPV) vaccine","URL":"https://consensus.app/papers/human-papilloma-virus-hpv-vaccine-hesitancy-and-yahya-adam/2fc488e0dab75dcabb18ccb5986fecb8/","author":[{"family":"Yahya","given":"Bilyaminu Bala"},{"family":"Adam","given":"Intisar Umar"},{"family":"Idayat","given":"Ajado Abosede"},{"family":"Umar","given":"Zainab Sule"},{"family":"Yaro","given":"Nabila Balarabe"},{"family":"Usman","given":"Hauwa’u Rabiu"},{"family":"Abdullahi","given":"Binta"},{"family":"Abba","given":"Rayyanatu Umar"},{"family":"Danchua","given":"Abdullahi Ali"},{"family":"Hassan","given":"Aisha Ibrahim"},{"family":"Kabiru","given":"Fatima"},{"family":"Sambo","given":"Hauwa’u Umar"},{"family":"Danbatta","given":"Mariya Nasir"},{"family":"Akande","given":"Bridget Bose"},{"family":"Atana","given":"Fatima Lawal"},{"family":"Dahiru","given":"M."},{"family":"Kurfi","given":"Aisha Kabir"},{"family":"Sulaiman","given":"Khadija Ibrahim"},{"family":"Ibrahim","given":"Hadiza Mustapha"},{"family":"Idris","given":"Maryam Muhammad"},{"family":"Mba","given":"C. J."},{"family":"Yunusa","given":"U."}],"accessed":{"date-parts":[["2026",3,11]]},"issued":{"date-parts":[["2025"]]}}}],"schema":"https://github.com/citation-style-language/schema/raw/master/csl-citation.json"}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(Nguyen et al., 2020; Vincent et al., 2024; Yahya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Nigeria specifically, earlier multi</w:t>
      </w:r>
      <w:r w:rsidRPr="00162CDF">
        <w:rPr>
          <w:rFonts w:ascii="Times New Roman" w:hAnsi="Times New Roman" w:cs="Times New Roman"/>
          <w:bCs/>
          <w:sz w:val="24"/>
          <w:szCs w:val="24"/>
          <w:lang w:val="en-US"/>
        </w:rPr>
        <w:noBreakHyphen/>
      </w:r>
      <w:proofErr w:type="spellStart"/>
      <w:r w:rsidRPr="00162CDF">
        <w:rPr>
          <w:rFonts w:ascii="Times New Roman" w:hAnsi="Times New Roman" w:cs="Times New Roman"/>
          <w:bCs/>
          <w:sz w:val="24"/>
          <w:szCs w:val="24"/>
          <w:lang w:val="en-US"/>
        </w:rPr>
        <w:t>centre</w:t>
      </w:r>
      <w:proofErr w:type="spellEnd"/>
      <w:r w:rsidRPr="00162CDF">
        <w:rPr>
          <w:rFonts w:ascii="Times New Roman" w:hAnsi="Times New Roman" w:cs="Times New Roman"/>
          <w:bCs/>
          <w:sz w:val="24"/>
          <w:szCs w:val="24"/>
          <w:lang w:val="en-US"/>
        </w:rPr>
        <w:t xml:space="preserve"> work documented high awareness of HPV and cervical cancer among healthcare professionals but low awareness of the HPV vaccine itself and suboptimal acceptance, with safety concerns frequently cited among the hesitant minority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{"citationID":"YQqHczdS","properties":{"formattedCitation":"(Audu et al., 2014; Nguyen et al., 2020)","plainCitation":"(Audu et al., 2014; Nguyen et al., 2020)","noteIndex":0},"citationItems":[{"id":684,"uris":["http://zotero.org/users/local/JDPtEcoO/items/JJHNNADD"],"itemData":{"id":684,"type":"article-journal","abstract":"Human papilloma virus (HPV) is a necessary cause of cervical cancer and cervical cancer is largely a vaccine-preventable disease. The aim of the study was to document the knowledge of healthcare professionals of the HPV vaccine and its acceptability. It was a cross-sectional study in three of the six geo-political zones of Nigeria, carried out between June 2010 and January 2011. The 602 adult Nigerian respondents were made up of 147 (24.4%) males and 455 (75.6%) females aged 20-57 years, with a mean of 34.3 ± 7.9 years; most were under 40 years (70.1%) and married (n = 394; 65.5%). In total, 548 (91%) were aware of HPV; 83.4% knew HPV as an STI; 78.2% knew HPV can cause cervical cancer but only 265 (44.0%) were aware of the HPV vaccine. Among the healthcare professionals studied, nurses were the least aware of the existence of the HPV vaccine (χ(2) = 1.54, p = 0.001). A total of 489 (81.0%) would approve HPV vaccine for their teenage daughters. The men were more likely to accept the vaccination of their daughters than the women (χ(2) = 14.76, p = 0.002). The unmarried were more favourably disposed to vaccination of teenagers than the married (χ(2) = 27.37, p = 0.001). Safety concerns were the commonest reasons expressed by the 7% who were reluctant to accept the vaccination of their teenage daughters. In conclusion, healthcare providers are the custodians of health in a community, yet have low knowledge of a vaccine that can prevent the commonest cancer in women in sub-Saharan Africa.","container-title":"Journal of Obstetrics and Gynaecology","DOI":"10.3109/01443615.2014.925431","page":"714-717","source":"consensus.app","title":"Awareness and perception of human papilloma virus vaccine among healthcare professionals in Nigeria","volume":"34","author":[{"family":"Audu","given":"B."},{"family":"Bukar","given":"Mohammed"},{"family":"Ibrahim","given":"A."},{"family":"Swende","given":"T."}],"issued":{"date-parts":[["2014"]]}}},{"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(Audu et al., 2014; Nguyen et al., 2020)</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More recent Nigerian studies among health workers similarly highlight limited confidence, misinformation (e.g. that HPV infection affects only women), and structural barriers such as availability and cost as key determinants of vaccine hesitancy and low coverage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{"citationID":"QBiBPLBM","properties":{"unsorted":true,"formattedCitation":"(Nguyen et al., 2020; Aurthor et al., 2025; Suberu et al., 2025; Wees et al., 2025)","plainCitation":"(Nguyen et al., 2020; Aurthor et al., 2025; Suberu et al., 2025; Wees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691,"uris":["http://zotero.org/users/local/JDPtEcoO/items/RKL626HV"],"itemData":{"id":691,"type":"article-journal","abstract":"Human Papillomavirus (HPV) is a major health issue highly prevalent among participants with most of the victims being women since it is the primary cause of cervical cancer. Although HPV vaccination is recommended by the World Health Organization, there are still very low uptake rates of HPV vaccination in low or medium-income countries and northern Nigeria in particular. The paper evaluates the aspects highlighted in HPV vaccine uptake and hesitancy in this area which are sociocultural barriers, misconceptions and ignorance. A cross sectional survey, which used multistage sampling, was carried out in Jigawa. The results show that the respondents mostly were young mothers 18-24 years old and the higher percentage of them had no higher education only primary education which shows high fertility rate and inequality level in education. Even more, 47.6 and 37.8 percent of participants disagreed with the effectiveness of the vaccine in the prevention of cervical cancer and its safety, respectively. But in 34.8 percent of the cases, respondents said they are informed about the quality of the vaccine, and 41.4 percent of them supported its promotion in their communities. These rather contradictory perceptions point out to the substantial existence of barriers to tolerance and the necessity to implement complete educational measures to resolve misunderstandings and safety issues. Findings of the study show that awareness, availability, and cultural beliefs play a major role in leading to vaccine uptake, and efforts should be made to make HPV vaccination rates go up by making them sensitive to the context. This study can be used in the studies on the intricacies of the HPV vaccine hesitancy issue and the ideas that can be helpful in achieving the greater popularity of vaccines in Northern Nigeria in terms of public health programs.","container-title":"Journal of Clinical and Metabolism Studies","DOI":"10.70382/ajcms.v9i3.016","source":"consensus.app","title":"Assessing Factors Influencing HPV Vaccine Uptake and Hesitancy in Northern Nigeria","URL":"https://consensus.app/papers/assessing-factors-influencing-hpv-vaccine-uptake-and-aurthor-musa/d87cde7e146f5daa9ed4ff3ded8172af/","author":[{"family":"Aurthor","given":"Muhammad Idris"},{"family":"Musa","given":"Ibrahim Isah"},{"family":"Danbichi","given":"Mohammad"},{"family":"Auwal","given":""},{"family":"Suleiman","given":"Jamila"},{"family":"Salisu","given":"Khadija"}],"accessed":{"date-parts":[["2026",3,11]]},"issued":{"date-parts":[["2025"]]}}},{"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(Nguyen et al., 2020; Aurthor et al., 2025; Suberu et al., 2025; 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w:t>
      </w:r>
    </w:p>
    <w:p w14:paraId="27A3F3CE"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Emerging evidence from low</w:t>
      </w:r>
      <w:r w:rsidRPr="00162CDF">
        <w:rPr>
          <w:rFonts w:ascii="Times New Roman" w:hAnsi="Times New Roman" w:cs="Times New Roman"/>
          <w:bCs/>
          <w:sz w:val="24"/>
          <w:szCs w:val="24"/>
          <w:lang w:val="en-US"/>
        </w:rPr>
        <w:noBreakHyphen/>
        <w:t xml:space="preserve"> and middle</w:t>
      </w:r>
      <w:r w:rsidRPr="00162CDF">
        <w:rPr>
          <w:rFonts w:ascii="Times New Roman" w:hAnsi="Times New Roman" w:cs="Times New Roman"/>
          <w:bCs/>
          <w:sz w:val="24"/>
          <w:szCs w:val="24"/>
          <w:lang w:val="en-US"/>
        </w:rPr>
        <w:noBreakHyphen/>
        <w:t>income countries further suggests that HPV vaccination views are shaped by complex, context</w:t>
      </w:r>
      <w:r w:rsidRPr="00162CDF">
        <w:rPr>
          <w:rFonts w:ascii="Times New Roman" w:hAnsi="Times New Roman" w:cs="Times New Roman"/>
          <w:bCs/>
          <w:sz w:val="24"/>
          <w:szCs w:val="24"/>
          <w:lang w:val="en-US"/>
        </w:rPr>
        <w:noBreakHyphen/>
        <w:t>specific socio</w:t>
      </w:r>
      <w:r w:rsidRPr="00162CDF">
        <w:rPr>
          <w:rFonts w:ascii="Times New Roman" w:hAnsi="Times New Roman" w:cs="Times New Roman"/>
          <w:bCs/>
          <w:sz w:val="24"/>
          <w:szCs w:val="24"/>
          <w:lang w:val="en-US"/>
        </w:rPr>
        <w:noBreakHyphen/>
        <w:t xml:space="preserve">cultural dynamics, including norms around sexuality, gender, parental authority, trust in institutions, and exposure to </w:t>
      </w:r>
      <w:proofErr w:type="spellStart"/>
      <w:r>
        <w:rPr>
          <w:rFonts w:ascii="Times New Roman" w:hAnsi="Times New Roman" w:cs="Times New Roman"/>
          <w:bCs/>
          <w:sz w:val="24"/>
          <w:szCs w:val="24"/>
          <w:lang w:val="en-US"/>
        </w:rPr>
        <w:t>rumours</w:t>
      </w:r>
      <w:proofErr w:type="spellEnd"/>
      <w:r>
        <w:rPr>
          <w:rFonts w:ascii="Times New Roman" w:hAnsi="Times New Roman" w:cs="Times New Roman"/>
          <w:bCs/>
          <w:sz w:val="24"/>
          <w:szCs w:val="24"/>
          <w:lang w:val="en-US"/>
        </w:rPr>
        <w:t>, particularly</w:t>
      </w:r>
      <w:r w:rsidRPr="00162CDF">
        <w:rPr>
          <w:rFonts w:ascii="Times New Roman" w:hAnsi="Times New Roman" w:cs="Times New Roman"/>
          <w:bCs/>
          <w:sz w:val="24"/>
          <w:szCs w:val="24"/>
          <w:lang w:val="en-US"/>
        </w:rPr>
        <w:t xml:space="preserve"> on social media</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{"citationID":"BR0FlXBS","properties":{"formattedCitation":"(Aurthor et al., 2025; Cooper et al., 2025; Wees et al., 2025)","plainCitation":"(Aurthor et al., 2025; Cooper et al., 2025; Wees et al., 2025)","noteIndex":0},"citationItems":[{"id":691,"uris":["http://zotero.org/users/local/JDPtEcoO/items/RKL626HV"],"itemData":{"id":691,"type":"article-journal","abstract":"Human Papillomavirus (HPV) is a major health issue highly prevalent among participants with most of the victims being women since it is the primary cause of cervical cancer. Although HPV vaccination is recommended by the World Health Organization, there are still very low uptake rates of HPV vaccination in low or medium-income countries and northern Nigeria in particular. The paper evaluates the aspects highlighted in HPV vaccine uptake and hesitancy in this area which are sociocultural barriers, misconceptions and ignorance. A cross sectional survey, which used multistage sampling, was carried out in Jigawa. The results show that the respondents mostly were young mothers 18-24 years old and the higher percentage of them had no higher education only primary education which shows high fertility rate and inequality level in education. Even more, 47.6 and 37.8 percent of participants disagreed with the effectiveness of the vaccine in the prevention of cervical cancer and its safety, respectively. But in 34.8 percent of the cases, respondents said they are informed about the quality of the vaccine, and 41.4 percent of them supported its promotion in their communities. These rather contradictory perceptions point out to the substantial existence of barriers to tolerance and the necessity to implement complete educational measures to resolve misunderstandings and safety issues. Findings of the study show that awareness, availability, and cultural beliefs play a major role in leading to vaccine uptake, and efforts should be made to make HPV vaccination rates go up by making them sensitive to the context. This study can be used in the studies on the intricacies of the HPV vaccine hesitancy issue and the ideas that can be helpful in achieving the greater popularity of vaccines in Northern Nigeria in terms of public health programs.","container-title":"Journal of Clinical and Metabolism Studies","DOI":"10.70382/ajcms.v9i3.016","source":"consensus.app","title":"Assessing Factors Influencing HPV Vaccine Uptake and Hesitancy in Northern Nigeria","URL":"https://consensus.app/papers/assessing-factors-influencing-hpv-vaccine-uptake-and-aurthor-musa/d87cde7e146f5daa9ed4ff3ded8172af/","author":[{"family":"Aurthor","given":"Muhammad Idris"},{"family":"Musa","given":"Ibrahim Isah"},{"family":"Danbichi","given":"Mohammad"},{"family":"Auwal","given":""},{"family":"Suleiman","given":"Jamila"},{"family":"Salisu","given":"Khadija"}],"accessed":{"date-parts":[["2026",3,11]]},"issued":{"date-parts":[["2025"]]}}},{"id":693,"uris":["http://zotero.org/users/local/JDPtEcoO/items/SMU6U9SK"],"itemData":{"id":693,"type":"article-journal","ISSN":"1465-1858","language":"en-US","source":"www.cochranelibrary.com","title":"Factors that influence caregivers’ and adolescents’ views and practices regarding human papillomavirus (HPV) vaccination for adolescents: a qualitative evidence synthesis - Cooper, S - 2025 | Cochrane Library","title-short":"Factors that influence caregivers’ and adolescents’ views and practices regarding human papillomavirus (HPV) vaccination for adolescents","URL":"https://www.cochranelibrary.com/cdsr/doi/10.1002/14651858.CD013430.pub2/full","author":[{"family":"Cooper","given":"Sara"},{"family":"Schmidt","given":"Bey-Marrié"},{"family":"Jama","given":"Ngcwalisa A."},{"family":"Ryan","given":"Jill"},{"family":"Leon","given":"Natalie"},{"family":"Mavundza","given":"Edison J."},{"family":"Burnett","given":"Rosemary J."},{"family":"Tanywe","given":"Asahngwa Constantine"},{"family":"Wiysonge","given":"Charles S."}],"accessed":{"date-parts":[["2026",3,11]]},"issued":{"date-parts":[["2025"]]}}},{"id":676,"uris":["http://zotero.org/users/local/JDPtEcoO/items/B7R52LXY"],"itemData":{"id":676,"type":"article-journal","abstract":"Introduction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BE324B">
        <w:rPr>
          <w:rFonts w:ascii="Times New Roman" w:hAnsi="Times New Roman" w:cs="Times New Roman"/>
          <w:sz w:val="24"/>
        </w:rPr>
        <w:t>(Aurthor et al., 2025; Cooper et al., 2025; 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Qualitative syntheses and regional reviews underscore persistent deficits in biomedical knowledge, mixed perceptions of risk and benefit, and ambivalence about vaccine safety and long</w:t>
      </w:r>
      <w:r w:rsidRPr="00162CDF">
        <w:rPr>
          <w:rFonts w:ascii="Times New Roman" w:hAnsi="Times New Roman" w:cs="Times New Roman"/>
          <w:bCs/>
          <w:sz w:val="24"/>
          <w:szCs w:val="24"/>
          <w:lang w:val="en-US"/>
        </w:rPr>
        <w:noBreakHyphen/>
        <w:t>term effects among caregivers, adolescents, and healthcare professionals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{"citationID":"8mlwUWLL","properties":{"unsorted":true,"formattedCitation":"(Turki &amp; Alqurashi, 2023; Vincent et al., 2024; Cooper et al., 2025)","plainCitation":"(Turki &amp; Alqurashi, 2023; Vincent et al., 2024; Cooper et al., 2025)","noteIndex":0},"citationItems":[{"id":696,"uris":["http://zotero.org/users/local/JDPtEcoO/items/BU75P846"],"itemData":{"id":696,"type":"article-journal","abstract":"Human papillomavirus (HPV) is linked to cervical cancer, which is prevalent in Saudi Arabia. While HPV vaccines are effective, their coverage remains low in low- and middle-income countries. Public awareness of HPV vaccination is also limited. The study examines public awareness of cervical cancer, HPV, the HPV vaccine, and factors that hinder vaccine uptake. To assess the levels of knowledge, attitudes, and perceptions towards HPV vaccination among women aged 16 years and above in Makkah, Saudi Arabia. An analytical cross-sectional study was conducted using an interview questionnaire. A stratified sampling technique was used to select a representative sample of 534 female patients aged 16 years and older who visited primary healthcare centers in Makkah. The interview questionnaire included questions related to sociodemographic characteristics, knowledge about HPV vaccination, attitudes and perceptions toward HPV vaccination, and sources of information about HPV infection and vaccines. The data were analyzed using descriptive statistics and chi-square tests. The majority of participants were aged between 21 and 40 years (76.4%), Saudi (90.3%), and had a higher education level (73.4%). Only a small proportion (1.9%-39%) of participants correctly answered most of the questions related to HPV vaccination, while a few questions were answered correctly by a larger proportion (41.6%-59.6%), highlighting the need for educational programs to increase awareness about the HPV vaccine. The internet and social media were the most prevalent sources of information about HPV infection and vaccines (48.4%). A majority of participants expressed willingness to receive the HPV vaccine if offered by the healthcare sector at no cost (65.5%). Concerns included fear of injection (27.7%), cost (23.2%), and potential refusal from family or community (9.7%). A significant proportion believed that there is a need for educational sessions to increase awareness about the HPV vaccine in their community (82.8%) and that increased knowledge about HPV vaccines would lead to greater acceptability (83.9%). Age, nationality, marital status, number of children, educational status, occupation, and average monthly income were significantly associated with knowledge about HPV vaccination (p &lt; 0.05). Age and educational status were significantly associated with attitudes towards HPV vaccination (p &lt; 0.05). The lack of knowledge about HPV vaccination among adult women in Makkah, Saudi Arabia, is concerning, as it may result in low vaccine uptake rates and an increased incidence of HPV-related diseases. Therefore, targeted educational programs and awareness campaigns are crucial to enhance knowledge and promote the uptake of the HPV vaccine. These programs should be designed to provide accurate information about the prevalence of HPV, its associated risks, and the benefits of vaccination.","container-title":"Cureus","DOI":"10.7759/cureus.44157","source":"consensus.app","title":"Knowledge, Attitudes, and Perceptions Towards Human Papillomavirus (HPV) Vaccination Among Adult Women in Primary Health Care Centers in Makkah, Saudi Arabia","URL":"https://consensus.app/papers/knowledge-attitudes-and-perceptions-towards-human-turki-alqurashi/5ae53944187b535db99e2291346dedfc/","volume":"15","author":[{"family":"Turki","given":"Yousef M."},{"family":"Alqurashi","given":"Jehad"}],"accessed":{"date-parts":[["2026",3,11]]},"issued":{"date-parts":[["2023"]]}}},{"id":672,"uris":["http://zotero.org/users/local/JDPtEcoO/items/D2J5Q4LH"],"itemData":{"id":672,"type":"article-journal","abstract":"Human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693,"uris":["http://zotero.org/users/local/JDPtEcoO/items/SMU6U9SK"],"itemData":{"id":693,"type":"article-journal","ISSN":"1465-1858","language":"en-US","source":"www.cochranelibrary.com","title":"Factors that influence caregivers’ and adolescents’ views and practices regarding human papillomavirus (HPV) vaccination for adolescents: a qualitative evidence synthesis - Cooper, S - 2025 | Cochrane Library","title-short":"Factors that influence caregivers’ and adolescents’ views and practices regarding human papillomavirus (HPV) vaccination for adolescents","URL":"https://www.cochranelibrary.com/cdsr/doi/10.1002/14651858.CD013430.pub2/full","author":[{"family":"Cooper","given":"Sara"},{"family":"Schmidt","given":"Bey-Marrié"},{"family":"Jama","given":"Ngcwalisa A."},{"family":"Ryan","given":"Jill"},{"family":"Leon","given":"Natalie"},{"family":"Mavundza","given":"Edison J."},{"family":"Burnett","given":"Rosemary J."},{"family":"Tanywe","given":"Asahngwa Constantine"},{"family":"Wiysonge","given":"Charles S."}],"accessed":{"date-parts":[["2026",3,11]]},"issued":{"date-parts":[["2025"]]}}}],"schema":"https://github.com/citation-style-language/schema/raw/master/csl-citation.json"}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595F50">
        <w:rPr>
          <w:rFonts w:ascii="Times New Roman" w:hAnsi="Times New Roman" w:cs="Times New Roman"/>
          <w:sz w:val="24"/>
        </w:rPr>
        <w:t>(Turki &amp; Alqurashi, 2023; Vincent et al., 2024; Cooper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While many respondents express willingness to vaccinate if credible information is provided or if the vaccine is freely available, actual uptake often lags behind stated acceptability because of lingering doubts, inadequate counseling, or health</w:t>
      </w:r>
      <w:r w:rsidRPr="00162CDF">
        <w:rPr>
          <w:rFonts w:ascii="Times New Roman" w:hAnsi="Times New Roman" w:cs="Times New Roman"/>
          <w:bCs/>
          <w:sz w:val="24"/>
          <w:szCs w:val="24"/>
          <w:lang w:val="en-US"/>
        </w:rPr>
        <w:noBreakHyphen/>
        <w:t>system constraints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{"citationID":"Mf4PG6iK","properties":{"unsorted":true,"formattedCitation":"(Vincent et al., 2024; Kwanchi et al., 2025)","plainCitation":"(Vincent et al., 2024; Kwanchi et al., 2025)","noteIndex":0},"citationItems":[{"id":672,"uris":["http://zotero.org/users/local/JDPtEcoO/items/D2J5Q4LH"],"itemData":{"id":672,"type":"article-journal","abstract":"Human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Hashmi","given":"Aysha"}],"accessed":{"date-parts":[["2026",3,11]]},"issued":{"date-parts":[["2024",5,14]]}}},{"id":699,"uris":["http://zotero.org/users/local/JDPtEcoO/items/9JB643US"],"itemData":{"id":699,"type":"article-journal","abstract":"This study is use to Assessment of Caregivers’ Knowledge and Acceptance of the Human Papilloma Virus Vaccine in Maihula Community, Bali LGA, Taraba State, Nigeria. Human papilloma virus is a significant cause of certain cancer such as anal cancer, cervical cancer and genital warts etc. and vaccinating is a means of preventing the occurrence. The objective of this study is to assess the level of knowledge among care givers, to determine the level of awareness among care givers and to identify factors influencing knowledge and acceptance of HPV among care givers. In order to achieve this objectives above, the research employed a descriptive survey design. The sample size was 222 respondents, selected through simple random sampling. Data were collected using a structured questionnaire and analyzed using frequency tables, percentages, and Chi-square tests to determine associations. Findings revealed that 67.5% of respondents had heard of HPV, and 86.7% were aware of the HPV vaccine. Furthermore, 72.1% expressed willingness to vaccinate their children, and 65.3% believed the benefits of the vaccine outweighed the risks, though only 36.0% had vaccinated their children. Cost, family influence, and fear of side effects were identified as key barriers to vaccine acceptance. The test of association showed that educational level was significantly associated with knowledge of the HPV vaccine (p = 0.001), while sex (p = 0.041), age (p = 0.002), and educational level (p = 0.000) were significantly associated with acceptance of the vaccine. Female caregivers, younger respondents, and those with higher education were more likely to accept the vaccine, whereas occupation showed no significant association with either knowledge or acceptance. The study concludes that while knowledge and acceptance of the HPV vaccine are generally high, targeted health education for less-educated and older caregivers is essential to improve vaccine uptake. It recommends strengthening community sensitization, subsidizing vaccine costs, and leveraging healthcare providers to address misconceptions.","container-title":"International Journal of Innovative Science and Research Technology","DOI":"10.38124/ijisrt/25jul1542","source":"consensus.app","title":"Assessment of Caregivers’ Knowledge and Acceptance of the Human Papilloma Virus Vaccine in Maihula Community, Bali Lga, Taraba State, Nigeria","URL":"https://consensus.app/papers/assessment-of-caregivers-%E2%80%99-knowledge-and-acceptance-of-the-kwanchi-richard/7d096b776d28526eb1afbf4ea02facf3/","author":[{"family":"Kwanchi","given":"Musa Dauda"},{"family":"Richard","given":"Ronas"},{"family":"Mohammed","given":"Male Sale"}],"accessed":{"date-parts":[["2026",3,11]]},"issued":{"date-parts":[["2025"]]}}}],"schema":"https://github.com/citation-style-language/schema/raw/master/csl-citation.json"}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13355A">
        <w:rPr>
          <w:rFonts w:ascii="Times New Roman" w:hAnsi="Times New Roman" w:cs="Times New Roman"/>
          <w:sz w:val="24"/>
        </w:rPr>
        <w:t>(Vincent et al., 2024; Kwanchi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Against this backdrop, strengthening HCWs’ HPV</w:t>
      </w:r>
      <w:r w:rsidRPr="00162CDF">
        <w:rPr>
          <w:rFonts w:ascii="Times New Roman" w:hAnsi="Times New Roman" w:cs="Times New Roman"/>
          <w:bCs/>
          <w:sz w:val="24"/>
          <w:szCs w:val="24"/>
          <w:lang w:val="en-US"/>
        </w:rPr>
        <w:noBreakHyphen/>
        <w:t>specific knowledge and building vaccine confidence at PHC level have been identified as strategic priorities for improving HPV vaccine uptake and sustaining Nigeria’s national rollout.</w:t>
      </w:r>
    </w:p>
    <w:p w14:paraId="57CCFDE0"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5F5AF7">
        <w:rPr>
          <w:rFonts w:ascii="Times New Roman" w:hAnsi="Times New Roman" w:cs="Times New Roman"/>
          <w:bCs/>
          <w:sz w:val="24"/>
          <w:szCs w:val="24"/>
          <w:highlight w:val="yellow"/>
          <w:lang w:val="en-US"/>
        </w:rPr>
        <w:t>Despite this growing body of work, there remains a paucity of granular, facility</w:t>
      </w:r>
      <w:r w:rsidRPr="005F5AF7">
        <w:rPr>
          <w:rFonts w:ascii="Times New Roman" w:hAnsi="Times New Roman" w:cs="Times New Roman"/>
          <w:bCs/>
          <w:sz w:val="24"/>
          <w:szCs w:val="24"/>
          <w:highlight w:val="yellow"/>
          <w:lang w:val="en-US"/>
        </w:rPr>
        <w:noBreakHyphen/>
        <w:t>level data on HPV vaccination awareness, knowledge, perceptions, and acceptability among PHC workers in many Nigerian states, particularly in the South</w:t>
      </w:r>
      <w:r w:rsidRPr="005F5AF7">
        <w:rPr>
          <w:rFonts w:ascii="Times New Roman" w:hAnsi="Times New Roman" w:cs="Times New Roman"/>
          <w:bCs/>
          <w:sz w:val="24"/>
          <w:szCs w:val="24"/>
          <w:highlight w:val="yellow"/>
          <w:lang w:val="en-US"/>
        </w:rPr>
        <w:noBreakHyphen/>
        <w:t>West. Most existing Nigerian studies focus on tertiary hospitals, urban specialists, or community caregivers, limiting the generalizability of findings to frontline PHC staff who are central to routine immunization and community mobilization. Furthermore, few studies have simultaneously quantified levels of awareness, factual knowledge, perception, and personal as well as professional acceptability of HPV vaccination among PHC workers within the context of the recent national introduction of routine HPV immunization. Addressing these gaps is essential for designing targeted educational interventions, refining policy, and informing context</w:t>
      </w:r>
      <w:r w:rsidRPr="005F5AF7">
        <w:rPr>
          <w:rFonts w:ascii="Times New Roman" w:hAnsi="Times New Roman" w:cs="Times New Roman"/>
          <w:bCs/>
          <w:sz w:val="24"/>
          <w:szCs w:val="24"/>
          <w:highlight w:val="yellow"/>
          <w:lang w:val="en-US"/>
        </w:rPr>
        <w:noBreakHyphen/>
        <w:t>appropriate strategies to enhance HPV vaccine coverage and advance cervical cancer prevention goals in Nigeria.</w:t>
      </w:r>
    </w:p>
    <w:p w14:paraId="6E34649F" w14:textId="77777777" w:rsidR="00DD57A3" w:rsidRPr="00D55ACB" w:rsidRDefault="00DD57A3" w:rsidP="00DD57A3">
      <w:pPr>
        <w:spacing w:after="0" w:line="240" w:lineRule="auto"/>
        <w:jc w:val="both"/>
        <w:rPr>
          <w:rFonts w:ascii="Times New Roman" w:hAnsi="Times New Roman" w:cs="Times New Roman"/>
          <w:b/>
          <w:sz w:val="24"/>
          <w:szCs w:val="24"/>
        </w:rPr>
      </w:pPr>
    </w:p>
    <w:p w14:paraId="6B051754" w14:textId="77777777" w:rsidR="00DD57A3" w:rsidRPr="00021292" w:rsidRDefault="00DD57A3" w:rsidP="00DD57A3">
      <w:pPr>
        <w:spacing w:after="0" w:line="240" w:lineRule="auto"/>
        <w:jc w:val="both"/>
        <w:rPr>
          <w:rFonts w:ascii="Times New Roman" w:hAnsi="Times New Roman" w:cs="Times New Roman"/>
          <w:b/>
          <w:bCs/>
          <w:sz w:val="24"/>
          <w:szCs w:val="24"/>
          <w:lang w:val="en-US"/>
        </w:rPr>
      </w:pPr>
      <w:r w:rsidRPr="00021292">
        <w:rPr>
          <w:rFonts w:ascii="Times New Roman" w:hAnsi="Times New Roman" w:cs="Times New Roman"/>
          <w:b/>
          <w:bCs/>
          <w:sz w:val="24"/>
          <w:szCs w:val="24"/>
          <w:lang w:val="en-US"/>
        </w:rPr>
        <w:lastRenderedPageBreak/>
        <w:t>Methods</w:t>
      </w:r>
    </w:p>
    <w:p w14:paraId="3D5CDD30"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 xml:space="preserve">This descriptive cross-sectional study assessed awareness, knowledge, perception, and acceptability of human papillomavirus (HPV) vaccination among healthcare workers in primary health </w:t>
      </w:r>
      <w:proofErr w:type="spellStart"/>
      <w:r w:rsidRPr="00021292">
        <w:rPr>
          <w:rFonts w:ascii="Times New Roman" w:hAnsi="Times New Roman" w:cs="Times New Roman"/>
          <w:bCs/>
          <w:sz w:val="24"/>
          <w:szCs w:val="24"/>
          <w:lang w:val="en-US"/>
        </w:rPr>
        <w:t>centres</w:t>
      </w:r>
      <w:proofErr w:type="spellEnd"/>
      <w:r w:rsidRPr="00021292">
        <w:rPr>
          <w:rFonts w:ascii="Times New Roman" w:hAnsi="Times New Roman" w:cs="Times New Roman"/>
          <w:bCs/>
          <w:sz w:val="24"/>
          <w:szCs w:val="24"/>
          <w:lang w:val="en-US"/>
        </w:rPr>
        <w:t xml:space="preserve"> in Ado-Ekiti, Ekiti State, Nigeria. A sample size of 85 was determined using the Taro Yamane formula (5% precision) with a 5% non-response adjustment. A multistage sampling technique was employed: facilities were stratified into comprehensive and basic </w:t>
      </w:r>
      <w:proofErr w:type="spellStart"/>
      <w:r w:rsidRPr="00021292">
        <w:rPr>
          <w:rFonts w:ascii="Times New Roman" w:hAnsi="Times New Roman" w:cs="Times New Roman"/>
          <w:bCs/>
          <w:sz w:val="24"/>
          <w:szCs w:val="24"/>
          <w:lang w:val="en-US"/>
        </w:rPr>
        <w:t>centres</w:t>
      </w:r>
      <w:proofErr w:type="spellEnd"/>
      <w:r w:rsidRPr="00021292">
        <w:rPr>
          <w:rFonts w:ascii="Times New Roman" w:hAnsi="Times New Roman" w:cs="Times New Roman"/>
          <w:bCs/>
          <w:sz w:val="24"/>
          <w:szCs w:val="24"/>
          <w:lang w:val="en-US"/>
        </w:rPr>
        <w:t>, followed by random and systematic selection. Proportionate and simple random sampling were used to recruit participants.</w:t>
      </w:r>
    </w:p>
    <w:p w14:paraId="2E9E5507"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Data were collected using a self-structured questionnaire covering socio-demographics, awareness, knowledge, perception (4-point Likert scale), and acceptability. Validity was established through expert review, and reliability testing yielded a Cronbach’s alpha of 0.8. Of 85 questionnaires distributed, 79 were completed (92.9% response rate).</w:t>
      </w:r>
    </w:p>
    <w:p w14:paraId="0B30B82D"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 xml:space="preserve">Data were </w:t>
      </w:r>
      <w:proofErr w:type="spellStart"/>
      <w:r w:rsidRPr="00021292">
        <w:rPr>
          <w:rFonts w:ascii="Times New Roman" w:hAnsi="Times New Roman" w:cs="Times New Roman"/>
          <w:bCs/>
          <w:sz w:val="24"/>
          <w:szCs w:val="24"/>
          <w:lang w:val="en-US"/>
        </w:rPr>
        <w:t>analysed</w:t>
      </w:r>
      <w:proofErr w:type="spellEnd"/>
      <w:r w:rsidRPr="00021292">
        <w:rPr>
          <w:rFonts w:ascii="Times New Roman" w:hAnsi="Times New Roman" w:cs="Times New Roman"/>
          <w:bCs/>
          <w:sz w:val="24"/>
          <w:szCs w:val="24"/>
          <w:lang w:val="en-US"/>
        </w:rPr>
        <w:t xml:space="preserve"> using SPSS version 27. Descriptive and chi-square analyses were conducted, with significance set at p &lt; 0.05. Ethical approval and informed consent were obtained.</w:t>
      </w:r>
    </w:p>
    <w:p w14:paraId="67164686" w14:textId="77777777" w:rsidR="00DD57A3" w:rsidRDefault="00DD57A3" w:rsidP="00DD57A3">
      <w:pPr>
        <w:spacing w:after="0" w:line="240" w:lineRule="auto"/>
        <w:jc w:val="both"/>
        <w:rPr>
          <w:rFonts w:ascii="Times New Roman" w:hAnsi="Times New Roman" w:cs="Times New Roman"/>
          <w:sz w:val="24"/>
          <w:szCs w:val="24"/>
        </w:rPr>
      </w:pPr>
    </w:p>
    <w:p w14:paraId="5C9C7B03" w14:textId="77777777" w:rsidR="00DD57A3" w:rsidRDefault="00DD57A3" w:rsidP="00DD57A3">
      <w:pPr>
        <w:spacing w:after="0" w:line="240" w:lineRule="auto"/>
        <w:jc w:val="both"/>
        <w:rPr>
          <w:rFonts w:ascii="Times New Roman" w:hAnsi="Times New Roman" w:cs="Times New Roman"/>
          <w:sz w:val="24"/>
          <w:szCs w:val="24"/>
        </w:rPr>
      </w:pPr>
    </w:p>
    <w:p w14:paraId="7A281759" w14:textId="77777777" w:rsidR="00DD57A3" w:rsidRDefault="00DD57A3" w:rsidP="00DD57A3">
      <w:pPr>
        <w:spacing w:after="0" w:line="240" w:lineRule="auto"/>
        <w:jc w:val="both"/>
        <w:rPr>
          <w:rFonts w:ascii="Times New Roman" w:hAnsi="Times New Roman" w:cs="Times New Roman"/>
          <w:sz w:val="24"/>
          <w:szCs w:val="24"/>
        </w:rPr>
      </w:pPr>
    </w:p>
    <w:p w14:paraId="0DDAA2C6" w14:textId="77777777" w:rsidR="00DD57A3" w:rsidRDefault="00DD57A3" w:rsidP="00DD57A3">
      <w:pPr>
        <w:spacing w:after="0" w:line="240" w:lineRule="auto"/>
        <w:jc w:val="both"/>
        <w:rPr>
          <w:rFonts w:ascii="Times New Roman" w:hAnsi="Times New Roman" w:cs="Times New Roman"/>
          <w:sz w:val="24"/>
          <w:szCs w:val="24"/>
        </w:rPr>
      </w:pPr>
    </w:p>
    <w:p w14:paraId="17A33609" w14:textId="77777777" w:rsidR="00DD57A3" w:rsidRDefault="00DD57A3" w:rsidP="00DD57A3">
      <w:pPr>
        <w:spacing w:after="0" w:line="240" w:lineRule="auto"/>
        <w:jc w:val="both"/>
        <w:rPr>
          <w:rFonts w:ascii="Times New Roman" w:hAnsi="Times New Roman" w:cs="Times New Roman"/>
          <w:sz w:val="24"/>
          <w:szCs w:val="24"/>
        </w:rPr>
      </w:pPr>
    </w:p>
    <w:p w14:paraId="6B5CC245" w14:textId="77777777" w:rsidR="00DD57A3" w:rsidRDefault="00DD57A3" w:rsidP="00DD57A3">
      <w:pPr>
        <w:spacing w:after="0" w:line="240" w:lineRule="auto"/>
        <w:jc w:val="both"/>
        <w:rPr>
          <w:rFonts w:ascii="Times New Roman" w:hAnsi="Times New Roman" w:cs="Times New Roman"/>
          <w:b/>
          <w:bCs/>
          <w:sz w:val="24"/>
          <w:szCs w:val="24"/>
        </w:rPr>
      </w:pPr>
    </w:p>
    <w:p w14:paraId="6095CA73" w14:textId="77777777" w:rsidR="00DD57A3" w:rsidRPr="00D55ACB" w:rsidRDefault="00DD57A3" w:rsidP="00DD57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6D848181" w14:textId="77777777" w:rsidR="00DD57A3" w:rsidRPr="00D55ACB" w:rsidRDefault="00DD57A3" w:rsidP="00DD57A3">
      <w:pPr>
        <w:spacing w:after="0" w:line="240" w:lineRule="auto"/>
        <w:jc w:val="both"/>
        <w:rPr>
          <w:rFonts w:ascii="Times New Roman" w:hAnsi="Times New Roman" w:cs="Times New Roman"/>
          <w:b/>
          <w:bCs/>
          <w:sz w:val="24"/>
          <w:szCs w:val="24"/>
        </w:rPr>
      </w:pPr>
    </w:p>
    <w:p w14:paraId="0F692901" w14:textId="39CB0D1D" w:rsidR="00DD57A3"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sz w:val="24"/>
          <w:szCs w:val="24"/>
        </w:rPr>
        <w:t xml:space="preserve">Table 1: Socio-Demographic </w:t>
      </w:r>
      <w:r w:rsidRPr="00D55ACB">
        <w:rPr>
          <w:rFonts w:ascii="Times New Roman" w:hAnsi="Times New Roman" w:cs="Times New Roman"/>
          <w:b/>
          <w:bCs/>
          <w:sz w:val="24"/>
          <w:szCs w:val="24"/>
        </w:rPr>
        <w:t>Information of Respondents</w:t>
      </w:r>
    </w:p>
    <w:tbl>
      <w:tblPr>
        <w:tblW w:w="8640" w:type="dxa"/>
        <w:tblLook w:val="04A0" w:firstRow="1" w:lastRow="0" w:firstColumn="1" w:lastColumn="0" w:noHBand="0" w:noVBand="1"/>
      </w:tblPr>
      <w:tblGrid>
        <w:gridCol w:w="1862"/>
        <w:gridCol w:w="222"/>
        <w:gridCol w:w="960"/>
        <w:gridCol w:w="960"/>
        <w:gridCol w:w="1440"/>
        <w:gridCol w:w="480"/>
        <w:gridCol w:w="412"/>
        <w:gridCol w:w="2057"/>
        <w:gridCol w:w="411"/>
      </w:tblGrid>
      <w:tr w:rsidR="00DD57A3" w:rsidRPr="00376D34" w14:paraId="18996F08" w14:textId="77777777" w:rsidTr="005F5AF7">
        <w:trPr>
          <w:trHeight w:val="300"/>
        </w:trPr>
        <w:tc>
          <w:tcPr>
            <w:tcW w:w="1920" w:type="dxa"/>
            <w:gridSpan w:val="2"/>
            <w:tcBorders>
              <w:top w:val="single" w:sz="4" w:space="0" w:color="auto"/>
              <w:left w:val="nil"/>
              <w:bottom w:val="single" w:sz="4" w:space="0" w:color="auto"/>
              <w:right w:val="nil"/>
            </w:tcBorders>
            <w:noWrap/>
            <w:vAlign w:val="bottom"/>
            <w:hideMark/>
          </w:tcPr>
          <w:p w14:paraId="5056B7A5"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Variables</w:t>
            </w:r>
          </w:p>
        </w:tc>
        <w:tc>
          <w:tcPr>
            <w:tcW w:w="960" w:type="dxa"/>
            <w:tcBorders>
              <w:top w:val="single" w:sz="4" w:space="0" w:color="auto"/>
              <w:left w:val="nil"/>
              <w:bottom w:val="single" w:sz="4" w:space="0" w:color="auto"/>
              <w:right w:val="nil"/>
            </w:tcBorders>
            <w:noWrap/>
            <w:vAlign w:val="bottom"/>
            <w:hideMark/>
          </w:tcPr>
          <w:p w14:paraId="29D01C3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960" w:type="dxa"/>
            <w:tcBorders>
              <w:top w:val="single" w:sz="4" w:space="0" w:color="auto"/>
              <w:left w:val="nil"/>
              <w:bottom w:val="single" w:sz="4" w:space="0" w:color="auto"/>
              <w:right w:val="nil"/>
            </w:tcBorders>
            <w:noWrap/>
            <w:vAlign w:val="bottom"/>
            <w:hideMark/>
          </w:tcPr>
          <w:p w14:paraId="2FD6692E"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 </w:t>
            </w:r>
          </w:p>
        </w:tc>
        <w:tc>
          <w:tcPr>
            <w:tcW w:w="1920" w:type="dxa"/>
            <w:gridSpan w:val="2"/>
            <w:tcBorders>
              <w:top w:val="single" w:sz="4" w:space="0" w:color="auto"/>
              <w:left w:val="nil"/>
              <w:bottom w:val="single" w:sz="4" w:space="0" w:color="auto"/>
              <w:right w:val="nil"/>
            </w:tcBorders>
            <w:noWrap/>
            <w:vAlign w:val="bottom"/>
            <w:hideMark/>
          </w:tcPr>
          <w:p w14:paraId="4F8DDA55"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Frequency (n=79)</w:t>
            </w:r>
          </w:p>
        </w:tc>
        <w:tc>
          <w:tcPr>
            <w:tcW w:w="2880" w:type="dxa"/>
            <w:gridSpan w:val="3"/>
            <w:tcBorders>
              <w:top w:val="single" w:sz="4" w:space="0" w:color="auto"/>
              <w:left w:val="nil"/>
              <w:bottom w:val="single" w:sz="4" w:space="0" w:color="auto"/>
              <w:right w:val="nil"/>
            </w:tcBorders>
            <w:noWrap/>
            <w:vAlign w:val="bottom"/>
            <w:hideMark/>
          </w:tcPr>
          <w:p w14:paraId="0FFDD9CE"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              </w:t>
            </w:r>
            <w:r w:rsidRPr="00376D34">
              <w:rPr>
                <w:rFonts w:ascii="Times New Roman" w:eastAsia="Times New Roman" w:hAnsi="Times New Roman" w:cs="Times New Roman"/>
                <w:b/>
                <w:bCs/>
                <w:color w:val="000000"/>
                <w:sz w:val="24"/>
                <w:szCs w:val="24"/>
                <w:lang w:eastAsia="en-GB"/>
              </w:rPr>
              <w:t>Percentage (%)</w:t>
            </w:r>
          </w:p>
        </w:tc>
      </w:tr>
      <w:tr w:rsidR="00DD57A3" w:rsidRPr="00376D34" w14:paraId="5DC86A48" w14:textId="77777777" w:rsidTr="005F5AF7">
        <w:trPr>
          <w:trHeight w:val="324"/>
        </w:trPr>
        <w:tc>
          <w:tcPr>
            <w:tcW w:w="1862" w:type="dxa"/>
            <w:tcBorders>
              <w:top w:val="nil"/>
              <w:left w:val="nil"/>
              <w:bottom w:val="nil"/>
              <w:right w:val="nil"/>
            </w:tcBorders>
            <w:noWrap/>
            <w:vAlign w:val="bottom"/>
            <w:hideMark/>
          </w:tcPr>
          <w:p w14:paraId="51454C6A"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Age</w:t>
            </w:r>
          </w:p>
        </w:tc>
        <w:tc>
          <w:tcPr>
            <w:tcW w:w="58" w:type="dxa"/>
            <w:tcBorders>
              <w:top w:val="nil"/>
              <w:left w:val="nil"/>
              <w:bottom w:val="nil"/>
              <w:right w:val="nil"/>
            </w:tcBorders>
            <w:noWrap/>
            <w:vAlign w:val="bottom"/>
            <w:hideMark/>
          </w:tcPr>
          <w:p w14:paraId="6A91556C"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487050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AD97E05"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4C4456D"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28A86EF8"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0B5EA0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DE0B2E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 </w:t>
            </w:r>
          </w:p>
        </w:tc>
        <w:tc>
          <w:tcPr>
            <w:tcW w:w="411" w:type="dxa"/>
            <w:tcBorders>
              <w:top w:val="nil"/>
              <w:left w:val="nil"/>
              <w:bottom w:val="nil"/>
              <w:right w:val="nil"/>
            </w:tcBorders>
            <w:noWrap/>
            <w:vAlign w:val="bottom"/>
            <w:hideMark/>
          </w:tcPr>
          <w:p w14:paraId="703C8BB4"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733EE72" w14:textId="77777777" w:rsidTr="005F5AF7">
        <w:trPr>
          <w:trHeight w:val="312"/>
        </w:trPr>
        <w:tc>
          <w:tcPr>
            <w:tcW w:w="2880" w:type="dxa"/>
            <w:gridSpan w:val="3"/>
            <w:tcBorders>
              <w:top w:val="nil"/>
              <w:left w:val="nil"/>
              <w:bottom w:val="nil"/>
              <w:right w:val="nil"/>
            </w:tcBorders>
            <w:noWrap/>
            <w:vAlign w:val="bottom"/>
            <w:hideMark/>
          </w:tcPr>
          <w:p w14:paraId="6CA2299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under 25                            </w:t>
            </w:r>
          </w:p>
        </w:tc>
        <w:tc>
          <w:tcPr>
            <w:tcW w:w="960" w:type="dxa"/>
            <w:tcBorders>
              <w:top w:val="nil"/>
              <w:left w:val="nil"/>
              <w:bottom w:val="nil"/>
              <w:right w:val="nil"/>
            </w:tcBorders>
            <w:noWrap/>
            <w:vAlign w:val="bottom"/>
            <w:hideMark/>
          </w:tcPr>
          <w:p w14:paraId="2422731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8A67FF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9</w:t>
            </w:r>
          </w:p>
        </w:tc>
        <w:tc>
          <w:tcPr>
            <w:tcW w:w="480" w:type="dxa"/>
            <w:tcBorders>
              <w:top w:val="nil"/>
              <w:left w:val="nil"/>
              <w:bottom w:val="nil"/>
              <w:right w:val="nil"/>
            </w:tcBorders>
            <w:noWrap/>
            <w:vAlign w:val="bottom"/>
            <w:hideMark/>
          </w:tcPr>
          <w:p w14:paraId="0688FB0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50142260"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2F7791F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11.4</w:t>
            </w:r>
          </w:p>
        </w:tc>
        <w:tc>
          <w:tcPr>
            <w:tcW w:w="411" w:type="dxa"/>
            <w:tcBorders>
              <w:top w:val="nil"/>
              <w:left w:val="nil"/>
              <w:bottom w:val="nil"/>
              <w:right w:val="nil"/>
            </w:tcBorders>
            <w:noWrap/>
            <w:vAlign w:val="bottom"/>
            <w:hideMark/>
          </w:tcPr>
          <w:p w14:paraId="1928A44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49BE963" w14:textId="77777777" w:rsidTr="005F5AF7">
        <w:trPr>
          <w:trHeight w:val="312"/>
        </w:trPr>
        <w:tc>
          <w:tcPr>
            <w:tcW w:w="1862" w:type="dxa"/>
            <w:tcBorders>
              <w:top w:val="nil"/>
              <w:left w:val="nil"/>
              <w:bottom w:val="nil"/>
              <w:right w:val="nil"/>
            </w:tcBorders>
            <w:noWrap/>
            <w:vAlign w:val="bottom"/>
            <w:hideMark/>
          </w:tcPr>
          <w:p w14:paraId="2E4F686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25-35</w:t>
            </w:r>
          </w:p>
        </w:tc>
        <w:tc>
          <w:tcPr>
            <w:tcW w:w="58" w:type="dxa"/>
            <w:tcBorders>
              <w:top w:val="nil"/>
              <w:left w:val="nil"/>
              <w:bottom w:val="nil"/>
              <w:right w:val="nil"/>
            </w:tcBorders>
            <w:noWrap/>
            <w:vAlign w:val="bottom"/>
            <w:hideMark/>
          </w:tcPr>
          <w:p w14:paraId="3764FAD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37F8695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FED2663"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7E6754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3F2D684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C05421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0C4E98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hideMark/>
          </w:tcPr>
          <w:p w14:paraId="1D3EFDD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DAB2FC2" w14:textId="77777777" w:rsidTr="005F5AF7">
        <w:trPr>
          <w:trHeight w:val="312"/>
        </w:trPr>
        <w:tc>
          <w:tcPr>
            <w:tcW w:w="1862" w:type="dxa"/>
            <w:tcBorders>
              <w:top w:val="nil"/>
              <w:left w:val="nil"/>
              <w:bottom w:val="nil"/>
              <w:right w:val="nil"/>
            </w:tcBorders>
            <w:noWrap/>
            <w:vAlign w:val="bottom"/>
            <w:hideMark/>
          </w:tcPr>
          <w:p w14:paraId="3C552B4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36-45</w:t>
            </w:r>
          </w:p>
        </w:tc>
        <w:tc>
          <w:tcPr>
            <w:tcW w:w="58" w:type="dxa"/>
            <w:tcBorders>
              <w:top w:val="nil"/>
              <w:left w:val="nil"/>
              <w:bottom w:val="nil"/>
              <w:right w:val="nil"/>
            </w:tcBorders>
            <w:noWrap/>
            <w:vAlign w:val="bottom"/>
            <w:hideMark/>
          </w:tcPr>
          <w:p w14:paraId="2A694C3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49DDC35"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715AB4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557B9D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29</w:t>
            </w:r>
          </w:p>
        </w:tc>
        <w:tc>
          <w:tcPr>
            <w:tcW w:w="480" w:type="dxa"/>
            <w:tcBorders>
              <w:top w:val="nil"/>
              <w:left w:val="nil"/>
              <w:bottom w:val="nil"/>
              <w:right w:val="nil"/>
            </w:tcBorders>
            <w:noWrap/>
            <w:vAlign w:val="bottom"/>
            <w:hideMark/>
          </w:tcPr>
          <w:p w14:paraId="4180ABF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0530F1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D7764D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36.7</w:t>
            </w:r>
          </w:p>
        </w:tc>
        <w:tc>
          <w:tcPr>
            <w:tcW w:w="411" w:type="dxa"/>
            <w:tcBorders>
              <w:top w:val="nil"/>
              <w:left w:val="nil"/>
              <w:bottom w:val="nil"/>
              <w:right w:val="nil"/>
            </w:tcBorders>
            <w:noWrap/>
            <w:vAlign w:val="bottom"/>
            <w:hideMark/>
          </w:tcPr>
          <w:p w14:paraId="386534E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CCDCBE8" w14:textId="77777777" w:rsidTr="005F5AF7">
        <w:trPr>
          <w:trHeight w:val="312"/>
        </w:trPr>
        <w:tc>
          <w:tcPr>
            <w:tcW w:w="1862" w:type="dxa"/>
            <w:tcBorders>
              <w:top w:val="nil"/>
              <w:left w:val="nil"/>
              <w:bottom w:val="nil"/>
              <w:right w:val="nil"/>
            </w:tcBorders>
            <w:noWrap/>
            <w:vAlign w:val="bottom"/>
            <w:hideMark/>
          </w:tcPr>
          <w:p w14:paraId="4B53E71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46-55</w:t>
            </w:r>
          </w:p>
        </w:tc>
        <w:tc>
          <w:tcPr>
            <w:tcW w:w="58" w:type="dxa"/>
            <w:tcBorders>
              <w:top w:val="nil"/>
              <w:left w:val="nil"/>
              <w:bottom w:val="nil"/>
              <w:right w:val="nil"/>
            </w:tcBorders>
            <w:noWrap/>
            <w:vAlign w:val="bottom"/>
            <w:hideMark/>
          </w:tcPr>
          <w:p w14:paraId="6CD621D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DDE35C9"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0C24ED8"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9575A7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w:t>
            </w:r>
          </w:p>
        </w:tc>
        <w:tc>
          <w:tcPr>
            <w:tcW w:w="480" w:type="dxa"/>
            <w:tcBorders>
              <w:top w:val="nil"/>
              <w:left w:val="nil"/>
              <w:bottom w:val="nil"/>
              <w:right w:val="nil"/>
            </w:tcBorders>
            <w:noWrap/>
            <w:vAlign w:val="bottom"/>
            <w:hideMark/>
          </w:tcPr>
          <w:p w14:paraId="673617D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13E6B07"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729CBB0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20.2</w:t>
            </w:r>
          </w:p>
        </w:tc>
        <w:tc>
          <w:tcPr>
            <w:tcW w:w="411" w:type="dxa"/>
            <w:tcBorders>
              <w:top w:val="nil"/>
              <w:left w:val="nil"/>
              <w:bottom w:val="nil"/>
              <w:right w:val="nil"/>
            </w:tcBorders>
            <w:noWrap/>
            <w:vAlign w:val="bottom"/>
            <w:hideMark/>
          </w:tcPr>
          <w:p w14:paraId="01C0642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6C77BE47" w14:textId="77777777" w:rsidTr="005F5AF7">
        <w:trPr>
          <w:trHeight w:val="312"/>
        </w:trPr>
        <w:tc>
          <w:tcPr>
            <w:tcW w:w="1862" w:type="dxa"/>
            <w:tcBorders>
              <w:top w:val="nil"/>
              <w:left w:val="nil"/>
              <w:bottom w:val="nil"/>
              <w:right w:val="nil"/>
            </w:tcBorders>
            <w:noWrap/>
            <w:vAlign w:val="bottom"/>
            <w:hideMark/>
          </w:tcPr>
          <w:p w14:paraId="0E146A8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above 55</w:t>
            </w:r>
          </w:p>
        </w:tc>
        <w:tc>
          <w:tcPr>
            <w:tcW w:w="58" w:type="dxa"/>
            <w:tcBorders>
              <w:top w:val="nil"/>
              <w:left w:val="nil"/>
              <w:bottom w:val="nil"/>
              <w:right w:val="nil"/>
            </w:tcBorders>
            <w:noWrap/>
            <w:vAlign w:val="bottom"/>
            <w:hideMark/>
          </w:tcPr>
          <w:p w14:paraId="4047DFC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0610FF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6AD55EF"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2C6934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hideMark/>
          </w:tcPr>
          <w:p w14:paraId="170DFD3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EB8E83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6B0D19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hideMark/>
          </w:tcPr>
          <w:p w14:paraId="2866026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F7F889F" w14:textId="77777777" w:rsidTr="005F5AF7">
        <w:trPr>
          <w:trHeight w:val="312"/>
        </w:trPr>
        <w:tc>
          <w:tcPr>
            <w:tcW w:w="2880" w:type="dxa"/>
            <w:gridSpan w:val="3"/>
            <w:tcBorders>
              <w:top w:val="nil"/>
              <w:left w:val="nil"/>
              <w:bottom w:val="nil"/>
              <w:right w:val="nil"/>
            </w:tcBorders>
            <w:noWrap/>
            <w:vAlign w:val="bottom"/>
            <w:hideMark/>
          </w:tcPr>
          <w:p w14:paraId="48CB89DA"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Mean age= 41.1 ± 0.90</w:t>
            </w:r>
          </w:p>
        </w:tc>
        <w:tc>
          <w:tcPr>
            <w:tcW w:w="960" w:type="dxa"/>
            <w:tcBorders>
              <w:top w:val="nil"/>
              <w:left w:val="nil"/>
              <w:bottom w:val="nil"/>
              <w:right w:val="nil"/>
            </w:tcBorders>
            <w:noWrap/>
            <w:vAlign w:val="bottom"/>
            <w:hideMark/>
          </w:tcPr>
          <w:p w14:paraId="437444F0"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hideMark/>
          </w:tcPr>
          <w:p w14:paraId="5E8595B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45CE3260"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126F67F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6F529F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165755B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3C4A4D02" w14:textId="77777777" w:rsidTr="005F5AF7">
        <w:trPr>
          <w:trHeight w:val="312"/>
        </w:trPr>
        <w:tc>
          <w:tcPr>
            <w:tcW w:w="1920" w:type="dxa"/>
            <w:gridSpan w:val="2"/>
            <w:tcBorders>
              <w:top w:val="nil"/>
              <w:left w:val="nil"/>
              <w:bottom w:val="nil"/>
              <w:right w:val="nil"/>
            </w:tcBorders>
            <w:noWrap/>
            <w:vAlign w:val="bottom"/>
            <w:hideMark/>
          </w:tcPr>
          <w:p w14:paraId="4AA9185F"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Ethnicity</w:t>
            </w:r>
          </w:p>
        </w:tc>
        <w:tc>
          <w:tcPr>
            <w:tcW w:w="960" w:type="dxa"/>
            <w:tcBorders>
              <w:top w:val="nil"/>
              <w:left w:val="nil"/>
              <w:bottom w:val="nil"/>
              <w:right w:val="nil"/>
            </w:tcBorders>
            <w:noWrap/>
            <w:vAlign w:val="bottom"/>
            <w:hideMark/>
          </w:tcPr>
          <w:p w14:paraId="5418E1D5"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599C82B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4508F1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018F0815"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735B81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2E50A0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77BD82A8"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7180A279" w14:textId="77777777" w:rsidTr="005F5AF7">
        <w:trPr>
          <w:trHeight w:val="312"/>
        </w:trPr>
        <w:tc>
          <w:tcPr>
            <w:tcW w:w="1862" w:type="dxa"/>
            <w:tcBorders>
              <w:top w:val="nil"/>
              <w:left w:val="nil"/>
              <w:bottom w:val="nil"/>
              <w:right w:val="nil"/>
            </w:tcBorders>
            <w:noWrap/>
            <w:vAlign w:val="bottom"/>
            <w:hideMark/>
          </w:tcPr>
          <w:p w14:paraId="097927D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Yoruba</w:t>
            </w:r>
          </w:p>
        </w:tc>
        <w:tc>
          <w:tcPr>
            <w:tcW w:w="58" w:type="dxa"/>
            <w:tcBorders>
              <w:top w:val="nil"/>
              <w:left w:val="nil"/>
              <w:bottom w:val="nil"/>
              <w:right w:val="nil"/>
            </w:tcBorders>
            <w:noWrap/>
            <w:vAlign w:val="bottom"/>
            <w:hideMark/>
          </w:tcPr>
          <w:p w14:paraId="07F9012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76ACE2B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18197B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3A6F5D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54</w:t>
            </w:r>
          </w:p>
        </w:tc>
        <w:tc>
          <w:tcPr>
            <w:tcW w:w="480" w:type="dxa"/>
            <w:tcBorders>
              <w:top w:val="nil"/>
              <w:left w:val="nil"/>
              <w:bottom w:val="nil"/>
              <w:right w:val="nil"/>
            </w:tcBorders>
            <w:noWrap/>
            <w:vAlign w:val="bottom"/>
            <w:hideMark/>
          </w:tcPr>
          <w:p w14:paraId="773129B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419522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A72715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68.4</w:t>
            </w:r>
          </w:p>
        </w:tc>
        <w:tc>
          <w:tcPr>
            <w:tcW w:w="411" w:type="dxa"/>
            <w:tcBorders>
              <w:top w:val="nil"/>
              <w:left w:val="nil"/>
              <w:bottom w:val="nil"/>
              <w:right w:val="nil"/>
            </w:tcBorders>
            <w:noWrap/>
            <w:vAlign w:val="bottom"/>
            <w:hideMark/>
          </w:tcPr>
          <w:p w14:paraId="237242F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359BB2C3" w14:textId="77777777" w:rsidTr="005F5AF7">
        <w:trPr>
          <w:trHeight w:val="312"/>
        </w:trPr>
        <w:tc>
          <w:tcPr>
            <w:tcW w:w="1862" w:type="dxa"/>
            <w:tcBorders>
              <w:top w:val="nil"/>
              <w:left w:val="nil"/>
              <w:bottom w:val="nil"/>
              <w:right w:val="nil"/>
            </w:tcBorders>
            <w:noWrap/>
            <w:vAlign w:val="bottom"/>
            <w:hideMark/>
          </w:tcPr>
          <w:p w14:paraId="6EE5EF7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Hausa</w:t>
            </w:r>
          </w:p>
        </w:tc>
        <w:tc>
          <w:tcPr>
            <w:tcW w:w="58" w:type="dxa"/>
            <w:tcBorders>
              <w:top w:val="nil"/>
              <w:left w:val="nil"/>
              <w:bottom w:val="nil"/>
              <w:right w:val="nil"/>
            </w:tcBorders>
            <w:noWrap/>
            <w:vAlign w:val="bottom"/>
            <w:hideMark/>
          </w:tcPr>
          <w:p w14:paraId="0621B89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6B2A65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EA4F1C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8DC881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w:t>
            </w:r>
          </w:p>
        </w:tc>
        <w:tc>
          <w:tcPr>
            <w:tcW w:w="480" w:type="dxa"/>
            <w:tcBorders>
              <w:top w:val="nil"/>
              <w:left w:val="nil"/>
              <w:bottom w:val="nil"/>
              <w:right w:val="nil"/>
            </w:tcBorders>
            <w:noWrap/>
            <w:vAlign w:val="bottom"/>
            <w:hideMark/>
          </w:tcPr>
          <w:p w14:paraId="7F5E56B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61317B5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2551F0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6.3</w:t>
            </w:r>
          </w:p>
        </w:tc>
        <w:tc>
          <w:tcPr>
            <w:tcW w:w="411" w:type="dxa"/>
            <w:tcBorders>
              <w:top w:val="nil"/>
              <w:left w:val="nil"/>
              <w:bottom w:val="nil"/>
              <w:right w:val="nil"/>
            </w:tcBorders>
            <w:noWrap/>
            <w:vAlign w:val="bottom"/>
            <w:hideMark/>
          </w:tcPr>
          <w:p w14:paraId="5695383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1BE76CF" w14:textId="77777777" w:rsidTr="005F5AF7">
        <w:trPr>
          <w:trHeight w:val="312"/>
        </w:trPr>
        <w:tc>
          <w:tcPr>
            <w:tcW w:w="1862" w:type="dxa"/>
            <w:tcBorders>
              <w:top w:val="nil"/>
              <w:left w:val="nil"/>
              <w:bottom w:val="nil"/>
              <w:right w:val="nil"/>
            </w:tcBorders>
            <w:noWrap/>
            <w:vAlign w:val="bottom"/>
            <w:hideMark/>
          </w:tcPr>
          <w:p w14:paraId="3125AF9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Igbo</w:t>
            </w:r>
          </w:p>
        </w:tc>
        <w:tc>
          <w:tcPr>
            <w:tcW w:w="58" w:type="dxa"/>
            <w:tcBorders>
              <w:top w:val="nil"/>
              <w:left w:val="nil"/>
              <w:bottom w:val="nil"/>
              <w:right w:val="nil"/>
            </w:tcBorders>
            <w:noWrap/>
            <w:vAlign w:val="bottom"/>
            <w:hideMark/>
          </w:tcPr>
          <w:p w14:paraId="0DCD278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1271C4A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191078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23DA212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80" w:type="dxa"/>
            <w:tcBorders>
              <w:top w:val="nil"/>
              <w:left w:val="nil"/>
              <w:bottom w:val="nil"/>
              <w:right w:val="nil"/>
            </w:tcBorders>
            <w:noWrap/>
            <w:vAlign w:val="bottom"/>
            <w:hideMark/>
          </w:tcPr>
          <w:p w14:paraId="0237AD7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D067A36"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C8B242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24.1</w:t>
            </w:r>
          </w:p>
        </w:tc>
        <w:tc>
          <w:tcPr>
            <w:tcW w:w="411" w:type="dxa"/>
            <w:tcBorders>
              <w:top w:val="nil"/>
              <w:left w:val="nil"/>
              <w:bottom w:val="nil"/>
              <w:right w:val="nil"/>
            </w:tcBorders>
            <w:noWrap/>
            <w:vAlign w:val="bottom"/>
            <w:hideMark/>
          </w:tcPr>
          <w:p w14:paraId="30F63E3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A3D77B8" w14:textId="77777777" w:rsidTr="005F5AF7">
        <w:trPr>
          <w:trHeight w:val="312"/>
        </w:trPr>
        <w:tc>
          <w:tcPr>
            <w:tcW w:w="1862" w:type="dxa"/>
            <w:tcBorders>
              <w:top w:val="nil"/>
              <w:left w:val="nil"/>
              <w:bottom w:val="nil"/>
              <w:right w:val="nil"/>
            </w:tcBorders>
            <w:noWrap/>
            <w:vAlign w:val="bottom"/>
            <w:hideMark/>
          </w:tcPr>
          <w:p w14:paraId="32E0DC6F"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Religion</w:t>
            </w:r>
          </w:p>
        </w:tc>
        <w:tc>
          <w:tcPr>
            <w:tcW w:w="58" w:type="dxa"/>
            <w:tcBorders>
              <w:top w:val="nil"/>
              <w:left w:val="nil"/>
              <w:bottom w:val="nil"/>
              <w:right w:val="nil"/>
            </w:tcBorders>
            <w:noWrap/>
            <w:vAlign w:val="bottom"/>
            <w:hideMark/>
          </w:tcPr>
          <w:p w14:paraId="77756444"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D946BA7"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1F2D5AF"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BFC89B2"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3B3386"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4348EE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F5BB54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0C46FBF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601F3780" w14:textId="77777777" w:rsidTr="005F5AF7">
        <w:trPr>
          <w:trHeight w:val="312"/>
        </w:trPr>
        <w:tc>
          <w:tcPr>
            <w:tcW w:w="1862" w:type="dxa"/>
            <w:tcBorders>
              <w:top w:val="nil"/>
              <w:left w:val="nil"/>
              <w:bottom w:val="nil"/>
              <w:right w:val="nil"/>
            </w:tcBorders>
            <w:noWrap/>
            <w:vAlign w:val="bottom"/>
            <w:hideMark/>
          </w:tcPr>
          <w:p w14:paraId="432695C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Christianity</w:t>
            </w:r>
          </w:p>
        </w:tc>
        <w:tc>
          <w:tcPr>
            <w:tcW w:w="58" w:type="dxa"/>
            <w:tcBorders>
              <w:top w:val="nil"/>
              <w:left w:val="nil"/>
              <w:bottom w:val="nil"/>
              <w:right w:val="nil"/>
            </w:tcBorders>
            <w:noWrap/>
            <w:vAlign w:val="bottom"/>
            <w:hideMark/>
          </w:tcPr>
          <w:p w14:paraId="3A4CB52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BCE8C69"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DED598F"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5918C6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58</w:t>
            </w:r>
          </w:p>
        </w:tc>
        <w:tc>
          <w:tcPr>
            <w:tcW w:w="480" w:type="dxa"/>
            <w:tcBorders>
              <w:top w:val="nil"/>
              <w:left w:val="nil"/>
              <w:bottom w:val="nil"/>
              <w:right w:val="nil"/>
            </w:tcBorders>
            <w:noWrap/>
            <w:vAlign w:val="bottom"/>
            <w:hideMark/>
          </w:tcPr>
          <w:p w14:paraId="3BC33F6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C63336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4B87F24"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73.4</w:t>
            </w:r>
          </w:p>
        </w:tc>
        <w:tc>
          <w:tcPr>
            <w:tcW w:w="411" w:type="dxa"/>
            <w:tcBorders>
              <w:top w:val="nil"/>
              <w:left w:val="nil"/>
              <w:bottom w:val="nil"/>
              <w:right w:val="nil"/>
            </w:tcBorders>
            <w:noWrap/>
            <w:vAlign w:val="bottom"/>
            <w:hideMark/>
          </w:tcPr>
          <w:p w14:paraId="04F257C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B3E33C3" w14:textId="77777777" w:rsidTr="005F5AF7">
        <w:trPr>
          <w:trHeight w:val="312"/>
        </w:trPr>
        <w:tc>
          <w:tcPr>
            <w:tcW w:w="1862" w:type="dxa"/>
            <w:tcBorders>
              <w:top w:val="nil"/>
              <w:left w:val="nil"/>
              <w:bottom w:val="nil"/>
              <w:right w:val="nil"/>
            </w:tcBorders>
            <w:noWrap/>
            <w:vAlign w:val="bottom"/>
            <w:hideMark/>
          </w:tcPr>
          <w:p w14:paraId="28A1162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Islam</w:t>
            </w:r>
          </w:p>
        </w:tc>
        <w:tc>
          <w:tcPr>
            <w:tcW w:w="58" w:type="dxa"/>
            <w:tcBorders>
              <w:top w:val="nil"/>
              <w:left w:val="nil"/>
              <w:bottom w:val="nil"/>
              <w:right w:val="nil"/>
            </w:tcBorders>
            <w:noWrap/>
            <w:vAlign w:val="bottom"/>
            <w:hideMark/>
          </w:tcPr>
          <w:p w14:paraId="46DB71D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BAA39BD"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C75E73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233336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hideMark/>
          </w:tcPr>
          <w:p w14:paraId="11486A0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217BC46"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39E925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hideMark/>
          </w:tcPr>
          <w:p w14:paraId="7560BCF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CB16CEB" w14:textId="77777777" w:rsidTr="005F5AF7">
        <w:trPr>
          <w:trHeight w:val="312"/>
        </w:trPr>
        <w:tc>
          <w:tcPr>
            <w:tcW w:w="1862" w:type="dxa"/>
            <w:tcBorders>
              <w:top w:val="nil"/>
              <w:left w:val="nil"/>
              <w:bottom w:val="nil"/>
              <w:right w:val="nil"/>
            </w:tcBorders>
            <w:noWrap/>
            <w:vAlign w:val="bottom"/>
            <w:hideMark/>
          </w:tcPr>
          <w:p w14:paraId="3C548633"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Gender</w:t>
            </w:r>
          </w:p>
        </w:tc>
        <w:tc>
          <w:tcPr>
            <w:tcW w:w="58" w:type="dxa"/>
            <w:tcBorders>
              <w:top w:val="nil"/>
              <w:left w:val="nil"/>
              <w:bottom w:val="nil"/>
              <w:right w:val="nil"/>
            </w:tcBorders>
            <w:noWrap/>
            <w:vAlign w:val="bottom"/>
            <w:hideMark/>
          </w:tcPr>
          <w:p w14:paraId="11AD1B83"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390520E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4CCB748"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CA00BD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F20F6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4B46421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161DABF"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0211B74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627B1E8B" w14:textId="77777777" w:rsidTr="005F5AF7">
        <w:trPr>
          <w:trHeight w:val="312"/>
        </w:trPr>
        <w:tc>
          <w:tcPr>
            <w:tcW w:w="1862" w:type="dxa"/>
            <w:tcBorders>
              <w:top w:val="nil"/>
              <w:left w:val="nil"/>
              <w:bottom w:val="nil"/>
              <w:right w:val="nil"/>
            </w:tcBorders>
            <w:noWrap/>
            <w:vAlign w:val="bottom"/>
            <w:hideMark/>
          </w:tcPr>
          <w:p w14:paraId="3DAC67D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Female</w:t>
            </w:r>
          </w:p>
        </w:tc>
        <w:tc>
          <w:tcPr>
            <w:tcW w:w="58" w:type="dxa"/>
            <w:tcBorders>
              <w:top w:val="nil"/>
              <w:left w:val="nil"/>
              <w:bottom w:val="nil"/>
              <w:right w:val="nil"/>
            </w:tcBorders>
            <w:noWrap/>
            <w:vAlign w:val="bottom"/>
            <w:hideMark/>
          </w:tcPr>
          <w:p w14:paraId="1A176B7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0F8239A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1E98BF7"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7AB383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67</w:t>
            </w:r>
          </w:p>
        </w:tc>
        <w:tc>
          <w:tcPr>
            <w:tcW w:w="480" w:type="dxa"/>
            <w:tcBorders>
              <w:top w:val="nil"/>
              <w:left w:val="nil"/>
              <w:bottom w:val="nil"/>
              <w:right w:val="nil"/>
            </w:tcBorders>
            <w:noWrap/>
            <w:vAlign w:val="bottom"/>
            <w:hideMark/>
          </w:tcPr>
          <w:p w14:paraId="0E98FD7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E3F688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19A281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84.8</w:t>
            </w:r>
          </w:p>
        </w:tc>
        <w:tc>
          <w:tcPr>
            <w:tcW w:w="411" w:type="dxa"/>
            <w:tcBorders>
              <w:top w:val="nil"/>
              <w:left w:val="nil"/>
              <w:bottom w:val="nil"/>
              <w:right w:val="nil"/>
            </w:tcBorders>
            <w:noWrap/>
            <w:vAlign w:val="bottom"/>
            <w:hideMark/>
          </w:tcPr>
          <w:p w14:paraId="120199E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703C0EE" w14:textId="77777777" w:rsidTr="005F5AF7">
        <w:trPr>
          <w:trHeight w:val="312"/>
        </w:trPr>
        <w:tc>
          <w:tcPr>
            <w:tcW w:w="1862" w:type="dxa"/>
            <w:tcBorders>
              <w:top w:val="nil"/>
              <w:left w:val="nil"/>
              <w:bottom w:val="nil"/>
              <w:right w:val="nil"/>
            </w:tcBorders>
            <w:noWrap/>
            <w:vAlign w:val="bottom"/>
            <w:hideMark/>
          </w:tcPr>
          <w:p w14:paraId="284FB31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Male</w:t>
            </w:r>
          </w:p>
        </w:tc>
        <w:tc>
          <w:tcPr>
            <w:tcW w:w="58" w:type="dxa"/>
            <w:tcBorders>
              <w:top w:val="nil"/>
              <w:left w:val="nil"/>
              <w:bottom w:val="nil"/>
              <w:right w:val="nil"/>
            </w:tcBorders>
            <w:noWrap/>
            <w:vAlign w:val="bottom"/>
            <w:hideMark/>
          </w:tcPr>
          <w:p w14:paraId="149673C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AE4DE9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93BB79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2FE33C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hideMark/>
          </w:tcPr>
          <w:p w14:paraId="5D154E0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55F6299"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564B5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hideMark/>
          </w:tcPr>
          <w:p w14:paraId="1494440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3E0B75D" w14:textId="77777777" w:rsidTr="005F5AF7">
        <w:trPr>
          <w:trHeight w:val="312"/>
        </w:trPr>
        <w:tc>
          <w:tcPr>
            <w:tcW w:w="1920" w:type="dxa"/>
            <w:gridSpan w:val="2"/>
            <w:tcBorders>
              <w:top w:val="nil"/>
              <w:left w:val="nil"/>
              <w:bottom w:val="nil"/>
              <w:right w:val="nil"/>
            </w:tcBorders>
            <w:noWrap/>
            <w:vAlign w:val="bottom"/>
            <w:hideMark/>
          </w:tcPr>
          <w:p w14:paraId="060D16E6"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Marital status</w:t>
            </w:r>
          </w:p>
        </w:tc>
        <w:tc>
          <w:tcPr>
            <w:tcW w:w="960" w:type="dxa"/>
            <w:tcBorders>
              <w:top w:val="nil"/>
              <w:left w:val="nil"/>
              <w:bottom w:val="nil"/>
              <w:right w:val="nil"/>
            </w:tcBorders>
            <w:noWrap/>
            <w:vAlign w:val="bottom"/>
            <w:hideMark/>
          </w:tcPr>
          <w:p w14:paraId="3F341E04"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4D705C97"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A9CDE3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1F063AF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4D105AF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7F662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3D7F3352"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3F80E1D7" w14:textId="77777777" w:rsidTr="005F5AF7">
        <w:trPr>
          <w:trHeight w:val="312"/>
        </w:trPr>
        <w:tc>
          <w:tcPr>
            <w:tcW w:w="1862" w:type="dxa"/>
            <w:tcBorders>
              <w:top w:val="nil"/>
              <w:left w:val="nil"/>
              <w:bottom w:val="nil"/>
              <w:right w:val="nil"/>
            </w:tcBorders>
            <w:noWrap/>
            <w:vAlign w:val="bottom"/>
            <w:hideMark/>
          </w:tcPr>
          <w:p w14:paraId="6EE75E2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Single</w:t>
            </w:r>
          </w:p>
        </w:tc>
        <w:tc>
          <w:tcPr>
            <w:tcW w:w="58" w:type="dxa"/>
            <w:tcBorders>
              <w:top w:val="nil"/>
              <w:left w:val="nil"/>
              <w:bottom w:val="nil"/>
              <w:right w:val="nil"/>
            </w:tcBorders>
            <w:noWrap/>
            <w:vAlign w:val="bottom"/>
            <w:hideMark/>
          </w:tcPr>
          <w:p w14:paraId="3D14B3B2"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E3E9B4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2D847B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E45000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66</w:t>
            </w:r>
          </w:p>
        </w:tc>
        <w:tc>
          <w:tcPr>
            <w:tcW w:w="480" w:type="dxa"/>
            <w:tcBorders>
              <w:top w:val="nil"/>
              <w:left w:val="nil"/>
              <w:bottom w:val="nil"/>
              <w:right w:val="nil"/>
            </w:tcBorders>
            <w:noWrap/>
            <w:vAlign w:val="bottom"/>
            <w:hideMark/>
          </w:tcPr>
          <w:p w14:paraId="181F6C6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88F87E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55DC83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83.5</w:t>
            </w:r>
          </w:p>
        </w:tc>
        <w:tc>
          <w:tcPr>
            <w:tcW w:w="411" w:type="dxa"/>
            <w:tcBorders>
              <w:top w:val="nil"/>
              <w:left w:val="nil"/>
              <w:bottom w:val="nil"/>
              <w:right w:val="nil"/>
            </w:tcBorders>
            <w:noWrap/>
            <w:vAlign w:val="bottom"/>
            <w:hideMark/>
          </w:tcPr>
          <w:p w14:paraId="79D6C64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E36D3FC" w14:textId="77777777" w:rsidTr="005F5AF7">
        <w:trPr>
          <w:trHeight w:val="312"/>
        </w:trPr>
        <w:tc>
          <w:tcPr>
            <w:tcW w:w="1862" w:type="dxa"/>
            <w:tcBorders>
              <w:top w:val="nil"/>
              <w:left w:val="nil"/>
              <w:bottom w:val="nil"/>
              <w:right w:val="nil"/>
            </w:tcBorders>
            <w:noWrap/>
            <w:vAlign w:val="bottom"/>
            <w:hideMark/>
          </w:tcPr>
          <w:p w14:paraId="4E64C55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lastRenderedPageBreak/>
              <w:t>Married</w:t>
            </w:r>
          </w:p>
        </w:tc>
        <w:tc>
          <w:tcPr>
            <w:tcW w:w="58" w:type="dxa"/>
            <w:tcBorders>
              <w:top w:val="nil"/>
              <w:left w:val="nil"/>
              <w:bottom w:val="nil"/>
              <w:right w:val="nil"/>
            </w:tcBorders>
            <w:noWrap/>
            <w:vAlign w:val="bottom"/>
            <w:hideMark/>
          </w:tcPr>
          <w:p w14:paraId="0AF3FC2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4D1CC0E0"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3203C5F"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6B8F109"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6003CF0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D29CA1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73B5F1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hideMark/>
          </w:tcPr>
          <w:p w14:paraId="5BBC347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B4E12D8" w14:textId="77777777" w:rsidTr="005F5AF7">
        <w:trPr>
          <w:trHeight w:val="312"/>
        </w:trPr>
        <w:tc>
          <w:tcPr>
            <w:tcW w:w="2880" w:type="dxa"/>
            <w:gridSpan w:val="3"/>
            <w:tcBorders>
              <w:top w:val="nil"/>
              <w:left w:val="nil"/>
              <w:bottom w:val="nil"/>
              <w:right w:val="nil"/>
            </w:tcBorders>
            <w:noWrap/>
            <w:vAlign w:val="bottom"/>
            <w:hideMark/>
          </w:tcPr>
          <w:p w14:paraId="786F614E"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 xml:space="preserve">Years of experience       </w:t>
            </w:r>
          </w:p>
        </w:tc>
        <w:tc>
          <w:tcPr>
            <w:tcW w:w="960" w:type="dxa"/>
            <w:tcBorders>
              <w:top w:val="nil"/>
              <w:left w:val="nil"/>
              <w:bottom w:val="nil"/>
              <w:right w:val="nil"/>
            </w:tcBorders>
            <w:noWrap/>
            <w:vAlign w:val="bottom"/>
            <w:hideMark/>
          </w:tcPr>
          <w:p w14:paraId="63F4E9B7"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hideMark/>
          </w:tcPr>
          <w:p w14:paraId="45B6FF66"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1870D7C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3C13B4F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B11DA8B"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56F9E188"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4B42B646" w14:textId="77777777" w:rsidTr="005F5AF7">
        <w:trPr>
          <w:trHeight w:val="312"/>
        </w:trPr>
        <w:tc>
          <w:tcPr>
            <w:tcW w:w="2880" w:type="dxa"/>
            <w:gridSpan w:val="3"/>
            <w:tcBorders>
              <w:top w:val="nil"/>
              <w:left w:val="nil"/>
              <w:bottom w:val="nil"/>
              <w:right w:val="nil"/>
            </w:tcBorders>
            <w:noWrap/>
            <w:vAlign w:val="bottom"/>
            <w:hideMark/>
          </w:tcPr>
          <w:p w14:paraId="0D35CCA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Less than 1 year                  </w:t>
            </w:r>
          </w:p>
        </w:tc>
        <w:tc>
          <w:tcPr>
            <w:tcW w:w="960" w:type="dxa"/>
            <w:tcBorders>
              <w:top w:val="nil"/>
              <w:left w:val="nil"/>
              <w:bottom w:val="nil"/>
              <w:right w:val="nil"/>
            </w:tcBorders>
            <w:noWrap/>
            <w:vAlign w:val="bottom"/>
            <w:hideMark/>
          </w:tcPr>
          <w:p w14:paraId="63F8D08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B6484D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w:t>
            </w:r>
          </w:p>
        </w:tc>
        <w:tc>
          <w:tcPr>
            <w:tcW w:w="480" w:type="dxa"/>
            <w:tcBorders>
              <w:top w:val="nil"/>
              <w:left w:val="nil"/>
              <w:bottom w:val="nil"/>
              <w:right w:val="nil"/>
            </w:tcBorders>
            <w:noWrap/>
            <w:vAlign w:val="bottom"/>
            <w:hideMark/>
          </w:tcPr>
          <w:p w14:paraId="3A47FB2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7679D31D"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AA4ED3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5.1</w:t>
            </w:r>
          </w:p>
        </w:tc>
        <w:tc>
          <w:tcPr>
            <w:tcW w:w="411" w:type="dxa"/>
            <w:tcBorders>
              <w:top w:val="nil"/>
              <w:left w:val="nil"/>
              <w:bottom w:val="nil"/>
              <w:right w:val="nil"/>
            </w:tcBorders>
            <w:noWrap/>
            <w:vAlign w:val="bottom"/>
            <w:hideMark/>
          </w:tcPr>
          <w:p w14:paraId="642DC74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9BDB5D7" w14:textId="77777777" w:rsidTr="005F5AF7">
        <w:trPr>
          <w:trHeight w:val="312"/>
        </w:trPr>
        <w:tc>
          <w:tcPr>
            <w:tcW w:w="2880" w:type="dxa"/>
            <w:gridSpan w:val="3"/>
            <w:tcBorders>
              <w:top w:val="nil"/>
              <w:left w:val="nil"/>
              <w:bottom w:val="nil"/>
              <w:right w:val="nil"/>
            </w:tcBorders>
            <w:noWrap/>
            <w:vAlign w:val="bottom"/>
            <w:hideMark/>
          </w:tcPr>
          <w:p w14:paraId="5957803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1-5 years                             </w:t>
            </w:r>
          </w:p>
        </w:tc>
        <w:tc>
          <w:tcPr>
            <w:tcW w:w="960" w:type="dxa"/>
            <w:tcBorders>
              <w:top w:val="nil"/>
              <w:left w:val="nil"/>
              <w:bottom w:val="nil"/>
              <w:right w:val="nil"/>
            </w:tcBorders>
            <w:noWrap/>
            <w:vAlign w:val="bottom"/>
            <w:hideMark/>
          </w:tcPr>
          <w:p w14:paraId="0CDE56D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48B6F51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w:t>
            </w:r>
          </w:p>
        </w:tc>
        <w:tc>
          <w:tcPr>
            <w:tcW w:w="480" w:type="dxa"/>
            <w:tcBorders>
              <w:top w:val="nil"/>
              <w:left w:val="nil"/>
              <w:bottom w:val="nil"/>
              <w:right w:val="nil"/>
            </w:tcBorders>
            <w:noWrap/>
            <w:vAlign w:val="bottom"/>
            <w:hideMark/>
          </w:tcPr>
          <w:p w14:paraId="2DE52B8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BC4A2E7"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1AA5A39"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11" w:type="dxa"/>
            <w:tcBorders>
              <w:top w:val="nil"/>
              <w:left w:val="nil"/>
              <w:bottom w:val="nil"/>
              <w:right w:val="nil"/>
            </w:tcBorders>
            <w:noWrap/>
            <w:vAlign w:val="bottom"/>
            <w:hideMark/>
          </w:tcPr>
          <w:p w14:paraId="0F54228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C3AACFD" w14:textId="77777777" w:rsidTr="005F5AF7">
        <w:trPr>
          <w:trHeight w:val="312"/>
        </w:trPr>
        <w:tc>
          <w:tcPr>
            <w:tcW w:w="2880" w:type="dxa"/>
            <w:gridSpan w:val="3"/>
            <w:tcBorders>
              <w:top w:val="nil"/>
              <w:left w:val="nil"/>
              <w:bottom w:val="nil"/>
              <w:right w:val="nil"/>
            </w:tcBorders>
            <w:noWrap/>
            <w:vAlign w:val="bottom"/>
            <w:hideMark/>
          </w:tcPr>
          <w:p w14:paraId="6DF5CB4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6-10 years                          </w:t>
            </w:r>
          </w:p>
        </w:tc>
        <w:tc>
          <w:tcPr>
            <w:tcW w:w="960" w:type="dxa"/>
            <w:tcBorders>
              <w:top w:val="nil"/>
              <w:left w:val="nil"/>
              <w:bottom w:val="nil"/>
              <w:right w:val="nil"/>
            </w:tcBorders>
            <w:noWrap/>
            <w:vAlign w:val="bottom"/>
            <w:hideMark/>
          </w:tcPr>
          <w:p w14:paraId="09852CC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513A60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14</w:t>
            </w:r>
          </w:p>
        </w:tc>
        <w:tc>
          <w:tcPr>
            <w:tcW w:w="480" w:type="dxa"/>
            <w:tcBorders>
              <w:top w:val="nil"/>
              <w:left w:val="nil"/>
              <w:bottom w:val="nil"/>
              <w:right w:val="nil"/>
            </w:tcBorders>
            <w:noWrap/>
            <w:vAlign w:val="bottom"/>
            <w:hideMark/>
          </w:tcPr>
          <w:p w14:paraId="6DD575A4"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10F14A2"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2A974EA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17.7</w:t>
            </w:r>
          </w:p>
        </w:tc>
        <w:tc>
          <w:tcPr>
            <w:tcW w:w="411" w:type="dxa"/>
            <w:tcBorders>
              <w:top w:val="nil"/>
              <w:left w:val="nil"/>
              <w:bottom w:val="nil"/>
              <w:right w:val="nil"/>
            </w:tcBorders>
            <w:noWrap/>
            <w:vAlign w:val="bottom"/>
            <w:hideMark/>
          </w:tcPr>
          <w:p w14:paraId="09B1920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64CE22F4" w14:textId="77777777" w:rsidTr="005F5AF7">
        <w:trPr>
          <w:trHeight w:val="312"/>
        </w:trPr>
        <w:tc>
          <w:tcPr>
            <w:tcW w:w="1920" w:type="dxa"/>
            <w:gridSpan w:val="2"/>
            <w:tcBorders>
              <w:top w:val="nil"/>
              <w:left w:val="nil"/>
              <w:bottom w:val="nil"/>
              <w:right w:val="nil"/>
            </w:tcBorders>
            <w:noWrap/>
            <w:vAlign w:val="bottom"/>
            <w:hideMark/>
          </w:tcPr>
          <w:p w14:paraId="720B5F7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11-15 years</w:t>
            </w:r>
          </w:p>
        </w:tc>
        <w:tc>
          <w:tcPr>
            <w:tcW w:w="960" w:type="dxa"/>
            <w:tcBorders>
              <w:top w:val="nil"/>
              <w:left w:val="nil"/>
              <w:bottom w:val="nil"/>
              <w:right w:val="nil"/>
            </w:tcBorders>
            <w:noWrap/>
            <w:vAlign w:val="bottom"/>
            <w:hideMark/>
          </w:tcPr>
          <w:p w14:paraId="395963D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3559123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51BB3C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hideMark/>
          </w:tcPr>
          <w:p w14:paraId="02CC81D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7A9D861E"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82F2085"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hideMark/>
          </w:tcPr>
          <w:p w14:paraId="12FF3CD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44DF3D9" w14:textId="77777777" w:rsidTr="005F5AF7">
        <w:trPr>
          <w:trHeight w:val="312"/>
        </w:trPr>
        <w:tc>
          <w:tcPr>
            <w:tcW w:w="1920" w:type="dxa"/>
            <w:gridSpan w:val="2"/>
            <w:tcBorders>
              <w:top w:val="nil"/>
              <w:left w:val="nil"/>
              <w:bottom w:val="nil"/>
              <w:right w:val="nil"/>
            </w:tcBorders>
            <w:noWrap/>
            <w:vAlign w:val="bottom"/>
            <w:hideMark/>
          </w:tcPr>
          <w:p w14:paraId="531FC77A"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More than 15 years</w:t>
            </w:r>
          </w:p>
        </w:tc>
        <w:tc>
          <w:tcPr>
            <w:tcW w:w="960" w:type="dxa"/>
            <w:tcBorders>
              <w:top w:val="nil"/>
              <w:left w:val="nil"/>
              <w:bottom w:val="nil"/>
              <w:right w:val="nil"/>
            </w:tcBorders>
            <w:noWrap/>
            <w:vAlign w:val="bottom"/>
            <w:hideMark/>
          </w:tcPr>
          <w:p w14:paraId="05346F3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479A2C13"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099B21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25</w:t>
            </w:r>
          </w:p>
        </w:tc>
        <w:tc>
          <w:tcPr>
            <w:tcW w:w="480" w:type="dxa"/>
            <w:tcBorders>
              <w:top w:val="nil"/>
              <w:left w:val="nil"/>
              <w:bottom w:val="nil"/>
              <w:right w:val="nil"/>
            </w:tcBorders>
            <w:noWrap/>
            <w:vAlign w:val="bottom"/>
            <w:hideMark/>
          </w:tcPr>
          <w:p w14:paraId="2352DAE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CA3A323"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CB639EF"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31.6</w:t>
            </w:r>
          </w:p>
        </w:tc>
        <w:tc>
          <w:tcPr>
            <w:tcW w:w="411" w:type="dxa"/>
            <w:tcBorders>
              <w:top w:val="nil"/>
              <w:left w:val="nil"/>
              <w:bottom w:val="nil"/>
              <w:right w:val="nil"/>
            </w:tcBorders>
            <w:noWrap/>
            <w:vAlign w:val="bottom"/>
            <w:hideMark/>
          </w:tcPr>
          <w:p w14:paraId="25D9819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C96F05E" w14:textId="77777777" w:rsidTr="005F5AF7">
        <w:trPr>
          <w:trHeight w:val="312"/>
        </w:trPr>
        <w:tc>
          <w:tcPr>
            <w:tcW w:w="1920" w:type="dxa"/>
            <w:gridSpan w:val="2"/>
            <w:tcBorders>
              <w:top w:val="nil"/>
              <w:left w:val="nil"/>
              <w:bottom w:val="nil"/>
              <w:right w:val="nil"/>
            </w:tcBorders>
            <w:noWrap/>
            <w:vAlign w:val="bottom"/>
            <w:hideMark/>
          </w:tcPr>
          <w:p w14:paraId="5D908BD2"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Health centre</w:t>
            </w:r>
          </w:p>
        </w:tc>
        <w:tc>
          <w:tcPr>
            <w:tcW w:w="960" w:type="dxa"/>
            <w:tcBorders>
              <w:top w:val="nil"/>
              <w:left w:val="nil"/>
              <w:bottom w:val="nil"/>
              <w:right w:val="nil"/>
            </w:tcBorders>
            <w:noWrap/>
            <w:vAlign w:val="bottom"/>
            <w:hideMark/>
          </w:tcPr>
          <w:p w14:paraId="0D50D5C7" w14:textId="77777777" w:rsidR="00DD57A3" w:rsidRPr="00376D34"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7125E8A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65AC201"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D185E3"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B0A5A63"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3A6ACD"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671FDE10"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376D34" w14:paraId="7E5BD733" w14:textId="77777777" w:rsidTr="005F5AF7">
        <w:trPr>
          <w:trHeight w:val="312"/>
        </w:trPr>
        <w:tc>
          <w:tcPr>
            <w:tcW w:w="1920" w:type="dxa"/>
            <w:gridSpan w:val="2"/>
            <w:tcBorders>
              <w:top w:val="nil"/>
              <w:left w:val="nil"/>
              <w:bottom w:val="nil"/>
              <w:right w:val="nil"/>
            </w:tcBorders>
            <w:noWrap/>
            <w:vAlign w:val="bottom"/>
            <w:hideMark/>
          </w:tcPr>
          <w:p w14:paraId="559016D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roofErr w:type="spellStart"/>
            <w:r w:rsidRPr="00376D34">
              <w:rPr>
                <w:rFonts w:ascii="Times New Roman" w:eastAsia="Times New Roman" w:hAnsi="Times New Roman" w:cs="Times New Roman"/>
                <w:color w:val="000000"/>
                <w:sz w:val="24"/>
                <w:szCs w:val="24"/>
                <w:lang w:eastAsia="en-GB"/>
              </w:rPr>
              <w:t>Okeyinmi</w:t>
            </w:r>
            <w:proofErr w:type="spellEnd"/>
          </w:p>
        </w:tc>
        <w:tc>
          <w:tcPr>
            <w:tcW w:w="960" w:type="dxa"/>
            <w:tcBorders>
              <w:top w:val="nil"/>
              <w:left w:val="nil"/>
              <w:bottom w:val="nil"/>
              <w:right w:val="nil"/>
            </w:tcBorders>
            <w:noWrap/>
            <w:vAlign w:val="bottom"/>
            <w:hideMark/>
          </w:tcPr>
          <w:p w14:paraId="13C94E5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CCFFCDC"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2244AC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47</w:t>
            </w:r>
          </w:p>
        </w:tc>
        <w:tc>
          <w:tcPr>
            <w:tcW w:w="480" w:type="dxa"/>
            <w:tcBorders>
              <w:top w:val="nil"/>
              <w:left w:val="nil"/>
              <w:bottom w:val="nil"/>
              <w:right w:val="nil"/>
            </w:tcBorders>
            <w:noWrap/>
            <w:vAlign w:val="bottom"/>
            <w:hideMark/>
          </w:tcPr>
          <w:p w14:paraId="0556943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65817BA4"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371251C"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59.4</w:t>
            </w:r>
          </w:p>
        </w:tc>
        <w:tc>
          <w:tcPr>
            <w:tcW w:w="411" w:type="dxa"/>
            <w:tcBorders>
              <w:top w:val="nil"/>
              <w:left w:val="nil"/>
              <w:bottom w:val="nil"/>
              <w:right w:val="nil"/>
            </w:tcBorders>
            <w:noWrap/>
            <w:vAlign w:val="bottom"/>
            <w:hideMark/>
          </w:tcPr>
          <w:p w14:paraId="16A9778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B81FDEF" w14:textId="77777777" w:rsidTr="005F5AF7">
        <w:trPr>
          <w:trHeight w:val="312"/>
        </w:trPr>
        <w:tc>
          <w:tcPr>
            <w:tcW w:w="1862" w:type="dxa"/>
            <w:tcBorders>
              <w:top w:val="nil"/>
              <w:left w:val="nil"/>
              <w:bottom w:val="nil"/>
              <w:right w:val="nil"/>
            </w:tcBorders>
            <w:noWrap/>
            <w:vAlign w:val="bottom"/>
            <w:hideMark/>
          </w:tcPr>
          <w:p w14:paraId="245BB937"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Irona</w:t>
            </w:r>
          </w:p>
        </w:tc>
        <w:tc>
          <w:tcPr>
            <w:tcW w:w="58" w:type="dxa"/>
            <w:tcBorders>
              <w:top w:val="nil"/>
              <w:left w:val="nil"/>
              <w:bottom w:val="nil"/>
              <w:right w:val="nil"/>
            </w:tcBorders>
            <w:noWrap/>
            <w:vAlign w:val="bottom"/>
            <w:hideMark/>
          </w:tcPr>
          <w:p w14:paraId="6DDD25D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8022936"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5F3D0C2"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59CA20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74FFE00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743047A" w14:textId="77777777" w:rsidR="00DD57A3" w:rsidRPr="00376D34" w:rsidRDefault="00DD57A3" w:rsidP="005F5AF7">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10F872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6.5</w:t>
            </w:r>
          </w:p>
        </w:tc>
        <w:tc>
          <w:tcPr>
            <w:tcW w:w="411" w:type="dxa"/>
            <w:tcBorders>
              <w:top w:val="nil"/>
              <w:left w:val="nil"/>
              <w:bottom w:val="nil"/>
              <w:right w:val="nil"/>
            </w:tcBorders>
            <w:noWrap/>
            <w:vAlign w:val="bottom"/>
            <w:hideMark/>
          </w:tcPr>
          <w:p w14:paraId="4BC18E6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9B82219" w14:textId="77777777" w:rsidTr="005F5AF7">
        <w:trPr>
          <w:trHeight w:val="312"/>
        </w:trPr>
        <w:tc>
          <w:tcPr>
            <w:tcW w:w="1920" w:type="dxa"/>
            <w:gridSpan w:val="2"/>
            <w:tcBorders>
              <w:top w:val="nil"/>
              <w:left w:val="nil"/>
              <w:bottom w:val="single" w:sz="4" w:space="0" w:color="auto"/>
              <w:right w:val="nil"/>
            </w:tcBorders>
            <w:noWrap/>
            <w:vAlign w:val="bottom"/>
            <w:hideMark/>
          </w:tcPr>
          <w:p w14:paraId="24F79550"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Odo-Ado</w:t>
            </w:r>
          </w:p>
        </w:tc>
        <w:tc>
          <w:tcPr>
            <w:tcW w:w="960" w:type="dxa"/>
            <w:tcBorders>
              <w:top w:val="nil"/>
              <w:left w:val="nil"/>
              <w:bottom w:val="single" w:sz="4" w:space="0" w:color="auto"/>
              <w:right w:val="nil"/>
            </w:tcBorders>
            <w:noWrap/>
            <w:vAlign w:val="bottom"/>
            <w:hideMark/>
          </w:tcPr>
          <w:p w14:paraId="4927EF96"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nil"/>
            </w:tcBorders>
            <w:noWrap/>
            <w:vAlign w:val="bottom"/>
            <w:hideMark/>
          </w:tcPr>
          <w:p w14:paraId="1C1F18F3"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1440" w:type="dxa"/>
            <w:tcBorders>
              <w:top w:val="nil"/>
              <w:left w:val="nil"/>
              <w:bottom w:val="single" w:sz="4" w:space="0" w:color="auto"/>
              <w:right w:val="nil"/>
            </w:tcBorders>
            <w:noWrap/>
            <w:vAlign w:val="bottom"/>
            <w:hideMark/>
          </w:tcPr>
          <w:p w14:paraId="700CD261"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80" w:type="dxa"/>
            <w:tcBorders>
              <w:top w:val="nil"/>
              <w:left w:val="nil"/>
              <w:bottom w:val="single" w:sz="4" w:space="0" w:color="auto"/>
              <w:right w:val="nil"/>
            </w:tcBorders>
            <w:noWrap/>
            <w:vAlign w:val="bottom"/>
            <w:hideMark/>
          </w:tcPr>
          <w:p w14:paraId="36EFC49B"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412" w:type="dxa"/>
            <w:tcBorders>
              <w:top w:val="nil"/>
              <w:left w:val="nil"/>
              <w:bottom w:val="single" w:sz="4" w:space="0" w:color="auto"/>
              <w:right w:val="nil"/>
            </w:tcBorders>
            <w:noWrap/>
            <w:vAlign w:val="bottom"/>
            <w:hideMark/>
          </w:tcPr>
          <w:p w14:paraId="27564168"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2057" w:type="dxa"/>
            <w:tcBorders>
              <w:top w:val="nil"/>
              <w:left w:val="nil"/>
              <w:bottom w:val="single" w:sz="4" w:space="0" w:color="auto"/>
              <w:right w:val="nil"/>
            </w:tcBorders>
            <w:noWrap/>
            <w:vAlign w:val="bottom"/>
            <w:hideMark/>
          </w:tcPr>
          <w:p w14:paraId="3317F71E"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24.1</w:t>
            </w:r>
          </w:p>
        </w:tc>
        <w:tc>
          <w:tcPr>
            <w:tcW w:w="411" w:type="dxa"/>
            <w:tcBorders>
              <w:top w:val="nil"/>
              <w:left w:val="nil"/>
              <w:bottom w:val="single" w:sz="4" w:space="0" w:color="auto"/>
              <w:right w:val="nil"/>
            </w:tcBorders>
            <w:noWrap/>
            <w:vAlign w:val="bottom"/>
            <w:hideMark/>
          </w:tcPr>
          <w:p w14:paraId="3970068D" w14:textId="77777777" w:rsidR="00DD57A3" w:rsidRPr="00376D34"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r>
    </w:tbl>
    <w:p w14:paraId="4800C883" w14:textId="77777777" w:rsidR="00DD57A3" w:rsidRDefault="00DD57A3" w:rsidP="00DD57A3">
      <w:pPr>
        <w:spacing w:after="0" w:line="240" w:lineRule="auto"/>
        <w:jc w:val="both"/>
        <w:rPr>
          <w:rFonts w:ascii="Times New Roman" w:hAnsi="Times New Roman" w:cs="Times New Roman"/>
          <w:sz w:val="24"/>
          <w:szCs w:val="24"/>
        </w:rPr>
      </w:pPr>
    </w:p>
    <w:p w14:paraId="6119229A" w14:textId="77777777" w:rsidR="00DD57A3" w:rsidRPr="006C4628"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table above shows that most of the respondents </w:t>
      </w:r>
      <w:r>
        <w:rPr>
          <w:rFonts w:ascii="Times New Roman" w:hAnsi="Times New Roman" w:cs="Times New Roman"/>
          <w:sz w:val="24"/>
          <w:szCs w:val="24"/>
        </w:rPr>
        <w:t>2</w:t>
      </w:r>
      <w:r w:rsidRPr="00D55ACB">
        <w:rPr>
          <w:rFonts w:ascii="Times New Roman" w:hAnsi="Times New Roman" w:cs="Times New Roman"/>
          <w:sz w:val="24"/>
          <w:szCs w:val="24"/>
        </w:rPr>
        <w:t>9 (3</w:t>
      </w:r>
      <w:r>
        <w:rPr>
          <w:rFonts w:ascii="Times New Roman" w:hAnsi="Times New Roman" w:cs="Times New Roman"/>
          <w:sz w:val="24"/>
          <w:szCs w:val="24"/>
        </w:rPr>
        <w:t>6</w:t>
      </w:r>
      <w:r w:rsidRPr="00D55ACB">
        <w:rPr>
          <w:rFonts w:ascii="Times New Roman" w:hAnsi="Times New Roman" w:cs="Times New Roman"/>
          <w:sz w:val="24"/>
          <w:szCs w:val="24"/>
        </w:rPr>
        <w:t>.</w:t>
      </w:r>
      <w:r>
        <w:rPr>
          <w:rFonts w:ascii="Times New Roman" w:hAnsi="Times New Roman" w:cs="Times New Roman"/>
          <w:sz w:val="24"/>
          <w:szCs w:val="24"/>
        </w:rPr>
        <w:t>7</w:t>
      </w:r>
      <w:r w:rsidRPr="00D55ACB">
        <w:rPr>
          <w:rFonts w:ascii="Times New Roman" w:hAnsi="Times New Roman" w:cs="Times New Roman"/>
          <w:sz w:val="24"/>
          <w:szCs w:val="24"/>
        </w:rPr>
        <w:t xml:space="preserve">%) are between the age range of </w:t>
      </w:r>
      <w:r>
        <w:rPr>
          <w:rFonts w:ascii="Times New Roman" w:hAnsi="Times New Roman" w:cs="Times New Roman"/>
          <w:sz w:val="24"/>
          <w:szCs w:val="24"/>
        </w:rPr>
        <w:t>36</w:t>
      </w:r>
      <w:r w:rsidRPr="00D55ACB">
        <w:rPr>
          <w:rFonts w:ascii="Times New Roman" w:hAnsi="Times New Roman" w:cs="Times New Roman"/>
          <w:sz w:val="24"/>
          <w:szCs w:val="24"/>
        </w:rPr>
        <w:t xml:space="preserve"> -</w:t>
      </w:r>
      <w:r>
        <w:rPr>
          <w:rFonts w:ascii="Times New Roman" w:hAnsi="Times New Roman" w:cs="Times New Roman"/>
          <w:sz w:val="24"/>
          <w:szCs w:val="24"/>
        </w:rPr>
        <w:t>4</w:t>
      </w:r>
      <w:r w:rsidRPr="00D55ACB">
        <w:rPr>
          <w:rFonts w:ascii="Times New Roman" w:hAnsi="Times New Roman" w:cs="Times New Roman"/>
          <w:sz w:val="24"/>
          <w:szCs w:val="24"/>
        </w:rPr>
        <w:t xml:space="preserve">5years, with a mean age of </w:t>
      </w:r>
      <w:r>
        <w:rPr>
          <w:rFonts w:ascii="Times New Roman" w:hAnsi="Times New Roman" w:cs="Times New Roman"/>
          <w:sz w:val="24"/>
          <w:szCs w:val="24"/>
        </w:rPr>
        <w:t xml:space="preserve">41.1 </w:t>
      </w:r>
      <w:r w:rsidRPr="00D55ACB">
        <w:rPr>
          <w:rFonts w:ascii="Times New Roman" w:hAnsi="Times New Roman" w:cs="Times New Roman"/>
          <w:sz w:val="24"/>
          <w:szCs w:val="24"/>
        </w:rPr>
        <w:t>±0.</w:t>
      </w:r>
      <w:r>
        <w:rPr>
          <w:rFonts w:ascii="Times New Roman" w:hAnsi="Times New Roman" w:cs="Times New Roman"/>
          <w:sz w:val="24"/>
          <w:szCs w:val="24"/>
        </w:rPr>
        <w:t>90</w:t>
      </w:r>
      <w:r w:rsidRPr="00D55ACB">
        <w:rPr>
          <w:rFonts w:ascii="Times New Roman" w:hAnsi="Times New Roman" w:cs="Times New Roman"/>
          <w:sz w:val="24"/>
          <w:szCs w:val="24"/>
        </w:rPr>
        <w:t>. Most of the respondents</w:t>
      </w:r>
      <w:r>
        <w:rPr>
          <w:rFonts w:ascii="Times New Roman" w:hAnsi="Times New Roman" w:cs="Times New Roman"/>
          <w:sz w:val="24"/>
          <w:szCs w:val="24"/>
        </w:rPr>
        <w:t xml:space="preserve"> 54</w:t>
      </w:r>
      <w:r w:rsidRPr="00D55ACB">
        <w:rPr>
          <w:rFonts w:ascii="Times New Roman" w:hAnsi="Times New Roman" w:cs="Times New Roman"/>
          <w:sz w:val="24"/>
          <w:szCs w:val="24"/>
        </w:rPr>
        <w:t xml:space="preserve"> (</w:t>
      </w:r>
      <w:r>
        <w:rPr>
          <w:rFonts w:ascii="Times New Roman" w:hAnsi="Times New Roman" w:cs="Times New Roman"/>
          <w:sz w:val="24"/>
          <w:szCs w:val="24"/>
        </w:rPr>
        <w:t>68.4</w:t>
      </w:r>
      <w:r w:rsidRPr="00D55ACB">
        <w:rPr>
          <w:rFonts w:ascii="Times New Roman" w:hAnsi="Times New Roman" w:cs="Times New Roman"/>
          <w:sz w:val="24"/>
          <w:szCs w:val="24"/>
        </w:rPr>
        <w:t xml:space="preserve">%) are from the Yoruba ethnic group. A majority of the respondents </w:t>
      </w:r>
      <w:r>
        <w:rPr>
          <w:rFonts w:ascii="Times New Roman" w:hAnsi="Times New Roman" w:cs="Times New Roman"/>
          <w:sz w:val="24"/>
          <w:szCs w:val="24"/>
        </w:rPr>
        <w:t xml:space="preserve">58 </w:t>
      </w:r>
      <w:r w:rsidRPr="00D55ACB">
        <w:rPr>
          <w:rFonts w:ascii="Times New Roman" w:hAnsi="Times New Roman" w:cs="Times New Roman"/>
          <w:sz w:val="24"/>
          <w:szCs w:val="24"/>
        </w:rPr>
        <w:t>(</w:t>
      </w:r>
      <w:r>
        <w:rPr>
          <w:rFonts w:ascii="Times New Roman" w:hAnsi="Times New Roman" w:cs="Times New Roman"/>
          <w:sz w:val="24"/>
          <w:szCs w:val="24"/>
        </w:rPr>
        <w:t>73.4</w:t>
      </w:r>
      <w:r w:rsidRPr="00D55ACB">
        <w:rPr>
          <w:rFonts w:ascii="Times New Roman" w:hAnsi="Times New Roman" w:cs="Times New Roman"/>
          <w:sz w:val="24"/>
          <w:szCs w:val="24"/>
        </w:rPr>
        <w:t xml:space="preserve">%) are Christians. Most of the respondents </w:t>
      </w:r>
      <w:r>
        <w:rPr>
          <w:rFonts w:ascii="Times New Roman" w:hAnsi="Times New Roman" w:cs="Times New Roman"/>
          <w:sz w:val="24"/>
          <w:szCs w:val="24"/>
        </w:rPr>
        <w:t>67</w:t>
      </w:r>
      <w:r w:rsidRPr="00D55ACB">
        <w:rPr>
          <w:rFonts w:ascii="Times New Roman" w:hAnsi="Times New Roman" w:cs="Times New Roman"/>
          <w:sz w:val="24"/>
          <w:szCs w:val="24"/>
        </w:rPr>
        <w:t xml:space="preserve"> (</w:t>
      </w:r>
      <w:r>
        <w:rPr>
          <w:rFonts w:ascii="Times New Roman" w:hAnsi="Times New Roman" w:cs="Times New Roman"/>
          <w:sz w:val="24"/>
          <w:szCs w:val="24"/>
        </w:rPr>
        <w:t>84.8</w:t>
      </w:r>
      <w:r w:rsidRPr="00D55ACB">
        <w:rPr>
          <w:rFonts w:ascii="Times New Roman" w:hAnsi="Times New Roman" w:cs="Times New Roman"/>
          <w:sz w:val="24"/>
          <w:szCs w:val="24"/>
        </w:rPr>
        <w:t xml:space="preserve">%) are females and most of the respondents </w:t>
      </w:r>
      <w:r>
        <w:rPr>
          <w:rFonts w:ascii="Times New Roman" w:hAnsi="Times New Roman" w:cs="Times New Roman"/>
          <w:sz w:val="24"/>
          <w:szCs w:val="24"/>
        </w:rPr>
        <w:t>66</w:t>
      </w:r>
      <w:r w:rsidRPr="00D55ACB">
        <w:rPr>
          <w:rFonts w:ascii="Times New Roman" w:hAnsi="Times New Roman" w:cs="Times New Roman"/>
          <w:sz w:val="24"/>
          <w:szCs w:val="24"/>
        </w:rPr>
        <w:t xml:space="preserve"> (</w:t>
      </w:r>
      <w:r>
        <w:rPr>
          <w:rFonts w:ascii="Times New Roman" w:hAnsi="Times New Roman" w:cs="Times New Roman"/>
          <w:sz w:val="24"/>
          <w:szCs w:val="24"/>
        </w:rPr>
        <w:t>83.5</w:t>
      </w:r>
      <w:r w:rsidRPr="00D55ACB">
        <w:rPr>
          <w:rFonts w:ascii="Times New Roman" w:hAnsi="Times New Roman" w:cs="Times New Roman"/>
          <w:sz w:val="24"/>
          <w:szCs w:val="24"/>
        </w:rPr>
        <w:t xml:space="preserve">%) are married. Most of the respondents </w:t>
      </w:r>
      <w:r>
        <w:rPr>
          <w:rFonts w:ascii="Times New Roman" w:hAnsi="Times New Roman" w:cs="Times New Roman"/>
          <w:sz w:val="24"/>
          <w:szCs w:val="24"/>
        </w:rPr>
        <w:t>25</w:t>
      </w:r>
      <w:r w:rsidRPr="00D55ACB">
        <w:rPr>
          <w:rFonts w:ascii="Times New Roman" w:hAnsi="Times New Roman" w:cs="Times New Roman"/>
          <w:sz w:val="24"/>
          <w:szCs w:val="24"/>
        </w:rPr>
        <w:t xml:space="preserve"> (31.</w:t>
      </w:r>
      <w:r>
        <w:rPr>
          <w:rFonts w:ascii="Times New Roman" w:hAnsi="Times New Roman" w:cs="Times New Roman"/>
          <w:sz w:val="24"/>
          <w:szCs w:val="24"/>
        </w:rPr>
        <w:t>6</w:t>
      </w:r>
      <w:r w:rsidRPr="00D55ACB">
        <w:rPr>
          <w:rFonts w:ascii="Times New Roman" w:hAnsi="Times New Roman" w:cs="Times New Roman"/>
          <w:sz w:val="24"/>
          <w:szCs w:val="24"/>
        </w:rPr>
        <w:t xml:space="preserve">%) </w:t>
      </w:r>
      <w:r>
        <w:rPr>
          <w:rFonts w:ascii="Times New Roman" w:hAnsi="Times New Roman" w:cs="Times New Roman"/>
          <w:sz w:val="24"/>
          <w:szCs w:val="24"/>
        </w:rPr>
        <w:t>more than 15</w:t>
      </w:r>
      <w:r w:rsidRPr="00D55ACB">
        <w:rPr>
          <w:rFonts w:ascii="Times New Roman" w:hAnsi="Times New Roman" w:cs="Times New Roman"/>
          <w:sz w:val="24"/>
          <w:szCs w:val="24"/>
        </w:rPr>
        <w:t xml:space="preserve">years working experience in primary healthcare settings. A majority of the respondents </w:t>
      </w:r>
      <w:r>
        <w:rPr>
          <w:rFonts w:ascii="Times New Roman" w:hAnsi="Times New Roman" w:cs="Times New Roman"/>
          <w:sz w:val="24"/>
          <w:szCs w:val="24"/>
        </w:rPr>
        <w:t>47</w:t>
      </w:r>
      <w:r w:rsidRPr="00D55ACB">
        <w:rPr>
          <w:rFonts w:ascii="Times New Roman" w:hAnsi="Times New Roman" w:cs="Times New Roman"/>
          <w:sz w:val="24"/>
          <w:szCs w:val="24"/>
        </w:rPr>
        <w:t xml:space="preserve"> (</w:t>
      </w:r>
      <w:r>
        <w:rPr>
          <w:rFonts w:ascii="Times New Roman" w:hAnsi="Times New Roman" w:cs="Times New Roman"/>
          <w:sz w:val="24"/>
          <w:szCs w:val="24"/>
        </w:rPr>
        <w:t>59.4</w:t>
      </w:r>
      <w:r w:rsidRPr="00D55ACB">
        <w:rPr>
          <w:rFonts w:ascii="Times New Roman" w:hAnsi="Times New Roman" w:cs="Times New Roman"/>
          <w:sz w:val="24"/>
          <w:szCs w:val="24"/>
        </w:rPr>
        <w:t xml:space="preserve">%) are workers in Comprehensive Health Centre (CHC), </w:t>
      </w:r>
      <w:proofErr w:type="spellStart"/>
      <w:r w:rsidRPr="00D55ACB">
        <w:rPr>
          <w:rFonts w:ascii="Times New Roman" w:hAnsi="Times New Roman" w:cs="Times New Roman"/>
          <w:sz w:val="24"/>
          <w:szCs w:val="24"/>
        </w:rPr>
        <w:t>Okeyinmi</w:t>
      </w:r>
      <w:proofErr w:type="spellEnd"/>
      <w:r w:rsidRPr="00D55ACB">
        <w:rPr>
          <w:rFonts w:ascii="Times New Roman" w:hAnsi="Times New Roman" w:cs="Times New Roman"/>
          <w:sz w:val="24"/>
          <w:szCs w:val="24"/>
        </w:rPr>
        <w:t>.</w:t>
      </w:r>
    </w:p>
    <w:p w14:paraId="1C51660F" w14:textId="5BA3556B" w:rsidR="00DD57A3" w:rsidRPr="00D55ACB"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bCs/>
          <w:sz w:val="24"/>
          <w:szCs w:val="24"/>
        </w:rPr>
        <w:t xml:space="preserve">Table 2: Respondents </w:t>
      </w:r>
      <w:r>
        <w:rPr>
          <w:rFonts w:ascii="Times New Roman" w:hAnsi="Times New Roman" w:cs="Times New Roman"/>
          <w:b/>
          <w:bCs/>
          <w:sz w:val="24"/>
          <w:szCs w:val="24"/>
        </w:rPr>
        <w:t>R</w:t>
      </w:r>
      <w:r w:rsidRPr="00D55ACB">
        <w:rPr>
          <w:rFonts w:ascii="Times New Roman" w:hAnsi="Times New Roman" w:cs="Times New Roman"/>
          <w:b/>
          <w:bCs/>
          <w:sz w:val="24"/>
          <w:szCs w:val="24"/>
        </w:rPr>
        <w:t xml:space="preserve">esponse on </w:t>
      </w:r>
      <w:r>
        <w:rPr>
          <w:rFonts w:ascii="Times New Roman" w:hAnsi="Times New Roman" w:cs="Times New Roman"/>
          <w:b/>
          <w:bCs/>
          <w:sz w:val="24"/>
          <w:szCs w:val="24"/>
        </w:rPr>
        <w:t>A</w:t>
      </w:r>
      <w:r w:rsidRPr="00D55ACB">
        <w:rPr>
          <w:rFonts w:ascii="Times New Roman" w:hAnsi="Times New Roman" w:cs="Times New Roman"/>
          <w:b/>
          <w:bCs/>
          <w:sz w:val="24"/>
          <w:szCs w:val="24"/>
        </w:rPr>
        <w:t>wareness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w:t>
      </w:r>
      <w:r>
        <w:rPr>
          <w:rFonts w:ascii="Times New Roman" w:hAnsi="Times New Roman" w:cs="Times New Roman"/>
          <w:b/>
          <w:bCs/>
          <w:sz w:val="24"/>
          <w:szCs w:val="24"/>
        </w:rPr>
        <w:t>V</w:t>
      </w:r>
      <w:r w:rsidRPr="00D55ACB">
        <w:rPr>
          <w:rFonts w:ascii="Times New Roman" w:hAnsi="Times New Roman" w:cs="Times New Roman"/>
          <w:b/>
          <w:bCs/>
          <w:sz w:val="24"/>
          <w:szCs w:val="24"/>
        </w:rPr>
        <w:t>accination</w:t>
      </w:r>
    </w:p>
    <w:tbl>
      <w:tblPr>
        <w:tblW w:w="9360" w:type="dxa"/>
        <w:tblLook w:val="04A0" w:firstRow="1" w:lastRow="0" w:firstColumn="1" w:lastColumn="0" w:noHBand="0" w:noVBand="1"/>
      </w:tblPr>
      <w:tblGrid>
        <w:gridCol w:w="2890"/>
        <w:gridCol w:w="266"/>
        <w:gridCol w:w="1569"/>
        <w:gridCol w:w="432"/>
        <w:gridCol w:w="1439"/>
        <w:gridCol w:w="432"/>
        <w:gridCol w:w="768"/>
        <w:gridCol w:w="1298"/>
        <w:gridCol w:w="266"/>
      </w:tblGrid>
      <w:tr w:rsidR="00DD57A3" w:rsidRPr="00D041DD" w14:paraId="318EE97B" w14:textId="77777777" w:rsidTr="005F5AF7">
        <w:trPr>
          <w:trHeight w:val="324"/>
        </w:trPr>
        <w:tc>
          <w:tcPr>
            <w:tcW w:w="3156" w:type="dxa"/>
            <w:gridSpan w:val="2"/>
            <w:tcBorders>
              <w:top w:val="single" w:sz="8" w:space="0" w:color="auto"/>
              <w:left w:val="nil"/>
              <w:bottom w:val="single" w:sz="8" w:space="0" w:color="auto"/>
              <w:right w:val="nil"/>
            </w:tcBorders>
            <w:noWrap/>
            <w:vAlign w:val="center"/>
            <w:hideMark/>
          </w:tcPr>
          <w:p w14:paraId="79C50771"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Variables</w:t>
            </w:r>
          </w:p>
        </w:tc>
        <w:tc>
          <w:tcPr>
            <w:tcW w:w="1578" w:type="dxa"/>
            <w:tcBorders>
              <w:top w:val="single" w:sz="8" w:space="0" w:color="auto"/>
              <w:left w:val="nil"/>
              <w:bottom w:val="single" w:sz="8" w:space="0" w:color="auto"/>
              <w:right w:val="nil"/>
            </w:tcBorders>
            <w:noWrap/>
            <w:vAlign w:val="center"/>
            <w:hideMark/>
          </w:tcPr>
          <w:p w14:paraId="16BB6A85"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w:t>
            </w:r>
          </w:p>
        </w:tc>
        <w:tc>
          <w:tcPr>
            <w:tcW w:w="2313" w:type="dxa"/>
            <w:gridSpan w:val="3"/>
            <w:tcBorders>
              <w:top w:val="single" w:sz="8" w:space="0" w:color="auto"/>
              <w:left w:val="nil"/>
              <w:bottom w:val="single" w:sz="8" w:space="0" w:color="auto"/>
              <w:right w:val="nil"/>
            </w:tcBorders>
            <w:noWrap/>
            <w:vAlign w:val="center"/>
            <w:hideMark/>
          </w:tcPr>
          <w:p w14:paraId="2EF23C85"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Frequency (n=79)</w:t>
            </w:r>
          </w:p>
        </w:tc>
        <w:tc>
          <w:tcPr>
            <w:tcW w:w="771" w:type="dxa"/>
            <w:tcBorders>
              <w:top w:val="single" w:sz="8" w:space="0" w:color="auto"/>
              <w:left w:val="nil"/>
              <w:bottom w:val="single" w:sz="8" w:space="0" w:color="auto"/>
              <w:right w:val="nil"/>
            </w:tcBorders>
            <w:noWrap/>
            <w:vAlign w:val="center"/>
            <w:hideMark/>
          </w:tcPr>
          <w:p w14:paraId="1E0889BE"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w:t>
            </w:r>
          </w:p>
        </w:tc>
        <w:tc>
          <w:tcPr>
            <w:tcW w:w="1542" w:type="dxa"/>
            <w:gridSpan w:val="2"/>
            <w:tcBorders>
              <w:top w:val="single" w:sz="8" w:space="0" w:color="auto"/>
              <w:left w:val="nil"/>
              <w:bottom w:val="single" w:sz="8" w:space="0" w:color="auto"/>
              <w:right w:val="nil"/>
            </w:tcBorders>
            <w:noWrap/>
            <w:vAlign w:val="center"/>
            <w:hideMark/>
          </w:tcPr>
          <w:p w14:paraId="4899062E"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Percentage (%)</w:t>
            </w:r>
          </w:p>
        </w:tc>
      </w:tr>
      <w:tr w:rsidR="00DD57A3" w:rsidRPr="00D041DD" w14:paraId="178DAAAF" w14:textId="77777777" w:rsidTr="005F5AF7">
        <w:trPr>
          <w:trHeight w:val="312"/>
        </w:trPr>
        <w:tc>
          <w:tcPr>
            <w:tcW w:w="7818" w:type="dxa"/>
            <w:gridSpan w:val="7"/>
            <w:tcBorders>
              <w:top w:val="single" w:sz="8" w:space="0" w:color="auto"/>
              <w:left w:val="nil"/>
              <w:bottom w:val="nil"/>
              <w:right w:val="nil"/>
            </w:tcBorders>
            <w:noWrap/>
            <w:vAlign w:val="center"/>
            <w:hideMark/>
          </w:tcPr>
          <w:p w14:paraId="529FD432"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Have you heard of Human Papilloma Virus (HPV) vaccine? </w:t>
            </w:r>
          </w:p>
        </w:tc>
        <w:tc>
          <w:tcPr>
            <w:tcW w:w="1305" w:type="dxa"/>
            <w:tcBorders>
              <w:top w:val="nil"/>
              <w:left w:val="nil"/>
              <w:bottom w:val="nil"/>
              <w:right w:val="nil"/>
            </w:tcBorders>
            <w:noWrap/>
            <w:vAlign w:val="bottom"/>
            <w:hideMark/>
          </w:tcPr>
          <w:p w14:paraId="589C6B10"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237" w:type="dxa"/>
            <w:tcBorders>
              <w:top w:val="nil"/>
              <w:left w:val="nil"/>
              <w:bottom w:val="nil"/>
              <w:right w:val="nil"/>
            </w:tcBorders>
            <w:noWrap/>
            <w:vAlign w:val="bottom"/>
            <w:hideMark/>
          </w:tcPr>
          <w:p w14:paraId="03C42A0B"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D041DD" w14:paraId="54DB7EB6" w14:textId="77777777" w:rsidTr="005F5AF7">
        <w:trPr>
          <w:trHeight w:val="312"/>
        </w:trPr>
        <w:tc>
          <w:tcPr>
            <w:tcW w:w="2908" w:type="dxa"/>
            <w:tcBorders>
              <w:top w:val="nil"/>
              <w:left w:val="nil"/>
              <w:bottom w:val="nil"/>
              <w:right w:val="nil"/>
            </w:tcBorders>
            <w:noWrap/>
            <w:vAlign w:val="center"/>
            <w:hideMark/>
          </w:tcPr>
          <w:p w14:paraId="30D9C86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2DE8EBA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BA66620"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19A8B364"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7F6CE0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524AE66A"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E7664B9"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3F02DC7B"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hideMark/>
          </w:tcPr>
          <w:p w14:paraId="6BD13B44"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E06EAA5" w14:textId="77777777" w:rsidTr="005F5AF7">
        <w:trPr>
          <w:trHeight w:val="312"/>
        </w:trPr>
        <w:tc>
          <w:tcPr>
            <w:tcW w:w="2908" w:type="dxa"/>
            <w:tcBorders>
              <w:top w:val="nil"/>
              <w:left w:val="nil"/>
              <w:bottom w:val="nil"/>
              <w:right w:val="nil"/>
            </w:tcBorders>
            <w:noWrap/>
            <w:vAlign w:val="center"/>
            <w:hideMark/>
          </w:tcPr>
          <w:p w14:paraId="0398F24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1D92247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0A8DD14F"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DA382A3"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4D7973D"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5DD1A18D"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4E2F865F"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1042D6C9"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F36A28D"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0F6E1B9" w14:textId="77777777" w:rsidTr="005F5AF7">
        <w:trPr>
          <w:trHeight w:val="312"/>
        </w:trPr>
        <w:tc>
          <w:tcPr>
            <w:tcW w:w="5167" w:type="dxa"/>
            <w:gridSpan w:val="4"/>
            <w:tcBorders>
              <w:top w:val="nil"/>
              <w:left w:val="nil"/>
              <w:bottom w:val="nil"/>
              <w:right w:val="nil"/>
            </w:tcBorders>
            <w:noWrap/>
            <w:vAlign w:val="center"/>
            <w:hideMark/>
          </w:tcPr>
          <w:p w14:paraId="0A647351"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Source of Information</w:t>
            </w:r>
          </w:p>
        </w:tc>
        <w:tc>
          <w:tcPr>
            <w:tcW w:w="1447" w:type="dxa"/>
            <w:tcBorders>
              <w:top w:val="nil"/>
              <w:left w:val="nil"/>
              <w:bottom w:val="nil"/>
              <w:right w:val="nil"/>
            </w:tcBorders>
            <w:noWrap/>
            <w:vAlign w:val="bottom"/>
            <w:hideMark/>
          </w:tcPr>
          <w:p w14:paraId="4AA8A6D1"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hideMark/>
          </w:tcPr>
          <w:p w14:paraId="43148933"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hideMark/>
          </w:tcPr>
          <w:p w14:paraId="05E04B3D"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hideMark/>
          </w:tcPr>
          <w:p w14:paraId="08B3113F"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58A94632"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D041DD" w14:paraId="6B70A809" w14:textId="77777777" w:rsidTr="005F5AF7">
        <w:trPr>
          <w:trHeight w:val="312"/>
        </w:trPr>
        <w:tc>
          <w:tcPr>
            <w:tcW w:w="5167" w:type="dxa"/>
            <w:gridSpan w:val="4"/>
            <w:tcBorders>
              <w:top w:val="nil"/>
              <w:left w:val="nil"/>
              <w:bottom w:val="nil"/>
              <w:right w:val="nil"/>
            </w:tcBorders>
            <w:noWrap/>
            <w:vAlign w:val="center"/>
            <w:hideMark/>
          </w:tcPr>
          <w:p w14:paraId="4A3E762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from Fellow healthcare workers</w:t>
            </w:r>
          </w:p>
        </w:tc>
        <w:tc>
          <w:tcPr>
            <w:tcW w:w="1447" w:type="dxa"/>
            <w:tcBorders>
              <w:top w:val="nil"/>
              <w:left w:val="nil"/>
              <w:bottom w:val="nil"/>
              <w:right w:val="nil"/>
            </w:tcBorders>
            <w:noWrap/>
            <w:vAlign w:val="center"/>
            <w:hideMark/>
          </w:tcPr>
          <w:p w14:paraId="5948CC34"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72</w:t>
            </w:r>
          </w:p>
        </w:tc>
        <w:tc>
          <w:tcPr>
            <w:tcW w:w="433" w:type="dxa"/>
            <w:tcBorders>
              <w:top w:val="nil"/>
              <w:left w:val="nil"/>
              <w:bottom w:val="nil"/>
              <w:right w:val="nil"/>
            </w:tcBorders>
            <w:noWrap/>
            <w:vAlign w:val="bottom"/>
            <w:hideMark/>
          </w:tcPr>
          <w:p w14:paraId="58CECCA4"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08DA30C"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4B4B35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91.1</w:t>
            </w:r>
          </w:p>
        </w:tc>
        <w:tc>
          <w:tcPr>
            <w:tcW w:w="237" w:type="dxa"/>
            <w:tcBorders>
              <w:top w:val="nil"/>
              <w:left w:val="nil"/>
              <w:bottom w:val="nil"/>
              <w:right w:val="nil"/>
            </w:tcBorders>
            <w:noWrap/>
            <w:vAlign w:val="bottom"/>
            <w:hideMark/>
          </w:tcPr>
          <w:p w14:paraId="434FE77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2A4D7E3" w14:textId="77777777" w:rsidTr="005F5AF7">
        <w:trPr>
          <w:trHeight w:val="312"/>
        </w:trPr>
        <w:tc>
          <w:tcPr>
            <w:tcW w:w="2908" w:type="dxa"/>
            <w:tcBorders>
              <w:top w:val="nil"/>
              <w:left w:val="nil"/>
              <w:bottom w:val="nil"/>
              <w:right w:val="nil"/>
            </w:tcBorders>
            <w:noWrap/>
            <w:vAlign w:val="center"/>
            <w:hideMark/>
          </w:tcPr>
          <w:p w14:paraId="5BEB444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On Radio</w:t>
            </w:r>
          </w:p>
        </w:tc>
        <w:tc>
          <w:tcPr>
            <w:tcW w:w="248" w:type="dxa"/>
            <w:tcBorders>
              <w:top w:val="nil"/>
              <w:left w:val="nil"/>
              <w:bottom w:val="nil"/>
              <w:right w:val="nil"/>
            </w:tcBorders>
            <w:noWrap/>
            <w:vAlign w:val="center"/>
            <w:hideMark/>
          </w:tcPr>
          <w:p w14:paraId="6BA62323"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F9EF863"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0ABE5C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D9AC7C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60</w:t>
            </w:r>
          </w:p>
        </w:tc>
        <w:tc>
          <w:tcPr>
            <w:tcW w:w="433" w:type="dxa"/>
            <w:tcBorders>
              <w:top w:val="nil"/>
              <w:left w:val="nil"/>
              <w:bottom w:val="nil"/>
              <w:right w:val="nil"/>
            </w:tcBorders>
            <w:noWrap/>
            <w:vAlign w:val="bottom"/>
            <w:hideMark/>
          </w:tcPr>
          <w:p w14:paraId="05EEF809"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BAE2379"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293A742"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75.9</w:t>
            </w:r>
          </w:p>
        </w:tc>
        <w:tc>
          <w:tcPr>
            <w:tcW w:w="237" w:type="dxa"/>
            <w:tcBorders>
              <w:top w:val="nil"/>
              <w:left w:val="nil"/>
              <w:bottom w:val="nil"/>
              <w:right w:val="nil"/>
            </w:tcBorders>
            <w:noWrap/>
            <w:vAlign w:val="bottom"/>
            <w:hideMark/>
          </w:tcPr>
          <w:p w14:paraId="158461B3"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D134FD8" w14:textId="77777777" w:rsidTr="005F5AF7">
        <w:trPr>
          <w:trHeight w:val="312"/>
        </w:trPr>
        <w:tc>
          <w:tcPr>
            <w:tcW w:w="3156" w:type="dxa"/>
            <w:gridSpan w:val="2"/>
            <w:tcBorders>
              <w:top w:val="nil"/>
              <w:left w:val="nil"/>
              <w:bottom w:val="nil"/>
              <w:right w:val="nil"/>
            </w:tcBorders>
            <w:noWrap/>
            <w:vAlign w:val="center"/>
            <w:hideMark/>
          </w:tcPr>
          <w:p w14:paraId="58FADA5B"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On Television</w:t>
            </w:r>
          </w:p>
        </w:tc>
        <w:tc>
          <w:tcPr>
            <w:tcW w:w="1578" w:type="dxa"/>
            <w:tcBorders>
              <w:top w:val="nil"/>
              <w:left w:val="nil"/>
              <w:bottom w:val="nil"/>
              <w:right w:val="nil"/>
            </w:tcBorders>
            <w:noWrap/>
            <w:vAlign w:val="bottom"/>
            <w:hideMark/>
          </w:tcPr>
          <w:p w14:paraId="2A97CC6C"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hideMark/>
          </w:tcPr>
          <w:p w14:paraId="1C8A0C4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705A66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21</w:t>
            </w:r>
          </w:p>
        </w:tc>
        <w:tc>
          <w:tcPr>
            <w:tcW w:w="433" w:type="dxa"/>
            <w:tcBorders>
              <w:top w:val="nil"/>
              <w:left w:val="nil"/>
              <w:bottom w:val="nil"/>
              <w:right w:val="nil"/>
            </w:tcBorders>
            <w:noWrap/>
            <w:vAlign w:val="bottom"/>
            <w:hideMark/>
          </w:tcPr>
          <w:p w14:paraId="2ECCC5FC"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0D41A02"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63F680D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26.6</w:t>
            </w:r>
          </w:p>
        </w:tc>
        <w:tc>
          <w:tcPr>
            <w:tcW w:w="237" w:type="dxa"/>
            <w:tcBorders>
              <w:top w:val="nil"/>
              <w:left w:val="nil"/>
              <w:bottom w:val="nil"/>
              <w:right w:val="nil"/>
            </w:tcBorders>
            <w:noWrap/>
            <w:vAlign w:val="bottom"/>
            <w:hideMark/>
          </w:tcPr>
          <w:p w14:paraId="02B88D59"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DDD4CAD" w14:textId="77777777" w:rsidTr="005F5AF7">
        <w:trPr>
          <w:trHeight w:val="312"/>
        </w:trPr>
        <w:tc>
          <w:tcPr>
            <w:tcW w:w="3156" w:type="dxa"/>
            <w:gridSpan w:val="2"/>
            <w:tcBorders>
              <w:top w:val="nil"/>
              <w:left w:val="nil"/>
              <w:bottom w:val="nil"/>
              <w:right w:val="nil"/>
            </w:tcBorders>
            <w:noWrap/>
            <w:vAlign w:val="center"/>
            <w:hideMark/>
          </w:tcPr>
          <w:p w14:paraId="68EAFA5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Family or Friends</w:t>
            </w:r>
          </w:p>
        </w:tc>
        <w:tc>
          <w:tcPr>
            <w:tcW w:w="1578" w:type="dxa"/>
            <w:tcBorders>
              <w:top w:val="nil"/>
              <w:left w:val="nil"/>
              <w:bottom w:val="nil"/>
              <w:right w:val="nil"/>
            </w:tcBorders>
            <w:noWrap/>
            <w:vAlign w:val="bottom"/>
            <w:hideMark/>
          </w:tcPr>
          <w:p w14:paraId="1993E475"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hideMark/>
          </w:tcPr>
          <w:p w14:paraId="59B01D17"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5458EB39"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45</w:t>
            </w:r>
          </w:p>
        </w:tc>
        <w:tc>
          <w:tcPr>
            <w:tcW w:w="433" w:type="dxa"/>
            <w:tcBorders>
              <w:top w:val="nil"/>
              <w:left w:val="nil"/>
              <w:bottom w:val="nil"/>
              <w:right w:val="nil"/>
            </w:tcBorders>
            <w:noWrap/>
            <w:vAlign w:val="bottom"/>
            <w:hideMark/>
          </w:tcPr>
          <w:p w14:paraId="7244CAD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542576FC"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3C529144"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57</w:t>
            </w:r>
          </w:p>
        </w:tc>
        <w:tc>
          <w:tcPr>
            <w:tcW w:w="237" w:type="dxa"/>
            <w:tcBorders>
              <w:top w:val="nil"/>
              <w:left w:val="nil"/>
              <w:bottom w:val="nil"/>
              <w:right w:val="nil"/>
            </w:tcBorders>
            <w:noWrap/>
            <w:vAlign w:val="bottom"/>
            <w:hideMark/>
          </w:tcPr>
          <w:p w14:paraId="469BB0E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20DC668" w14:textId="77777777" w:rsidTr="005F5AF7">
        <w:trPr>
          <w:trHeight w:val="312"/>
        </w:trPr>
        <w:tc>
          <w:tcPr>
            <w:tcW w:w="2908" w:type="dxa"/>
            <w:tcBorders>
              <w:top w:val="nil"/>
              <w:left w:val="nil"/>
              <w:bottom w:val="nil"/>
              <w:right w:val="nil"/>
            </w:tcBorders>
            <w:noWrap/>
            <w:vAlign w:val="center"/>
            <w:hideMark/>
          </w:tcPr>
          <w:p w14:paraId="0DD377B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Others</w:t>
            </w:r>
          </w:p>
        </w:tc>
        <w:tc>
          <w:tcPr>
            <w:tcW w:w="248" w:type="dxa"/>
            <w:tcBorders>
              <w:top w:val="nil"/>
              <w:left w:val="nil"/>
              <w:bottom w:val="nil"/>
              <w:right w:val="nil"/>
            </w:tcBorders>
            <w:noWrap/>
            <w:vAlign w:val="bottom"/>
            <w:hideMark/>
          </w:tcPr>
          <w:p w14:paraId="04A58746"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D43345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63BB203"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B291712"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35</w:t>
            </w:r>
          </w:p>
        </w:tc>
        <w:tc>
          <w:tcPr>
            <w:tcW w:w="433" w:type="dxa"/>
            <w:tcBorders>
              <w:top w:val="nil"/>
              <w:left w:val="nil"/>
              <w:bottom w:val="nil"/>
              <w:right w:val="nil"/>
            </w:tcBorders>
            <w:noWrap/>
            <w:vAlign w:val="bottom"/>
            <w:hideMark/>
          </w:tcPr>
          <w:p w14:paraId="226702A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64DD96E9"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3F3451C"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44.3</w:t>
            </w:r>
          </w:p>
        </w:tc>
        <w:tc>
          <w:tcPr>
            <w:tcW w:w="237" w:type="dxa"/>
            <w:tcBorders>
              <w:top w:val="nil"/>
              <w:left w:val="nil"/>
              <w:bottom w:val="nil"/>
              <w:right w:val="nil"/>
            </w:tcBorders>
            <w:noWrap/>
            <w:vAlign w:val="bottom"/>
            <w:hideMark/>
          </w:tcPr>
          <w:p w14:paraId="46AEFC3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6F2AEBD8" w14:textId="77777777" w:rsidTr="005F5AF7">
        <w:trPr>
          <w:trHeight w:val="312"/>
        </w:trPr>
        <w:tc>
          <w:tcPr>
            <w:tcW w:w="9360" w:type="dxa"/>
            <w:gridSpan w:val="9"/>
            <w:tcBorders>
              <w:top w:val="nil"/>
              <w:left w:val="nil"/>
              <w:bottom w:val="nil"/>
              <w:right w:val="nil"/>
            </w:tcBorders>
            <w:noWrap/>
            <w:vAlign w:val="center"/>
            <w:hideMark/>
          </w:tcPr>
          <w:p w14:paraId="25815F1F"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Are you aware that Human Papilloma Virus (HPV) vaccine is available in Nigeria? </w:t>
            </w:r>
          </w:p>
        </w:tc>
      </w:tr>
      <w:tr w:rsidR="00DD57A3" w:rsidRPr="00D041DD" w14:paraId="0E22B4C1" w14:textId="77777777" w:rsidTr="005F5AF7">
        <w:trPr>
          <w:trHeight w:val="312"/>
        </w:trPr>
        <w:tc>
          <w:tcPr>
            <w:tcW w:w="2908" w:type="dxa"/>
            <w:tcBorders>
              <w:top w:val="nil"/>
              <w:left w:val="nil"/>
              <w:bottom w:val="nil"/>
              <w:right w:val="nil"/>
            </w:tcBorders>
            <w:noWrap/>
            <w:vAlign w:val="center"/>
            <w:hideMark/>
          </w:tcPr>
          <w:p w14:paraId="5CA6B78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02DB8BD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B9069C2"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2E36093A"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A0CC71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073DBE95"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66C500B7"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EB95B3A"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hideMark/>
          </w:tcPr>
          <w:p w14:paraId="17ED8562"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3914E493" w14:textId="77777777" w:rsidTr="005F5AF7">
        <w:trPr>
          <w:trHeight w:val="312"/>
        </w:trPr>
        <w:tc>
          <w:tcPr>
            <w:tcW w:w="2908" w:type="dxa"/>
            <w:tcBorders>
              <w:top w:val="nil"/>
              <w:left w:val="nil"/>
              <w:bottom w:val="nil"/>
              <w:right w:val="nil"/>
            </w:tcBorders>
            <w:noWrap/>
            <w:vAlign w:val="center"/>
            <w:hideMark/>
          </w:tcPr>
          <w:p w14:paraId="647D13C6"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2D6C6D9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3B531D1"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4944F159"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4EBB5AD"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11A59F9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9E83382"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7C0CB8EC"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0F1F268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F9AA968" w14:textId="77777777" w:rsidTr="005F5AF7">
        <w:trPr>
          <w:trHeight w:val="312"/>
        </w:trPr>
        <w:tc>
          <w:tcPr>
            <w:tcW w:w="9360" w:type="dxa"/>
            <w:gridSpan w:val="9"/>
            <w:tcBorders>
              <w:top w:val="nil"/>
              <w:left w:val="nil"/>
              <w:bottom w:val="nil"/>
              <w:right w:val="nil"/>
            </w:tcBorders>
            <w:noWrap/>
            <w:vAlign w:val="center"/>
            <w:hideMark/>
          </w:tcPr>
          <w:p w14:paraId="7191C0B4"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Do you know which age groups are recommended to receive the HPV vaccine as </w:t>
            </w:r>
          </w:p>
        </w:tc>
      </w:tr>
      <w:tr w:rsidR="00DD57A3" w:rsidRPr="00D041DD" w14:paraId="065615B3" w14:textId="77777777" w:rsidTr="005F5AF7">
        <w:trPr>
          <w:trHeight w:val="312"/>
        </w:trPr>
        <w:tc>
          <w:tcPr>
            <w:tcW w:w="4734" w:type="dxa"/>
            <w:gridSpan w:val="3"/>
            <w:tcBorders>
              <w:top w:val="nil"/>
              <w:left w:val="nil"/>
              <w:bottom w:val="nil"/>
              <w:right w:val="nil"/>
            </w:tcBorders>
            <w:noWrap/>
            <w:vAlign w:val="center"/>
            <w:hideMark/>
          </w:tcPr>
          <w:p w14:paraId="6B61E9E6"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part of routine immunization in Nigeria?</w:t>
            </w:r>
          </w:p>
        </w:tc>
        <w:tc>
          <w:tcPr>
            <w:tcW w:w="1880" w:type="dxa"/>
            <w:gridSpan w:val="2"/>
            <w:tcBorders>
              <w:top w:val="nil"/>
              <w:left w:val="nil"/>
              <w:bottom w:val="nil"/>
              <w:right w:val="nil"/>
            </w:tcBorders>
            <w:noWrap/>
            <w:vAlign w:val="bottom"/>
            <w:hideMark/>
          </w:tcPr>
          <w:p w14:paraId="265704C8"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hideMark/>
          </w:tcPr>
          <w:p w14:paraId="735F399B"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hideMark/>
          </w:tcPr>
          <w:p w14:paraId="2731DE0E"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hideMark/>
          </w:tcPr>
          <w:p w14:paraId="3F20848B"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5D89B0F2"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D041DD" w14:paraId="4A3E3F8E" w14:textId="77777777" w:rsidTr="005F5AF7">
        <w:trPr>
          <w:trHeight w:val="312"/>
        </w:trPr>
        <w:tc>
          <w:tcPr>
            <w:tcW w:w="2908" w:type="dxa"/>
            <w:tcBorders>
              <w:top w:val="nil"/>
              <w:left w:val="nil"/>
              <w:bottom w:val="nil"/>
              <w:right w:val="nil"/>
            </w:tcBorders>
            <w:noWrap/>
            <w:vAlign w:val="center"/>
            <w:hideMark/>
          </w:tcPr>
          <w:p w14:paraId="2F8B2914"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08B3AED3"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70467DDC"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5B575D60"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41A620D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1D46A05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981E0FA"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6A0B993"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237" w:type="dxa"/>
            <w:tcBorders>
              <w:top w:val="nil"/>
              <w:left w:val="nil"/>
              <w:bottom w:val="nil"/>
              <w:right w:val="nil"/>
            </w:tcBorders>
            <w:noWrap/>
            <w:vAlign w:val="bottom"/>
            <w:hideMark/>
          </w:tcPr>
          <w:p w14:paraId="1EFC25A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393B3AB" w14:textId="77777777" w:rsidTr="005F5AF7">
        <w:trPr>
          <w:trHeight w:val="312"/>
        </w:trPr>
        <w:tc>
          <w:tcPr>
            <w:tcW w:w="2908" w:type="dxa"/>
            <w:tcBorders>
              <w:top w:val="nil"/>
              <w:left w:val="nil"/>
              <w:bottom w:val="nil"/>
              <w:right w:val="nil"/>
            </w:tcBorders>
            <w:noWrap/>
            <w:vAlign w:val="center"/>
            <w:hideMark/>
          </w:tcPr>
          <w:p w14:paraId="5118FF0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46FCA495"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6542B753"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4B7FEB21"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56C341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231848A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75A7FBC4"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8728AE2"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D46E38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C88C98D" w14:textId="77777777" w:rsidTr="005F5AF7">
        <w:trPr>
          <w:trHeight w:val="312"/>
        </w:trPr>
        <w:tc>
          <w:tcPr>
            <w:tcW w:w="4734" w:type="dxa"/>
            <w:gridSpan w:val="3"/>
            <w:tcBorders>
              <w:top w:val="nil"/>
              <w:left w:val="nil"/>
              <w:bottom w:val="nil"/>
              <w:right w:val="nil"/>
            </w:tcBorders>
            <w:noWrap/>
            <w:vAlign w:val="center"/>
            <w:hideMark/>
          </w:tcPr>
          <w:p w14:paraId="64608A40"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The following persons can be infected with the HPV virus</w:t>
            </w:r>
          </w:p>
        </w:tc>
        <w:tc>
          <w:tcPr>
            <w:tcW w:w="2313" w:type="dxa"/>
            <w:gridSpan w:val="3"/>
            <w:tcBorders>
              <w:top w:val="nil"/>
              <w:left w:val="nil"/>
              <w:bottom w:val="nil"/>
              <w:right w:val="nil"/>
            </w:tcBorders>
            <w:noWrap/>
            <w:vAlign w:val="center"/>
            <w:hideMark/>
          </w:tcPr>
          <w:p w14:paraId="66A49F00"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2313" w:type="dxa"/>
            <w:gridSpan w:val="3"/>
            <w:tcBorders>
              <w:top w:val="nil"/>
              <w:left w:val="nil"/>
              <w:bottom w:val="nil"/>
              <w:right w:val="nil"/>
            </w:tcBorders>
            <w:noWrap/>
            <w:vAlign w:val="center"/>
            <w:hideMark/>
          </w:tcPr>
          <w:p w14:paraId="5474B677"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D041DD" w14:paraId="59AA25EE" w14:textId="77777777" w:rsidTr="005F5AF7">
        <w:trPr>
          <w:trHeight w:val="312"/>
        </w:trPr>
        <w:tc>
          <w:tcPr>
            <w:tcW w:w="2908" w:type="dxa"/>
            <w:tcBorders>
              <w:top w:val="nil"/>
              <w:left w:val="nil"/>
              <w:bottom w:val="nil"/>
              <w:right w:val="nil"/>
            </w:tcBorders>
            <w:noWrap/>
            <w:vAlign w:val="center"/>
            <w:hideMark/>
          </w:tcPr>
          <w:p w14:paraId="46A8E34A"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Male</w:t>
            </w:r>
          </w:p>
        </w:tc>
        <w:tc>
          <w:tcPr>
            <w:tcW w:w="248" w:type="dxa"/>
            <w:tcBorders>
              <w:top w:val="nil"/>
              <w:left w:val="nil"/>
              <w:bottom w:val="nil"/>
              <w:right w:val="nil"/>
            </w:tcBorders>
            <w:noWrap/>
            <w:vAlign w:val="bottom"/>
            <w:hideMark/>
          </w:tcPr>
          <w:p w14:paraId="58246925"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vAlign w:val="center"/>
            <w:hideMark/>
          </w:tcPr>
          <w:p w14:paraId="07E2936D"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1A3E6E0E"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810BE10"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655867B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B90CE80"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D4EBC3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0989C1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6F1A927" w14:textId="77777777" w:rsidTr="005F5AF7">
        <w:trPr>
          <w:trHeight w:val="312"/>
        </w:trPr>
        <w:tc>
          <w:tcPr>
            <w:tcW w:w="2908" w:type="dxa"/>
            <w:tcBorders>
              <w:top w:val="nil"/>
              <w:left w:val="nil"/>
              <w:bottom w:val="nil"/>
              <w:right w:val="nil"/>
            </w:tcBorders>
            <w:noWrap/>
            <w:vAlign w:val="center"/>
            <w:hideMark/>
          </w:tcPr>
          <w:p w14:paraId="6F7DFF0A"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Female</w:t>
            </w:r>
          </w:p>
        </w:tc>
        <w:tc>
          <w:tcPr>
            <w:tcW w:w="248" w:type="dxa"/>
            <w:tcBorders>
              <w:top w:val="nil"/>
              <w:left w:val="nil"/>
              <w:bottom w:val="nil"/>
              <w:right w:val="nil"/>
            </w:tcBorders>
            <w:noWrap/>
            <w:vAlign w:val="bottom"/>
            <w:hideMark/>
          </w:tcPr>
          <w:p w14:paraId="4FAE0BD5"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6308C51E"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627EE87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39A8EB8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47</w:t>
            </w:r>
          </w:p>
        </w:tc>
        <w:tc>
          <w:tcPr>
            <w:tcW w:w="433" w:type="dxa"/>
            <w:tcBorders>
              <w:top w:val="nil"/>
              <w:left w:val="nil"/>
              <w:bottom w:val="nil"/>
              <w:right w:val="nil"/>
            </w:tcBorders>
            <w:noWrap/>
            <w:vAlign w:val="bottom"/>
            <w:hideMark/>
          </w:tcPr>
          <w:p w14:paraId="2060932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3F920D8"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776DDFB9"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59.5</w:t>
            </w:r>
          </w:p>
        </w:tc>
        <w:tc>
          <w:tcPr>
            <w:tcW w:w="237" w:type="dxa"/>
            <w:tcBorders>
              <w:top w:val="nil"/>
              <w:left w:val="nil"/>
              <w:bottom w:val="nil"/>
              <w:right w:val="nil"/>
            </w:tcBorders>
            <w:noWrap/>
            <w:vAlign w:val="bottom"/>
            <w:hideMark/>
          </w:tcPr>
          <w:p w14:paraId="4D2CB391"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3652767" w14:textId="77777777" w:rsidTr="005F5AF7">
        <w:trPr>
          <w:trHeight w:val="312"/>
        </w:trPr>
        <w:tc>
          <w:tcPr>
            <w:tcW w:w="2908" w:type="dxa"/>
            <w:tcBorders>
              <w:top w:val="nil"/>
              <w:left w:val="nil"/>
              <w:bottom w:val="nil"/>
              <w:right w:val="nil"/>
            </w:tcBorders>
            <w:noWrap/>
            <w:vAlign w:val="center"/>
            <w:hideMark/>
          </w:tcPr>
          <w:p w14:paraId="3FF3111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Both</w:t>
            </w:r>
          </w:p>
        </w:tc>
        <w:tc>
          <w:tcPr>
            <w:tcW w:w="248" w:type="dxa"/>
            <w:tcBorders>
              <w:top w:val="nil"/>
              <w:left w:val="nil"/>
              <w:bottom w:val="nil"/>
              <w:right w:val="nil"/>
            </w:tcBorders>
            <w:noWrap/>
            <w:vAlign w:val="bottom"/>
            <w:hideMark/>
          </w:tcPr>
          <w:p w14:paraId="6AE3639D"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0716A15"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09FF7EC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29AF2EEC"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32</w:t>
            </w:r>
          </w:p>
        </w:tc>
        <w:tc>
          <w:tcPr>
            <w:tcW w:w="433" w:type="dxa"/>
            <w:tcBorders>
              <w:top w:val="nil"/>
              <w:left w:val="nil"/>
              <w:bottom w:val="nil"/>
              <w:right w:val="nil"/>
            </w:tcBorders>
            <w:noWrap/>
            <w:vAlign w:val="bottom"/>
            <w:hideMark/>
          </w:tcPr>
          <w:p w14:paraId="40A7E807"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47D3BA6"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53660062"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40.5</w:t>
            </w:r>
          </w:p>
        </w:tc>
        <w:tc>
          <w:tcPr>
            <w:tcW w:w="237" w:type="dxa"/>
            <w:tcBorders>
              <w:top w:val="nil"/>
              <w:left w:val="nil"/>
              <w:bottom w:val="nil"/>
              <w:right w:val="nil"/>
            </w:tcBorders>
            <w:noWrap/>
            <w:vAlign w:val="bottom"/>
            <w:hideMark/>
          </w:tcPr>
          <w:p w14:paraId="0B29887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BFF0B28" w14:textId="77777777" w:rsidTr="005F5AF7">
        <w:trPr>
          <w:trHeight w:val="312"/>
        </w:trPr>
        <w:tc>
          <w:tcPr>
            <w:tcW w:w="9123" w:type="dxa"/>
            <w:gridSpan w:val="8"/>
            <w:tcBorders>
              <w:top w:val="nil"/>
              <w:left w:val="nil"/>
              <w:bottom w:val="nil"/>
              <w:right w:val="nil"/>
            </w:tcBorders>
            <w:noWrap/>
            <w:vAlign w:val="center"/>
            <w:hideMark/>
          </w:tcPr>
          <w:p w14:paraId="6AA58304"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lastRenderedPageBreak/>
              <w:t xml:space="preserve">Do you think there is enough information available about the introduction of </w:t>
            </w:r>
          </w:p>
        </w:tc>
        <w:tc>
          <w:tcPr>
            <w:tcW w:w="237" w:type="dxa"/>
            <w:tcBorders>
              <w:top w:val="nil"/>
              <w:left w:val="nil"/>
              <w:bottom w:val="nil"/>
              <w:right w:val="nil"/>
            </w:tcBorders>
            <w:noWrap/>
            <w:vAlign w:val="bottom"/>
            <w:hideMark/>
          </w:tcPr>
          <w:p w14:paraId="6AA0202B"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D041DD" w14:paraId="1E7326AC" w14:textId="77777777" w:rsidTr="005F5AF7">
        <w:trPr>
          <w:trHeight w:val="312"/>
        </w:trPr>
        <w:tc>
          <w:tcPr>
            <w:tcW w:w="7047" w:type="dxa"/>
            <w:gridSpan w:val="6"/>
            <w:tcBorders>
              <w:top w:val="nil"/>
              <w:left w:val="nil"/>
              <w:bottom w:val="nil"/>
              <w:right w:val="nil"/>
            </w:tcBorders>
            <w:noWrap/>
            <w:vAlign w:val="center"/>
            <w:hideMark/>
          </w:tcPr>
          <w:p w14:paraId="225BC8D6"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HPV vaccination as a routine immunization in Nigeria?  </w:t>
            </w:r>
          </w:p>
        </w:tc>
        <w:tc>
          <w:tcPr>
            <w:tcW w:w="771" w:type="dxa"/>
            <w:tcBorders>
              <w:top w:val="nil"/>
              <w:left w:val="nil"/>
              <w:bottom w:val="nil"/>
              <w:right w:val="nil"/>
            </w:tcBorders>
            <w:noWrap/>
            <w:vAlign w:val="bottom"/>
            <w:hideMark/>
          </w:tcPr>
          <w:p w14:paraId="36348246" w14:textId="77777777" w:rsidR="00DD57A3" w:rsidRPr="00D041D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305" w:type="dxa"/>
            <w:tcBorders>
              <w:top w:val="nil"/>
              <w:left w:val="nil"/>
              <w:bottom w:val="nil"/>
              <w:right w:val="nil"/>
            </w:tcBorders>
            <w:noWrap/>
            <w:vAlign w:val="bottom"/>
            <w:hideMark/>
          </w:tcPr>
          <w:p w14:paraId="17768AAE"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39B2E11F"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D041DD" w14:paraId="39715ECB" w14:textId="77777777" w:rsidTr="005F5AF7">
        <w:trPr>
          <w:trHeight w:val="312"/>
        </w:trPr>
        <w:tc>
          <w:tcPr>
            <w:tcW w:w="2908" w:type="dxa"/>
            <w:tcBorders>
              <w:top w:val="nil"/>
              <w:left w:val="nil"/>
              <w:bottom w:val="nil"/>
              <w:right w:val="nil"/>
            </w:tcBorders>
            <w:noWrap/>
            <w:vAlign w:val="center"/>
            <w:hideMark/>
          </w:tcPr>
          <w:p w14:paraId="429F681B"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7869A28E"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078E1E1F"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2263A8A"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3FA0B193"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55</w:t>
            </w:r>
          </w:p>
        </w:tc>
        <w:tc>
          <w:tcPr>
            <w:tcW w:w="433" w:type="dxa"/>
            <w:tcBorders>
              <w:top w:val="nil"/>
              <w:left w:val="nil"/>
              <w:bottom w:val="nil"/>
              <w:right w:val="nil"/>
            </w:tcBorders>
            <w:noWrap/>
            <w:vAlign w:val="bottom"/>
            <w:hideMark/>
          </w:tcPr>
          <w:p w14:paraId="12C92E8B"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4B0B51AD" w14:textId="77777777" w:rsidR="00DD57A3" w:rsidRPr="00D041DD" w:rsidRDefault="00DD57A3" w:rsidP="005F5AF7">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0C49491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69.6</w:t>
            </w:r>
          </w:p>
        </w:tc>
        <w:tc>
          <w:tcPr>
            <w:tcW w:w="237" w:type="dxa"/>
            <w:tcBorders>
              <w:top w:val="nil"/>
              <w:left w:val="nil"/>
              <w:bottom w:val="nil"/>
              <w:right w:val="nil"/>
            </w:tcBorders>
            <w:noWrap/>
            <w:vAlign w:val="bottom"/>
            <w:hideMark/>
          </w:tcPr>
          <w:p w14:paraId="7286D39F"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EA118AE" w14:textId="77777777" w:rsidTr="005F5AF7">
        <w:trPr>
          <w:trHeight w:val="387"/>
        </w:trPr>
        <w:tc>
          <w:tcPr>
            <w:tcW w:w="2908" w:type="dxa"/>
            <w:tcBorders>
              <w:top w:val="nil"/>
              <w:left w:val="nil"/>
              <w:bottom w:val="single" w:sz="4" w:space="0" w:color="auto"/>
              <w:right w:val="nil"/>
            </w:tcBorders>
            <w:noWrap/>
            <w:vAlign w:val="center"/>
            <w:hideMark/>
          </w:tcPr>
          <w:p w14:paraId="4D4E581A"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single" w:sz="4" w:space="0" w:color="auto"/>
              <w:right w:val="nil"/>
            </w:tcBorders>
            <w:noWrap/>
            <w:vAlign w:val="bottom"/>
            <w:hideMark/>
          </w:tcPr>
          <w:p w14:paraId="5196CCCA"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578" w:type="dxa"/>
            <w:tcBorders>
              <w:top w:val="nil"/>
              <w:left w:val="nil"/>
              <w:bottom w:val="single" w:sz="4" w:space="0" w:color="auto"/>
              <w:right w:val="nil"/>
            </w:tcBorders>
            <w:noWrap/>
            <w:vAlign w:val="bottom"/>
            <w:hideMark/>
          </w:tcPr>
          <w:p w14:paraId="213B3814"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433" w:type="dxa"/>
            <w:tcBorders>
              <w:top w:val="nil"/>
              <w:left w:val="nil"/>
              <w:bottom w:val="single" w:sz="4" w:space="0" w:color="auto"/>
              <w:right w:val="nil"/>
            </w:tcBorders>
            <w:noWrap/>
            <w:vAlign w:val="bottom"/>
            <w:hideMark/>
          </w:tcPr>
          <w:p w14:paraId="77E310CF"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447" w:type="dxa"/>
            <w:tcBorders>
              <w:top w:val="nil"/>
              <w:left w:val="nil"/>
              <w:bottom w:val="single" w:sz="4" w:space="0" w:color="auto"/>
              <w:right w:val="nil"/>
            </w:tcBorders>
            <w:noWrap/>
            <w:vAlign w:val="center"/>
            <w:hideMark/>
          </w:tcPr>
          <w:p w14:paraId="5D08C23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24</w:t>
            </w:r>
          </w:p>
        </w:tc>
        <w:tc>
          <w:tcPr>
            <w:tcW w:w="433" w:type="dxa"/>
            <w:tcBorders>
              <w:top w:val="nil"/>
              <w:left w:val="nil"/>
              <w:bottom w:val="single" w:sz="4" w:space="0" w:color="auto"/>
              <w:right w:val="nil"/>
            </w:tcBorders>
            <w:noWrap/>
            <w:vAlign w:val="bottom"/>
            <w:hideMark/>
          </w:tcPr>
          <w:p w14:paraId="340FC346"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771" w:type="dxa"/>
            <w:tcBorders>
              <w:top w:val="nil"/>
              <w:left w:val="nil"/>
              <w:bottom w:val="single" w:sz="4" w:space="0" w:color="auto"/>
              <w:right w:val="nil"/>
            </w:tcBorders>
            <w:noWrap/>
            <w:vAlign w:val="bottom"/>
            <w:hideMark/>
          </w:tcPr>
          <w:p w14:paraId="5BC3219B"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305" w:type="dxa"/>
            <w:tcBorders>
              <w:top w:val="nil"/>
              <w:left w:val="nil"/>
              <w:bottom w:val="single" w:sz="4" w:space="0" w:color="auto"/>
              <w:right w:val="nil"/>
            </w:tcBorders>
            <w:noWrap/>
            <w:vAlign w:val="center"/>
            <w:hideMark/>
          </w:tcPr>
          <w:p w14:paraId="67ED1498" w14:textId="77777777" w:rsidR="00DD57A3" w:rsidRPr="00D041D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30.4</w:t>
            </w:r>
          </w:p>
        </w:tc>
        <w:tc>
          <w:tcPr>
            <w:tcW w:w="237" w:type="dxa"/>
            <w:tcBorders>
              <w:top w:val="nil"/>
              <w:left w:val="nil"/>
              <w:bottom w:val="single" w:sz="4" w:space="0" w:color="auto"/>
              <w:right w:val="nil"/>
            </w:tcBorders>
            <w:noWrap/>
            <w:vAlign w:val="bottom"/>
            <w:hideMark/>
          </w:tcPr>
          <w:p w14:paraId="0D3BEA88" w14:textId="77777777" w:rsidR="00DD57A3" w:rsidRPr="00D041DD" w:rsidRDefault="00DD57A3" w:rsidP="005F5AF7">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r>
    </w:tbl>
    <w:p w14:paraId="153CAAAC" w14:textId="77777777" w:rsidR="00DD57A3" w:rsidRDefault="00DD57A3" w:rsidP="00DD57A3">
      <w:pPr>
        <w:spacing w:before="240" w:line="240" w:lineRule="auto"/>
        <w:jc w:val="both"/>
        <w:rPr>
          <w:rFonts w:ascii="Times New Roman" w:hAnsi="Times New Roman" w:cs="Times New Roman"/>
          <w:sz w:val="24"/>
          <w:szCs w:val="24"/>
        </w:rPr>
      </w:pPr>
    </w:p>
    <w:p w14:paraId="536C4BB2" w14:textId="77777777" w:rsidR="00DD57A3" w:rsidRPr="00D55ACB" w:rsidRDefault="00DD57A3" w:rsidP="00DD57A3">
      <w:pPr>
        <w:spacing w:before="24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table above shows that </w:t>
      </w:r>
      <w:r>
        <w:rPr>
          <w:rFonts w:ascii="Times New Roman" w:hAnsi="Times New Roman" w:cs="Times New Roman"/>
          <w:sz w:val="24"/>
          <w:szCs w:val="24"/>
        </w:rPr>
        <w:t xml:space="preserve">all </w:t>
      </w:r>
      <w:r w:rsidRPr="00D55ACB">
        <w:rPr>
          <w:rFonts w:ascii="Times New Roman" w:hAnsi="Times New Roman" w:cs="Times New Roman"/>
          <w:sz w:val="24"/>
          <w:szCs w:val="24"/>
        </w:rPr>
        <w:t xml:space="preserve">of the respondents </w:t>
      </w:r>
      <w:r>
        <w:rPr>
          <w:rFonts w:ascii="Times New Roman" w:hAnsi="Times New Roman" w:cs="Times New Roman"/>
          <w:sz w:val="24"/>
          <w:szCs w:val="24"/>
        </w:rPr>
        <w:t>79</w:t>
      </w:r>
      <w:r w:rsidRPr="00D55ACB">
        <w:rPr>
          <w:rFonts w:ascii="Times New Roman" w:hAnsi="Times New Roman" w:cs="Times New Roman"/>
          <w:sz w:val="24"/>
          <w:szCs w:val="24"/>
        </w:rPr>
        <w:t xml:space="preserve"> (</w:t>
      </w:r>
      <w:r>
        <w:rPr>
          <w:rFonts w:ascii="Times New Roman" w:hAnsi="Times New Roman" w:cs="Times New Roman"/>
          <w:sz w:val="24"/>
          <w:szCs w:val="24"/>
        </w:rPr>
        <w:t>100</w:t>
      </w:r>
      <w:r w:rsidRPr="00D55ACB">
        <w:rPr>
          <w:rFonts w:ascii="Times New Roman" w:hAnsi="Times New Roman" w:cs="Times New Roman"/>
          <w:sz w:val="24"/>
          <w:szCs w:val="24"/>
        </w:rPr>
        <w:t xml:space="preserve">%) have heard about HPV vaccination. A majority </w:t>
      </w:r>
      <w:r>
        <w:rPr>
          <w:rFonts w:ascii="Times New Roman" w:hAnsi="Times New Roman" w:cs="Times New Roman"/>
          <w:sz w:val="24"/>
          <w:szCs w:val="24"/>
        </w:rPr>
        <w:t>72</w:t>
      </w:r>
      <w:r w:rsidRPr="00D55ACB">
        <w:rPr>
          <w:rFonts w:ascii="Times New Roman" w:hAnsi="Times New Roman" w:cs="Times New Roman"/>
          <w:sz w:val="24"/>
          <w:szCs w:val="24"/>
        </w:rPr>
        <w:t xml:space="preserve"> (</w:t>
      </w:r>
      <w:r>
        <w:rPr>
          <w:rFonts w:ascii="Times New Roman" w:hAnsi="Times New Roman" w:cs="Times New Roman"/>
          <w:sz w:val="24"/>
          <w:szCs w:val="24"/>
        </w:rPr>
        <w:t>91.1</w:t>
      </w:r>
      <w:r w:rsidRPr="00D55ACB">
        <w:rPr>
          <w:rFonts w:ascii="Times New Roman" w:hAnsi="Times New Roman" w:cs="Times New Roman"/>
          <w:sz w:val="24"/>
          <w:szCs w:val="24"/>
        </w:rPr>
        <w:t xml:space="preserve">%) heard from fellow healthcare workers. </w:t>
      </w:r>
      <w:r>
        <w:rPr>
          <w:rFonts w:ascii="Times New Roman" w:hAnsi="Times New Roman" w:cs="Times New Roman"/>
          <w:sz w:val="24"/>
          <w:szCs w:val="24"/>
        </w:rPr>
        <w:t xml:space="preserve">All </w:t>
      </w:r>
      <w:r w:rsidRPr="00D55ACB">
        <w:rPr>
          <w:rFonts w:ascii="Times New Roman" w:hAnsi="Times New Roman" w:cs="Times New Roman"/>
          <w:sz w:val="24"/>
          <w:szCs w:val="24"/>
        </w:rPr>
        <w:t xml:space="preserve">of the respondents </w:t>
      </w:r>
      <w:r>
        <w:rPr>
          <w:rFonts w:ascii="Times New Roman" w:hAnsi="Times New Roman" w:cs="Times New Roman"/>
          <w:sz w:val="24"/>
          <w:szCs w:val="24"/>
        </w:rPr>
        <w:t>79</w:t>
      </w:r>
      <w:r w:rsidRPr="00D55ACB">
        <w:rPr>
          <w:rFonts w:ascii="Times New Roman" w:hAnsi="Times New Roman" w:cs="Times New Roman"/>
          <w:sz w:val="24"/>
          <w:szCs w:val="24"/>
        </w:rPr>
        <w:t xml:space="preserve"> (</w:t>
      </w:r>
      <w:r>
        <w:rPr>
          <w:rFonts w:ascii="Times New Roman" w:hAnsi="Times New Roman" w:cs="Times New Roman"/>
          <w:sz w:val="24"/>
          <w:szCs w:val="24"/>
        </w:rPr>
        <w:t>100</w:t>
      </w:r>
      <w:r w:rsidRPr="00D55ACB">
        <w:rPr>
          <w:rFonts w:ascii="Times New Roman" w:hAnsi="Times New Roman" w:cs="Times New Roman"/>
          <w:sz w:val="24"/>
          <w:szCs w:val="24"/>
        </w:rPr>
        <w:t>%) are aware that HPV vaccine is in Nigeria</w:t>
      </w:r>
      <w:r>
        <w:rPr>
          <w:rFonts w:ascii="Times New Roman" w:hAnsi="Times New Roman" w:cs="Times New Roman"/>
          <w:sz w:val="24"/>
          <w:szCs w:val="24"/>
        </w:rPr>
        <w:t xml:space="preserve"> and</w:t>
      </w:r>
      <w:r w:rsidRPr="00D55ACB">
        <w:rPr>
          <w:rFonts w:ascii="Times New Roman" w:hAnsi="Times New Roman" w:cs="Times New Roman"/>
          <w:sz w:val="24"/>
          <w:szCs w:val="24"/>
        </w:rPr>
        <w:t xml:space="preserve"> know which age groups are recommended to receive the HPV vaccine as part of routine immunization in Nigeria. Most of the respondents </w:t>
      </w:r>
      <w:r>
        <w:rPr>
          <w:rFonts w:ascii="Times New Roman" w:hAnsi="Times New Roman" w:cs="Times New Roman"/>
          <w:sz w:val="24"/>
          <w:szCs w:val="24"/>
        </w:rPr>
        <w:t>47</w:t>
      </w:r>
      <w:r w:rsidRPr="00D55ACB">
        <w:rPr>
          <w:rFonts w:ascii="Times New Roman" w:hAnsi="Times New Roman" w:cs="Times New Roman"/>
          <w:sz w:val="24"/>
          <w:szCs w:val="24"/>
        </w:rPr>
        <w:t xml:space="preserve"> (</w:t>
      </w:r>
      <w:r>
        <w:rPr>
          <w:rFonts w:ascii="Times New Roman" w:hAnsi="Times New Roman" w:cs="Times New Roman"/>
          <w:sz w:val="24"/>
          <w:szCs w:val="24"/>
        </w:rPr>
        <w:t>59.5</w:t>
      </w:r>
      <w:r w:rsidRPr="00D55ACB">
        <w:rPr>
          <w:rFonts w:ascii="Times New Roman" w:hAnsi="Times New Roman" w:cs="Times New Roman"/>
          <w:sz w:val="24"/>
          <w:szCs w:val="24"/>
        </w:rPr>
        <w:t>%) think that HPV infection only affect</w:t>
      </w:r>
      <w:r>
        <w:rPr>
          <w:rFonts w:ascii="Times New Roman" w:hAnsi="Times New Roman" w:cs="Times New Roman"/>
          <w:sz w:val="24"/>
          <w:szCs w:val="24"/>
        </w:rPr>
        <w:t xml:space="preserve"> </w:t>
      </w:r>
      <w:r w:rsidRPr="00D55ACB">
        <w:rPr>
          <w:rFonts w:ascii="Times New Roman" w:hAnsi="Times New Roman" w:cs="Times New Roman"/>
          <w:sz w:val="24"/>
          <w:szCs w:val="24"/>
        </w:rPr>
        <w:t xml:space="preserve">female. A majority </w:t>
      </w:r>
      <w:r>
        <w:rPr>
          <w:rFonts w:ascii="Times New Roman" w:hAnsi="Times New Roman" w:cs="Times New Roman"/>
          <w:sz w:val="24"/>
          <w:szCs w:val="24"/>
        </w:rPr>
        <w:t>55</w:t>
      </w:r>
      <w:r w:rsidRPr="00D55ACB">
        <w:rPr>
          <w:rFonts w:ascii="Times New Roman" w:hAnsi="Times New Roman" w:cs="Times New Roman"/>
          <w:sz w:val="24"/>
          <w:szCs w:val="24"/>
        </w:rPr>
        <w:t xml:space="preserve"> (</w:t>
      </w:r>
      <w:r>
        <w:rPr>
          <w:rFonts w:ascii="Times New Roman" w:hAnsi="Times New Roman" w:cs="Times New Roman"/>
          <w:sz w:val="24"/>
          <w:szCs w:val="24"/>
        </w:rPr>
        <w:t>69.6%</w:t>
      </w:r>
      <w:r w:rsidRPr="00D55ACB">
        <w:rPr>
          <w:rFonts w:ascii="Times New Roman" w:hAnsi="Times New Roman" w:cs="Times New Roman"/>
          <w:sz w:val="24"/>
          <w:szCs w:val="24"/>
        </w:rPr>
        <w:t>) think there is</w:t>
      </w:r>
      <w:r>
        <w:rPr>
          <w:rFonts w:ascii="Times New Roman" w:hAnsi="Times New Roman" w:cs="Times New Roman"/>
          <w:sz w:val="24"/>
          <w:szCs w:val="24"/>
        </w:rPr>
        <w:t xml:space="preserve"> </w:t>
      </w:r>
      <w:r w:rsidRPr="00D55ACB">
        <w:rPr>
          <w:rFonts w:ascii="Times New Roman" w:hAnsi="Times New Roman" w:cs="Times New Roman"/>
          <w:sz w:val="24"/>
          <w:szCs w:val="24"/>
        </w:rPr>
        <w:t>enough information available about the introduction of HPV vaccination as a routine immunization in Nigeria.</w:t>
      </w:r>
    </w:p>
    <w:p w14:paraId="7CA0C2E1" w14:textId="77777777" w:rsidR="00DD57A3" w:rsidRPr="00D55ACB" w:rsidRDefault="00DD57A3" w:rsidP="00DD57A3">
      <w:pPr>
        <w:spacing w:line="240" w:lineRule="auto"/>
        <w:jc w:val="both"/>
        <w:rPr>
          <w:rFonts w:ascii="Times New Roman" w:hAnsi="Times New Roman" w:cs="Times New Roman"/>
          <w:sz w:val="24"/>
          <w:szCs w:val="24"/>
          <w:lang w:bidi="en-US"/>
        </w:rPr>
      </w:pPr>
      <w:r>
        <w:rPr>
          <w:noProof/>
          <w14:ligatures w14:val="standardContextual"/>
        </w:rPr>
        <w:drawing>
          <wp:inline distT="0" distB="0" distL="0" distR="0" wp14:anchorId="022FB8FB" wp14:editId="7BD82F66">
            <wp:extent cx="3922096" cy="2365349"/>
            <wp:effectExtent l="0" t="0" r="2540" b="0"/>
            <wp:docPr id="1644060440" name="Chart 1">
              <a:extLst xmlns:a="http://schemas.openxmlformats.org/drawingml/2006/main">
                <a:ext uri="{FF2B5EF4-FFF2-40B4-BE49-F238E27FC236}">
                  <a16:creationId xmlns:a16="http://schemas.microsoft.com/office/drawing/2014/main" id="{9FDD47BB-B5AD-CA44-BAC5-7951B4A57C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11C10" w14:textId="33A68A08" w:rsidR="00DD57A3" w:rsidRPr="00CD4A53" w:rsidRDefault="00DD57A3" w:rsidP="00DD57A3">
      <w:pPr>
        <w:spacing w:after="0" w:line="240" w:lineRule="auto"/>
        <w:jc w:val="both"/>
        <w:rPr>
          <w:rFonts w:ascii="Times New Roman" w:hAnsi="Times New Roman" w:cs="Times New Roman"/>
          <w:sz w:val="24"/>
          <w:szCs w:val="24"/>
          <w:lang w:bidi="en-US"/>
        </w:rPr>
      </w:pPr>
      <w:r w:rsidRPr="00D55ACB">
        <w:rPr>
          <w:rFonts w:ascii="Times New Roman" w:hAnsi="Times New Roman" w:cs="Times New Roman"/>
          <w:b/>
          <w:bCs/>
          <w:color w:val="1E1D40"/>
          <w:sz w:val="24"/>
          <w:szCs w:val="24"/>
          <w:lang w:bidi="en-US"/>
        </w:rPr>
        <w:t xml:space="preserve">Fig </w:t>
      </w:r>
      <w:r>
        <w:rPr>
          <w:rFonts w:ascii="Times New Roman" w:hAnsi="Times New Roman" w:cs="Times New Roman"/>
          <w:b/>
          <w:bCs/>
          <w:color w:val="1E1D40"/>
          <w:sz w:val="24"/>
          <w:szCs w:val="24"/>
          <w:lang w:bidi="en-US"/>
        </w:rPr>
        <w:t>1</w:t>
      </w:r>
      <w:r w:rsidRPr="00D55ACB">
        <w:rPr>
          <w:rFonts w:ascii="Times New Roman" w:hAnsi="Times New Roman" w:cs="Times New Roman"/>
          <w:b/>
          <w:bCs/>
          <w:color w:val="1E1D40"/>
          <w:sz w:val="24"/>
          <w:szCs w:val="24"/>
          <w:lang w:bidi="en-US"/>
        </w:rPr>
        <w:t>: Overall level of awareness</w:t>
      </w:r>
    </w:p>
    <w:p w14:paraId="2E7E6210" w14:textId="77777777" w:rsidR="00DD57A3" w:rsidRDefault="00DD57A3" w:rsidP="00DD57A3">
      <w:pPr>
        <w:spacing w:line="240" w:lineRule="auto"/>
        <w:jc w:val="both"/>
        <w:rPr>
          <w:rFonts w:ascii="Times New Roman" w:hAnsi="Times New Roman" w:cs="Times New Roman"/>
          <w:color w:val="1E1D40"/>
          <w:sz w:val="24"/>
          <w:szCs w:val="24"/>
          <w:lang w:bidi="en-US"/>
        </w:rPr>
      </w:pPr>
      <w:r w:rsidRPr="00D55ACB">
        <w:rPr>
          <w:rFonts w:ascii="Times New Roman" w:hAnsi="Times New Roman" w:cs="Times New Roman"/>
          <w:color w:val="1E1D40"/>
          <w:sz w:val="24"/>
          <w:szCs w:val="24"/>
          <w:lang w:bidi="en-US"/>
        </w:rPr>
        <w:t xml:space="preserve">The figure above shows that majority </w:t>
      </w:r>
      <w:bookmarkStart w:id="0" w:name="_Hlk165219220"/>
      <w:r>
        <w:rPr>
          <w:rFonts w:ascii="Times New Roman" w:hAnsi="Times New Roman" w:cs="Times New Roman"/>
          <w:color w:val="1E1D40"/>
          <w:sz w:val="24"/>
          <w:szCs w:val="24"/>
          <w:lang w:bidi="en-US"/>
        </w:rPr>
        <w:t>65</w:t>
      </w:r>
      <w:r w:rsidRPr="00D55ACB">
        <w:rPr>
          <w:rFonts w:ascii="Times New Roman" w:hAnsi="Times New Roman" w:cs="Times New Roman"/>
          <w:color w:val="1E1D40"/>
          <w:sz w:val="24"/>
          <w:szCs w:val="24"/>
          <w:lang w:bidi="en-US"/>
        </w:rPr>
        <w:t xml:space="preserve"> (</w:t>
      </w:r>
      <w:r>
        <w:rPr>
          <w:rFonts w:ascii="Times New Roman" w:hAnsi="Times New Roman" w:cs="Times New Roman"/>
          <w:color w:val="1E1D40"/>
          <w:sz w:val="24"/>
          <w:szCs w:val="24"/>
          <w:lang w:bidi="en-US"/>
        </w:rPr>
        <w:t>82</w:t>
      </w:r>
      <w:r w:rsidRPr="00D55ACB">
        <w:rPr>
          <w:rFonts w:ascii="Times New Roman" w:hAnsi="Times New Roman" w:cs="Times New Roman"/>
          <w:color w:val="1E1D40"/>
          <w:sz w:val="24"/>
          <w:szCs w:val="24"/>
          <w:lang w:bidi="en-US"/>
        </w:rPr>
        <w:t xml:space="preserve">%) of the respondents had a high level of awareness </w:t>
      </w:r>
      <w:bookmarkEnd w:id="0"/>
      <w:r w:rsidRPr="00D55ACB">
        <w:rPr>
          <w:rFonts w:ascii="Times New Roman" w:hAnsi="Times New Roman" w:cs="Times New Roman"/>
          <w:color w:val="1E1D40"/>
          <w:sz w:val="24"/>
          <w:szCs w:val="24"/>
          <w:lang w:bidi="en-US"/>
        </w:rPr>
        <w:t xml:space="preserve">on Human Papilloma Virus (HPV) vaccination while </w:t>
      </w:r>
      <w:r>
        <w:rPr>
          <w:rFonts w:ascii="Times New Roman" w:hAnsi="Times New Roman" w:cs="Times New Roman"/>
          <w:color w:val="1E1D40"/>
          <w:sz w:val="24"/>
          <w:szCs w:val="24"/>
          <w:lang w:bidi="en-US"/>
        </w:rPr>
        <w:t xml:space="preserve">14 </w:t>
      </w:r>
      <w:r w:rsidRPr="00D55ACB">
        <w:rPr>
          <w:rFonts w:ascii="Times New Roman" w:hAnsi="Times New Roman" w:cs="Times New Roman"/>
          <w:color w:val="1E1D40"/>
          <w:sz w:val="24"/>
          <w:szCs w:val="24"/>
          <w:lang w:bidi="en-US"/>
        </w:rPr>
        <w:t>(</w:t>
      </w:r>
      <w:r>
        <w:rPr>
          <w:rFonts w:ascii="Times New Roman" w:hAnsi="Times New Roman" w:cs="Times New Roman"/>
          <w:color w:val="1E1D40"/>
          <w:sz w:val="24"/>
          <w:szCs w:val="24"/>
          <w:lang w:bidi="en-US"/>
        </w:rPr>
        <w:t>18</w:t>
      </w:r>
      <w:r w:rsidRPr="00D55ACB">
        <w:rPr>
          <w:rFonts w:ascii="Times New Roman" w:hAnsi="Times New Roman" w:cs="Times New Roman"/>
          <w:color w:val="1E1D40"/>
          <w:sz w:val="24"/>
          <w:szCs w:val="24"/>
          <w:lang w:bidi="en-US"/>
        </w:rPr>
        <w:t>%) of the respondents had a low level of awareness on Human Papilloma Virus (HPV) vaccination.</w:t>
      </w:r>
      <w:bookmarkStart w:id="1" w:name="_Hlk184671104"/>
    </w:p>
    <w:p w14:paraId="4184C7E5"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1DF56BFE"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1F48F767"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4D47F246" w14:textId="313A21CA" w:rsidR="00DD57A3"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bCs/>
          <w:sz w:val="24"/>
          <w:szCs w:val="24"/>
        </w:rPr>
        <w:t xml:space="preserve">Table 3: Respondents </w:t>
      </w:r>
      <w:r>
        <w:rPr>
          <w:rFonts w:ascii="Times New Roman" w:hAnsi="Times New Roman" w:cs="Times New Roman"/>
          <w:b/>
          <w:bCs/>
          <w:sz w:val="24"/>
          <w:szCs w:val="24"/>
        </w:rPr>
        <w:t>R</w:t>
      </w:r>
      <w:r w:rsidRPr="00D55ACB">
        <w:rPr>
          <w:rFonts w:ascii="Times New Roman" w:hAnsi="Times New Roman" w:cs="Times New Roman"/>
          <w:b/>
          <w:bCs/>
          <w:sz w:val="24"/>
          <w:szCs w:val="24"/>
        </w:rPr>
        <w:t>esponse on knowledge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vaccination</w:t>
      </w:r>
    </w:p>
    <w:p w14:paraId="5C2648AF" w14:textId="77777777" w:rsidR="00DD57A3" w:rsidRDefault="00DD57A3" w:rsidP="00DD57A3">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814"/>
        <w:gridCol w:w="1243"/>
        <w:gridCol w:w="1163"/>
      </w:tblGrid>
      <w:tr w:rsidR="00DD57A3" w:rsidRPr="00021292" w14:paraId="1325A490" w14:textId="77777777" w:rsidTr="005F5AF7">
        <w:tc>
          <w:tcPr>
            <w:tcW w:w="0" w:type="auto"/>
            <w:hideMark/>
          </w:tcPr>
          <w:bookmarkEnd w:id="1"/>
          <w:p w14:paraId="43BF58EF" w14:textId="77777777" w:rsidR="00DD57A3" w:rsidRPr="00021292" w:rsidRDefault="00DD57A3" w:rsidP="005F5AF7">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Variables</w:t>
            </w:r>
          </w:p>
        </w:tc>
        <w:tc>
          <w:tcPr>
            <w:tcW w:w="0" w:type="auto"/>
            <w:hideMark/>
          </w:tcPr>
          <w:p w14:paraId="1EC3B03A" w14:textId="77777777" w:rsidR="00DD57A3" w:rsidRPr="00021292" w:rsidRDefault="00DD57A3" w:rsidP="005F5AF7">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Yes n (%)</w:t>
            </w:r>
          </w:p>
        </w:tc>
        <w:tc>
          <w:tcPr>
            <w:tcW w:w="0" w:type="auto"/>
            <w:hideMark/>
          </w:tcPr>
          <w:p w14:paraId="544C6E05" w14:textId="77777777" w:rsidR="00DD57A3" w:rsidRPr="00021292" w:rsidRDefault="00DD57A3" w:rsidP="005F5AF7">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No n (%)</w:t>
            </w:r>
          </w:p>
        </w:tc>
      </w:tr>
      <w:tr w:rsidR="00DD57A3" w:rsidRPr="00021292" w14:paraId="2115E6CE" w14:textId="77777777" w:rsidTr="005F5AF7">
        <w:tc>
          <w:tcPr>
            <w:tcW w:w="0" w:type="auto"/>
            <w:hideMark/>
          </w:tcPr>
          <w:p w14:paraId="2626EDA0"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recommended for females only</w:t>
            </w:r>
          </w:p>
        </w:tc>
        <w:tc>
          <w:tcPr>
            <w:tcW w:w="0" w:type="auto"/>
            <w:hideMark/>
          </w:tcPr>
          <w:p w14:paraId="3E76C747"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60 (75.9)</w:t>
            </w:r>
          </w:p>
        </w:tc>
        <w:tc>
          <w:tcPr>
            <w:tcW w:w="0" w:type="auto"/>
            <w:hideMark/>
          </w:tcPr>
          <w:p w14:paraId="6DC7B273"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19 (24.1)</w:t>
            </w:r>
          </w:p>
        </w:tc>
      </w:tr>
      <w:tr w:rsidR="00DD57A3" w:rsidRPr="00021292" w14:paraId="071EEF16" w14:textId="77777777" w:rsidTr="005F5AF7">
        <w:tc>
          <w:tcPr>
            <w:tcW w:w="0" w:type="auto"/>
            <w:hideMark/>
          </w:tcPr>
          <w:p w14:paraId="60443E95"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protects against sexually transmitted diseases</w:t>
            </w:r>
          </w:p>
        </w:tc>
        <w:tc>
          <w:tcPr>
            <w:tcW w:w="0" w:type="auto"/>
            <w:hideMark/>
          </w:tcPr>
          <w:p w14:paraId="3521BA7D"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 (5.1)</w:t>
            </w:r>
          </w:p>
        </w:tc>
        <w:tc>
          <w:tcPr>
            <w:tcW w:w="0" w:type="auto"/>
            <w:hideMark/>
          </w:tcPr>
          <w:p w14:paraId="69FC1783"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75 (94.9)</w:t>
            </w:r>
          </w:p>
        </w:tc>
      </w:tr>
      <w:tr w:rsidR="00DD57A3" w:rsidRPr="00021292" w14:paraId="323C68E7" w14:textId="77777777" w:rsidTr="005F5AF7">
        <w:tc>
          <w:tcPr>
            <w:tcW w:w="0" w:type="auto"/>
            <w:hideMark/>
          </w:tcPr>
          <w:p w14:paraId="48C6C11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more effective before exposure to the virus</w:t>
            </w:r>
          </w:p>
        </w:tc>
        <w:tc>
          <w:tcPr>
            <w:tcW w:w="0" w:type="auto"/>
            <w:hideMark/>
          </w:tcPr>
          <w:p w14:paraId="0BEA354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78 (98.7)</w:t>
            </w:r>
          </w:p>
        </w:tc>
        <w:tc>
          <w:tcPr>
            <w:tcW w:w="0" w:type="auto"/>
            <w:hideMark/>
          </w:tcPr>
          <w:p w14:paraId="330A6E7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 (1.3)</w:t>
            </w:r>
          </w:p>
        </w:tc>
      </w:tr>
      <w:tr w:rsidR="00DD57A3" w:rsidRPr="00021292" w14:paraId="1AFDC318" w14:textId="77777777" w:rsidTr="005F5AF7">
        <w:tc>
          <w:tcPr>
            <w:tcW w:w="0" w:type="auto"/>
            <w:hideMark/>
          </w:tcPr>
          <w:p w14:paraId="52913D0F"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recommended for sexually active individuals</w:t>
            </w:r>
          </w:p>
        </w:tc>
        <w:tc>
          <w:tcPr>
            <w:tcW w:w="0" w:type="auto"/>
            <w:hideMark/>
          </w:tcPr>
          <w:p w14:paraId="28E04BCE"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37 (46.8)</w:t>
            </w:r>
          </w:p>
        </w:tc>
        <w:tc>
          <w:tcPr>
            <w:tcW w:w="0" w:type="auto"/>
            <w:hideMark/>
          </w:tcPr>
          <w:p w14:paraId="3FC8F221"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42 (53.2)</w:t>
            </w:r>
          </w:p>
        </w:tc>
      </w:tr>
      <w:tr w:rsidR="00DD57A3" w:rsidRPr="00021292" w14:paraId="5752F516" w14:textId="77777777" w:rsidTr="005F5AF7">
        <w:tc>
          <w:tcPr>
            <w:tcW w:w="0" w:type="auto"/>
            <w:hideMark/>
          </w:tcPr>
          <w:p w14:paraId="143220CD"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protects against cervical cancer</w:t>
            </w:r>
          </w:p>
        </w:tc>
        <w:tc>
          <w:tcPr>
            <w:tcW w:w="0" w:type="auto"/>
            <w:hideMark/>
          </w:tcPr>
          <w:p w14:paraId="62210AF9"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79 (100.0)</w:t>
            </w:r>
          </w:p>
        </w:tc>
        <w:tc>
          <w:tcPr>
            <w:tcW w:w="0" w:type="auto"/>
            <w:hideMark/>
          </w:tcPr>
          <w:p w14:paraId="28AEDCA2"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0 (0.0)</w:t>
            </w:r>
          </w:p>
        </w:tc>
      </w:tr>
      <w:tr w:rsidR="00DD57A3" w:rsidRPr="00021292" w14:paraId="33F3E10B" w14:textId="77777777" w:rsidTr="005F5AF7">
        <w:tc>
          <w:tcPr>
            <w:tcW w:w="0" w:type="auto"/>
            <w:hideMark/>
          </w:tcPr>
          <w:p w14:paraId="24913CB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lastRenderedPageBreak/>
              <w:t>HPV vaccine is equally effective regardless of age at administration</w:t>
            </w:r>
          </w:p>
        </w:tc>
        <w:tc>
          <w:tcPr>
            <w:tcW w:w="0" w:type="auto"/>
            <w:hideMark/>
          </w:tcPr>
          <w:p w14:paraId="72D2E549"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13 (16.5)</w:t>
            </w:r>
          </w:p>
        </w:tc>
        <w:tc>
          <w:tcPr>
            <w:tcW w:w="0" w:type="auto"/>
            <w:hideMark/>
          </w:tcPr>
          <w:p w14:paraId="1FB31330"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66 (83.5)</w:t>
            </w:r>
          </w:p>
        </w:tc>
      </w:tr>
      <w:tr w:rsidR="00DD57A3" w:rsidRPr="00021292" w14:paraId="50D62CCB" w14:textId="77777777" w:rsidTr="005F5AF7">
        <w:tc>
          <w:tcPr>
            <w:tcW w:w="0" w:type="auto"/>
            <w:hideMark/>
          </w:tcPr>
          <w:p w14:paraId="2E0D3D3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ideally recommended between ages 9 and 14 years</w:t>
            </w:r>
          </w:p>
        </w:tc>
        <w:tc>
          <w:tcPr>
            <w:tcW w:w="0" w:type="auto"/>
            <w:hideMark/>
          </w:tcPr>
          <w:p w14:paraId="4CF20EC4"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79 (100.0)</w:t>
            </w:r>
          </w:p>
        </w:tc>
        <w:tc>
          <w:tcPr>
            <w:tcW w:w="0" w:type="auto"/>
            <w:hideMark/>
          </w:tcPr>
          <w:p w14:paraId="7D2D6059"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0 (0.0)</w:t>
            </w:r>
          </w:p>
        </w:tc>
      </w:tr>
      <w:tr w:rsidR="00DD57A3" w:rsidRPr="00021292" w14:paraId="6266E5C7" w14:textId="77777777" w:rsidTr="005F5AF7">
        <w:tc>
          <w:tcPr>
            <w:tcW w:w="0" w:type="auto"/>
            <w:hideMark/>
          </w:tcPr>
          <w:p w14:paraId="43814854"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Individuals should be screened for HPV infection before vaccination</w:t>
            </w:r>
          </w:p>
        </w:tc>
        <w:tc>
          <w:tcPr>
            <w:tcW w:w="0" w:type="auto"/>
            <w:hideMark/>
          </w:tcPr>
          <w:p w14:paraId="51C09D86"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78 (98.7)</w:t>
            </w:r>
          </w:p>
        </w:tc>
        <w:tc>
          <w:tcPr>
            <w:tcW w:w="0" w:type="auto"/>
            <w:hideMark/>
          </w:tcPr>
          <w:p w14:paraId="656803CE"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 (1.3)</w:t>
            </w:r>
          </w:p>
        </w:tc>
      </w:tr>
      <w:tr w:rsidR="00DD57A3" w:rsidRPr="00021292" w14:paraId="7B4AA3C9" w14:textId="77777777" w:rsidTr="005F5AF7">
        <w:tc>
          <w:tcPr>
            <w:tcW w:w="0" w:type="auto"/>
            <w:hideMark/>
          </w:tcPr>
          <w:p w14:paraId="2089EB5F"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Vaccinated women should continue HPV screening</w:t>
            </w:r>
          </w:p>
        </w:tc>
        <w:tc>
          <w:tcPr>
            <w:tcW w:w="0" w:type="auto"/>
            <w:hideMark/>
          </w:tcPr>
          <w:p w14:paraId="66175A73"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37 (46.8)</w:t>
            </w:r>
          </w:p>
        </w:tc>
        <w:tc>
          <w:tcPr>
            <w:tcW w:w="0" w:type="auto"/>
            <w:hideMark/>
          </w:tcPr>
          <w:p w14:paraId="28F5DDCC"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42 (53.2)</w:t>
            </w:r>
          </w:p>
        </w:tc>
      </w:tr>
      <w:tr w:rsidR="00DD57A3" w:rsidRPr="00021292" w14:paraId="37687059" w14:textId="77777777" w:rsidTr="005F5AF7">
        <w:tc>
          <w:tcPr>
            <w:tcW w:w="0" w:type="auto"/>
            <w:hideMark/>
          </w:tcPr>
          <w:p w14:paraId="797A5D90"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vaccination prevents infection and related cancers</w:t>
            </w:r>
          </w:p>
        </w:tc>
        <w:tc>
          <w:tcPr>
            <w:tcW w:w="0" w:type="auto"/>
            <w:hideMark/>
          </w:tcPr>
          <w:p w14:paraId="66644DC7"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77 (97.5)</w:t>
            </w:r>
          </w:p>
        </w:tc>
        <w:tc>
          <w:tcPr>
            <w:tcW w:w="0" w:type="auto"/>
            <w:hideMark/>
          </w:tcPr>
          <w:p w14:paraId="3108BDDC" w14:textId="77777777" w:rsidR="00DD57A3" w:rsidRPr="00021292" w:rsidRDefault="00DD57A3" w:rsidP="005F5AF7">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2 (2.5)</w:t>
            </w:r>
          </w:p>
        </w:tc>
      </w:tr>
    </w:tbl>
    <w:p w14:paraId="3CAACE7D" w14:textId="77777777" w:rsidR="00DD57A3" w:rsidRPr="00D55ACB" w:rsidRDefault="00DD57A3" w:rsidP="00DD57A3">
      <w:pPr>
        <w:spacing w:after="0" w:line="240" w:lineRule="auto"/>
        <w:jc w:val="both"/>
        <w:rPr>
          <w:kern w:val="2"/>
          <w:sz w:val="24"/>
          <w:szCs w:val="24"/>
          <w14:ligatures w14:val="standardContextual"/>
        </w:rPr>
      </w:pPr>
      <w:r w:rsidRPr="00D55ACB">
        <w:rPr>
          <w:sz w:val="24"/>
          <w:szCs w:val="24"/>
          <w:lang w:eastAsia="en-GB"/>
        </w:rPr>
        <w:fldChar w:fldCharType="begin"/>
      </w:r>
      <w:r w:rsidRPr="00D55ACB">
        <w:rPr>
          <w:sz w:val="24"/>
          <w:szCs w:val="24"/>
          <w:lang w:eastAsia="en-GB"/>
        </w:rPr>
        <w:instrText xml:space="preserve"> LINK Excel.Sheet.12 "https://d.docs.live.net/d0d4d7d0d64afb69/Documents/KNOWLWDE DATA.xlsx" "Sheet1!R1C1:R23C9" \a \f 4 \h  \* MERGEFORMAT </w:instrText>
      </w:r>
      <w:r w:rsidRPr="00D55ACB">
        <w:rPr>
          <w:sz w:val="24"/>
          <w:szCs w:val="24"/>
          <w:lang w:eastAsia="en-GB"/>
        </w:rPr>
        <w:fldChar w:fldCharType="separate"/>
      </w:r>
    </w:p>
    <w:p w14:paraId="7FC0682C" w14:textId="77777777" w:rsidR="00DD57A3" w:rsidRDefault="00DD57A3" w:rsidP="00DD57A3">
      <w:pPr>
        <w:spacing w:after="0" w:line="240" w:lineRule="auto"/>
        <w:jc w:val="both"/>
        <w:rPr>
          <w:rFonts w:eastAsia="Times New Roman" w:cs="Calibri"/>
          <w:sz w:val="24"/>
          <w:szCs w:val="24"/>
          <w:lang w:eastAsia="en-GB"/>
        </w:rPr>
      </w:pPr>
      <w:r w:rsidRPr="00D55ACB">
        <w:rPr>
          <w:rFonts w:eastAsia="Times New Roman" w:cs="Calibri"/>
          <w:sz w:val="24"/>
          <w:szCs w:val="24"/>
          <w:lang w:eastAsia="en-GB"/>
        </w:rPr>
        <w:fldChar w:fldCharType="end"/>
      </w:r>
    </w:p>
    <w:p w14:paraId="13696D3A" w14:textId="77777777" w:rsidR="00DD57A3" w:rsidRDefault="00DD57A3" w:rsidP="00DD57A3">
      <w:pPr>
        <w:spacing w:after="0" w:line="240" w:lineRule="auto"/>
        <w:jc w:val="both"/>
        <w:rPr>
          <w:rFonts w:ascii="Times New Roman" w:hAnsi="Times New Roman" w:cs="Times New Roman"/>
          <w:sz w:val="24"/>
          <w:szCs w:val="24"/>
        </w:rPr>
      </w:pPr>
    </w:p>
    <w:p w14:paraId="4E900CAE" w14:textId="77777777" w:rsidR="00DD57A3" w:rsidRDefault="00DD57A3" w:rsidP="00DD57A3">
      <w:pPr>
        <w:spacing w:after="0" w:line="240" w:lineRule="auto"/>
        <w:jc w:val="both"/>
        <w:rPr>
          <w:rFonts w:ascii="Times New Roman" w:hAnsi="Times New Roman" w:cs="Times New Roman"/>
          <w:sz w:val="24"/>
          <w:szCs w:val="24"/>
        </w:rPr>
      </w:pPr>
    </w:p>
    <w:p w14:paraId="07435B69" w14:textId="77777777" w:rsidR="00DD57A3" w:rsidRDefault="00DD57A3" w:rsidP="00DD57A3">
      <w:pPr>
        <w:spacing w:after="0" w:line="240" w:lineRule="auto"/>
        <w:jc w:val="both"/>
        <w:rPr>
          <w:rFonts w:ascii="Times New Roman" w:hAnsi="Times New Roman" w:cs="Times New Roman"/>
          <w:sz w:val="24"/>
          <w:szCs w:val="24"/>
        </w:rPr>
      </w:pPr>
    </w:p>
    <w:p w14:paraId="3E1689B6" w14:textId="77777777" w:rsidR="00DD57A3" w:rsidRDefault="00DD57A3" w:rsidP="00DD57A3">
      <w:pPr>
        <w:spacing w:after="0" w:line="240" w:lineRule="auto"/>
        <w:jc w:val="both"/>
        <w:rPr>
          <w:rFonts w:ascii="Times New Roman" w:hAnsi="Times New Roman" w:cs="Times New Roman"/>
          <w:sz w:val="24"/>
          <w:szCs w:val="24"/>
        </w:rPr>
      </w:pPr>
    </w:p>
    <w:p w14:paraId="01ADD84C"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r w:rsidRPr="00D55ACB">
        <w:rPr>
          <w:rFonts w:ascii="Times New Roman" w:hAnsi="Times New Roman" w:cs="Times New Roman"/>
          <w:sz w:val="24"/>
          <w:szCs w:val="24"/>
        </w:rPr>
        <w:t xml:space="preserve">The table above shows that </w:t>
      </w:r>
      <w:r w:rsidRPr="00D55ACB">
        <w:rPr>
          <w:rFonts w:ascii="Times New Roman" w:eastAsia="Times New Roman" w:hAnsi="Times New Roman" w:cs="Times New Roman"/>
          <w:sz w:val="24"/>
          <w:szCs w:val="24"/>
          <w:lang w:eastAsia="en-GB"/>
        </w:rPr>
        <w:t xml:space="preserve">the majority </w:t>
      </w:r>
      <w:r w:rsidRPr="007C4917">
        <w:rPr>
          <w:rFonts w:ascii="Times New Roman" w:eastAsia="Times New Roman" w:hAnsi="Times New Roman" w:cs="Times New Roman"/>
          <w:sz w:val="24"/>
          <w:szCs w:val="24"/>
          <w:lang w:eastAsia="en-GB"/>
        </w:rPr>
        <w:t>60 (75.9)</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of the respondents, indicated that the</w:t>
      </w:r>
      <w:r>
        <w:rPr>
          <w:rFonts w:ascii="Times New Roman" w:eastAsia="Times New Roman" w:hAnsi="Times New Roman" w:cs="Times New Roman"/>
          <w:sz w:val="24"/>
          <w:szCs w:val="24"/>
          <w:lang w:eastAsia="en-GB"/>
        </w:rPr>
        <w:t xml:space="preserve"> </w:t>
      </w:r>
      <w:r w:rsidRPr="007C4917">
        <w:rPr>
          <w:rFonts w:ascii="Times New Roman" w:eastAsia="Times New Roman" w:hAnsi="Times New Roman" w:cs="Times New Roman"/>
          <w:sz w:val="24"/>
          <w:szCs w:val="24"/>
          <w:lang w:eastAsia="en-GB"/>
        </w:rPr>
        <w:t>HPV vaccine is recommended for female alone</w:t>
      </w:r>
      <w:r>
        <w:rPr>
          <w:rFonts w:ascii="Times New Roman" w:eastAsia="Times New Roman" w:hAnsi="Times New Roman" w:cs="Times New Roman"/>
          <w:sz w:val="24"/>
          <w:szCs w:val="24"/>
          <w:lang w:eastAsia="en-GB"/>
        </w:rPr>
        <w:t xml:space="preserve">. Majority 75 (94.9) indicated that the </w:t>
      </w:r>
      <w:r w:rsidRPr="00D55ACB">
        <w:rPr>
          <w:rFonts w:ascii="Times New Roman" w:eastAsia="Times New Roman" w:hAnsi="Times New Roman" w:cs="Times New Roman"/>
          <w:sz w:val="24"/>
          <w:szCs w:val="24"/>
          <w:lang w:eastAsia="en-GB"/>
        </w:rPr>
        <w:t xml:space="preserve">HPV vaccine does not prevent STDs, while </w:t>
      </w:r>
      <w:bookmarkStart w:id="2" w:name="_Hlk184666620"/>
      <w:r>
        <w:rPr>
          <w:rFonts w:ascii="Times New Roman" w:eastAsia="Times New Roman" w:hAnsi="Times New Roman" w:cs="Times New Roman"/>
          <w:sz w:val="24"/>
          <w:szCs w:val="24"/>
          <w:lang w:eastAsia="en-GB"/>
        </w:rPr>
        <w:t>78</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98.7</w:t>
      </w:r>
      <w:r w:rsidRPr="00D55ACB">
        <w:rPr>
          <w:rFonts w:ascii="Times New Roman" w:eastAsia="Times New Roman" w:hAnsi="Times New Roman" w:cs="Times New Roman"/>
          <w:sz w:val="24"/>
          <w:szCs w:val="24"/>
          <w:lang w:eastAsia="en-GB"/>
        </w:rPr>
        <w:t xml:space="preserve">%) </w:t>
      </w:r>
      <w:bookmarkEnd w:id="2"/>
      <w:r w:rsidRPr="00D55ACB">
        <w:rPr>
          <w:rFonts w:ascii="Times New Roman" w:eastAsia="Times New Roman" w:hAnsi="Times New Roman" w:cs="Times New Roman"/>
          <w:sz w:val="24"/>
          <w:szCs w:val="24"/>
          <w:lang w:eastAsia="en-GB"/>
        </w:rPr>
        <w:t xml:space="preserve">suggested that it is more effective pre-virus exposure. </w:t>
      </w:r>
      <w:r>
        <w:rPr>
          <w:rFonts w:ascii="Times New Roman" w:eastAsia="Times New Roman" w:hAnsi="Times New Roman" w:cs="Times New Roman"/>
          <w:sz w:val="24"/>
          <w:szCs w:val="24"/>
          <w:lang w:eastAsia="en-GB"/>
        </w:rPr>
        <w:t>42</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53.2</w:t>
      </w:r>
      <w:r w:rsidRPr="00D55ACB">
        <w:rPr>
          <w:rFonts w:ascii="Times New Roman" w:eastAsia="Times New Roman" w:hAnsi="Times New Roman" w:cs="Times New Roman"/>
          <w:sz w:val="24"/>
          <w:szCs w:val="24"/>
          <w:lang w:eastAsia="en-GB"/>
        </w:rPr>
        <w:t xml:space="preserve">%) indicated it is </w:t>
      </w:r>
      <w:r>
        <w:rPr>
          <w:rFonts w:ascii="Times New Roman" w:eastAsia="Times New Roman" w:hAnsi="Times New Roman" w:cs="Times New Roman"/>
          <w:sz w:val="24"/>
          <w:szCs w:val="24"/>
          <w:lang w:eastAsia="en-GB"/>
        </w:rPr>
        <w:t xml:space="preserve">not </w:t>
      </w:r>
      <w:r w:rsidRPr="00D55ACB">
        <w:rPr>
          <w:rFonts w:ascii="Times New Roman" w:eastAsia="Times New Roman" w:hAnsi="Times New Roman" w:cs="Times New Roman"/>
          <w:sz w:val="24"/>
          <w:szCs w:val="24"/>
          <w:lang w:eastAsia="en-GB"/>
        </w:rPr>
        <w:t xml:space="preserve">for sexually active people, and </w:t>
      </w:r>
      <w:r>
        <w:rPr>
          <w:rFonts w:ascii="Times New Roman" w:eastAsia="Times New Roman" w:hAnsi="Times New Roman" w:cs="Times New Roman"/>
          <w:sz w:val="24"/>
          <w:szCs w:val="24"/>
          <w:lang w:eastAsia="en-GB"/>
        </w:rPr>
        <w:t xml:space="preserve">all respondents </w:t>
      </w:r>
      <w:r w:rsidRPr="00D55ACB">
        <w:rPr>
          <w:rFonts w:ascii="Times New Roman" w:eastAsia="Times New Roman" w:hAnsi="Times New Roman" w:cs="Times New Roman"/>
          <w:sz w:val="24"/>
          <w:szCs w:val="24"/>
          <w:lang w:eastAsia="en-GB"/>
        </w:rPr>
        <w:t>suggested they defend women against cervical cancer. Additionally,</w:t>
      </w:r>
      <w:r>
        <w:rPr>
          <w:rFonts w:ascii="Times New Roman" w:eastAsia="Times New Roman" w:hAnsi="Times New Roman" w:cs="Times New Roman"/>
          <w:sz w:val="24"/>
          <w:szCs w:val="24"/>
          <w:lang w:eastAsia="en-GB"/>
        </w:rPr>
        <w:t xml:space="preserve"> 66</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83.5</w:t>
      </w:r>
      <w:r w:rsidRPr="00D55ACB">
        <w:rPr>
          <w:rFonts w:ascii="Times New Roman" w:eastAsia="Times New Roman" w:hAnsi="Times New Roman" w:cs="Times New Roman"/>
          <w:sz w:val="24"/>
          <w:szCs w:val="24"/>
          <w:lang w:eastAsia="en-GB"/>
        </w:rPr>
        <w:t>%) disagreed on equal effectiveness regardless of age</w:t>
      </w:r>
      <w:r>
        <w:rPr>
          <w:rFonts w:ascii="Times New Roman" w:eastAsia="Times New Roman" w:hAnsi="Times New Roman" w:cs="Times New Roman"/>
          <w:sz w:val="24"/>
          <w:szCs w:val="24"/>
          <w:lang w:eastAsia="en-GB"/>
        </w:rPr>
        <w:t xml:space="preserve"> while all respondents 79 (</w:t>
      </w:r>
      <w:r w:rsidRPr="00D55ACB">
        <w:rPr>
          <w:rFonts w:ascii="Times New Roman" w:eastAsia="Times New Roman" w:hAnsi="Times New Roman" w:cs="Times New Roman"/>
          <w:sz w:val="24"/>
          <w:szCs w:val="24"/>
          <w:lang w:eastAsia="en-GB"/>
        </w:rPr>
        <w:t xml:space="preserve">100%) suggested vaccination ideally between 9 and </w:t>
      </w:r>
      <w:r>
        <w:rPr>
          <w:rFonts w:ascii="Times New Roman" w:eastAsia="Times New Roman" w:hAnsi="Times New Roman" w:cs="Times New Roman"/>
          <w:sz w:val="24"/>
          <w:szCs w:val="24"/>
          <w:lang w:eastAsia="en-GB"/>
        </w:rPr>
        <w:t xml:space="preserve">14 years. A majority </w:t>
      </w:r>
      <w:r w:rsidRPr="00847D6B">
        <w:rPr>
          <w:rFonts w:ascii="Times New Roman" w:eastAsia="Times New Roman" w:hAnsi="Times New Roman" w:cs="Times New Roman"/>
          <w:sz w:val="24"/>
          <w:szCs w:val="24"/>
          <w:lang w:eastAsia="en-GB"/>
        </w:rPr>
        <w:t xml:space="preserve">78 (98.7%) </w:t>
      </w:r>
      <w:r w:rsidRPr="00D55ACB">
        <w:rPr>
          <w:rFonts w:ascii="Times New Roman" w:eastAsia="Times New Roman" w:hAnsi="Times New Roman" w:cs="Times New Roman"/>
          <w:sz w:val="24"/>
          <w:szCs w:val="24"/>
          <w:lang w:eastAsia="en-GB"/>
        </w:rPr>
        <w:t>recommended screening before vaccination</w:t>
      </w:r>
      <w:r>
        <w:rPr>
          <w:rFonts w:ascii="Times New Roman" w:eastAsia="Times New Roman" w:hAnsi="Times New Roman" w:cs="Times New Roman"/>
          <w:sz w:val="24"/>
          <w:szCs w:val="24"/>
          <w:lang w:eastAsia="en-GB"/>
        </w:rPr>
        <w:t xml:space="preserve"> and 42 (53.2)</w:t>
      </w:r>
      <w:r w:rsidRPr="00D55ACB">
        <w:rPr>
          <w:rFonts w:ascii="Times New Roman" w:eastAsia="Times New Roman" w:hAnsi="Times New Roman" w:cs="Times New Roman"/>
          <w:sz w:val="24"/>
          <w:szCs w:val="24"/>
          <w:lang w:eastAsia="en-GB"/>
        </w:rPr>
        <w:t xml:space="preserve"> respondents</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 xml:space="preserve">suggested that vaccinated women should continue screening for HPV infections, while </w:t>
      </w:r>
      <w:r w:rsidRPr="00847D6B">
        <w:rPr>
          <w:rFonts w:ascii="Times New Roman" w:eastAsia="Times New Roman" w:hAnsi="Times New Roman" w:cs="Times New Roman"/>
          <w:sz w:val="24"/>
          <w:szCs w:val="24"/>
          <w:lang w:eastAsia="en-GB"/>
        </w:rPr>
        <w:t>77 (97.5)</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 xml:space="preserve">believed vaccination could prevent HPV infection and subsequent cancers. </w:t>
      </w:r>
    </w:p>
    <w:p w14:paraId="054F9289"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58B54AB7" w14:textId="77777777" w:rsidR="00DD57A3" w:rsidRDefault="00DD57A3" w:rsidP="00DD57A3">
      <w:pPr>
        <w:spacing w:after="0" w:line="240" w:lineRule="auto"/>
        <w:jc w:val="both"/>
        <w:rPr>
          <w:rFonts w:ascii="Times New Roman" w:hAnsi="Times New Roman" w:cs="Times New Roman"/>
          <w:sz w:val="24"/>
          <w:szCs w:val="24"/>
        </w:rPr>
      </w:pPr>
    </w:p>
    <w:p w14:paraId="3E00411D" w14:textId="77777777" w:rsidR="00DD57A3" w:rsidRDefault="00DD57A3" w:rsidP="00DD57A3">
      <w:pPr>
        <w:spacing w:after="0" w:line="240" w:lineRule="auto"/>
        <w:jc w:val="both"/>
        <w:rPr>
          <w:rFonts w:ascii="Times New Roman" w:hAnsi="Times New Roman" w:cs="Times New Roman"/>
          <w:sz w:val="24"/>
          <w:szCs w:val="24"/>
        </w:rPr>
      </w:pPr>
    </w:p>
    <w:p w14:paraId="2ACEBCA5" w14:textId="77777777" w:rsidR="00DD57A3" w:rsidRDefault="00DD57A3" w:rsidP="00DD57A3">
      <w:pPr>
        <w:spacing w:after="0" w:line="240" w:lineRule="auto"/>
        <w:jc w:val="both"/>
        <w:rPr>
          <w:rFonts w:ascii="Times New Roman" w:hAnsi="Times New Roman" w:cs="Times New Roman"/>
          <w:sz w:val="24"/>
          <w:szCs w:val="24"/>
        </w:rPr>
      </w:pPr>
    </w:p>
    <w:p w14:paraId="5827C7E1" w14:textId="77777777" w:rsidR="00DD57A3" w:rsidRDefault="00DD57A3" w:rsidP="00DD57A3">
      <w:pPr>
        <w:spacing w:after="0" w:line="240" w:lineRule="auto"/>
        <w:jc w:val="both"/>
        <w:rPr>
          <w:rFonts w:ascii="Times New Roman" w:hAnsi="Times New Roman" w:cs="Times New Roman"/>
          <w:sz w:val="24"/>
          <w:szCs w:val="24"/>
        </w:rPr>
      </w:pPr>
    </w:p>
    <w:p w14:paraId="092BD696" w14:textId="77777777" w:rsidR="00DD57A3" w:rsidRDefault="00DD57A3" w:rsidP="00DD57A3">
      <w:pPr>
        <w:spacing w:after="0" w:line="240" w:lineRule="auto"/>
        <w:jc w:val="both"/>
        <w:rPr>
          <w:rFonts w:ascii="Times New Roman" w:hAnsi="Times New Roman" w:cs="Times New Roman"/>
          <w:sz w:val="24"/>
          <w:szCs w:val="24"/>
        </w:rPr>
      </w:pPr>
      <w:r>
        <w:rPr>
          <w:noProof/>
          <w14:ligatures w14:val="standardContextual"/>
        </w:rPr>
        <w:drawing>
          <wp:inline distT="0" distB="0" distL="0" distR="0" wp14:anchorId="2F9F616E" wp14:editId="10698FCE">
            <wp:extent cx="4126136" cy="2350235"/>
            <wp:effectExtent l="0" t="0" r="8255" b="12065"/>
            <wp:docPr id="846428454" name="Chart 1">
              <a:extLst xmlns:a="http://schemas.openxmlformats.org/drawingml/2006/main">
                <a:ext uri="{FF2B5EF4-FFF2-40B4-BE49-F238E27FC236}">
                  <a16:creationId xmlns:a16="http://schemas.microsoft.com/office/drawing/2014/main" id="{FEC946B9-D345-E8FE-862E-D1FA4A177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D3F5C8" w14:textId="77777777" w:rsidR="00DD57A3" w:rsidRPr="00D55ACB" w:rsidRDefault="00DD57A3" w:rsidP="00DD57A3">
      <w:pPr>
        <w:spacing w:after="0" w:line="240" w:lineRule="auto"/>
        <w:jc w:val="both"/>
        <w:rPr>
          <w:rFonts w:ascii="Times New Roman" w:hAnsi="Times New Roman" w:cs="Times New Roman"/>
          <w:sz w:val="24"/>
          <w:szCs w:val="24"/>
        </w:rPr>
      </w:pPr>
    </w:p>
    <w:p w14:paraId="6B88E9D2" w14:textId="10CE0EFA" w:rsidR="00DD57A3" w:rsidRPr="00D55ACB" w:rsidRDefault="00DD57A3" w:rsidP="00DD57A3">
      <w:pPr>
        <w:spacing w:after="0" w:line="240" w:lineRule="auto"/>
        <w:jc w:val="both"/>
        <w:rPr>
          <w:rFonts w:ascii="Times New Roman" w:hAnsi="Times New Roman" w:cs="Times New Roman"/>
          <w:b/>
          <w:bCs/>
          <w:sz w:val="24"/>
          <w:szCs w:val="24"/>
        </w:rPr>
      </w:pPr>
      <w:bookmarkStart w:id="3" w:name="_Hlk184802149"/>
      <w:r w:rsidRPr="00D55ACB">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D55ACB">
        <w:rPr>
          <w:rFonts w:ascii="Times New Roman" w:hAnsi="Times New Roman" w:cs="Times New Roman"/>
          <w:b/>
          <w:bCs/>
          <w:sz w:val="24"/>
          <w:szCs w:val="24"/>
        </w:rPr>
        <w:t xml:space="preserve"> Respondents response on the transmission route of HPV infection</w:t>
      </w:r>
    </w:p>
    <w:p w14:paraId="7E7F1A57" w14:textId="77777777" w:rsidR="00DD57A3" w:rsidRPr="00D55ACB" w:rsidRDefault="00DD57A3" w:rsidP="00DD57A3">
      <w:pPr>
        <w:spacing w:after="0" w:line="240" w:lineRule="auto"/>
        <w:jc w:val="both"/>
        <w:rPr>
          <w:rFonts w:ascii="Times New Roman" w:hAnsi="Times New Roman" w:cs="Times New Roman"/>
          <w:sz w:val="24"/>
          <w:szCs w:val="24"/>
        </w:rPr>
      </w:pPr>
    </w:p>
    <w:p w14:paraId="6D2281F3" w14:textId="77777777" w:rsidR="00DD57A3"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figure above shows that majority </w:t>
      </w:r>
      <w:r>
        <w:rPr>
          <w:rFonts w:ascii="Times New Roman" w:hAnsi="Times New Roman" w:cs="Times New Roman"/>
          <w:sz w:val="24"/>
          <w:szCs w:val="24"/>
        </w:rPr>
        <w:t xml:space="preserve">78 </w:t>
      </w:r>
      <w:r w:rsidRPr="00D55ACB">
        <w:rPr>
          <w:rFonts w:ascii="Times New Roman" w:hAnsi="Times New Roman" w:cs="Times New Roman"/>
          <w:sz w:val="24"/>
          <w:szCs w:val="24"/>
        </w:rPr>
        <w:t>(</w:t>
      </w:r>
      <w:r>
        <w:rPr>
          <w:rFonts w:ascii="Times New Roman" w:hAnsi="Times New Roman" w:cs="Times New Roman"/>
          <w:sz w:val="24"/>
          <w:szCs w:val="24"/>
        </w:rPr>
        <w:t>98.7</w:t>
      </w:r>
      <w:r w:rsidRPr="00D55ACB">
        <w:rPr>
          <w:rFonts w:ascii="Times New Roman" w:hAnsi="Times New Roman" w:cs="Times New Roman"/>
          <w:sz w:val="24"/>
          <w:szCs w:val="24"/>
        </w:rPr>
        <w:t>%) of the respondents think that sexual intercourse is a transmission route of HPV infection, while 2 (</w:t>
      </w:r>
      <w:r>
        <w:rPr>
          <w:rFonts w:ascii="Times New Roman" w:hAnsi="Times New Roman" w:cs="Times New Roman"/>
          <w:sz w:val="24"/>
          <w:szCs w:val="24"/>
        </w:rPr>
        <w:t>2.5</w:t>
      </w:r>
      <w:r w:rsidRPr="00D55ACB">
        <w:rPr>
          <w:rFonts w:ascii="Times New Roman" w:hAnsi="Times New Roman" w:cs="Times New Roman"/>
          <w:sz w:val="24"/>
          <w:szCs w:val="24"/>
        </w:rPr>
        <w:t>%) think that airborne is a transmission route of HPV infection.</w:t>
      </w:r>
    </w:p>
    <w:p w14:paraId="5FE03B57" w14:textId="77777777" w:rsidR="00DD57A3" w:rsidRDefault="00DD57A3" w:rsidP="00DD57A3">
      <w:pPr>
        <w:spacing w:after="0" w:line="240" w:lineRule="auto"/>
        <w:jc w:val="both"/>
        <w:rPr>
          <w:rFonts w:ascii="Times New Roman" w:hAnsi="Times New Roman" w:cs="Times New Roman"/>
          <w:sz w:val="24"/>
          <w:szCs w:val="24"/>
        </w:rPr>
      </w:pPr>
    </w:p>
    <w:p w14:paraId="38516062" w14:textId="77777777" w:rsidR="00DD57A3" w:rsidRPr="00D55ACB" w:rsidRDefault="00DD57A3" w:rsidP="00DD57A3">
      <w:pPr>
        <w:spacing w:after="0" w:line="240" w:lineRule="auto"/>
        <w:jc w:val="both"/>
        <w:rPr>
          <w:rFonts w:ascii="Times New Roman" w:hAnsi="Times New Roman" w:cs="Times New Roman"/>
          <w:sz w:val="24"/>
          <w:szCs w:val="24"/>
        </w:rPr>
      </w:pPr>
    </w:p>
    <w:p w14:paraId="24EB5909" w14:textId="77777777" w:rsidR="00DD57A3" w:rsidRPr="00D55ACB" w:rsidRDefault="00DD57A3" w:rsidP="00DD57A3">
      <w:pPr>
        <w:spacing w:after="0" w:line="24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3CBE9951" wp14:editId="770C9D34">
            <wp:extent cx="4413302" cy="2811213"/>
            <wp:effectExtent l="0" t="0" r="6350" b="8255"/>
            <wp:docPr id="1443269998" name="Chart 1">
              <a:extLst xmlns:a="http://schemas.openxmlformats.org/drawingml/2006/main">
                <a:ext uri="{FF2B5EF4-FFF2-40B4-BE49-F238E27FC236}">
                  <a16:creationId xmlns:a16="http://schemas.microsoft.com/office/drawing/2014/main" id="{FE98B2C4-6F46-D5BA-9DB5-0A7CD0791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3"/>
    <w:p w14:paraId="73C3620B" w14:textId="77777777" w:rsidR="00DD57A3" w:rsidRPr="00D55ACB" w:rsidRDefault="00DD57A3" w:rsidP="00DD57A3">
      <w:pPr>
        <w:spacing w:after="0" w:line="240" w:lineRule="auto"/>
        <w:jc w:val="both"/>
        <w:rPr>
          <w:rFonts w:ascii="Times New Roman" w:hAnsi="Times New Roman" w:cs="Times New Roman"/>
          <w:b/>
          <w:bCs/>
          <w:sz w:val="24"/>
          <w:szCs w:val="24"/>
        </w:rPr>
      </w:pPr>
    </w:p>
    <w:p w14:paraId="29952D8B" w14:textId="77777777" w:rsidR="00DD57A3" w:rsidRPr="00D55ACB" w:rsidRDefault="00DD57A3" w:rsidP="00DD57A3">
      <w:pPr>
        <w:spacing w:after="0" w:line="240" w:lineRule="auto"/>
        <w:jc w:val="both"/>
        <w:rPr>
          <w:rFonts w:ascii="Times New Roman" w:hAnsi="Times New Roman" w:cs="Times New Roman"/>
          <w:b/>
          <w:bCs/>
          <w:sz w:val="24"/>
          <w:szCs w:val="24"/>
        </w:rPr>
      </w:pPr>
    </w:p>
    <w:p w14:paraId="5B00F68D" w14:textId="77777777" w:rsidR="00DD57A3" w:rsidRPr="00D55ACB" w:rsidRDefault="00DD57A3" w:rsidP="00DD57A3">
      <w:pPr>
        <w:spacing w:after="0" w:line="240" w:lineRule="auto"/>
        <w:jc w:val="both"/>
        <w:rPr>
          <w:rFonts w:ascii="Times New Roman" w:hAnsi="Times New Roman" w:cs="Times New Roman"/>
          <w:b/>
          <w:bCs/>
          <w:sz w:val="24"/>
          <w:szCs w:val="24"/>
        </w:rPr>
      </w:pPr>
    </w:p>
    <w:p w14:paraId="4EFF5CE2" w14:textId="6921167C" w:rsidR="00DD57A3" w:rsidRPr="00D55ACB" w:rsidRDefault="0072458F" w:rsidP="00DD57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 3</w:t>
      </w:r>
      <w:proofErr w:type="gramStart"/>
      <w:r>
        <w:rPr>
          <w:rFonts w:ascii="Times New Roman" w:hAnsi="Times New Roman" w:cs="Times New Roman"/>
          <w:b/>
          <w:bCs/>
          <w:sz w:val="24"/>
          <w:szCs w:val="24"/>
        </w:rPr>
        <w:t>-</w:t>
      </w:r>
      <w:r w:rsidR="00A16391">
        <w:rPr>
          <w:rFonts w:ascii="Times New Roman" w:hAnsi="Times New Roman" w:cs="Times New Roman"/>
          <w:b/>
          <w:bCs/>
          <w:sz w:val="24"/>
          <w:szCs w:val="24"/>
        </w:rPr>
        <w:t xml:space="preserve">  </w:t>
      </w:r>
      <w:r w:rsidR="00A16391" w:rsidRPr="00D55ACB">
        <w:rPr>
          <w:rFonts w:ascii="Times New Roman" w:hAnsi="Times New Roman" w:cs="Times New Roman"/>
          <w:b/>
          <w:bCs/>
          <w:color w:val="1E1D40"/>
          <w:sz w:val="24"/>
          <w:szCs w:val="24"/>
          <w:lang w:bidi="en-US"/>
        </w:rPr>
        <w:t>Overall</w:t>
      </w:r>
      <w:proofErr w:type="gramEnd"/>
      <w:r w:rsidR="00A16391" w:rsidRPr="00D55ACB">
        <w:rPr>
          <w:rFonts w:ascii="Times New Roman" w:hAnsi="Times New Roman" w:cs="Times New Roman"/>
          <w:b/>
          <w:bCs/>
          <w:color w:val="1E1D40"/>
          <w:sz w:val="24"/>
          <w:szCs w:val="24"/>
          <w:lang w:bidi="en-US"/>
        </w:rPr>
        <w:t xml:space="preserve"> level of awareness</w:t>
      </w:r>
      <w:r w:rsidR="00A16391">
        <w:rPr>
          <w:rFonts w:ascii="Times New Roman" w:hAnsi="Times New Roman" w:cs="Times New Roman"/>
          <w:b/>
          <w:bCs/>
          <w:color w:val="1E1D40"/>
          <w:sz w:val="24"/>
          <w:szCs w:val="24"/>
          <w:lang w:bidi="en-US"/>
        </w:rPr>
        <w:t xml:space="preserve"> of Respondents</w:t>
      </w:r>
    </w:p>
    <w:p w14:paraId="359B25E4" w14:textId="77777777" w:rsidR="00DD57A3" w:rsidRPr="00D55ACB" w:rsidRDefault="00DD57A3" w:rsidP="00DD57A3">
      <w:pPr>
        <w:spacing w:after="0" w:line="240" w:lineRule="auto"/>
        <w:jc w:val="both"/>
        <w:rPr>
          <w:rFonts w:ascii="Times New Roman" w:hAnsi="Times New Roman" w:cs="Times New Roman"/>
          <w:b/>
          <w:bCs/>
          <w:sz w:val="24"/>
          <w:szCs w:val="24"/>
        </w:rPr>
      </w:pPr>
    </w:p>
    <w:p w14:paraId="1C0962DD" w14:textId="77777777" w:rsidR="00DD57A3" w:rsidRPr="00D55ACB" w:rsidRDefault="00DD57A3" w:rsidP="00DD57A3">
      <w:pPr>
        <w:spacing w:after="0" w:line="240" w:lineRule="auto"/>
        <w:jc w:val="both"/>
        <w:rPr>
          <w:rFonts w:ascii="Times New Roman" w:hAnsi="Times New Roman" w:cs="Times New Roman"/>
          <w:b/>
          <w:bCs/>
          <w:sz w:val="24"/>
          <w:szCs w:val="24"/>
        </w:rPr>
      </w:pPr>
    </w:p>
    <w:p w14:paraId="2F227341" w14:textId="77777777" w:rsidR="00DD57A3" w:rsidRPr="00D55ACB" w:rsidRDefault="00DD57A3" w:rsidP="00DD57A3">
      <w:pPr>
        <w:spacing w:after="0" w:line="240" w:lineRule="auto"/>
        <w:jc w:val="both"/>
        <w:rPr>
          <w:rFonts w:ascii="Times New Roman" w:hAnsi="Times New Roman" w:cs="Times New Roman"/>
          <w:b/>
          <w:bCs/>
          <w:sz w:val="24"/>
          <w:szCs w:val="24"/>
        </w:rPr>
      </w:pPr>
    </w:p>
    <w:p w14:paraId="57AC5C94" w14:textId="77777777" w:rsidR="00DD57A3" w:rsidRPr="00D55ACB" w:rsidRDefault="00DD57A3" w:rsidP="00DD57A3">
      <w:pPr>
        <w:spacing w:line="240" w:lineRule="auto"/>
        <w:jc w:val="both"/>
        <w:rPr>
          <w:rFonts w:ascii="Times New Roman" w:hAnsi="Times New Roman" w:cs="Times New Roman"/>
          <w:b/>
          <w:bCs/>
          <w:sz w:val="24"/>
          <w:szCs w:val="24"/>
        </w:rPr>
      </w:pPr>
    </w:p>
    <w:p w14:paraId="0A687D0D" w14:textId="19F93107" w:rsidR="00DD57A3" w:rsidRPr="00F45C19" w:rsidRDefault="00DD57A3" w:rsidP="00DD57A3">
      <w:pPr>
        <w:spacing w:after="0" w:line="240" w:lineRule="auto"/>
        <w:jc w:val="both"/>
        <w:rPr>
          <w:rFonts w:ascii="Times New Roman" w:hAnsi="Times New Roman" w:cs="Times New Roman"/>
          <w:b/>
          <w:bCs/>
          <w:sz w:val="24"/>
          <w:szCs w:val="24"/>
        </w:rPr>
      </w:pPr>
      <w:bookmarkStart w:id="4" w:name="_Hlk184671229"/>
      <w:r w:rsidRPr="00D55ACB">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D55ACB">
        <w:rPr>
          <w:rFonts w:ascii="Times New Roman" w:hAnsi="Times New Roman" w:cs="Times New Roman"/>
          <w:b/>
          <w:bCs/>
          <w:sz w:val="24"/>
          <w:szCs w:val="24"/>
        </w:rPr>
        <w:t xml:space="preserve">: Respondents </w:t>
      </w:r>
      <w:r>
        <w:rPr>
          <w:rFonts w:ascii="Times New Roman" w:hAnsi="Times New Roman" w:cs="Times New Roman"/>
          <w:b/>
          <w:bCs/>
          <w:sz w:val="24"/>
          <w:szCs w:val="24"/>
        </w:rPr>
        <w:t>R</w:t>
      </w:r>
      <w:r w:rsidRPr="00D55ACB">
        <w:rPr>
          <w:rFonts w:ascii="Times New Roman" w:hAnsi="Times New Roman" w:cs="Times New Roman"/>
          <w:b/>
          <w:bCs/>
          <w:sz w:val="24"/>
          <w:szCs w:val="24"/>
        </w:rPr>
        <w:t xml:space="preserve">esponse on </w:t>
      </w:r>
      <w:r>
        <w:rPr>
          <w:rFonts w:ascii="Times New Roman" w:hAnsi="Times New Roman" w:cs="Times New Roman"/>
          <w:b/>
          <w:bCs/>
          <w:sz w:val="24"/>
          <w:szCs w:val="24"/>
        </w:rPr>
        <w:t>Perception</w:t>
      </w:r>
      <w:r w:rsidRPr="00D55ACB">
        <w:rPr>
          <w:rFonts w:ascii="Times New Roman" w:hAnsi="Times New Roman" w:cs="Times New Roman"/>
          <w:b/>
          <w:bCs/>
          <w:sz w:val="24"/>
          <w:szCs w:val="24"/>
        </w:rPr>
        <w:t xml:space="preserve">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vaccination</w:t>
      </w:r>
      <w:bookmarkEnd w:id="4"/>
      <w:r>
        <w:fldChar w:fldCharType="begin"/>
      </w:r>
      <w:r>
        <w:instrText xml:space="preserve"> LINK Excel.Sheet.12 C:\\Users\\faith\\Downloads\\perception.xlsx Sheet1!R1C1:R15C10 \a \f 4 \h  \* MERGEFORMAT </w:instrText>
      </w:r>
      <w:r>
        <w:fldChar w:fldCharType="separate"/>
      </w:r>
    </w:p>
    <w:tbl>
      <w:tblPr>
        <w:tblW w:w="9600" w:type="dxa"/>
        <w:tblLook w:val="04A0" w:firstRow="1" w:lastRow="0" w:firstColumn="1" w:lastColumn="0" w:noHBand="0" w:noVBand="1"/>
      </w:tblPr>
      <w:tblGrid>
        <w:gridCol w:w="960"/>
        <w:gridCol w:w="960"/>
        <w:gridCol w:w="960"/>
        <w:gridCol w:w="960"/>
        <w:gridCol w:w="266"/>
        <w:gridCol w:w="1765"/>
        <w:gridCol w:w="960"/>
        <w:gridCol w:w="266"/>
        <w:gridCol w:w="1765"/>
        <w:gridCol w:w="960"/>
      </w:tblGrid>
      <w:tr w:rsidR="00DD57A3" w:rsidRPr="00B95162" w14:paraId="0EE25B6F" w14:textId="77777777" w:rsidTr="005F5AF7">
        <w:trPr>
          <w:trHeight w:val="324"/>
        </w:trPr>
        <w:tc>
          <w:tcPr>
            <w:tcW w:w="1920" w:type="dxa"/>
            <w:gridSpan w:val="2"/>
            <w:tcBorders>
              <w:top w:val="single" w:sz="8" w:space="0" w:color="auto"/>
              <w:left w:val="nil"/>
              <w:bottom w:val="single" w:sz="8" w:space="0" w:color="auto"/>
              <w:right w:val="nil"/>
            </w:tcBorders>
            <w:noWrap/>
            <w:vAlign w:val="center"/>
            <w:hideMark/>
          </w:tcPr>
          <w:p w14:paraId="659202AF"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Variables</w:t>
            </w:r>
          </w:p>
        </w:tc>
        <w:tc>
          <w:tcPr>
            <w:tcW w:w="960" w:type="dxa"/>
            <w:tcBorders>
              <w:top w:val="single" w:sz="8" w:space="0" w:color="auto"/>
              <w:left w:val="nil"/>
              <w:bottom w:val="single" w:sz="8" w:space="0" w:color="auto"/>
              <w:right w:val="nil"/>
            </w:tcBorders>
            <w:noWrap/>
            <w:vAlign w:val="center"/>
            <w:hideMark/>
          </w:tcPr>
          <w:p w14:paraId="2D7DDECC"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960" w:type="dxa"/>
            <w:tcBorders>
              <w:top w:val="single" w:sz="8" w:space="0" w:color="auto"/>
              <w:left w:val="nil"/>
              <w:bottom w:val="single" w:sz="8" w:space="0" w:color="auto"/>
              <w:right w:val="nil"/>
            </w:tcBorders>
            <w:noWrap/>
            <w:vAlign w:val="center"/>
            <w:hideMark/>
          </w:tcPr>
          <w:p w14:paraId="50D90F2D"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hideMark/>
          </w:tcPr>
          <w:p w14:paraId="32280DBC"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Agree= n (%)</w:t>
            </w:r>
          </w:p>
        </w:tc>
        <w:tc>
          <w:tcPr>
            <w:tcW w:w="960" w:type="dxa"/>
            <w:tcBorders>
              <w:top w:val="single" w:sz="8" w:space="0" w:color="auto"/>
              <w:left w:val="nil"/>
              <w:bottom w:val="single" w:sz="8" w:space="0" w:color="auto"/>
              <w:right w:val="nil"/>
            </w:tcBorders>
            <w:noWrap/>
            <w:vAlign w:val="center"/>
            <w:hideMark/>
          </w:tcPr>
          <w:p w14:paraId="45A3BDB6"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hideMark/>
          </w:tcPr>
          <w:p w14:paraId="35B1D5D8"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Disagree = n (%)</w:t>
            </w:r>
          </w:p>
        </w:tc>
        <w:tc>
          <w:tcPr>
            <w:tcW w:w="960" w:type="dxa"/>
            <w:tcBorders>
              <w:top w:val="nil"/>
              <w:left w:val="nil"/>
              <w:bottom w:val="nil"/>
              <w:right w:val="nil"/>
            </w:tcBorders>
            <w:vAlign w:val="center"/>
            <w:hideMark/>
          </w:tcPr>
          <w:p w14:paraId="02659A70"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16345807" w14:textId="77777777" w:rsidTr="005F5AF7">
        <w:trPr>
          <w:trHeight w:val="312"/>
        </w:trPr>
        <w:tc>
          <w:tcPr>
            <w:tcW w:w="8640" w:type="dxa"/>
            <w:gridSpan w:val="9"/>
            <w:tcBorders>
              <w:top w:val="single" w:sz="8" w:space="0" w:color="auto"/>
              <w:left w:val="nil"/>
              <w:bottom w:val="nil"/>
              <w:right w:val="nil"/>
            </w:tcBorders>
            <w:noWrap/>
            <w:vAlign w:val="center"/>
            <w:hideMark/>
          </w:tcPr>
          <w:p w14:paraId="1CDA7344"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HPV vaccination is an effective way to prevent HPV-related diseases</w:t>
            </w:r>
          </w:p>
        </w:tc>
        <w:tc>
          <w:tcPr>
            <w:tcW w:w="960" w:type="dxa"/>
            <w:tcBorders>
              <w:top w:val="nil"/>
              <w:left w:val="nil"/>
              <w:bottom w:val="nil"/>
              <w:right w:val="nil"/>
            </w:tcBorders>
            <w:vAlign w:val="center"/>
            <w:hideMark/>
          </w:tcPr>
          <w:p w14:paraId="0384BC31"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0D2CA2F2" w14:textId="77777777" w:rsidTr="005F5AF7">
        <w:trPr>
          <w:trHeight w:val="312"/>
        </w:trPr>
        <w:tc>
          <w:tcPr>
            <w:tcW w:w="960" w:type="dxa"/>
            <w:tcBorders>
              <w:top w:val="nil"/>
              <w:left w:val="nil"/>
              <w:bottom w:val="nil"/>
              <w:right w:val="nil"/>
            </w:tcBorders>
            <w:noWrap/>
            <w:vAlign w:val="bottom"/>
            <w:hideMark/>
          </w:tcPr>
          <w:p w14:paraId="7121CF2B"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915A18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DE28A18"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6D86A39"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776FECB0"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1BD80FEE"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hideMark/>
          </w:tcPr>
          <w:p w14:paraId="4AE7D7D4"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3B4FCCF6"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hideMark/>
          </w:tcPr>
          <w:p w14:paraId="7F76D740"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6A108617" w14:textId="77777777" w:rsidTr="005F5AF7">
        <w:trPr>
          <w:trHeight w:val="312"/>
        </w:trPr>
        <w:tc>
          <w:tcPr>
            <w:tcW w:w="6875" w:type="dxa"/>
            <w:gridSpan w:val="8"/>
            <w:tcBorders>
              <w:top w:val="nil"/>
              <w:left w:val="nil"/>
              <w:bottom w:val="nil"/>
              <w:right w:val="nil"/>
            </w:tcBorders>
            <w:noWrap/>
            <w:vAlign w:val="center"/>
            <w:hideMark/>
          </w:tcPr>
          <w:p w14:paraId="0473D896"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HPV vaccination is an important public health intervention</w:t>
            </w:r>
          </w:p>
        </w:tc>
        <w:tc>
          <w:tcPr>
            <w:tcW w:w="1765" w:type="dxa"/>
            <w:tcBorders>
              <w:top w:val="nil"/>
              <w:left w:val="nil"/>
              <w:bottom w:val="nil"/>
              <w:right w:val="nil"/>
            </w:tcBorders>
            <w:noWrap/>
            <w:vAlign w:val="bottom"/>
            <w:hideMark/>
          </w:tcPr>
          <w:p w14:paraId="6B48AE95"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hideMark/>
          </w:tcPr>
          <w:p w14:paraId="5E5E7DE4"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B95162" w14:paraId="3B67CED9" w14:textId="77777777" w:rsidTr="005F5AF7">
        <w:trPr>
          <w:trHeight w:val="312"/>
        </w:trPr>
        <w:tc>
          <w:tcPr>
            <w:tcW w:w="960" w:type="dxa"/>
            <w:tcBorders>
              <w:top w:val="nil"/>
              <w:left w:val="nil"/>
              <w:bottom w:val="nil"/>
              <w:right w:val="nil"/>
            </w:tcBorders>
            <w:noWrap/>
            <w:vAlign w:val="bottom"/>
            <w:hideMark/>
          </w:tcPr>
          <w:p w14:paraId="16F520A3"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4F1BF7E"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94C1A0A"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78FE698"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468E43D0"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5ACC604C"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hideMark/>
          </w:tcPr>
          <w:p w14:paraId="6D97265D"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5AA7A70F"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hideMark/>
          </w:tcPr>
          <w:p w14:paraId="6CC0CC3A"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55878239" w14:textId="77777777" w:rsidTr="005F5AF7">
        <w:trPr>
          <w:trHeight w:val="312"/>
        </w:trPr>
        <w:tc>
          <w:tcPr>
            <w:tcW w:w="8640" w:type="dxa"/>
            <w:gridSpan w:val="9"/>
            <w:tcBorders>
              <w:top w:val="nil"/>
              <w:left w:val="nil"/>
              <w:bottom w:val="nil"/>
              <w:right w:val="nil"/>
            </w:tcBorders>
            <w:noWrap/>
            <w:vAlign w:val="center"/>
            <w:hideMark/>
          </w:tcPr>
          <w:p w14:paraId="18772563"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xml:space="preserve">Educational resources are available to help me inform patients about HPV </w:t>
            </w:r>
          </w:p>
        </w:tc>
        <w:tc>
          <w:tcPr>
            <w:tcW w:w="960" w:type="dxa"/>
            <w:tcBorders>
              <w:top w:val="nil"/>
              <w:left w:val="nil"/>
              <w:bottom w:val="nil"/>
              <w:right w:val="nil"/>
            </w:tcBorders>
            <w:vAlign w:val="center"/>
            <w:hideMark/>
          </w:tcPr>
          <w:p w14:paraId="2DE2168A"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09BC3C22" w14:textId="77777777" w:rsidTr="005F5AF7">
        <w:trPr>
          <w:trHeight w:val="312"/>
        </w:trPr>
        <w:tc>
          <w:tcPr>
            <w:tcW w:w="3840" w:type="dxa"/>
            <w:gridSpan w:val="4"/>
            <w:tcBorders>
              <w:top w:val="nil"/>
              <w:left w:val="nil"/>
              <w:bottom w:val="nil"/>
              <w:right w:val="nil"/>
            </w:tcBorders>
            <w:noWrap/>
            <w:vAlign w:val="center"/>
            <w:hideMark/>
          </w:tcPr>
          <w:p w14:paraId="4A9BB998"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Vaccination</w:t>
            </w:r>
          </w:p>
        </w:tc>
        <w:tc>
          <w:tcPr>
            <w:tcW w:w="155" w:type="dxa"/>
            <w:tcBorders>
              <w:top w:val="nil"/>
              <w:left w:val="nil"/>
              <w:bottom w:val="nil"/>
              <w:right w:val="nil"/>
            </w:tcBorders>
            <w:noWrap/>
            <w:vAlign w:val="bottom"/>
            <w:hideMark/>
          </w:tcPr>
          <w:p w14:paraId="532BE3D8"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765" w:type="dxa"/>
            <w:tcBorders>
              <w:top w:val="nil"/>
              <w:left w:val="nil"/>
              <w:bottom w:val="nil"/>
              <w:right w:val="nil"/>
            </w:tcBorders>
            <w:noWrap/>
            <w:vAlign w:val="bottom"/>
            <w:hideMark/>
          </w:tcPr>
          <w:p w14:paraId="55D0B753"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315CD89"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367AC734"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1F38E5D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64D63BAD"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B95162" w14:paraId="5AF70D11" w14:textId="77777777" w:rsidTr="005F5AF7">
        <w:trPr>
          <w:trHeight w:val="624"/>
        </w:trPr>
        <w:tc>
          <w:tcPr>
            <w:tcW w:w="960" w:type="dxa"/>
            <w:tcBorders>
              <w:top w:val="nil"/>
              <w:left w:val="nil"/>
              <w:bottom w:val="nil"/>
              <w:right w:val="nil"/>
            </w:tcBorders>
            <w:noWrap/>
            <w:vAlign w:val="bottom"/>
            <w:hideMark/>
          </w:tcPr>
          <w:p w14:paraId="155BA77E"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83536A8"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C7EB97A"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49E4D46"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180722A4"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64C8A77F"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61 (77.2)</w:t>
            </w:r>
          </w:p>
        </w:tc>
        <w:tc>
          <w:tcPr>
            <w:tcW w:w="960" w:type="dxa"/>
            <w:tcBorders>
              <w:top w:val="nil"/>
              <w:left w:val="nil"/>
              <w:bottom w:val="nil"/>
              <w:right w:val="nil"/>
            </w:tcBorders>
            <w:noWrap/>
            <w:vAlign w:val="bottom"/>
            <w:hideMark/>
          </w:tcPr>
          <w:p w14:paraId="00CE9CA4"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hideMark/>
          </w:tcPr>
          <w:p w14:paraId="115BE97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0E184251"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18 (22.8)</w:t>
            </w:r>
          </w:p>
        </w:tc>
        <w:tc>
          <w:tcPr>
            <w:tcW w:w="960" w:type="dxa"/>
            <w:tcBorders>
              <w:top w:val="nil"/>
              <w:left w:val="nil"/>
              <w:bottom w:val="nil"/>
              <w:right w:val="nil"/>
            </w:tcBorders>
            <w:vAlign w:val="center"/>
            <w:hideMark/>
          </w:tcPr>
          <w:p w14:paraId="53B4D25D"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397CFF0A" w14:textId="77777777" w:rsidTr="005F5AF7">
        <w:trPr>
          <w:trHeight w:val="312"/>
        </w:trPr>
        <w:tc>
          <w:tcPr>
            <w:tcW w:w="8640" w:type="dxa"/>
            <w:gridSpan w:val="9"/>
            <w:tcBorders>
              <w:top w:val="nil"/>
              <w:left w:val="nil"/>
              <w:bottom w:val="nil"/>
              <w:right w:val="nil"/>
            </w:tcBorders>
            <w:noWrap/>
            <w:vAlign w:val="center"/>
            <w:hideMark/>
          </w:tcPr>
          <w:p w14:paraId="52BD2E13"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xml:space="preserve">Increasing access to HPV vaccination will have a positive impact on public health </w:t>
            </w:r>
          </w:p>
        </w:tc>
        <w:tc>
          <w:tcPr>
            <w:tcW w:w="960" w:type="dxa"/>
            <w:tcBorders>
              <w:top w:val="nil"/>
              <w:left w:val="nil"/>
              <w:bottom w:val="nil"/>
              <w:right w:val="nil"/>
            </w:tcBorders>
            <w:vAlign w:val="center"/>
            <w:hideMark/>
          </w:tcPr>
          <w:p w14:paraId="3E9D7422"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3EEF5393" w14:textId="77777777" w:rsidTr="005F5AF7">
        <w:trPr>
          <w:trHeight w:val="312"/>
        </w:trPr>
        <w:tc>
          <w:tcPr>
            <w:tcW w:w="2880" w:type="dxa"/>
            <w:gridSpan w:val="3"/>
            <w:tcBorders>
              <w:top w:val="nil"/>
              <w:left w:val="nil"/>
              <w:bottom w:val="nil"/>
              <w:right w:val="nil"/>
            </w:tcBorders>
            <w:noWrap/>
            <w:vAlign w:val="center"/>
            <w:hideMark/>
          </w:tcPr>
          <w:p w14:paraId="0B50EF70"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Outcomes</w:t>
            </w:r>
          </w:p>
        </w:tc>
        <w:tc>
          <w:tcPr>
            <w:tcW w:w="960" w:type="dxa"/>
            <w:tcBorders>
              <w:top w:val="nil"/>
              <w:left w:val="nil"/>
              <w:bottom w:val="nil"/>
              <w:right w:val="nil"/>
            </w:tcBorders>
            <w:noWrap/>
            <w:vAlign w:val="bottom"/>
            <w:hideMark/>
          </w:tcPr>
          <w:p w14:paraId="3AFE5622"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55" w:type="dxa"/>
            <w:tcBorders>
              <w:top w:val="nil"/>
              <w:left w:val="nil"/>
              <w:bottom w:val="nil"/>
              <w:right w:val="nil"/>
            </w:tcBorders>
            <w:noWrap/>
            <w:vAlign w:val="bottom"/>
            <w:hideMark/>
          </w:tcPr>
          <w:p w14:paraId="4A3B23E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59DD2EAE"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554BA48"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6E7B134D"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02A06531"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5E56B1C9"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B95162" w14:paraId="6CDDCEE1" w14:textId="77777777" w:rsidTr="005F5AF7">
        <w:trPr>
          <w:trHeight w:val="312"/>
        </w:trPr>
        <w:tc>
          <w:tcPr>
            <w:tcW w:w="960" w:type="dxa"/>
            <w:tcBorders>
              <w:top w:val="nil"/>
              <w:left w:val="nil"/>
              <w:bottom w:val="nil"/>
              <w:right w:val="nil"/>
            </w:tcBorders>
            <w:noWrap/>
            <w:vAlign w:val="bottom"/>
            <w:hideMark/>
          </w:tcPr>
          <w:p w14:paraId="7E65F9ED"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931FCE6"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DBFCA82"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1C8DDF4"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51F7B5E0"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27094338"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78 (98.8)</w:t>
            </w:r>
          </w:p>
        </w:tc>
        <w:tc>
          <w:tcPr>
            <w:tcW w:w="155" w:type="dxa"/>
            <w:tcBorders>
              <w:top w:val="nil"/>
              <w:left w:val="nil"/>
              <w:bottom w:val="nil"/>
              <w:right w:val="nil"/>
            </w:tcBorders>
            <w:noWrap/>
            <w:vAlign w:val="bottom"/>
            <w:hideMark/>
          </w:tcPr>
          <w:p w14:paraId="296483F3"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1026DB7F"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1 (1.3)</w:t>
            </w:r>
          </w:p>
        </w:tc>
        <w:tc>
          <w:tcPr>
            <w:tcW w:w="960" w:type="dxa"/>
            <w:tcBorders>
              <w:top w:val="nil"/>
              <w:left w:val="nil"/>
              <w:bottom w:val="nil"/>
              <w:right w:val="nil"/>
            </w:tcBorders>
            <w:vAlign w:val="center"/>
            <w:hideMark/>
          </w:tcPr>
          <w:p w14:paraId="3DBF3EED"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561A791C" w14:textId="77777777" w:rsidTr="005F5AF7">
        <w:trPr>
          <w:trHeight w:val="312"/>
        </w:trPr>
        <w:tc>
          <w:tcPr>
            <w:tcW w:w="9600" w:type="dxa"/>
            <w:gridSpan w:val="10"/>
            <w:tcBorders>
              <w:top w:val="nil"/>
              <w:left w:val="nil"/>
              <w:bottom w:val="nil"/>
              <w:right w:val="nil"/>
            </w:tcBorders>
            <w:noWrap/>
            <w:vAlign w:val="center"/>
            <w:hideMark/>
          </w:tcPr>
          <w:p w14:paraId="14568434"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There is sufficient evidence to support the safety and efficacy of the HPV vaccine</w:t>
            </w:r>
          </w:p>
        </w:tc>
      </w:tr>
      <w:tr w:rsidR="00DD57A3" w:rsidRPr="00B95162" w14:paraId="3287C7C5" w14:textId="77777777" w:rsidTr="005F5AF7">
        <w:trPr>
          <w:trHeight w:val="624"/>
        </w:trPr>
        <w:tc>
          <w:tcPr>
            <w:tcW w:w="960" w:type="dxa"/>
            <w:tcBorders>
              <w:top w:val="nil"/>
              <w:left w:val="nil"/>
              <w:bottom w:val="nil"/>
              <w:right w:val="nil"/>
            </w:tcBorders>
            <w:noWrap/>
            <w:vAlign w:val="bottom"/>
            <w:hideMark/>
          </w:tcPr>
          <w:p w14:paraId="50A5062E"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5EAF8D6"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25919B0"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F3B36A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0DAC639D"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29763855"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33 (41.8)</w:t>
            </w:r>
          </w:p>
        </w:tc>
        <w:tc>
          <w:tcPr>
            <w:tcW w:w="960" w:type="dxa"/>
            <w:tcBorders>
              <w:top w:val="nil"/>
              <w:left w:val="nil"/>
              <w:bottom w:val="nil"/>
              <w:right w:val="nil"/>
            </w:tcBorders>
            <w:noWrap/>
            <w:vAlign w:val="center"/>
            <w:hideMark/>
          </w:tcPr>
          <w:p w14:paraId="375BD47E"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hideMark/>
          </w:tcPr>
          <w:p w14:paraId="58F3C7C7"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1B440D9D"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46 (58.2)</w:t>
            </w:r>
          </w:p>
        </w:tc>
        <w:tc>
          <w:tcPr>
            <w:tcW w:w="960" w:type="dxa"/>
            <w:tcBorders>
              <w:top w:val="nil"/>
              <w:left w:val="nil"/>
              <w:bottom w:val="nil"/>
              <w:right w:val="nil"/>
            </w:tcBorders>
            <w:vAlign w:val="center"/>
            <w:hideMark/>
          </w:tcPr>
          <w:p w14:paraId="1CCAFE3A"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473CF8E7" w14:textId="77777777" w:rsidTr="005F5AF7">
        <w:trPr>
          <w:trHeight w:val="312"/>
        </w:trPr>
        <w:tc>
          <w:tcPr>
            <w:tcW w:w="6875" w:type="dxa"/>
            <w:gridSpan w:val="8"/>
            <w:tcBorders>
              <w:top w:val="nil"/>
              <w:left w:val="nil"/>
              <w:bottom w:val="nil"/>
              <w:right w:val="nil"/>
            </w:tcBorders>
            <w:noWrap/>
            <w:vAlign w:val="center"/>
            <w:hideMark/>
          </w:tcPr>
          <w:p w14:paraId="1E079C19"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Societal attitudes towards HPV vaccination are generally positive</w:t>
            </w:r>
          </w:p>
        </w:tc>
        <w:tc>
          <w:tcPr>
            <w:tcW w:w="1765" w:type="dxa"/>
            <w:tcBorders>
              <w:top w:val="nil"/>
              <w:left w:val="nil"/>
              <w:bottom w:val="nil"/>
              <w:right w:val="nil"/>
            </w:tcBorders>
            <w:noWrap/>
            <w:vAlign w:val="bottom"/>
            <w:hideMark/>
          </w:tcPr>
          <w:p w14:paraId="24FC2228" w14:textId="77777777" w:rsidR="00DD57A3" w:rsidRPr="00B95162"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hideMark/>
          </w:tcPr>
          <w:p w14:paraId="77B71F69" w14:textId="77777777" w:rsidR="00DD57A3" w:rsidRPr="00B95162"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B95162" w14:paraId="0571B383" w14:textId="77777777" w:rsidTr="005F5AF7">
        <w:trPr>
          <w:trHeight w:val="312"/>
        </w:trPr>
        <w:tc>
          <w:tcPr>
            <w:tcW w:w="960" w:type="dxa"/>
            <w:tcBorders>
              <w:top w:val="nil"/>
              <w:left w:val="nil"/>
              <w:bottom w:val="single" w:sz="4" w:space="0" w:color="auto"/>
              <w:right w:val="nil"/>
            </w:tcBorders>
            <w:noWrap/>
            <w:vAlign w:val="bottom"/>
            <w:hideMark/>
          </w:tcPr>
          <w:p w14:paraId="09259634"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02000C08"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56DA38CA"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0CC18BD5"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155" w:type="dxa"/>
            <w:tcBorders>
              <w:top w:val="nil"/>
              <w:left w:val="nil"/>
              <w:bottom w:val="single" w:sz="4" w:space="0" w:color="auto"/>
              <w:right w:val="nil"/>
            </w:tcBorders>
            <w:noWrap/>
            <w:vAlign w:val="bottom"/>
            <w:hideMark/>
          </w:tcPr>
          <w:p w14:paraId="781E2AD0"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2725" w:type="dxa"/>
            <w:gridSpan w:val="2"/>
            <w:tcBorders>
              <w:top w:val="nil"/>
              <w:left w:val="nil"/>
              <w:bottom w:val="single" w:sz="4" w:space="0" w:color="auto"/>
              <w:right w:val="nil"/>
            </w:tcBorders>
            <w:noWrap/>
            <w:vAlign w:val="center"/>
            <w:hideMark/>
          </w:tcPr>
          <w:p w14:paraId="385D75DC"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39 (49.4)</w:t>
            </w:r>
          </w:p>
        </w:tc>
        <w:tc>
          <w:tcPr>
            <w:tcW w:w="155" w:type="dxa"/>
            <w:tcBorders>
              <w:top w:val="nil"/>
              <w:left w:val="nil"/>
              <w:bottom w:val="single" w:sz="4" w:space="0" w:color="auto"/>
              <w:right w:val="nil"/>
            </w:tcBorders>
            <w:noWrap/>
            <w:vAlign w:val="bottom"/>
            <w:hideMark/>
          </w:tcPr>
          <w:p w14:paraId="747F3BFB" w14:textId="77777777" w:rsidR="00DD57A3" w:rsidRPr="00B95162" w:rsidRDefault="00DD57A3" w:rsidP="005F5AF7">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1765" w:type="dxa"/>
            <w:tcBorders>
              <w:top w:val="nil"/>
              <w:left w:val="nil"/>
              <w:bottom w:val="single" w:sz="4" w:space="0" w:color="auto"/>
              <w:right w:val="nil"/>
            </w:tcBorders>
            <w:noWrap/>
            <w:vAlign w:val="center"/>
            <w:hideMark/>
          </w:tcPr>
          <w:p w14:paraId="502CFBD3"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40 (50.6)</w:t>
            </w:r>
          </w:p>
        </w:tc>
        <w:tc>
          <w:tcPr>
            <w:tcW w:w="960" w:type="dxa"/>
            <w:tcBorders>
              <w:top w:val="nil"/>
              <w:left w:val="nil"/>
              <w:bottom w:val="nil"/>
              <w:right w:val="nil"/>
            </w:tcBorders>
            <w:noWrap/>
            <w:vAlign w:val="center"/>
            <w:hideMark/>
          </w:tcPr>
          <w:p w14:paraId="68C5C05E" w14:textId="77777777" w:rsidR="00DD57A3" w:rsidRPr="00B95162"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bl>
    <w:p w14:paraId="76006880" w14:textId="77777777" w:rsidR="00DD57A3" w:rsidRDefault="00DD57A3" w:rsidP="00DD5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08B5F462"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476D0D12" w14:textId="77777777" w:rsidR="00DD57A3" w:rsidRPr="00B95162"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On the table above, </w:t>
      </w:r>
      <w:r w:rsidRPr="00D55ACB">
        <w:rPr>
          <w:rFonts w:ascii="Times New Roman" w:eastAsia="Times New Roman" w:hAnsi="Times New Roman" w:cs="Times New Roman"/>
          <w:sz w:val="24"/>
          <w:szCs w:val="24"/>
          <w:lang w:val="en-US"/>
        </w:rPr>
        <w:t xml:space="preserve">all </w:t>
      </w:r>
      <w:r>
        <w:rPr>
          <w:rFonts w:ascii="Times New Roman" w:eastAsia="Times New Roman" w:hAnsi="Times New Roman" w:cs="Times New Roman"/>
          <w:sz w:val="24"/>
          <w:szCs w:val="24"/>
          <w:lang w:val="en-US"/>
        </w:rPr>
        <w:t>79</w:t>
      </w:r>
      <w:r w:rsidRPr="00D55ACB">
        <w:rPr>
          <w:rFonts w:ascii="Times New Roman" w:eastAsia="Times New Roman" w:hAnsi="Times New Roman" w:cs="Times New Roman"/>
          <w:sz w:val="24"/>
          <w:szCs w:val="24"/>
          <w:lang w:val="en-US"/>
        </w:rPr>
        <w:t xml:space="preserve"> respondents unanimously agreed on HPV vaccination's effectiveness against HPV-related disease</w:t>
      </w:r>
      <w:r>
        <w:rPr>
          <w:rFonts w:ascii="Times New Roman" w:eastAsia="Times New Roman" w:hAnsi="Times New Roman" w:cs="Times New Roman"/>
          <w:sz w:val="24"/>
          <w:szCs w:val="24"/>
          <w:lang w:val="en-US"/>
        </w:rPr>
        <w:t xml:space="preserve"> and </w:t>
      </w:r>
      <w:r w:rsidRPr="00D55ACB">
        <w:rPr>
          <w:rFonts w:ascii="Times New Roman" w:eastAsia="Times New Roman" w:hAnsi="Times New Roman" w:cs="Times New Roman"/>
          <w:sz w:val="24"/>
          <w:szCs w:val="24"/>
          <w:lang w:val="en-US"/>
        </w:rPr>
        <w:t xml:space="preserve">recognized its importance for public health. </w:t>
      </w:r>
      <w:r>
        <w:rPr>
          <w:rFonts w:ascii="Times New Roman" w:eastAsia="Times New Roman" w:hAnsi="Times New Roman" w:cs="Times New Roman"/>
          <w:sz w:val="24"/>
          <w:szCs w:val="24"/>
          <w:lang w:val="en-US"/>
        </w:rPr>
        <w:t>Majority,</w:t>
      </w:r>
      <w:r w:rsidRPr="00D55A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78</w:t>
      </w:r>
      <w:r w:rsidRPr="00D55ACB">
        <w:rPr>
          <w:rFonts w:ascii="Times New Roman" w:eastAsia="Times New Roman" w:hAnsi="Times New Roman" w:cs="Times New Roman"/>
          <w:sz w:val="24"/>
          <w:szCs w:val="24"/>
          <w:lang w:val="en-US"/>
        </w:rPr>
        <w:t xml:space="preserve"> (9</w:t>
      </w:r>
      <w:r>
        <w:rPr>
          <w:rFonts w:ascii="Times New Roman" w:eastAsia="Times New Roman" w:hAnsi="Times New Roman" w:cs="Times New Roman"/>
          <w:sz w:val="24"/>
          <w:szCs w:val="24"/>
          <w:lang w:val="en-US"/>
        </w:rPr>
        <w:t>8.8</w:t>
      </w:r>
      <w:r w:rsidRPr="00D55ACB">
        <w:rPr>
          <w:rFonts w:ascii="Times New Roman" w:eastAsia="Times New Roman" w:hAnsi="Times New Roman" w:cs="Times New Roman"/>
          <w:sz w:val="24"/>
          <w:szCs w:val="24"/>
          <w:lang w:val="en-US"/>
        </w:rPr>
        <w:t>%) agreed that increasing access to the vaccine would benefit public health.</w:t>
      </w:r>
      <w:r>
        <w:rPr>
          <w:rFonts w:ascii="Times New Roman" w:eastAsia="Times New Roman" w:hAnsi="Times New Roman" w:cs="Times New Roman"/>
          <w:sz w:val="24"/>
          <w:szCs w:val="24"/>
          <w:lang w:val="en-US"/>
        </w:rPr>
        <w:t xml:space="preserve"> Most of the respondents agreed that there are available educational resources to help them inform their patients on HPV vaccination.</w:t>
      </w:r>
      <w:r w:rsidRPr="00D55ACB">
        <w:rPr>
          <w:rFonts w:ascii="Times New Roman" w:eastAsia="Times New Roman" w:hAnsi="Times New Roman" w:cs="Times New Roman"/>
          <w:sz w:val="24"/>
          <w:szCs w:val="24"/>
          <w:lang w:val="en-US"/>
        </w:rPr>
        <w:t xml:space="preserve"> Despite this, </w:t>
      </w:r>
      <w:r>
        <w:rPr>
          <w:rFonts w:ascii="Times New Roman" w:eastAsia="Times New Roman" w:hAnsi="Times New Roman" w:cs="Times New Roman"/>
          <w:sz w:val="24"/>
          <w:szCs w:val="24"/>
          <w:lang w:val="en-US"/>
        </w:rPr>
        <w:t>46</w:t>
      </w:r>
      <w:r w:rsidRPr="00D55ACB">
        <w:rPr>
          <w:rFonts w:ascii="Times New Roman" w:eastAsia="Times New Roman" w:hAnsi="Times New Roman" w:cs="Times New Roman"/>
          <w:sz w:val="24"/>
          <w:szCs w:val="24"/>
          <w:lang w:val="en-US"/>
        </w:rPr>
        <w:t xml:space="preserve"> (5</w:t>
      </w:r>
      <w:r>
        <w:rPr>
          <w:rFonts w:ascii="Times New Roman" w:eastAsia="Times New Roman" w:hAnsi="Times New Roman" w:cs="Times New Roman"/>
          <w:sz w:val="24"/>
          <w:szCs w:val="24"/>
          <w:lang w:val="en-US"/>
        </w:rPr>
        <w:t>8.2</w:t>
      </w:r>
      <w:r w:rsidRPr="00D55ACB">
        <w:rPr>
          <w:rFonts w:ascii="Times New Roman" w:eastAsia="Times New Roman" w:hAnsi="Times New Roman" w:cs="Times New Roman"/>
          <w:sz w:val="24"/>
          <w:szCs w:val="24"/>
          <w:lang w:val="en-US"/>
        </w:rPr>
        <w:t>%) disagreed that there</w:t>
      </w:r>
      <w:r>
        <w:rPr>
          <w:rFonts w:ascii="Times New Roman" w:eastAsia="Times New Roman" w:hAnsi="Times New Roman" w:cs="Times New Roman"/>
          <w:sz w:val="24"/>
          <w:szCs w:val="24"/>
          <w:lang w:val="en-US"/>
        </w:rPr>
        <w:t xml:space="preserve"> is sufficient evidence to support the safety of the vaccine and 40 (50.6) also disagreed that there</w:t>
      </w:r>
      <w:r w:rsidRPr="00D55ACB">
        <w:rPr>
          <w:rFonts w:ascii="Times New Roman" w:eastAsia="Times New Roman" w:hAnsi="Times New Roman" w:cs="Times New Roman"/>
          <w:sz w:val="24"/>
          <w:szCs w:val="24"/>
          <w:lang w:val="en-US"/>
        </w:rPr>
        <w:t xml:space="preserve"> are positive societal attitudes toward HPV vaccination.</w:t>
      </w:r>
    </w:p>
    <w:p w14:paraId="3D9B5198" w14:textId="77777777" w:rsidR="00DD57A3" w:rsidRPr="00D55ACB" w:rsidRDefault="00DD57A3" w:rsidP="00DD57A3">
      <w:pPr>
        <w:spacing w:after="0" w:line="240" w:lineRule="auto"/>
        <w:jc w:val="both"/>
        <w:rPr>
          <w:rFonts w:ascii="Times New Roman" w:eastAsia="Times New Roman" w:hAnsi="Times New Roman" w:cs="Times New Roman"/>
          <w:sz w:val="24"/>
          <w:szCs w:val="24"/>
        </w:rPr>
      </w:pPr>
    </w:p>
    <w:p w14:paraId="0A95F6D5" w14:textId="77777777" w:rsidR="00DD57A3" w:rsidRPr="00D55ACB" w:rsidRDefault="00DD57A3" w:rsidP="00DD57A3">
      <w:pPr>
        <w:spacing w:line="240" w:lineRule="auto"/>
        <w:jc w:val="both"/>
        <w:rPr>
          <w:rFonts w:ascii="Times New Roman" w:hAnsi="Times New Roman" w:cs="Times New Roman"/>
          <w:sz w:val="24"/>
          <w:szCs w:val="24"/>
        </w:rPr>
      </w:pPr>
    </w:p>
    <w:p w14:paraId="362B0F37" w14:textId="77777777" w:rsidR="00DD57A3" w:rsidRPr="00D55ACB" w:rsidRDefault="00DD57A3" w:rsidP="00DD57A3">
      <w:pPr>
        <w:spacing w:line="240" w:lineRule="auto"/>
        <w:jc w:val="both"/>
        <w:rPr>
          <w:rFonts w:ascii="Times New Roman" w:hAnsi="Times New Roman" w:cs="Times New Roman"/>
          <w:sz w:val="24"/>
          <w:szCs w:val="24"/>
        </w:rPr>
      </w:pPr>
    </w:p>
    <w:p w14:paraId="1575102C" w14:textId="77777777" w:rsidR="00DD57A3" w:rsidRDefault="00DD57A3" w:rsidP="00DD57A3">
      <w:pPr>
        <w:spacing w:after="0" w:line="240" w:lineRule="auto"/>
        <w:jc w:val="both"/>
        <w:rPr>
          <w:rFonts w:ascii="Times New Roman" w:hAnsi="Times New Roman" w:cs="Times New Roman"/>
          <w:b/>
          <w:bCs/>
          <w:sz w:val="24"/>
          <w:szCs w:val="24"/>
          <w:lang w:bidi="en-US"/>
        </w:rPr>
      </w:pPr>
    </w:p>
    <w:p w14:paraId="46FA19BD" w14:textId="77777777" w:rsidR="00DD57A3" w:rsidRDefault="00DD57A3" w:rsidP="00DD57A3">
      <w:pPr>
        <w:spacing w:after="0" w:line="240" w:lineRule="auto"/>
        <w:jc w:val="both"/>
        <w:rPr>
          <w:rFonts w:ascii="Times New Roman" w:hAnsi="Times New Roman" w:cs="Times New Roman"/>
          <w:b/>
          <w:bCs/>
          <w:sz w:val="24"/>
          <w:szCs w:val="24"/>
          <w:lang w:bidi="en-US"/>
        </w:rPr>
      </w:pPr>
    </w:p>
    <w:p w14:paraId="03BA3284" w14:textId="77777777" w:rsidR="00DD57A3" w:rsidRDefault="00DD57A3" w:rsidP="00DD57A3">
      <w:pPr>
        <w:spacing w:after="0" w:line="240" w:lineRule="auto"/>
        <w:jc w:val="both"/>
        <w:rPr>
          <w:rFonts w:ascii="Times New Roman" w:hAnsi="Times New Roman" w:cs="Times New Roman"/>
          <w:b/>
          <w:bCs/>
          <w:sz w:val="24"/>
          <w:szCs w:val="24"/>
          <w:lang w:bidi="en-US"/>
        </w:rPr>
      </w:pPr>
    </w:p>
    <w:p w14:paraId="1930B70A" w14:textId="5FF29E4D" w:rsidR="00DD57A3" w:rsidRDefault="00DD57A3" w:rsidP="00DD57A3">
      <w:pPr>
        <w:spacing w:after="0" w:line="240" w:lineRule="auto"/>
        <w:jc w:val="both"/>
        <w:rPr>
          <w:rFonts w:ascii="Times New Roman" w:hAnsi="Times New Roman" w:cs="Times New Roman"/>
          <w:b/>
          <w:bCs/>
          <w:sz w:val="24"/>
          <w:szCs w:val="24"/>
          <w:lang w:bidi="en-US"/>
        </w:rPr>
      </w:pPr>
      <w:r w:rsidRPr="004F1FB5">
        <w:rPr>
          <w:rFonts w:ascii="Times New Roman" w:hAnsi="Times New Roman" w:cs="Times New Roman"/>
          <w:b/>
          <w:bCs/>
          <w:sz w:val="24"/>
          <w:szCs w:val="24"/>
          <w:lang w:bidi="en-US"/>
        </w:rPr>
        <w:t xml:space="preserve">Table </w:t>
      </w:r>
      <w:r>
        <w:rPr>
          <w:rFonts w:ascii="Times New Roman" w:hAnsi="Times New Roman" w:cs="Times New Roman"/>
          <w:b/>
          <w:bCs/>
          <w:sz w:val="24"/>
          <w:szCs w:val="24"/>
          <w:lang w:bidi="en-US"/>
        </w:rPr>
        <w:t>5</w:t>
      </w:r>
      <w:r w:rsidRPr="004F1FB5">
        <w:rPr>
          <w:rFonts w:ascii="Times New Roman" w:hAnsi="Times New Roman" w:cs="Times New Roman"/>
          <w:b/>
          <w:bCs/>
          <w:sz w:val="24"/>
          <w:szCs w:val="24"/>
          <w:lang w:bidi="en-US"/>
        </w:rPr>
        <w:t xml:space="preserve">: Respondents Response on </w:t>
      </w:r>
      <w:r>
        <w:rPr>
          <w:rFonts w:ascii="Times New Roman" w:hAnsi="Times New Roman" w:cs="Times New Roman"/>
          <w:b/>
          <w:bCs/>
          <w:sz w:val="24"/>
          <w:szCs w:val="24"/>
          <w:lang w:bidi="en-US"/>
        </w:rPr>
        <w:t>Acceptability</w:t>
      </w:r>
      <w:r w:rsidRPr="004F1FB5">
        <w:rPr>
          <w:rFonts w:ascii="Times New Roman" w:hAnsi="Times New Roman" w:cs="Times New Roman"/>
          <w:b/>
          <w:bCs/>
          <w:sz w:val="24"/>
          <w:szCs w:val="24"/>
          <w:lang w:bidi="en-US"/>
        </w:rPr>
        <w:t xml:space="preserve"> o</w:t>
      </w:r>
      <w:r>
        <w:rPr>
          <w:rFonts w:ascii="Times New Roman" w:hAnsi="Times New Roman" w:cs="Times New Roman"/>
          <w:b/>
          <w:bCs/>
          <w:sz w:val="24"/>
          <w:szCs w:val="24"/>
          <w:lang w:bidi="en-US"/>
        </w:rPr>
        <w:t>f</w:t>
      </w:r>
      <w:r w:rsidRPr="004F1FB5">
        <w:rPr>
          <w:rFonts w:ascii="Times New Roman" w:hAnsi="Times New Roman" w:cs="Times New Roman"/>
          <w:b/>
          <w:bCs/>
          <w:sz w:val="24"/>
          <w:szCs w:val="24"/>
          <w:lang w:bidi="en-US"/>
        </w:rPr>
        <w:t xml:space="preserve"> HPV vaccination</w:t>
      </w:r>
    </w:p>
    <w:tbl>
      <w:tblPr>
        <w:tblW w:w="7803" w:type="dxa"/>
        <w:tblLook w:val="04A0" w:firstRow="1" w:lastRow="0" w:firstColumn="1" w:lastColumn="0" w:noHBand="0" w:noVBand="1"/>
      </w:tblPr>
      <w:tblGrid>
        <w:gridCol w:w="964"/>
        <w:gridCol w:w="964"/>
        <w:gridCol w:w="964"/>
        <w:gridCol w:w="964"/>
        <w:gridCol w:w="1743"/>
        <w:gridCol w:w="276"/>
        <w:gridCol w:w="788"/>
        <w:gridCol w:w="1140"/>
      </w:tblGrid>
      <w:tr w:rsidR="00DD57A3" w:rsidRPr="009611CD" w14:paraId="2A5E6E5C" w14:textId="77777777" w:rsidTr="005F5AF7">
        <w:trPr>
          <w:trHeight w:val="312"/>
        </w:trPr>
        <w:tc>
          <w:tcPr>
            <w:tcW w:w="1928" w:type="dxa"/>
            <w:gridSpan w:val="2"/>
            <w:tcBorders>
              <w:top w:val="single" w:sz="4" w:space="0" w:color="auto"/>
              <w:left w:val="nil"/>
              <w:bottom w:val="single" w:sz="4" w:space="0" w:color="auto"/>
              <w:right w:val="nil"/>
            </w:tcBorders>
            <w:noWrap/>
            <w:vAlign w:val="bottom"/>
            <w:hideMark/>
          </w:tcPr>
          <w:p w14:paraId="7CEAC03D"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Variables</w:t>
            </w:r>
          </w:p>
        </w:tc>
        <w:tc>
          <w:tcPr>
            <w:tcW w:w="964" w:type="dxa"/>
            <w:tcBorders>
              <w:top w:val="single" w:sz="4" w:space="0" w:color="auto"/>
              <w:left w:val="nil"/>
              <w:bottom w:val="single" w:sz="4" w:space="0" w:color="auto"/>
              <w:right w:val="nil"/>
            </w:tcBorders>
            <w:noWrap/>
            <w:vAlign w:val="bottom"/>
            <w:hideMark/>
          </w:tcPr>
          <w:p w14:paraId="54DDDA8C"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964" w:type="dxa"/>
            <w:tcBorders>
              <w:top w:val="single" w:sz="4" w:space="0" w:color="auto"/>
              <w:left w:val="nil"/>
              <w:bottom w:val="single" w:sz="4" w:space="0" w:color="auto"/>
              <w:right w:val="nil"/>
            </w:tcBorders>
            <w:noWrap/>
            <w:vAlign w:val="bottom"/>
            <w:hideMark/>
          </w:tcPr>
          <w:p w14:paraId="5E160666"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2019" w:type="dxa"/>
            <w:gridSpan w:val="2"/>
            <w:tcBorders>
              <w:top w:val="single" w:sz="4" w:space="0" w:color="auto"/>
              <w:left w:val="nil"/>
              <w:bottom w:val="single" w:sz="4" w:space="0" w:color="auto"/>
              <w:right w:val="nil"/>
            </w:tcBorders>
            <w:noWrap/>
            <w:vAlign w:val="bottom"/>
            <w:hideMark/>
          </w:tcPr>
          <w:p w14:paraId="0E005338"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Yes </w:t>
            </w:r>
            <w:proofErr w:type="gramStart"/>
            <w:r w:rsidRPr="009611CD">
              <w:rPr>
                <w:rFonts w:ascii="Times New Roman" w:eastAsia="Times New Roman" w:hAnsi="Times New Roman" w:cs="Times New Roman"/>
                <w:b/>
                <w:bCs/>
                <w:color w:val="000000"/>
                <w:sz w:val="24"/>
                <w:szCs w:val="24"/>
                <w:lang w:eastAsia="en-GB"/>
              </w:rPr>
              <w:t>n(</w:t>
            </w:r>
            <w:proofErr w:type="gramEnd"/>
            <w:r w:rsidRPr="009611CD">
              <w:rPr>
                <w:rFonts w:ascii="Times New Roman" w:eastAsia="Times New Roman" w:hAnsi="Times New Roman" w:cs="Times New Roman"/>
                <w:b/>
                <w:bCs/>
                <w:color w:val="000000"/>
                <w:sz w:val="24"/>
                <w:szCs w:val="24"/>
                <w:lang w:eastAsia="en-GB"/>
              </w:rPr>
              <w:t>%)</w:t>
            </w:r>
          </w:p>
        </w:tc>
        <w:tc>
          <w:tcPr>
            <w:tcW w:w="788" w:type="dxa"/>
            <w:tcBorders>
              <w:top w:val="single" w:sz="4" w:space="0" w:color="auto"/>
              <w:left w:val="nil"/>
              <w:bottom w:val="single" w:sz="4" w:space="0" w:color="auto"/>
              <w:right w:val="nil"/>
            </w:tcBorders>
            <w:noWrap/>
            <w:vAlign w:val="bottom"/>
            <w:hideMark/>
          </w:tcPr>
          <w:p w14:paraId="3D854EDB"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1140" w:type="dxa"/>
            <w:tcBorders>
              <w:top w:val="single" w:sz="4" w:space="0" w:color="auto"/>
              <w:left w:val="nil"/>
              <w:bottom w:val="single" w:sz="4" w:space="0" w:color="auto"/>
              <w:right w:val="nil"/>
            </w:tcBorders>
            <w:noWrap/>
            <w:vAlign w:val="bottom"/>
            <w:hideMark/>
          </w:tcPr>
          <w:p w14:paraId="3E2EF449"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No </w:t>
            </w:r>
            <w:proofErr w:type="gramStart"/>
            <w:r w:rsidRPr="009611CD">
              <w:rPr>
                <w:rFonts w:ascii="Times New Roman" w:eastAsia="Times New Roman" w:hAnsi="Times New Roman" w:cs="Times New Roman"/>
                <w:b/>
                <w:bCs/>
                <w:color w:val="000000"/>
                <w:sz w:val="24"/>
                <w:szCs w:val="24"/>
                <w:lang w:eastAsia="en-GB"/>
              </w:rPr>
              <w:t>n(</w:t>
            </w:r>
            <w:proofErr w:type="gramEnd"/>
            <w:r w:rsidRPr="009611CD">
              <w:rPr>
                <w:rFonts w:ascii="Times New Roman" w:eastAsia="Times New Roman" w:hAnsi="Times New Roman" w:cs="Times New Roman"/>
                <w:b/>
                <w:bCs/>
                <w:color w:val="000000"/>
                <w:sz w:val="24"/>
                <w:szCs w:val="24"/>
                <w:lang w:eastAsia="en-GB"/>
              </w:rPr>
              <w:t>%)</w:t>
            </w:r>
          </w:p>
        </w:tc>
      </w:tr>
      <w:tr w:rsidR="00DD57A3" w:rsidRPr="009611CD" w14:paraId="4E5BB02D" w14:textId="77777777" w:rsidTr="005F5AF7">
        <w:trPr>
          <w:trHeight w:val="312"/>
        </w:trPr>
        <w:tc>
          <w:tcPr>
            <w:tcW w:w="5599" w:type="dxa"/>
            <w:gridSpan w:val="5"/>
            <w:tcBorders>
              <w:top w:val="nil"/>
              <w:left w:val="nil"/>
              <w:bottom w:val="nil"/>
              <w:right w:val="nil"/>
            </w:tcBorders>
            <w:noWrap/>
            <w:vAlign w:val="bottom"/>
            <w:hideMark/>
          </w:tcPr>
          <w:p w14:paraId="03BC9119"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Have you collected the HPV vaccine?</w:t>
            </w:r>
          </w:p>
        </w:tc>
        <w:tc>
          <w:tcPr>
            <w:tcW w:w="276" w:type="dxa"/>
            <w:tcBorders>
              <w:top w:val="nil"/>
              <w:left w:val="nil"/>
              <w:bottom w:val="nil"/>
              <w:right w:val="nil"/>
            </w:tcBorders>
            <w:noWrap/>
            <w:vAlign w:val="bottom"/>
            <w:hideMark/>
          </w:tcPr>
          <w:p w14:paraId="74171F1B"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788" w:type="dxa"/>
            <w:tcBorders>
              <w:top w:val="nil"/>
              <w:left w:val="nil"/>
              <w:bottom w:val="nil"/>
              <w:right w:val="nil"/>
            </w:tcBorders>
            <w:noWrap/>
            <w:vAlign w:val="bottom"/>
            <w:hideMark/>
          </w:tcPr>
          <w:p w14:paraId="36114366"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4F536BCE"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9611CD" w14:paraId="38B41202" w14:textId="77777777" w:rsidTr="005F5AF7">
        <w:trPr>
          <w:trHeight w:val="312"/>
        </w:trPr>
        <w:tc>
          <w:tcPr>
            <w:tcW w:w="964" w:type="dxa"/>
            <w:tcBorders>
              <w:top w:val="nil"/>
              <w:left w:val="nil"/>
              <w:bottom w:val="nil"/>
              <w:right w:val="nil"/>
            </w:tcBorders>
            <w:noWrap/>
            <w:vAlign w:val="bottom"/>
            <w:hideMark/>
          </w:tcPr>
          <w:p w14:paraId="2E828F3B"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61BD9EF3"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287CC49"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6EB4D798"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2019" w:type="dxa"/>
            <w:gridSpan w:val="2"/>
            <w:tcBorders>
              <w:top w:val="nil"/>
              <w:left w:val="nil"/>
              <w:bottom w:val="nil"/>
              <w:right w:val="nil"/>
            </w:tcBorders>
            <w:noWrap/>
            <w:vAlign w:val="bottom"/>
            <w:hideMark/>
          </w:tcPr>
          <w:p w14:paraId="2ABFE293"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26 (33.3)</w:t>
            </w:r>
          </w:p>
        </w:tc>
        <w:tc>
          <w:tcPr>
            <w:tcW w:w="788" w:type="dxa"/>
            <w:tcBorders>
              <w:top w:val="nil"/>
              <w:left w:val="nil"/>
              <w:bottom w:val="nil"/>
              <w:right w:val="nil"/>
            </w:tcBorders>
            <w:noWrap/>
            <w:vAlign w:val="bottom"/>
            <w:hideMark/>
          </w:tcPr>
          <w:p w14:paraId="1E63DAB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hideMark/>
          </w:tcPr>
          <w:p w14:paraId="77CAC352"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52 (66.7)</w:t>
            </w:r>
          </w:p>
        </w:tc>
      </w:tr>
      <w:tr w:rsidR="00DD57A3" w:rsidRPr="009611CD" w14:paraId="29133E36" w14:textId="77777777" w:rsidTr="005F5AF7">
        <w:trPr>
          <w:trHeight w:val="312"/>
        </w:trPr>
        <w:tc>
          <w:tcPr>
            <w:tcW w:w="5875" w:type="dxa"/>
            <w:gridSpan w:val="6"/>
            <w:tcBorders>
              <w:top w:val="nil"/>
              <w:left w:val="nil"/>
              <w:bottom w:val="nil"/>
              <w:right w:val="nil"/>
            </w:tcBorders>
            <w:noWrap/>
            <w:vAlign w:val="bottom"/>
            <w:hideMark/>
          </w:tcPr>
          <w:p w14:paraId="6F239BE2"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Do you support the administration of the HPV vaccine?</w:t>
            </w:r>
          </w:p>
        </w:tc>
        <w:tc>
          <w:tcPr>
            <w:tcW w:w="788" w:type="dxa"/>
            <w:tcBorders>
              <w:top w:val="nil"/>
              <w:left w:val="nil"/>
              <w:bottom w:val="nil"/>
              <w:right w:val="nil"/>
            </w:tcBorders>
            <w:noWrap/>
            <w:vAlign w:val="bottom"/>
            <w:hideMark/>
          </w:tcPr>
          <w:p w14:paraId="4420200B"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hideMark/>
          </w:tcPr>
          <w:p w14:paraId="1F7A120D"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9611CD" w14:paraId="661A827A" w14:textId="77777777" w:rsidTr="005F5AF7">
        <w:trPr>
          <w:trHeight w:val="312"/>
        </w:trPr>
        <w:tc>
          <w:tcPr>
            <w:tcW w:w="964" w:type="dxa"/>
            <w:tcBorders>
              <w:top w:val="nil"/>
              <w:left w:val="nil"/>
              <w:bottom w:val="nil"/>
              <w:right w:val="nil"/>
            </w:tcBorders>
            <w:noWrap/>
            <w:vAlign w:val="bottom"/>
            <w:hideMark/>
          </w:tcPr>
          <w:p w14:paraId="62466E03"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2F76579"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7FC9A84"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0C07F57"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13E1E7B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5C838A1C"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3D562F36"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2E5DF8B2"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54208A0D" w14:textId="77777777" w:rsidTr="005F5AF7">
        <w:trPr>
          <w:trHeight w:val="312"/>
        </w:trPr>
        <w:tc>
          <w:tcPr>
            <w:tcW w:w="7803" w:type="dxa"/>
            <w:gridSpan w:val="8"/>
            <w:tcBorders>
              <w:top w:val="nil"/>
              <w:left w:val="nil"/>
              <w:bottom w:val="nil"/>
              <w:right w:val="nil"/>
            </w:tcBorders>
            <w:noWrap/>
            <w:vAlign w:val="bottom"/>
            <w:hideMark/>
          </w:tcPr>
          <w:p w14:paraId="220C7CE8"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Do you think that more people should be educated about the HPV vaccine? </w:t>
            </w:r>
          </w:p>
        </w:tc>
      </w:tr>
      <w:tr w:rsidR="00DD57A3" w:rsidRPr="009611CD" w14:paraId="7C43B27D" w14:textId="77777777" w:rsidTr="005F5AF7">
        <w:trPr>
          <w:trHeight w:val="312"/>
        </w:trPr>
        <w:tc>
          <w:tcPr>
            <w:tcW w:w="964" w:type="dxa"/>
            <w:tcBorders>
              <w:top w:val="nil"/>
              <w:left w:val="nil"/>
              <w:bottom w:val="nil"/>
              <w:right w:val="nil"/>
            </w:tcBorders>
            <w:noWrap/>
            <w:vAlign w:val="bottom"/>
            <w:hideMark/>
          </w:tcPr>
          <w:p w14:paraId="7F5CF048"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964" w:type="dxa"/>
            <w:tcBorders>
              <w:top w:val="nil"/>
              <w:left w:val="nil"/>
              <w:bottom w:val="nil"/>
              <w:right w:val="nil"/>
            </w:tcBorders>
            <w:noWrap/>
            <w:vAlign w:val="bottom"/>
            <w:hideMark/>
          </w:tcPr>
          <w:p w14:paraId="2B7AF903"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7AFAF80"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9EC78F3"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1FE8C5A4"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3FF2E35E"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64096F3A"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58FCFB5B"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71540BB9" w14:textId="77777777" w:rsidTr="005F5AF7">
        <w:trPr>
          <w:trHeight w:val="312"/>
        </w:trPr>
        <w:tc>
          <w:tcPr>
            <w:tcW w:w="5875" w:type="dxa"/>
            <w:gridSpan w:val="6"/>
            <w:tcBorders>
              <w:top w:val="nil"/>
              <w:left w:val="nil"/>
              <w:bottom w:val="nil"/>
              <w:right w:val="nil"/>
            </w:tcBorders>
            <w:noWrap/>
            <w:vAlign w:val="bottom"/>
            <w:hideMark/>
          </w:tcPr>
          <w:p w14:paraId="4C235CD8"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Do you want the vaccine to be more readily available?</w:t>
            </w:r>
          </w:p>
        </w:tc>
        <w:tc>
          <w:tcPr>
            <w:tcW w:w="788" w:type="dxa"/>
            <w:tcBorders>
              <w:top w:val="nil"/>
              <w:left w:val="nil"/>
              <w:bottom w:val="nil"/>
              <w:right w:val="nil"/>
            </w:tcBorders>
            <w:noWrap/>
            <w:vAlign w:val="bottom"/>
            <w:hideMark/>
          </w:tcPr>
          <w:p w14:paraId="03ADB8FE"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hideMark/>
          </w:tcPr>
          <w:p w14:paraId="3A9E98AE"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9611CD" w14:paraId="7D1981CD" w14:textId="77777777" w:rsidTr="005F5AF7">
        <w:trPr>
          <w:trHeight w:val="312"/>
        </w:trPr>
        <w:tc>
          <w:tcPr>
            <w:tcW w:w="964" w:type="dxa"/>
            <w:tcBorders>
              <w:top w:val="nil"/>
              <w:left w:val="nil"/>
              <w:bottom w:val="nil"/>
              <w:right w:val="nil"/>
            </w:tcBorders>
            <w:noWrap/>
            <w:vAlign w:val="bottom"/>
            <w:hideMark/>
          </w:tcPr>
          <w:p w14:paraId="4052A11B"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CFB6E0A"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4B93852"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0B26E98"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2019" w:type="dxa"/>
            <w:gridSpan w:val="2"/>
            <w:tcBorders>
              <w:top w:val="nil"/>
              <w:left w:val="nil"/>
              <w:bottom w:val="nil"/>
              <w:right w:val="nil"/>
            </w:tcBorders>
            <w:noWrap/>
            <w:vAlign w:val="bottom"/>
            <w:hideMark/>
          </w:tcPr>
          <w:p w14:paraId="784977A9"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78 (98.7)</w:t>
            </w:r>
          </w:p>
        </w:tc>
        <w:tc>
          <w:tcPr>
            <w:tcW w:w="788" w:type="dxa"/>
            <w:tcBorders>
              <w:top w:val="nil"/>
              <w:left w:val="nil"/>
              <w:bottom w:val="nil"/>
              <w:right w:val="nil"/>
            </w:tcBorders>
            <w:noWrap/>
            <w:vAlign w:val="bottom"/>
            <w:hideMark/>
          </w:tcPr>
          <w:p w14:paraId="3580824F"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hideMark/>
          </w:tcPr>
          <w:p w14:paraId="1E13EA8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1 (1.3)</w:t>
            </w:r>
          </w:p>
        </w:tc>
      </w:tr>
      <w:tr w:rsidR="00DD57A3" w:rsidRPr="009611CD" w14:paraId="438AA05F" w14:textId="77777777" w:rsidTr="005F5AF7">
        <w:trPr>
          <w:trHeight w:val="312"/>
        </w:trPr>
        <w:tc>
          <w:tcPr>
            <w:tcW w:w="7803" w:type="dxa"/>
            <w:gridSpan w:val="8"/>
            <w:tcBorders>
              <w:top w:val="nil"/>
              <w:left w:val="nil"/>
              <w:bottom w:val="nil"/>
              <w:right w:val="nil"/>
            </w:tcBorders>
            <w:noWrap/>
            <w:vAlign w:val="bottom"/>
            <w:hideMark/>
          </w:tcPr>
          <w:p w14:paraId="56959539"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Are you willing to correct any misconceptions or myths surrounding </w:t>
            </w:r>
          </w:p>
        </w:tc>
      </w:tr>
      <w:tr w:rsidR="00DD57A3" w:rsidRPr="009611CD" w14:paraId="2ED5F81F" w14:textId="77777777" w:rsidTr="005F5AF7">
        <w:trPr>
          <w:trHeight w:val="312"/>
        </w:trPr>
        <w:tc>
          <w:tcPr>
            <w:tcW w:w="5599" w:type="dxa"/>
            <w:gridSpan w:val="5"/>
            <w:tcBorders>
              <w:top w:val="nil"/>
              <w:left w:val="nil"/>
              <w:bottom w:val="nil"/>
              <w:right w:val="nil"/>
            </w:tcBorders>
            <w:noWrap/>
            <w:vAlign w:val="bottom"/>
            <w:hideMark/>
          </w:tcPr>
          <w:p w14:paraId="38372F3C"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HPV vaccination among your patients?</w:t>
            </w:r>
          </w:p>
        </w:tc>
        <w:tc>
          <w:tcPr>
            <w:tcW w:w="276" w:type="dxa"/>
            <w:tcBorders>
              <w:top w:val="nil"/>
              <w:left w:val="nil"/>
              <w:bottom w:val="nil"/>
              <w:right w:val="nil"/>
            </w:tcBorders>
            <w:noWrap/>
            <w:vAlign w:val="bottom"/>
            <w:hideMark/>
          </w:tcPr>
          <w:p w14:paraId="381BD8A7"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788" w:type="dxa"/>
            <w:tcBorders>
              <w:top w:val="nil"/>
              <w:left w:val="nil"/>
              <w:bottom w:val="nil"/>
              <w:right w:val="nil"/>
            </w:tcBorders>
            <w:noWrap/>
            <w:vAlign w:val="bottom"/>
            <w:hideMark/>
          </w:tcPr>
          <w:p w14:paraId="1F535FED"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5C93D818"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9611CD" w14:paraId="40A3568D" w14:textId="77777777" w:rsidTr="005F5AF7">
        <w:trPr>
          <w:trHeight w:val="312"/>
        </w:trPr>
        <w:tc>
          <w:tcPr>
            <w:tcW w:w="964" w:type="dxa"/>
            <w:tcBorders>
              <w:top w:val="nil"/>
              <w:left w:val="nil"/>
              <w:bottom w:val="nil"/>
              <w:right w:val="nil"/>
            </w:tcBorders>
            <w:noWrap/>
            <w:vAlign w:val="bottom"/>
            <w:hideMark/>
          </w:tcPr>
          <w:p w14:paraId="619C8A36"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D6F285C"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C6C3D18"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F709C3C"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3E266D75"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49 (62)</w:t>
            </w:r>
          </w:p>
        </w:tc>
        <w:tc>
          <w:tcPr>
            <w:tcW w:w="276" w:type="dxa"/>
            <w:tcBorders>
              <w:top w:val="nil"/>
              <w:left w:val="nil"/>
              <w:bottom w:val="nil"/>
              <w:right w:val="nil"/>
            </w:tcBorders>
            <w:noWrap/>
            <w:vAlign w:val="bottom"/>
            <w:hideMark/>
          </w:tcPr>
          <w:p w14:paraId="6341FC2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7573CF37"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76E169C3"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30 (48)</w:t>
            </w:r>
          </w:p>
        </w:tc>
      </w:tr>
      <w:tr w:rsidR="00DD57A3" w:rsidRPr="009611CD" w14:paraId="003E0552" w14:textId="77777777" w:rsidTr="005F5AF7">
        <w:trPr>
          <w:trHeight w:val="312"/>
        </w:trPr>
        <w:tc>
          <w:tcPr>
            <w:tcW w:w="7803" w:type="dxa"/>
            <w:gridSpan w:val="8"/>
            <w:tcBorders>
              <w:top w:val="nil"/>
              <w:left w:val="nil"/>
              <w:bottom w:val="nil"/>
              <w:right w:val="nil"/>
            </w:tcBorders>
            <w:noWrap/>
            <w:vAlign w:val="bottom"/>
            <w:hideMark/>
          </w:tcPr>
          <w:p w14:paraId="553C2AAD"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Do you think that the HPV vaccine should be integrated into routine </w:t>
            </w:r>
          </w:p>
        </w:tc>
      </w:tr>
      <w:tr w:rsidR="00DD57A3" w:rsidRPr="009611CD" w14:paraId="52955526" w14:textId="77777777" w:rsidTr="005F5AF7">
        <w:trPr>
          <w:trHeight w:val="312"/>
        </w:trPr>
        <w:tc>
          <w:tcPr>
            <w:tcW w:w="2892" w:type="dxa"/>
            <w:gridSpan w:val="3"/>
            <w:tcBorders>
              <w:top w:val="nil"/>
              <w:left w:val="nil"/>
              <w:bottom w:val="nil"/>
              <w:right w:val="nil"/>
            </w:tcBorders>
            <w:noWrap/>
            <w:vAlign w:val="bottom"/>
            <w:hideMark/>
          </w:tcPr>
          <w:p w14:paraId="665EBF6D"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immunization schedules?</w:t>
            </w:r>
          </w:p>
        </w:tc>
        <w:tc>
          <w:tcPr>
            <w:tcW w:w="964" w:type="dxa"/>
            <w:tcBorders>
              <w:top w:val="nil"/>
              <w:left w:val="nil"/>
              <w:bottom w:val="nil"/>
              <w:right w:val="nil"/>
            </w:tcBorders>
            <w:noWrap/>
            <w:vAlign w:val="bottom"/>
            <w:hideMark/>
          </w:tcPr>
          <w:p w14:paraId="5BE2B1FB" w14:textId="77777777" w:rsidR="00DD57A3" w:rsidRPr="009611CD" w:rsidRDefault="00DD57A3" w:rsidP="005F5AF7">
            <w:pPr>
              <w:spacing w:after="0" w:line="240" w:lineRule="auto"/>
              <w:jc w:val="both"/>
              <w:rPr>
                <w:rFonts w:ascii="Times New Roman" w:eastAsia="Times New Roman" w:hAnsi="Times New Roman" w:cs="Times New Roman"/>
                <w:b/>
                <w:bCs/>
                <w:color w:val="000000"/>
                <w:sz w:val="24"/>
                <w:szCs w:val="24"/>
                <w:lang w:eastAsia="en-GB"/>
              </w:rPr>
            </w:pPr>
          </w:p>
        </w:tc>
        <w:tc>
          <w:tcPr>
            <w:tcW w:w="1743" w:type="dxa"/>
            <w:tcBorders>
              <w:top w:val="nil"/>
              <w:left w:val="nil"/>
              <w:bottom w:val="nil"/>
              <w:right w:val="nil"/>
            </w:tcBorders>
            <w:noWrap/>
            <w:vAlign w:val="bottom"/>
            <w:hideMark/>
          </w:tcPr>
          <w:p w14:paraId="22D2DC4D"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276" w:type="dxa"/>
            <w:tcBorders>
              <w:top w:val="nil"/>
              <w:left w:val="nil"/>
              <w:bottom w:val="nil"/>
              <w:right w:val="nil"/>
            </w:tcBorders>
            <w:noWrap/>
            <w:vAlign w:val="bottom"/>
            <w:hideMark/>
          </w:tcPr>
          <w:p w14:paraId="0E5A41F4"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788" w:type="dxa"/>
            <w:tcBorders>
              <w:top w:val="nil"/>
              <w:left w:val="nil"/>
              <w:bottom w:val="nil"/>
              <w:right w:val="nil"/>
            </w:tcBorders>
            <w:noWrap/>
            <w:vAlign w:val="bottom"/>
            <w:hideMark/>
          </w:tcPr>
          <w:p w14:paraId="37A0E829"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32F7416A"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r>
      <w:tr w:rsidR="00DD57A3" w:rsidRPr="009611CD" w14:paraId="6EDF5C45" w14:textId="77777777" w:rsidTr="005F5AF7">
        <w:trPr>
          <w:trHeight w:val="312"/>
        </w:trPr>
        <w:tc>
          <w:tcPr>
            <w:tcW w:w="964" w:type="dxa"/>
            <w:tcBorders>
              <w:top w:val="nil"/>
              <w:left w:val="nil"/>
              <w:bottom w:val="nil"/>
              <w:right w:val="nil"/>
            </w:tcBorders>
            <w:noWrap/>
            <w:vAlign w:val="bottom"/>
            <w:hideMark/>
          </w:tcPr>
          <w:p w14:paraId="45F0843F"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70E3EE0"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88EF6FC"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5FA5F2B1"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7C5C65A3"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7FB40949"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38D52517" w14:textId="77777777" w:rsidR="00DD57A3" w:rsidRPr="009611CD" w:rsidRDefault="00DD57A3" w:rsidP="005F5AF7">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63FCA8A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48E63F49" w14:textId="77777777" w:rsidTr="005F5AF7">
        <w:trPr>
          <w:trHeight w:val="312"/>
        </w:trPr>
        <w:tc>
          <w:tcPr>
            <w:tcW w:w="6663" w:type="dxa"/>
            <w:gridSpan w:val="7"/>
            <w:tcBorders>
              <w:top w:val="nil"/>
              <w:left w:val="nil"/>
              <w:bottom w:val="nil"/>
              <w:right w:val="nil"/>
            </w:tcBorders>
            <w:noWrap/>
            <w:vAlign w:val="bottom"/>
            <w:hideMark/>
          </w:tcPr>
          <w:p w14:paraId="09E3AD18"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A</w:t>
            </w:r>
            <w:r w:rsidRPr="009611CD">
              <w:rPr>
                <w:rFonts w:ascii="Times New Roman" w:eastAsia="Times New Roman" w:hAnsi="Times New Roman" w:cs="Times New Roman"/>
                <w:b/>
                <w:bCs/>
                <w:color w:val="000000"/>
                <w:sz w:val="24"/>
                <w:szCs w:val="24"/>
                <w:lang w:eastAsia="en-GB"/>
              </w:rPr>
              <w:t>re you willing to recommend the HPV vaccine to your patients?</w:t>
            </w:r>
          </w:p>
        </w:tc>
        <w:tc>
          <w:tcPr>
            <w:tcW w:w="1140" w:type="dxa"/>
            <w:tcBorders>
              <w:top w:val="nil"/>
              <w:left w:val="nil"/>
              <w:bottom w:val="nil"/>
              <w:right w:val="nil"/>
            </w:tcBorders>
            <w:noWrap/>
            <w:vAlign w:val="bottom"/>
            <w:hideMark/>
          </w:tcPr>
          <w:p w14:paraId="7E742617"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r w:rsidR="00DD57A3" w:rsidRPr="009611CD" w14:paraId="5466FA03" w14:textId="77777777" w:rsidTr="005F5AF7">
        <w:trPr>
          <w:trHeight w:val="312"/>
        </w:trPr>
        <w:tc>
          <w:tcPr>
            <w:tcW w:w="964" w:type="dxa"/>
            <w:tcBorders>
              <w:top w:val="nil"/>
              <w:left w:val="nil"/>
              <w:bottom w:val="nil"/>
              <w:right w:val="nil"/>
            </w:tcBorders>
            <w:noWrap/>
            <w:vAlign w:val="bottom"/>
            <w:hideMark/>
          </w:tcPr>
          <w:p w14:paraId="4416A1F8"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335087C1"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3374B6BA"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1F92DF94"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1743" w:type="dxa"/>
            <w:tcBorders>
              <w:top w:val="nil"/>
              <w:left w:val="nil"/>
              <w:bottom w:val="nil"/>
              <w:right w:val="nil"/>
            </w:tcBorders>
            <w:noWrap/>
            <w:vAlign w:val="bottom"/>
            <w:hideMark/>
          </w:tcPr>
          <w:p w14:paraId="6097FAB8"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417A4966"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788" w:type="dxa"/>
            <w:tcBorders>
              <w:top w:val="nil"/>
              <w:left w:val="nil"/>
              <w:bottom w:val="nil"/>
              <w:right w:val="nil"/>
            </w:tcBorders>
            <w:noWrap/>
            <w:vAlign w:val="bottom"/>
            <w:hideMark/>
          </w:tcPr>
          <w:p w14:paraId="0B5E9EC2"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1140" w:type="dxa"/>
            <w:tcBorders>
              <w:top w:val="nil"/>
              <w:left w:val="nil"/>
              <w:bottom w:val="nil"/>
              <w:right w:val="nil"/>
            </w:tcBorders>
            <w:noWrap/>
            <w:vAlign w:val="bottom"/>
            <w:hideMark/>
          </w:tcPr>
          <w:p w14:paraId="47FD1DA4"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79C385D0" w14:textId="77777777" w:rsidTr="005F5AF7">
        <w:trPr>
          <w:trHeight w:val="312"/>
        </w:trPr>
        <w:tc>
          <w:tcPr>
            <w:tcW w:w="964" w:type="dxa"/>
            <w:tcBorders>
              <w:top w:val="nil"/>
              <w:left w:val="nil"/>
              <w:bottom w:val="single" w:sz="4" w:space="0" w:color="auto"/>
              <w:right w:val="nil"/>
            </w:tcBorders>
            <w:noWrap/>
            <w:vAlign w:val="bottom"/>
          </w:tcPr>
          <w:p w14:paraId="0D923257"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3CA1E0A3"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2933AD6D"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3E90EAC4"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743" w:type="dxa"/>
            <w:tcBorders>
              <w:top w:val="nil"/>
              <w:left w:val="nil"/>
              <w:bottom w:val="single" w:sz="4" w:space="0" w:color="auto"/>
              <w:right w:val="nil"/>
            </w:tcBorders>
            <w:noWrap/>
            <w:vAlign w:val="bottom"/>
          </w:tcPr>
          <w:p w14:paraId="588B3592"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276" w:type="dxa"/>
            <w:tcBorders>
              <w:top w:val="nil"/>
              <w:left w:val="nil"/>
              <w:bottom w:val="single" w:sz="4" w:space="0" w:color="auto"/>
              <w:right w:val="nil"/>
            </w:tcBorders>
            <w:noWrap/>
            <w:vAlign w:val="bottom"/>
          </w:tcPr>
          <w:p w14:paraId="6F93101B"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single" w:sz="4" w:space="0" w:color="auto"/>
              <w:right w:val="nil"/>
            </w:tcBorders>
            <w:noWrap/>
            <w:vAlign w:val="bottom"/>
          </w:tcPr>
          <w:p w14:paraId="77DDD57D"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single" w:sz="4" w:space="0" w:color="auto"/>
              <w:right w:val="nil"/>
            </w:tcBorders>
            <w:noWrap/>
            <w:vAlign w:val="bottom"/>
          </w:tcPr>
          <w:p w14:paraId="14541C04" w14:textId="77777777" w:rsidR="00DD57A3" w:rsidRPr="009611CD" w:rsidRDefault="00DD57A3" w:rsidP="005F5AF7">
            <w:pPr>
              <w:spacing w:after="0" w:line="240" w:lineRule="auto"/>
              <w:jc w:val="both"/>
              <w:rPr>
                <w:rFonts w:ascii="Times New Roman" w:eastAsia="Times New Roman" w:hAnsi="Times New Roman" w:cs="Times New Roman"/>
                <w:color w:val="000000"/>
                <w:sz w:val="24"/>
                <w:szCs w:val="24"/>
                <w:lang w:eastAsia="en-GB"/>
              </w:rPr>
            </w:pPr>
          </w:p>
        </w:tc>
      </w:tr>
    </w:tbl>
    <w:p w14:paraId="5CF17DE3"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37775B16" w14:textId="77777777" w:rsidR="00DD57A3" w:rsidRPr="00B95162"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On the table above, </w:t>
      </w:r>
      <w:r w:rsidRPr="00D55ACB">
        <w:rPr>
          <w:rFonts w:ascii="Times New Roman" w:eastAsia="Times New Roman" w:hAnsi="Times New Roman" w:cs="Times New Roman"/>
          <w:sz w:val="24"/>
          <w:szCs w:val="24"/>
          <w:lang w:val="en-US"/>
        </w:rPr>
        <w:t xml:space="preserve">all </w:t>
      </w:r>
      <w:r>
        <w:rPr>
          <w:rFonts w:ascii="Times New Roman" w:eastAsia="Times New Roman" w:hAnsi="Times New Roman" w:cs="Times New Roman"/>
          <w:sz w:val="24"/>
          <w:szCs w:val="24"/>
          <w:lang w:val="en-US"/>
        </w:rPr>
        <w:t>79</w:t>
      </w:r>
      <w:r w:rsidRPr="00D55ACB">
        <w:rPr>
          <w:rFonts w:ascii="Times New Roman" w:eastAsia="Times New Roman" w:hAnsi="Times New Roman" w:cs="Times New Roman"/>
          <w:sz w:val="24"/>
          <w:szCs w:val="24"/>
          <w:lang w:val="en-US"/>
        </w:rPr>
        <w:t xml:space="preserve"> respondents unanimously agreed on HPV vaccination's effectiveness against HPV-related disease</w:t>
      </w:r>
      <w:r>
        <w:rPr>
          <w:rFonts w:ascii="Times New Roman" w:eastAsia="Times New Roman" w:hAnsi="Times New Roman" w:cs="Times New Roman"/>
          <w:sz w:val="24"/>
          <w:szCs w:val="24"/>
          <w:lang w:val="en-US"/>
        </w:rPr>
        <w:t xml:space="preserve"> and </w:t>
      </w:r>
      <w:r w:rsidRPr="00D55ACB">
        <w:rPr>
          <w:rFonts w:ascii="Times New Roman" w:eastAsia="Times New Roman" w:hAnsi="Times New Roman" w:cs="Times New Roman"/>
          <w:sz w:val="24"/>
          <w:szCs w:val="24"/>
          <w:lang w:val="en-US"/>
        </w:rPr>
        <w:t xml:space="preserve">recognized its importance for public health. </w:t>
      </w:r>
      <w:r>
        <w:rPr>
          <w:rFonts w:ascii="Times New Roman" w:eastAsia="Times New Roman" w:hAnsi="Times New Roman" w:cs="Times New Roman"/>
          <w:sz w:val="24"/>
          <w:szCs w:val="24"/>
          <w:lang w:val="en-US"/>
        </w:rPr>
        <w:t>Majority,</w:t>
      </w:r>
      <w:r w:rsidRPr="00D55A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78</w:t>
      </w:r>
      <w:r w:rsidRPr="00D55ACB">
        <w:rPr>
          <w:rFonts w:ascii="Times New Roman" w:eastAsia="Times New Roman" w:hAnsi="Times New Roman" w:cs="Times New Roman"/>
          <w:sz w:val="24"/>
          <w:szCs w:val="24"/>
          <w:lang w:val="en-US"/>
        </w:rPr>
        <w:t xml:space="preserve"> (9</w:t>
      </w:r>
      <w:r>
        <w:rPr>
          <w:rFonts w:ascii="Times New Roman" w:eastAsia="Times New Roman" w:hAnsi="Times New Roman" w:cs="Times New Roman"/>
          <w:sz w:val="24"/>
          <w:szCs w:val="24"/>
          <w:lang w:val="en-US"/>
        </w:rPr>
        <w:t>8.8</w:t>
      </w:r>
      <w:r w:rsidRPr="00D55ACB">
        <w:rPr>
          <w:rFonts w:ascii="Times New Roman" w:eastAsia="Times New Roman" w:hAnsi="Times New Roman" w:cs="Times New Roman"/>
          <w:sz w:val="24"/>
          <w:szCs w:val="24"/>
          <w:lang w:val="en-US"/>
        </w:rPr>
        <w:t>%) agreed that increasing access to the vaccine would benefit public health.</w:t>
      </w:r>
      <w:r>
        <w:rPr>
          <w:rFonts w:ascii="Times New Roman" w:eastAsia="Times New Roman" w:hAnsi="Times New Roman" w:cs="Times New Roman"/>
          <w:sz w:val="24"/>
          <w:szCs w:val="24"/>
          <w:lang w:val="en-US"/>
        </w:rPr>
        <w:t xml:space="preserve"> Most of the respondents agreed that there are available educational resources to help them inform their patients on HPV vaccination.</w:t>
      </w:r>
      <w:r w:rsidRPr="00D55ACB">
        <w:rPr>
          <w:rFonts w:ascii="Times New Roman" w:eastAsia="Times New Roman" w:hAnsi="Times New Roman" w:cs="Times New Roman"/>
          <w:sz w:val="24"/>
          <w:szCs w:val="24"/>
          <w:lang w:val="en-US"/>
        </w:rPr>
        <w:t xml:space="preserve"> Despite this, </w:t>
      </w:r>
      <w:r>
        <w:rPr>
          <w:rFonts w:ascii="Times New Roman" w:eastAsia="Times New Roman" w:hAnsi="Times New Roman" w:cs="Times New Roman"/>
          <w:sz w:val="24"/>
          <w:szCs w:val="24"/>
          <w:lang w:val="en-US"/>
        </w:rPr>
        <w:t>46</w:t>
      </w:r>
      <w:r w:rsidRPr="00D55ACB">
        <w:rPr>
          <w:rFonts w:ascii="Times New Roman" w:eastAsia="Times New Roman" w:hAnsi="Times New Roman" w:cs="Times New Roman"/>
          <w:sz w:val="24"/>
          <w:szCs w:val="24"/>
          <w:lang w:val="en-US"/>
        </w:rPr>
        <w:t xml:space="preserve"> (5</w:t>
      </w:r>
      <w:r>
        <w:rPr>
          <w:rFonts w:ascii="Times New Roman" w:eastAsia="Times New Roman" w:hAnsi="Times New Roman" w:cs="Times New Roman"/>
          <w:sz w:val="24"/>
          <w:szCs w:val="24"/>
          <w:lang w:val="en-US"/>
        </w:rPr>
        <w:t>8.2</w:t>
      </w:r>
      <w:r w:rsidRPr="00D55ACB">
        <w:rPr>
          <w:rFonts w:ascii="Times New Roman" w:eastAsia="Times New Roman" w:hAnsi="Times New Roman" w:cs="Times New Roman"/>
          <w:sz w:val="24"/>
          <w:szCs w:val="24"/>
          <w:lang w:val="en-US"/>
        </w:rPr>
        <w:t>%) disagreed that there</w:t>
      </w:r>
      <w:r>
        <w:rPr>
          <w:rFonts w:ascii="Times New Roman" w:eastAsia="Times New Roman" w:hAnsi="Times New Roman" w:cs="Times New Roman"/>
          <w:sz w:val="24"/>
          <w:szCs w:val="24"/>
          <w:lang w:val="en-US"/>
        </w:rPr>
        <w:t xml:space="preserve"> is sufficient evidence to support the safety of the vaccine and 40 (50.6) also disagreed that there</w:t>
      </w:r>
      <w:r w:rsidRPr="00D55ACB">
        <w:rPr>
          <w:rFonts w:ascii="Times New Roman" w:eastAsia="Times New Roman" w:hAnsi="Times New Roman" w:cs="Times New Roman"/>
          <w:sz w:val="24"/>
          <w:szCs w:val="24"/>
          <w:lang w:val="en-US"/>
        </w:rPr>
        <w:t xml:space="preserve"> are positive societal attitudes toward HPV vaccination.</w:t>
      </w:r>
    </w:p>
    <w:p w14:paraId="78EE2ADD" w14:textId="77777777" w:rsidR="00DD57A3" w:rsidRPr="00D55ACB" w:rsidRDefault="00DD57A3" w:rsidP="00DD57A3">
      <w:pPr>
        <w:spacing w:after="0" w:line="240" w:lineRule="auto"/>
        <w:jc w:val="both"/>
        <w:rPr>
          <w:rFonts w:ascii="Times New Roman" w:hAnsi="Times New Roman" w:cs="Times New Roman"/>
          <w:sz w:val="24"/>
          <w:szCs w:val="24"/>
        </w:rPr>
      </w:pPr>
    </w:p>
    <w:p w14:paraId="63EF5240" w14:textId="77777777" w:rsidR="00DD57A3" w:rsidRDefault="00DD57A3" w:rsidP="00DD57A3">
      <w:pPr>
        <w:spacing w:before="240"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On the table above, a</w:t>
      </w:r>
      <w:r w:rsidRPr="00900777">
        <w:rPr>
          <w:rFonts w:ascii="Times New Roman" w:hAnsi="Times New Roman" w:cs="Times New Roman"/>
          <w:sz w:val="24"/>
          <w:szCs w:val="24"/>
          <w:lang w:bidi="en-US"/>
        </w:rPr>
        <w:t xml:space="preserve">ll 79 respondents supported HPV vaccination, agreed on its integration into routine immunization, and expressed willingness to recommend it. </w:t>
      </w:r>
      <w:r>
        <w:rPr>
          <w:rFonts w:ascii="Times New Roman" w:hAnsi="Times New Roman" w:cs="Times New Roman"/>
          <w:sz w:val="24"/>
          <w:szCs w:val="24"/>
          <w:lang w:bidi="en-US"/>
        </w:rPr>
        <w:t>Also, all 79 (</w:t>
      </w:r>
      <w:r w:rsidRPr="00900777">
        <w:rPr>
          <w:rFonts w:ascii="Times New Roman" w:hAnsi="Times New Roman" w:cs="Times New Roman"/>
          <w:sz w:val="24"/>
          <w:szCs w:val="24"/>
          <w:lang w:bidi="en-US"/>
        </w:rPr>
        <w:t>100%</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respondents </w:t>
      </w:r>
      <w:r w:rsidRPr="00900777">
        <w:rPr>
          <w:rFonts w:ascii="Times New Roman" w:hAnsi="Times New Roman" w:cs="Times New Roman"/>
          <w:sz w:val="24"/>
          <w:szCs w:val="24"/>
          <w:lang w:bidi="en-US"/>
        </w:rPr>
        <w:t>advocated for increased education</w:t>
      </w:r>
      <w:r>
        <w:rPr>
          <w:rFonts w:ascii="Times New Roman" w:hAnsi="Times New Roman" w:cs="Times New Roman"/>
          <w:sz w:val="24"/>
          <w:szCs w:val="24"/>
          <w:lang w:bidi="en-US"/>
        </w:rPr>
        <w:t xml:space="preserve"> about the HPV vaccine, most 78</w:t>
      </w:r>
      <w:r w:rsidRPr="00900777">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98.7%</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wanted the vaccine more readily available. Only </w:t>
      </w:r>
      <w:r>
        <w:rPr>
          <w:rFonts w:ascii="Times New Roman" w:hAnsi="Times New Roman" w:cs="Times New Roman"/>
          <w:sz w:val="24"/>
          <w:szCs w:val="24"/>
          <w:lang w:bidi="en-US"/>
        </w:rPr>
        <w:t>26 (</w:t>
      </w:r>
      <w:r w:rsidRPr="00900777">
        <w:rPr>
          <w:rFonts w:ascii="Times New Roman" w:hAnsi="Times New Roman" w:cs="Times New Roman"/>
          <w:sz w:val="24"/>
          <w:szCs w:val="24"/>
          <w:lang w:bidi="en-US"/>
        </w:rPr>
        <w:t>33.3%</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had received the vaccine, </w:t>
      </w:r>
      <w:r>
        <w:rPr>
          <w:rFonts w:ascii="Times New Roman" w:hAnsi="Times New Roman" w:cs="Times New Roman"/>
          <w:sz w:val="24"/>
          <w:szCs w:val="24"/>
          <w:lang w:bidi="en-US"/>
        </w:rPr>
        <w:t>and a majority 49 (</w:t>
      </w:r>
      <w:r w:rsidRPr="00900777">
        <w:rPr>
          <w:rFonts w:ascii="Times New Roman" w:hAnsi="Times New Roman" w:cs="Times New Roman"/>
          <w:sz w:val="24"/>
          <w:szCs w:val="24"/>
          <w:lang w:bidi="en-US"/>
        </w:rPr>
        <w:t>62%</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were willing to address myths</w:t>
      </w:r>
      <w:r>
        <w:rPr>
          <w:rFonts w:ascii="Times New Roman" w:hAnsi="Times New Roman" w:cs="Times New Roman"/>
          <w:sz w:val="24"/>
          <w:szCs w:val="24"/>
          <w:lang w:bidi="en-US"/>
        </w:rPr>
        <w:t xml:space="preserve"> and misconceptions surrounding HPV vaccination among their patients.</w:t>
      </w:r>
    </w:p>
    <w:p w14:paraId="6F3345BA" w14:textId="77777777" w:rsidR="00DD57A3" w:rsidRDefault="00DD57A3" w:rsidP="00DD57A3">
      <w:pPr>
        <w:spacing w:before="240" w:after="0" w:line="240" w:lineRule="auto"/>
        <w:jc w:val="both"/>
        <w:rPr>
          <w:rFonts w:ascii="Times New Roman" w:hAnsi="Times New Roman" w:cs="Times New Roman"/>
          <w:sz w:val="24"/>
          <w:szCs w:val="24"/>
          <w:lang w:bidi="en-US"/>
        </w:rPr>
      </w:pPr>
      <w:r>
        <w:rPr>
          <w:noProof/>
          <w14:ligatures w14:val="standardContextual"/>
        </w:rPr>
        <w:drawing>
          <wp:inline distT="0" distB="0" distL="0" distR="0" wp14:anchorId="39F7B97E" wp14:editId="6F93FC4C">
            <wp:extent cx="4821382" cy="3181507"/>
            <wp:effectExtent l="0" t="0" r="17780" b="0"/>
            <wp:docPr id="2045510697" name="Chart 1">
              <a:extLst xmlns:a="http://schemas.openxmlformats.org/drawingml/2006/main">
                <a:ext uri="{FF2B5EF4-FFF2-40B4-BE49-F238E27FC236}">
                  <a16:creationId xmlns:a16="http://schemas.microsoft.com/office/drawing/2014/main" id="{E30814E6-07DF-0D8C-BFF3-B67531065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06E0AA" w14:textId="77777777" w:rsidR="00DD57A3" w:rsidRDefault="00DD57A3" w:rsidP="00DD57A3">
      <w:pPr>
        <w:spacing w:after="0" w:line="240" w:lineRule="auto"/>
        <w:jc w:val="both"/>
        <w:rPr>
          <w:rFonts w:ascii="Times New Roman" w:hAnsi="Times New Roman" w:cs="Times New Roman"/>
          <w:b/>
          <w:bCs/>
          <w:sz w:val="24"/>
          <w:szCs w:val="24"/>
          <w:lang w:bidi="en-US"/>
        </w:rPr>
      </w:pPr>
    </w:p>
    <w:p w14:paraId="2BE5A968" w14:textId="042F4BC6" w:rsidR="00DD57A3" w:rsidRDefault="00DD57A3" w:rsidP="00DD57A3">
      <w:pPr>
        <w:spacing w:after="0" w:line="240" w:lineRule="auto"/>
        <w:jc w:val="both"/>
        <w:rPr>
          <w:rFonts w:ascii="Times New Roman" w:hAnsi="Times New Roman" w:cs="Times New Roman"/>
          <w:b/>
          <w:bCs/>
          <w:sz w:val="24"/>
          <w:szCs w:val="24"/>
          <w:lang w:bidi="en-US"/>
        </w:rPr>
      </w:pPr>
      <w:r w:rsidRPr="00030432">
        <w:rPr>
          <w:rFonts w:ascii="Times New Roman" w:hAnsi="Times New Roman" w:cs="Times New Roman"/>
          <w:b/>
          <w:bCs/>
          <w:sz w:val="24"/>
          <w:szCs w:val="24"/>
          <w:lang w:bidi="en-US"/>
        </w:rPr>
        <w:t xml:space="preserve">Fig </w:t>
      </w:r>
      <w:r w:rsidR="00E64020">
        <w:rPr>
          <w:rFonts w:ascii="Times New Roman" w:hAnsi="Times New Roman" w:cs="Times New Roman"/>
          <w:b/>
          <w:bCs/>
          <w:sz w:val="24"/>
          <w:szCs w:val="24"/>
          <w:lang w:bidi="en-US"/>
        </w:rPr>
        <w:t>4</w:t>
      </w:r>
      <w:r w:rsidRPr="00030432">
        <w:rPr>
          <w:rFonts w:ascii="Times New Roman" w:hAnsi="Times New Roman" w:cs="Times New Roman"/>
          <w:b/>
          <w:bCs/>
          <w:sz w:val="24"/>
          <w:szCs w:val="24"/>
          <w:lang w:bidi="en-US"/>
        </w:rPr>
        <w:t xml:space="preserve"> </w:t>
      </w:r>
      <w:r>
        <w:rPr>
          <w:rFonts w:ascii="Times New Roman" w:hAnsi="Times New Roman" w:cs="Times New Roman"/>
          <w:b/>
          <w:bCs/>
          <w:sz w:val="24"/>
          <w:szCs w:val="24"/>
          <w:lang w:bidi="en-US"/>
        </w:rPr>
        <w:t>Respondents' responses</w:t>
      </w:r>
      <w:r w:rsidRPr="00030432">
        <w:rPr>
          <w:rFonts w:ascii="Times New Roman" w:hAnsi="Times New Roman" w:cs="Times New Roman"/>
          <w:b/>
          <w:bCs/>
          <w:sz w:val="24"/>
          <w:szCs w:val="24"/>
          <w:lang w:bidi="en-US"/>
        </w:rPr>
        <w:t xml:space="preserve"> on </w:t>
      </w:r>
      <w:r>
        <w:rPr>
          <w:rFonts w:ascii="Times New Roman" w:hAnsi="Times New Roman" w:cs="Times New Roman"/>
          <w:b/>
          <w:bCs/>
          <w:sz w:val="24"/>
          <w:szCs w:val="24"/>
          <w:lang w:bidi="en-US"/>
        </w:rPr>
        <w:t xml:space="preserve">factors influencing the acceptability of </w:t>
      </w:r>
      <w:r w:rsidRPr="00030432">
        <w:rPr>
          <w:rFonts w:ascii="Times New Roman" w:hAnsi="Times New Roman" w:cs="Times New Roman"/>
          <w:b/>
          <w:bCs/>
          <w:sz w:val="24"/>
          <w:szCs w:val="24"/>
          <w:lang w:bidi="en-US"/>
        </w:rPr>
        <w:t xml:space="preserve">HPV </w:t>
      </w:r>
      <w:r>
        <w:rPr>
          <w:rFonts w:ascii="Times New Roman" w:hAnsi="Times New Roman" w:cs="Times New Roman"/>
          <w:b/>
          <w:bCs/>
          <w:sz w:val="24"/>
          <w:szCs w:val="24"/>
          <w:lang w:bidi="en-US"/>
        </w:rPr>
        <w:t>Vaccine</w:t>
      </w:r>
    </w:p>
    <w:p w14:paraId="24A0D7D8" w14:textId="77777777" w:rsidR="00DD57A3" w:rsidRDefault="00DD57A3" w:rsidP="00DD57A3">
      <w:pPr>
        <w:spacing w:after="0" w:line="240" w:lineRule="auto"/>
        <w:jc w:val="both"/>
        <w:rPr>
          <w:rFonts w:ascii="Times New Roman" w:hAnsi="Times New Roman" w:cs="Times New Roman"/>
          <w:sz w:val="24"/>
          <w:szCs w:val="24"/>
          <w:lang w:bidi="en-US"/>
        </w:rPr>
      </w:pPr>
    </w:p>
    <w:p w14:paraId="498543DF" w14:textId="77777777" w:rsidR="00DD57A3" w:rsidRDefault="00DD57A3" w:rsidP="00DD57A3">
      <w:pPr>
        <w:spacing w:after="0" w:line="240" w:lineRule="auto"/>
        <w:jc w:val="both"/>
        <w:rPr>
          <w:rFonts w:ascii="Times New Roman" w:hAnsi="Times New Roman" w:cs="Times New Roman"/>
          <w:sz w:val="24"/>
          <w:szCs w:val="24"/>
          <w:lang w:bidi="en-US"/>
        </w:rPr>
      </w:pPr>
      <w:r w:rsidRPr="00342559">
        <w:rPr>
          <w:rFonts w:ascii="Times New Roman" w:hAnsi="Times New Roman" w:cs="Times New Roman"/>
          <w:sz w:val="24"/>
          <w:szCs w:val="24"/>
          <w:lang w:bidi="en-US"/>
        </w:rPr>
        <w:t xml:space="preserve">The figure above indicates that the majority, </w:t>
      </w:r>
      <w:r>
        <w:rPr>
          <w:rFonts w:ascii="Times New Roman" w:hAnsi="Times New Roman" w:cs="Times New Roman"/>
          <w:sz w:val="24"/>
          <w:szCs w:val="24"/>
          <w:lang w:bidi="en-US"/>
        </w:rPr>
        <w:t>53 (</w:t>
      </w:r>
      <w:r w:rsidRPr="00342559">
        <w:rPr>
          <w:rFonts w:ascii="Times New Roman" w:hAnsi="Times New Roman" w:cs="Times New Roman"/>
          <w:sz w:val="24"/>
          <w:szCs w:val="24"/>
          <w:lang w:bidi="en-US"/>
        </w:rPr>
        <w:t>67.1%</w:t>
      </w:r>
      <w:r>
        <w:rPr>
          <w:rFonts w:ascii="Times New Roman" w:hAnsi="Times New Roman" w:cs="Times New Roman"/>
          <w:sz w:val="24"/>
          <w:szCs w:val="24"/>
          <w:lang w:bidi="en-US"/>
        </w:rPr>
        <w:t>)</w:t>
      </w:r>
      <w:r w:rsidRPr="00342559">
        <w:rPr>
          <w:rFonts w:ascii="Times New Roman" w:hAnsi="Times New Roman" w:cs="Times New Roman"/>
          <w:sz w:val="24"/>
          <w:szCs w:val="24"/>
          <w:lang w:bidi="en-US"/>
        </w:rPr>
        <w:t xml:space="preserve">, identified concerns about safety and potential side effects as a key factor influencing HPV vaccine acceptability. </w:t>
      </w:r>
      <w:r>
        <w:rPr>
          <w:rFonts w:ascii="Times New Roman" w:hAnsi="Times New Roman" w:cs="Times New Roman"/>
          <w:sz w:val="24"/>
          <w:szCs w:val="24"/>
          <w:lang w:bidi="en-US"/>
        </w:rPr>
        <w:t>Also</w:t>
      </w:r>
      <w:r w:rsidRPr="00342559">
        <w:rPr>
          <w:rFonts w:ascii="Times New Roman" w:hAnsi="Times New Roman" w:cs="Times New Roman"/>
          <w:sz w:val="24"/>
          <w:szCs w:val="24"/>
          <w:lang w:bidi="en-US"/>
        </w:rPr>
        <w:t xml:space="preserve">, </w:t>
      </w:r>
      <w:r>
        <w:rPr>
          <w:rFonts w:ascii="Times New Roman" w:hAnsi="Times New Roman" w:cs="Times New Roman"/>
          <w:sz w:val="24"/>
          <w:szCs w:val="24"/>
          <w:lang w:bidi="en-US"/>
        </w:rPr>
        <w:t>49</w:t>
      </w:r>
      <w:r w:rsidRPr="00342559">
        <w:rPr>
          <w:rFonts w:ascii="Times New Roman" w:hAnsi="Times New Roman" w:cs="Times New Roman"/>
          <w:sz w:val="24"/>
          <w:szCs w:val="24"/>
          <w:lang w:bidi="en-US"/>
        </w:rPr>
        <w:t xml:space="preserve">% pointed to the availability of information on the vaccine, and 44.3% </w:t>
      </w:r>
      <w:r>
        <w:rPr>
          <w:rFonts w:ascii="Times New Roman" w:hAnsi="Times New Roman" w:cs="Times New Roman"/>
          <w:sz w:val="24"/>
          <w:szCs w:val="24"/>
          <w:lang w:bidi="en-US"/>
        </w:rPr>
        <w:t>their</w:t>
      </w:r>
      <w:r w:rsidRPr="00342559">
        <w:rPr>
          <w:rFonts w:ascii="Times New Roman" w:hAnsi="Times New Roman" w:cs="Times New Roman"/>
          <w:sz w:val="24"/>
          <w:szCs w:val="24"/>
          <w:lang w:bidi="en-US"/>
        </w:rPr>
        <w:t xml:space="preserve"> belief in its effectiveness</w:t>
      </w:r>
      <w:r>
        <w:rPr>
          <w:rFonts w:ascii="Times New Roman" w:hAnsi="Times New Roman" w:cs="Times New Roman"/>
          <w:sz w:val="24"/>
          <w:szCs w:val="24"/>
          <w:lang w:bidi="en-US"/>
        </w:rPr>
        <w:t xml:space="preserve"> as a factor influencing their acceptability of the vaccine</w:t>
      </w:r>
      <w:r w:rsidRPr="00342559">
        <w:rPr>
          <w:rFonts w:ascii="Times New Roman" w:hAnsi="Times New Roman" w:cs="Times New Roman"/>
          <w:sz w:val="24"/>
          <w:szCs w:val="24"/>
          <w:lang w:bidi="en-US"/>
        </w:rPr>
        <w:t>. A small proportion, 2.5%, mentioned cost as a factor, while 17.7% provided no specific reasons.</w:t>
      </w:r>
    </w:p>
    <w:p w14:paraId="1889AA04" w14:textId="77777777" w:rsidR="00DD57A3" w:rsidRDefault="00DD57A3" w:rsidP="00DD57A3">
      <w:pPr>
        <w:spacing w:after="0" w:line="240" w:lineRule="auto"/>
        <w:jc w:val="both"/>
        <w:rPr>
          <w:rFonts w:ascii="Times New Roman" w:hAnsi="Times New Roman" w:cs="Times New Roman"/>
          <w:sz w:val="24"/>
          <w:szCs w:val="24"/>
          <w:lang w:bidi="en-US"/>
        </w:rPr>
      </w:pPr>
    </w:p>
    <w:p w14:paraId="744C136C" w14:textId="77777777" w:rsidR="00DD57A3" w:rsidRPr="00030432" w:rsidRDefault="00DD57A3" w:rsidP="00DD57A3">
      <w:pPr>
        <w:spacing w:after="0" w:line="240" w:lineRule="auto"/>
        <w:jc w:val="both"/>
        <w:rPr>
          <w:rFonts w:ascii="Times New Roman" w:hAnsi="Times New Roman" w:cs="Times New Roman"/>
          <w:sz w:val="24"/>
          <w:szCs w:val="24"/>
          <w:lang w:bidi="en-US"/>
        </w:rPr>
      </w:pPr>
    </w:p>
    <w:p w14:paraId="25920A60" w14:textId="77777777" w:rsidR="00DD57A3" w:rsidRPr="001508BC" w:rsidRDefault="00DD57A3" w:rsidP="00DD57A3">
      <w:pPr>
        <w:spacing w:before="100" w:beforeAutospacing="1" w:after="0" w:line="240" w:lineRule="auto"/>
        <w:jc w:val="both"/>
        <w:rPr>
          <w:rFonts w:ascii="Times New Roman" w:hAnsi="Times New Roman" w:cs="Times New Roman"/>
          <w:b/>
          <w:bCs/>
          <w:sz w:val="24"/>
          <w:szCs w:val="24"/>
          <w:lang w:bidi="en-US"/>
        </w:rPr>
      </w:pPr>
      <w:r w:rsidRPr="00B42105">
        <w:rPr>
          <w:rFonts w:ascii="Times New Roman" w:hAnsi="Times New Roman" w:cs="Times New Roman"/>
          <w:b/>
          <w:bCs/>
          <w:sz w:val="24"/>
          <w:szCs w:val="24"/>
          <w:highlight w:val="yellow"/>
          <w:lang w:bidi="en-US"/>
        </w:rPr>
        <w:t>Hypothesis</w:t>
      </w:r>
    </w:p>
    <w:p w14:paraId="6EA4CD54" w14:textId="77777777" w:rsidR="00DD57A3" w:rsidRPr="009534C5" w:rsidRDefault="00DD57A3" w:rsidP="00DD57A3">
      <w:pPr>
        <w:spacing w:before="100" w:beforeAutospacing="1" w:after="0" w:line="240" w:lineRule="auto"/>
        <w:jc w:val="both"/>
        <w:rPr>
          <w:rFonts w:ascii="Times New Roman" w:hAnsi="Times New Roman" w:cs="Times New Roman"/>
          <w:bCs/>
          <w:sz w:val="24"/>
          <w:szCs w:val="24"/>
        </w:rPr>
      </w:pPr>
      <w:r>
        <w:rPr>
          <w:rFonts w:ascii="Times New Roman" w:hAnsi="Times New Roman" w:cs="Times New Roman"/>
          <w:bCs/>
          <w:sz w:val="24"/>
          <w:szCs w:val="24"/>
          <w:lang w:bidi="en-US"/>
        </w:rPr>
        <w:t>Statistical analysis showed</w:t>
      </w:r>
      <w:r w:rsidRPr="009534C5">
        <w:rPr>
          <w:rFonts w:ascii="Times New Roman" w:hAnsi="Times New Roman" w:cs="Times New Roman"/>
          <w:bCs/>
          <w:sz w:val="24"/>
          <w:szCs w:val="24"/>
          <w:lang w:bidi="en-US"/>
        </w:rPr>
        <w:t xml:space="preserve"> significant association between years of experience and acceptability of HPV vaccination among respondents (χ² = 21.407, df = 8, p = 0.006). Overall, 57 (72.2%) respondents had high acceptability, while 22 (27.8%) had low acceptability. Higher proportions of respondents with longer years of experience (particularly those with more than 10 years) demonstrated high acceptability compared to those with fewer years of experience. This indicates a positive relationship, suggesting that acceptability of HPV vaccination increases with increasing years of professional experience.</w:t>
      </w:r>
    </w:p>
    <w:p w14:paraId="43660228"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r w:rsidRPr="00D55ACB">
        <w:rPr>
          <w:rFonts w:ascii="Times New Roman" w:hAnsi="Times New Roman" w:cs="Times New Roman"/>
          <w:b/>
          <w:sz w:val="24"/>
          <w:szCs w:val="24"/>
        </w:rPr>
        <w:tab/>
      </w:r>
    </w:p>
    <w:p w14:paraId="3B6D8F13"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5169DDF"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FB36945"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20DA869C"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A6AE2F7"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19204D4"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09D036D3"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13D3EF3B" w14:textId="77777777" w:rsidR="00DD57A3" w:rsidRPr="00D55ACB" w:rsidRDefault="00DD57A3" w:rsidP="00DD57A3">
      <w:pPr>
        <w:tabs>
          <w:tab w:val="center" w:pos="4680"/>
          <w:tab w:val="right" w:pos="9360"/>
        </w:tabs>
        <w:spacing w:after="0" w:line="240" w:lineRule="auto"/>
        <w:jc w:val="both"/>
        <w:rPr>
          <w:rFonts w:ascii="Times New Roman" w:hAnsi="Times New Roman" w:cs="Times New Roman"/>
          <w:b/>
          <w:sz w:val="24"/>
          <w:szCs w:val="24"/>
        </w:rPr>
      </w:pPr>
      <w:r w:rsidRPr="00D55ACB">
        <w:rPr>
          <w:rFonts w:ascii="Times New Roman" w:hAnsi="Times New Roman" w:cs="Times New Roman"/>
          <w:b/>
          <w:sz w:val="24"/>
          <w:szCs w:val="24"/>
        </w:rPr>
        <w:t xml:space="preserve">DISCUSSION </w:t>
      </w:r>
      <w:r w:rsidRPr="00D55ACB">
        <w:rPr>
          <w:rFonts w:ascii="Times New Roman" w:hAnsi="Times New Roman" w:cs="Times New Roman"/>
          <w:b/>
          <w:sz w:val="24"/>
          <w:szCs w:val="24"/>
        </w:rPr>
        <w:tab/>
      </w:r>
    </w:p>
    <w:p w14:paraId="448D7536" w14:textId="77777777" w:rsidR="00DD57A3" w:rsidRDefault="00DD57A3" w:rsidP="00DD57A3">
      <w:pPr>
        <w:pStyle w:val="NormalWeb"/>
        <w:jc w:val="both"/>
      </w:pPr>
      <w:r>
        <w:t>The present study provides important insights into the knowledge, perceptions, and attitudes of primary healthcare workers (PHCWs) regarding human papillomavirus (HPV) vaccination in Nigeria, while situating these findings within broader African and global evidence.</w:t>
      </w:r>
    </w:p>
    <w:p w14:paraId="01D67D1A" w14:textId="77777777" w:rsidR="00DD57A3" w:rsidRDefault="00DD57A3" w:rsidP="00DD57A3">
      <w:pPr>
        <w:pStyle w:val="NormalWeb"/>
        <w:jc w:val="both"/>
      </w:pPr>
      <w:r>
        <w:t xml:space="preserve">The study population was predominantly composed of mid, career, female, married, Christian PHCWs of Yoruba ethnicity, with substantial experience in primary healthcare. The mean age of 41.1 ± 0.90 years and the high proportion of females (84.8%) reflect the gendered composition of the nursing and primary healthcare workforce in southern Nigeria. Similar demographic patterns have been reported in studies conducted in Lagos and Ogun States, Nigeria, where healthcare providers and caregivers were largely women in their 30s to 40s, married, and actively engaged in primary care delivery </w:t>
      </w:r>
      <w:r>
        <w:fldChar w:fldCharType="begin"/>
      </w:r>
      <w:r>
        <w:instrText xml:space="preserve"> ADDIN ZOTERO_ITEM CSL_CITATION {"citationID":"HFluBg1o","properties":{"formattedCitation":"(Adejimi et al., 2019; Olubodun et al., 2024)","plainCitation":"(Adejimi et al., 2019; Olubodun et al., 2024)","noteIndex":0},"citationItems":[{"id":1003,"uris":["http://zotero.org/users/local/JDPtEcoO/items/9MAH8QUP"],"itemData":{"id":1003,"type":"document","publisher":"BMJ Publishing Group Ltd","source":"Google Scholar","title":"O17. 6 Parents’/healthcare providers’ knowledge, attitude and perception of school-based HPV vaccination program in lagos, nigeria","URL":"https://sti.bmj.com/content/95/Suppl_1/A79.2.abstract","author":[{"family":"Adejimi","given":"Adebola"},{"family":"Onasanya","given":"Monsurat"},{"family":"Akodu","given":"Babatunde"}],"accessed":{"date-parts":[["2026",3,20]]},"issued":{"date-parts":[["2019"]]}}},{"id":1019,"uris":["http://zotero.org/users/local/JDPtEcoO/items/AB4ET8PE"],"itemData":{"id":1019,"type":"article-journal","container-title":"Reproductive Health","DOI":"10.1186/s12978-024-01913-y","ISSN":"1742-4755","issue":"1","journalAbbreviation":"Reprod Health","language":"en","page":"179","source":"DOI.org (Crossref)","title":"HPV vaccine knowledge, attitude, and programme satisfaction among parents and caregivers of vaccine recipients in Ogun state Nigeria","volume":"21","author":[{"family":"Olubodun","given":"Tope"},{"family":"Ogunsola","given":"Elijah Ayowole"},{"family":"Coker","given":"Marcellina Olutomi"},{"family":"Olayinka","given":"Surajudeen Adekunle"},{"family":"Elegbede","given":"Waheed Àlàmú"},{"family":"Ojediran","given":"Joke Oluwatoyin"},{"family":"Olajide","given":"Kofoworola B."},{"family":"Sanni","given":"Salimat Bola"},{"family":"Oluwadare","given":"Temitope Olawumi"},{"family":"Inetagbo","given":"Oluwaseun Temitope"},{"family":"Balogun","given":"Mobolanle Rasheedat"},{"family":"Owolabi","given":"Onikepe Oluwadamilola"},{"family":"Anyadiegwu-Bello","given":"Catherine Chidimma"},{"family":"Runsewe","given":"Olukayode Abiodun"},{"family":"Temitayo-Oboh","given":"Abiola Oluwatoyin"},{"family":"Soyannwo","given":"Tolulope"},{"family":"Ogunsiji","given":"Oluwaseun Bisola"},{"family":"Banke-Thomas","given":"Aduragbemi"}],"issued":{"date-parts":[["2024",12,4]]}}}],"schema":"https://github.com/citation-style-language/schema/raw/master/csl-citation.json"} </w:instrText>
      </w:r>
      <w:r>
        <w:fldChar w:fldCharType="separate"/>
      </w:r>
      <w:r w:rsidRPr="00F050A7">
        <w:t>(Adejimi et al., 2019; Olubodun et al., 2024)</w:t>
      </w:r>
      <w:r>
        <w:fldChar w:fldCharType="end"/>
      </w:r>
      <w:r>
        <w:t xml:space="preserve">. Across sub-Saharan Africa, PHCWs are also predominantly female and mid-career professionals, suggesting that the present sample is broadly representative of similar settings </w:t>
      </w:r>
      <w:r>
        <w:fldChar w:fldCharType="begin"/>
      </w:r>
      <w:r>
        <w:instrText xml:space="preserve"> ADDIN ZOTERO_ITEM CSL_CITATION {"citationID":"Fe70lqxY","properties":{"formattedCitation":"(Bakare et al., 2024; Balogun &amp; Omotade, 2022; Deignan et al., 2021)","plainCitation":"(Bakare et al., 2024; Balogun &amp; Omotade, 2022; Deignan et al., 2021)","noteIndex":0},"citationItems":[{"id":1006,"uris":["http://zotero.org/users/local/JDPtEcoO/items/QI53CUWW"],"itemData":{"id":1006,"type":"article-journal","container-title":"Human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O."}],"issued":{"date-parts":[["2022",12]]}}},{"id":1011,"uris":["http://zotero.org/users/local/JDPtEcoO/items/3WAHLACD"],"itemData":{"id":1011,"type":"article-journal","container-title":"Vaccines","issue":"5","page":"496","publisher":"MDPI","source":"Google Scholar","title":"Stakeholders’ understandings of human papillomavirus (HPV) vaccination in sub-Saharan Africa: a rapid qualitative systematic review","title-short":"Stakeholders’ understandings of human papillomavirus (HPV) vaccination in sub-Saharan Africa","volume":"9","author":[{"family":"Deignan","given":"Caroline"},{"family":"Swartz","given":"Alison"},{"family":"Cooper","given":"Sara"},{"family":"Colvin","given":"Christopher J."}],"issued":{"date-parts":[["2021"]]}}}],"schema":"https://github.com/citation-style-language/schema/raw/master/csl-citation.json"} </w:instrText>
      </w:r>
      <w:r>
        <w:fldChar w:fldCharType="separate"/>
      </w:r>
      <w:r w:rsidRPr="00343D08">
        <w:t>(Bakare et al., 2024; Balogun &amp; Omotade, 2022; Deignan et al., 2021)</w:t>
      </w:r>
      <w:r>
        <w:fldChar w:fldCharType="end"/>
      </w:r>
      <w:r>
        <w:t>.</w:t>
      </w:r>
    </w:p>
    <w:p w14:paraId="1C89F1D0" w14:textId="77777777" w:rsidR="00DD57A3" w:rsidRDefault="00DD57A3" w:rsidP="00DD57A3">
      <w:pPr>
        <w:pStyle w:val="NormalWeb"/>
        <w:jc w:val="both"/>
      </w:pPr>
      <w:r>
        <w:t xml:space="preserve">A key finding is the universal awareness (100%) of HPV vaccination among respondents, including knowledge of its availability in Nigeria and the recommended age group of 9 to 14 years. This level of awareness exceeds that reported in Anambra State, Nigeria, where 91.6% of healthcare workers demonstrated adequate knowledge of HPV vaccination </w:t>
      </w:r>
      <w:r>
        <w:fldChar w:fldCharType="begin"/>
      </w:r>
      <w:r>
        <w:instrText xml:space="preserve"> ADDIN ZOTERO_ITEM CSL_CITATION {"citationID":"99g6uQoK","properties":{"formattedCitation":"(Nguyen et al., 2020)","plainCitation":"(Nguyen et al., 2020)","noteIndex":0},"citationItems":[{"id":688,"uris":["http://zotero.org/users/local/JDPtEcoO/items/NNX6D4CS"],"itemData":{"id":688,"type":"article-journal","abstract":"Cervical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schema":"https://github.com/citation-style-language/schema/raw/master/csl-citation.json"} </w:instrText>
      </w:r>
      <w:r>
        <w:fldChar w:fldCharType="separate"/>
      </w:r>
      <w:r w:rsidRPr="007D0690">
        <w:t>(Nguyen et al., 2020)</w:t>
      </w:r>
      <w:r>
        <w:fldChar w:fldCharType="end"/>
      </w:r>
      <w:r>
        <w:t xml:space="preserve">. The high awareness observed may reflect increasing national advocacy and integration of HPV vaccination into routine immunization programmes. However, important knowledge gaps persist. Notably, 59.5% of respondents believed HPV infection affects only females, reflecting a misconception also documented among Nigerian healthcare workers </w:t>
      </w:r>
      <w:r>
        <w:fldChar w:fldCharType="begin"/>
      </w:r>
      <w:r>
        <w:instrText xml:space="preserve"> ADDIN ZOTERO_ITEM CSL_CITATION {"citationID":"XWadJlZs","properties":{"unsorted":true,"formattedCitation":"(Nguyen et al., 2020; Balogun &amp; Omotade, 2022)","plainCitation":"(Nguyen et al., 2020; Balogun &amp; Omotade, 2022)","noteIndex":0},"citationItems":[{"id":688,"uris":["http://zotero.org/users/local/JDPtEcoO/items/NNX6D4CS"],"itemData":{"id":688,"type":"article-journal","abstract":"Cervical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O."}],"issued":{"date-parts":[["2022",12]]}}}],"schema":"https://github.com/citation-style-language/schema/raw/master/csl-citation.json"} </w:instrText>
      </w:r>
      <w:r>
        <w:fldChar w:fldCharType="separate"/>
      </w:r>
      <w:r w:rsidRPr="00591B24">
        <w:t>(Nguyen et al., 2020; Balogun &amp; Omotade, 2022)</w:t>
      </w:r>
      <w:r>
        <w:fldChar w:fldCharType="end"/>
      </w:r>
      <w:r>
        <w:t xml:space="preserve">. At a broader level, evidence from a multi-country African survey indicates that although many providers perceive their knowledge as adequate, only a small proportion can correctly answer objective knowledge questions, highlighting a disconnect between perceived and actual knowledge </w:t>
      </w:r>
      <w:r>
        <w:fldChar w:fldCharType="begin"/>
      </w:r>
      <w:r>
        <w:instrText xml:space="preserve"> ADDIN ZOTERO_ITEM CSL_CITATION {"citationID":"Nz8UXNnM","properties":{"formattedCitation":"(Joel et al., 2024)","plainCitation":"(Joel et al., 2024)","noteIndex":0},"citationItems":[{"id":998,"uris":["http://zotero.org/users/local/JDPtEcoO/items/WMH7K5XE"],"itemData":{"id":998,"type":"article-journal","container-title":"Frontiers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591B24">
        <w:t>(Joel et al., 2024)</w:t>
      </w:r>
      <w:r>
        <w:fldChar w:fldCharType="end"/>
      </w:r>
      <w:r>
        <w:t>.</w:t>
      </w:r>
    </w:p>
    <w:p w14:paraId="730E8836" w14:textId="77777777" w:rsidR="00DD57A3" w:rsidRDefault="00DD57A3" w:rsidP="00DD57A3">
      <w:pPr>
        <w:pStyle w:val="NormalWeb"/>
        <w:jc w:val="both"/>
      </w:pPr>
      <w:r>
        <w:t xml:space="preserve">Gender bias was further evident, as 75.9% of respondents indicated that HPV vaccination is primarily recommended for females. Similar findings have been reported in African studies, where most providers recommend vaccination only for girls, with limited support for vaccinating boys </w:t>
      </w:r>
      <w:r>
        <w:fldChar w:fldCharType="begin"/>
      </w:r>
      <w:r>
        <w:instrText xml:space="preserve"> ADDIN ZOTERO_ITEM CSL_CITATION {"citationID":"stp6cBNM","properties":{"formattedCitation":"(Balogun &amp; Omotade, 2022; Joel et al., 2024)","plainCitation":"(Balogun &amp; Omotade, 2022; Joel et al., 2024)","noteIndex":0},"citationItems":[{"id":994,"uris":["http://zotero.org/users/local/JDPtEcoO/items/NHEB77EC"],"itemData":{"id":994,"type":"article-journal","abstract":"Abstract\n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2E19C4">
        <w:t>(Balogun &amp; Omotade, 2022; Joel et al., 2024)</w:t>
      </w:r>
      <w:r>
        <w:fldChar w:fldCharType="end"/>
      </w:r>
      <w:r>
        <w:t xml:space="preserve">. This gendered perception undermines gender-neutral vaccination strategies, which are considered essential for comprehensive HPV control </w:t>
      </w:r>
      <w:r>
        <w:fldChar w:fldCharType="begin"/>
      </w:r>
      <w:r>
        <w:instrText xml:space="preserve"> ADDIN ZOTERO_ITEM CSL_CITATION {"citationID":"xVj3GG1P","properties":{"unsorted":true,"formattedCitation":"(Lin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2D1F06">
        <w:t>(Lin et al., 2021; Bakare et al., 2024)</w:t>
      </w:r>
      <w:r>
        <w:fldChar w:fldCharType="end"/>
      </w:r>
      <w:r>
        <w:t>.</w:t>
      </w:r>
    </w:p>
    <w:p w14:paraId="0F8C73AF" w14:textId="77777777" w:rsidR="00DD57A3" w:rsidRDefault="00DD57A3" w:rsidP="00DD57A3">
      <w:pPr>
        <w:pStyle w:val="NormalWeb"/>
        <w:jc w:val="both"/>
      </w:pPr>
      <w:r>
        <w:t xml:space="preserve">Encouragingly, respondents demonstrated strong knowledge of optimal vaccination timing, with 100% identifying the 9 to 14 years age group and 98.7% recognizing that vaccination is most </w:t>
      </w:r>
      <w:r>
        <w:lastRenderedPageBreak/>
        <w:t xml:space="preserve">effective prior to viral exposure. These findings align with global recommendations </w:t>
      </w:r>
      <w:r>
        <w:fldChar w:fldCharType="begin"/>
      </w:r>
      <w:r>
        <w:instrText xml:space="preserve"> ADDIN ZOTERO_ITEM CSL_CITATION {"citationID":"IEAVQYpD","properties":{"formattedCitation":"(Balogun &amp; Omotade, 2022; Joel et al., 2024)","plainCitation":"(Balogun &amp; Omotade, 2022; Joel et al., 2024)","noteIndex":0},"citationItems":[{"id":994,"uris":["http://zotero.org/users/local/JDPtEcoO/items/NHEB77EC"],"itemData":{"id":994,"type":"article-journal","abstract":"Abstract\n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2E19C4">
        <w:t>(Balogun &amp; Omotade, 2022; Joel et al., 2024)</w:t>
      </w:r>
      <w:r>
        <w:fldChar w:fldCharType="end"/>
      </w:r>
      <w:r>
        <w:t xml:space="preserve">. Nonetheless, misconceptions were observed regarding eligibility and screening. Over half (53.2%) believed HPV vaccination is unsuitable for sexually active individuals, contrary to guidelines recommending catch-up vaccination </w:t>
      </w:r>
      <w:r>
        <w:fldChar w:fldCharType="begin"/>
      </w:r>
      <w:r>
        <w:instrText xml:space="preserve"> ADDIN ZOTERO_ITEM CSL_CITATION {"citationID":"nroAOL1W","properties":{"unsorted":true,"formattedCitation":"(Lin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2D1F06">
        <w:t>(Lin et al., 2021; Bakare et al., 2024)</w:t>
      </w:r>
      <w:r>
        <w:fldChar w:fldCharType="end"/>
      </w:r>
      <w:r>
        <w:t xml:space="preserve">. Additionally, 98.7% of respondents recommended pre-vaccination screening, despite this not being a requirement, which may create unnecessary barriers in low-resource settings </w:t>
      </w:r>
      <w:r>
        <w:fldChar w:fldCharType="begin"/>
      </w:r>
      <w:r>
        <w:instrText xml:space="preserve"> ADDIN ZOTERO_ITEM CSL_CITATION {"citationID":"PQUvhqD9","properties":{"formattedCitation":"(Joel et al., 2024; Olumide et al., 2025)","plainCitation":"(Joel et al., 2024; Olumide et al., 2025)","noteIndex":0},"citationItems":[{"id":998,"uris":["http://zotero.org/users/local/JDPtEcoO/items/WMH7K5XE"],"itemData":{"id":998,"type":"article-journal","container-title":"Frontiers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id":892,"uris":["http://zotero.org/users/local/JDPtEcoO/items/BEC2JN7H"],"itemData":{"id":892,"type":"article-journal","abstract":"ABSTRACT\n            \n              Background\n              Malaria remains a major cause of preventable deaths among children worldwide, despite the availability of several interventions for controlling and eliminating the disease. The WHO recommended the first malaria vaccine, RTS, S/AS01 in October 2021 to immunize children in sub‐Saharan Africa. In this study, we set out to evaluate the knowledge, awareness and acceptability of the malaria vaccine among mothers of under 5 in south‐west Nigeria before the vaccine's rollout in Nigeria.\n            \n            \n              Methods\n              We employed a hospital‐based cross‐sectional study for this study. A pretested semistructured, interviewer‐administered questionnaire was used to elicit information from the study participants. Data obtained were analysed using the Statistical Package for Social Sciences (SPSS version 20.0).\n            \n            \n              Results\n              A total of 797 respondents participated in the study. Only 26.0% of the respondents were aware of the new vaccine. However, the majority (90.0%) were willing to accept the malaria vaccination and to pay for it (82.1%). The crude odds ratio reveals that the odds of awareness of the malaria vaccine were more than 5 times higher among those who have tertiary education (OR = 5.470, CI = 1.224–24.444) compared with those with primary education.\n            \n            \n              Conclusion\n              The level of awareness of the malarial vaccine is low among the caregivers of under 5 children living in south‐western Nigeria. However, the willingness to accept the vaccine is high. Recruiting, training and retraining of healthcare providers and other stakeholders with the designated role of providing health education on malaria prevention and vaccines are key in ensuring the success of malaria vaccination.","container-title":"Child: Care, Health and Development","DOI":"10.1111/cch.70029","ISSN":"0305-1862, 1365-2214","issue":"1","journalAbbreviation":"Child","language":"en","page":"e70029","source":"DOI.org (Crossref)","title":"Awareness, Acceptability and Factors Influencing Malaria Vaccine Uptake Among Caregivers of Children Under 5 in South‐Western Nigeria","volume":"51","author":[{"family":"Olumide","given":"Adeleke Thomas"},{"family":"Aigbiremo","given":"Oboh Mary"},{"family":"Yetunde","given":"Olasinde"},{"family":"Agnes","given":"Akinlosotu Morenike"},{"family":"Naomi","given":"Oluwasanya Alarape"},{"family":"Victoria","given":"Adeleke Oludamola"},{"family":"Samson","given":"Timothy Kayode"}],"issued":{"date-parts":[["2025",1]]}}}],"schema":"https://github.com/citation-style-language/schema/raw/master/csl-citation.json"} </w:instrText>
      </w:r>
      <w:r>
        <w:fldChar w:fldCharType="separate"/>
      </w:r>
      <w:r w:rsidRPr="00866A87">
        <w:t>(Joel et al., 2024; Olumide et al., 2025)</w:t>
      </w:r>
      <w:r>
        <w:fldChar w:fldCharType="end"/>
      </w:r>
      <w:r>
        <w:t>.</w:t>
      </w:r>
    </w:p>
    <w:p w14:paraId="1A3EC1FD" w14:textId="77777777" w:rsidR="00DD57A3" w:rsidRDefault="00DD57A3" w:rsidP="00DD57A3">
      <w:pPr>
        <w:pStyle w:val="NormalWeb"/>
        <w:jc w:val="both"/>
      </w:pPr>
      <w:r>
        <w:t xml:space="preserve">The study also found near universal agreement on vaccine effectiveness, with 97.5% recognizing its role in preventing HPV infection and related cancers. This aligns with global evidence identifying perceived effectiveness as a key determinant of vaccine acceptance and recommendation </w:t>
      </w:r>
      <w:r>
        <w:fldChar w:fldCharType="begin"/>
      </w:r>
      <w:r>
        <w:instrText xml:space="preserve"> ADDIN ZOTERO_ITEM CSL_CITATION {"citationID":"EWITzhqF","properties":{"unsorted":true,"formattedCitation":"(Lin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866A87">
        <w:t>(Lin et al., 2021; Bakare et al., 2024)</w:t>
      </w:r>
      <w:r>
        <w:fldChar w:fldCharType="end"/>
      </w:r>
      <w:r>
        <w:t xml:space="preserve"> However, safety concerns remain a major barrier, with 58.2% of respondents expressing doubts about vaccine safety. Similar concerns have been reported in Nigeria, where fears of side effects and misinformation contribute to hesitancy among healthcare workers </w:t>
      </w:r>
      <w:r>
        <w:fldChar w:fldCharType="begin"/>
      </w:r>
      <w:r>
        <w:instrText xml:space="preserve"> ADDIN ZOTERO_ITEM CSL_CITATION {"citationID":"9PgOSVMO","properties":{"formattedCitation":"(Suberu et al., 2025; Yahya et al., 2025)","plainCitation":"(Suberu et al., 2025; Yahya et al., 2025)","noteIndex":0},"citationItems":[{"id":668,"uris":["http://zotero.org/users/local/JDPtEcoO/items/9LF5ZAA6"],"itemData":{"id":668,"type":"article-journal","abstract":"Cervical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Nasiru"}],"accessed":{"date-parts":[["2026",3,11]]},"issued":{"date-parts":[["2025"]]}}},{"id":686,"uris":["http://zotero.org/users/local/JDPtEcoO/items/RUQQME2A"],"itemData":{"id":686,"type":"article-journal","abstract":"Cervical cancer is the second leading cause of maternal cancer deaths in Nigeria, and addressing HPV vaccine hesitancy could help reduce maternal mortality. This study explored HPV vaccine hesitancy among healthcare workers in Kano State and identified strategies to enhance vaccine uptake. Sixteen healthcare workers were interviewed using a purposive sampling technique. Interviews, lasting about 30 minutes each, were recorded, transcribed, and analyzed through thematic analysis. The findings revealed varied perceptions of the vaccine. While some participants were positive and willing to vaccinate their daughters, others expressed concerns about its safety and efficacy. Major barriers to vaccine acceptance included lack of awareness, misinformation, and cultural and socioeconomic factors. Knowledge gaps were also noted regarding dosage, administration, and eligibility criteria. To increase uptake, comprehensive education and awareness initiatives were recommended.","container-title":"Dutse Journal of Pure and Applied Sciences","DOI":"10.4314/dujopas.v10i4a.11","source":"consensus.app","title":"Human Papilloma Virus (HPV) vaccine: Hesitancy and strategies for increasing acceptance among health care workers in parts of Kano, Nigeria","title-short":"Human Papilloma Virus (HPV) vaccine","URL":"https://consensus.app/papers/human-papilloma-virus-hpv-vaccine-hesitancy-and-yahya-adam/2fc488e0dab75dcabb18ccb5986fecb8/","author":[{"family":"Yahya","given":"Bilyaminu Bala"},{"family":"Adam","given":"Intisar Umar"},{"family":"Idayat","given":"Ajado Abosede"},{"family":"Umar","given":"Zainab Sule"},{"family":"Yaro","given":"Nabila Balarabe"},{"family":"Usman","given":"Hauwa’u Rabiu"},{"family":"Abdullahi","given":"Binta"},{"family":"Abba","given":"Rayyanatu Umar"},{"family":"Danchua","given":"Abdullahi Ali"},{"family":"Hassan","given":"Aisha Ibrahim"},{"family":"Kabiru","given":"Fatima"},{"family":"Sambo","given":"Hauwa’u Umar"},{"family":"Danbatta","given":"Mariya Nasir"},{"family":"Akande","given":"Bridget Bose"},{"family":"Atana","given":"Fatima Lawal"},{"family":"Dahiru","given":"M."},{"family":"Kurfi","given":"Aisha Kabir"},{"family":"Sulaiman","given":"Khadija Ibrahim"},{"family":"Ibrahim","given":"Hadiza Mustapha"},{"family":"Idris","given":"Maryam Muhammad"},{"family":"Mba","given":"C. J."},{"family":"Yunusa","given":"U."}],"accessed":{"date-parts":[["2026",3,11]]},"issued":{"date-parts":[["2025"]]}}}],"schema":"https://github.com/citation-style-language/schema/raw/master/csl-citation.json"} </w:instrText>
      </w:r>
      <w:r>
        <w:fldChar w:fldCharType="separate"/>
      </w:r>
      <w:r w:rsidRPr="0037097D">
        <w:t>(Suberu et al., 2025; Yahya et al., 2025)</w:t>
      </w:r>
      <w:r>
        <w:fldChar w:fldCharType="end"/>
      </w:r>
      <w:r>
        <w:t xml:space="preserve">. Globally, vaccine safety concerns remain among the most frequently cited barriers to HPV vaccine uptake </w:t>
      </w:r>
      <w:r>
        <w:fldChar w:fldCharType="begin"/>
      </w:r>
      <w:r>
        <w:instrText xml:space="preserve"> ADDIN ZOTERO_ITEM CSL_CITATION {"citationID":"9qJsgoic","properties":{"unsorted":true,"formattedCitation":"(Lin et al., 2021; Cangelosi et al., 2025)","plainCitation":"(Lin et al., 2021; Cangelosi et al., 2025)","noteIndex":0},"citationItems":[{"id":679,"uris":["http://zotero.org/users/local/JDPtEcoO/items/A9HMHA33"],"itemData":{"id":679,"type":"article-journal","abstract":"Despite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1014,"uris":["http://zotero.org/users/local/JDPtEcoO/items/3Y4LDVRK"],"itemData":{"id":1014,"type":"article-journal","container-title":"Vaccines","issue":"5","page":"460","publisher":"MDPI","source":"Google Scholar","title":"Papillomavirus vaccination programs and knowledge gaps as barriers to implementation: a systematic review","title-short":"Papillomavirus vaccination programs and knowledge gaps as barriers to implementation","volume":"13","author":[{"family":"Cangelosi","given":"Giovanni"},{"family":"Sacchini","given":"Francesco"},{"family":"Mancin","given":"Stefano"},{"family":"Petrelli","given":"Fabio"},{"family":"Amendola","given":"Antonella"},{"family":"Fappani","given":"Clara"},{"family":"Sguanci","given":"Marco"},{"family":"Morales Palomares","given":"Sara"},{"family":"Gravante","given":"Francesco"},{"family":"Caggianelli","given":"Gabriele"}],"issued":{"date-parts":[["2025"]]}}}],"schema":"https://github.com/citation-style-language/schema/raw/master/csl-citation.json"} </w:instrText>
      </w:r>
      <w:r>
        <w:fldChar w:fldCharType="separate"/>
      </w:r>
      <w:r w:rsidRPr="00866A87">
        <w:t>(Lin et al., 2021; Cangelosi et al., 2025)</w:t>
      </w:r>
      <w:r>
        <w:fldChar w:fldCharType="end"/>
      </w:r>
      <w:r>
        <w:t>.</w:t>
      </w:r>
    </w:p>
    <w:p w14:paraId="74A4D056" w14:textId="77777777" w:rsidR="00DD57A3" w:rsidRDefault="00DD57A3" w:rsidP="00DD57A3">
      <w:pPr>
        <w:pStyle w:val="NormalWeb"/>
        <w:jc w:val="both"/>
      </w:pPr>
      <w:r>
        <w:t xml:space="preserve">Most respondents (91.1%) reported obtaining information from fellow healthcare workers, suggesting reliance on informal knowledge sources. This contrasts with evidence indicating that many healthcare workers across Africa lack formal training and access to standardized guidelines </w:t>
      </w:r>
      <w:r>
        <w:fldChar w:fldCharType="begin"/>
      </w:r>
      <w:r>
        <w:instrText xml:space="preserve"> ADDIN ZOTERO_ITEM CSL_CITATION {"citationID":"0iSgM03Z","properties":{"formattedCitation":"(Agyei-Baffour et al., 2020; Joel et al., 2024)","plainCitation":"(Agyei-Baffour et al., 2020; Joel et al., 2024)","noteIndex":0},"citationItems":[{"id":996,"uris":["http://zotero.org/users/local/JDPtEcoO/items/4GUB5EM7"],"itemData":{"id":996,"type":"article-journal","container-title":"PLoS One","issue":"10","page":"e0240657","publisher":"Public Library of Science San Francisco, CA USA","source":"Google Scholar","title":"Human papillomavirus vaccination practices and perceptions among Ghanaian healthcare providers: a qualitative study based on multi-theory model","title-short":"Human papillomavirus vaccination practices and perceptions among Ghanaian healthcare providers","volume":"15","author":[{"family":"Agyei-Baffour","given":"Peter"},{"family":"Asare","given":"Matthew"},{"family":"Lanning","given":"Beth"},{"family":"Koranteng","given":"Adofo"},{"family":"Millan","given":"Cassandra"},{"family":"Commeh","given":"Mary E."},{"family":"Montealegre","given":"Jane R."},{"family":"Mamudu","given":"Hadii M."}],"issued":{"date-parts":[["2020"]]}}},{"id":998,"uris":["http://zotero.org/users/local/JDPtEcoO/items/WMH7K5XE"],"itemData":{"id":998,"type":"article-journal","container-title":"Frontiers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C64FC9">
        <w:t>(Agyei-Baffour et al., 2020; Joel et al., 2024)</w:t>
      </w:r>
      <w:r>
        <w:fldChar w:fldCharType="end"/>
      </w:r>
      <w:r>
        <w:t xml:space="preserve">. Despite perceiving information as available, persistent safety concerns suggest that existing knowledge may be incomplete or influenced by misinformation. Nigerian studies have highlighted the role of cultural beliefs and misinformation in shaping healthcare workers’ perceptions </w:t>
      </w:r>
      <w:r>
        <w:fldChar w:fldCharType="begin"/>
      </w:r>
      <w:r>
        <w:instrText xml:space="preserve"> ADDIN ZOTERO_ITEM CSL_CITATION {"citationID":"abenBbTB","properties":{"formattedCitation":"(Nguyen et al., 2020; Suberu et al., 2025)","plainCitation":"(Nguyen et al., 2020; Suberu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Nasiru"}],"accessed":{"date-parts":[["2026",3,11]]},"issued":{"date-parts":[["2025"]]}}}],"schema":"https://github.com/citation-style-language/schema/raw/master/csl-citation.json"} </w:instrText>
      </w:r>
      <w:r>
        <w:fldChar w:fldCharType="separate"/>
      </w:r>
      <w:r w:rsidRPr="00E96F7E">
        <w:t>(Nguyen et al., 2020; Suberu et al., 2025)</w:t>
      </w:r>
      <w:r>
        <w:fldChar w:fldCharType="end"/>
      </w:r>
      <w:r>
        <w:t>.</w:t>
      </w:r>
    </w:p>
    <w:p w14:paraId="71D973BE" w14:textId="77777777" w:rsidR="00DD57A3" w:rsidRDefault="00DD57A3" w:rsidP="00DD57A3">
      <w:pPr>
        <w:pStyle w:val="NormalWeb"/>
        <w:jc w:val="both"/>
      </w:pPr>
      <w:r>
        <w:t xml:space="preserve">Half of the respondents perceived societal attitudes toward HPV vaccination as negative, reflecting anticipated community resistance. This aligns with evidence from sub-Saharan Africa documenting widespread cultural, religious, and misinformation related barriers </w:t>
      </w:r>
      <w:r>
        <w:fldChar w:fldCharType="begin"/>
      </w:r>
      <w:r>
        <w:instrText xml:space="preserve"> ADDIN ZOTERO_ITEM CSL_CITATION {"citationID":"XfAYlxGM","properties":{"formattedCitation":"(Deignan et al., 2021)","plainCitation":"(Deignan et al., 2021)","noteIndex":0},"citationItems":[{"id":1011,"uris":["http://zotero.org/users/local/JDPtEcoO/items/3WAHLACD"],"itemData":{"id":1011,"type":"article-journal","container-title":"Vaccines","issue":"5","page":"496","publisher":"MDPI","source":"Google Scholar","title":"Stakeholders’ understandings of human papillomavirus (HPV) vaccination in sub-Saharan Africa: a rapid qualitative systematic review","title-short":"Stakeholders’ understandings of human papillomavirus (HPV) vaccination in sub-Saharan Africa","volume":"9","author":[{"family":"Deignan","given":"Caroline"},{"family":"Swartz","given":"Alison"},{"family":"Cooper","given":"Sara"},{"family":"Colvin","given":"Christopher J."}],"issued":{"date-parts":[["2021"]]}}}],"schema":"https://github.com/citation-style-language/schema/raw/master/csl-citation.json"} </w:instrText>
      </w:r>
      <w:r>
        <w:fldChar w:fldCharType="separate"/>
      </w:r>
      <w:r w:rsidRPr="006C4628">
        <w:t>(Deignan et al., 2021)</w:t>
      </w:r>
      <w:r>
        <w:fldChar w:fldCharType="end"/>
      </w:r>
      <w:r>
        <w:t xml:space="preserve">. However, studies have shown that effective community engagement and communication strategies can significantly improve acceptance </w:t>
      </w:r>
      <w:r>
        <w:fldChar w:fldCharType="begin"/>
      </w:r>
      <w:r>
        <w:instrText xml:space="preserve"> ADDIN ZOTERO_ITEM CSL_CITATION {"citationID":"h6Zwfn4R","properties":{"formattedCitation":"(Olubodun et al., 2024)","plainCitation":"(Olubodun et al., 2024)","noteIndex":0},"citationItems":[{"id":1019,"uris":["http://zotero.org/users/local/JDPtEcoO/items/AB4ET8PE"],"itemData":{"id":1019,"type":"article-journal","container-title":"Reproductive Health","DOI":"10.1186/s12978-024-01913-y","ISSN":"1742-4755","issue":"1","journalAbbreviation":"Reprod Health","language":"en","page":"179","source":"DOI.org (Crossref)","title":"HPV vaccine knowledge, attitude, and programme satisfaction among parents and caregivers of vaccine recipients in Ogun state Nigeria","volume":"21","author":[{"family":"Olubodun","given":"Tope"},{"family":"Ogunsola","given":"Elijah Ayowole"},{"family":"Coker","given":"Marcellina Olutomi"},{"family":"Olayinka","given":"Surajudeen Adekunle"},{"family":"Elegbede","given":"Waheed Àlàmú"},{"family":"Ojediran","given":"Joke Oluwatoyin"},{"family":"Olajide","given":"Kofoworola B."},{"family":"Sanni","given":"Salimat Bola"},{"family":"Oluwadare","given":"Temitope Olawumi"},{"family":"Inetagbo","given":"Oluwaseun Temitope"},{"family":"Balogun","given":"Mobolanle Rasheedat"},{"family":"Owolabi","given":"Onikepe Oluwadamilola"},{"family":"Anyadiegwu-Bello","given":"Catherine Chidimma"},{"family":"Runsewe","given":"Olukayode Abiodun"},{"family":"Temitayo-Oboh","given":"Abiola Oluwatoyin"},{"family":"Soyannwo","given":"Tolulope"},{"family":"Ogunsiji","given":"Oluwaseun Bisola"},{"family":"Banke-Thomas","given":"Aduragbemi"}],"issued":{"date-parts":[["2024",12,4]]}}}],"schema":"https://github.com/citation-style-language/schema/raw/master/csl-citation.json"} </w:instrText>
      </w:r>
      <w:r>
        <w:fldChar w:fldCharType="separate"/>
      </w:r>
      <w:r w:rsidRPr="006C4628">
        <w:t>(Olubodun et al., 2024)</w:t>
      </w:r>
      <w:r>
        <w:fldChar w:fldCharType="end"/>
      </w:r>
    </w:p>
    <w:p w14:paraId="3E3A2DA5" w14:textId="77777777" w:rsidR="00DD57A3" w:rsidRDefault="00DD57A3" w:rsidP="00DD57A3">
      <w:pPr>
        <w:pStyle w:val="NormalWeb"/>
        <w:jc w:val="both"/>
      </w:pPr>
      <w:r>
        <w:t>Overall, the findings indicate that while Nigerian PHCWs demonstrate high awareness and generally positive attitudes toward HPV vaccination, critical gaps in knowledge, persistent safety concerns, and gender biases remain. Addressing these gaps through continuous professional education, standardized guidelines, and targeted interventions is essential to enhance healthcare workers’ confidence and improve HPV vaccine uptake.</w:t>
      </w:r>
    </w:p>
    <w:p w14:paraId="58F5E2E4" w14:textId="77777777" w:rsidR="00DD57A3" w:rsidRPr="0012163C" w:rsidRDefault="00DD57A3" w:rsidP="00DD57A3">
      <w:pPr>
        <w:pStyle w:val="NormalWeb"/>
        <w:jc w:val="both"/>
        <w:rPr>
          <w:b/>
        </w:rPr>
      </w:pPr>
      <w:r w:rsidRPr="0012163C">
        <w:rPr>
          <w:b/>
        </w:rPr>
        <w:t>Conclusion</w:t>
      </w:r>
    </w:p>
    <w:p w14:paraId="6C0E1766" w14:textId="77777777" w:rsidR="00DD57A3" w:rsidRDefault="00DD57A3" w:rsidP="00DD57A3">
      <w:pPr>
        <w:pStyle w:val="NormalWeb"/>
        <w:jc w:val="both"/>
      </w:pPr>
      <w:r>
        <w:t xml:space="preserve">The Study demonstrated that Primary healthcare workers in Ado-Ekiti show high awareness and strong support for HPV vaccination, reflecting recent policy integration. However, this does not translate into accurate knowledge or personal uptake, as key misconceptions about eligibility, gender susceptibility, and vaccination requirements persist. Safety concerns and perceived negative societal attitudes may further limit their effectiveness as vaccine advocates. Greater professional experience is associated with higher acceptability, highlighting the need for targeted </w:t>
      </w:r>
      <w:r>
        <w:lastRenderedPageBreak/>
        <w:t>training of less experienced staff. Strengthening continuous education, improving access to evidence-based guidelines, and addressing safety concerns through effective risk communication are essential to improve HPV vaccine uptake and cervical cancer prevention.</w:t>
      </w:r>
    </w:p>
    <w:p w14:paraId="73A48456" w14:textId="77777777" w:rsidR="00DD57A3" w:rsidRDefault="00DD57A3" w:rsidP="00DD57A3">
      <w:pPr>
        <w:pStyle w:val="NormalWeb"/>
        <w:jc w:val="both"/>
        <w:rPr>
          <w:b/>
        </w:rPr>
      </w:pPr>
    </w:p>
    <w:p w14:paraId="0975C0D2" w14:textId="77777777" w:rsidR="00E973D4" w:rsidRDefault="00E973D4" w:rsidP="00DD57A3">
      <w:pPr>
        <w:pStyle w:val="NormalWeb"/>
        <w:jc w:val="both"/>
      </w:pPr>
    </w:p>
    <w:p w14:paraId="0572E939" w14:textId="77777777" w:rsidR="00DD57A3" w:rsidRPr="00A16391" w:rsidRDefault="00DD57A3" w:rsidP="00DD57A3">
      <w:pPr>
        <w:pStyle w:val="BodyText"/>
        <w:spacing w:before="161"/>
        <w:ind w:left="320" w:right="965"/>
        <w:jc w:val="center"/>
        <w:rPr>
          <w:b/>
          <w:bCs/>
          <w:lang w:val="es-US"/>
        </w:rPr>
      </w:pPr>
      <w:proofErr w:type="spellStart"/>
      <w:r w:rsidRPr="00A16391">
        <w:rPr>
          <w:b/>
          <w:bCs/>
          <w:lang w:val="es-US"/>
        </w:rPr>
        <w:t>References</w:t>
      </w:r>
      <w:proofErr w:type="spellEnd"/>
    </w:p>
    <w:p w14:paraId="2469D446" w14:textId="77777777" w:rsidR="00DD57A3" w:rsidRPr="00C91E19" w:rsidRDefault="00DD57A3" w:rsidP="00DD57A3">
      <w:pPr>
        <w:pStyle w:val="Bibliography"/>
        <w:spacing w:line="240" w:lineRule="auto"/>
        <w:rPr>
          <w:rFonts w:ascii="Times New Roman" w:hAnsi="Times New Roman" w:cs="Times New Roman"/>
          <w:sz w:val="24"/>
        </w:rPr>
      </w:pPr>
      <w:r>
        <w:rPr>
          <w:b/>
        </w:rPr>
        <w:fldChar w:fldCharType="begin"/>
      </w:r>
      <w:r w:rsidRPr="00A16391">
        <w:rPr>
          <w:b/>
          <w:lang w:val="es-US"/>
        </w:rPr>
        <w:instrText xml:space="preserve"> ADDIN ZOTERO_BIBL {"uncited":[],"omitted":[],"custom":[]} CSL_BIBLIOGRAPHY </w:instrText>
      </w:r>
      <w:r>
        <w:rPr>
          <w:b/>
        </w:rPr>
        <w:fldChar w:fldCharType="separate"/>
      </w:r>
      <w:r w:rsidRPr="00A16391">
        <w:rPr>
          <w:rFonts w:ascii="Times New Roman" w:hAnsi="Times New Roman" w:cs="Times New Roman"/>
          <w:sz w:val="24"/>
          <w:lang w:val="es-US"/>
        </w:rPr>
        <w:t xml:space="preserve">Adejimi, A., Onasanya, M., &amp; Akodu, B. (2019). </w:t>
      </w:r>
      <w:r w:rsidRPr="00C91E19">
        <w:rPr>
          <w:rFonts w:ascii="Times New Roman" w:hAnsi="Times New Roman" w:cs="Times New Roman"/>
          <w:sz w:val="24"/>
        </w:rPr>
        <w:t>O17. 6 Parents’/healthcare providers’ knowledge, attitude and perception of school-based HPV vaccination program in lagos, nigeria. BMJ Publishing Group Ltd. https://sti.bmj.com/content/95/Suppl_1/A79.2.abstract</w:t>
      </w:r>
    </w:p>
    <w:p w14:paraId="0B014D7C"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Agyei-Baffour, P., Asare, M., Lanning, B., Koranteng, A., Millan, C., Commeh, M. E., Montealegre, J. R., &amp; Mamudu, H. M. (2020). Human papillomavirus vaccination practices and perceptions among Ghanaian healthcare providers: A qualitative study based on multi-theory model. PLoS One, 15(10), e0240657.</w:t>
      </w:r>
    </w:p>
    <w:p w14:paraId="4C064F89"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Audu, B., Bukar, M., Ibrahim, A., &amp; Swende, T. (2014). Awareness and perception of human papilloma virus vaccine among healthcare professionals in Nigeria. Journal of Obstetrics and Gynaecology, 34, 714–717. https://doi.org/10.3109/01443615.2014.925431</w:t>
      </w:r>
    </w:p>
    <w:p w14:paraId="29260B2B"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Aurthor, M. I., Musa, I. I., Danbichi, M., Auwal, Suleiman, J., &amp; Salisu, K. (2025). Assessing Factors Influencing HPV Vaccine Uptake and Hesitancy in Northern Nigeria. Journal of Clinical and Metabolism Studies. https://doi.org/10.70382/ajcms.v9i3.016</w:t>
      </w:r>
    </w:p>
    <w:p w14:paraId="338746A4"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Bakare, D., Gobbo, E., Akinsola, K. O., Bakare, A. A., Salako, J., Hanson, C., Herzig Van Wees, S., Falade, A., &amp; King, C. (2024). Healthcare worker practices for HPV vaccine recommendation: A systematic review and meta-analysis. Human Vaccines &amp; Immunotherapeutics, 20(1), 2402122. https://doi.org/10.1080/21645515.2024.2402122</w:t>
      </w:r>
    </w:p>
    <w:p w14:paraId="67ADC922"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Balogun, F. M., &amp; Omotade, O. O. (2022). Facilitators and barriers of healthcare workers’ recommendation of HPV vaccine for adolescents in Nigeria: Views through the lens of theoretical domains framework. BMC Health Services Research, 22(1), 824. https://doi.org/10.1186/s12913-022-08224-7</w:t>
      </w:r>
    </w:p>
    <w:p w14:paraId="110A091A"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Cangelosi, G., Sacchini, F., Mancin, S., Petrelli, F., Amendola, A., Fappani, C., Sguanci, M., Morales Palomares, S., Gravante, F., &amp; Caggianelli, G. (2025). Papillomavirus vaccination programs and knowledge gaps as barriers to implementation: A systematic review. Vaccines, 13(5), 460.</w:t>
      </w:r>
    </w:p>
    <w:p w14:paraId="490BE590"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Cooper, S., Schmidt, B.-M., Jama, N. A., Ryan, J., Leon, N., Mavundza, E. J., Burnett, R. J., Tanywe, A. C., &amp; Wiysonge, C. S. (2025). Factors that influence caregivers’ and adolescents’ views and practices regarding human papillomavirus (HPV) vaccination for adolescents: A qualitative evidence synthesis - Cooper, S - 2025 | Cochrane Library. https://www.cochranelibrary.com/cdsr/doi/10.1002/14651858.CD013430.pub2/full</w:t>
      </w:r>
    </w:p>
    <w:p w14:paraId="6872AB36" w14:textId="77777777" w:rsidR="00DD57A3" w:rsidRPr="00A16391" w:rsidRDefault="00DD57A3" w:rsidP="00DD57A3">
      <w:pPr>
        <w:pStyle w:val="Bibliography"/>
        <w:spacing w:line="240" w:lineRule="auto"/>
        <w:rPr>
          <w:rFonts w:ascii="Times New Roman" w:hAnsi="Times New Roman" w:cs="Times New Roman"/>
          <w:sz w:val="24"/>
          <w:lang w:val="es-US"/>
        </w:rPr>
      </w:pPr>
      <w:r w:rsidRPr="00C91E19">
        <w:rPr>
          <w:rFonts w:ascii="Times New Roman" w:hAnsi="Times New Roman" w:cs="Times New Roman"/>
          <w:sz w:val="24"/>
        </w:rPr>
        <w:t xml:space="preserve">Deignan, C., Swartz, A., Cooper, S., &amp; Colvin, C. J. (2021). Stakeholders’ understandings of human papillomavirus (HPV) vaccination in sub-Saharan Africa: A rapid qualitative systematic review. </w:t>
      </w:r>
      <w:r w:rsidRPr="00A16391">
        <w:rPr>
          <w:rFonts w:ascii="Times New Roman" w:hAnsi="Times New Roman" w:cs="Times New Roman"/>
          <w:sz w:val="24"/>
          <w:lang w:val="es-US"/>
        </w:rPr>
        <w:t>Vaccines, 9(5), 496.</w:t>
      </w:r>
    </w:p>
    <w:p w14:paraId="121F3805" w14:textId="77777777" w:rsidR="00DD57A3" w:rsidRPr="00C91E19" w:rsidRDefault="00DD57A3" w:rsidP="00DD57A3">
      <w:pPr>
        <w:pStyle w:val="Bibliography"/>
        <w:spacing w:line="240" w:lineRule="auto"/>
        <w:rPr>
          <w:rFonts w:ascii="Times New Roman" w:hAnsi="Times New Roman" w:cs="Times New Roman"/>
          <w:sz w:val="24"/>
        </w:rPr>
      </w:pPr>
      <w:r w:rsidRPr="00A16391">
        <w:rPr>
          <w:rFonts w:ascii="Times New Roman" w:hAnsi="Times New Roman" w:cs="Times New Roman"/>
          <w:sz w:val="24"/>
          <w:lang w:val="es-US"/>
        </w:rPr>
        <w:t xml:space="preserve">Joel, F. D., Dille, I., Kapambwe, S., Yu, R., Gnangnon, F., Chinula, L., Murenzi, G., Mbatani, N., Pande, M., &amp; Sidibe, F. (2024). </w:t>
      </w:r>
      <w:r w:rsidRPr="00C91E19">
        <w:rPr>
          <w:rFonts w:ascii="Times New Roman" w:hAnsi="Times New Roman" w:cs="Times New Roman"/>
          <w:sz w:val="24"/>
        </w:rPr>
        <w:t xml:space="preserve">HPV vaccination in Africa in the COVID-19 era: A </w:t>
      </w:r>
      <w:r w:rsidRPr="00C91E19">
        <w:rPr>
          <w:rFonts w:ascii="Times New Roman" w:hAnsi="Times New Roman" w:cs="Times New Roman"/>
          <w:sz w:val="24"/>
        </w:rPr>
        <w:lastRenderedPageBreak/>
        <w:t>cross-sectional survey of healthcare providers’ knowledge, training, and recommendation practices. Frontiers in Public Health, 12, 1343064.</w:t>
      </w:r>
    </w:p>
    <w:p w14:paraId="52B4E5E4"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Kwanchi, M. D., Richard, R., &amp; Mohammed, M. S. (2025). Assessment of Caregivers’ Knowledge and Acceptance of the Human Papilloma Virus Vaccine in Maihula Community, Bali Lga, Taraba State, Nigeria. International Journal of Innovative Science and Research Technology. https://doi.org/10.38124/ijisrt/25jul1542</w:t>
      </w:r>
    </w:p>
    <w:p w14:paraId="00E4400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Kyei, G. K., Kyei, E. F., &amp; Ansong, R. (2025). Determinants of HPV Vaccine Uptake in Women in the United States: A Scoping Review of Socioecological Influences. Policy, Politics, &amp; Nursing Practice, 26(4), 256–272. https://doi.org/10.1177/15271544251364251</w:t>
      </w:r>
    </w:p>
    <w:p w14:paraId="4F7860F2"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Lin, C., Mullen, J., Smith, D., Kotarba, M., Kaplan, S. J., &amp; Tu, P. (2021). Healthcare Providers’ Vaccine Perceptions, Hesitancy, and Recommendation to Patients: A Systematic Review. Vaccines, 9. https://doi.org/10.3390/vaccines9070713</w:t>
      </w:r>
    </w:p>
    <w:p w14:paraId="582C040C"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Nguyen, N., Okeke, E., Anglemyer, A., &amp; Brock, T. (2020). Identifying Perceived Barriers to Human Papillomavirus Vaccination as a Preventative Strategy for Cervical Cancer in Nigeria. Annals of Global Health, 86. https://doi.org/10.5334/aogh.2890</w:t>
      </w:r>
    </w:p>
    <w:p w14:paraId="2BA4276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Nkechi, I. J., &amp; Josephine, G. (2025). Knowledge of Human Papilloma Virus Infections and Vaccination Among Midwives in University of Port Harcourt Teaching Hospital, Rivers State, Nigeria. International Journal of Research and Scientific Innovation, XII(XV), 812–824. https://doi.org/10.51244/IJRSI.2025.121500072P</w:t>
      </w:r>
    </w:p>
    <w:p w14:paraId="5387D170"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Okagbue, H., Erekosima, G., Sampson, S., Atuhaire, B., Samuel, O., Chimezie, B., Dauda, M., Jimoh, A., Ogbu, G., Ayuba, J., &amp; Shinshima, I. (2025). Predictors of willingness of HPV vaccine uptake across Eight States in Nigeria. BMC Public Health, 25. https://doi.org/10.1186/s12889-025-22000-2</w:t>
      </w:r>
    </w:p>
    <w:p w14:paraId="1C7A92AD"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Olubodun, T., Ogunsola, E. A., Coker, M. O., Olayinka, S. A., Elegbede, W. À., Ojediran, J. O., Olajide, K. B., Sanni, S. B., Oluwadare, T. O., Inetagbo, O. T., Balogun, M. R., Owolabi, O. O., Anyadiegwu-Bello, C. C., Runsewe, O. A., Temitayo-Oboh, A. O., Soyannwo, T., Ogunsiji, O. B., &amp; Banke-Thomas, A. (2024). HPV vaccine knowledge, attitude, and programme satisfaction among parents and caregivers of vaccine recipients in Ogun state Nigeria. Reproductive Health, 21(1), 179. https://doi.org/10.1186/s12978-024-01913-y</w:t>
      </w:r>
    </w:p>
    <w:p w14:paraId="2559BA49"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Olumide, A. T., Aigbiremo, O. M., Yetunde, O., Agnes, A. M., Naomi, O. A., Victoria, A. O., &amp; Samson, T. K. (2025). Awareness, Acceptability and Factors Influencing Malaria Vaccine Uptake Among Caregivers of Children Under 5 in South‐Western Nigeria. Child: Care, Health and Development, 51(1), e70029. https://doi.org/10.1111/cch.70029</w:t>
      </w:r>
    </w:p>
    <w:p w14:paraId="7E4C4846"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Suberu, A., Rabi, U. M., Bello, U., &amp; Abdullahi, M. N. (2025). DETERMINANTS OF HUMAN PAPILLOMA VIRUS VACCINE HESITANCY AMONG PRIMARY HEALTHCARE WORKERS IN KANO MUNICIPAL LOCAL GOVERNMENT AREA, KANO, KANO STATE. FUDMA JOURNAL OF SCIENCES. https://doi.org/10.33003/fjs-2025-0901-3258</w:t>
      </w:r>
    </w:p>
    <w:p w14:paraId="4F7DA9C1" w14:textId="77777777" w:rsidR="00DD57A3" w:rsidRPr="00A16391" w:rsidRDefault="00DD57A3" w:rsidP="00DD57A3">
      <w:pPr>
        <w:pStyle w:val="Bibliography"/>
        <w:spacing w:line="240" w:lineRule="auto"/>
        <w:rPr>
          <w:rFonts w:ascii="Times New Roman" w:hAnsi="Times New Roman" w:cs="Times New Roman"/>
          <w:sz w:val="24"/>
          <w:lang w:val="es-US"/>
        </w:rPr>
      </w:pPr>
      <w:r w:rsidRPr="00C91E19">
        <w:rPr>
          <w:rFonts w:ascii="Times New Roman" w:hAnsi="Times New Roman" w:cs="Times New Roman"/>
          <w:sz w:val="24"/>
        </w:rPr>
        <w:t xml:space="preserve">Thanasa, E., Thanasa, A., Kamaretsos, E., Paraoulakis, I., Balafa, K., Gerokostas, E.-E., Kontogeorgis, G., Koutalia, N., Stamouli, D., Grapsidi, V., Alexopoulou, E., Ntella, G., Sfondyli, E., &amp; Thanasas, I. (2022). Awareness Regarding Human Papilloma Virus Among Health Professionals and Will to Accept Vaccination: A Systematic Review. </w:t>
      </w:r>
      <w:r w:rsidRPr="00A16391">
        <w:rPr>
          <w:rFonts w:ascii="Times New Roman" w:hAnsi="Times New Roman" w:cs="Times New Roman"/>
          <w:sz w:val="24"/>
          <w:lang w:val="es-US"/>
        </w:rPr>
        <w:t>Cureus. https://doi.org/10.7759/cureus.30855</w:t>
      </w:r>
    </w:p>
    <w:p w14:paraId="22E62290" w14:textId="77777777" w:rsidR="00DD57A3" w:rsidRPr="00A16391" w:rsidRDefault="00DD57A3" w:rsidP="00DD57A3">
      <w:pPr>
        <w:pStyle w:val="Bibliography"/>
        <w:spacing w:line="240" w:lineRule="auto"/>
        <w:rPr>
          <w:rFonts w:ascii="Times New Roman" w:hAnsi="Times New Roman" w:cs="Times New Roman"/>
          <w:sz w:val="24"/>
          <w:lang w:val="es-US"/>
        </w:rPr>
      </w:pPr>
      <w:r w:rsidRPr="00A16391">
        <w:rPr>
          <w:rFonts w:ascii="Times New Roman" w:hAnsi="Times New Roman" w:cs="Times New Roman"/>
          <w:sz w:val="24"/>
          <w:lang w:val="es-US"/>
        </w:rPr>
        <w:t xml:space="preserve">Turki, Y. M., &amp; Alqurashi, J. (2023). </w:t>
      </w:r>
      <w:r w:rsidRPr="00C91E19">
        <w:rPr>
          <w:rFonts w:ascii="Times New Roman" w:hAnsi="Times New Roman" w:cs="Times New Roman"/>
          <w:sz w:val="24"/>
        </w:rPr>
        <w:t xml:space="preserve">Knowledge, Attitudes, and Perceptions Towards Human Papillomavirus (HPV) Vaccination Among Adult Women in Primary Health Care Centers in Makkah, Saudi Arabia. </w:t>
      </w:r>
      <w:r w:rsidRPr="00A16391">
        <w:rPr>
          <w:rFonts w:ascii="Times New Roman" w:hAnsi="Times New Roman" w:cs="Times New Roman"/>
          <w:sz w:val="24"/>
          <w:lang w:val="es-US"/>
        </w:rPr>
        <w:t>Cureus, 15. https://doi.org/10.7759/cureus.44157</w:t>
      </w:r>
    </w:p>
    <w:p w14:paraId="71C8B2CB" w14:textId="77777777" w:rsidR="00DD57A3" w:rsidRPr="00C91E19" w:rsidRDefault="00DD57A3" w:rsidP="00DD57A3">
      <w:pPr>
        <w:pStyle w:val="Bibliography"/>
        <w:spacing w:line="240" w:lineRule="auto"/>
        <w:rPr>
          <w:rFonts w:ascii="Times New Roman" w:hAnsi="Times New Roman" w:cs="Times New Roman"/>
          <w:sz w:val="24"/>
        </w:rPr>
      </w:pPr>
      <w:r w:rsidRPr="00A16391">
        <w:rPr>
          <w:rFonts w:ascii="Times New Roman" w:hAnsi="Times New Roman" w:cs="Times New Roman"/>
          <w:sz w:val="24"/>
          <w:lang w:val="es-US"/>
        </w:rPr>
        <w:lastRenderedPageBreak/>
        <w:t xml:space="preserve">Vincent, S. C., Al Yaquobi, S., &amp; Al Hashmi, A. (2024). </w:t>
      </w:r>
      <w:r w:rsidRPr="00C91E19">
        <w:rPr>
          <w:rFonts w:ascii="Times New Roman" w:hAnsi="Times New Roman" w:cs="Times New Roman"/>
          <w:sz w:val="24"/>
        </w:rPr>
        <w:t>A Systematic Review of Knowledge, Attitudes, and Factors Influencing HPV Vaccine Acceptance Among Adolescents, Parents, Teachers, and Healthcare Professionals in the Middle East and North Africa (MENA) Region. Cureus. https://doi.org/10.7759/cureus.60293</w:t>
      </w:r>
    </w:p>
    <w:p w14:paraId="3B8016B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Wees, S. H. van, Bakare, A. A., Akinsola, K. O., Salako, J., Bakare, D., Gobbo, E., Hanson, C., Falade, A. G., &amp; King, C. (2025). Building HPV vaccine confidence through codesigned interventions with and for healthcare workers in Nigeria: Protocol for a pilot cluster randomised controlled trial. BMJ Open, 15(4), e098308. https://doi.org/10.1136/bmjopen-2024-098308</w:t>
      </w:r>
    </w:p>
    <w:p w14:paraId="3BF39BBB"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Yahya, B. B., Adam, I. U., Idayat, A. A., Umar, Z. S., Yaro, N. B., Usman, H. R., Abdullahi, B., Abba, R. U., Danchua, A. A., Hassan, A. I., Kabiru, F., Sambo, H. U., Danbatta, M. N., Akande, B. B., Atana, F. L., Dahiru, M., Kurfi, A. K., Sulaiman, K. I., Ibrahim, H. M., … Yunusa, U. (2025). Human Papilloma Virus (HPV) vaccine: Hesitancy and strategies for increasing acceptance among health care workers in parts of Kano, Nigeria. Dutse Journal of Pure and Applied Sciences. https://doi.org/10.4314/dujopas.v10i4a.11</w:t>
      </w:r>
    </w:p>
    <w:p w14:paraId="0BAA3273" w14:textId="77777777" w:rsidR="00DD57A3" w:rsidRPr="00D55ACB" w:rsidRDefault="00DD57A3" w:rsidP="00DD57A3">
      <w:pPr>
        <w:spacing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1B5E0D44" w14:textId="77777777" w:rsidR="00DD57A3" w:rsidRDefault="00DD57A3"/>
    <w:sectPr w:rsidR="00DD57A3" w:rsidSect="005F5AF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8A99" w14:textId="77777777" w:rsidR="00DB12F7" w:rsidRDefault="00DB12F7">
      <w:pPr>
        <w:spacing w:after="0" w:line="240" w:lineRule="auto"/>
      </w:pPr>
      <w:r>
        <w:separator/>
      </w:r>
    </w:p>
  </w:endnote>
  <w:endnote w:type="continuationSeparator" w:id="0">
    <w:p w14:paraId="2BA4935C" w14:textId="77777777" w:rsidR="00DB12F7" w:rsidRDefault="00DB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B963" w14:textId="77777777" w:rsidR="005F5AF7" w:rsidRDefault="005F5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356366"/>
      <w:docPartObj>
        <w:docPartGallery w:val="Page Numbers (Bottom of Page)"/>
        <w:docPartUnique/>
      </w:docPartObj>
    </w:sdtPr>
    <w:sdtEndPr>
      <w:rPr>
        <w:noProof/>
      </w:rPr>
    </w:sdtEndPr>
    <w:sdtContent>
      <w:p w14:paraId="433EB30D" w14:textId="77777777" w:rsidR="005F5AF7" w:rsidRDefault="005F5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7D50F" w14:textId="77777777" w:rsidR="005F5AF7" w:rsidRDefault="005F5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16AF" w14:textId="77777777" w:rsidR="005F5AF7" w:rsidRDefault="005F5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5DEB2" w14:textId="77777777" w:rsidR="00DB12F7" w:rsidRDefault="00DB12F7">
      <w:pPr>
        <w:spacing w:after="0" w:line="240" w:lineRule="auto"/>
      </w:pPr>
      <w:r>
        <w:separator/>
      </w:r>
    </w:p>
  </w:footnote>
  <w:footnote w:type="continuationSeparator" w:id="0">
    <w:p w14:paraId="1933B18A" w14:textId="77777777" w:rsidR="00DB12F7" w:rsidRDefault="00DB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14CCC" w14:textId="2AE939E4" w:rsidR="005F5AF7" w:rsidRDefault="005F5AF7">
    <w:pPr>
      <w:pStyle w:val="Header"/>
    </w:pPr>
    <w:r>
      <w:rPr>
        <w:noProof/>
      </w:rPr>
      <w:pict w14:anchorId="420D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E6B0A" w14:textId="43AA6B94" w:rsidR="005F5AF7" w:rsidRDefault="005F5AF7">
    <w:pPr>
      <w:pStyle w:val="Header"/>
    </w:pPr>
    <w:r>
      <w:rPr>
        <w:noProof/>
      </w:rPr>
      <w:pict w14:anchorId="7E7AA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9FD3B19" w14:textId="77777777" w:rsidR="005F5AF7" w:rsidRDefault="005F5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B85B" w14:textId="70864B5A" w:rsidR="005F5AF7" w:rsidRDefault="005F5AF7">
    <w:pPr>
      <w:pStyle w:val="Header"/>
    </w:pPr>
    <w:r>
      <w:rPr>
        <w:noProof/>
      </w:rPr>
      <w:pict w14:anchorId="7A64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60C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218794A"/>
    <w:lvl w:ilvl="0" w:tplc="80E2EFD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642C4548"/>
    <w:lvl w:ilvl="0" w:tplc="5DC6F644">
      <w:start w:val="1"/>
      <w:numFmt w:val="none"/>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383A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CA4134E"/>
    <w:lvl w:ilvl="0" w:tplc="0809000B">
      <w:start w:val="2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204D6F6"/>
    <w:lvl w:ilvl="0" w:tplc="4782CC8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singleLevel"/>
    <w:tmpl w:val="8C54F066"/>
    <w:lvl w:ilvl="0">
      <w:start w:val="1"/>
      <w:numFmt w:val="decimal"/>
      <w:suff w:val="space"/>
      <w:lvlText w:val="%1."/>
      <w:lvlJc w:val="left"/>
      <w:rPr>
        <w:rFonts w:ascii="Times New Roman" w:eastAsia="Calibri" w:hAnsi="Times New Roman" w:cs="Times New Roman"/>
      </w:rPr>
    </w:lvl>
  </w:abstractNum>
  <w:abstractNum w:abstractNumId="7" w15:restartNumberingAfterBreak="0">
    <w:nsid w:val="00000008"/>
    <w:multiLevelType w:val="hybridMultilevel"/>
    <w:tmpl w:val="6FBC06DC"/>
    <w:lvl w:ilvl="0" w:tplc="0809000B">
      <w:start w:val="2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D0A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7F323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hybridMultilevel"/>
    <w:tmpl w:val="44504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EF74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3A2C069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525AD20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0F"/>
    <w:multiLevelType w:val="hybridMultilevel"/>
    <w:tmpl w:val="1810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B8A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758016CA"/>
    <w:lvl w:ilvl="0" w:tplc="DA1ABE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1B5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2E7E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A7A29EC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multilevel"/>
    <w:tmpl w:val="25545F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0000016"/>
    <w:multiLevelType w:val="multilevel"/>
    <w:tmpl w:val="F8F0B8D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0000017"/>
    <w:multiLevelType w:val="hybridMultilevel"/>
    <w:tmpl w:val="3F74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3E4E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423682A"/>
    <w:multiLevelType w:val="hybridMultilevel"/>
    <w:tmpl w:val="C994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54715C0"/>
    <w:multiLevelType w:val="hybridMultilevel"/>
    <w:tmpl w:val="BD68DA3C"/>
    <w:lvl w:ilvl="0" w:tplc="777EB776">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0ECB3360"/>
    <w:multiLevelType w:val="multilevel"/>
    <w:tmpl w:val="3EF8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0B76E4"/>
    <w:multiLevelType w:val="hybridMultilevel"/>
    <w:tmpl w:val="D458D77A"/>
    <w:lvl w:ilvl="0" w:tplc="080853C8">
      <w:start w:val="5"/>
      <w:numFmt w:val="decimal"/>
      <w:lvlText w:val="%1"/>
      <w:lvlJc w:val="left"/>
      <w:pPr>
        <w:ind w:left="680" w:hanging="360"/>
      </w:pPr>
      <w:rPr>
        <w:rFonts w:hint="default"/>
        <w:lang w:val="en-US" w:eastAsia="en-US" w:bidi="en-US"/>
      </w:rPr>
    </w:lvl>
    <w:lvl w:ilvl="1" w:tplc="B83C6598">
      <w:start w:val="1"/>
      <w:numFmt w:val="none"/>
      <w:lvlText w:val=""/>
      <w:lvlJc w:val="left"/>
      <w:pPr>
        <w:tabs>
          <w:tab w:val="left" w:pos="360"/>
        </w:tabs>
      </w:pPr>
    </w:lvl>
    <w:lvl w:ilvl="2" w:tplc="D870FE0A">
      <w:start w:val="1"/>
      <w:numFmt w:val="bullet"/>
      <w:lvlText w:val="●"/>
      <w:lvlJc w:val="left"/>
      <w:pPr>
        <w:ind w:left="1040" w:hanging="360"/>
      </w:pPr>
      <w:rPr>
        <w:rFonts w:ascii="Arial" w:eastAsia="Arial" w:hAnsi="Arial" w:cs="Arial" w:hint="default"/>
        <w:spacing w:val="-30"/>
        <w:w w:val="100"/>
        <w:sz w:val="24"/>
        <w:szCs w:val="24"/>
        <w:lang w:val="en-US" w:eastAsia="en-US" w:bidi="en-US"/>
      </w:rPr>
    </w:lvl>
    <w:lvl w:ilvl="3" w:tplc="76D2F8CE">
      <w:start w:val="1"/>
      <w:numFmt w:val="bullet"/>
      <w:lvlText w:val="•"/>
      <w:lvlJc w:val="left"/>
      <w:pPr>
        <w:ind w:left="3173" w:hanging="360"/>
      </w:pPr>
      <w:rPr>
        <w:rFonts w:hint="default"/>
        <w:lang w:val="en-US" w:eastAsia="en-US" w:bidi="en-US"/>
      </w:rPr>
    </w:lvl>
    <w:lvl w:ilvl="4" w:tplc="A9105BB6">
      <w:start w:val="1"/>
      <w:numFmt w:val="bullet"/>
      <w:lvlText w:val="•"/>
      <w:lvlJc w:val="left"/>
      <w:pPr>
        <w:ind w:left="4240" w:hanging="360"/>
      </w:pPr>
      <w:rPr>
        <w:rFonts w:hint="default"/>
        <w:lang w:val="en-US" w:eastAsia="en-US" w:bidi="en-US"/>
      </w:rPr>
    </w:lvl>
    <w:lvl w:ilvl="5" w:tplc="B7E20938">
      <w:start w:val="1"/>
      <w:numFmt w:val="bullet"/>
      <w:lvlText w:val="•"/>
      <w:lvlJc w:val="left"/>
      <w:pPr>
        <w:ind w:left="5306" w:hanging="360"/>
      </w:pPr>
      <w:rPr>
        <w:rFonts w:hint="default"/>
        <w:lang w:val="en-US" w:eastAsia="en-US" w:bidi="en-US"/>
      </w:rPr>
    </w:lvl>
    <w:lvl w:ilvl="6" w:tplc="041AB18E">
      <w:start w:val="1"/>
      <w:numFmt w:val="bullet"/>
      <w:lvlText w:val="•"/>
      <w:lvlJc w:val="left"/>
      <w:pPr>
        <w:ind w:left="6373" w:hanging="360"/>
      </w:pPr>
      <w:rPr>
        <w:rFonts w:hint="default"/>
        <w:lang w:val="en-US" w:eastAsia="en-US" w:bidi="en-US"/>
      </w:rPr>
    </w:lvl>
    <w:lvl w:ilvl="7" w:tplc="32765D46">
      <w:start w:val="1"/>
      <w:numFmt w:val="bullet"/>
      <w:lvlText w:val="•"/>
      <w:lvlJc w:val="left"/>
      <w:pPr>
        <w:ind w:left="7440" w:hanging="360"/>
      </w:pPr>
      <w:rPr>
        <w:rFonts w:hint="default"/>
        <w:lang w:val="en-US" w:eastAsia="en-US" w:bidi="en-US"/>
      </w:rPr>
    </w:lvl>
    <w:lvl w:ilvl="8" w:tplc="D6505634">
      <w:start w:val="1"/>
      <w:numFmt w:val="bullet"/>
      <w:lvlText w:val="•"/>
      <w:lvlJc w:val="left"/>
      <w:pPr>
        <w:ind w:left="8506" w:hanging="360"/>
      </w:pPr>
      <w:rPr>
        <w:rFonts w:hint="default"/>
        <w:lang w:val="en-US" w:eastAsia="en-US" w:bidi="en-US"/>
      </w:rPr>
    </w:lvl>
  </w:abstractNum>
  <w:abstractNum w:abstractNumId="28" w15:restartNumberingAfterBreak="0">
    <w:nsid w:val="353279E1"/>
    <w:multiLevelType w:val="multilevel"/>
    <w:tmpl w:val="E922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2B12DF"/>
    <w:multiLevelType w:val="multilevel"/>
    <w:tmpl w:val="71C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F34B3"/>
    <w:multiLevelType w:val="multilevel"/>
    <w:tmpl w:val="F4FC044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592AAC"/>
    <w:multiLevelType w:val="multilevel"/>
    <w:tmpl w:val="91B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B5AE2"/>
    <w:multiLevelType w:val="hybridMultilevel"/>
    <w:tmpl w:val="D6C8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B0615"/>
    <w:multiLevelType w:val="multilevel"/>
    <w:tmpl w:val="2DB254A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8D621DB"/>
    <w:multiLevelType w:val="multilevel"/>
    <w:tmpl w:val="0F2C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7"/>
  </w:num>
  <w:num w:numId="4">
    <w:abstractNumId w:val="15"/>
  </w:num>
  <w:num w:numId="5">
    <w:abstractNumId w:val="16"/>
  </w:num>
  <w:num w:numId="6">
    <w:abstractNumId w:val="13"/>
  </w:num>
  <w:num w:numId="7">
    <w:abstractNumId w:val="9"/>
  </w:num>
  <w:num w:numId="8">
    <w:abstractNumId w:val="20"/>
  </w:num>
  <w:num w:numId="9">
    <w:abstractNumId w:val="2"/>
  </w:num>
  <w:num w:numId="10">
    <w:abstractNumId w:val="14"/>
  </w:num>
  <w:num w:numId="11">
    <w:abstractNumId w:val="3"/>
  </w:num>
  <w:num w:numId="12">
    <w:abstractNumId w:val="10"/>
  </w:num>
  <w:num w:numId="13">
    <w:abstractNumId w:val="22"/>
  </w:num>
  <w:num w:numId="14">
    <w:abstractNumId w:val="21"/>
  </w:num>
  <w:num w:numId="15">
    <w:abstractNumId w:val="19"/>
  </w:num>
  <w:num w:numId="16">
    <w:abstractNumId w:val="11"/>
  </w:num>
  <w:num w:numId="17">
    <w:abstractNumId w:val="23"/>
  </w:num>
  <w:num w:numId="18">
    <w:abstractNumId w:val="0"/>
  </w:num>
  <w:num w:numId="19">
    <w:abstractNumId w:val="5"/>
  </w:num>
  <w:num w:numId="20">
    <w:abstractNumId w:val="1"/>
  </w:num>
  <w:num w:numId="21">
    <w:abstractNumId w:val="27"/>
  </w:num>
  <w:num w:numId="22">
    <w:abstractNumId w:val="8"/>
  </w:num>
  <w:num w:numId="23">
    <w:abstractNumId w:val="4"/>
  </w:num>
  <w:num w:numId="24">
    <w:abstractNumId w:val="7"/>
  </w:num>
  <w:num w:numId="25">
    <w:abstractNumId w:val="18"/>
  </w:num>
  <w:num w:numId="26">
    <w:abstractNumId w:val="32"/>
  </w:num>
  <w:num w:numId="27">
    <w:abstractNumId w:val="30"/>
  </w:num>
  <w:num w:numId="28">
    <w:abstractNumId w:val="33"/>
  </w:num>
  <w:num w:numId="29">
    <w:abstractNumId w:val="34"/>
  </w:num>
  <w:num w:numId="30">
    <w:abstractNumId w:val="28"/>
  </w:num>
  <w:num w:numId="31">
    <w:abstractNumId w:val="29"/>
  </w:num>
  <w:num w:numId="32">
    <w:abstractNumId w:val="26"/>
  </w:num>
  <w:num w:numId="33">
    <w:abstractNumId w:val="24"/>
  </w:num>
  <w:num w:numId="34">
    <w:abstractNumId w:val="3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NzU0NzAxtDA3tLBQ0lEKTi0uzszPAykwrAUAjekVXywAAAA="/>
  </w:docVars>
  <w:rsids>
    <w:rsidRoot w:val="00DD57A3"/>
    <w:rsid w:val="000D13ED"/>
    <w:rsid w:val="002964BC"/>
    <w:rsid w:val="004A099F"/>
    <w:rsid w:val="004C333B"/>
    <w:rsid w:val="0051011E"/>
    <w:rsid w:val="005F29EE"/>
    <w:rsid w:val="005F5AF7"/>
    <w:rsid w:val="0072458F"/>
    <w:rsid w:val="00807BBC"/>
    <w:rsid w:val="00A16391"/>
    <w:rsid w:val="00AC5A0F"/>
    <w:rsid w:val="00B42105"/>
    <w:rsid w:val="00B81507"/>
    <w:rsid w:val="00BC25C4"/>
    <w:rsid w:val="00BF0F19"/>
    <w:rsid w:val="00D16CB1"/>
    <w:rsid w:val="00DB12F7"/>
    <w:rsid w:val="00DD57A3"/>
    <w:rsid w:val="00E64020"/>
    <w:rsid w:val="00E80C55"/>
    <w:rsid w:val="00E9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E1BB7"/>
  <w15:chartTrackingRefBased/>
  <w15:docId w15:val="{FBCC1265-8529-49F9-8EC7-CC33039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7A3"/>
    <w:rPr>
      <w:rFonts w:ascii="Calibri" w:eastAsia="Calibri" w:hAnsi="Calibri" w:cs="SimSun"/>
      <w:lang w:val="en-GB"/>
    </w:rPr>
  </w:style>
  <w:style w:type="paragraph" w:styleId="Heading1">
    <w:name w:val="heading 1"/>
    <w:basedOn w:val="Normal"/>
    <w:next w:val="Normal"/>
    <w:link w:val="Heading1Char"/>
    <w:uiPriority w:val="9"/>
    <w:qFormat/>
    <w:rsid w:val="00DD57A3"/>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unhideWhenUsed/>
    <w:qFormat/>
    <w:rsid w:val="00DD57A3"/>
    <w:pPr>
      <w:widowControl w:val="0"/>
      <w:autoSpaceDE w:val="0"/>
      <w:autoSpaceDN w:val="0"/>
      <w:spacing w:after="0" w:line="240" w:lineRule="auto"/>
      <w:ind w:left="680"/>
      <w:outlineLvl w:val="1"/>
    </w:pPr>
    <w:rPr>
      <w:rFonts w:ascii="Times New Roman" w:eastAsia="Times New Roman" w:hAnsi="Times New Roman" w:cs="Times New Roman"/>
      <w:b/>
      <w:bCs/>
      <w:sz w:val="24"/>
      <w:szCs w:val="24"/>
      <w:lang w:val="en-US" w:bidi="en-US"/>
    </w:rPr>
  </w:style>
  <w:style w:type="paragraph" w:styleId="Heading3">
    <w:name w:val="heading 3"/>
    <w:basedOn w:val="Normal"/>
    <w:next w:val="Normal"/>
    <w:link w:val="Heading3Char"/>
    <w:uiPriority w:val="9"/>
    <w:semiHidden/>
    <w:unhideWhenUsed/>
    <w:qFormat/>
    <w:rsid w:val="00DD57A3"/>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rsid w:val="00DD57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A3"/>
    <w:rPr>
      <w:rFonts w:ascii="Calibri Light" w:eastAsia="SimSun" w:hAnsi="Calibri Light" w:cs="SimSun"/>
      <w:color w:val="2F5496"/>
      <w:sz w:val="32"/>
      <w:szCs w:val="32"/>
      <w:lang w:val="en-GB"/>
    </w:rPr>
  </w:style>
  <w:style w:type="character" w:customStyle="1" w:styleId="Heading2Char">
    <w:name w:val="Heading 2 Char"/>
    <w:basedOn w:val="DefaultParagraphFont"/>
    <w:link w:val="Heading2"/>
    <w:uiPriority w:val="9"/>
    <w:rsid w:val="00DD57A3"/>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DD57A3"/>
    <w:rPr>
      <w:rFonts w:ascii="Calibri Light" w:eastAsia="SimSun" w:hAnsi="Calibri Light" w:cs="SimSun"/>
      <w:color w:val="1F3763"/>
      <w:sz w:val="24"/>
      <w:szCs w:val="24"/>
      <w:lang w:val="en-GB"/>
    </w:rPr>
  </w:style>
  <w:style w:type="character" w:customStyle="1" w:styleId="Heading4Char">
    <w:name w:val="Heading 4 Char"/>
    <w:basedOn w:val="DefaultParagraphFont"/>
    <w:link w:val="Heading4"/>
    <w:uiPriority w:val="9"/>
    <w:semiHidden/>
    <w:rsid w:val="00DD57A3"/>
    <w:rPr>
      <w:rFonts w:asciiTheme="majorHAnsi" w:eastAsiaTheme="majorEastAsia" w:hAnsiTheme="majorHAnsi" w:cstheme="majorBidi"/>
      <w:i/>
      <w:iCs/>
      <w:color w:val="2F5496" w:themeColor="accent1" w:themeShade="BF"/>
      <w:lang w:val="en-GB"/>
    </w:rPr>
  </w:style>
  <w:style w:type="paragraph" w:styleId="Header">
    <w:name w:val="header"/>
    <w:basedOn w:val="Normal"/>
    <w:link w:val="HeaderChar"/>
    <w:uiPriority w:val="99"/>
    <w:rsid w:val="00DD5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A3"/>
    <w:rPr>
      <w:rFonts w:ascii="Calibri" w:eastAsia="Calibri" w:hAnsi="Calibri" w:cs="SimSun"/>
      <w:lang w:val="en-GB"/>
    </w:rPr>
  </w:style>
  <w:style w:type="paragraph" w:styleId="Footer">
    <w:name w:val="footer"/>
    <w:basedOn w:val="Normal"/>
    <w:link w:val="FooterChar"/>
    <w:uiPriority w:val="99"/>
    <w:rsid w:val="00DD5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A3"/>
    <w:rPr>
      <w:rFonts w:ascii="Calibri" w:eastAsia="Calibri" w:hAnsi="Calibri" w:cs="SimSun"/>
      <w:lang w:val="en-GB"/>
    </w:rPr>
  </w:style>
  <w:style w:type="paragraph" w:styleId="BodyText">
    <w:name w:val="Body Text"/>
    <w:basedOn w:val="Normal"/>
    <w:link w:val="BodyTextChar"/>
    <w:uiPriority w:val="1"/>
    <w:qFormat/>
    <w:rsid w:val="00DD57A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D57A3"/>
    <w:rPr>
      <w:rFonts w:ascii="Times New Roman" w:eastAsia="Times New Roman" w:hAnsi="Times New Roman" w:cs="Times New Roman"/>
      <w:sz w:val="24"/>
      <w:szCs w:val="24"/>
      <w:lang w:bidi="en-US"/>
    </w:rPr>
  </w:style>
  <w:style w:type="table" w:styleId="TableGrid">
    <w:name w:val="Table Grid"/>
    <w:basedOn w:val="TableNormal"/>
    <w:uiPriority w:val="39"/>
    <w:qFormat/>
    <w:rsid w:val="00DD57A3"/>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DD57A3"/>
    <w:pPr>
      <w:spacing w:after="0" w:line="480" w:lineRule="auto"/>
      <w:ind w:left="720" w:hanging="720"/>
    </w:pPr>
    <w:rPr>
      <w:lang w:val="en-US"/>
    </w:rPr>
  </w:style>
  <w:style w:type="paragraph" w:styleId="ListParagraph">
    <w:name w:val="List Paragraph"/>
    <w:basedOn w:val="Normal"/>
    <w:uiPriority w:val="1"/>
    <w:qFormat/>
    <w:rsid w:val="00DD57A3"/>
    <w:pPr>
      <w:ind w:left="720"/>
      <w:contextualSpacing/>
    </w:pPr>
    <w:rPr>
      <w:lang w:val="en-US"/>
    </w:rPr>
  </w:style>
  <w:style w:type="paragraph" w:styleId="NormalWeb">
    <w:name w:val="Normal (Web)"/>
    <w:basedOn w:val="Normal"/>
    <w:uiPriority w:val="99"/>
    <w:rsid w:val="00DD57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rsid w:val="00DD57A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DD57A3"/>
    <w:rPr>
      <w:rFonts w:ascii="Tahoma" w:eastAsia="Calibri" w:hAnsi="Tahoma" w:cs="Tahoma"/>
      <w:sz w:val="16"/>
      <w:szCs w:val="16"/>
    </w:rPr>
  </w:style>
  <w:style w:type="character" w:styleId="Strong">
    <w:name w:val="Strong"/>
    <w:basedOn w:val="DefaultParagraphFont"/>
    <w:uiPriority w:val="22"/>
    <w:qFormat/>
    <w:rsid w:val="00DD57A3"/>
    <w:rPr>
      <w:b/>
      <w:bCs/>
    </w:rPr>
  </w:style>
  <w:style w:type="character" w:customStyle="1" w:styleId="html-italic">
    <w:name w:val="html-italic"/>
    <w:basedOn w:val="DefaultParagraphFont"/>
    <w:rsid w:val="00DD57A3"/>
  </w:style>
  <w:style w:type="character" w:styleId="CommentReference">
    <w:name w:val="annotation reference"/>
    <w:basedOn w:val="DefaultParagraphFont"/>
    <w:uiPriority w:val="99"/>
    <w:rsid w:val="00DD57A3"/>
    <w:rPr>
      <w:sz w:val="16"/>
      <w:szCs w:val="16"/>
    </w:rPr>
  </w:style>
  <w:style w:type="paragraph" w:styleId="CommentText">
    <w:name w:val="annotation text"/>
    <w:basedOn w:val="Normal"/>
    <w:link w:val="CommentTextChar"/>
    <w:uiPriority w:val="99"/>
    <w:rsid w:val="00DD57A3"/>
    <w:pPr>
      <w:spacing w:line="240" w:lineRule="auto"/>
    </w:pPr>
    <w:rPr>
      <w:sz w:val="20"/>
      <w:szCs w:val="20"/>
    </w:rPr>
  </w:style>
  <w:style w:type="character" w:customStyle="1" w:styleId="CommentTextChar">
    <w:name w:val="Comment Text Char"/>
    <w:basedOn w:val="DefaultParagraphFont"/>
    <w:link w:val="CommentText"/>
    <w:uiPriority w:val="99"/>
    <w:rsid w:val="00DD57A3"/>
    <w:rPr>
      <w:rFonts w:ascii="Calibri" w:eastAsia="Calibri" w:hAnsi="Calibri" w:cs="SimSun"/>
      <w:sz w:val="20"/>
      <w:szCs w:val="20"/>
      <w:lang w:val="en-GB"/>
    </w:rPr>
  </w:style>
  <w:style w:type="paragraph" w:styleId="CommentSubject">
    <w:name w:val="annotation subject"/>
    <w:basedOn w:val="CommentText"/>
    <w:next w:val="CommentText"/>
    <w:link w:val="CommentSubjectChar"/>
    <w:uiPriority w:val="99"/>
    <w:rsid w:val="00DD57A3"/>
    <w:rPr>
      <w:b/>
      <w:bCs/>
    </w:rPr>
  </w:style>
  <w:style w:type="character" w:customStyle="1" w:styleId="CommentSubjectChar">
    <w:name w:val="Comment Subject Char"/>
    <w:basedOn w:val="CommentTextChar"/>
    <w:link w:val="CommentSubject"/>
    <w:uiPriority w:val="99"/>
    <w:rsid w:val="00DD57A3"/>
    <w:rPr>
      <w:rFonts w:ascii="Calibri" w:eastAsia="Calibri" w:hAnsi="Calibri" w:cs="SimSun"/>
      <w:b/>
      <w:bCs/>
      <w:sz w:val="20"/>
      <w:szCs w:val="20"/>
      <w:lang w:val="en-GB"/>
    </w:rPr>
  </w:style>
  <w:style w:type="character" w:styleId="Hyperlink">
    <w:name w:val="Hyperlink"/>
    <w:basedOn w:val="DefaultParagraphFont"/>
    <w:uiPriority w:val="99"/>
    <w:rsid w:val="00DD57A3"/>
    <w:rPr>
      <w:color w:val="0563C1"/>
      <w:u w:val="single"/>
    </w:rPr>
  </w:style>
  <w:style w:type="character" w:customStyle="1" w:styleId="UnresolvedMention1">
    <w:name w:val="Unresolved Mention1"/>
    <w:basedOn w:val="DefaultParagraphFont"/>
    <w:uiPriority w:val="99"/>
    <w:rsid w:val="00DD57A3"/>
    <w:rPr>
      <w:color w:val="605E5C"/>
      <w:shd w:val="clear" w:color="auto" w:fill="E1DFDD"/>
    </w:rPr>
  </w:style>
  <w:style w:type="paragraph" w:customStyle="1" w:styleId="Default">
    <w:name w:val="Default"/>
    <w:qFormat/>
    <w:rsid w:val="00DD57A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D57A3"/>
    <w:rPr>
      <w:color w:val="605E5C"/>
      <w:shd w:val="clear" w:color="auto" w:fill="E1DFDD"/>
    </w:rPr>
  </w:style>
  <w:style w:type="table" w:styleId="PlainTable2">
    <w:name w:val="Plain Table 2"/>
    <w:basedOn w:val="TableNormal"/>
    <w:uiPriority w:val="42"/>
    <w:rsid w:val="00DD57A3"/>
    <w:pPr>
      <w:spacing w:after="0" w:line="240" w:lineRule="auto"/>
    </w:pPr>
    <w:rPr>
      <w:rFonts w:ascii="Calibri" w:eastAsia="Calibri" w:hAnsi="Calibri" w:cs="SimSun"/>
      <w:kern w:val="2"/>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Overall Level of Awareness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Sheet1!$O$9:$O$10</c:f>
              <c:strCache>
                <c:ptCount val="2"/>
                <c:pt idx="0">
                  <c:v>High</c:v>
                </c:pt>
                <c:pt idx="1">
                  <c:v>Low</c:v>
                </c:pt>
              </c:strCache>
            </c:strRef>
          </c:cat>
          <c:val>
            <c:numRef>
              <c:f>Sheet1!$P$9:$P$10</c:f>
              <c:numCache>
                <c:formatCode>General</c:formatCode>
                <c:ptCount val="2"/>
                <c:pt idx="0">
                  <c:v>82</c:v>
                </c:pt>
                <c:pt idx="1">
                  <c:v>18</c:v>
                </c:pt>
              </c:numCache>
            </c:numRef>
          </c:val>
          <c:extLst>
            <c:ext xmlns:c16="http://schemas.microsoft.com/office/drawing/2014/chart" uri="{C3380CC4-5D6E-409C-BE32-E72D297353CC}">
              <c16:uniqueId val="{00000000-78C5-40BF-834D-6B98BE8E343A}"/>
            </c:ext>
          </c:extLst>
        </c:ser>
        <c:dLbls>
          <c:dLblPos val="inEnd"/>
          <c:showLegendKey val="0"/>
          <c:showVal val="1"/>
          <c:showCatName val="0"/>
          <c:showSerName val="0"/>
          <c:showPercent val="0"/>
          <c:showBubbleSize val="0"/>
        </c:dLbls>
        <c:gapWidth val="100"/>
        <c:overlap val="-24"/>
        <c:axId val="600346456"/>
        <c:axId val="600348616"/>
      </c:barChart>
      <c:catAx>
        <c:axId val="600346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0348616"/>
        <c:crosses val="autoZero"/>
        <c:auto val="1"/>
        <c:lblAlgn val="ctr"/>
        <c:lblOffset val="100"/>
        <c:noMultiLvlLbl val="0"/>
      </c:catAx>
      <c:valAx>
        <c:axId val="600348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0346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Transmission Route of HPV Infections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647275176129302"/>
          <c:y val="0.14017730496453901"/>
          <c:w val="0.59536935350186493"/>
          <c:h val="0.77755933433852686"/>
        </c:manualLayout>
      </c:layout>
      <c:barChart>
        <c:barDir val="bar"/>
        <c:grouping val="clustered"/>
        <c:varyColors val="0"/>
        <c:ser>
          <c:idx val="3"/>
          <c:order val="3"/>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Sheet1!$B$26:$B$29</c:f>
              <c:strCache>
                <c:ptCount val="4"/>
                <c:pt idx="0">
                  <c:v>Sexual Intercourse</c:v>
                </c:pt>
                <c:pt idx="1">
                  <c:v>Kissing</c:v>
                </c:pt>
                <c:pt idx="2">
                  <c:v>Airborne</c:v>
                </c:pt>
                <c:pt idx="3">
                  <c:v>Use of the infected Person Belongings</c:v>
                </c:pt>
              </c:strCache>
            </c:strRef>
          </c:cat>
          <c:val>
            <c:numRef>
              <c:f>Sheet1!$F$26:$F$29</c:f>
              <c:numCache>
                <c:formatCode>General</c:formatCode>
                <c:ptCount val="4"/>
                <c:pt idx="0">
                  <c:v>98.7</c:v>
                </c:pt>
                <c:pt idx="1">
                  <c:v>21.5</c:v>
                </c:pt>
                <c:pt idx="2">
                  <c:v>2.5</c:v>
                </c:pt>
                <c:pt idx="3">
                  <c:v>3.8</c:v>
                </c:pt>
              </c:numCache>
            </c:numRef>
          </c:val>
          <c:extLst>
            <c:ext xmlns:c16="http://schemas.microsoft.com/office/drawing/2014/chart" uri="{C3380CC4-5D6E-409C-BE32-E72D297353CC}">
              <c16:uniqueId val="{00000000-DBF4-4FCE-A397-F842DF9C6319}"/>
            </c:ext>
          </c:extLst>
        </c:ser>
        <c:dLbls>
          <c:dLblPos val="inEnd"/>
          <c:showLegendKey val="0"/>
          <c:showVal val="1"/>
          <c:showCatName val="0"/>
          <c:showSerName val="0"/>
          <c:showPercent val="0"/>
          <c:showBubbleSize val="0"/>
        </c:dLbls>
        <c:gapWidth val="115"/>
        <c:overlap val="-20"/>
        <c:axId val="444138392"/>
        <c:axId val="444139112"/>
        <c:extLst>
          <c:ext xmlns:c15="http://schemas.microsoft.com/office/drawing/2012/chart" uri="{02D57815-91ED-43cb-92C2-25804820EDAC}">
            <c15:filteredBarSeries>
              <c15:ser>
                <c:idx val="0"/>
                <c:order val="0"/>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c:ext uri="{02D57815-91ED-43cb-92C2-25804820EDAC}">
                        <c15:formulaRef>
                          <c15:sqref>Sheet1!$C$26:$C$29</c15:sqref>
                        </c15:formulaRef>
                      </c:ext>
                    </c:extLst>
                    <c:numCache>
                      <c:formatCode>General</c:formatCode>
                      <c:ptCount val="4"/>
                    </c:numCache>
                  </c:numRef>
                </c:val>
                <c:extLst>
                  <c:ext xmlns:c16="http://schemas.microsoft.com/office/drawing/2014/chart" uri="{C3380CC4-5D6E-409C-BE32-E72D297353CC}">
                    <c16:uniqueId val="{00000001-DBF4-4FCE-A397-F842DF9C6319}"/>
                  </c:ext>
                </c:extLst>
              </c15:ser>
            </c15:filteredBarSeries>
            <c15:filteredBarSeries>
              <c15:ser>
                <c:idx val="1"/>
                <c:order val="1"/>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Sheet1!$D$26:$D$29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DBF4-4FCE-A397-F842DF9C6319}"/>
                  </c:ext>
                </c:extLst>
              </c15:ser>
            </c15:filteredBarSeries>
            <c15:filteredBarSeries>
              <c15:ser>
                <c:idx val="2"/>
                <c:order val="2"/>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Sheet1!$E$26:$E$29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DBF4-4FCE-A397-F842DF9C6319}"/>
                  </c:ext>
                </c:extLst>
              </c15:ser>
            </c15:filteredBarSeries>
          </c:ext>
        </c:extLst>
      </c:barChart>
      <c:catAx>
        <c:axId val="4441383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4139112"/>
        <c:crosses val="autoZero"/>
        <c:auto val="1"/>
        <c:lblAlgn val="ctr"/>
        <c:lblOffset val="100"/>
        <c:noMultiLvlLbl val="0"/>
      </c:catAx>
      <c:valAx>
        <c:axId val="444139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138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Overall</a:t>
            </a:r>
            <a:r>
              <a:rPr lang="en-GB" baseline="0">
                <a:latin typeface="Times New Roman" panose="02020603050405020304" pitchFamily="18" charset="0"/>
                <a:cs typeface="Times New Roman" panose="02020603050405020304" pitchFamily="18" charset="0"/>
              </a:rPr>
              <a:t> Level of Knowledge</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Sheet1!$O$13:$O$15</c:f>
              <c:strCache>
                <c:ptCount val="3"/>
                <c:pt idx="0">
                  <c:v>High</c:v>
                </c:pt>
                <c:pt idx="1">
                  <c:v>Moderate</c:v>
                </c:pt>
                <c:pt idx="2">
                  <c:v>Low</c:v>
                </c:pt>
              </c:strCache>
            </c:strRef>
          </c:cat>
          <c:val>
            <c:numRef>
              <c:f>Sheet1!$P$13:$P$15</c:f>
              <c:numCache>
                <c:formatCode>General</c:formatCode>
                <c:ptCount val="3"/>
                <c:pt idx="0">
                  <c:v>34.200000000000003</c:v>
                </c:pt>
                <c:pt idx="1">
                  <c:v>54.4</c:v>
                </c:pt>
                <c:pt idx="2">
                  <c:v>11.4</c:v>
                </c:pt>
              </c:numCache>
            </c:numRef>
          </c:val>
          <c:extLst>
            <c:ext xmlns:c16="http://schemas.microsoft.com/office/drawing/2014/chart" uri="{C3380CC4-5D6E-409C-BE32-E72D297353CC}">
              <c16:uniqueId val="{00000000-AF70-4E0D-A26D-B98723F148E0}"/>
            </c:ext>
          </c:extLst>
        </c:ser>
        <c:dLbls>
          <c:dLblPos val="ctr"/>
          <c:showLegendKey val="0"/>
          <c:showVal val="1"/>
          <c:showCatName val="0"/>
          <c:showSerName val="0"/>
          <c:showPercent val="0"/>
          <c:showBubbleSize val="0"/>
        </c:dLbls>
        <c:gapWidth val="150"/>
        <c:overlap val="100"/>
        <c:axId val="641136112"/>
        <c:axId val="641136472"/>
      </c:barChart>
      <c:catAx>
        <c:axId val="64113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1136472"/>
        <c:crosses val="autoZero"/>
        <c:auto val="1"/>
        <c:lblAlgn val="ctr"/>
        <c:lblOffset val="100"/>
        <c:noMultiLvlLbl val="0"/>
      </c:catAx>
      <c:valAx>
        <c:axId val="641136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13611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400">
                <a:latin typeface="Times New Roman" panose="02020603050405020304" pitchFamily="18" charset="0"/>
                <a:cs typeface="Times New Roman" panose="02020603050405020304" pitchFamily="18" charset="0"/>
              </a:rPr>
              <a:t>Factors Influencing Acceptability of the HPV Vaccine</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Sheet1!$J$9:$J$13</c:f>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f>Sheet1!$O$9:$O$13</c:f>
              <c:numCache>
                <c:formatCode>General</c:formatCode>
                <c:ptCount val="5"/>
                <c:pt idx="0">
                  <c:v>67.099999999999994</c:v>
                </c:pt>
                <c:pt idx="1">
                  <c:v>2.5</c:v>
                </c:pt>
                <c:pt idx="2">
                  <c:v>44.3</c:v>
                </c:pt>
                <c:pt idx="3">
                  <c:v>49</c:v>
                </c:pt>
                <c:pt idx="4">
                  <c:v>17.7</c:v>
                </c:pt>
              </c:numCache>
            </c:numRef>
          </c:val>
          <c:extLst>
            <c:ext xmlns:c16="http://schemas.microsoft.com/office/drawing/2014/chart" uri="{C3380CC4-5D6E-409C-BE32-E72D297353CC}">
              <c16:uniqueId val="{00000000-4762-4231-BCA2-102344E1349C}"/>
            </c:ext>
          </c:extLst>
        </c:ser>
        <c:dLbls>
          <c:dLblPos val="inEnd"/>
          <c:showLegendKey val="0"/>
          <c:showVal val="1"/>
          <c:showCatName val="0"/>
          <c:showSerName val="0"/>
          <c:showPercent val="0"/>
          <c:showBubbleSize val="0"/>
        </c:dLbls>
        <c:gapWidth val="100"/>
        <c:axId val="631974760"/>
        <c:axId val="631978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c:ext uri="{02D57815-91ED-43cb-92C2-25804820EDAC}">
                        <c15:formulaRef>
                          <c15:sqref>Sheet1!$K$9:$K$13</c15:sqref>
                        </c15:formulaRef>
                      </c:ext>
                    </c:extLst>
                    <c:numCache>
                      <c:formatCode>General</c:formatCode>
                      <c:ptCount val="5"/>
                    </c:numCache>
                  </c:numRef>
                </c:val>
                <c:extLst>
                  <c:ext xmlns:c16="http://schemas.microsoft.com/office/drawing/2014/chart" uri="{C3380CC4-5D6E-409C-BE32-E72D297353CC}">
                    <c16:uniqueId val="{00000001-4762-4231-BCA2-102344E1349C}"/>
                  </c:ext>
                </c:extLst>
              </c15:ser>
            </c15:filteredBarSeries>
            <c15:filteredBarSeries>
              <c15: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Sheet1!$L$9:$L$13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4762-4231-BCA2-102344E1349C}"/>
                  </c:ext>
                </c:extLst>
              </c15:ser>
            </c15:filteredBarSeries>
            <c15:filteredBarSeries>
              <c15: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Sheet1!$M$9:$M$13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4762-4231-BCA2-102344E1349C}"/>
                  </c:ext>
                </c:extLst>
              </c15:ser>
            </c15:filteredBarSeries>
            <c15:filteredBarSeries>
              <c15: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Sheet1!$N$9:$N$13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4762-4231-BCA2-102344E1349C}"/>
                  </c:ext>
                </c:extLst>
              </c15:ser>
            </c15:filteredBarSeries>
          </c:ext>
        </c:extLst>
      </c:barChart>
      <c:catAx>
        <c:axId val="6319747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31978720"/>
        <c:crosses val="autoZero"/>
        <c:auto val="1"/>
        <c:lblAlgn val="ctr"/>
        <c:lblOffset val="100"/>
        <c:noMultiLvlLbl val="0"/>
      </c:catAx>
      <c:valAx>
        <c:axId val="631978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1974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41</TotalTime>
  <Pages>14</Pages>
  <Words>26218</Words>
  <Characters>149448</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Hasanain</cp:lastModifiedBy>
  <cp:revision>10</cp:revision>
  <dcterms:created xsi:type="dcterms:W3CDTF">2026-03-26T21:01:00Z</dcterms:created>
  <dcterms:modified xsi:type="dcterms:W3CDTF">2026-04-02T10:46:00Z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2873ca9e-c3ea-4b45-83a6-57dc5f1bc2e5</vt:lpwstr>
  </property>
</Properties>
</file>