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1C47" w14:textId="47325441" w:rsidR="00754C9A" w:rsidRDefault="00667719" w:rsidP="00441B6F">
      <w:pPr>
        <w:pStyle w:val="Judul"/>
        <w:spacing w:after="0"/>
        <w:jc w:val="both"/>
        <w:rPr>
          <w:rFonts w:ascii="Arial" w:hAnsi="Arial" w:cs="Arial"/>
          <w:color w:val="000000" w:themeColor="text1"/>
          <w:sz w:val="22"/>
          <w:szCs w:val="22"/>
        </w:rPr>
      </w:pPr>
      <w:r w:rsidRPr="00667719">
        <w:rPr>
          <w:rFonts w:ascii="Arial" w:hAnsi="Arial" w:cs="Arial"/>
          <w:color w:val="000000" w:themeColor="text1"/>
          <w:sz w:val="22"/>
          <w:szCs w:val="22"/>
        </w:rPr>
        <w:t>Original Research Article</w:t>
      </w:r>
    </w:p>
    <w:p w14:paraId="36ECFEAE" w14:textId="77777777" w:rsidR="00667719" w:rsidRPr="00921CE9" w:rsidRDefault="00667719" w:rsidP="00441B6F">
      <w:pPr>
        <w:pStyle w:val="Judul"/>
        <w:spacing w:after="0"/>
        <w:jc w:val="both"/>
        <w:rPr>
          <w:rFonts w:ascii="Arial" w:hAnsi="Arial" w:cs="Arial"/>
          <w:color w:val="000000" w:themeColor="text1"/>
          <w:sz w:val="22"/>
          <w:szCs w:val="22"/>
        </w:rPr>
      </w:pPr>
    </w:p>
    <w:p w14:paraId="549B32C0" w14:textId="0A438CFE" w:rsidR="00A258C3" w:rsidRPr="00AB680C" w:rsidRDefault="006662DC" w:rsidP="00AB680C">
      <w:pPr>
        <w:pStyle w:val="Judul"/>
        <w:rPr>
          <w:rFonts w:ascii="Arial" w:hAnsi="Arial" w:cs="Arial"/>
        </w:rPr>
      </w:pPr>
      <w:r w:rsidRPr="00AB680C">
        <w:rPr>
          <w:rFonts w:ascii="Arial" w:hAnsi="Arial" w:cs="Arial"/>
        </w:rPr>
        <w:t>The Clinical Learning Environment and Empathy Among Student Nurses in a Private College</w:t>
      </w:r>
    </w:p>
    <w:p w14:paraId="4EF8FB7B" w14:textId="1D7C9853" w:rsidR="00B01FCD" w:rsidRPr="00921CE9" w:rsidRDefault="00D757E9" w:rsidP="00441B6F">
      <w:pPr>
        <w:pStyle w:val="Copyright"/>
        <w:spacing w:after="0" w:line="240" w:lineRule="auto"/>
        <w:jc w:val="both"/>
        <w:rPr>
          <w:rFonts w:ascii="Arial" w:hAnsi="Arial" w:cs="Arial"/>
          <w:color w:val="000000" w:themeColor="text1"/>
          <w:sz w:val="22"/>
          <w:szCs w:val="22"/>
        </w:rPr>
        <w:sectPr w:rsidR="00B01FCD" w:rsidRPr="00921CE9" w:rsidSect="00326B84">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color w:val="000000" w:themeColor="text1"/>
          <w:sz w:val="22"/>
          <w:szCs w:val="22"/>
        </w:rPr>
        <mc:AlternateContent>
          <mc:Choice Requires="wps">
            <w:drawing>
              <wp:inline distT="0" distB="0" distL="0" distR="0" wp14:anchorId="4A4C802F" wp14:editId="6609B549">
                <wp:extent cx="5303520" cy="635"/>
                <wp:effectExtent l="11430" t="9525" r="9525" b="9525"/>
                <wp:docPr id="14673880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4D62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21CE9">
        <w:rPr>
          <w:rFonts w:ascii="Arial" w:hAnsi="Arial" w:cs="Arial"/>
          <w:color w:val="000000" w:themeColor="text1"/>
          <w:sz w:val="22"/>
          <w:szCs w:val="22"/>
        </w:rPr>
        <w:t>.</w:t>
      </w:r>
    </w:p>
    <w:p w14:paraId="40D4853C" w14:textId="2D72903F" w:rsidR="00B01FCD" w:rsidRPr="00921CE9" w:rsidRDefault="00B01FCD" w:rsidP="00441B6F">
      <w:pPr>
        <w:pStyle w:val="AbstHead"/>
        <w:spacing w:after="0"/>
        <w:jc w:val="both"/>
        <w:rPr>
          <w:rFonts w:ascii="Arial" w:hAnsi="Arial" w:cs="Arial"/>
          <w:color w:val="000000" w:themeColor="text1"/>
          <w:szCs w:val="22"/>
        </w:rPr>
      </w:pPr>
      <w:r w:rsidRPr="00921CE9">
        <w:rPr>
          <w:rFonts w:ascii="Arial" w:hAnsi="Arial" w:cs="Arial"/>
          <w:color w:val="000000" w:themeColor="text1"/>
          <w:szCs w:val="22"/>
        </w:rPr>
        <w:t>ABSTRACT</w:t>
      </w:r>
      <w:r w:rsidR="0066510A" w:rsidRPr="00921CE9">
        <w:rPr>
          <w:rFonts w:ascii="Arial" w:hAnsi="Arial" w:cs="Arial"/>
          <w:color w:val="000000" w:themeColor="text1"/>
          <w:szCs w:val="22"/>
        </w:rPr>
        <w:t xml:space="preserve"> </w:t>
      </w:r>
    </w:p>
    <w:p w14:paraId="340829B0" w14:textId="77777777" w:rsidR="00790ADA" w:rsidRPr="00921CE9" w:rsidRDefault="00790ADA" w:rsidP="00441B6F">
      <w:pPr>
        <w:pStyle w:val="AbstHead"/>
        <w:spacing w:after="0"/>
        <w:jc w:val="both"/>
        <w:rPr>
          <w:rFonts w:ascii="Arial" w:hAnsi="Arial" w:cs="Arial"/>
          <w:color w:val="000000" w:themeColor="text1"/>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921CE9" w14:paraId="69CD9ECC" w14:textId="77777777" w:rsidTr="001E44FE">
        <w:tc>
          <w:tcPr>
            <w:tcW w:w="9576" w:type="dxa"/>
            <w:shd w:val="clear" w:color="auto" w:fill="F2F2F2"/>
          </w:tcPr>
          <w:p w14:paraId="3EB39653" w14:textId="77777777" w:rsidR="00A03B96" w:rsidRPr="00921CE9" w:rsidRDefault="00A03B96" w:rsidP="00441B6F">
            <w:pPr>
              <w:pStyle w:val="Body"/>
              <w:spacing w:after="0"/>
              <w:rPr>
                <w:rFonts w:ascii="Arial" w:eastAsia="Calibri" w:hAnsi="Arial" w:cs="Arial"/>
                <w:color w:val="000000" w:themeColor="text1"/>
                <w:sz w:val="22"/>
                <w:szCs w:val="22"/>
              </w:rPr>
            </w:pPr>
            <w:commentRangeStart w:id="0"/>
          </w:p>
          <w:p w14:paraId="4322F597" w14:textId="77777777" w:rsidR="006662DC"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color w:val="000000" w:themeColor="text1"/>
                <w:sz w:val="22"/>
                <w:szCs w:val="22"/>
              </w:rPr>
              <w:t xml:space="preserve">Aims: </w:t>
            </w:r>
            <w:r w:rsidR="006662DC" w:rsidRPr="00921CE9">
              <w:rPr>
                <w:rFonts w:ascii="Arial" w:hAnsi="Arial" w:cs="Arial"/>
                <w:color w:val="000000" w:themeColor="text1"/>
                <w:sz w:val="22"/>
                <w:szCs w:val="22"/>
              </w:rPr>
              <w:t>This study aimed to determine the relationship between the clinical learning environment and empathy among student nurses in a private college.</w:t>
            </w:r>
          </w:p>
          <w:p w14:paraId="05E8354A" w14:textId="77777777" w:rsidR="006662DC" w:rsidRPr="00921CE9" w:rsidRDefault="006662DC" w:rsidP="00441B6F">
            <w:pPr>
              <w:pStyle w:val="Body"/>
              <w:spacing w:after="0"/>
              <w:rPr>
                <w:rFonts w:ascii="Arial" w:eastAsia="Calibri" w:hAnsi="Arial" w:cs="Arial"/>
                <w:b/>
                <w:color w:val="000000" w:themeColor="text1"/>
                <w:sz w:val="22"/>
                <w:szCs w:val="22"/>
              </w:rPr>
            </w:pPr>
          </w:p>
          <w:p w14:paraId="04D1D3B0" w14:textId="77777777" w:rsidR="006662DC"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color w:val="000000" w:themeColor="text1"/>
                <w:sz w:val="22"/>
                <w:szCs w:val="22"/>
              </w:rPr>
              <w:t>Study design:</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A descriptive-correlational research design was utilized in this study.</w:t>
            </w:r>
          </w:p>
          <w:p w14:paraId="12DE8B4E" w14:textId="77777777" w:rsidR="006662DC" w:rsidRPr="00921CE9" w:rsidRDefault="006662DC" w:rsidP="00441B6F">
            <w:pPr>
              <w:pStyle w:val="Body"/>
              <w:spacing w:after="0"/>
              <w:rPr>
                <w:rFonts w:ascii="Arial" w:eastAsia="Calibri" w:hAnsi="Arial" w:cs="Arial"/>
                <w:b/>
                <w:color w:val="000000" w:themeColor="text1"/>
                <w:sz w:val="22"/>
                <w:szCs w:val="22"/>
              </w:rPr>
            </w:pPr>
          </w:p>
          <w:p w14:paraId="3C384BFA" w14:textId="19C87E35" w:rsidR="00BA1B01"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color w:val="000000" w:themeColor="text1"/>
                <w:sz w:val="22"/>
                <w:szCs w:val="22"/>
              </w:rPr>
              <w:t>Place and Duration of Study:</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The study was conducted in a private college, with data collection carried out from January to February 2026.</w:t>
            </w:r>
          </w:p>
          <w:p w14:paraId="721BCE43" w14:textId="77777777" w:rsidR="006662DC" w:rsidRPr="00921CE9" w:rsidRDefault="006662DC" w:rsidP="00441B6F">
            <w:pPr>
              <w:pStyle w:val="Body"/>
              <w:spacing w:after="0"/>
              <w:rPr>
                <w:rFonts w:ascii="Arial" w:eastAsia="Calibri" w:hAnsi="Arial" w:cs="Arial"/>
                <w:color w:val="000000" w:themeColor="text1"/>
                <w:sz w:val="22"/>
                <w:szCs w:val="22"/>
              </w:rPr>
            </w:pPr>
          </w:p>
          <w:p w14:paraId="347E3A04" w14:textId="77777777" w:rsidR="006662DC"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bCs/>
                <w:color w:val="000000" w:themeColor="text1"/>
                <w:sz w:val="22"/>
                <w:szCs w:val="22"/>
              </w:rPr>
              <w:t>Methodology:</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The study involved 314 second-, third-, and fourth-year student nurses selected through stratified random sampling. Data were gathered using structured, self-administered online questionnaires. Ethical clearance was secured to ensure the protection of participants’ rights, confidentiality, and overall welfare.</w:t>
            </w:r>
          </w:p>
          <w:p w14:paraId="649EADEB" w14:textId="77777777" w:rsidR="006662DC" w:rsidRPr="00921CE9" w:rsidRDefault="006662DC" w:rsidP="00441B6F">
            <w:pPr>
              <w:pStyle w:val="Body"/>
              <w:spacing w:after="0"/>
              <w:rPr>
                <w:rFonts w:ascii="Arial" w:eastAsia="Calibri" w:hAnsi="Arial" w:cs="Arial"/>
                <w:b/>
                <w:color w:val="000000" w:themeColor="text1"/>
                <w:sz w:val="22"/>
                <w:szCs w:val="22"/>
              </w:rPr>
            </w:pPr>
          </w:p>
          <w:p w14:paraId="4071DCFB" w14:textId="0F9F2464" w:rsidR="00BA1B01" w:rsidRPr="00921CE9" w:rsidRDefault="00BA1B01" w:rsidP="00441B6F">
            <w:pPr>
              <w:pStyle w:val="Body"/>
              <w:spacing w:after="0"/>
              <w:rPr>
                <w:rFonts w:ascii="Arial" w:hAnsi="Arial" w:cs="Arial"/>
                <w:color w:val="000000" w:themeColor="text1"/>
                <w:sz w:val="22"/>
                <w:szCs w:val="22"/>
              </w:rPr>
            </w:pPr>
            <w:r w:rsidRPr="00921CE9">
              <w:rPr>
                <w:rFonts w:ascii="Arial" w:eastAsia="Calibri" w:hAnsi="Arial" w:cs="Arial"/>
                <w:b/>
                <w:bCs/>
                <w:color w:val="000000" w:themeColor="text1"/>
                <w:sz w:val="22"/>
                <w:szCs w:val="22"/>
              </w:rPr>
              <w:t>Results:</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Findings revealed that student nurses generally perceived their clinical learning environment as supportive and demonstrated high levels of empathy. Key factors contributing to the development of empathy included effective supervision, meaningful patient interactions, and opportunities for individualized patient care.</w:t>
            </w:r>
          </w:p>
          <w:p w14:paraId="1AA5B915" w14:textId="77777777" w:rsidR="006662DC" w:rsidRPr="00921CE9" w:rsidRDefault="006662DC" w:rsidP="00441B6F">
            <w:pPr>
              <w:pStyle w:val="Body"/>
              <w:spacing w:after="0"/>
              <w:rPr>
                <w:rFonts w:ascii="Arial" w:eastAsia="Calibri" w:hAnsi="Arial" w:cs="Arial"/>
                <w:b/>
                <w:bCs/>
                <w:color w:val="000000" w:themeColor="text1"/>
                <w:sz w:val="22"/>
                <w:szCs w:val="22"/>
              </w:rPr>
            </w:pPr>
          </w:p>
          <w:p w14:paraId="47462A32" w14:textId="708AB669" w:rsidR="00505F06" w:rsidRPr="00921CE9" w:rsidRDefault="00BA1B01" w:rsidP="00441B6F">
            <w:pPr>
              <w:pStyle w:val="Body"/>
              <w:spacing w:after="0"/>
              <w:rPr>
                <w:rFonts w:ascii="Arial" w:eastAsia="Calibri" w:hAnsi="Arial" w:cs="Arial"/>
                <w:color w:val="000000" w:themeColor="text1"/>
                <w:sz w:val="22"/>
                <w:szCs w:val="22"/>
              </w:rPr>
            </w:pPr>
            <w:r w:rsidRPr="00921CE9">
              <w:rPr>
                <w:rFonts w:ascii="Arial" w:eastAsia="Calibri" w:hAnsi="Arial" w:cs="Arial"/>
                <w:b/>
                <w:bCs/>
                <w:color w:val="000000" w:themeColor="text1"/>
                <w:sz w:val="22"/>
                <w:szCs w:val="22"/>
              </w:rPr>
              <w:t>Conclusion:</w:t>
            </w:r>
            <w:r w:rsidRPr="00921CE9">
              <w:rPr>
                <w:rFonts w:ascii="Arial" w:eastAsia="Calibri" w:hAnsi="Arial" w:cs="Arial"/>
                <w:color w:val="000000" w:themeColor="text1"/>
                <w:sz w:val="22"/>
                <w:szCs w:val="22"/>
              </w:rPr>
              <w:t xml:space="preserve"> </w:t>
            </w:r>
            <w:r w:rsidR="006662DC" w:rsidRPr="00921CE9">
              <w:rPr>
                <w:rFonts w:ascii="Arial" w:hAnsi="Arial" w:cs="Arial"/>
                <w:color w:val="000000" w:themeColor="text1"/>
                <w:sz w:val="22"/>
                <w:szCs w:val="22"/>
              </w:rPr>
              <w:t>The study concluded that the clinical learning environment significantly influences both the technical competence and empathy of student nurses. It emphasizes the importance of strengthening clinical teaching practices and institutional strategies to promote not only professional skills but also compassionate, patient-centered care.</w:t>
            </w:r>
            <w:commentRangeEnd w:id="0"/>
            <w:r w:rsidR="00B97AEE" w:rsidRPr="00921CE9">
              <w:rPr>
                <w:rStyle w:val="ReferensiKomentar"/>
                <w:rFonts w:ascii="Arial" w:eastAsia="Calibri" w:hAnsi="Arial" w:cs="Arial"/>
                <w:color w:val="000000" w:themeColor="text1"/>
                <w:sz w:val="22"/>
                <w:szCs w:val="22"/>
              </w:rPr>
              <w:commentReference w:id="0"/>
            </w:r>
          </w:p>
        </w:tc>
      </w:tr>
    </w:tbl>
    <w:p w14:paraId="1051E1C3" w14:textId="77777777" w:rsidR="00636EB2" w:rsidRPr="00921CE9" w:rsidRDefault="00636EB2" w:rsidP="00441B6F">
      <w:pPr>
        <w:pStyle w:val="Body"/>
        <w:spacing w:after="0"/>
        <w:rPr>
          <w:rFonts w:ascii="Arial" w:hAnsi="Arial" w:cs="Arial"/>
          <w:i/>
          <w:color w:val="000000" w:themeColor="text1"/>
          <w:sz w:val="22"/>
          <w:szCs w:val="22"/>
        </w:rPr>
      </w:pPr>
    </w:p>
    <w:p w14:paraId="304EADAA" w14:textId="64DB0C7A" w:rsidR="00A24E7E" w:rsidRPr="00921CE9" w:rsidRDefault="00A24E7E" w:rsidP="00441B6F">
      <w:pPr>
        <w:pStyle w:val="Body"/>
        <w:spacing w:after="0"/>
        <w:rPr>
          <w:rFonts w:ascii="Arial" w:hAnsi="Arial" w:cs="Arial"/>
          <w:i/>
          <w:color w:val="000000" w:themeColor="text1"/>
          <w:sz w:val="22"/>
          <w:szCs w:val="22"/>
        </w:rPr>
      </w:pPr>
      <w:commentRangeStart w:id="1"/>
      <w:r w:rsidRPr="00921CE9">
        <w:rPr>
          <w:rFonts w:ascii="Arial" w:hAnsi="Arial" w:cs="Arial"/>
          <w:i/>
          <w:color w:val="000000" w:themeColor="text1"/>
          <w:sz w:val="22"/>
          <w:szCs w:val="22"/>
        </w:rPr>
        <w:t>Keywords</w:t>
      </w:r>
      <w:r w:rsidR="00831390" w:rsidRPr="00921CE9">
        <w:rPr>
          <w:rFonts w:ascii="Arial" w:hAnsi="Arial" w:cs="Arial"/>
          <w:i/>
          <w:color w:val="000000" w:themeColor="text1"/>
          <w:sz w:val="22"/>
          <w:szCs w:val="22"/>
        </w:rPr>
        <w:t xml:space="preserve">: </w:t>
      </w:r>
      <w:r w:rsidR="00831390" w:rsidRPr="00921CE9">
        <w:rPr>
          <w:rFonts w:ascii="Arial" w:hAnsi="Arial" w:cs="Arial"/>
          <w:color w:val="000000" w:themeColor="text1"/>
          <w:sz w:val="22"/>
          <w:szCs w:val="22"/>
        </w:rPr>
        <w:t>Clinical Learning Environment, Empathy, Student Nurses, Nursing Education</w:t>
      </w:r>
      <w:commentRangeEnd w:id="1"/>
      <w:r w:rsidR="00B97AEE" w:rsidRPr="00921CE9">
        <w:rPr>
          <w:rStyle w:val="ReferensiKomentar"/>
          <w:rFonts w:ascii="Arial" w:hAnsi="Arial" w:cs="Arial"/>
          <w:i/>
          <w:color w:val="000000" w:themeColor="text1"/>
          <w:sz w:val="22"/>
          <w:szCs w:val="22"/>
        </w:rPr>
        <w:commentReference w:id="1"/>
      </w:r>
    </w:p>
    <w:p w14:paraId="67BF5990" w14:textId="77777777" w:rsidR="0024282C" w:rsidRPr="00921CE9" w:rsidRDefault="0024282C" w:rsidP="00441B6F">
      <w:pPr>
        <w:pStyle w:val="Body"/>
        <w:spacing w:after="0"/>
        <w:rPr>
          <w:rFonts w:ascii="Arial" w:hAnsi="Arial" w:cs="Arial"/>
          <w:i/>
          <w:color w:val="000000" w:themeColor="text1"/>
          <w:sz w:val="22"/>
          <w:szCs w:val="22"/>
        </w:rPr>
      </w:pPr>
    </w:p>
    <w:p w14:paraId="32DBEA1E" w14:textId="77777777" w:rsidR="00505F06" w:rsidRPr="00921CE9" w:rsidRDefault="00505F06" w:rsidP="00441B6F">
      <w:pPr>
        <w:pStyle w:val="Body"/>
        <w:spacing w:after="0"/>
        <w:rPr>
          <w:rFonts w:ascii="Arial" w:hAnsi="Arial" w:cs="Arial"/>
          <w:i/>
          <w:color w:val="000000" w:themeColor="text1"/>
          <w:sz w:val="22"/>
          <w:szCs w:val="22"/>
        </w:rPr>
      </w:pPr>
    </w:p>
    <w:p w14:paraId="39B13D97" w14:textId="684C8B83" w:rsidR="007F7B32" w:rsidRPr="00921CE9" w:rsidRDefault="00902823" w:rsidP="00441B6F">
      <w:pPr>
        <w:pStyle w:val="AbstHead"/>
        <w:spacing w:after="0"/>
        <w:jc w:val="both"/>
        <w:rPr>
          <w:rFonts w:ascii="Arial" w:hAnsi="Arial" w:cs="Arial"/>
          <w:color w:val="000000" w:themeColor="text1"/>
          <w:szCs w:val="22"/>
        </w:rPr>
      </w:pPr>
      <w:commentRangeStart w:id="2"/>
      <w:r w:rsidRPr="00921CE9">
        <w:rPr>
          <w:rFonts w:ascii="Arial" w:hAnsi="Arial" w:cs="Arial"/>
          <w:color w:val="000000" w:themeColor="text1"/>
          <w:szCs w:val="22"/>
        </w:rPr>
        <w:t xml:space="preserve">1. </w:t>
      </w:r>
      <w:r w:rsidR="00B01FCD" w:rsidRPr="00921CE9">
        <w:rPr>
          <w:rFonts w:ascii="Arial" w:hAnsi="Arial" w:cs="Arial"/>
          <w:color w:val="000000" w:themeColor="text1"/>
          <w:szCs w:val="22"/>
        </w:rPr>
        <w:t>INTRODUCTION</w:t>
      </w:r>
      <w:r w:rsidR="007F7B32" w:rsidRPr="00921CE9">
        <w:rPr>
          <w:rFonts w:ascii="Arial" w:hAnsi="Arial" w:cs="Arial"/>
          <w:color w:val="000000" w:themeColor="text1"/>
          <w:szCs w:val="22"/>
        </w:rPr>
        <w:t xml:space="preserve"> </w:t>
      </w:r>
    </w:p>
    <w:p w14:paraId="5F94A8A3" w14:textId="77777777" w:rsidR="00790ADA" w:rsidRPr="00921CE9" w:rsidRDefault="00790ADA" w:rsidP="00441B6F">
      <w:pPr>
        <w:pStyle w:val="AbstHead"/>
        <w:spacing w:after="0"/>
        <w:jc w:val="both"/>
        <w:rPr>
          <w:rFonts w:ascii="Arial" w:hAnsi="Arial" w:cs="Arial"/>
          <w:color w:val="000000" w:themeColor="text1"/>
          <w:szCs w:val="22"/>
        </w:rPr>
      </w:pPr>
    </w:p>
    <w:p w14:paraId="2B421760" w14:textId="33CA3614" w:rsidR="00790ADA" w:rsidRPr="00921CE9" w:rsidRDefault="00831390" w:rsidP="007439DA">
      <w:pPr>
        <w:pStyle w:val="Body"/>
        <w:spacing w:after="0"/>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The delivery of high-quality </w:t>
      </w:r>
      <w:r w:rsidR="00F1020D">
        <w:rPr>
          <w:rFonts w:ascii="Arial" w:hAnsi="Arial" w:cs="Arial"/>
          <w:color w:val="000000" w:themeColor="text1"/>
          <w:sz w:val="22"/>
          <w:szCs w:val="22"/>
        </w:rPr>
        <w:tab/>
      </w:r>
      <w:r w:rsidRPr="00921CE9">
        <w:rPr>
          <w:rFonts w:ascii="Arial" w:hAnsi="Arial" w:cs="Arial"/>
          <w:color w:val="000000" w:themeColor="text1"/>
          <w:sz w:val="22"/>
          <w:szCs w:val="22"/>
        </w:rPr>
        <w:t xml:space="preserve"> is increasingly grounded in patient-centered approaches that emphasize both clinical competence and compassionate care. Empathy plays a vital role in nursing practice, as it enables healthcare professionals to understand patients’ experiences, respond to their emotional needs, and establish therapeutic relationships. Studies have shown that empathy is associated with improved patient </w:t>
      </w:r>
      <w:r w:rsidRPr="00921CE9">
        <w:rPr>
          <w:rFonts w:ascii="Arial" w:hAnsi="Arial" w:cs="Arial"/>
          <w:color w:val="000000" w:themeColor="text1"/>
          <w:sz w:val="22"/>
          <w:szCs w:val="22"/>
        </w:rPr>
        <w:lastRenderedPageBreak/>
        <w:t>satisfaction, better clinical outcomes, and enhanced professional fulfillment, making it a key objective in nursing education. However, despite its importance, evidence suggests that empathy may decline as students’ progress through their training due to academic pressures, stress, and a stronger focus on technical competencies rather than emotional engagement. This issue is further influenced by the clinical learning environment, which serves as the primary setting where students translate theoretical knowledge into practice. Supportive clinical environments—characterized by effective supervision, meaningful patient interactions, and opportunities for individualized care—have been shown to enhance students’ confidence, critical thinking, and caring behaviors, while unsupportive environments may hinder both learning and emotional development. Although previous studies have explored empathy and clinical learning environments separately, there remains a gap in understanding their direct relationship, particularly within private nursing institutions in the Philippine context. To address this gap, the present study examines the relationship between the clinical learning environment and empathy among second-, third-, and fourth-year student nurses in a private college using a descriptive-correlational design. Specifically, it focuses on aspects such as clinical learning development and individualized patient focus, as well as students’ levels of empathy. By identifying key factors that influence empathic development, the study aims to propose evidence-based improvements in clinical teaching practices and institutional strategies. The findings are expected to contribute to the development of nursing education programs that foster both technical competence and compassionate, patient-centered care. Ultimately, this work is justified by its potential to enhance student learning experiences, improve patient outcomes, and support broader healthcare goals of developing a competent and empathetic workforce aligned with global health and sustainable development priorities.</w:t>
      </w:r>
      <w:commentRangeEnd w:id="2"/>
      <w:r w:rsidR="00095724" w:rsidRPr="00921CE9">
        <w:rPr>
          <w:rStyle w:val="ReferensiKomentar"/>
          <w:rFonts w:ascii="Arial" w:hAnsi="Arial" w:cs="Arial"/>
          <w:color w:val="000000" w:themeColor="text1"/>
          <w:sz w:val="22"/>
          <w:szCs w:val="22"/>
        </w:rPr>
        <w:commentReference w:id="2"/>
      </w:r>
    </w:p>
    <w:p w14:paraId="7E2A6045" w14:textId="77777777" w:rsidR="00831390" w:rsidRPr="00921CE9" w:rsidRDefault="00831390" w:rsidP="00441B6F">
      <w:pPr>
        <w:pStyle w:val="Body"/>
        <w:spacing w:after="0"/>
        <w:rPr>
          <w:rFonts w:ascii="Arial" w:hAnsi="Arial" w:cs="Arial"/>
          <w:color w:val="000000" w:themeColor="text1"/>
          <w:sz w:val="22"/>
          <w:szCs w:val="22"/>
        </w:rPr>
      </w:pPr>
    </w:p>
    <w:p w14:paraId="218778B2" w14:textId="3A9B8781" w:rsidR="007F7B32" w:rsidRPr="00921CE9" w:rsidRDefault="00902823" w:rsidP="00441B6F">
      <w:pPr>
        <w:pStyle w:val="AbstHead"/>
        <w:spacing w:after="0"/>
        <w:jc w:val="both"/>
        <w:rPr>
          <w:rFonts w:ascii="Arial" w:hAnsi="Arial" w:cs="Arial"/>
          <w:color w:val="000000" w:themeColor="text1"/>
          <w:szCs w:val="22"/>
        </w:rPr>
      </w:pPr>
      <w:r w:rsidRPr="00921CE9">
        <w:rPr>
          <w:rFonts w:ascii="Arial" w:hAnsi="Arial" w:cs="Arial"/>
          <w:color w:val="000000" w:themeColor="text1"/>
          <w:szCs w:val="22"/>
        </w:rPr>
        <w:t xml:space="preserve">2. </w:t>
      </w:r>
      <w:r w:rsidR="006B57D0" w:rsidRPr="00921CE9">
        <w:rPr>
          <w:rFonts w:ascii="Arial" w:hAnsi="Arial" w:cs="Arial"/>
          <w:color w:val="000000" w:themeColor="text1"/>
          <w:szCs w:val="22"/>
        </w:rPr>
        <w:t>methodology</w:t>
      </w:r>
      <w:r w:rsidR="007F7B32" w:rsidRPr="00921CE9">
        <w:rPr>
          <w:rFonts w:ascii="Arial" w:hAnsi="Arial" w:cs="Arial"/>
          <w:color w:val="000000" w:themeColor="text1"/>
          <w:szCs w:val="22"/>
        </w:rPr>
        <w:t xml:space="preserve"> </w:t>
      </w:r>
    </w:p>
    <w:p w14:paraId="089D3DDC" w14:textId="77777777" w:rsidR="003A5DD8" w:rsidRPr="00921CE9" w:rsidRDefault="003A5DD8" w:rsidP="003A5DD8">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This study employed a descriptive-correlational research design to examine the relationship between the clinical learning environment and empathy among student nurses. This design enabled the researchers to describe the levels of the variables and determine the degree of association between them without manipulating any conditions. The study was conducted in a private higher education institution in Iloilo City, Philippines, during the second semester of the academic year 2025–2026. The participants consisted of 314 second-, third-, and fourth-year nursing students who were actively engaged in clinical practice. First-year students were excluded due to lack of clinical exposure. </w:t>
      </w:r>
      <w:commentRangeStart w:id="3"/>
      <w:r w:rsidRPr="00921CE9">
        <w:rPr>
          <w:rFonts w:ascii="Arial" w:hAnsi="Arial" w:cs="Arial"/>
          <w:color w:val="000000" w:themeColor="text1"/>
          <w:sz w:val="22"/>
          <w:szCs w:val="22"/>
        </w:rPr>
        <w:t>A stratified random sampling technique was used to ensure proportional representation across year levels, and the sample size was determined using a 95% confidence level and a 5% margin of error.</w:t>
      </w:r>
    </w:p>
    <w:p w14:paraId="135AD872"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Data were collected using a structured questionnaire composed of three parts: demographic profile, clinical learning environment, and empathy. The Clinical Learning Environment Comparison Survey 3.0 (CLES 3.0) and the Jefferson Scale of Empathy were used as standardized instruments. Validity and reliability were established through expert evaluation and pilot testing, yielding Cronbach’s alpha values of 0.95 and 0.90, respectively.</w:t>
      </w:r>
    </w:p>
    <w:p w14:paraId="1F2E57BF"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Data collection was conducted from January to February 2026 through an online survey platform. Responses were checked for completeness prior to analysis. </w:t>
      </w:r>
      <w:r w:rsidRPr="00921CE9">
        <w:rPr>
          <w:rFonts w:ascii="Arial" w:hAnsi="Arial" w:cs="Arial"/>
          <w:color w:val="000000" w:themeColor="text1"/>
          <w:sz w:val="22"/>
          <w:szCs w:val="22"/>
        </w:rPr>
        <w:lastRenderedPageBreak/>
        <w:t>Descriptive statistics and Spearman’s rho correlation were used to analyze the data, with a significance level of 0.05.</w:t>
      </w:r>
      <w:commentRangeEnd w:id="3"/>
      <w:r w:rsidR="00E71BF0" w:rsidRPr="00921CE9">
        <w:rPr>
          <w:rStyle w:val="ReferensiKomentar"/>
          <w:rFonts w:ascii="Arial" w:hAnsi="Arial" w:cs="Arial"/>
          <w:color w:val="000000" w:themeColor="text1"/>
          <w:sz w:val="22"/>
          <w:szCs w:val="22"/>
        </w:rPr>
        <w:commentReference w:id="3"/>
      </w:r>
    </w:p>
    <w:p w14:paraId="370DFC8B" w14:textId="77777777" w:rsidR="003A5DD8" w:rsidRPr="00921CE9" w:rsidRDefault="003A5DD8" w:rsidP="003A5DD8">
      <w:pPr>
        <w:pStyle w:val="Judul3"/>
        <w:rPr>
          <w:rFonts w:ascii="Arial" w:hAnsi="Arial" w:cs="Arial"/>
          <w:color w:val="000000" w:themeColor="text1"/>
          <w:sz w:val="22"/>
          <w:szCs w:val="22"/>
        </w:rPr>
      </w:pPr>
      <w:r w:rsidRPr="00921CE9">
        <w:rPr>
          <w:rStyle w:val="Kuat"/>
          <w:rFonts w:ascii="Arial" w:hAnsi="Arial" w:cs="Arial"/>
          <w:color w:val="000000" w:themeColor="text1"/>
          <w:sz w:val="22"/>
          <w:szCs w:val="22"/>
        </w:rPr>
        <w:t>Demographic Characteristics of Participants</w:t>
      </w:r>
    </w:p>
    <w:p w14:paraId="2E9E2DE6" w14:textId="77777777" w:rsidR="003A5DD8" w:rsidRPr="00921CE9" w:rsidRDefault="003A5DD8"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 demographic profile of the respondents is presented in Table 1. It shows the distribution of participants according to sex and year level. The data indicate that the majority of respondents were female and fairly distributed across year levels, with a slightly higher proportion from the third year.</w:t>
      </w:r>
    </w:p>
    <w:p w14:paraId="05539C63"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Kuat"/>
          <w:rFonts w:ascii="Arial" w:hAnsi="Arial" w:cs="Arial"/>
          <w:color w:val="000000" w:themeColor="text1"/>
          <w:sz w:val="22"/>
          <w:szCs w:val="22"/>
        </w:rPr>
        <w:t>Table 1. Demographic Profile of Respondents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40"/>
        <w:gridCol w:w="2072"/>
        <w:gridCol w:w="2156"/>
        <w:gridCol w:w="2772"/>
      </w:tblGrid>
      <w:tr w:rsidR="003A5DD8" w:rsidRPr="00921CE9" w14:paraId="2C72D4C9" w14:textId="77777777" w:rsidTr="007439DA">
        <w:trPr>
          <w:tblHeader/>
          <w:tblCellSpacing w:w="15" w:type="dxa"/>
        </w:trPr>
        <w:tc>
          <w:tcPr>
            <w:tcW w:w="923" w:type="pct"/>
            <w:vAlign w:val="center"/>
            <w:hideMark/>
          </w:tcPr>
          <w:p w14:paraId="73A32E8B"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1181" w:type="pct"/>
            <w:vAlign w:val="center"/>
            <w:hideMark/>
          </w:tcPr>
          <w:p w14:paraId="563D8D9F"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Category</w:t>
            </w:r>
          </w:p>
        </w:tc>
        <w:tc>
          <w:tcPr>
            <w:tcW w:w="1229" w:type="pct"/>
            <w:vAlign w:val="center"/>
            <w:hideMark/>
          </w:tcPr>
          <w:p w14:paraId="126EE1CF"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Frequency (f)</w:t>
            </w:r>
          </w:p>
        </w:tc>
        <w:tc>
          <w:tcPr>
            <w:tcW w:w="1577" w:type="pct"/>
            <w:vAlign w:val="center"/>
            <w:hideMark/>
          </w:tcPr>
          <w:p w14:paraId="42D97BE5"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Percentage (%)</w:t>
            </w:r>
          </w:p>
        </w:tc>
      </w:tr>
      <w:tr w:rsidR="003A5DD8" w:rsidRPr="00921CE9" w14:paraId="494762F6" w14:textId="77777777" w:rsidTr="007439DA">
        <w:trPr>
          <w:tblCellSpacing w:w="15" w:type="dxa"/>
        </w:trPr>
        <w:tc>
          <w:tcPr>
            <w:tcW w:w="923" w:type="pct"/>
            <w:vAlign w:val="center"/>
            <w:hideMark/>
          </w:tcPr>
          <w:p w14:paraId="4C59FFA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Sex</w:t>
            </w:r>
          </w:p>
        </w:tc>
        <w:tc>
          <w:tcPr>
            <w:tcW w:w="1181" w:type="pct"/>
            <w:vAlign w:val="center"/>
            <w:hideMark/>
          </w:tcPr>
          <w:p w14:paraId="33B0B0CF"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Male</w:t>
            </w:r>
          </w:p>
        </w:tc>
        <w:tc>
          <w:tcPr>
            <w:tcW w:w="1229" w:type="pct"/>
            <w:vAlign w:val="center"/>
            <w:hideMark/>
          </w:tcPr>
          <w:p w14:paraId="1C7BCF9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98</w:t>
            </w:r>
          </w:p>
        </w:tc>
        <w:tc>
          <w:tcPr>
            <w:tcW w:w="1577" w:type="pct"/>
            <w:vAlign w:val="center"/>
            <w:hideMark/>
          </w:tcPr>
          <w:p w14:paraId="54D6A366"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31.2</w:t>
            </w:r>
          </w:p>
        </w:tc>
      </w:tr>
      <w:tr w:rsidR="003A5DD8" w:rsidRPr="00921CE9" w14:paraId="1169F9B1" w14:textId="77777777" w:rsidTr="007439DA">
        <w:trPr>
          <w:tblCellSpacing w:w="15" w:type="dxa"/>
        </w:trPr>
        <w:tc>
          <w:tcPr>
            <w:tcW w:w="923" w:type="pct"/>
            <w:vAlign w:val="center"/>
            <w:hideMark/>
          </w:tcPr>
          <w:p w14:paraId="52AC4837" w14:textId="77777777" w:rsidR="003A5DD8" w:rsidRPr="00921CE9" w:rsidRDefault="003A5DD8" w:rsidP="007439DA">
            <w:pPr>
              <w:spacing w:line="480" w:lineRule="auto"/>
              <w:jc w:val="center"/>
              <w:rPr>
                <w:rFonts w:ascii="Arial" w:hAnsi="Arial" w:cs="Arial"/>
                <w:color w:val="000000" w:themeColor="text1"/>
                <w:sz w:val="22"/>
                <w:szCs w:val="22"/>
              </w:rPr>
            </w:pPr>
          </w:p>
        </w:tc>
        <w:tc>
          <w:tcPr>
            <w:tcW w:w="1181" w:type="pct"/>
            <w:vAlign w:val="center"/>
            <w:hideMark/>
          </w:tcPr>
          <w:p w14:paraId="365B3F72"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Female</w:t>
            </w:r>
          </w:p>
        </w:tc>
        <w:tc>
          <w:tcPr>
            <w:tcW w:w="1229" w:type="pct"/>
            <w:vAlign w:val="center"/>
            <w:hideMark/>
          </w:tcPr>
          <w:p w14:paraId="659DCD9B"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216</w:t>
            </w:r>
          </w:p>
        </w:tc>
        <w:tc>
          <w:tcPr>
            <w:tcW w:w="1577" w:type="pct"/>
            <w:vAlign w:val="center"/>
            <w:hideMark/>
          </w:tcPr>
          <w:p w14:paraId="71E5A14D"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68.8</w:t>
            </w:r>
          </w:p>
        </w:tc>
      </w:tr>
      <w:tr w:rsidR="003A5DD8" w:rsidRPr="00921CE9" w14:paraId="461C51BF" w14:textId="77777777" w:rsidTr="007439DA">
        <w:trPr>
          <w:tblCellSpacing w:w="15" w:type="dxa"/>
        </w:trPr>
        <w:tc>
          <w:tcPr>
            <w:tcW w:w="923" w:type="pct"/>
            <w:vAlign w:val="center"/>
            <w:hideMark/>
          </w:tcPr>
          <w:p w14:paraId="299CB260"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Year Level</w:t>
            </w:r>
          </w:p>
        </w:tc>
        <w:tc>
          <w:tcPr>
            <w:tcW w:w="1181" w:type="pct"/>
            <w:vAlign w:val="center"/>
            <w:hideMark/>
          </w:tcPr>
          <w:p w14:paraId="7B73D3C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Second Year</w:t>
            </w:r>
          </w:p>
        </w:tc>
        <w:tc>
          <w:tcPr>
            <w:tcW w:w="1229" w:type="pct"/>
            <w:vAlign w:val="center"/>
            <w:hideMark/>
          </w:tcPr>
          <w:p w14:paraId="258F8CE0"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102</w:t>
            </w:r>
          </w:p>
        </w:tc>
        <w:tc>
          <w:tcPr>
            <w:tcW w:w="1577" w:type="pct"/>
            <w:vAlign w:val="center"/>
            <w:hideMark/>
          </w:tcPr>
          <w:p w14:paraId="0F1C274C"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32.5</w:t>
            </w:r>
          </w:p>
        </w:tc>
      </w:tr>
      <w:tr w:rsidR="003A5DD8" w:rsidRPr="00921CE9" w14:paraId="227E01E6" w14:textId="77777777" w:rsidTr="007439DA">
        <w:trPr>
          <w:tblCellSpacing w:w="15" w:type="dxa"/>
        </w:trPr>
        <w:tc>
          <w:tcPr>
            <w:tcW w:w="923" w:type="pct"/>
            <w:vAlign w:val="center"/>
            <w:hideMark/>
          </w:tcPr>
          <w:p w14:paraId="4778DCA3" w14:textId="77777777" w:rsidR="003A5DD8" w:rsidRPr="00921CE9" w:rsidRDefault="003A5DD8" w:rsidP="007439DA">
            <w:pPr>
              <w:spacing w:line="480" w:lineRule="auto"/>
              <w:jc w:val="center"/>
              <w:rPr>
                <w:rFonts w:ascii="Arial" w:hAnsi="Arial" w:cs="Arial"/>
                <w:color w:val="000000" w:themeColor="text1"/>
                <w:sz w:val="22"/>
                <w:szCs w:val="22"/>
              </w:rPr>
            </w:pPr>
          </w:p>
        </w:tc>
        <w:tc>
          <w:tcPr>
            <w:tcW w:w="1181" w:type="pct"/>
            <w:vAlign w:val="center"/>
            <w:hideMark/>
          </w:tcPr>
          <w:p w14:paraId="02B5214D"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Third Year</w:t>
            </w:r>
          </w:p>
        </w:tc>
        <w:tc>
          <w:tcPr>
            <w:tcW w:w="1229" w:type="pct"/>
            <w:vAlign w:val="center"/>
            <w:hideMark/>
          </w:tcPr>
          <w:p w14:paraId="79CB3068"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110</w:t>
            </w:r>
          </w:p>
        </w:tc>
        <w:tc>
          <w:tcPr>
            <w:tcW w:w="1577" w:type="pct"/>
            <w:vAlign w:val="center"/>
            <w:hideMark/>
          </w:tcPr>
          <w:p w14:paraId="030CF0C9"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35.0</w:t>
            </w:r>
          </w:p>
        </w:tc>
      </w:tr>
      <w:tr w:rsidR="003A5DD8" w:rsidRPr="00921CE9" w14:paraId="787D9F93" w14:textId="77777777" w:rsidTr="007439DA">
        <w:trPr>
          <w:tblCellSpacing w:w="15" w:type="dxa"/>
        </w:trPr>
        <w:tc>
          <w:tcPr>
            <w:tcW w:w="923" w:type="pct"/>
            <w:vAlign w:val="center"/>
            <w:hideMark/>
          </w:tcPr>
          <w:p w14:paraId="571B94D8" w14:textId="77777777" w:rsidR="003A5DD8" w:rsidRPr="00921CE9" w:rsidRDefault="003A5DD8" w:rsidP="007439DA">
            <w:pPr>
              <w:spacing w:line="480" w:lineRule="auto"/>
              <w:jc w:val="center"/>
              <w:rPr>
                <w:rFonts w:ascii="Arial" w:hAnsi="Arial" w:cs="Arial"/>
                <w:color w:val="000000" w:themeColor="text1"/>
                <w:sz w:val="22"/>
                <w:szCs w:val="22"/>
              </w:rPr>
            </w:pPr>
          </w:p>
        </w:tc>
        <w:tc>
          <w:tcPr>
            <w:tcW w:w="1181" w:type="pct"/>
            <w:vAlign w:val="center"/>
            <w:hideMark/>
          </w:tcPr>
          <w:p w14:paraId="582A0D77"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Fourth Year</w:t>
            </w:r>
          </w:p>
        </w:tc>
        <w:tc>
          <w:tcPr>
            <w:tcW w:w="1229" w:type="pct"/>
            <w:vAlign w:val="center"/>
            <w:hideMark/>
          </w:tcPr>
          <w:p w14:paraId="605376C1"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102</w:t>
            </w:r>
          </w:p>
        </w:tc>
        <w:tc>
          <w:tcPr>
            <w:tcW w:w="1577" w:type="pct"/>
            <w:vAlign w:val="center"/>
            <w:hideMark/>
          </w:tcPr>
          <w:p w14:paraId="7CFFB2DC"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32.5</w:t>
            </w:r>
          </w:p>
        </w:tc>
      </w:tr>
    </w:tbl>
    <w:p w14:paraId="600ADCFA" w14:textId="77777777" w:rsidR="007439DA" w:rsidRPr="00921CE9" w:rsidRDefault="007439DA" w:rsidP="007439DA">
      <w:pPr>
        <w:pStyle w:val="NormalWeb"/>
        <w:rPr>
          <w:rFonts w:ascii="Arial" w:hAnsi="Arial" w:cs="Arial"/>
          <w:color w:val="000000" w:themeColor="text1"/>
          <w:sz w:val="22"/>
          <w:szCs w:val="22"/>
        </w:rPr>
      </w:pPr>
      <w:r w:rsidRPr="00921CE9">
        <w:rPr>
          <w:rStyle w:val="Penekanan"/>
          <w:rFonts w:ascii="Arial" w:hAnsi="Arial" w:cs="Arial"/>
          <w:color w:val="000000" w:themeColor="text1"/>
          <w:sz w:val="22"/>
          <w:szCs w:val="22"/>
        </w:rPr>
        <w:t>Note: Percentages may not total 100% due to rounding.</w:t>
      </w:r>
    </w:p>
    <w:p w14:paraId="0FAE1D59" w14:textId="77777777" w:rsidR="003A5DD8" w:rsidRPr="00921CE9" w:rsidRDefault="003A5DD8" w:rsidP="003A5DD8">
      <w:pPr>
        <w:pStyle w:val="Judul3"/>
        <w:rPr>
          <w:rStyle w:val="Kuat"/>
          <w:rFonts w:ascii="Arial" w:hAnsi="Arial" w:cs="Arial"/>
          <w:b w:val="0"/>
          <w:bCs w:val="0"/>
          <w:color w:val="000000" w:themeColor="text1"/>
          <w:sz w:val="22"/>
          <w:szCs w:val="22"/>
        </w:rPr>
      </w:pPr>
    </w:p>
    <w:p w14:paraId="75D10917" w14:textId="4606D88B" w:rsidR="003A5DD8" w:rsidRPr="00921CE9" w:rsidRDefault="003A5DD8" w:rsidP="003A5DD8">
      <w:pPr>
        <w:pStyle w:val="Judul3"/>
        <w:rPr>
          <w:rFonts w:ascii="Arial" w:hAnsi="Arial" w:cs="Arial"/>
          <w:color w:val="000000" w:themeColor="text1"/>
          <w:sz w:val="22"/>
          <w:szCs w:val="22"/>
        </w:rPr>
      </w:pPr>
      <w:r w:rsidRPr="00921CE9">
        <w:rPr>
          <w:rStyle w:val="Kuat"/>
          <w:rFonts w:ascii="Arial" w:hAnsi="Arial" w:cs="Arial"/>
          <w:color w:val="000000" w:themeColor="text1"/>
          <w:sz w:val="22"/>
          <w:szCs w:val="22"/>
        </w:rPr>
        <w:t>Level of Clinical Learning Environment and Empathy</w:t>
      </w:r>
    </w:p>
    <w:p w14:paraId="4D9C83A2" w14:textId="775289E3" w:rsidR="007439DA" w:rsidRPr="00921CE9" w:rsidRDefault="003A5DD8" w:rsidP="007439DA">
      <w:pPr>
        <w:pStyle w:val="NormalWeb"/>
        <w:ind w:firstLine="720"/>
        <w:rPr>
          <w:rStyle w:val="Kuat"/>
          <w:rFonts w:ascii="Arial" w:hAnsi="Arial" w:cs="Arial"/>
          <w:b w:val="0"/>
          <w:bCs w:val="0"/>
          <w:color w:val="000000" w:themeColor="text1"/>
          <w:sz w:val="22"/>
          <w:szCs w:val="22"/>
        </w:rPr>
      </w:pPr>
      <w:r w:rsidRPr="00921CE9">
        <w:rPr>
          <w:rFonts w:ascii="Arial" w:hAnsi="Arial" w:cs="Arial"/>
          <w:color w:val="000000" w:themeColor="text1"/>
          <w:sz w:val="22"/>
          <w:szCs w:val="22"/>
        </w:rPr>
        <w:t>Table 2 presents the mean scores and standard deviations for the clinical learning environment and empathy levels among student nurses. Results indicate that respondents generally perceived their clinical learning environment as supportive and demonstrated high levels of empathy.</w:t>
      </w:r>
    </w:p>
    <w:p w14:paraId="6AD2D174" w14:textId="46A89D04"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Kuat"/>
          <w:rFonts w:ascii="Arial" w:hAnsi="Arial" w:cs="Arial"/>
          <w:color w:val="000000" w:themeColor="text1"/>
          <w:sz w:val="22"/>
          <w:szCs w:val="22"/>
        </w:rPr>
        <w:t>Table 2. Level of Clinical Learning Environment and Empathy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60"/>
        <w:gridCol w:w="719"/>
        <w:gridCol w:w="2385"/>
        <w:gridCol w:w="2076"/>
      </w:tblGrid>
      <w:tr w:rsidR="003A5DD8" w:rsidRPr="00921CE9" w14:paraId="05CF3453" w14:textId="77777777" w:rsidTr="007439DA">
        <w:trPr>
          <w:tblHeader/>
          <w:tblCellSpacing w:w="15" w:type="dxa"/>
        </w:trPr>
        <w:tc>
          <w:tcPr>
            <w:tcW w:w="1975" w:type="pct"/>
            <w:vAlign w:val="center"/>
            <w:hideMark/>
          </w:tcPr>
          <w:p w14:paraId="34BA5257"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399" w:type="pct"/>
            <w:vAlign w:val="center"/>
            <w:hideMark/>
          </w:tcPr>
          <w:p w14:paraId="6AF5AF8A"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Mean</w:t>
            </w:r>
          </w:p>
        </w:tc>
        <w:tc>
          <w:tcPr>
            <w:tcW w:w="1362" w:type="pct"/>
            <w:vAlign w:val="center"/>
            <w:hideMark/>
          </w:tcPr>
          <w:p w14:paraId="6E5C3C76" w14:textId="77777777" w:rsidR="003A5DD8" w:rsidRPr="00921CE9" w:rsidRDefault="003A5DD8" w:rsidP="007439DA">
            <w:pPr>
              <w:spacing w:line="480" w:lineRule="auto"/>
              <w:jc w:val="center"/>
              <w:rPr>
                <w:rFonts w:ascii="Arial" w:hAnsi="Arial" w:cs="Arial"/>
                <w:b/>
                <w:bCs/>
                <w:color w:val="000000" w:themeColor="text1"/>
                <w:sz w:val="22"/>
                <w:szCs w:val="22"/>
              </w:rPr>
            </w:pPr>
            <w:r w:rsidRPr="00921CE9">
              <w:rPr>
                <w:rFonts w:ascii="Arial" w:hAnsi="Arial" w:cs="Arial"/>
                <w:b/>
                <w:bCs/>
                <w:color w:val="000000" w:themeColor="text1"/>
                <w:sz w:val="22"/>
                <w:szCs w:val="22"/>
              </w:rPr>
              <w:t>Standard Deviation</w:t>
            </w:r>
          </w:p>
        </w:tc>
        <w:tc>
          <w:tcPr>
            <w:tcW w:w="1174" w:type="pct"/>
            <w:vAlign w:val="center"/>
            <w:hideMark/>
          </w:tcPr>
          <w:p w14:paraId="63887A78"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Interpretation</w:t>
            </w:r>
          </w:p>
        </w:tc>
      </w:tr>
      <w:tr w:rsidR="003A5DD8" w:rsidRPr="00921CE9" w14:paraId="6E865890" w14:textId="77777777" w:rsidTr="007439DA">
        <w:trPr>
          <w:tblCellSpacing w:w="15" w:type="dxa"/>
        </w:trPr>
        <w:tc>
          <w:tcPr>
            <w:tcW w:w="1975" w:type="pct"/>
            <w:vAlign w:val="center"/>
            <w:hideMark/>
          </w:tcPr>
          <w:p w14:paraId="791708C0"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Environment</w:t>
            </w:r>
          </w:p>
        </w:tc>
        <w:tc>
          <w:tcPr>
            <w:tcW w:w="399" w:type="pct"/>
            <w:vAlign w:val="center"/>
            <w:hideMark/>
          </w:tcPr>
          <w:p w14:paraId="03B79B39"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3.42</w:t>
            </w:r>
          </w:p>
        </w:tc>
        <w:tc>
          <w:tcPr>
            <w:tcW w:w="1362" w:type="pct"/>
            <w:vAlign w:val="center"/>
            <w:hideMark/>
          </w:tcPr>
          <w:p w14:paraId="35CA9BB8"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0.38</w:t>
            </w:r>
          </w:p>
        </w:tc>
        <w:tc>
          <w:tcPr>
            <w:tcW w:w="1174" w:type="pct"/>
            <w:vAlign w:val="center"/>
            <w:hideMark/>
          </w:tcPr>
          <w:p w14:paraId="38C4BCA8"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Highly Supportive</w:t>
            </w:r>
          </w:p>
        </w:tc>
      </w:tr>
      <w:tr w:rsidR="003A5DD8" w:rsidRPr="00921CE9" w14:paraId="4C18EEC0" w14:textId="77777777" w:rsidTr="007439DA">
        <w:trPr>
          <w:tblCellSpacing w:w="15" w:type="dxa"/>
        </w:trPr>
        <w:tc>
          <w:tcPr>
            <w:tcW w:w="1975" w:type="pct"/>
            <w:vAlign w:val="center"/>
            <w:hideMark/>
          </w:tcPr>
          <w:p w14:paraId="33007CDB"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Empathy</w:t>
            </w:r>
          </w:p>
        </w:tc>
        <w:tc>
          <w:tcPr>
            <w:tcW w:w="399" w:type="pct"/>
            <w:vAlign w:val="center"/>
            <w:hideMark/>
          </w:tcPr>
          <w:p w14:paraId="34C2B0CE"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5.89</w:t>
            </w:r>
          </w:p>
        </w:tc>
        <w:tc>
          <w:tcPr>
            <w:tcW w:w="1362" w:type="pct"/>
            <w:vAlign w:val="center"/>
            <w:hideMark/>
          </w:tcPr>
          <w:p w14:paraId="2C05A11C" w14:textId="77777777" w:rsidR="003A5DD8" w:rsidRPr="00921CE9" w:rsidRDefault="003A5DD8" w:rsidP="007439DA">
            <w:pPr>
              <w:spacing w:line="480" w:lineRule="auto"/>
              <w:jc w:val="center"/>
              <w:rPr>
                <w:rFonts w:ascii="Arial" w:hAnsi="Arial" w:cs="Arial"/>
                <w:color w:val="000000" w:themeColor="text1"/>
                <w:sz w:val="22"/>
                <w:szCs w:val="22"/>
              </w:rPr>
            </w:pPr>
            <w:r w:rsidRPr="00921CE9">
              <w:rPr>
                <w:rFonts w:ascii="Arial" w:hAnsi="Arial" w:cs="Arial"/>
                <w:color w:val="000000" w:themeColor="text1"/>
                <w:sz w:val="22"/>
                <w:szCs w:val="22"/>
              </w:rPr>
              <w:t>0.52</w:t>
            </w:r>
          </w:p>
        </w:tc>
        <w:tc>
          <w:tcPr>
            <w:tcW w:w="1174" w:type="pct"/>
            <w:vAlign w:val="center"/>
            <w:hideMark/>
          </w:tcPr>
          <w:p w14:paraId="6F027394"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High Empathy</w:t>
            </w:r>
          </w:p>
        </w:tc>
      </w:tr>
    </w:tbl>
    <w:p w14:paraId="36D233CC" w14:textId="4859D7AE" w:rsidR="007439DA" w:rsidRPr="00921CE9" w:rsidRDefault="007439DA" w:rsidP="007439DA">
      <w:pPr>
        <w:pStyle w:val="NormalWeb"/>
        <w:spacing w:line="480" w:lineRule="auto"/>
        <w:rPr>
          <w:rStyle w:val="Kuat"/>
          <w:rFonts w:ascii="Arial" w:hAnsi="Arial" w:cs="Arial"/>
          <w:b w:val="0"/>
          <w:bCs w:val="0"/>
          <w:color w:val="000000" w:themeColor="text1"/>
          <w:sz w:val="22"/>
          <w:szCs w:val="22"/>
        </w:rPr>
      </w:pPr>
      <w:r w:rsidRPr="00921CE9">
        <w:rPr>
          <w:rStyle w:val="Penekanan"/>
          <w:rFonts w:ascii="Arial" w:hAnsi="Arial" w:cs="Arial"/>
          <w:color w:val="000000" w:themeColor="text1"/>
          <w:sz w:val="22"/>
          <w:szCs w:val="22"/>
        </w:rPr>
        <w:lastRenderedPageBreak/>
        <w:t>Note: Higher scores indicate more positive perceptions and higher empathy levels.</w:t>
      </w:r>
    </w:p>
    <w:p w14:paraId="48B5C3C4" w14:textId="05916B68" w:rsidR="003A5DD8" w:rsidRPr="00921CE9" w:rsidRDefault="003A5DD8" w:rsidP="003A5DD8">
      <w:pPr>
        <w:pStyle w:val="Judul3"/>
        <w:rPr>
          <w:rFonts w:ascii="Arial" w:hAnsi="Arial" w:cs="Arial"/>
          <w:color w:val="000000" w:themeColor="text1"/>
          <w:sz w:val="22"/>
          <w:szCs w:val="22"/>
        </w:rPr>
      </w:pPr>
      <w:r w:rsidRPr="00921CE9">
        <w:rPr>
          <w:rStyle w:val="Kuat"/>
          <w:rFonts w:ascii="Arial" w:hAnsi="Arial" w:cs="Arial"/>
          <w:color w:val="000000" w:themeColor="text1"/>
          <w:sz w:val="22"/>
          <w:szCs w:val="22"/>
        </w:rPr>
        <w:t>Correlation Between Clinical Learning Environment and Empathy</w:t>
      </w:r>
    </w:p>
    <w:p w14:paraId="00240149" w14:textId="77777777" w:rsidR="003A5DD8" w:rsidRPr="00921CE9" w:rsidRDefault="003A5DD8"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 relationship between the clinical learning environment and empathy is presented in Table 3. The results show a statistically significant positive correlation, indicating that a more supportive clinical learning environment is associated with higher levels of empathy among student nurses.</w:t>
      </w:r>
    </w:p>
    <w:p w14:paraId="00520126"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Kuat"/>
          <w:rFonts w:ascii="Arial" w:hAnsi="Arial" w:cs="Arial"/>
          <w:color w:val="000000" w:themeColor="text1"/>
          <w:sz w:val="22"/>
          <w:szCs w:val="22"/>
        </w:rPr>
        <w:t>Table 3. Correlation Between Clinical Learning Environment and Empathy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5"/>
        <w:gridCol w:w="1556"/>
        <w:gridCol w:w="1189"/>
        <w:gridCol w:w="3240"/>
      </w:tblGrid>
      <w:tr w:rsidR="003A5DD8" w:rsidRPr="00921CE9" w14:paraId="634073F6" w14:textId="77777777" w:rsidTr="007439DA">
        <w:trPr>
          <w:tblHeader/>
          <w:tblCellSpacing w:w="15" w:type="dxa"/>
        </w:trPr>
        <w:tc>
          <w:tcPr>
            <w:tcW w:w="2610" w:type="dxa"/>
            <w:vAlign w:val="center"/>
            <w:hideMark/>
          </w:tcPr>
          <w:p w14:paraId="6502C80D"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Variables</w:t>
            </w:r>
          </w:p>
        </w:tc>
        <w:tc>
          <w:tcPr>
            <w:tcW w:w="1526" w:type="dxa"/>
            <w:vAlign w:val="center"/>
            <w:hideMark/>
          </w:tcPr>
          <w:p w14:paraId="36C17A3F"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Spearman’s rho (ρ)</w:t>
            </w:r>
          </w:p>
        </w:tc>
        <w:tc>
          <w:tcPr>
            <w:tcW w:w="1159" w:type="dxa"/>
            <w:vAlign w:val="center"/>
            <w:hideMark/>
          </w:tcPr>
          <w:p w14:paraId="377B8772"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p-value</w:t>
            </w:r>
          </w:p>
        </w:tc>
        <w:tc>
          <w:tcPr>
            <w:tcW w:w="0" w:type="auto"/>
            <w:vAlign w:val="center"/>
            <w:hideMark/>
          </w:tcPr>
          <w:p w14:paraId="190801F9"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Interpretation</w:t>
            </w:r>
          </w:p>
        </w:tc>
      </w:tr>
      <w:tr w:rsidR="003A5DD8" w:rsidRPr="00921CE9" w14:paraId="6E0D9893" w14:textId="77777777" w:rsidTr="007439DA">
        <w:trPr>
          <w:tblCellSpacing w:w="15" w:type="dxa"/>
        </w:trPr>
        <w:tc>
          <w:tcPr>
            <w:tcW w:w="2610" w:type="dxa"/>
            <w:vAlign w:val="center"/>
            <w:hideMark/>
          </w:tcPr>
          <w:p w14:paraId="3AADA1A6"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Environment vs Empathy</w:t>
            </w:r>
          </w:p>
        </w:tc>
        <w:tc>
          <w:tcPr>
            <w:tcW w:w="1526" w:type="dxa"/>
            <w:vAlign w:val="center"/>
            <w:hideMark/>
          </w:tcPr>
          <w:p w14:paraId="321F2BC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0.62</w:t>
            </w:r>
          </w:p>
        </w:tc>
        <w:tc>
          <w:tcPr>
            <w:tcW w:w="1159" w:type="dxa"/>
            <w:vAlign w:val="center"/>
            <w:hideMark/>
          </w:tcPr>
          <w:p w14:paraId="70DE6BC5"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0.000</w:t>
            </w:r>
          </w:p>
        </w:tc>
        <w:tc>
          <w:tcPr>
            <w:tcW w:w="0" w:type="auto"/>
            <w:vAlign w:val="center"/>
            <w:hideMark/>
          </w:tcPr>
          <w:p w14:paraId="1FD94A8C"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Significant Moderate Positive Correlation</w:t>
            </w:r>
          </w:p>
        </w:tc>
      </w:tr>
    </w:tbl>
    <w:p w14:paraId="1AA336B1"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Penekanan"/>
          <w:rFonts w:ascii="Arial" w:hAnsi="Arial" w:cs="Arial"/>
          <w:color w:val="000000" w:themeColor="text1"/>
          <w:sz w:val="22"/>
          <w:szCs w:val="22"/>
        </w:rPr>
        <w:t>Note: Significant at p &lt; 0.05.</w:t>
      </w:r>
    </w:p>
    <w:p w14:paraId="18A87AA7" w14:textId="77777777" w:rsidR="00902823" w:rsidRPr="00921CE9" w:rsidRDefault="00000F8F" w:rsidP="00441B6F">
      <w:pPr>
        <w:pStyle w:val="Head1"/>
        <w:spacing w:after="0"/>
        <w:jc w:val="both"/>
        <w:rPr>
          <w:rFonts w:ascii="Arial" w:hAnsi="Arial" w:cs="Arial"/>
          <w:color w:val="000000" w:themeColor="text1"/>
          <w:szCs w:val="22"/>
        </w:rPr>
      </w:pPr>
      <w:r w:rsidRPr="00921CE9">
        <w:rPr>
          <w:rFonts w:ascii="Arial" w:hAnsi="Arial" w:cs="Arial"/>
          <w:color w:val="000000" w:themeColor="text1"/>
          <w:szCs w:val="22"/>
        </w:rPr>
        <w:t>3</w:t>
      </w:r>
      <w:r w:rsidR="00902823" w:rsidRPr="00921CE9">
        <w:rPr>
          <w:rFonts w:ascii="Arial" w:hAnsi="Arial" w:cs="Arial"/>
          <w:color w:val="000000" w:themeColor="text1"/>
          <w:szCs w:val="22"/>
        </w:rPr>
        <w:t xml:space="preserve">. </w:t>
      </w:r>
      <w:r w:rsidRPr="00921CE9">
        <w:rPr>
          <w:rFonts w:ascii="Arial" w:hAnsi="Arial" w:cs="Arial"/>
          <w:color w:val="000000" w:themeColor="text1"/>
          <w:szCs w:val="22"/>
        </w:rPr>
        <w:t>results and discussion</w:t>
      </w:r>
    </w:p>
    <w:p w14:paraId="127613DD" w14:textId="77777777" w:rsidR="00790ADA" w:rsidRPr="00921CE9" w:rsidRDefault="00790ADA" w:rsidP="00441B6F">
      <w:pPr>
        <w:pStyle w:val="Head1"/>
        <w:spacing w:after="0"/>
        <w:jc w:val="both"/>
        <w:rPr>
          <w:rFonts w:ascii="Arial" w:hAnsi="Arial" w:cs="Arial"/>
          <w:color w:val="000000" w:themeColor="text1"/>
          <w:szCs w:val="22"/>
        </w:rPr>
      </w:pPr>
    </w:p>
    <w:p w14:paraId="2CE17D66" w14:textId="77777777" w:rsidR="003A5DD8" w:rsidRPr="00921CE9" w:rsidRDefault="003A5DD8" w:rsidP="003A5DD8">
      <w:pPr>
        <w:pStyle w:val="Judul3"/>
        <w:rPr>
          <w:rFonts w:ascii="Arial" w:hAnsi="Arial" w:cs="Arial"/>
          <w:color w:val="000000" w:themeColor="text1"/>
          <w:sz w:val="22"/>
          <w:szCs w:val="22"/>
        </w:rPr>
      </w:pPr>
      <w:r w:rsidRPr="00921CE9">
        <w:rPr>
          <w:rStyle w:val="Kuat"/>
          <w:rFonts w:ascii="Arial" w:hAnsi="Arial" w:cs="Arial"/>
          <w:color w:val="000000" w:themeColor="text1"/>
          <w:sz w:val="22"/>
          <w:szCs w:val="22"/>
        </w:rPr>
        <w:t>Descriptive Analysis</w:t>
      </w:r>
    </w:p>
    <w:p w14:paraId="619482E7" w14:textId="77777777" w:rsidR="003A5DD8" w:rsidRPr="00921CE9" w:rsidRDefault="003A5DD8" w:rsidP="003A5DD8">
      <w:pPr>
        <w:pStyle w:val="Judul4"/>
        <w:rPr>
          <w:rFonts w:ascii="Arial" w:hAnsi="Arial" w:cs="Arial"/>
          <w:i w:val="0"/>
          <w:iCs w:val="0"/>
          <w:color w:val="000000" w:themeColor="text1"/>
          <w:sz w:val="22"/>
          <w:szCs w:val="22"/>
        </w:rPr>
      </w:pPr>
      <w:r w:rsidRPr="00921CE9">
        <w:rPr>
          <w:rStyle w:val="Kuat"/>
          <w:rFonts w:ascii="Arial" w:hAnsi="Arial" w:cs="Arial"/>
          <w:i w:val="0"/>
          <w:iCs w:val="0"/>
          <w:color w:val="000000" w:themeColor="text1"/>
          <w:sz w:val="22"/>
          <w:szCs w:val="22"/>
        </w:rPr>
        <w:t>Profile of the Respondents</w:t>
      </w:r>
    </w:p>
    <w:p w14:paraId="196EB163"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A total of 314 student nurses participated in the study. The demographic profile showed that the majority of respondents were female (80.6%), while males comprised 19.4% of the sample. In terms of year level, 35.4% were fourth-year students, 35.0% were second-year students, and 29.6% were third-year students. This distribution reflects the typical gender composition in nursing education and ensures adequate representation across different levels of clinical exposure.</w:t>
      </w:r>
    </w:p>
    <w:p w14:paraId="4697D1CC" w14:textId="21445EB9" w:rsidR="003A5DD8" w:rsidRPr="00921CE9" w:rsidRDefault="003A5DD8" w:rsidP="003A5DD8">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 xml:space="preserve">Table </w:t>
      </w:r>
      <w:r w:rsidR="003C6856">
        <w:rPr>
          <w:rStyle w:val="Kuat"/>
          <w:rFonts w:ascii="Arial" w:hAnsi="Arial" w:cs="Arial"/>
          <w:color w:val="000000" w:themeColor="text1"/>
          <w:sz w:val="22"/>
          <w:szCs w:val="22"/>
        </w:rPr>
        <w:t>4</w:t>
      </w:r>
      <w:r w:rsidRPr="00921CE9">
        <w:rPr>
          <w:rStyle w:val="Kuat"/>
          <w:rFonts w:ascii="Arial" w:hAnsi="Arial" w:cs="Arial"/>
          <w:color w:val="000000" w:themeColor="text1"/>
          <w:sz w:val="22"/>
          <w:szCs w:val="22"/>
        </w:rPr>
        <w:t>. Profile of Respondents According to Sex and Year Level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37"/>
        <w:gridCol w:w="2068"/>
        <w:gridCol w:w="2258"/>
        <w:gridCol w:w="2577"/>
      </w:tblGrid>
      <w:tr w:rsidR="003A5DD8" w:rsidRPr="00921CE9" w14:paraId="2272436C" w14:textId="77777777" w:rsidTr="003A5DD8">
        <w:trPr>
          <w:tblHeader/>
          <w:tblCellSpacing w:w="15" w:type="dxa"/>
        </w:trPr>
        <w:tc>
          <w:tcPr>
            <w:tcW w:w="968" w:type="pct"/>
            <w:vAlign w:val="center"/>
            <w:hideMark/>
          </w:tcPr>
          <w:p w14:paraId="495846BE"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1165" w:type="pct"/>
            <w:vAlign w:val="center"/>
            <w:hideMark/>
          </w:tcPr>
          <w:p w14:paraId="5A9EB360"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Category</w:t>
            </w:r>
          </w:p>
        </w:tc>
        <w:tc>
          <w:tcPr>
            <w:tcW w:w="1273" w:type="pct"/>
            <w:vAlign w:val="center"/>
            <w:hideMark/>
          </w:tcPr>
          <w:p w14:paraId="1554473D"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Frequency (f)</w:t>
            </w:r>
          </w:p>
        </w:tc>
        <w:tc>
          <w:tcPr>
            <w:tcW w:w="1447" w:type="pct"/>
            <w:vAlign w:val="center"/>
            <w:hideMark/>
          </w:tcPr>
          <w:p w14:paraId="5D3DAF13" w14:textId="77777777" w:rsidR="003A5DD8" w:rsidRPr="00921CE9" w:rsidRDefault="003A5DD8" w:rsidP="003A5DD8">
            <w:pPr>
              <w:rPr>
                <w:rFonts w:ascii="Arial" w:hAnsi="Arial" w:cs="Arial"/>
                <w:b/>
                <w:bCs/>
                <w:color w:val="000000" w:themeColor="text1"/>
                <w:sz w:val="22"/>
                <w:szCs w:val="22"/>
              </w:rPr>
            </w:pPr>
            <w:r w:rsidRPr="00921CE9">
              <w:rPr>
                <w:rFonts w:ascii="Arial" w:hAnsi="Arial" w:cs="Arial"/>
                <w:b/>
                <w:bCs/>
                <w:color w:val="000000" w:themeColor="text1"/>
                <w:sz w:val="22"/>
                <w:szCs w:val="22"/>
              </w:rPr>
              <w:t>Percentage (%)</w:t>
            </w:r>
          </w:p>
        </w:tc>
      </w:tr>
      <w:tr w:rsidR="003A5DD8" w:rsidRPr="00921CE9" w14:paraId="0D1FF3CF" w14:textId="77777777" w:rsidTr="003A5DD8">
        <w:trPr>
          <w:tblCellSpacing w:w="15" w:type="dxa"/>
        </w:trPr>
        <w:tc>
          <w:tcPr>
            <w:tcW w:w="968" w:type="pct"/>
            <w:vAlign w:val="center"/>
            <w:hideMark/>
          </w:tcPr>
          <w:p w14:paraId="14913FB5"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Sex</w:t>
            </w:r>
          </w:p>
        </w:tc>
        <w:tc>
          <w:tcPr>
            <w:tcW w:w="1165" w:type="pct"/>
            <w:vAlign w:val="center"/>
            <w:hideMark/>
          </w:tcPr>
          <w:p w14:paraId="2345C272"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Male</w:t>
            </w:r>
          </w:p>
        </w:tc>
        <w:tc>
          <w:tcPr>
            <w:tcW w:w="1273" w:type="pct"/>
            <w:vAlign w:val="center"/>
            <w:hideMark/>
          </w:tcPr>
          <w:p w14:paraId="46415206"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61</w:t>
            </w:r>
          </w:p>
        </w:tc>
        <w:tc>
          <w:tcPr>
            <w:tcW w:w="1447" w:type="pct"/>
            <w:vAlign w:val="center"/>
            <w:hideMark/>
          </w:tcPr>
          <w:p w14:paraId="52F49C60"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19.4</w:t>
            </w:r>
          </w:p>
        </w:tc>
      </w:tr>
      <w:tr w:rsidR="003A5DD8" w:rsidRPr="00921CE9" w14:paraId="714D7893" w14:textId="77777777" w:rsidTr="003A5DD8">
        <w:trPr>
          <w:tblCellSpacing w:w="15" w:type="dxa"/>
        </w:trPr>
        <w:tc>
          <w:tcPr>
            <w:tcW w:w="968" w:type="pct"/>
            <w:vAlign w:val="center"/>
            <w:hideMark/>
          </w:tcPr>
          <w:p w14:paraId="1DD8F304" w14:textId="77777777" w:rsidR="003A5DD8" w:rsidRPr="00921CE9" w:rsidRDefault="003A5DD8">
            <w:pPr>
              <w:rPr>
                <w:rFonts w:ascii="Arial" w:hAnsi="Arial" w:cs="Arial"/>
                <w:color w:val="000000" w:themeColor="text1"/>
                <w:sz w:val="22"/>
                <w:szCs w:val="22"/>
              </w:rPr>
            </w:pPr>
          </w:p>
        </w:tc>
        <w:tc>
          <w:tcPr>
            <w:tcW w:w="1165" w:type="pct"/>
            <w:vAlign w:val="center"/>
            <w:hideMark/>
          </w:tcPr>
          <w:p w14:paraId="26EF9761"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Female</w:t>
            </w:r>
          </w:p>
        </w:tc>
        <w:tc>
          <w:tcPr>
            <w:tcW w:w="1273" w:type="pct"/>
            <w:vAlign w:val="center"/>
            <w:hideMark/>
          </w:tcPr>
          <w:p w14:paraId="508F1D2F"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253</w:t>
            </w:r>
          </w:p>
        </w:tc>
        <w:tc>
          <w:tcPr>
            <w:tcW w:w="1447" w:type="pct"/>
            <w:vAlign w:val="center"/>
            <w:hideMark/>
          </w:tcPr>
          <w:p w14:paraId="1D5F6FB7"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80.6</w:t>
            </w:r>
          </w:p>
        </w:tc>
      </w:tr>
      <w:tr w:rsidR="003A5DD8" w:rsidRPr="00921CE9" w14:paraId="33433802" w14:textId="77777777" w:rsidTr="003A5DD8">
        <w:trPr>
          <w:tblCellSpacing w:w="15" w:type="dxa"/>
        </w:trPr>
        <w:tc>
          <w:tcPr>
            <w:tcW w:w="968" w:type="pct"/>
            <w:vAlign w:val="center"/>
            <w:hideMark/>
          </w:tcPr>
          <w:p w14:paraId="441788FA"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Year Level</w:t>
            </w:r>
          </w:p>
        </w:tc>
        <w:tc>
          <w:tcPr>
            <w:tcW w:w="1165" w:type="pct"/>
            <w:vAlign w:val="center"/>
            <w:hideMark/>
          </w:tcPr>
          <w:p w14:paraId="55EEB61C"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Second Year</w:t>
            </w:r>
          </w:p>
        </w:tc>
        <w:tc>
          <w:tcPr>
            <w:tcW w:w="1273" w:type="pct"/>
            <w:vAlign w:val="center"/>
            <w:hideMark/>
          </w:tcPr>
          <w:p w14:paraId="41CD4177"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110</w:t>
            </w:r>
          </w:p>
        </w:tc>
        <w:tc>
          <w:tcPr>
            <w:tcW w:w="1447" w:type="pct"/>
            <w:vAlign w:val="center"/>
            <w:hideMark/>
          </w:tcPr>
          <w:p w14:paraId="7A553E48"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35.0</w:t>
            </w:r>
          </w:p>
        </w:tc>
      </w:tr>
      <w:tr w:rsidR="003A5DD8" w:rsidRPr="00921CE9" w14:paraId="5FA7A852" w14:textId="77777777" w:rsidTr="003A5DD8">
        <w:trPr>
          <w:tblCellSpacing w:w="15" w:type="dxa"/>
        </w:trPr>
        <w:tc>
          <w:tcPr>
            <w:tcW w:w="968" w:type="pct"/>
            <w:vAlign w:val="center"/>
            <w:hideMark/>
          </w:tcPr>
          <w:p w14:paraId="34C87547" w14:textId="77777777" w:rsidR="003A5DD8" w:rsidRPr="00921CE9" w:rsidRDefault="003A5DD8">
            <w:pPr>
              <w:rPr>
                <w:rFonts w:ascii="Arial" w:hAnsi="Arial" w:cs="Arial"/>
                <w:color w:val="000000" w:themeColor="text1"/>
                <w:sz w:val="22"/>
                <w:szCs w:val="22"/>
              </w:rPr>
            </w:pPr>
          </w:p>
        </w:tc>
        <w:tc>
          <w:tcPr>
            <w:tcW w:w="1165" w:type="pct"/>
            <w:vAlign w:val="center"/>
            <w:hideMark/>
          </w:tcPr>
          <w:p w14:paraId="0947E263"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Third Year</w:t>
            </w:r>
          </w:p>
        </w:tc>
        <w:tc>
          <w:tcPr>
            <w:tcW w:w="1273" w:type="pct"/>
            <w:vAlign w:val="center"/>
            <w:hideMark/>
          </w:tcPr>
          <w:p w14:paraId="25C4AF48"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93</w:t>
            </w:r>
          </w:p>
        </w:tc>
        <w:tc>
          <w:tcPr>
            <w:tcW w:w="1447" w:type="pct"/>
            <w:vAlign w:val="center"/>
            <w:hideMark/>
          </w:tcPr>
          <w:p w14:paraId="0585234B"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29.6</w:t>
            </w:r>
          </w:p>
        </w:tc>
      </w:tr>
      <w:tr w:rsidR="003A5DD8" w:rsidRPr="00921CE9" w14:paraId="46AE2E87" w14:textId="77777777" w:rsidTr="003A5DD8">
        <w:trPr>
          <w:tblCellSpacing w:w="15" w:type="dxa"/>
        </w:trPr>
        <w:tc>
          <w:tcPr>
            <w:tcW w:w="968" w:type="pct"/>
            <w:vAlign w:val="center"/>
            <w:hideMark/>
          </w:tcPr>
          <w:p w14:paraId="3DF134D8" w14:textId="77777777" w:rsidR="003A5DD8" w:rsidRPr="00921CE9" w:rsidRDefault="003A5DD8">
            <w:pPr>
              <w:rPr>
                <w:rFonts w:ascii="Arial" w:hAnsi="Arial" w:cs="Arial"/>
                <w:color w:val="000000" w:themeColor="text1"/>
                <w:sz w:val="22"/>
                <w:szCs w:val="22"/>
              </w:rPr>
            </w:pPr>
          </w:p>
        </w:tc>
        <w:tc>
          <w:tcPr>
            <w:tcW w:w="1165" w:type="pct"/>
            <w:vAlign w:val="center"/>
            <w:hideMark/>
          </w:tcPr>
          <w:p w14:paraId="69852140"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Fourth Year</w:t>
            </w:r>
          </w:p>
        </w:tc>
        <w:tc>
          <w:tcPr>
            <w:tcW w:w="1273" w:type="pct"/>
            <w:vAlign w:val="center"/>
            <w:hideMark/>
          </w:tcPr>
          <w:p w14:paraId="33598BD6"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111</w:t>
            </w:r>
          </w:p>
        </w:tc>
        <w:tc>
          <w:tcPr>
            <w:tcW w:w="1447" w:type="pct"/>
            <w:vAlign w:val="center"/>
            <w:hideMark/>
          </w:tcPr>
          <w:p w14:paraId="0D5666B0" w14:textId="77777777" w:rsidR="003A5DD8" w:rsidRPr="00921CE9" w:rsidRDefault="003A5DD8">
            <w:pPr>
              <w:rPr>
                <w:rFonts w:ascii="Arial" w:hAnsi="Arial" w:cs="Arial"/>
                <w:color w:val="000000" w:themeColor="text1"/>
                <w:sz w:val="22"/>
                <w:szCs w:val="22"/>
              </w:rPr>
            </w:pPr>
            <w:r w:rsidRPr="00921CE9">
              <w:rPr>
                <w:rFonts w:ascii="Arial" w:hAnsi="Arial" w:cs="Arial"/>
                <w:color w:val="000000" w:themeColor="text1"/>
                <w:sz w:val="22"/>
                <w:szCs w:val="22"/>
              </w:rPr>
              <w:t>35.4</w:t>
            </w:r>
          </w:p>
        </w:tc>
      </w:tr>
    </w:tbl>
    <w:p w14:paraId="233BBA8D" w14:textId="77777777" w:rsidR="003A5DD8" w:rsidRPr="00921CE9" w:rsidRDefault="003A5DD8" w:rsidP="003A5DD8">
      <w:pPr>
        <w:pStyle w:val="NormalWeb"/>
        <w:rPr>
          <w:rFonts w:ascii="Arial" w:hAnsi="Arial" w:cs="Arial"/>
          <w:color w:val="000000" w:themeColor="text1"/>
          <w:sz w:val="22"/>
          <w:szCs w:val="22"/>
        </w:rPr>
      </w:pPr>
      <w:r w:rsidRPr="00921CE9">
        <w:rPr>
          <w:rStyle w:val="Penekanan"/>
          <w:rFonts w:ascii="Arial" w:hAnsi="Arial" w:cs="Arial"/>
          <w:color w:val="000000" w:themeColor="text1"/>
          <w:sz w:val="22"/>
          <w:szCs w:val="22"/>
        </w:rPr>
        <w:lastRenderedPageBreak/>
        <w:t>Note: Percentages may not total 100% due to rounding.</w:t>
      </w:r>
    </w:p>
    <w:p w14:paraId="05378629" w14:textId="77777777" w:rsidR="003A5DD8" w:rsidRPr="00921CE9" w:rsidRDefault="003A5DD8" w:rsidP="003A5DD8">
      <w:pPr>
        <w:pStyle w:val="Judul4"/>
        <w:rPr>
          <w:rFonts w:ascii="Arial" w:hAnsi="Arial" w:cs="Arial"/>
          <w:i w:val="0"/>
          <w:iCs w:val="0"/>
          <w:color w:val="000000" w:themeColor="text1"/>
          <w:sz w:val="22"/>
          <w:szCs w:val="22"/>
        </w:rPr>
      </w:pPr>
      <w:r w:rsidRPr="00921CE9">
        <w:rPr>
          <w:rStyle w:val="Kuat"/>
          <w:rFonts w:ascii="Arial" w:hAnsi="Arial" w:cs="Arial"/>
          <w:i w:val="0"/>
          <w:iCs w:val="0"/>
          <w:color w:val="000000" w:themeColor="text1"/>
          <w:sz w:val="22"/>
          <w:szCs w:val="22"/>
        </w:rPr>
        <w:t>Level of Clinical Learning Environment and Empathy</w:t>
      </w:r>
    </w:p>
    <w:p w14:paraId="039B5EF8" w14:textId="4392F55F" w:rsidR="007439DA" w:rsidRPr="00921CE9" w:rsidRDefault="003A5DD8" w:rsidP="00710F2B">
      <w:pPr>
        <w:pStyle w:val="NormalWeb"/>
        <w:ind w:firstLine="720"/>
        <w:rPr>
          <w:rStyle w:val="Kuat"/>
          <w:rFonts w:ascii="Arial" w:hAnsi="Arial" w:cs="Arial"/>
          <w:b w:val="0"/>
          <w:bCs w:val="0"/>
          <w:color w:val="000000" w:themeColor="text1"/>
          <w:sz w:val="22"/>
          <w:szCs w:val="22"/>
        </w:rPr>
      </w:pPr>
      <w:r w:rsidRPr="00921CE9">
        <w:rPr>
          <w:rFonts w:ascii="Arial" w:hAnsi="Arial" w:cs="Arial"/>
          <w:color w:val="000000" w:themeColor="text1"/>
          <w:sz w:val="22"/>
          <w:szCs w:val="22"/>
        </w:rPr>
        <w:t>Student nurses reported a generally positive perception of their clinical learning environment, with a mean score of 3.36 (SD = 0.50) on a 4-point scale. Similarly, empathy levels were high, with a mean score of 5.77 (SD = 1.12) on a 7-point scale. These findings suggest that respondents experienced supportive clinical settings while maintaining strong empathic orientation.</w:t>
      </w:r>
    </w:p>
    <w:p w14:paraId="4B0E78C4" w14:textId="32795AFA"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Kuat"/>
          <w:rFonts w:ascii="Arial" w:hAnsi="Arial" w:cs="Arial"/>
          <w:color w:val="000000" w:themeColor="text1"/>
          <w:sz w:val="22"/>
          <w:szCs w:val="22"/>
        </w:rPr>
        <w:t xml:space="preserve">Table </w:t>
      </w:r>
      <w:r w:rsidR="003C6856">
        <w:rPr>
          <w:rStyle w:val="Kuat"/>
          <w:rFonts w:ascii="Arial" w:hAnsi="Arial" w:cs="Arial"/>
          <w:color w:val="000000" w:themeColor="text1"/>
          <w:sz w:val="22"/>
          <w:szCs w:val="22"/>
        </w:rPr>
        <w:t>5</w:t>
      </w:r>
      <w:r w:rsidRPr="00921CE9">
        <w:rPr>
          <w:rStyle w:val="Kuat"/>
          <w:rFonts w:ascii="Arial" w:hAnsi="Arial" w:cs="Arial"/>
          <w:color w:val="000000" w:themeColor="text1"/>
          <w:sz w:val="22"/>
          <w:szCs w:val="22"/>
        </w:rPr>
        <w:t>. Descriptive Statistics for Clinical Learning Environment and Empathy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22"/>
        <w:gridCol w:w="1325"/>
        <w:gridCol w:w="3393"/>
      </w:tblGrid>
      <w:tr w:rsidR="003A5DD8" w:rsidRPr="00921CE9" w14:paraId="314A5CA2" w14:textId="77777777" w:rsidTr="003A5DD8">
        <w:trPr>
          <w:tblHeader/>
          <w:tblCellSpacing w:w="15" w:type="dxa"/>
        </w:trPr>
        <w:tc>
          <w:tcPr>
            <w:tcW w:w="2230" w:type="pct"/>
            <w:vAlign w:val="center"/>
            <w:hideMark/>
          </w:tcPr>
          <w:p w14:paraId="053BC6A2"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Variable</w:t>
            </w:r>
          </w:p>
        </w:tc>
        <w:tc>
          <w:tcPr>
            <w:tcW w:w="745" w:type="pct"/>
            <w:vAlign w:val="center"/>
            <w:hideMark/>
          </w:tcPr>
          <w:p w14:paraId="613FD6A4"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Mean (M)</w:t>
            </w:r>
          </w:p>
        </w:tc>
        <w:tc>
          <w:tcPr>
            <w:tcW w:w="1926" w:type="pct"/>
            <w:vAlign w:val="center"/>
            <w:hideMark/>
          </w:tcPr>
          <w:p w14:paraId="691A4EB5"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Standard Deviation (SD)</w:t>
            </w:r>
          </w:p>
        </w:tc>
      </w:tr>
      <w:tr w:rsidR="003A5DD8" w:rsidRPr="00921CE9" w14:paraId="4457D3FF" w14:textId="77777777" w:rsidTr="003A5DD8">
        <w:trPr>
          <w:tblCellSpacing w:w="15" w:type="dxa"/>
        </w:trPr>
        <w:tc>
          <w:tcPr>
            <w:tcW w:w="2230" w:type="pct"/>
            <w:vAlign w:val="center"/>
            <w:hideMark/>
          </w:tcPr>
          <w:p w14:paraId="0CD07564"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Environment</w:t>
            </w:r>
          </w:p>
        </w:tc>
        <w:tc>
          <w:tcPr>
            <w:tcW w:w="745" w:type="pct"/>
            <w:vAlign w:val="center"/>
            <w:hideMark/>
          </w:tcPr>
          <w:p w14:paraId="34343C32"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3.36</w:t>
            </w:r>
          </w:p>
        </w:tc>
        <w:tc>
          <w:tcPr>
            <w:tcW w:w="1926" w:type="pct"/>
            <w:vAlign w:val="center"/>
            <w:hideMark/>
          </w:tcPr>
          <w:p w14:paraId="52F60CD9"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0.50</w:t>
            </w:r>
          </w:p>
        </w:tc>
      </w:tr>
      <w:tr w:rsidR="003A5DD8" w:rsidRPr="00921CE9" w14:paraId="43EE23C9" w14:textId="77777777" w:rsidTr="003A5DD8">
        <w:trPr>
          <w:tblCellSpacing w:w="15" w:type="dxa"/>
        </w:trPr>
        <w:tc>
          <w:tcPr>
            <w:tcW w:w="2230" w:type="pct"/>
            <w:vAlign w:val="center"/>
            <w:hideMark/>
          </w:tcPr>
          <w:p w14:paraId="786CBE7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Empathy</w:t>
            </w:r>
          </w:p>
        </w:tc>
        <w:tc>
          <w:tcPr>
            <w:tcW w:w="745" w:type="pct"/>
            <w:vAlign w:val="center"/>
            <w:hideMark/>
          </w:tcPr>
          <w:p w14:paraId="7ED2E8F6"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5.77</w:t>
            </w:r>
          </w:p>
        </w:tc>
        <w:tc>
          <w:tcPr>
            <w:tcW w:w="1926" w:type="pct"/>
            <w:vAlign w:val="center"/>
            <w:hideMark/>
          </w:tcPr>
          <w:p w14:paraId="7C40259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1.12</w:t>
            </w:r>
          </w:p>
        </w:tc>
      </w:tr>
    </w:tbl>
    <w:p w14:paraId="21DFB674"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Penekanan"/>
          <w:rFonts w:ascii="Arial" w:hAnsi="Arial" w:cs="Arial"/>
          <w:color w:val="000000" w:themeColor="text1"/>
          <w:sz w:val="22"/>
          <w:szCs w:val="22"/>
        </w:rPr>
        <w:t>Note: Higher scores indicate more positive perceptions and higher empathy levels.</w:t>
      </w:r>
    </w:p>
    <w:p w14:paraId="1E675137"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These results are consistent with previous studies indicating that structured and supportive clinical environments contribute to both skill development and caring behaviors among nursing students (Falguera et al., 2025). A conducive learning environment may enhance students’ ability to engage emotionally with patients, thereby strengthening empathy.</w:t>
      </w:r>
    </w:p>
    <w:p w14:paraId="257F1CBE" w14:textId="77777777" w:rsidR="003A5DD8" w:rsidRPr="00921CE9" w:rsidRDefault="003A5DD8" w:rsidP="003A5DD8">
      <w:pPr>
        <w:pStyle w:val="Judul3"/>
        <w:rPr>
          <w:rFonts w:ascii="Arial" w:hAnsi="Arial" w:cs="Arial"/>
          <w:color w:val="000000" w:themeColor="text1"/>
          <w:sz w:val="22"/>
          <w:szCs w:val="22"/>
        </w:rPr>
      </w:pPr>
      <w:r w:rsidRPr="00921CE9">
        <w:rPr>
          <w:rStyle w:val="Kuat"/>
          <w:rFonts w:ascii="Arial" w:hAnsi="Arial" w:cs="Arial"/>
          <w:color w:val="000000" w:themeColor="text1"/>
          <w:sz w:val="22"/>
          <w:szCs w:val="22"/>
        </w:rPr>
        <w:t>Inferential Analysis</w:t>
      </w:r>
    </w:p>
    <w:p w14:paraId="187E6DC8" w14:textId="77777777" w:rsidR="003A5DD8" w:rsidRPr="00921CE9" w:rsidRDefault="003A5DD8" w:rsidP="003A5DD8">
      <w:pPr>
        <w:pStyle w:val="Judul4"/>
        <w:rPr>
          <w:rFonts w:ascii="Arial" w:hAnsi="Arial" w:cs="Arial"/>
          <w:i w:val="0"/>
          <w:iCs w:val="0"/>
          <w:color w:val="000000" w:themeColor="text1"/>
          <w:sz w:val="22"/>
          <w:szCs w:val="22"/>
        </w:rPr>
      </w:pPr>
      <w:r w:rsidRPr="00921CE9">
        <w:rPr>
          <w:rStyle w:val="Kuat"/>
          <w:rFonts w:ascii="Arial" w:hAnsi="Arial" w:cs="Arial"/>
          <w:i w:val="0"/>
          <w:iCs w:val="0"/>
          <w:color w:val="000000" w:themeColor="text1"/>
          <w:sz w:val="22"/>
          <w:szCs w:val="22"/>
        </w:rPr>
        <w:t>Relationship Between Clinical Learning Environment and Empathy</w:t>
      </w:r>
    </w:p>
    <w:p w14:paraId="45465371"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Spearman’s rho correlation analysis revealed statistically significant positive relationships between components of the clinical learning environment and empathy. Clinical learning development showed a moderate positive correlation with empathy (r</w:t>
      </w:r>
      <w:r w:rsidRPr="00921CE9">
        <w:rPr>
          <w:rFonts w:ascii="Cambria Math" w:hAnsi="Cambria Math" w:cs="Cambria Math"/>
          <w:color w:val="000000" w:themeColor="text1"/>
          <w:sz w:val="22"/>
          <w:szCs w:val="22"/>
        </w:rPr>
        <w:t>ₛ</w:t>
      </w:r>
      <w:r w:rsidRPr="00921CE9">
        <w:rPr>
          <w:rFonts w:ascii="Arial" w:hAnsi="Arial" w:cs="Arial"/>
          <w:color w:val="000000" w:themeColor="text1"/>
          <w:sz w:val="22"/>
          <w:szCs w:val="22"/>
        </w:rPr>
        <w:t xml:space="preserve"> = 0.42, </w:t>
      </w:r>
      <w:r w:rsidRPr="00921CE9">
        <w:rPr>
          <w:rStyle w:val="Penekanan"/>
          <w:rFonts w:ascii="Arial" w:hAnsi="Arial" w:cs="Arial"/>
          <w:color w:val="000000" w:themeColor="text1"/>
          <w:sz w:val="22"/>
          <w:szCs w:val="22"/>
        </w:rPr>
        <w:t>P</w:t>
      </w:r>
      <w:r w:rsidRPr="00921CE9">
        <w:rPr>
          <w:rFonts w:ascii="Arial" w:hAnsi="Arial" w:cs="Arial"/>
          <w:color w:val="000000" w:themeColor="text1"/>
          <w:sz w:val="22"/>
          <w:szCs w:val="22"/>
        </w:rPr>
        <w:t xml:space="preserve"> = .000), while individualized patient care demonstrated a stronger positive correlation (r</w:t>
      </w:r>
      <w:r w:rsidRPr="00921CE9">
        <w:rPr>
          <w:rFonts w:ascii="Cambria Math" w:hAnsi="Cambria Math" w:cs="Cambria Math"/>
          <w:color w:val="000000" w:themeColor="text1"/>
          <w:sz w:val="22"/>
          <w:szCs w:val="22"/>
        </w:rPr>
        <w:t>ₛ</w:t>
      </w:r>
      <w:r w:rsidRPr="00921CE9">
        <w:rPr>
          <w:rFonts w:ascii="Arial" w:hAnsi="Arial" w:cs="Arial"/>
          <w:color w:val="000000" w:themeColor="text1"/>
          <w:sz w:val="22"/>
          <w:szCs w:val="22"/>
        </w:rPr>
        <w:t xml:space="preserve"> = 0.51, </w:t>
      </w:r>
      <w:r w:rsidRPr="00921CE9">
        <w:rPr>
          <w:rStyle w:val="Penekanan"/>
          <w:rFonts w:ascii="Arial" w:hAnsi="Arial" w:cs="Arial"/>
          <w:color w:val="000000" w:themeColor="text1"/>
          <w:sz w:val="22"/>
          <w:szCs w:val="22"/>
        </w:rPr>
        <w:t>P</w:t>
      </w:r>
      <w:r w:rsidRPr="00921CE9">
        <w:rPr>
          <w:rFonts w:ascii="Arial" w:hAnsi="Arial" w:cs="Arial"/>
          <w:color w:val="000000" w:themeColor="text1"/>
          <w:sz w:val="22"/>
          <w:szCs w:val="22"/>
        </w:rPr>
        <w:t xml:space="preserve"> = .000). The overall clinical learning environment was also moderately correlated with empathy (r</w:t>
      </w:r>
      <w:r w:rsidRPr="00921CE9">
        <w:rPr>
          <w:rFonts w:ascii="Cambria Math" w:hAnsi="Cambria Math" w:cs="Cambria Math"/>
          <w:color w:val="000000" w:themeColor="text1"/>
          <w:sz w:val="22"/>
          <w:szCs w:val="22"/>
        </w:rPr>
        <w:t>ₛ</w:t>
      </w:r>
      <w:r w:rsidRPr="00921CE9">
        <w:rPr>
          <w:rFonts w:ascii="Arial" w:hAnsi="Arial" w:cs="Arial"/>
          <w:color w:val="000000" w:themeColor="text1"/>
          <w:sz w:val="22"/>
          <w:szCs w:val="22"/>
        </w:rPr>
        <w:t xml:space="preserve"> = 0.51, </w:t>
      </w:r>
      <w:r w:rsidRPr="00921CE9">
        <w:rPr>
          <w:rStyle w:val="Penekanan"/>
          <w:rFonts w:ascii="Arial" w:hAnsi="Arial" w:cs="Arial"/>
          <w:color w:val="000000" w:themeColor="text1"/>
          <w:sz w:val="22"/>
          <w:szCs w:val="22"/>
        </w:rPr>
        <w:t>P</w:t>
      </w:r>
      <w:r w:rsidRPr="00921CE9">
        <w:rPr>
          <w:rFonts w:ascii="Arial" w:hAnsi="Arial" w:cs="Arial"/>
          <w:color w:val="000000" w:themeColor="text1"/>
          <w:sz w:val="22"/>
          <w:szCs w:val="22"/>
        </w:rPr>
        <w:t xml:space="preserve"> = .000).</w:t>
      </w:r>
    </w:p>
    <w:p w14:paraId="35FC0253" w14:textId="5118754F"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Kuat"/>
          <w:rFonts w:ascii="Arial" w:hAnsi="Arial" w:cs="Arial"/>
          <w:color w:val="000000" w:themeColor="text1"/>
          <w:sz w:val="22"/>
          <w:szCs w:val="22"/>
        </w:rPr>
        <w:t xml:space="preserve">Table </w:t>
      </w:r>
      <w:r w:rsidR="003C6856">
        <w:rPr>
          <w:rStyle w:val="Kuat"/>
          <w:rFonts w:ascii="Arial" w:hAnsi="Arial" w:cs="Arial"/>
          <w:color w:val="000000" w:themeColor="text1"/>
          <w:sz w:val="22"/>
          <w:szCs w:val="22"/>
        </w:rPr>
        <w:t>6</w:t>
      </w:r>
      <w:r w:rsidRPr="00921CE9">
        <w:rPr>
          <w:rStyle w:val="Kuat"/>
          <w:rFonts w:ascii="Arial" w:hAnsi="Arial" w:cs="Arial"/>
          <w:color w:val="000000" w:themeColor="text1"/>
          <w:sz w:val="22"/>
          <w:szCs w:val="22"/>
        </w:rPr>
        <w:t>. Correlation between Clinical Learning Environment and Empathy (n = 314)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51"/>
        <w:gridCol w:w="1347"/>
        <w:gridCol w:w="1342"/>
      </w:tblGrid>
      <w:tr w:rsidR="003A5DD8" w:rsidRPr="00921CE9" w14:paraId="3D96D89D" w14:textId="77777777" w:rsidTr="003A5DD8">
        <w:trPr>
          <w:tblHeader/>
          <w:tblCellSpacing w:w="15" w:type="dxa"/>
        </w:trPr>
        <w:tc>
          <w:tcPr>
            <w:tcW w:w="3383" w:type="pct"/>
            <w:vAlign w:val="center"/>
            <w:hideMark/>
          </w:tcPr>
          <w:p w14:paraId="1FF1EFB0"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lastRenderedPageBreak/>
              <w:t>Variable</w:t>
            </w:r>
          </w:p>
        </w:tc>
        <w:tc>
          <w:tcPr>
            <w:tcW w:w="754" w:type="pct"/>
            <w:vAlign w:val="center"/>
            <w:hideMark/>
          </w:tcPr>
          <w:p w14:paraId="1F84FBFF" w14:textId="77777777" w:rsidR="003A5DD8" w:rsidRPr="00921CE9" w:rsidRDefault="003A5DD8" w:rsidP="007439DA">
            <w:pPr>
              <w:spacing w:line="480" w:lineRule="auto"/>
              <w:rPr>
                <w:rFonts w:ascii="Arial" w:hAnsi="Arial" w:cs="Arial"/>
                <w:b/>
                <w:bCs/>
                <w:color w:val="000000" w:themeColor="text1"/>
                <w:sz w:val="22"/>
                <w:szCs w:val="22"/>
              </w:rPr>
            </w:pPr>
            <w:r w:rsidRPr="00921CE9">
              <w:rPr>
                <w:rFonts w:ascii="Arial" w:hAnsi="Arial" w:cs="Arial"/>
                <w:b/>
                <w:bCs/>
                <w:color w:val="000000" w:themeColor="text1"/>
                <w:sz w:val="22"/>
                <w:szCs w:val="22"/>
              </w:rPr>
              <w:t>r</w:t>
            </w:r>
            <w:r w:rsidRPr="00921CE9">
              <w:rPr>
                <w:rFonts w:ascii="Cambria Math" w:hAnsi="Cambria Math" w:cs="Cambria Math"/>
                <w:b/>
                <w:bCs/>
                <w:color w:val="000000" w:themeColor="text1"/>
                <w:sz w:val="22"/>
                <w:szCs w:val="22"/>
              </w:rPr>
              <w:t>ₛ</w:t>
            </w:r>
            <w:r w:rsidRPr="00921CE9">
              <w:rPr>
                <w:rFonts w:ascii="Arial" w:hAnsi="Arial" w:cs="Arial"/>
                <w:b/>
                <w:bCs/>
                <w:color w:val="000000" w:themeColor="text1"/>
                <w:sz w:val="22"/>
                <w:szCs w:val="22"/>
              </w:rPr>
              <w:t>-value</w:t>
            </w:r>
          </w:p>
        </w:tc>
        <w:tc>
          <w:tcPr>
            <w:tcW w:w="743" w:type="pct"/>
            <w:vAlign w:val="center"/>
            <w:hideMark/>
          </w:tcPr>
          <w:p w14:paraId="4BC41CEF" w14:textId="77777777" w:rsidR="003A5DD8" w:rsidRPr="00921CE9" w:rsidRDefault="003A5DD8" w:rsidP="007439DA">
            <w:pPr>
              <w:spacing w:line="480" w:lineRule="auto"/>
              <w:rPr>
                <w:rFonts w:ascii="Arial" w:hAnsi="Arial" w:cs="Arial"/>
                <w:b/>
                <w:bCs/>
                <w:color w:val="000000" w:themeColor="text1"/>
                <w:sz w:val="22"/>
                <w:szCs w:val="22"/>
              </w:rPr>
            </w:pPr>
            <w:r w:rsidRPr="00921CE9">
              <w:rPr>
                <w:rStyle w:val="Penekanan"/>
                <w:rFonts w:ascii="Arial" w:hAnsi="Arial" w:cs="Arial"/>
                <w:b/>
                <w:bCs/>
                <w:color w:val="000000" w:themeColor="text1"/>
                <w:sz w:val="22"/>
                <w:szCs w:val="22"/>
              </w:rPr>
              <w:t>P</w:t>
            </w:r>
            <w:r w:rsidRPr="00921CE9">
              <w:rPr>
                <w:rFonts w:ascii="Arial" w:hAnsi="Arial" w:cs="Arial"/>
                <w:b/>
                <w:bCs/>
                <w:color w:val="000000" w:themeColor="text1"/>
                <w:sz w:val="22"/>
                <w:szCs w:val="22"/>
              </w:rPr>
              <w:t>-value</w:t>
            </w:r>
          </w:p>
        </w:tc>
      </w:tr>
      <w:tr w:rsidR="003A5DD8" w:rsidRPr="00921CE9" w14:paraId="5F6DD514" w14:textId="77777777" w:rsidTr="003A5DD8">
        <w:trPr>
          <w:tblCellSpacing w:w="15" w:type="dxa"/>
        </w:trPr>
        <w:tc>
          <w:tcPr>
            <w:tcW w:w="3383" w:type="pct"/>
            <w:vAlign w:val="center"/>
            <w:hideMark/>
          </w:tcPr>
          <w:p w14:paraId="5F00C611"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Clinical Learning Development</w:t>
            </w:r>
          </w:p>
        </w:tc>
        <w:tc>
          <w:tcPr>
            <w:tcW w:w="754" w:type="pct"/>
            <w:vAlign w:val="center"/>
            <w:hideMark/>
          </w:tcPr>
          <w:p w14:paraId="3BBB5B82"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0.42</w:t>
            </w:r>
          </w:p>
        </w:tc>
        <w:tc>
          <w:tcPr>
            <w:tcW w:w="743" w:type="pct"/>
            <w:vAlign w:val="center"/>
            <w:hideMark/>
          </w:tcPr>
          <w:p w14:paraId="1DB26232"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w:t>
            </w:r>
          </w:p>
        </w:tc>
      </w:tr>
      <w:tr w:rsidR="003A5DD8" w:rsidRPr="00921CE9" w14:paraId="1F908C16" w14:textId="77777777" w:rsidTr="003A5DD8">
        <w:trPr>
          <w:tblCellSpacing w:w="15" w:type="dxa"/>
        </w:trPr>
        <w:tc>
          <w:tcPr>
            <w:tcW w:w="3383" w:type="pct"/>
            <w:vAlign w:val="center"/>
            <w:hideMark/>
          </w:tcPr>
          <w:p w14:paraId="139453F5"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Individualized Patient Care</w:t>
            </w:r>
          </w:p>
        </w:tc>
        <w:tc>
          <w:tcPr>
            <w:tcW w:w="754" w:type="pct"/>
            <w:vAlign w:val="center"/>
            <w:hideMark/>
          </w:tcPr>
          <w:p w14:paraId="3C65A2DD"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0.51</w:t>
            </w:r>
          </w:p>
        </w:tc>
        <w:tc>
          <w:tcPr>
            <w:tcW w:w="743" w:type="pct"/>
            <w:vAlign w:val="center"/>
            <w:hideMark/>
          </w:tcPr>
          <w:p w14:paraId="2225CF5B"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w:t>
            </w:r>
          </w:p>
        </w:tc>
      </w:tr>
      <w:tr w:rsidR="003A5DD8" w:rsidRPr="00921CE9" w14:paraId="3BA75118" w14:textId="77777777" w:rsidTr="003A5DD8">
        <w:trPr>
          <w:tblCellSpacing w:w="15" w:type="dxa"/>
        </w:trPr>
        <w:tc>
          <w:tcPr>
            <w:tcW w:w="3383" w:type="pct"/>
            <w:vAlign w:val="center"/>
            <w:hideMark/>
          </w:tcPr>
          <w:p w14:paraId="075ADA0C"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Overall Clinical Learning Environment</w:t>
            </w:r>
          </w:p>
        </w:tc>
        <w:tc>
          <w:tcPr>
            <w:tcW w:w="754" w:type="pct"/>
            <w:vAlign w:val="center"/>
            <w:hideMark/>
          </w:tcPr>
          <w:p w14:paraId="436BBEB9"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0.51</w:t>
            </w:r>
          </w:p>
        </w:tc>
        <w:tc>
          <w:tcPr>
            <w:tcW w:w="743" w:type="pct"/>
            <w:vAlign w:val="center"/>
            <w:hideMark/>
          </w:tcPr>
          <w:p w14:paraId="17809A2C" w14:textId="77777777" w:rsidR="003A5DD8" w:rsidRPr="00921CE9" w:rsidRDefault="003A5DD8" w:rsidP="007439DA">
            <w:pPr>
              <w:spacing w:line="480" w:lineRule="auto"/>
              <w:rPr>
                <w:rFonts w:ascii="Arial" w:hAnsi="Arial" w:cs="Arial"/>
                <w:color w:val="000000" w:themeColor="text1"/>
                <w:sz w:val="22"/>
                <w:szCs w:val="22"/>
              </w:rPr>
            </w:pPr>
            <w:r w:rsidRPr="00921CE9">
              <w:rPr>
                <w:rFonts w:ascii="Arial" w:hAnsi="Arial" w:cs="Arial"/>
                <w:color w:val="000000" w:themeColor="text1"/>
                <w:sz w:val="22"/>
                <w:szCs w:val="22"/>
              </w:rPr>
              <w:t>.000</w:t>
            </w:r>
          </w:p>
        </w:tc>
      </w:tr>
    </w:tbl>
    <w:p w14:paraId="1CDEC7A8" w14:textId="77777777" w:rsidR="003A5DD8" w:rsidRPr="00921CE9" w:rsidRDefault="003A5DD8" w:rsidP="007439DA">
      <w:pPr>
        <w:pStyle w:val="NormalWeb"/>
        <w:spacing w:line="480" w:lineRule="auto"/>
        <w:rPr>
          <w:rFonts w:ascii="Arial" w:hAnsi="Arial" w:cs="Arial"/>
          <w:color w:val="000000" w:themeColor="text1"/>
          <w:sz w:val="22"/>
          <w:szCs w:val="22"/>
        </w:rPr>
      </w:pPr>
      <w:r w:rsidRPr="00921CE9">
        <w:rPr>
          <w:rStyle w:val="Penekanan"/>
          <w:rFonts w:ascii="Arial" w:hAnsi="Arial" w:cs="Arial"/>
          <w:color w:val="000000" w:themeColor="text1"/>
          <w:sz w:val="22"/>
          <w:szCs w:val="22"/>
        </w:rPr>
        <w:t>Note: All correlations are statistically significant at P &lt; .001.</w:t>
      </w:r>
    </w:p>
    <w:p w14:paraId="299E4BE1" w14:textId="77777777" w:rsidR="003A5DD8" w:rsidRPr="00921CE9" w:rsidRDefault="003A5DD8" w:rsidP="00710F2B">
      <w:pPr>
        <w:pStyle w:val="NormalWeb"/>
        <w:ind w:firstLine="720"/>
        <w:rPr>
          <w:rFonts w:ascii="Arial" w:hAnsi="Arial" w:cs="Arial"/>
          <w:color w:val="000000" w:themeColor="text1"/>
          <w:sz w:val="22"/>
          <w:szCs w:val="22"/>
        </w:rPr>
      </w:pPr>
      <w:commentRangeStart w:id="4"/>
      <w:r w:rsidRPr="00921CE9">
        <w:rPr>
          <w:rFonts w:ascii="Arial" w:hAnsi="Arial" w:cs="Arial"/>
          <w:color w:val="000000" w:themeColor="text1"/>
          <w:sz w:val="22"/>
          <w:szCs w:val="22"/>
        </w:rPr>
        <w:t>The findings indicate that more supportive and well-structured clinical learning environments are associated with higher levels of empathy among student nurses. In particular, opportunities for individualized patient care appear to have a stronger influence on empathic development, suggesting that direct and meaningful patient interactions play a crucial role in fostering emotional understanding.</w:t>
      </w:r>
    </w:p>
    <w:p w14:paraId="38D1B408" w14:textId="77777777" w:rsidR="003A5DD8"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These results support existing literature which emphasizes that supportive clinical environments promote emotional engagement and professional values necessary for empathetic care (Huang et al., 2025; Rezaei et al., 2024). From a theoretical perspective, the findings align with Watson’s Theory of Human Caring, which highlights the importance of a nurturing and humanistic environment in the development of empathy and caring behaviors.</w:t>
      </w:r>
    </w:p>
    <w:p w14:paraId="4C083FDB" w14:textId="19B128A1" w:rsidR="00E053D0" w:rsidRPr="00921CE9" w:rsidRDefault="003A5DD8" w:rsidP="00710F2B">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While the correlations observed were moderate, they indicate that the clinical learning environment is a significant factor in empathy development. However, empathy is a multifaceted construct, and other variables such as personal traits, emotional intelligence, and prior experiences may also contribute to its development. Therefore, enhancing clinical teaching practices, supervision, and patient-centered experiences remains essential in strengthening empathy among nursing students and improving the overall quality of patient care.</w:t>
      </w:r>
      <w:commentRangeEnd w:id="4"/>
      <w:r w:rsidR="00E71BF0" w:rsidRPr="00921CE9">
        <w:rPr>
          <w:rStyle w:val="ReferensiKomentar"/>
          <w:rFonts w:ascii="Arial" w:hAnsi="Arial" w:cs="Arial"/>
          <w:color w:val="000000" w:themeColor="text1"/>
          <w:sz w:val="22"/>
          <w:szCs w:val="22"/>
        </w:rPr>
        <w:commentReference w:id="4"/>
      </w:r>
    </w:p>
    <w:p w14:paraId="73869E48" w14:textId="77777777" w:rsidR="00790ADA" w:rsidRPr="00921CE9" w:rsidRDefault="00790ADA" w:rsidP="00441B6F">
      <w:pPr>
        <w:pStyle w:val="Body"/>
        <w:spacing w:after="0"/>
        <w:rPr>
          <w:rFonts w:ascii="Arial" w:hAnsi="Arial" w:cs="Arial"/>
          <w:color w:val="000000" w:themeColor="text1"/>
          <w:sz w:val="22"/>
          <w:szCs w:val="22"/>
        </w:rPr>
      </w:pPr>
    </w:p>
    <w:p w14:paraId="0E731550" w14:textId="77777777" w:rsidR="00B01FCD" w:rsidRPr="00921CE9" w:rsidRDefault="00000F8F" w:rsidP="00441B6F">
      <w:pPr>
        <w:pStyle w:val="ConcHead"/>
        <w:spacing w:after="0"/>
        <w:jc w:val="both"/>
        <w:rPr>
          <w:rFonts w:ascii="Arial" w:hAnsi="Arial" w:cs="Arial"/>
          <w:color w:val="000000" w:themeColor="text1"/>
          <w:szCs w:val="22"/>
        </w:rPr>
      </w:pPr>
      <w:r w:rsidRPr="00921CE9">
        <w:rPr>
          <w:rFonts w:ascii="Arial" w:hAnsi="Arial" w:cs="Arial"/>
          <w:color w:val="000000" w:themeColor="text1"/>
          <w:szCs w:val="22"/>
        </w:rPr>
        <w:t xml:space="preserve">4. </w:t>
      </w:r>
      <w:r w:rsidR="00B01FCD" w:rsidRPr="00921CE9">
        <w:rPr>
          <w:rFonts w:ascii="Arial" w:hAnsi="Arial" w:cs="Arial"/>
          <w:color w:val="000000" w:themeColor="text1"/>
          <w:szCs w:val="22"/>
        </w:rPr>
        <w:t>Conclusion</w:t>
      </w:r>
    </w:p>
    <w:p w14:paraId="700559ED" w14:textId="77777777" w:rsidR="00790ADA" w:rsidRPr="00921CE9" w:rsidRDefault="00790ADA" w:rsidP="00441B6F">
      <w:pPr>
        <w:pStyle w:val="ConcHead"/>
        <w:spacing w:after="0"/>
        <w:jc w:val="both"/>
        <w:rPr>
          <w:rFonts w:ascii="Arial" w:hAnsi="Arial" w:cs="Arial"/>
          <w:color w:val="000000" w:themeColor="text1"/>
          <w:szCs w:val="22"/>
        </w:rPr>
      </w:pPr>
    </w:p>
    <w:p w14:paraId="6FEDC5EE" w14:textId="77777777" w:rsidR="007439DA" w:rsidRPr="00921CE9" w:rsidRDefault="007439DA"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This study found that student nurses generally perceived their clinical learning environment as supportive and demonstrated high levels of empathy. A statistically significant, positive, and moderate relationship was identified between the clinical learning environment—particularly clinical learning development and individualized patient care—and empathy. These findings indicate that a well-structured and supportive clinical environment plays a crucial role in fostering empathy among nursing students.</w:t>
      </w:r>
    </w:p>
    <w:p w14:paraId="0FCF3BAB" w14:textId="77777777" w:rsidR="007439DA" w:rsidRPr="00921CE9" w:rsidRDefault="007439DA"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 xml:space="preserve">The results further suggest that empathy is not solely an inherent trait but a professional competency that can be developed through effective clinical experiences, supervision, and meaningful patient interactions. However, the moderate strength of the </w:t>
      </w:r>
      <w:r w:rsidRPr="00921CE9">
        <w:rPr>
          <w:rFonts w:ascii="Arial" w:hAnsi="Arial" w:cs="Arial"/>
          <w:color w:val="000000" w:themeColor="text1"/>
          <w:sz w:val="22"/>
          <w:szCs w:val="22"/>
        </w:rPr>
        <w:lastRenderedPageBreak/>
        <w:t>relationship implies that other factors, such as individual characteristics and emotional intelligence, also contribute to empathy development.</w:t>
      </w:r>
    </w:p>
    <w:p w14:paraId="1C30BA82" w14:textId="77777777" w:rsidR="007439DA" w:rsidRPr="00921CE9" w:rsidRDefault="007439DA" w:rsidP="007439DA">
      <w:pPr>
        <w:pStyle w:val="NormalWeb"/>
        <w:ind w:firstLine="720"/>
        <w:rPr>
          <w:rFonts w:ascii="Arial" w:hAnsi="Arial" w:cs="Arial"/>
          <w:color w:val="000000" w:themeColor="text1"/>
          <w:sz w:val="22"/>
          <w:szCs w:val="22"/>
        </w:rPr>
      </w:pPr>
      <w:r w:rsidRPr="00921CE9">
        <w:rPr>
          <w:rFonts w:ascii="Arial" w:hAnsi="Arial" w:cs="Arial"/>
          <w:color w:val="000000" w:themeColor="text1"/>
          <w:sz w:val="22"/>
          <w:szCs w:val="22"/>
        </w:rPr>
        <w:t>Overall, the study highlights the importance of strengthening clinical education practices to promote both technical competence and compassionate, patient-centered care among future nurses.</w:t>
      </w:r>
    </w:p>
    <w:p w14:paraId="7DF8C820" w14:textId="77777777" w:rsidR="00790ADA" w:rsidRPr="00921CE9" w:rsidRDefault="00790ADA" w:rsidP="00441B6F">
      <w:pPr>
        <w:pStyle w:val="Body"/>
        <w:spacing w:after="0"/>
        <w:rPr>
          <w:rFonts w:ascii="Arial" w:hAnsi="Arial" w:cs="Arial"/>
          <w:color w:val="000000" w:themeColor="text1"/>
          <w:sz w:val="22"/>
          <w:szCs w:val="22"/>
        </w:rPr>
      </w:pPr>
    </w:p>
    <w:p w14:paraId="2467AF0F" w14:textId="77777777" w:rsidR="0012387A" w:rsidRPr="00921CE9" w:rsidRDefault="0012387A" w:rsidP="00441B6F">
      <w:pPr>
        <w:pStyle w:val="ReferHead"/>
        <w:spacing w:after="0"/>
        <w:jc w:val="both"/>
        <w:rPr>
          <w:rFonts w:ascii="Arial" w:hAnsi="Arial" w:cs="Arial"/>
          <w:b w:val="0"/>
          <w:bCs/>
          <w:caps w:val="0"/>
          <w:color w:val="000000" w:themeColor="text1"/>
          <w:szCs w:val="22"/>
        </w:rPr>
      </w:pPr>
    </w:p>
    <w:p w14:paraId="38B521DB" w14:textId="2EA24716" w:rsidR="002B685A" w:rsidRPr="00921CE9" w:rsidRDefault="0012387A" w:rsidP="00441B6F">
      <w:pPr>
        <w:pStyle w:val="ReferHead"/>
        <w:spacing w:after="0"/>
        <w:jc w:val="both"/>
        <w:rPr>
          <w:rFonts w:ascii="Arial" w:hAnsi="Arial" w:cs="Arial"/>
          <w:color w:val="000000" w:themeColor="text1"/>
          <w:szCs w:val="22"/>
        </w:rPr>
      </w:pPr>
      <w:r w:rsidRPr="00921CE9">
        <w:rPr>
          <w:rFonts w:ascii="Arial" w:hAnsi="Arial" w:cs="Arial"/>
          <w:caps w:val="0"/>
          <w:color w:val="000000" w:themeColor="text1"/>
          <w:szCs w:val="22"/>
        </w:rPr>
        <w:t xml:space="preserve">CONSENT </w:t>
      </w:r>
    </w:p>
    <w:p w14:paraId="17E09DC3" w14:textId="77777777" w:rsidR="002B685A" w:rsidRPr="00921CE9" w:rsidRDefault="002B685A" w:rsidP="00441B6F">
      <w:pPr>
        <w:pStyle w:val="ReferHead"/>
        <w:spacing w:after="0"/>
        <w:jc w:val="both"/>
        <w:rPr>
          <w:rFonts w:ascii="Arial" w:hAnsi="Arial" w:cs="Arial"/>
          <w:color w:val="000000" w:themeColor="text1"/>
          <w:szCs w:val="22"/>
        </w:rPr>
      </w:pPr>
    </w:p>
    <w:p w14:paraId="0FB5CFCE" w14:textId="76322F62" w:rsidR="005C784C" w:rsidRPr="00921CE9" w:rsidRDefault="0012387A" w:rsidP="00441B6F">
      <w:pPr>
        <w:pStyle w:val="ReferHead"/>
        <w:spacing w:after="0"/>
        <w:jc w:val="both"/>
        <w:rPr>
          <w:rFonts w:ascii="Arial" w:hAnsi="Arial" w:cs="Arial"/>
          <w:b w:val="0"/>
          <w:bCs/>
          <w:caps w:val="0"/>
          <w:color w:val="000000" w:themeColor="text1"/>
          <w:szCs w:val="22"/>
        </w:rPr>
      </w:pPr>
      <w:r w:rsidRPr="00921CE9">
        <w:rPr>
          <w:rFonts w:ascii="Arial" w:hAnsi="Arial" w:cs="Arial"/>
          <w:b w:val="0"/>
          <w:bCs/>
          <w:caps w:val="0"/>
          <w:color w:val="000000" w:themeColor="text1"/>
          <w:szCs w:val="22"/>
        </w:rPr>
        <w:t>All authors declare that written informed consent was obtained from the participants for the conduct of this study. A copy of the consent documentation is available for review by the editorial office, chief editor, or members of the editorial board, if requested.</w:t>
      </w:r>
    </w:p>
    <w:p w14:paraId="4D1B6F2F" w14:textId="77777777" w:rsidR="0012387A" w:rsidRPr="00921CE9" w:rsidRDefault="0012387A" w:rsidP="00441B6F">
      <w:pPr>
        <w:pStyle w:val="ReferHead"/>
        <w:spacing w:after="0"/>
        <w:jc w:val="both"/>
        <w:rPr>
          <w:rFonts w:ascii="Arial" w:hAnsi="Arial" w:cs="Arial"/>
          <w:bCs/>
          <w:color w:val="000000" w:themeColor="text1"/>
          <w:szCs w:val="22"/>
        </w:rPr>
      </w:pPr>
    </w:p>
    <w:p w14:paraId="7187871A" w14:textId="6C73257C" w:rsidR="005C784C" w:rsidRPr="00921CE9" w:rsidRDefault="005C784C" w:rsidP="00441B6F">
      <w:pPr>
        <w:pStyle w:val="ReferHead"/>
        <w:spacing w:after="0"/>
        <w:jc w:val="both"/>
        <w:rPr>
          <w:rFonts w:ascii="Arial" w:hAnsi="Arial" w:cs="Arial"/>
          <w:bCs/>
          <w:color w:val="000000" w:themeColor="text1"/>
          <w:szCs w:val="22"/>
        </w:rPr>
      </w:pPr>
      <w:r w:rsidRPr="00921CE9">
        <w:rPr>
          <w:rFonts w:ascii="Arial" w:hAnsi="Arial" w:cs="Arial"/>
          <w:bCs/>
          <w:color w:val="000000" w:themeColor="text1"/>
          <w:szCs w:val="22"/>
        </w:rPr>
        <w:t xml:space="preserve">Ethical approval </w:t>
      </w:r>
    </w:p>
    <w:p w14:paraId="6CA9DBF0" w14:textId="3385D481" w:rsidR="0012387A" w:rsidRPr="00921CE9"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This study was conducted with the approval of the Institutional Research Ethics Committee of Iloilo Doctors’ College, Iloilo City, Philippines (Approval No. IDREC-2025.OI_229). All procedures adhered to established ethical principles, including respect for persons, beneficence, and justice.</w:t>
      </w:r>
    </w:p>
    <w:p w14:paraId="4B676DF6" w14:textId="77777777" w:rsidR="0012387A" w:rsidRPr="00921CE9"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As the study involved human participants, written informed consent was obtained from all respondents prior to data collection. Participants were provided with a detailed information sheet explaining the purpose of the study, research procedures, potential risks and benefits, and their rights as participants. Participation was entirely voluntary, and respondents were informed that they could withdraw at any time without penalty or consequence.</w:t>
      </w:r>
    </w:p>
    <w:p w14:paraId="59F2663C" w14:textId="77777777" w:rsidR="0012387A" w:rsidRPr="00921CE9"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Confidentiality and anonymity were strictly maintained. No personally identifiable information was collected, and all responses were coded to ensure participant anonymity. Data were used exclusively for academic and research purposes and were stored securely in a restricted digital repository accessible only to the researchers.</w:t>
      </w:r>
    </w:p>
    <w:p w14:paraId="4348ECE7" w14:textId="77777777" w:rsidR="0012387A" w:rsidRDefault="0012387A" w:rsidP="0012387A">
      <w:pPr>
        <w:pStyle w:val="NormalWeb"/>
        <w:rPr>
          <w:rFonts w:ascii="Arial" w:hAnsi="Arial" w:cs="Arial"/>
          <w:color w:val="000000" w:themeColor="text1"/>
          <w:sz w:val="22"/>
          <w:szCs w:val="22"/>
        </w:rPr>
      </w:pPr>
      <w:r w:rsidRPr="00921CE9">
        <w:rPr>
          <w:rFonts w:ascii="Arial" w:hAnsi="Arial" w:cs="Arial"/>
          <w:color w:val="000000" w:themeColor="text1"/>
          <w:sz w:val="22"/>
          <w:szCs w:val="22"/>
        </w:rPr>
        <w:t>The study posed minimal risk to participants, and respondents were informed that they could skip any question causing discomfort. No incentives were provided, and participation was based solely on voluntary willingness. All procedures complied with institutional guidelines and the Data Privacy Act of 2012 (Philippines), ensuring ethical handling, storage, and disposal of research data.</w:t>
      </w:r>
    </w:p>
    <w:p w14:paraId="6A9D19E0" w14:textId="77777777" w:rsidR="003C6856" w:rsidRDefault="003C6856" w:rsidP="0012387A">
      <w:pPr>
        <w:pStyle w:val="NormalWeb"/>
        <w:rPr>
          <w:rFonts w:ascii="Arial" w:hAnsi="Arial" w:cs="Arial"/>
          <w:color w:val="000000" w:themeColor="text1"/>
          <w:sz w:val="22"/>
          <w:szCs w:val="22"/>
        </w:rPr>
      </w:pPr>
    </w:p>
    <w:p w14:paraId="1C955215" w14:textId="77777777" w:rsidR="003C6856" w:rsidRPr="00921CE9" w:rsidRDefault="003C6856" w:rsidP="003C6856">
      <w:pPr>
        <w:pStyle w:val="DefAcrHead"/>
        <w:spacing w:after="0"/>
        <w:jc w:val="both"/>
        <w:rPr>
          <w:rFonts w:ascii="Arial" w:hAnsi="Arial" w:cs="Arial"/>
          <w:color w:val="000000" w:themeColor="text1"/>
          <w:szCs w:val="22"/>
        </w:rPr>
      </w:pPr>
      <w:r w:rsidRPr="00921CE9">
        <w:rPr>
          <w:rFonts w:ascii="Arial" w:hAnsi="Arial" w:cs="Arial"/>
          <w:color w:val="000000" w:themeColor="text1"/>
          <w:szCs w:val="22"/>
        </w:rPr>
        <w:t>Definitions, Acronyms, Abbreviations</w:t>
      </w:r>
    </w:p>
    <w:p w14:paraId="277AA0EF"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CLE (Clinical Learning Environment):</w:t>
      </w:r>
      <w:r w:rsidRPr="00921CE9">
        <w:rPr>
          <w:rFonts w:ascii="Arial" w:hAnsi="Arial" w:cs="Arial"/>
          <w:color w:val="000000" w:themeColor="text1"/>
          <w:sz w:val="22"/>
          <w:szCs w:val="22"/>
        </w:rPr>
        <w:t xml:space="preserve"> The overall setting, conditions, and resources in clinical placements that influence nursing students’ learning experiences.</w:t>
      </w:r>
    </w:p>
    <w:p w14:paraId="267CB83C"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lastRenderedPageBreak/>
        <w:t>CLD (Clinical Learning Development):</w:t>
      </w:r>
      <w:r w:rsidRPr="00921CE9">
        <w:rPr>
          <w:rFonts w:ascii="Arial" w:hAnsi="Arial" w:cs="Arial"/>
          <w:color w:val="000000" w:themeColor="text1"/>
          <w:sz w:val="22"/>
          <w:szCs w:val="22"/>
        </w:rPr>
        <w:t xml:space="preserve"> The extent to which the clinical learning environment supports students in acquiring knowledge, clinical skills, confidence, and professional competence through supervised clinical experiences.</w:t>
      </w:r>
    </w:p>
    <w:p w14:paraId="19B48D3F"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IPF (Individualized Patient Focus):</w:t>
      </w:r>
      <w:r w:rsidRPr="00921CE9">
        <w:rPr>
          <w:rFonts w:ascii="Arial" w:hAnsi="Arial" w:cs="Arial"/>
          <w:color w:val="000000" w:themeColor="text1"/>
          <w:sz w:val="22"/>
          <w:szCs w:val="22"/>
        </w:rPr>
        <w:t xml:space="preserve"> The degree to which the clinical learning environment encourages student nurses to provide patient-centered care by recognizing and responding to the unique needs, values, and preferences of each patient.</w:t>
      </w:r>
    </w:p>
    <w:p w14:paraId="3E9B6D3F"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Empathy:</w:t>
      </w:r>
      <w:r w:rsidRPr="00921CE9">
        <w:rPr>
          <w:rFonts w:ascii="Arial" w:hAnsi="Arial" w:cs="Arial"/>
          <w:color w:val="000000" w:themeColor="text1"/>
          <w:sz w:val="22"/>
          <w:szCs w:val="22"/>
        </w:rPr>
        <w:t xml:space="preserve"> The ability to understand and share another person’s thoughts, perspectives, and experiences, enabling compassionate and patient-centered care.</w:t>
      </w:r>
    </w:p>
    <w:p w14:paraId="6BBAEF0A"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CLES 3.0 (Clinical Learning Environment Comparison Survey 3.0):</w:t>
      </w:r>
      <w:r w:rsidRPr="00921CE9">
        <w:rPr>
          <w:rFonts w:ascii="Arial" w:hAnsi="Arial" w:cs="Arial"/>
          <w:color w:val="000000" w:themeColor="text1"/>
          <w:sz w:val="22"/>
          <w:szCs w:val="22"/>
        </w:rPr>
        <w:t xml:space="preserve"> A standardized 28-item instrument developed by Leighton et al. (2021) to assess nursing students’ perceptions of their clinical learning environment across supervision, communication, learning opportunities, and patient-centered care.</w:t>
      </w:r>
    </w:p>
    <w:p w14:paraId="7D7134B6"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JSE (Jefferson Scale of Empathy):</w:t>
      </w:r>
      <w:r w:rsidRPr="00921CE9">
        <w:rPr>
          <w:rFonts w:ascii="Arial" w:hAnsi="Arial" w:cs="Arial"/>
          <w:color w:val="000000" w:themeColor="text1"/>
          <w:sz w:val="22"/>
          <w:szCs w:val="22"/>
        </w:rPr>
        <w:t xml:space="preserve"> A 20-item validated instrument developed by Hojat (2018) to measure empathy among healthcare students and professionals.</w:t>
      </w:r>
    </w:p>
    <w:p w14:paraId="7B00217A"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IRB (Institutional Review Board):</w:t>
      </w:r>
      <w:r w:rsidRPr="00921CE9">
        <w:rPr>
          <w:rFonts w:ascii="Arial" w:hAnsi="Arial" w:cs="Arial"/>
          <w:color w:val="000000" w:themeColor="text1"/>
          <w:sz w:val="22"/>
          <w:szCs w:val="22"/>
        </w:rPr>
        <w:t xml:space="preserve"> A committee that reviews research proposals to ensure ethical standards are maintained in studies involving human participants.</w:t>
      </w:r>
    </w:p>
    <w:p w14:paraId="4F112CCC"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SDPA (Data Privacy Act of 2012, Philippines):</w:t>
      </w:r>
      <w:r w:rsidRPr="00921CE9">
        <w:rPr>
          <w:rFonts w:ascii="Arial" w:hAnsi="Arial" w:cs="Arial"/>
          <w:color w:val="000000" w:themeColor="text1"/>
          <w:sz w:val="22"/>
          <w:szCs w:val="22"/>
        </w:rPr>
        <w:t xml:space="preserve"> National legislation governing the ethical handling, storage, and disposal of personal and research data.</w:t>
      </w:r>
    </w:p>
    <w:p w14:paraId="60F0621A" w14:textId="77777777" w:rsidR="003C6856" w:rsidRPr="00921CE9" w:rsidRDefault="003C6856" w:rsidP="003C6856">
      <w:pPr>
        <w:pStyle w:val="NormalWeb"/>
        <w:rPr>
          <w:rFonts w:ascii="Arial" w:hAnsi="Arial" w:cs="Arial"/>
          <w:color w:val="000000" w:themeColor="text1"/>
          <w:sz w:val="22"/>
          <w:szCs w:val="22"/>
        </w:rPr>
      </w:pPr>
      <w:r w:rsidRPr="00921CE9">
        <w:rPr>
          <w:rStyle w:val="Kuat"/>
          <w:rFonts w:ascii="Arial" w:hAnsi="Arial" w:cs="Arial"/>
          <w:color w:val="000000" w:themeColor="text1"/>
          <w:sz w:val="22"/>
          <w:szCs w:val="22"/>
        </w:rPr>
        <w:t>SDG 3 (Sustainable Development Goal 3):</w:t>
      </w:r>
      <w:r w:rsidRPr="00921CE9">
        <w:rPr>
          <w:rFonts w:ascii="Arial" w:hAnsi="Arial" w:cs="Arial"/>
          <w:color w:val="000000" w:themeColor="text1"/>
          <w:sz w:val="22"/>
          <w:szCs w:val="22"/>
        </w:rPr>
        <w:t xml:space="preserve"> A global health goal that aims to ensure healthy lives and promote well-being for all at all ages.</w:t>
      </w:r>
    </w:p>
    <w:p w14:paraId="00F0710A" w14:textId="77777777" w:rsidR="003C6856" w:rsidRPr="00921CE9" w:rsidRDefault="003C6856" w:rsidP="003C6856">
      <w:pPr>
        <w:rPr>
          <w:rFonts w:ascii="Arial" w:hAnsi="Arial" w:cs="Arial"/>
          <w:color w:val="000000" w:themeColor="text1"/>
          <w:sz w:val="22"/>
          <w:szCs w:val="22"/>
        </w:rPr>
      </w:pPr>
    </w:p>
    <w:p w14:paraId="232D4E32" w14:textId="77777777" w:rsidR="003C6856" w:rsidRPr="00921CE9" w:rsidRDefault="003C6856" w:rsidP="003C6856">
      <w:pPr>
        <w:rPr>
          <w:rFonts w:ascii="Arial" w:hAnsi="Arial" w:cs="Arial"/>
          <w:color w:val="000000" w:themeColor="text1"/>
          <w:sz w:val="22"/>
          <w:szCs w:val="22"/>
        </w:rPr>
      </w:pPr>
    </w:p>
    <w:p w14:paraId="3A2DE6C9" w14:textId="77777777" w:rsidR="003C6856" w:rsidRPr="00921CE9" w:rsidRDefault="003C6856" w:rsidP="0012387A">
      <w:pPr>
        <w:pStyle w:val="NormalWeb"/>
        <w:rPr>
          <w:rFonts w:ascii="Arial" w:hAnsi="Arial" w:cs="Arial"/>
          <w:color w:val="000000" w:themeColor="text1"/>
          <w:sz w:val="22"/>
          <w:szCs w:val="22"/>
        </w:rPr>
      </w:pPr>
    </w:p>
    <w:p w14:paraId="29B7711F" w14:textId="77777777" w:rsidR="00860000" w:rsidRPr="00921CE9" w:rsidRDefault="00860000" w:rsidP="00441B6F">
      <w:pPr>
        <w:pStyle w:val="ReferHead"/>
        <w:spacing w:after="0"/>
        <w:jc w:val="both"/>
        <w:rPr>
          <w:rFonts w:ascii="Arial" w:hAnsi="Arial" w:cs="Arial"/>
          <w:color w:val="000000" w:themeColor="text1"/>
          <w:szCs w:val="22"/>
        </w:rPr>
      </w:pPr>
    </w:p>
    <w:p w14:paraId="7D7B8AF9" w14:textId="77777777" w:rsidR="00B01FCD" w:rsidRPr="00921CE9" w:rsidRDefault="00B01FCD" w:rsidP="00441B6F">
      <w:pPr>
        <w:pStyle w:val="ReferHead"/>
        <w:spacing w:after="0"/>
        <w:jc w:val="both"/>
        <w:rPr>
          <w:rFonts w:ascii="Arial" w:hAnsi="Arial" w:cs="Arial"/>
          <w:color w:val="000000" w:themeColor="text1"/>
          <w:szCs w:val="22"/>
        </w:rPr>
      </w:pPr>
      <w:commentRangeStart w:id="5"/>
      <w:r w:rsidRPr="00921CE9">
        <w:rPr>
          <w:rFonts w:ascii="Arial" w:hAnsi="Arial" w:cs="Arial"/>
          <w:color w:val="000000" w:themeColor="text1"/>
          <w:szCs w:val="22"/>
        </w:rPr>
        <w:t>References</w:t>
      </w:r>
      <w:commentRangeEnd w:id="5"/>
      <w:r w:rsidR="00E71BF0" w:rsidRPr="00921CE9">
        <w:rPr>
          <w:rStyle w:val="ReferensiKomentar"/>
          <w:rFonts w:ascii="Arial" w:hAnsi="Arial" w:cs="Arial"/>
          <w:color w:val="000000" w:themeColor="text1"/>
          <w:sz w:val="22"/>
          <w:szCs w:val="22"/>
        </w:rPr>
        <w:commentReference w:id="5"/>
      </w:r>
    </w:p>
    <w:p w14:paraId="078F7510" w14:textId="77777777" w:rsidR="00790ADA" w:rsidRPr="00921CE9" w:rsidRDefault="00790ADA" w:rsidP="00441B6F">
      <w:pPr>
        <w:pStyle w:val="ReferHead"/>
        <w:spacing w:after="0"/>
        <w:jc w:val="both"/>
        <w:rPr>
          <w:rFonts w:ascii="Arial" w:hAnsi="Arial" w:cs="Arial"/>
          <w:color w:val="000000" w:themeColor="text1"/>
          <w:szCs w:val="22"/>
        </w:rPr>
      </w:pPr>
    </w:p>
    <w:p w14:paraId="18C7539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Al-Daken, L., Lazarus, E. R., Sabei, S. D. A., Alharrasi, M., &amp; Qadire, M. A. (2024). Perception of nursing students about effective clinical teaching environments: A multi-country study. </w:t>
      </w:r>
      <w:r w:rsidRPr="00921CE9">
        <w:rPr>
          <w:rFonts w:ascii="Arial" w:hAnsi="Arial" w:cs="Arial"/>
          <w:i/>
          <w:iCs/>
          <w:color w:val="000000" w:themeColor="text1"/>
          <w:sz w:val="22"/>
          <w:szCs w:val="22"/>
        </w:rPr>
        <w:t>SAGE Open Nursing, 10</w:t>
      </w:r>
      <w:r w:rsidRPr="00921CE9">
        <w:rPr>
          <w:rFonts w:ascii="Arial" w:hAnsi="Arial" w:cs="Arial"/>
          <w:color w:val="000000" w:themeColor="text1"/>
          <w:sz w:val="22"/>
          <w:szCs w:val="22"/>
        </w:rPr>
        <w:t xml:space="preserve">, 23779608241233146. </w:t>
      </w:r>
      <w:hyperlink r:id="rId21" w:tgtFrame="_new" w:history="1">
        <w:r w:rsidRPr="00921CE9">
          <w:rPr>
            <w:rStyle w:val="Hyperlink"/>
            <w:rFonts w:ascii="Arial" w:hAnsi="Arial" w:cs="Arial"/>
            <w:color w:val="000000" w:themeColor="text1"/>
            <w:sz w:val="22"/>
            <w:szCs w:val="22"/>
            <w:u w:val="none"/>
          </w:rPr>
          <w:t>https://doi.org/10.1177/23779608241233146</w:t>
        </w:r>
      </w:hyperlink>
    </w:p>
    <w:p w14:paraId="31DEEB0E" w14:textId="77777777" w:rsidR="005E26DB" w:rsidRPr="00921CE9" w:rsidRDefault="005E26DB" w:rsidP="005E26DB">
      <w:pPr>
        <w:ind w:left="720" w:hanging="720"/>
        <w:rPr>
          <w:rFonts w:ascii="Arial" w:hAnsi="Arial" w:cs="Arial"/>
          <w:color w:val="000000" w:themeColor="text1"/>
          <w:sz w:val="22"/>
          <w:szCs w:val="22"/>
        </w:rPr>
      </w:pPr>
    </w:p>
    <w:p w14:paraId="4FEC33B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American Association of Colleges of Nursing. (2021). </w:t>
      </w:r>
      <w:r w:rsidRPr="00921CE9">
        <w:rPr>
          <w:rFonts w:ascii="Arial" w:hAnsi="Arial" w:cs="Arial"/>
          <w:i/>
          <w:iCs/>
          <w:color w:val="000000" w:themeColor="text1"/>
          <w:sz w:val="22"/>
          <w:szCs w:val="22"/>
        </w:rPr>
        <w:t>Clinical education</w:t>
      </w:r>
      <w:r w:rsidRPr="00921CE9">
        <w:rPr>
          <w:rFonts w:ascii="Arial" w:hAnsi="Arial" w:cs="Arial"/>
          <w:color w:val="000000" w:themeColor="text1"/>
          <w:sz w:val="22"/>
          <w:szCs w:val="22"/>
        </w:rPr>
        <w:t>. https://www.aacnnursing.org/Education-Resources/Clinical-Education</w:t>
      </w:r>
    </w:p>
    <w:p w14:paraId="338956E4" w14:textId="77777777" w:rsidR="005E26DB" w:rsidRPr="00921CE9" w:rsidRDefault="005E26DB" w:rsidP="005E26DB">
      <w:pPr>
        <w:ind w:left="720" w:hanging="720"/>
        <w:rPr>
          <w:rFonts w:ascii="Arial" w:hAnsi="Arial" w:cs="Arial"/>
          <w:color w:val="000000" w:themeColor="text1"/>
          <w:sz w:val="22"/>
          <w:szCs w:val="22"/>
        </w:rPr>
      </w:pPr>
    </w:p>
    <w:p w14:paraId="36D7270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lang w:val="de-DE"/>
        </w:rPr>
        <w:t xml:space="preserve">Andersen, F. A., Johansen, A. B., Søndergaard, J., Andersen, C. M., &amp; Hvidt, E. A. (2020). </w:t>
      </w:r>
      <w:r w:rsidRPr="00921CE9">
        <w:rPr>
          <w:rFonts w:ascii="Arial" w:hAnsi="Arial" w:cs="Arial"/>
          <w:color w:val="000000" w:themeColor="text1"/>
          <w:sz w:val="22"/>
          <w:szCs w:val="22"/>
        </w:rPr>
        <w:t xml:space="preserve">Revisiting the trajectory of medical students’ empathy and the impact of gender, specialty preferences, and nationality: A systematic review. </w:t>
      </w:r>
      <w:r w:rsidRPr="00921CE9">
        <w:rPr>
          <w:rFonts w:ascii="Arial" w:hAnsi="Arial" w:cs="Arial"/>
          <w:i/>
          <w:iCs/>
          <w:color w:val="000000" w:themeColor="text1"/>
          <w:sz w:val="22"/>
          <w:szCs w:val="22"/>
        </w:rPr>
        <w:t>BMC Medical Education, 20</w:t>
      </w:r>
      <w:r w:rsidRPr="00921CE9">
        <w:rPr>
          <w:rFonts w:ascii="Arial" w:hAnsi="Arial" w:cs="Arial"/>
          <w:color w:val="000000" w:themeColor="text1"/>
          <w:sz w:val="22"/>
          <w:szCs w:val="22"/>
        </w:rPr>
        <w:t xml:space="preserve">(1), 52. </w:t>
      </w:r>
      <w:hyperlink r:id="rId22" w:tgtFrame="_new" w:history="1">
        <w:r w:rsidRPr="00921CE9">
          <w:rPr>
            <w:rStyle w:val="Hyperlink"/>
            <w:rFonts w:ascii="Arial" w:hAnsi="Arial" w:cs="Arial"/>
            <w:color w:val="000000" w:themeColor="text1"/>
            <w:sz w:val="22"/>
            <w:szCs w:val="22"/>
            <w:u w:val="none"/>
          </w:rPr>
          <w:t>https://doi.org/10.1186/s12909-020-1964-5</w:t>
        </w:r>
      </w:hyperlink>
    </w:p>
    <w:p w14:paraId="7700BB83" w14:textId="77777777" w:rsidR="005E26DB" w:rsidRPr="00921CE9" w:rsidRDefault="005E26DB" w:rsidP="005E26DB">
      <w:pPr>
        <w:ind w:left="720" w:hanging="720"/>
        <w:rPr>
          <w:rFonts w:ascii="Arial" w:hAnsi="Arial" w:cs="Arial"/>
          <w:color w:val="000000" w:themeColor="text1"/>
          <w:sz w:val="22"/>
          <w:szCs w:val="22"/>
        </w:rPr>
      </w:pPr>
    </w:p>
    <w:p w14:paraId="7226827A" w14:textId="77777777" w:rsidR="005E26DB" w:rsidRPr="00921CE9" w:rsidRDefault="005E26DB" w:rsidP="005E26DB">
      <w:pPr>
        <w:ind w:left="720" w:hanging="720"/>
        <w:rPr>
          <w:rFonts w:ascii="Arial" w:hAnsi="Arial" w:cs="Arial"/>
          <w:color w:val="000000" w:themeColor="text1"/>
          <w:sz w:val="22"/>
          <w:szCs w:val="22"/>
          <w:lang w:val="de-DE"/>
        </w:rPr>
      </w:pPr>
      <w:r w:rsidRPr="00921CE9">
        <w:rPr>
          <w:rFonts w:ascii="Arial" w:hAnsi="Arial" w:cs="Arial"/>
          <w:color w:val="000000" w:themeColor="text1"/>
          <w:sz w:val="22"/>
          <w:szCs w:val="22"/>
        </w:rPr>
        <w:lastRenderedPageBreak/>
        <w:t xml:space="preserve">Automated interpretation of indices of effect size. </w:t>
      </w:r>
      <w:r w:rsidRPr="00921CE9">
        <w:rPr>
          <w:rFonts w:ascii="Arial" w:hAnsi="Arial" w:cs="Arial"/>
          <w:color w:val="000000" w:themeColor="text1"/>
          <w:sz w:val="22"/>
          <w:szCs w:val="22"/>
          <w:lang w:val="de-DE"/>
        </w:rPr>
        <w:t xml:space="preserve">(n.d.). </w:t>
      </w:r>
      <w:hyperlink r:id="rId23" w:tgtFrame="_new" w:history="1">
        <w:r w:rsidRPr="00921CE9">
          <w:rPr>
            <w:rStyle w:val="Hyperlink"/>
            <w:rFonts w:ascii="Arial" w:hAnsi="Arial" w:cs="Arial"/>
            <w:color w:val="000000" w:themeColor="text1"/>
            <w:sz w:val="22"/>
            <w:szCs w:val="22"/>
            <w:u w:val="none"/>
            <w:lang w:val="de-DE"/>
          </w:rPr>
          <w:t>https://easystats.github.io/effectsize/articles/interpret.html</w:t>
        </w:r>
      </w:hyperlink>
    </w:p>
    <w:p w14:paraId="4A68861E" w14:textId="77777777" w:rsidR="005E26DB" w:rsidRPr="00921CE9" w:rsidRDefault="005E26DB" w:rsidP="005E26DB">
      <w:pPr>
        <w:ind w:left="720" w:hanging="720"/>
        <w:rPr>
          <w:rFonts w:ascii="Arial" w:hAnsi="Arial" w:cs="Arial"/>
          <w:color w:val="000000" w:themeColor="text1"/>
          <w:sz w:val="22"/>
          <w:szCs w:val="22"/>
          <w:lang w:val="de-DE"/>
        </w:rPr>
      </w:pPr>
    </w:p>
    <w:p w14:paraId="26EE1A38"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lang w:val="de-DE"/>
        </w:rPr>
        <w:t xml:space="preserve">Ayenew, T., Tadesse, A. F., Fikru, T., Gedfew, M., Amha, H., Fetene, M. G., Edmealem, A., Getie, A., Birhanie, S. A., &amp; Messelu, M. A. (2024). </w:t>
      </w:r>
      <w:r w:rsidRPr="00921CE9">
        <w:rPr>
          <w:rFonts w:ascii="Arial" w:hAnsi="Arial" w:cs="Arial"/>
          <w:color w:val="000000" w:themeColor="text1"/>
          <w:sz w:val="22"/>
          <w:szCs w:val="22"/>
        </w:rPr>
        <w:t xml:space="preserve">Satisfaction of medical and health science students with their clinical learning environment and its determinant factors at Debre Markos University, Northwest Ethiopia. </w:t>
      </w:r>
      <w:r w:rsidRPr="00921CE9">
        <w:rPr>
          <w:rFonts w:ascii="Arial" w:hAnsi="Arial" w:cs="Arial"/>
          <w:i/>
          <w:iCs/>
          <w:color w:val="000000" w:themeColor="text1"/>
          <w:sz w:val="22"/>
          <w:szCs w:val="22"/>
        </w:rPr>
        <w:t>BMC Medical Education, 24</w:t>
      </w:r>
      <w:r w:rsidRPr="00921CE9">
        <w:rPr>
          <w:rFonts w:ascii="Arial" w:hAnsi="Arial" w:cs="Arial"/>
          <w:color w:val="000000" w:themeColor="text1"/>
          <w:sz w:val="22"/>
          <w:szCs w:val="22"/>
        </w:rPr>
        <w:t xml:space="preserve">(1), 1113. </w:t>
      </w:r>
      <w:hyperlink r:id="rId24" w:tgtFrame="_new" w:history="1">
        <w:r w:rsidRPr="00921CE9">
          <w:rPr>
            <w:rStyle w:val="Hyperlink"/>
            <w:rFonts w:ascii="Arial" w:hAnsi="Arial" w:cs="Arial"/>
            <w:color w:val="000000" w:themeColor="text1"/>
            <w:sz w:val="22"/>
            <w:szCs w:val="22"/>
            <w:u w:val="none"/>
          </w:rPr>
          <w:t>https://doi.org/10.1186/s12909-024-06114-6</w:t>
        </w:r>
      </w:hyperlink>
    </w:p>
    <w:p w14:paraId="1770B0B6" w14:textId="77777777" w:rsidR="005E26DB" w:rsidRPr="00921CE9" w:rsidRDefault="005E26DB" w:rsidP="005E26DB">
      <w:pPr>
        <w:ind w:left="720" w:hanging="720"/>
        <w:rPr>
          <w:rFonts w:ascii="Arial" w:hAnsi="Arial" w:cs="Arial"/>
          <w:color w:val="000000" w:themeColor="text1"/>
          <w:sz w:val="22"/>
          <w:szCs w:val="22"/>
        </w:rPr>
      </w:pPr>
    </w:p>
    <w:p w14:paraId="5937EBD7"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Bsn, A. G., RN. (2024, April 29). Jean Watson: Theory of human caring. </w:t>
      </w:r>
      <w:r w:rsidRPr="00921CE9">
        <w:rPr>
          <w:rFonts w:ascii="Arial" w:hAnsi="Arial" w:cs="Arial"/>
          <w:i/>
          <w:iCs/>
          <w:color w:val="000000" w:themeColor="text1"/>
          <w:sz w:val="22"/>
          <w:szCs w:val="22"/>
        </w:rPr>
        <w:t>Nurseslabs</w:t>
      </w:r>
      <w:r w:rsidRPr="00921CE9">
        <w:rPr>
          <w:rFonts w:ascii="Arial" w:hAnsi="Arial" w:cs="Arial"/>
          <w:color w:val="000000" w:themeColor="text1"/>
          <w:sz w:val="22"/>
          <w:szCs w:val="22"/>
        </w:rPr>
        <w:t xml:space="preserve">. </w:t>
      </w:r>
      <w:hyperlink r:id="rId25" w:tgtFrame="_new" w:history="1">
        <w:r w:rsidRPr="00921CE9">
          <w:rPr>
            <w:rStyle w:val="Hyperlink"/>
            <w:rFonts w:ascii="Arial" w:hAnsi="Arial" w:cs="Arial"/>
            <w:color w:val="000000" w:themeColor="text1"/>
            <w:sz w:val="22"/>
            <w:szCs w:val="22"/>
            <w:u w:val="none"/>
          </w:rPr>
          <w:t>https://nurseslabs.com/jean-watsons-philosophy-theory-transpersonal-caring/</w:t>
        </w:r>
      </w:hyperlink>
    </w:p>
    <w:p w14:paraId="515F7A03" w14:textId="77777777" w:rsidR="005E26DB" w:rsidRPr="00921CE9" w:rsidRDefault="005E26DB" w:rsidP="005E26DB">
      <w:pPr>
        <w:ind w:left="720" w:hanging="720"/>
        <w:rPr>
          <w:rFonts w:ascii="Arial" w:hAnsi="Arial" w:cs="Arial"/>
          <w:i/>
          <w:iCs/>
          <w:color w:val="000000" w:themeColor="text1"/>
          <w:sz w:val="22"/>
          <w:szCs w:val="22"/>
        </w:rPr>
      </w:pPr>
    </w:p>
    <w:p w14:paraId="56D895F0"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i/>
          <w:iCs/>
          <w:color w:val="000000" w:themeColor="text1"/>
          <w:sz w:val="22"/>
          <w:szCs w:val="22"/>
        </w:rPr>
        <w:t>BMC Medical Education</w:t>
      </w:r>
      <w:r w:rsidRPr="00921CE9">
        <w:rPr>
          <w:rFonts w:ascii="Arial" w:hAnsi="Arial" w:cs="Arial"/>
          <w:color w:val="000000" w:themeColor="text1"/>
          <w:sz w:val="22"/>
          <w:szCs w:val="22"/>
        </w:rPr>
        <w:t xml:space="preserve">. (2025). Professional identity and empathy development in nursing students. </w:t>
      </w:r>
      <w:hyperlink r:id="rId26" w:tgtFrame="_new" w:history="1">
        <w:r w:rsidRPr="00921CE9">
          <w:rPr>
            <w:rStyle w:val="Hyperlink"/>
            <w:rFonts w:ascii="Arial" w:hAnsi="Arial" w:cs="Arial"/>
            <w:color w:val="000000" w:themeColor="text1"/>
            <w:sz w:val="22"/>
            <w:szCs w:val="22"/>
            <w:u w:val="none"/>
          </w:rPr>
          <w:t>https://link.springer.com/content/pdf/10.1186/s12909-025-07611-y.pdf</w:t>
        </w:r>
      </w:hyperlink>
    </w:p>
    <w:p w14:paraId="4DFCF1A7" w14:textId="77777777" w:rsidR="005E26DB" w:rsidRPr="00921CE9" w:rsidRDefault="005E26DB" w:rsidP="005E26DB">
      <w:pPr>
        <w:ind w:left="720" w:hanging="720"/>
        <w:rPr>
          <w:rFonts w:ascii="Arial" w:hAnsi="Arial" w:cs="Arial"/>
          <w:i/>
          <w:iCs/>
          <w:color w:val="000000" w:themeColor="text1"/>
          <w:sz w:val="22"/>
          <w:szCs w:val="22"/>
        </w:rPr>
      </w:pPr>
    </w:p>
    <w:p w14:paraId="7BCF68DC"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i/>
          <w:iCs/>
          <w:color w:val="000000" w:themeColor="text1"/>
          <w:sz w:val="22"/>
          <w:szCs w:val="22"/>
        </w:rPr>
        <w:t>BMC Nursing</w:t>
      </w:r>
      <w:r w:rsidRPr="00921CE9">
        <w:rPr>
          <w:rFonts w:ascii="Arial" w:hAnsi="Arial" w:cs="Arial"/>
          <w:color w:val="000000" w:themeColor="text1"/>
          <w:sz w:val="22"/>
          <w:szCs w:val="22"/>
        </w:rPr>
        <w:t xml:space="preserve">. (2023). Clinical settings as a source of learning and experience for nursing students. </w:t>
      </w:r>
      <w:hyperlink r:id="rId27" w:tgtFrame="_new" w:history="1">
        <w:r w:rsidRPr="00921CE9">
          <w:rPr>
            <w:rStyle w:val="Hyperlink"/>
            <w:rFonts w:ascii="Arial" w:hAnsi="Arial" w:cs="Arial"/>
            <w:color w:val="000000" w:themeColor="text1"/>
            <w:sz w:val="22"/>
            <w:szCs w:val="22"/>
            <w:u w:val="none"/>
          </w:rPr>
          <w:t>https://link.springer.com/article/10.1186/s13104-025-07396-9</w:t>
        </w:r>
      </w:hyperlink>
    </w:p>
    <w:p w14:paraId="5EF6ADEA" w14:textId="77777777" w:rsidR="005E26DB" w:rsidRPr="00921CE9" w:rsidRDefault="005E26DB" w:rsidP="005E26DB">
      <w:pPr>
        <w:ind w:left="720" w:hanging="720"/>
        <w:rPr>
          <w:rFonts w:ascii="Arial" w:hAnsi="Arial" w:cs="Arial"/>
          <w:color w:val="000000" w:themeColor="text1"/>
          <w:sz w:val="22"/>
          <w:szCs w:val="22"/>
        </w:rPr>
      </w:pPr>
    </w:p>
    <w:p w14:paraId="387ADCB9"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Cabataña, P. G. E., Dacayana, Y. L. A., Jabagat, J. B., &amp; Palompon, D. R. (2024). Exploring empathy of nursing students and the extent of their clinical experiences: A cross-case analysis. </w:t>
      </w:r>
      <w:r w:rsidRPr="00921CE9">
        <w:rPr>
          <w:rFonts w:ascii="Arial" w:hAnsi="Arial" w:cs="Arial"/>
          <w:i/>
          <w:iCs/>
          <w:color w:val="000000" w:themeColor="text1"/>
          <w:sz w:val="22"/>
          <w:szCs w:val="22"/>
        </w:rPr>
        <w:t>Jurnal NERS, 19</w:t>
      </w:r>
      <w:r w:rsidRPr="00921CE9">
        <w:rPr>
          <w:rFonts w:ascii="Arial" w:hAnsi="Arial" w:cs="Arial"/>
          <w:color w:val="000000" w:themeColor="text1"/>
          <w:sz w:val="22"/>
          <w:szCs w:val="22"/>
        </w:rPr>
        <w:t xml:space="preserve">(4), 412–423. </w:t>
      </w:r>
      <w:hyperlink r:id="rId28" w:tgtFrame="_new" w:history="1">
        <w:r w:rsidRPr="00921CE9">
          <w:rPr>
            <w:rStyle w:val="Hyperlink"/>
            <w:rFonts w:ascii="Arial" w:hAnsi="Arial" w:cs="Arial"/>
            <w:color w:val="000000" w:themeColor="text1"/>
            <w:sz w:val="22"/>
            <w:szCs w:val="22"/>
            <w:u w:val="none"/>
          </w:rPr>
          <w:t>https://doi.org/10.20473/jn.v19i4.56238</w:t>
        </w:r>
      </w:hyperlink>
    </w:p>
    <w:p w14:paraId="5C728291" w14:textId="77777777" w:rsidR="005E26DB" w:rsidRPr="00921CE9" w:rsidRDefault="005E26DB" w:rsidP="005E26DB">
      <w:pPr>
        <w:ind w:left="720" w:hanging="720"/>
        <w:rPr>
          <w:rFonts w:ascii="Arial" w:hAnsi="Arial" w:cs="Arial"/>
          <w:color w:val="000000" w:themeColor="text1"/>
          <w:sz w:val="22"/>
          <w:szCs w:val="22"/>
        </w:rPr>
      </w:pPr>
    </w:p>
    <w:p w14:paraId="3007DAF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Cho, M., &amp; Kim, M. Y. (2024). Effectiveness of simulation-based interventions on empathy enhancement among nursing students: A systematic literature review and meta-analysis. </w:t>
      </w:r>
      <w:r w:rsidRPr="00921CE9">
        <w:rPr>
          <w:rFonts w:ascii="Arial" w:hAnsi="Arial" w:cs="Arial"/>
          <w:i/>
          <w:iCs/>
          <w:color w:val="000000" w:themeColor="text1"/>
          <w:sz w:val="22"/>
          <w:szCs w:val="22"/>
        </w:rPr>
        <w:t>BMC Nursing, 23</w:t>
      </w:r>
      <w:r w:rsidRPr="00921CE9">
        <w:rPr>
          <w:rFonts w:ascii="Arial" w:hAnsi="Arial" w:cs="Arial"/>
          <w:color w:val="000000" w:themeColor="text1"/>
          <w:sz w:val="22"/>
          <w:szCs w:val="22"/>
        </w:rPr>
        <w:t xml:space="preserve">(1), 319. </w:t>
      </w:r>
      <w:hyperlink r:id="rId29" w:tgtFrame="_new" w:history="1">
        <w:r w:rsidRPr="00921CE9">
          <w:rPr>
            <w:rStyle w:val="Hyperlink"/>
            <w:rFonts w:ascii="Arial" w:hAnsi="Arial" w:cs="Arial"/>
            <w:color w:val="000000" w:themeColor="text1"/>
            <w:sz w:val="22"/>
            <w:szCs w:val="22"/>
            <w:u w:val="none"/>
          </w:rPr>
          <w:t>https://doi.org/10.1186/s12912-024-01944-7</w:t>
        </w:r>
      </w:hyperlink>
    </w:p>
    <w:p w14:paraId="35420825" w14:textId="77777777" w:rsidR="005E26DB" w:rsidRPr="00921CE9" w:rsidRDefault="005E26DB" w:rsidP="005E26DB">
      <w:pPr>
        <w:ind w:left="720" w:hanging="720"/>
        <w:rPr>
          <w:rFonts w:ascii="Arial" w:hAnsi="Arial" w:cs="Arial"/>
          <w:color w:val="000000" w:themeColor="text1"/>
          <w:sz w:val="22"/>
          <w:szCs w:val="22"/>
        </w:rPr>
      </w:pPr>
    </w:p>
    <w:p w14:paraId="38679A28" w14:textId="02EC1082"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Costa-Drolon, E., Verneuil, L., Manolios, E., Revah-Levy, A., &amp; Sibeoni, J. (2020). Medical students’ perspectives on empathy: A systematic review and metasynthesis. </w:t>
      </w:r>
      <w:r w:rsidRPr="00921CE9">
        <w:rPr>
          <w:rFonts w:ascii="Arial" w:hAnsi="Arial" w:cs="Arial"/>
          <w:i/>
          <w:iCs/>
          <w:color w:val="000000" w:themeColor="text1"/>
          <w:sz w:val="22"/>
          <w:szCs w:val="22"/>
        </w:rPr>
        <w:t>Academic Medicine, 96</w:t>
      </w:r>
      <w:r w:rsidRPr="00921CE9">
        <w:rPr>
          <w:rFonts w:ascii="Arial" w:hAnsi="Arial" w:cs="Arial"/>
          <w:color w:val="000000" w:themeColor="text1"/>
          <w:sz w:val="22"/>
          <w:szCs w:val="22"/>
        </w:rPr>
        <w:t xml:space="preserve">(1), 142–154. </w:t>
      </w:r>
      <w:hyperlink r:id="rId30" w:tgtFrame="_new" w:history="1">
        <w:r w:rsidRPr="00921CE9">
          <w:rPr>
            <w:rStyle w:val="Hyperlink"/>
            <w:rFonts w:ascii="Arial" w:hAnsi="Arial" w:cs="Arial"/>
            <w:color w:val="000000" w:themeColor="text1"/>
            <w:sz w:val="22"/>
            <w:szCs w:val="22"/>
            <w:u w:val="none"/>
          </w:rPr>
          <w:t>https://doi.org/10.1097/acm.0000000000003655</w:t>
        </w:r>
      </w:hyperlink>
    </w:p>
    <w:p w14:paraId="7991D05D" w14:textId="77777777" w:rsidR="005E26DB" w:rsidRPr="00921CE9" w:rsidRDefault="005E26DB" w:rsidP="005E26DB">
      <w:pPr>
        <w:ind w:left="720" w:hanging="720"/>
        <w:rPr>
          <w:rFonts w:ascii="Arial" w:hAnsi="Arial" w:cs="Arial"/>
          <w:color w:val="000000" w:themeColor="text1"/>
          <w:sz w:val="22"/>
          <w:szCs w:val="22"/>
        </w:rPr>
      </w:pPr>
    </w:p>
    <w:p w14:paraId="69F365D6"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Deng, X., Chen, S., Li, X., Tan, C., Li, W., Zhong, C., Mei, R., &amp; Ye, M. (2022). Gender differences in empathy, emotional intelligence, and problem-solving ability among nursing students: A cross-sectional study. </w:t>
      </w:r>
      <w:r w:rsidRPr="00921CE9">
        <w:rPr>
          <w:rFonts w:ascii="Arial" w:hAnsi="Arial" w:cs="Arial"/>
          <w:i/>
          <w:iCs/>
          <w:color w:val="000000" w:themeColor="text1"/>
          <w:sz w:val="22"/>
          <w:szCs w:val="22"/>
        </w:rPr>
        <w:t>Nurse Education Today, 120</w:t>
      </w:r>
      <w:r w:rsidRPr="00921CE9">
        <w:rPr>
          <w:rFonts w:ascii="Arial" w:hAnsi="Arial" w:cs="Arial"/>
          <w:color w:val="000000" w:themeColor="text1"/>
          <w:sz w:val="22"/>
          <w:szCs w:val="22"/>
        </w:rPr>
        <w:t xml:space="preserve">, 105649. </w:t>
      </w:r>
      <w:hyperlink r:id="rId31" w:tgtFrame="_new" w:history="1">
        <w:r w:rsidRPr="00921CE9">
          <w:rPr>
            <w:rStyle w:val="Hyperlink"/>
            <w:rFonts w:ascii="Arial" w:hAnsi="Arial" w:cs="Arial"/>
            <w:color w:val="000000" w:themeColor="text1"/>
            <w:sz w:val="22"/>
            <w:szCs w:val="22"/>
            <w:u w:val="none"/>
          </w:rPr>
          <w:t>https://doi.org/10.1016/j.nedt.2022.105649</w:t>
        </w:r>
      </w:hyperlink>
    </w:p>
    <w:p w14:paraId="3996ABDE" w14:textId="77777777" w:rsidR="005E26DB" w:rsidRPr="00921CE9" w:rsidRDefault="005E26DB" w:rsidP="005E26DB">
      <w:pPr>
        <w:ind w:left="720" w:hanging="720"/>
        <w:rPr>
          <w:rFonts w:ascii="Arial" w:hAnsi="Arial" w:cs="Arial"/>
          <w:color w:val="000000" w:themeColor="text1"/>
          <w:sz w:val="22"/>
          <w:szCs w:val="22"/>
        </w:rPr>
      </w:pPr>
    </w:p>
    <w:p w14:paraId="644C376B"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Dulay, R. A., &amp; Domingo, M. E. (2024). Determinants of empathy among nursing students: A Philippine perspective. </w:t>
      </w:r>
      <w:r w:rsidRPr="00921CE9">
        <w:rPr>
          <w:rFonts w:ascii="Arial" w:hAnsi="Arial" w:cs="Arial"/>
          <w:i/>
          <w:iCs/>
          <w:color w:val="000000" w:themeColor="text1"/>
          <w:sz w:val="22"/>
          <w:szCs w:val="22"/>
        </w:rPr>
        <w:t>International Journal of Nursing Education and Research, 12</w:t>
      </w:r>
      <w:r w:rsidRPr="00921CE9">
        <w:rPr>
          <w:rFonts w:ascii="Arial" w:hAnsi="Arial" w:cs="Arial"/>
          <w:color w:val="000000" w:themeColor="text1"/>
          <w:sz w:val="22"/>
          <w:szCs w:val="22"/>
        </w:rPr>
        <w:t xml:space="preserve">(2), 78–84. </w:t>
      </w:r>
      <w:hyperlink r:id="rId32" w:tgtFrame="_new" w:history="1">
        <w:r w:rsidRPr="00921CE9">
          <w:rPr>
            <w:rStyle w:val="Hyperlink"/>
            <w:rFonts w:ascii="Arial" w:hAnsi="Arial" w:cs="Arial"/>
            <w:color w:val="000000" w:themeColor="text1"/>
            <w:sz w:val="22"/>
            <w:szCs w:val="22"/>
            <w:u w:val="none"/>
          </w:rPr>
          <w:t>https://pdf.ipinnovative.com/pdf/22058</w:t>
        </w:r>
      </w:hyperlink>
    </w:p>
    <w:p w14:paraId="5AF6E08E" w14:textId="77777777" w:rsidR="005E26DB" w:rsidRPr="00921CE9" w:rsidRDefault="005E26DB" w:rsidP="005E26DB">
      <w:pPr>
        <w:ind w:left="720" w:hanging="720"/>
        <w:rPr>
          <w:rFonts w:ascii="Arial" w:hAnsi="Arial" w:cs="Arial"/>
          <w:color w:val="000000" w:themeColor="text1"/>
          <w:sz w:val="22"/>
          <w:szCs w:val="22"/>
        </w:rPr>
      </w:pPr>
    </w:p>
    <w:p w14:paraId="4C119BE0"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Falguera, C., Alexis, D. L. S. J., Firmo, C., &amp; Batidor, P. (2025, March 1). Post-pandemic implications of the nursing students’ clinical learning environment and its relationship to academic grit, self-esteem, and caring behaviors: A cross-sectional study. </w:t>
      </w:r>
      <w:hyperlink r:id="rId33" w:tgtFrame="_new" w:history="1">
        <w:r w:rsidRPr="00921CE9">
          <w:rPr>
            <w:rStyle w:val="Hyperlink"/>
            <w:rFonts w:ascii="Arial" w:hAnsi="Arial" w:cs="Arial"/>
            <w:color w:val="000000" w:themeColor="text1"/>
            <w:sz w:val="22"/>
            <w:szCs w:val="22"/>
            <w:u w:val="none"/>
          </w:rPr>
          <w:t>https://www.herdin.ph/index.php/component/herdin/?view=research&amp;cid=88444</w:t>
        </w:r>
      </w:hyperlink>
    </w:p>
    <w:p w14:paraId="5A95B69E" w14:textId="77777777" w:rsidR="005E26DB" w:rsidRPr="00921CE9" w:rsidRDefault="005E26DB" w:rsidP="005E26DB">
      <w:pPr>
        <w:ind w:left="720" w:hanging="720"/>
        <w:rPr>
          <w:rFonts w:ascii="Arial" w:hAnsi="Arial" w:cs="Arial"/>
          <w:color w:val="000000" w:themeColor="text1"/>
          <w:sz w:val="22"/>
          <w:szCs w:val="22"/>
        </w:rPr>
      </w:pPr>
    </w:p>
    <w:p w14:paraId="3C8BA7DC"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lastRenderedPageBreak/>
        <w:t xml:space="preserve">Fernández-Gutiérrez, M., Bas-Sarmiento, P., Del Pino-Chinchilla, H., Poza-Méndez, M., &amp; Marín-Paz, A. J. (2022). Effectiveness of a multimodal intervention and the simulation flow to improve empathy and attitudes toward older adults in nursing students: A crossover randomized controlled trial. </w:t>
      </w:r>
      <w:r w:rsidRPr="00921CE9">
        <w:rPr>
          <w:rFonts w:ascii="Arial" w:hAnsi="Arial" w:cs="Arial"/>
          <w:i/>
          <w:iCs/>
          <w:color w:val="000000" w:themeColor="text1"/>
          <w:sz w:val="22"/>
          <w:szCs w:val="22"/>
        </w:rPr>
        <w:t>Nurse Education in Practice, 64</w:t>
      </w:r>
      <w:r w:rsidRPr="00921CE9">
        <w:rPr>
          <w:rFonts w:ascii="Arial" w:hAnsi="Arial" w:cs="Arial"/>
          <w:color w:val="000000" w:themeColor="text1"/>
          <w:sz w:val="22"/>
          <w:szCs w:val="22"/>
        </w:rPr>
        <w:t xml:space="preserve">, 103430. </w:t>
      </w:r>
      <w:hyperlink r:id="rId34" w:tgtFrame="_new" w:history="1">
        <w:r w:rsidRPr="00921CE9">
          <w:rPr>
            <w:rStyle w:val="Hyperlink"/>
            <w:rFonts w:ascii="Arial" w:hAnsi="Arial" w:cs="Arial"/>
            <w:color w:val="000000" w:themeColor="text1"/>
            <w:sz w:val="22"/>
            <w:szCs w:val="22"/>
            <w:u w:val="none"/>
          </w:rPr>
          <w:t>https://doi.org/10.1016/j.nepr.2022.103430</w:t>
        </w:r>
      </w:hyperlink>
    </w:p>
    <w:p w14:paraId="54B3824E" w14:textId="77777777" w:rsidR="005E26DB" w:rsidRPr="00921CE9" w:rsidRDefault="005E26DB" w:rsidP="005E26DB">
      <w:pPr>
        <w:ind w:left="720" w:hanging="720"/>
        <w:rPr>
          <w:rFonts w:ascii="Arial" w:hAnsi="Arial" w:cs="Arial"/>
          <w:color w:val="000000" w:themeColor="text1"/>
          <w:sz w:val="22"/>
          <w:szCs w:val="22"/>
        </w:rPr>
      </w:pPr>
    </w:p>
    <w:p w14:paraId="059ACCF2"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Goal 3: Good health and well-being. (2024, January 23). </w:t>
      </w:r>
      <w:r w:rsidRPr="00921CE9">
        <w:rPr>
          <w:rFonts w:ascii="Arial" w:hAnsi="Arial" w:cs="Arial"/>
          <w:i/>
          <w:iCs/>
          <w:color w:val="000000" w:themeColor="text1"/>
          <w:sz w:val="22"/>
          <w:szCs w:val="22"/>
        </w:rPr>
        <w:t>The Global Goals</w:t>
      </w:r>
      <w:r w:rsidRPr="00921CE9">
        <w:rPr>
          <w:rFonts w:ascii="Arial" w:hAnsi="Arial" w:cs="Arial"/>
          <w:color w:val="000000" w:themeColor="text1"/>
          <w:sz w:val="22"/>
          <w:szCs w:val="22"/>
        </w:rPr>
        <w:t xml:space="preserve">. </w:t>
      </w:r>
      <w:hyperlink r:id="rId35" w:tgtFrame="_new" w:history="1">
        <w:r w:rsidRPr="00921CE9">
          <w:rPr>
            <w:rStyle w:val="Hyperlink"/>
            <w:rFonts w:ascii="Arial" w:hAnsi="Arial" w:cs="Arial"/>
            <w:color w:val="000000" w:themeColor="text1"/>
            <w:sz w:val="22"/>
            <w:szCs w:val="22"/>
            <w:u w:val="none"/>
          </w:rPr>
          <w:t>https://globalgoals.org/goals/3-good-health-and-well-being/</w:t>
        </w:r>
      </w:hyperlink>
    </w:p>
    <w:p w14:paraId="1EB514E4" w14:textId="77777777" w:rsidR="005E26DB" w:rsidRPr="00921CE9" w:rsidRDefault="005E26DB" w:rsidP="005E26DB">
      <w:pPr>
        <w:ind w:left="720" w:hanging="720"/>
        <w:rPr>
          <w:rFonts w:ascii="Arial" w:hAnsi="Arial" w:cs="Arial"/>
          <w:color w:val="000000" w:themeColor="text1"/>
          <w:sz w:val="22"/>
          <w:szCs w:val="22"/>
        </w:rPr>
      </w:pPr>
    </w:p>
    <w:p w14:paraId="23EF326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González-García, M., Lana, A., Zurrón-Madera, P., Valcárcel-Álvarez, Y., &amp; Fernández-Feito, A. (2020). Nursing students’ experiences of clinical practices in emergency and intensive care units. </w:t>
      </w:r>
      <w:r w:rsidRPr="00921CE9">
        <w:rPr>
          <w:rFonts w:ascii="Arial" w:hAnsi="Arial" w:cs="Arial"/>
          <w:i/>
          <w:iCs/>
          <w:color w:val="000000" w:themeColor="text1"/>
          <w:sz w:val="22"/>
          <w:szCs w:val="22"/>
        </w:rPr>
        <w:t>International Journal of Environmental Research and Public Health, 17</w:t>
      </w:r>
      <w:r w:rsidRPr="00921CE9">
        <w:rPr>
          <w:rFonts w:ascii="Arial" w:hAnsi="Arial" w:cs="Arial"/>
          <w:color w:val="000000" w:themeColor="text1"/>
          <w:sz w:val="22"/>
          <w:szCs w:val="22"/>
        </w:rPr>
        <w:t xml:space="preserve">(16), 5686. </w:t>
      </w:r>
      <w:hyperlink r:id="rId36" w:tgtFrame="_new" w:history="1">
        <w:r w:rsidRPr="00921CE9">
          <w:rPr>
            <w:rStyle w:val="Hyperlink"/>
            <w:rFonts w:ascii="Arial" w:hAnsi="Arial" w:cs="Arial"/>
            <w:color w:val="000000" w:themeColor="text1"/>
            <w:sz w:val="22"/>
            <w:szCs w:val="22"/>
            <w:u w:val="none"/>
          </w:rPr>
          <w:t>https://pmc.ncbi.nlm.nih.gov/articles/PMC7459869/</w:t>
        </w:r>
      </w:hyperlink>
    </w:p>
    <w:p w14:paraId="2A6DE034" w14:textId="77777777" w:rsidR="005E26DB" w:rsidRPr="00921CE9" w:rsidRDefault="005E26DB" w:rsidP="005E26DB">
      <w:pPr>
        <w:ind w:left="720" w:hanging="720"/>
        <w:rPr>
          <w:rFonts w:ascii="Arial" w:hAnsi="Arial" w:cs="Arial"/>
          <w:color w:val="000000" w:themeColor="text1"/>
          <w:sz w:val="22"/>
          <w:szCs w:val="22"/>
        </w:rPr>
      </w:pPr>
    </w:p>
    <w:p w14:paraId="543F009C"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Heale, R., &amp; Twycross, A. (2015). Validity and reliability in quantitative studies. </w:t>
      </w:r>
      <w:r w:rsidRPr="00921CE9">
        <w:rPr>
          <w:rFonts w:ascii="Arial" w:hAnsi="Arial" w:cs="Arial"/>
          <w:i/>
          <w:iCs/>
          <w:color w:val="000000" w:themeColor="text1"/>
          <w:sz w:val="22"/>
          <w:szCs w:val="22"/>
        </w:rPr>
        <w:t>Evidence-Based Nursing, 18</w:t>
      </w:r>
      <w:r w:rsidRPr="00921CE9">
        <w:rPr>
          <w:rFonts w:ascii="Arial" w:hAnsi="Arial" w:cs="Arial"/>
          <w:color w:val="000000" w:themeColor="text1"/>
          <w:sz w:val="22"/>
          <w:szCs w:val="22"/>
        </w:rPr>
        <w:t xml:space="preserve">(3), 66–67. </w:t>
      </w:r>
      <w:hyperlink r:id="rId37" w:tgtFrame="_new" w:history="1">
        <w:r w:rsidRPr="00921CE9">
          <w:rPr>
            <w:rStyle w:val="Hyperlink"/>
            <w:rFonts w:ascii="Arial" w:hAnsi="Arial" w:cs="Arial"/>
            <w:color w:val="000000" w:themeColor="text1"/>
            <w:sz w:val="22"/>
            <w:szCs w:val="22"/>
            <w:u w:val="none"/>
          </w:rPr>
          <w:t>https://doi.org/10.1136/eb-2015-102129</w:t>
        </w:r>
      </w:hyperlink>
    </w:p>
    <w:p w14:paraId="100732B9" w14:textId="77777777" w:rsidR="005E26DB" w:rsidRPr="00921CE9" w:rsidRDefault="005E26DB" w:rsidP="005E26DB">
      <w:pPr>
        <w:ind w:left="720" w:hanging="720"/>
        <w:rPr>
          <w:rFonts w:ascii="Arial" w:hAnsi="Arial" w:cs="Arial"/>
          <w:color w:val="000000" w:themeColor="text1"/>
          <w:sz w:val="22"/>
          <w:szCs w:val="22"/>
        </w:rPr>
      </w:pPr>
    </w:p>
    <w:p w14:paraId="7F3192B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Huang, R., Shi, J., Liu, Y., Xian, S., Zhang, W., Yao, Y., Wu, X., Li, Y., Zhang, H., Lu, B., Zhou, J., Zhou, Y., Lin, M., Wang, X., Liu, X., Wang, Y., Chen, W., Zhang, C., Du, E., … Yin, H. (2025). Learning environment as a predictor for medical students’ empathy: A multicenter cross-sectional study from 12 medical schools in China. </w:t>
      </w:r>
      <w:r w:rsidRPr="00921CE9">
        <w:rPr>
          <w:rFonts w:ascii="Arial" w:hAnsi="Arial" w:cs="Arial"/>
          <w:i/>
          <w:iCs/>
          <w:color w:val="000000" w:themeColor="text1"/>
          <w:sz w:val="22"/>
          <w:szCs w:val="22"/>
        </w:rPr>
        <w:t>BMC Psychology, 13</w:t>
      </w:r>
      <w:r w:rsidRPr="00921CE9">
        <w:rPr>
          <w:rFonts w:ascii="Arial" w:hAnsi="Arial" w:cs="Arial"/>
          <w:color w:val="000000" w:themeColor="text1"/>
          <w:sz w:val="22"/>
          <w:szCs w:val="22"/>
        </w:rPr>
        <w:t xml:space="preserve">(1), 5. </w:t>
      </w:r>
      <w:hyperlink r:id="rId38" w:tgtFrame="_new" w:history="1">
        <w:r w:rsidRPr="00921CE9">
          <w:rPr>
            <w:rStyle w:val="Hyperlink"/>
            <w:rFonts w:ascii="Arial" w:hAnsi="Arial" w:cs="Arial"/>
            <w:color w:val="000000" w:themeColor="text1"/>
            <w:sz w:val="22"/>
            <w:szCs w:val="22"/>
            <w:u w:val="none"/>
          </w:rPr>
          <w:t>https://doi.org/10.1186/s40359-024-02174-x</w:t>
        </w:r>
      </w:hyperlink>
    </w:p>
    <w:p w14:paraId="2BD6301A" w14:textId="77777777" w:rsidR="005E26DB" w:rsidRPr="00921CE9" w:rsidRDefault="005E26DB" w:rsidP="005E26DB">
      <w:pPr>
        <w:ind w:left="720" w:hanging="720"/>
        <w:rPr>
          <w:rFonts w:ascii="Arial" w:hAnsi="Arial" w:cs="Arial"/>
          <w:color w:val="000000" w:themeColor="text1"/>
          <w:sz w:val="22"/>
          <w:szCs w:val="22"/>
        </w:rPr>
      </w:pPr>
    </w:p>
    <w:p w14:paraId="5300232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Jeffrey, D. I. (2024). </w:t>
      </w:r>
      <w:r w:rsidRPr="00921CE9">
        <w:rPr>
          <w:rFonts w:ascii="Arial" w:hAnsi="Arial" w:cs="Arial"/>
          <w:i/>
          <w:iCs/>
          <w:color w:val="000000" w:themeColor="text1"/>
          <w:sz w:val="22"/>
          <w:szCs w:val="22"/>
        </w:rPr>
        <w:t>How Shakespeare inspires empathy in clinical care</w:t>
      </w:r>
      <w:r w:rsidRPr="00921CE9">
        <w:rPr>
          <w:rFonts w:ascii="Arial" w:hAnsi="Arial" w:cs="Arial"/>
          <w:color w:val="000000" w:themeColor="text1"/>
          <w:sz w:val="22"/>
          <w:szCs w:val="22"/>
        </w:rPr>
        <w:t>. Palgrave Macmillan.</w:t>
      </w:r>
    </w:p>
    <w:p w14:paraId="47512A2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Johanson, G. A., &amp; Brooks, G. P. (2009). Initial scale development: Sample size for pilot studies. </w:t>
      </w:r>
      <w:r w:rsidRPr="00921CE9">
        <w:rPr>
          <w:rFonts w:ascii="Arial" w:hAnsi="Arial" w:cs="Arial"/>
          <w:i/>
          <w:iCs/>
          <w:color w:val="000000" w:themeColor="text1"/>
          <w:sz w:val="22"/>
          <w:szCs w:val="22"/>
        </w:rPr>
        <w:t>Educational and Psychological Measurement, 70</w:t>
      </w:r>
      <w:r w:rsidRPr="00921CE9">
        <w:rPr>
          <w:rFonts w:ascii="Arial" w:hAnsi="Arial" w:cs="Arial"/>
          <w:color w:val="000000" w:themeColor="text1"/>
          <w:sz w:val="22"/>
          <w:szCs w:val="22"/>
        </w:rPr>
        <w:t xml:space="preserve">(3), 394–400. </w:t>
      </w:r>
      <w:hyperlink r:id="rId39" w:tgtFrame="_new" w:history="1">
        <w:r w:rsidRPr="00921CE9">
          <w:rPr>
            <w:rStyle w:val="Hyperlink"/>
            <w:rFonts w:ascii="Arial" w:hAnsi="Arial" w:cs="Arial"/>
            <w:color w:val="000000" w:themeColor="text1"/>
            <w:sz w:val="22"/>
            <w:szCs w:val="22"/>
            <w:u w:val="none"/>
          </w:rPr>
          <w:t>https://doi.org/10.1177/0013164409355692</w:t>
        </w:r>
      </w:hyperlink>
    </w:p>
    <w:p w14:paraId="0FCA8FE8" w14:textId="77777777" w:rsidR="005E26DB" w:rsidRPr="00921CE9" w:rsidRDefault="005E26DB" w:rsidP="005E26DB">
      <w:pPr>
        <w:ind w:left="720" w:hanging="720"/>
        <w:rPr>
          <w:rFonts w:ascii="Arial" w:hAnsi="Arial" w:cs="Arial"/>
          <w:color w:val="000000" w:themeColor="text1"/>
          <w:sz w:val="22"/>
          <w:szCs w:val="22"/>
        </w:rPr>
      </w:pPr>
    </w:p>
    <w:p w14:paraId="68FF6F2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Juniarta, N., Eka, N. G. A., &amp; Sitanggang, Y. F. (2023). Empathy in nursing students: A scoping review. </w:t>
      </w:r>
      <w:r w:rsidRPr="00921CE9">
        <w:rPr>
          <w:rFonts w:ascii="Arial" w:hAnsi="Arial" w:cs="Arial"/>
          <w:i/>
          <w:iCs/>
          <w:color w:val="000000" w:themeColor="text1"/>
          <w:sz w:val="22"/>
          <w:szCs w:val="22"/>
        </w:rPr>
        <w:t>Journal of Holistic Nursing, 42</w:t>
      </w:r>
      <w:r w:rsidRPr="00921CE9">
        <w:rPr>
          <w:rFonts w:ascii="Arial" w:hAnsi="Arial" w:cs="Arial"/>
          <w:color w:val="000000" w:themeColor="text1"/>
          <w:sz w:val="22"/>
          <w:szCs w:val="22"/>
        </w:rPr>
        <w:t xml:space="preserve">(2_suppl), S59–S86. </w:t>
      </w:r>
      <w:hyperlink r:id="rId40" w:tgtFrame="_new" w:history="1">
        <w:r w:rsidRPr="00921CE9">
          <w:rPr>
            <w:rStyle w:val="Hyperlink"/>
            <w:rFonts w:ascii="Arial" w:hAnsi="Arial" w:cs="Arial"/>
            <w:color w:val="000000" w:themeColor="text1"/>
            <w:sz w:val="22"/>
            <w:szCs w:val="22"/>
            <w:u w:val="none"/>
          </w:rPr>
          <w:t>https://doi.org/10.1177/08980101231163966</w:t>
        </w:r>
      </w:hyperlink>
    </w:p>
    <w:p w14:paraId="2A58FE85" w14:textId="77777777" w:rsidR="005E26DB" w:rsidRPr="00921CE9" w:rsidRDefault="005E26DB" w:rsidP="005E26DB">
      <w:pPr>
        <w:ind w:left="720" w:hanging="720"/>
        <w:rPr>
          <w:rFonts w:ascii="Arial" w:hAnsi="Arial" w:cs="Arial"/>
          <w:color w:val="000000" w:themeColor="text1"/>
          <w:sz w:val="22"/>
          <w:szCs w:val="22"/>
        </w:rPr>
      </w:pPr>
    </w:p>
    <w:p w14:paraId="332900BF"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Lertsakulbunlue, S., Kiatsrithanakorn, C., Kittisarapong, P., Thammasoon, K., Puengpreeda, S., Bhuriveth, V., Tangdumrongvong, V., Kantiwong, A., &amp; Mahagita, C. (2024). Declining empathy trends throughout medical curriculum and association factors of low empathy among medical students and residents: A single-center study. </w:t>
      </w:r>
      <w:r w:rsidRPr="00921CE9">
        <w:rPr>
          <w:rFonts w:ascii="Arial" w:hAnsi="Arial" w:cs="Arial"/>
          <w:i/>
          <w:iCs/>
          <w:color w:val="000000" w:themeColor="text1"/>
          <w:sz w:val="22"/>
          <w:szCs w:val="22"/>
        </w:rPr>
        <w:t>BMC Medical Education, 24</w:t>
      </w:r>
      <w:r w:rsidRPr="00921CE9">
        <w:rPr>
          <w:rFonts w:ascii="Arial" w:hAnsi="Arial" w:cs="Arial"/>
          <w:color w:val="000000" w:themeColor="text1"/>
          <w:sz w:val="22"/>
          <w:szCs w:val="22"/>
        </w:rPr>
        <w:t xml:space="preserve">(1), 951. </w:t>
      </w:r>
      <w:hyperlink r:id="rId41" w:tgtFrame="_new" w:history="1">
        <w:r w:rsidRPr="00921CE9">
          <w:rPr>
            <w:rStyle w:val="Hyperlink"/>
            <w:rFonts w:ascii="Arial" w:hAnsi="Arial" w:cs="Arial"/>
            <w:color w:val="000000" w:themeColor="text1"/>
            <w:sz w:val="22"/>
            <w:szCs w:val="22"/>
            <w:u w:val="none"/>
          </w:rPr>
          <w:t>https://doi.org/10.1186/s12909-024-05962-6</w:t>
        </w:r>
      </w:hyperlink>
    </w:p>
    <w:p w14:paraId="470E5D5A" w14:textId="77777777" w:rsidR="005E26DB" w:rsidRPr="00921CE9" w:rsidRDefault="005E26DB" w:rsidP="005E26DB">
      <w:pPr>
        <w:ind w:left="720" w:hanging="720"/>
        <w:rPr>
          <w:rFonts w:ascii="Arial" w:hAnsi="Arial" w:cs="Arial"/>
          <w:color w:val="000000" w:themeColor="text1"/>
          <w:sz w:val="22"/>
          <w:szCs w:val="22"/>
        </w:rPr>
      </w:pPr>
    </w:p>
    <w:p w14:paraId="0D2027DB"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Ludin, S. M., &amp; Arsyad, N. A. (2021). The clinical learning environment of intensive care units as perceived by International Islamic University Malaysia undergraduate nursing students. </w:t>
      </w:r>
      <w:r w:rsidRPr="00921CE9">
        <w:rPr>
          <w:rFonts w:ascii="Arial" w:hAnsi="Arial" w:cs="Arial"/>
          <w:i/>
          <w:iCs/>
          <w:color w:val="000000" w:themeColor="text1"/>
          <w:sz w:val="22"/>
          <w:szCs w:val="22"/>
        </w:rPr>
        <w:t>International Journal of Care Scholars, 4</w:t>
      </w:r>
      <w:r w:rsidRPr="00921CE9">
        <w:rPr>
          <w:rFonts w:ascii="Arial" w:hAnsi="Arial" w:cs="Arial"/>
          <w:color w:val="000000" w:themeColor="text1"/>
          <w:sz w:val="22"/>
          <w:szCs w:val="22"/>
        </w:rPr>
        <w:t xml:space="preserve">(1), 29–35. </w:t>
      </w:r>
      <w:hyperlink r:id="rId42" w:tgtFrame="_new" w:history="1">
        <w:r w:rsidRPr="00921CE9">
          <w:rPr>
            <w:rStyle w:val="Hyperlink"/>
            <w:rFonts w:ascii="Arial" w:hAnsi="Arial" w:cs="Arial"/>
            <w:color w:val="000000" w:themeColor="text1"/>
            <w:sz w:val="22"/>
            <w:szCs w:val="22"/>
            <w:u w:val="none"/>
          </w:rPr>
          <w:t>https://doi.org/10.31436/ijcs.v4i1.165</w:t>
        </w:r>
      </w:hyperlink>
    </w:p>
    <w:p w14:paraId="25A5AE17" w14:textId="77777777" w:rsidR="005E26DB" w:rsidRPr="00921CE9" w:rsidRDefault="005E26DB" w:rsidP="005E26DB">
      <w:pPr>
        <w:ind w:left="720" w:hanging="720"/>
        <w:rPr>
          <w:rFonts w:ascii="Arial" w:hAnsi="Arial" w:cs="Arial"/>
          <w:color w:val="000000" w:themeColor="text1"/>
          <w:sz w:val="22"/>
          <w:szCs w:val="22"/>
        </w:rPr>
      </w:pPr>
    </w:p>
    <w:p w14:paraId="60145E4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McCrum-Gardner, E. (2010). Sample size and power calculations made simple. </w:t>
      </w:r>
      <w:r w:rsidRPr="00921CE9">
        <w:rPr>
          <w:rFonts w:ascii="Arial" w:hAnsi="Arial" w:cs="Arial"/>
          <w:i/>
          <w:iCs/>
          <w:color w:val="000000" w:themeColor="text1"/>
          <w:sz w:val="22"/>
          <w:szCs w:val="22"/>
        </w:rPr>
        <w:t>International Journal of Therapy and Rehabilitation, 17</w:t>
      </w:r>
      <w:r w:rsidRPr="00921CE9">
        <w:rPr>
          <w:rFonts w:ascii="Arial" w:hAnsi="Arial" w:cs="Arial"/>
          <w:color w:val="000000" w:themeColor="text1"/>
          <w:sz w:val="22"/>
          <w:szCs w:val="22"/>
        </w:rPr>
        <w:t xml:space="preserve">(1), 10–14. </w:t>
      </w:r>
      <w:hyperlink r:id="rId43" w:tgtFrame="_new" w:history="1">
        <w:r w:rsidRPr="00921CE9">
          <w:rPr>
            <w:rStyle w:val="Hyperlink"/>
            <w:rFonts w:ascii="Arial" w:hAnsi="Arial" w:cs="Arial"/>
            <w:color w:val="000000" w:themeColor="text1"/>
            <w:sz w:val="22"/>
            <w:szCs w:val="22"/>
            <w:u w:val="none"/>
          </w:rPr>
          <w:t>https://doi.org/10.12968/ijtr.2010.17.1.45988</w:t>
        </w:r>
      </w:hyperlink>
    </w:p>
    <w:p w14:paraId="0872A7C9" w14:textId="77777777" w:rsidR="005E26DB" w:rsidRPr="00921CE9" w:rsidRDefault="005E26DB" w:rsidP="005E26DB">
      <w:pPr>
        <w:ind w:left="720" w:hanging="720"/>
        <w:rPr>
          <w:rFonts w:ascii="Arial" w:hAnsi="Arial" w:cs="Arial"/>
          <w:color w:val="000000" w:themeColor="text1"/>
          <w:sz w:val="22"/>
          <w:szCs w:val="22"/>
        </w:rPr>
      </w:pPr>
    </w:p>
    <w:p w14:paraId="319B8E81"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lastRenderedPageBreak/>
        <w:t xml:space="preserve">Menezes, P., Guraya, S. Y., &amp; Guraya, S. S. (2021). A systematic review of educational interventions and their impact on empathy and compassion among undergraduate medical students. </w:t>
      </w:r>
      <w:r w:rsidRPr="00921CE9">
        <w:rPr>
          <w:rFonts w:ascii="Arial" w:hAnsi="Arial" w:cs="Arial"/>
          <w:i/>
          <w:iCs/>
          <w:color w:val="000000" w:themeColor="text1"/>
          <w:sz w:val="22"/>
          <w:szCs w:val="22"/>
        </w:rPr>
        <w:t>Frontiers in Medicine, 8</w:t>
      </w:r>
      <w:r w:rsidRPr="00921CE9">
        <w:rPr>
          <w:rFonts w:ascii="Arial" w:hAnsi="Arial" w:cs="Arial"/>
          <w:color w:val="000000" w:themeColor="text1"/>
          <w:sz w:val="22"/>
          <w:szCs w:val="22"/>
        </w:rPr>
        <w:t xml:space="preserve">, 758377. </w:t>
      </w:r>
      <w:hyperlink r:id="rId44" w:tgtFrame="_new" w:history="1">
        <w:r w:rsidRPr="00921CE9">
          <w:rPr>
            <w:rStyle w:val="Hyperlink"/>
            <w:rFonts w:ascii="Arial" w:hAnsi="Arial" w:cs="Arial"/>
            <w:color w:val="000000" w:themeColor="text1"/>
            <w:sz w:val="22"/>
            <w:szCs w:val="22"/>
            <w:u w:val="none"/>
          </w:rPr>
          <w:t>https://doi.org/10.3389/fmed.2021.758377</w:t>
        </w:r>
      </w:hyperlink>
    </w:p>
    <w:p w14:paraId="37B6C574" w14:textId="77777777" w:rsidR="005E26DB" w:rsidRPr="00921CE9" w:rsidRDefault="005E26DB" w:rsidP="005E26DB">
      <w:pPr>
        <w:ind w:left="720" w:hanging="720"/>
        <w:rPr>
          <w:rFonts w:ascii="Arial" w:hAnsi="Arial" w:cs="Arial"/>
          <w:color w:val="000000" w:themeColor="text1"/>
          <w:sz w:val="22"/>
          <w:szCs w:val="22"/>
        </w:rPr>
      </w:pPr>
    </w:p>
    <w:p w14:paraId="79C1BDC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Middleton, F. (2022, August 8). Validity in research: Types, examples, and methods. </w:t>
      </w:r>
      <w:r w:rsidRPr="00921CE9">
        <w:rPr>
          <w:rFonts w:ascii="Arial" w:hAnsi="Arial" w:cs="Arial"/>
          <w:i/>
          <w:iCs/>
          <w:color w:val="000000" w:themeColor="text1"/>
          <w:sz w:val="22"/>
          <w:szCs w:val="22"/>
        </w:rPr>
        <w:t>Scribbr</w:t>
      </w:r>
      <w:r w:rsidRPr="00921CE9">
        <w:rPr>
          <w:rFonts w:ascii="Arial" w:hAnsi="Arial" w:cs="Arial"/>
          <w:color w:val="000000" w:themeColor="text1"/>
          <w:sz w:val="22"/>
          <w:szCs w:val="22"/>
        </w:rPr>
        <w:t xml:space="preserve">. </w:t>
      </w:r>
      <w:hyperlink r:id="rId45" w:tgtFrame="_new" w:history="1">
        <w:r w:rsidRPr="00921CE9">
          <w:rPr>
            <w:rStyle w:val="Hyperlink"/>
            <w:rFonts w:ascii="Arial" w:hAnsi="Arial" w:cs="Arial"/>
            <w:color w:val="000000" w:themeColor="text1"/>
            <w:sz w:val="22"/>
            <w:szCs w:val="22"/>
            <w:u w:val="none"/>
          </w:rPr>
          <w:t>https://www.scribbr.com/methodology/validity/</w:t>
        </w:r>
      </w:hyperlink>
    </w:p>
    <w:p w14:paraId="189A051C" w14:textId="77777777" w:rsidR="005E26DB" w:rsidRPr="00921CE9" w:rsidRDefault="005E26DB" w:rsidP="005E26DB">
      <w:pPr>
        <w:ind w:left="720" w:hanging="720"/>
        <w:rPr>
          <w:rFonts w:ascii="Arial" w:hAnsi="Arial" w:cs="Arial"/>
          <w:color w:val="000000" w:themeColor="text1"/>
          <w:sz w:val="22"/>
          <w:szCs w:val="22"/>
        </w:rPr>
      </w:pPr>
    </w:p>
    <w:p w14:paraId="67C2D537"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Mirzanezam, A. K., Ghahramanian, A., Ghafourifard, M., Davoodi, A., Bagheriyeh, F., &amp; Hajieskandar, A. (2024). Nursing students’ perception of the clinical learning environment and its impact on academic adjustment: A cross-sectional descriptive study. </w:t>
      </w:r>
      <w:r w:rsidRPr="00921CE9">
        <w:rPr>
          <w:rFonts w:ascii="Arial" w:hAnsi="Arial" w:cs="Arial"/>
          <w:i/>
          <w:iCs/>
          <w:color w:val="000000" w:themeColor="text1"/>
          <w:sz w:val="22"/>
          <w:szCs w:val="22"/>
        </w:rPr>
        <w:t>BMC Medical Education, 24</w:t>
      </w:r>
      <w:r w:rsidRPr="00921CE9">
        <w:rPr>
          <w:rFonts w:ascii="Arial" w:hAnsi="Arial" w:cs="Arial"/>
          <w:color w:val="000000" w:themeColor="text1"/>
          <w:sz w:val="22"/>
          <w:szCs w:val="22"/>
        </w:rPr>
        <w:t xml:space="preserve">(1), 1543. </w:t>
      </w:r>
      <w:hyperlink r:id="rId46" w:tgtFrame="_new" w:history="1">
        <w:r w:rsidRPr="00921CE9">
          <w:rPr>
            <w:rStyle w:val="Hyperlink"/>
            <w:rFonts w:ascii="Arial" w:hAnsi="Arial" w:cs="Arial"/>
            <w:color w:val="000000" w:themeColor="text1"/>
            <w:sz w:val="22"/>
            <w:szCs w:val="22"/>
            <w:u w:val="none"/>
          </w:rPr>
          <w:t>https://doi.org/10.1186/s12909-024-06562-0</w:t>
        </w:r>
      </w:hyperlink>
    </w:p>
    <w:p w14:paraId="387A9B36" w14:textId="77777777" w:rsidR="005E26DB" w:rsidRPr="00921CE9" w:rsidRDefault="005E26DB" w:rsidP="005E26DB">
      <w:pPr>
        <w:ind w:left="720" w:hanging="720"/>
        <w:rPr>
          <w:rFonts w:ascii="Arial" w:hAnsi="Arial" w:cs="Arial"/>
          <w:color w:val="000000" w:themeColor="text1"/>
          <w:sz w:val="22"/>
          <w:szCs w:val="22"/>
        </w:rPr>
      </w:pPr>
    </w:p>
    <w:p w14:paraId="52A14699"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Nasirudeen, A. M. A., Song, X., Sng, B., &amp; Pan, D. (2024). Nursing students’ perception of the clinical learning environment. </w:t>
      </w:r>
      <w:r w:rsidRPr="00921CE9">
        <w:rPr>
          <w:rFonts w:ascii="Arial" w:hAnsi="Arial" w:cs="Arial"/>
          <w:i/>
          <w:iCs/>
          <w:color w:val="000000" w:themeColor="text1"/>
          <w:sz w:val="22"/>
          <w:szCs w:val="22"/>
        </w:rPr>
        <w:t>Nurse Educator, 50</w:t>
      </w:r>
      <w:r w:rsidRPr="00921CE9">
        <w:rPr>
          <w:rFonts w:ascii="Arial" w:hAnsi="Arial" w:cs="Arial"/>
          <w:color w:val="000000" w:themeColor="text1"/>
          <w:sz w:val="22"/>
          <w:szCs w:val="22"/>
        </w:rPr>
        <w:t xml:space="preserve">(2), E85–E89. </w:t>
      </w:r>
      <w:hyperlink r:id="rId47" w:tgtFrame="_new" w:history="1">
        <w:r w:rsidRPr="00921CE9">
          <w:rPr>
            <w:rStyle w:val="Hyperlink"/>
            <w:rFonts w:ascii="Arial" w:hAnsi="Arial" w:cs="Arial"/>
            <w:color w:val="000000" w:themeColor="text1"/>
            <w:sz w:val="22"/>
            <w:szCs w:val="22"/>
            <w:u w:val="none"/>
          </w:rPr>
          <w:t>https://doi.org/10.1097/nne.0000000000001740</w:t>
        </w:r>
      </w:hyperlink>
    </w:p>
    <w:p w14:paraId="101E4F93" w14:textId="77777777" w:rsidR="005E26DB" w:rsidRPr="00921CE9" w:rsidRDefault="005E26DB" w:rsidP="005E26DB">
      <w:pPr>
        <w:ind w:left="720" w:hanging="720"/>
        <w:rPr>
          <w:rFonts w:ascii="Arial" w:hAnsi="Arial" w:cs="Arial"/>
          <w:color w:val="000000" w:themeColor="text1"/>
          <w:sz w:val="22"/>
          <w:szCs w:val="22"/>
        </w:rPr>
      </w:pPr>
    </w:p>
    <w:p w14:paraId="75DF74C5"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Nembhard, I. M., David, G., Ezzeddine, I., Betts, D., &amp; Radin, J. (2022). A systematic review of research on empathy in health care. </w:t>
      </w:r>
      <w:r w:rsidRPr="00921CE9">
        <w:rPr>
          <w:rFonts w:ascii="Arial" w:hAnsi="Arial" w:cs="Arial"/>
          <w:i/>
          <w:iCs/>
          <w:color w:val="000000" w:themeColor="text1"/>
          <w:sz w:val="22"/>
          <w:szCs w:val="22"/>
        </w:rPr>
        <w:t>Health Services Research, 58</w:t>
      </w:r>
      <w:r w:rsidRPr="00921CE9">
        <w:rPr>
          <w:rFonts w:ascii="Arial" w:hAnsi="Arial" w:cs="Arial"/>
          <w:color w:val="000000" w:themeColor="text1"/>
          <w:sz w:val="22"/>
          <w:szCs w:val="22"/>
        </w:rPr>
        <w:t xml:space="preserve">(2), 250–263. </w:t>
      </w:r>
      <w:hyperlink r:id="rId48" w:tgtFrame="_new" w:history="1">
        <w:r w:rsidRPr="00921CE9">
          <w:rPr>
            <w:rStyle w:val="Hyperlink"/>
            <w:rFonts w:ascii="Arial" w:hAnsi="Arial" w:cs="Arial"/>
            <w:color w:val="000000" w:themeColor="text1"/>
            <w:sz w:val="22"/>
            <w:szCs w:val="22"/>
            <w:u w:val="none"/>
          </w:rPr>
          <w:t>https://doi.org/10.1111/1475-6773.14016</w:t>
        </w:r>
      </w:hyperlink>
    </w:p>
    <w:p w14:paraId="188F968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Nordquist, J., Silva, S., Caverzagie, K., &amp; Hall, J. (2025). Clinical learning environments: Updates. </w:t>
      </w:r>
      <w:r w:rsidRPr="00921CE9">
        <w:rPr>
          <w:rFonts w:ascii="Arial" w:hAnsi="Arial" w:cs="Arial"/>
          <w:i/>
          <w:iCs/>
          <w:color w:val="000000" w:themeColor="text1"/>
          <w:sz w:val="22"/>
          <w:szCs w:val="22"/>
        </w:rPr>
        <w:t>Medical Teacher</w:t>
      </w:r>
      <w:r w:rsidRPr="00921CE9">
        <w:rPr>
          <w:rFonts w:ascii="Arial" w:hAnsi="Arial" w:cs="Arial"/>
          <w:color w:val="000000" w:themeColor="text1"/>
          <w:sz w:val="22"/>
          <w:szCs w:val="22"/>
        </w:rPr>
        <w:t xml:space="preserve">. </w:t>
      </w:r>
      <w:hyperlink r:id="rId49" w:tgtFrame="_new" w:history="1">
        <w:r w:rsidRPr="00921CE9">
          <w:rPr>
            <w:rStyle w:val="Hyperlink"/>
            <w:rFonts w:ascii="Arial" w:hAnsi="Arial" w:cs="Arial"/>
            <w:color w:val="000000" w:themeColor="text1"/>
            <w:sz w:val="22"/>
            <w:szCs w:val="22"/>
            <w:u w:val="none"/>
          </w:rPr>
          <w:t>https://pubmed.ncbi.nlm.nih.gov/39901697/</w:t>
        </w:r>
      </w:hyperlink>
    </w:p>
    <w:p w14:paraId="578DFDA0" w14:textId="77777777" w:rsidR="005E26DB" w:rsidRPr="00921CE9" w:rsidRDefault="005E26DB" w:rsidP="005E26DB">
      <w:pPr>
        <w:ind w:left="720" w:hanging="720"/>
        <w:rPr>
          <w:rFonts w:ascii="Arial" w:hAnsi="Arial" w:cs="Arial"/>
          <w:color w:val="000000" w:themeColor="text1"/>
          <w:sz w:val="22"/>
          <w:szCs w:val="22"/>
        </w:rPr>
      </w:pPr>
    </w:p>
    <w:p w14:paraId="7D47BB63"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Philippine Council for Health Research and Development. (2023, May 22). </w:t>
      </w:r>
      <w:r w:rsidRPr="00921CE9">
        <w:rPr>
          <w:rFonts w:ascii="Arial" w:hAnsi="Arial" w:cs="Arial"/>
          <w:i/>
          <w:iCs/>
          <w:color w:val="000000" w:themeColor="text1"/>
          <w:sz w:val="22"/>
          <w:szCs w:val="22"/>
        </w:rPr>
        <w:t>2022 national ethical guidelines</w:t>
      </w:r>
      <w:r w:rsidRPr="00921CE9">
        <w:rPr>
          <w:rFonts w:ascii="Arial" w:hAnsi="Arial" w:cs="Arial"/>
          <w:color w:val="000000" w:themeColor="text1"/>
          <w:sz w:val="22"/>
          <w:szCs w:val="22"/>
        </w:rPr>
        <w:t xml:space="preserve">. </w:t>
      </w:r>
      <w:hyperlink r:id="rId50" w:tgtFrame="_new" w:history="1">
        <w:r w:rsidRPr="00921CE9">
          <w:rPr>
            <w:rStyle w:val="Hyperlink"/>
            <w:rFonts w:ascii="Arial" w:hAnsi="Arial" w:cs="Arial"/>
            <w:color w:val="000000" w:themeColor="text1"/>
            <w:sz w:val="22"/>
            <w:szCs w:val="22"/>
            <w:u w:val="none"/>
          </w:rPr>
          <w:t>https://www.pchrd.dost.gov.ph/publications/2022-national-ethical-guidelines/</w:t>
        </w:r>
      </w:hyperlink>
    </w:p>
    <w:p w14:paraId="43ECC41E" w14:textId="77777777" w:rsidR="005E26DB" w:rsidRPr="00921CE9" w:rsidRDefault="005E26DB" w:rsidP="005E26DB">
      <w:pPr>
        <w:ind w:left="720" w:hanging="720"/>
        <w:rPr>
          <w:rFonts w:ascii="Arial" w:hAnsi="Arial" w:cs="Arial"/>
          <w:color w:val="000000" w:themeColor="text1"/>
          <w:sz w:val="22"/>
          <w:szCs w:val="22"/>
        </w:rPr>
      </w:pPr>
    </w:p>
    <w:p w14:paraId="6D2C962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Polit, D. F., &amp; Beck, C. T. (2021). </w:t>
      </w:r>
      <w:r w:rsidRPr="00921CE9">
        <w:rPr>
          <w:rFonts w:ascii="Arial" w:hAnsi="Arial" w:cs="Arial"/>
          <w:i/>
          <w:iCs/>
          <w:color w:val="000000" w:themeColor="text1"/>
          <w:sz w:val="22"/>
          <w:szCs w:val="22"/>
        </w:rPr>
        <w:t>Nursing research: Generating and assessing evidence for nursing practice</w:t>
      </w:r>
      <w:r w:rsidRPr="00921CE9">
        <w:rPr>
          <w:rFonts w:ascii="Arial" w:hAnsi="Arial" w:cs="Arial"/>
          <w:color w:val="000000" w:themeColor="text1"/>
          <w:sz w:val="22"/>
          <w:szCs w:val="22"/>
        </w:rPr>
        <w:t xml:space="preserve"> (11th ed.). Lippincott Williams &amp; Wilkins.</w:t>
      </w:r>
    </w:p>
    <w:p w14:paraId="628A3009" w14:textId="77777777" w:rsidR="005E26DB" w:rsidRPr="00921CE9" w:rsidRDefault="005E26DB" w:rsidP="005E26DB">
      <w:pPr>
        <w:ind w:left="720" w:hanging="720"/>
        <w:rPr>
          <w:rFonts w:ascii="Arial" w:hAnsi="Arial" w:cs="Arial"/>
          <w:color w:val="000000" w:themeColor="text1"/>
          <w:sz w:val="22"/>
          <w:szCs w:val="22"/>
        </w:rPr>
      </w:pPr>
    </w:p>
    <w:p w14:paraId="6A61B47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Post-pandemic implications of the nursing students’ clinical learning environment and its relationship to academic grit, self-esteem, and caring behaviors: A cross-sectional study. (2025). </w:t>
      </w:r>
      <w:r w:rsidRPr="00921CE9">
        <w:rPr>
          <w:rFonts w:ascii="Arial" w:hAnsi="Arial" w:cs="Arial"/>
          <w:i/>
          <w:iCs/>
          <w:color w:val="000000" w:themeColor="text1"/>
          <w:sz w:val="22"/>
          <w:szCs w:val="22"/>
        </w:rPr>
        <w:t>Acta Medica Philippina</w:t>
      </w:r>
      <w:r w:rsidRPr="00921CE9">
        <w:rPr>
          <w:rFonts w:ascii="Arial" w:hAnsi="Arial" w:cs="Arial"/>
          <w:color w:val="000000" w:themeColor="text1"/>
          <w:sz w:val="22"/>
          <w:szCs w:val="22"/>
        </w:rPr>
        <w:t xml:space="preserve">. </w:t>
      </w:r>
      <w:hyperlink r:id="rId51" w:tgtFrame="_new" w:history="1">
        <w:r w:rsidRPr="00921CE9">
          <w:rPr>
            <w:rStyle w:val="Hyperlink"/>
            <w:rFonts w:ascii="Arial" w:hAnsi="Arial" w:cs="Arial"/>
            <w:color w:val="000000" w:themeColor="text1"/>
            <w:sz w:val="22"/>
            <w:szCs w:val="22"/>
            <w:u w:val="none"/>
          </w:rPr>
          <w:t>https://doi.org/10.47895/amp.vi0.12031</w:t>
        </w:r>
      </w:hyperlink>
    </w:p>
    <w:p w14:paraId="41561CD7" w14:textId="77777777" w:rsidR="005E26DB" w:rsidRPr="00921CE9" w:rsidRDefault="005E26DB" w:rsidP="005E26DB">
      <w:pPr>
        <w:ind w:left="720" w:hanging="720"/>
        <w:rPr>
          <w:rFonts w:ascii="Arial" w:hAnsi="Arial" w:cs="Arial"/>
          <w:color w:val="000000" w:themeColor="text1"/>
          <w:sz w:val="22"/>
          <w:szCs w:val="22"/>
        </w:rPr>
      </w:pPr>
    </w:p>
    <w:p w14:paraId="1F9D407F"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Razali, N. M., &amp; Wah, Y. B. (2011). Power comparisons of Shapiro-Wilk, Kolmogorov-Smirnov, Lilliefors, and Anderson-Darling tests. </w:t>
      </w:r>
      <w:r w:rsidRPr="00921CE9">
        <w:rPr>
          <w:rFonts w:ascii="Arial" w:hAnsi="Arial" w:cs="Arial"/>
          <w:i/>
          <w:iCs/>
          <w:color w:val="000000" w:themeColor="text1"/>
          <w:sz w:val="22"/>
          <w:szCs w:val="22"/>
        </w:rPr>
        <w:t>Journal of Statistical Modeling and Analytics, 2</w:t>
      </w:r>
      <w:r w:rsidRPr="00921CE9">
        <w:rPr>
          <w:rFonts w:ascii="Arial" w:hAnsi="Arial" w:cs="Arial"/>
          <w:color w:val="000000" w:themeColor="text1"/>
          <w:sz w:val="22"/>
          <w:szCs w:val="22"/>
        </w:rPr>
        <w:t>, 21–33.</w:t>
      </w:r>
    </w:p>
    <w:p w14:paraId="6EBFFA30" w14:textId="77777777" w:rsidR="005E26DB" w:rsidRPr="00921CE9" w:rsidRDefault="005E26DB" w:rsidP="005E26DB">
      <w:pPr>
        <w:ind w:left="720" w:hanging="720"/>
        <w:rPr>
          <w:rFonts w:ascii="Arial" w:hAnsi="Arial" w:cs="Arial"/>
          <w:color w:val="000000" w:themeColor="text1"/>
          <w:sz w:val="22"/>
          <w:szCs w:val="22"/>
        </w:rPr>
      </w:pPr>
    </w:p>
    <w:p w14:paraId="55EDEA2A"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Stephany, K. (2021). </w:t>
      </w:r>
      <w:r w:rsidRPr="00921CE9">
        <w:rPr>
          <w:rFonts w:ascii="Arial" w:hAnsi="Arial" w:cs="Arial"/>
          <w:i/>
          <w:iCs/>
          <w:color w:val="000000" w:themeColor="text1"/>
          <w:sz w:val="22"/>
          <w:szCs w:val="22"/>
        </w:rPr>
        <w:t>Cultivating empathy: Inspiring health professionals to communicate more effectively</w:t>
      </w:r>
      <w:r w:rsidRPr="00921CE9">
        <w:rPr>
          <w:rFonts w:ascii="Arial" w:hAnsi="Arial" w:cs="Arial"/>
          <w:color w:val="000000" w:themeColor="text1"/>
          <w:sz w:val="22"/>
          <w:szCs w:val="22"/>
        </w:rPr>
        <w:t xml:space="preserve"> (Rev. ed.). Bentham Science Publishers.</w:t>
      </w:r>
    </w:p>
    <w:p w14:paraId="233D284C" w14:textId="77777777" w:rsidR="005E26DB" w:rsidRPr="00921CE9" w:rsidRDefault="005E26DB" w:rsidP="005E26DB">
      <w:pPr>
        <w:ind w:left="720" w:hanging="720"/>
        <w:rPr>
          <w:rFonts w:ascii="Arial" w:hAnsi="Arial" w:cs="Arial"/>
          <w:color w:val="000000" w:themeColor="text1"/>
          <w:sz w:val="22"/>
          <w:szCs w:val="22"/>
        </w:rPr>
      </w:pPr>
    </w:p>
    <w:p w14:paraId="7C3FB9AE"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Taherdoost, H. (2016). Sampling methods in research methodology: How to choose a sampling technique for research. </w:t>
      </w:r>
      <w:r w:rsidRPr="00921CE9">
        <w:rPr>
          <w:rFonts w:ascii="Arial" w:hAnsi="Arial" w:cs="Arial"/>
          <w:i/>
          <w:iCs/>
          <w:color w:val="000000" w:themeColor="text1"/>
          <w:sz w:val="22"/>
          <w:szCs w:val="22"/>
        </w:rPr>
        <w:t>SSRN Electronic Journal</w:t>
      </w:r>
      <w:r w:rsidRPr="00921CE9">
        <w:rPr>
          <w:rFonts w:ascii="Arial" w:hAnsi="Arial" w:cs="Arial"/>
          <w:color w:val="000000" w:themeColor="text1"/>
          <w:sz w:val="22"/>
          <w:szCs w:val="22"/>
        </w:rPr>
        <w:t xml:space="preserve">. </w:t>
      </w:r>
      <w:hyperlink r:id="rId52" w:tgtFrame="_new" w:history="1">
        <w:r w:rsidRPr="00921CE9">
          <w:rPr>
            <w:rStyle w:val="Hyperlink"/>
            <w:rFonts w:ascii="Arial" w:hAnsi="Arial" w:cs="Arial"/>
            <w:color w:val="000000" w:themeColor="text1"/>
            <w:sz w:val="22"/>
            <w:szCs w:val="22"/>
            <w:u w:val="none"/>
          </w:rPr>
          <w:t>https://doi.org/10.2139/ssrn.3205035</w:t>
        </w:r>
      </w:hyperlink>
    </w:p>
    <w:p w14:paraId="33C352C1" w14:textId="77777777" w:rsidR="005E26DB" w:rsidRPr="00921CE9" w:rsidRDefault="005E26DB" w:rsidP="005E26DB">
      <w:pPr>
        <w:ind w:left="720" w:hanging="720"/>
        <w:rPr>
          <w:rFonts w:ascii="Arial" w:hAnsi="Arial" w:cs="Arial"/>
          <w:color w:val="000000" w:themeColor="text1"/>
          <w:sz w:val="22"/>
          <w:szCs w:val="22"/>
        </w:rPr>
      </w:pPr>
    </w:p>
    <w:p w14:paraId="674A8A68"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Tavakol, M., &amp; Dennick, R. (2011). Making sense of Cronbach’s alpha. </w:t>
      </w:r>
      <w:r w:rsidRPr="00921CE9">
        <w:rPr>
          <w:rFonts w:ascii="Arial" w:hAnsi="Arial" w:cs="Arial"/>
          <w:i/>
          <w:iCs/>
          <w:color w:val="000000" w:themeColor="text1"/>
          <w:sz w:val="22"/>
          <w:szCs w:val="22"/>
        </w:rPr>
        <w:t>International Journal of Medical Education, 2</w:t>
      </w:r>
      <w:r w:rsidRPr="00921CE9">
        <w:rPr>
          <w:rFonts w:ascii="Arial" w:hAnsi="Arial" w:cs="Arial"/>
          <w:color w:val="000000" w:themeColor="text1"/>
          <w:sz w:val="22"/>
          <w:szCs w:val="22"/>
        </w:rPr>
        <w:t xml:space="preserve">, 53–55. </w:t>
      </w:r>
      <w:hyperlink r:id="rId53" w:tgtFrame="_new" w:history="1">
        <w:r w:rsidRPr="00921CE9">
          <w:rPr>
            <w:rStyle w:val="Hyperlink"/>
            <w:rFonts w:ascii="Arial" w:hAnsi="Arial" w:cs="Arial"/>
            <w:color w:val="000000" w:themeColor="text1"/>
            <w:sz w:val="22"/>
            <w:szCs w:val="22"/>
            <w:u w:val="none"/>
          </w:rPr>
          <w:t>https://doi.org/10.5116/ijme.4dfb.8dfd</w:t>
        </w:r>
      </w:hyperlink>
    </w:p>
    <w:p w14:paraId="31AC9EE2" w14:textId="77777777" w:rsidR="005E26DB" w:rsidRPr="00921CE9" w:rsidRDefault="005E26DB" w:rsidP="005E26DB">
      <w:pPr>
        <w:ind w:left="720" w:hanging="720"/>
        <w:rPr>
          <w:rFonts w:ascii="Arial" w:hAnsi="Arial" w:cs="Arial"/>
          <w:color w:val="000000" w:themeColor="text1"/>
          <w:sz w:val="22"/>
          <w:szCs w:val="22"/>
        </w:rPr>
      </w:pPr>
    </w:p>
    <w:p w14:paraId="46581B8B"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lastRenderedPageBreak/>
        <w:t xml:space="preserve">Team, W. (2024, December 18). Stratified sampling. </w:t>
      </w:r>
      <w:r w:rsidRPr="00921CE9">
        <w:rPr>
          <w:rFonts w:ascii="Arial" w:hAnsi="Arial" w:cs="Arial"/>
          <w:i/>
          <w:iCs/>
          <w:color w:val="000000" w:themeColor="text1"/>
          <w:sz w:val="22"/>
          <w:szCs w:val="22"/>
        </w:rPr>
        <w:t>WallStreetMojo</w:t>
      </w:r>
      <w:r w:rsidRPr="00921CE9">
        <w:rPr>
          <w:rFonts w:ascii="Arial" w:hAnsi="Arial" w:cs="Arial"/>
          <w:color w:val="000000" w:themeColor="text1"/>
          <w:sz w:val="22"/>
          <w:szCs w:val="22"/>
        </w:rPr>
        <w:t xml:space="preserve">. </w:t>
      </w:r>
      <w:hyperlink r:id="rId54" w:tgtFrame="_new" w:history="1">
        <w:r w:rsidRPr="00921CE9">
          <w:rPr>
            <w:rStyle w:val="Hyperlink"/>
            <w:rFonts w:ascii="Arial" w:hAnsi="Arial" w:cs="Arial"/>
            <w:color w:val="000000" w:themeColor="text1"/>
            <w:sz w:val="22"/>
            <w:szCs w:val="22"/>
            <w:u w:val="none"/>
          </w:rPr>
          <w:t>https://www.wallstreetmojo.com/stratified-sampling/</w:t>
        </w:r>
      </w:hyperlink>
    </w:p>
    <w:p w14:paraId="3D257C5D" w14:textId="77777777" w:rsidR="005E26DB" w:rsidRPr="00921CE9" w:rsidRDefault="005E26DB" w:rsidP="005E26DB">
      <w:pPr>
        <w:ind w:left="720" w:hanging="720"/>
        <w:rPr>
          <w:rFonts w:ascii="Arial" w:hAnsi="Arial" w:cs="Arial"/>
          <w:color w:val="000000" w:themeColor="text1"/>
          <w:sz w:val="22"/>
          <w:szCs w:val="22"/>
        </w:rPr>
      </w:pPr>
    </w:p>
    <w:p w14:paraId="6220BF98"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Unis, B., Johansson, I., &amp; Sällström, C. (2015). Rural high school students’ sexual behavior and self-esteem. </w:t>
      </w:r>
      <w:r w:rsidRPr="00921CE9">
        <w:rPr>
          <w:rFonts w:ascii="Arial" w:hAnsi="Arial" w:cs="Arial"/>
          <w:i/>
          <w:iCs/>
          <w:color w:val="000000" w:themeColor="text1"/>
          <w:sz w:val="22"/>
          <w:szCs w:val="22"/>
        </w:rPr>
        <w:t>Open Journal of Nursing, 5</w:t>
      </w:r>
      <w:r w:rsidRPr="00921CE9">
        <w:rPr>
          <w:rFonts w:ascii="Arial" w:hAnsi="Arial" w:cs="Arial"/>
          <w:color w:val="000000" w:themeColor="text1"/>
          <w:sz w:val="22"/>
          <w:szCs w:val="22"/>
        </w:rPr>
        <w:t xml:space="preserve">(1), 24–35. </w:t>
      </w:r>
      <w:hyperlink r:id="rId55" w:tgtFrame="_new" w:history="1">
        <w:r w:rsidRPr="00921CE9">
          <w:rPr>
            <w:rStyle w:val="Hyperlink"/>
            <w:rFonts w:ascii="Arial" w:hAnsi="Arial" w:cs="Arial"/>
            <w:color w:val="000000" w:themeColor="text1"/>
            <w:sz w:val="22"/>
            <w:szCs w:val="22"/>
            <w:u w:val="none"/>
          </w:rPr>
          <w:t>https://doi.org/10.4236/ojn.2015.51004</w:t>
        </w:r>
      </w:hyperlink>
    </w:p>
    <w:p w14:paraId="1D6312D2" w14:textId="77777777" w:rsidR="005E26DB" w:rsidRPr="00921CE9" w:rsidRDefault="005E26DB" w:rsidP="005E26DB">
      <w:pPr>
        <w:ind w:left="720" w:hanging="720"/>
        <w:rPr>
          <w:rFonts w:ascii="Arial" w:hAnsi="Arial" w:cs="Arial"/>
          <w:color w:val="000000" w:themeColor="text1"/>
          <w:sz w:val="22"/>
          <w:szCs w:val="22"/>
        </w:rPr>
      </w:pPr>
    </w:p>
    <w:p w14:paraId="7CD5CBA4"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Williams, B., &amp; Beovich, B. (2019). A systematic review of psychometric assessment of the Jefferson Scale of Empathy using the COSMIN risk of bias checklist. </w:t>
      </w:r>
      <w:r w:rsidRPr="00921CE9">
        <w:rPr>
          <w:rFonts w:ascii="Arial" w:hAnsi="Arial" w:cs="Arial"/>
          <w:i/>
          <w:iCs/>
          <w:color w:val="000000" w:themeColor="text1"/>
          <w:sz w:val="22"/>
          <w:szCs w:val="22"/>
        </w:rPr>
        <w:t>Journal of Evaluation in Clinical Practice, 26</w:t>
      </w:r>
      <w:r w:rsidRPr="00921CE9">
        <w:rPr>
          <w:rFonts w:ascii="Arial" w:hAnsi="Arial" w:cs="Arial"/>
          <w:color w:val="000000" w:themeColor="text1"/>
          <w:sz w:val="22"/>
          <w:szCs w:val="22"/>
        </w:rPr>
        <w:t xml:space="preserve">(4), 1302–1315. </w:t>
      </w:r>
      <w:hyperlink r:id="rId56" w:tgtFrame="_new" w:history="1">
        <w:r w:rsidRPr="00921CE9">
          <w:rPr>
            <w:rStyle w:val="Hyperlink"/>
            <w:rFonts w:ascii="Arial" w:hAnsi="Arial" w:cs="Arial"/>
            <w:color w:val="000000" w:themeColor="text1"/>
            <w:sz w:val="22"/>
            <w:szCs w:val="22"/>
            <w:u w:val="none"/>
          </w:rPr>
          <w:t>https://doi.org/10.1111/jep.13293</w:t>
        </w:r>
      </w:hyperlink>
    </w:p>
    <w:p w14:paraId="30F24C1D" w14:textId="77777777" w:rsidR="005E26DB" w:rsidRPr="00921CE9" w:rsidRDefault="005E26DB" w:rsidP="005E26DB">
      <w:pPr>
        <w:ind w:left="720" w:hanging="720"/>
        <w:rPr>
          <w:rFonts w:ascii="Arial" w:hAnsi="Arial" w:cs="Arial"/>
          <w:color w:val="000000" w:themeColor="text1"/>
          <w:sz w:val="22"/>
          <w:szCs w:val="22"/>
        </w:rPr>
      </w:pPr>
    </w:p>
    <w:p w14:paraId="5A5EBFF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Winter, R., Leanage, N., Roberts, N., Norman, R. I., &amp; Howick, J. (2022). Experiences of empathy training in healthcare: A systematic review of qualitative studies. </w:t>
      </w:r>
      <w:r w:rsidRPr="00921CE9">
        <w:rPr>
          <w:rFonts w:ascii="Arial" w:hAnsi="Arial" w:cs="Arial"/>
          <w:i/>
          <w:iCs/>
          <w:color w:val="000000" w:themeColor="text1"/>
          <w:sz w:val="22"/>
          <w:szCs w:val="22"/>
        </w:rPr>
        <w:t>Patient Education and Counseling, 105</w:t>
      </w:r>
      <w:r w:rsidRPr="00921CE9">
        <w:rPr>
          <w:rFonts w:ascii="Arial" w:hAnsi="Arial" w:cs="Arial"/>
          <w:color w:val="000000" w:themeColor="text1"/>
          <w:sz w:val="22"/>
          <w:szCs w:val="22"/>
        </w:rPr>
        <w:t xml:space="preserve">(10), 3017–3037. </w:t>
      </w:r>
      <w:hyperlink r:id="rId57" w:tgtFrame="_new" w:history="1">
        <w:r w:rsidRPr="00921CE9">
          <w:rPr>
            <w:rStyle w:val="Hyperlink"/>
            <w:rFonts w:ascii="Arial" w:hAnsi="Arial" w:cs="Arial"/>
            <w:color w:val="000000" w:themeColor="text1"/>
            <w:sz w:val="22"/>
            <w:szCs w:val="22"/>
            <w:u w:val="none"/>
          </w:rPr>
          <w:t>https://doi.org/10.1016/j.pec.2022.06.015</w:t>
        </w:r>
      </w:hyperlink>
    </w:p>
    <w:p w14:paraId="7FF82360" w14:textId="77777777" w:rsidR="005E26DB" w:rsidRPr="00921CE9" w:rsidRDefault="005E26DB" w:rsidP="005E26DB">
      <w:pPr>
        <w:ind w:left="720" w:hanging="720"/>
        <w:rPr>
          <w:rFonts w:ascii="Arial" w:hAnsi="Arial" w:cs="Arial"/>
          <w:color w:val="000000" w:themeColor="text1"/>
          <w:sz w:val="22"/>
          <w:szCs w:val="22"/>
        </w:rPr>
      </w:pPr>
    </w:p>
    <w:p w14:paraId="6D720B3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World Health Organization. (n.d.). </w:t>
      </w:r>
      <w:r w:rsidRPr="00921CE9">
        <w:rPr>
          <w:rFonts w:ascii="Arial" w:hAnsi="Arial" w:cs="Arial"/>
          <w:i/>
          <w:iCs/>
          <w:color w:val="000000" w:themeColor="text1"/>
          <w:sz w:val="22"/>
          <w:szCs w:val="22"/>
        </w:rPr>
        <w:t>Global standards for the initial education of professional nurses and midwives</w:t>
      </w:r>
      <w:r w:rsidRPr="00921CE9">
        <w:rPr>
          <w:rFonts w:ascii="Arial" w:hAnsi="Arial" w:cs="Arial"/>
          <w:color w:val="000000" w:themeColor="text1"/>
          <w:sz w:val="22"/>
          <w:szCs w:val="22"/>
        </w:rPr>
        <w:t xml:space="preserve">. </w:t>
      </w:r>
      <w:hyperlink r:id="rId58" w:tgtFrame="_new" w:history="1">
        <w:r w:rsidRPr="00921CE9">
          <w:rPr>
            <w:rStyle w:val="Hyperlink"/>
            <w:rFonts w:ascii="Arial" w:hAnsi="Arial" w:cs="Arial"/>
            <w:color w:val="000000" w:themeColor="text1"/>
            <w:sz w:val="22"/>
            <w:szCs w:val="22"/>
            <w:u w:val="none"/>
          </w:rPr>
          <w:t>https://iris.who.int/handle/10665/44100</w:t>
        </w:r>
      </w:hyperlink>
    </w:p>
    <w:p w14:paraId="4B261C9E" w14:textId="77777777" w:rsidR="005E26DB" w:rsidRPr="00921CE9" w:rsidRDefault="005E26DB" w:rsidP="005E26DB">
      <w:pPr>
        <w:ind w:left="720" w:hanging="720"/>
        <w:rPr>
          <w:rFonts w:ascii="Arial" w:hAnsi="Arial" w:cs="Arial"/>
          <w:color w:val="000000" w:themeColor="text1"/>
          <w:sz w:val="22"/>
          <w:szCs w:val="22"/>
        </w:rPr>
      </w:pPr>
    </w:p>
    <w:p w14:paraId="1024C42D"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Yu, J., &amp; Kirk, M. (2008). Measurement of empathy in nursing research: Systematic review. </w:t>
      </w:r>
      <w:r w:rsidRPr="00921CE9">
        <w:rPr>
          <w:rFonts w:ascii="Arial" w:hAnsi="Arial" w:cs="Arial"/>
          <w:i/>
          <w:iCs/>
          <w:color w:val="000000" w:themeColor="text1"/>
          <w:sz w:val="22"/>
          <w:szCs w:val="22"/>
        </w:rPr>
        <w:t>Journal of Advanced Nursing, 64</w:t>
      </w:r>
      <w:r w:rsidRPr="00921CE9">
        <w:rPr>
          <w:rFonts w:ascii="Arial" w:hAnsi="Arial" w:cs="Arial"/>
          <w:color w:val="000000" w:themeColor="text1"/>
          <w:sz w:val="22"/>
          <w:szCs w:val="22"/>
        </w:rPr>
        <w:t xml:space="preserve">(5), 440–454. </w:t>
      </w:r>
      <w:hyperlink r:id="rId59" w:tgtFrame="_new" w:history="1">
        <w:r w:rsidRPr="00921CE9">
          <w:rPr>
            <w:rStyle w:val="Hyperlink"/>
            <w:rFonts w:ascii="Arial" w:hAnsi="Arial" w:cs="Arial"/>
            <w:color w:val="000000" w:themeColor="text1"/>
            <w:sz w:val="22"/>
            <w:szCs w:val="22"/>
            <w:u w:val="none"/>
          </w:rPr>
          <w:t>https://doi.org/10.1111/j.1365-2648.2008.04831.x</w:t>
        </w:r>
      </w:hyperlink>
    </w:p>
    <w:p w14:paraId="6D869F9A" w14:textId="77777777" w:rsidR="005E26DB" w:rsidRPr="00921CE9" w:rsidRDefault="005E26DB" w:rsidP="005E26DB">
      <w:pPr>
        <w:ind w:left="720" w:hanging="720"/>
        <w:rPr>
          <w:rFonts w:ascii="Arial" w:hAnsi="Arial" w:cs="Arial"/>
          <w:color w:val="000000" w:themeColor="text1"/>
          <w:sz w:val="22"/>
          <w:szCs w:val="22"/>
        </w:rPr>
      </w:pPr>
    </w:p>
    <w:p w14:paraId="60A5CC0E" w14:textId="77777777" w:rsidR="005E26DB" w:rsidRPr="00921CE9" w:rsidRDefault="005E26DB" w:rsidP="005E26DB">
      <w:pPr>
        <w:ind w:left="720" w:hanging="720"/>
        <w:rPr>
          <w:rFonts w:ascii="Arial" w:hAnsi="Arial" w:cs="Arial"/>
          <w:color w:val="000000" w:themeColor="text1"/>
          <w:sz w:val="22"/>
          <w:szCs w:val="22"/>
        </w:rPr>
      </w:pPr>
      <w:r w:rsidRPr="00921CE9">
        <w:rPr>
          <w:rFonts w:ascii="Arial" w:hAnsi="Arial" w:cs="Arial"/>
          <w:color w:val="000000" w:themeColor="text1"/>
          <w:sz w:val="22"/>
          <w:szCs w:val="22"/>
        </w:rPr>
        <w:t xml:space="preserve">Zhu, W., Jiao, T., &amp; Chen, G. (2025). The impact of clinical learning environment factors on caring behaviors: The mediating role of psychological resilience among nursing intern students. </w:t>
      </w:r>
      <w:r w:rsidRPr="00921CE9">
        <w:rPr>
          <w:rFonts w:ascii="Arial" w:hAnsi="Arial" w:cs="Arial"/>
          <w:i/>
          <w:iCs/>
          <w:color w:val="000000" w:themeColor="text1"/>
          <w:sz w:val="22"/>
          <w:szCs w:val="22"/>
        </w:rPr>
        <w:t>BMC Nursing, 24</w:t>
      </w:r>
      <w:r w:rsidRPr="00921CE9">
        <w:rPr>
          <w:rFonts w:ascii="Arial" w:hAnsi="Arial" w:cs="Arial"/>
          <w:color w:val="000000" w:themeColor="text1"/>
          <w:sz w:val="22"/>
          <w:szCs w:val="22"/>
        </w:rPr>
        <w:t xml:space="preserve">(1), 1187. </w:t>
      </w:r>
      <w:hyperlink r:id="rId60" w:tgtFrame="_new" w:history="1">
        <w:r w:rsidRPr="00921CE9">
          <w:rPr>
            <w:rStyle w:val="Hyperlink"/>
            <w:rFonts w:ascii="Arial" w:hAnsi="Arial" w:cs="Arial"/>
            <w:color w:val="000000" w:themeColor="text1"/>
            <w:sz w:val="22"/>
            <w:szCs w:val="22"/>
            <w:u w:val="none"/>
          </w:rPr>
          <w:t>https://doi.org/10.1186/s12912-025-03840-0</w:t>
        </w:r>
      </w:hyperlink>
    </w:p>
    <w:p w14:paraId="0DEEA9D4" w14:textId="20D64761" w:rsidR="008B459E" w:rsidRPr="00921CE9" w:rsidRDefault="008B459E" w:rsidP="00441B6F">
      <w:pPr>
        <w:pStyle w:val="Body"/>
        <w:spacing w:after="0"/>
        <w:rPr>
          <w:rFonts w:ascii="Arial" w:hAnsi="Arial" w:cs="Arial"/>
          <w:color w:val="000000" w:themeColor="text1"/>
          <w:sz w:val="22"/>
          <w:szCs w:val="22"/>
        </w:rPr>
      </w:pPr>
    </w:p>
    <w:p w14:paraId="2FE9E815" w14:textId="77777777" w:rsidR="005E26DB" w:rsidRPr="00921CE9" w:rsidRDefault="005E26DB" w:rsidP="00441B6F">
      <w:pPr>
        <w:pStyle w:val="DefAcrHead"/>
        <w:spacing w:after="0"/>
        <w:jc w:val="both"/>
        <w:rPr>
          <w:rFonts w:ascii="Arial" w:hAnsi="Arial" w:cs="Arial"/>
          <w:color w:val="000000" w:themeColor="text1"/>
          <w:szCs w:val="22"/>
        </w:rPr>
      </w:pPr>
    </w:p>
    <w:p w14:paraId="4051761E" w14:textId="77777777" w:rsidR="00921CE9" w:rsidRPr="00921CE9" w:rsidRDefault="00921CE9" w:rsidP="00921CE9">
      <w:pPr>
        <w:rPr>
          <w:rFonts w:ascii="Arial" w:hAnsi="Arial" w:cs="Arial"/>
          <w:color w:val="000000" w:themeColor="text1"/>
          <w:sz w:val="22"/>
          <w:szCs w:val="22"/>
        </w:rPr>
      </w:pPr>
    </w:p>
    <w:p w14:paraId="307D2F23" w14:textId="77777777" w:rsidR="00921CE9" w:rsidRDefault="00921CE9" w:rsidP="00921CE9">
      <w:pPr>
        <w:rPr>
          <w:rFonts w:ascii="Arial" w:hAnsi="Arial" w:cs="Arial"/>
          <w:color w:val="000000" w:themeColor="text1"/>
          <w:sz w:val="22"/>
          <w:szCs w:val="22"/>
        </w:rPr>
      </w:pPr>
    </w:p>
    <w:p w14:paraId="3592E515" w14:textId="77777777" w:rsidR="00AB680C" w:rsidRDefault="00AB680C" w:rsidP="00921CE9">
      <w:pPr>
        <w:rPr>
          <w:rFonts w:ascii="Arial" w:hAnsi="Arial" w:cs="Arial"/>
          <w:color w:val="000000" w:themeColor="text1"/>
          <w:sz w:val="22"/>
          <w:szCs w:val="22"/>
        </w:rPr>
      </w:pPr>
    </w:p>
    <w:p w14:paraId="600C5EC0" w14:textId="77777777" w:rsidR="00AB680C" w:rsidRDefault="00AB680C" w:rsidP="00921CE9">
      <w:pPr>
        <w:rPr>
          <w:rFonts w:ascii="Arial" w:hAnsi="Arial" w:cs="Arial"/>
          <w:color w:val="000000" w:themeColor="text1"/>
          <w:sz w:val="22"/>
          <w:szCs w:val="22"/>
        </w:rPr>
      </w:pPr>
    </w:p>
    <w:p w14:paraId="54CF99D4" w14:textId="77777777" w:rsidR="00AB680C" w:rsidRDefault="00AB680C" w:rsidP="00921CE9">
      <w:pPr>
        <w:rPr>
          <w:rFonts w:ascii="Arial" w:hAnsi="Arial" w:cs="Arial"/>
          <w:color w:val="000000" w:themeColor="text1"/>
          <w:sz w:val="22"/>
          <w:szCs w:val="22"/>
        </w:rPr>
      </w:pPr>
    </w:p>
    <w:p w14:paraId="1B668EC2" w14:textId="77777777" w:rsidR="00AB680C" w:rsidRDefault="00AB680C" w:rsidP="00921CE9">
      <w:pPr>
        <w:rPr>
          <w:rFonts w:ascii="Arial" w:hAnsi="Arial" w:cs="Arial"/>
          <w:color w:val="000000" w:themeColor="text1"/>
          <w:sz w:val="22"/>
          <w:szCs w:val="22"/>
        </w:rPr>
      </w:pPr>
    </w:p>
    <w:p w14:paraId="5D445FC7" w14:textId="77777777" w:rsidR="00AB680C" w:rsidRDefault="00AB680C" w:rsidP="00921CE9">
      <w:pPr>
        <w:rPr>
          <w:rFonts w:ascii="Arial" w:hAnsi="Arial" w:cs="Arial"/>
          <w:color w:val="000000" w:themeColor="text1"/>
          <w:sz w:val="22"/>
          <w:szCs w:val="22"/>
        </w:rPr>
      </w:pPr>
    </w:p>
    <w:p w14:paraId="69C8A506" w14:textId="77777777" w:rsidR="00AB680C" w:rsidRDefault="00AB680C" w:rsidP="00921CE9">
      <w:pPr>
        <w:rPr>
          <w:rFonts w:ascii="Arial" w:hAnsi="Arial" w:cs="Arial"/>
          <w:color w:val="000000" w:themeColor="text1"/>
          <w:sz w:val="22"/>
          <w:szCs w:val="22"/>
        </w:rPr>
      </w:pPr>
    </w:p>
    <w:p w14:paraId="47A15F10" w14:textId="77777777" w:rsidR="00AB680C" w:rsidRDefault="00AB680C" w:rsidP="00921CE9">
      <w:pPr>
        <w:rPr>
          <w:rFonts w:ascii="Arial" w:hAnsi="Arial" w:cs="Arial"/>
          <w:color w:val="000000" w:themeColor="text1"/>
          <w:sz w:val="22"/>
          <w:szCs w:val="22"/>
        </w:rPr>
      </w:pPr>
    </w:p>
    <w:p w14:paraId="7436B9F8" w14:textId="77777777" w:rsidR="00AB680C" w:rsidRDefault="00AB680C" w:rsidP="00921CE9">
      <w:pPr>
        <w:rPr>
          <w:rFonts w:ascii="Arial" w:hAnsi="Arial" w:cs="Arial"/>
          <w:color w:val="000000" w:themeColor="text1"/>
          <w:sz w:val="22"/>
          <w:szCs w:val="22"/>
        </w:rPr>
      </w:pPr>
    </w:p>
    <w:p w14:paraId="173A050D" w14:textId="77777777" w:rsidR="00AB680C" w:rsidRDefault="00AB680C" w:rsidP="00921CE9">
      <w:pPr>
        <w:rPr>
          <w:rFonts w:ascii="Arial" w:hAnsi="Arial" w:cs="Arial"/>
          <w:color w:val="000000" w:themeColor="text1"/>
          <w:sz w:val="22"/>
          <w:szCs w:val="22"/>
        </w:rPr>
      </w:pPr>
    </w:p>
    <w:p w14:paraId="6BAB15C8" w14:textId="77777777" w:rsidR="00AB680C" w:rsidRDefault="00AB680C" w:rsidP="00921CE9">
      <w:pPr>
        <w:rPr>
          <w:rFonts w:ascii="Arial" w:hAnsi="Arial" w:cs="Arial"/>
          <w:color w:val="000000" w:themeColor="text1"/>
          <w:sz w:val="22"/>
          <w:szCs w:val="22"/>
        </w:rPr>
      </w:pPr>
    </w:p>
    <w:p w14:paraId="58EAD2A8" w14:textId="77777777" w:rsidR="00AB680C" w:rsidRDefault="00AB680C" w:rsidP="00921CE9">
      <w:pPr>
        <w:rPr>
          <w:rFonts w:ascii="Arial" w:hAnsi="Arial" w:cs="Arial"/>
          <w:color w:val="000000" w:themeColor="text1"/>
          <w:sz w:val="22"/>
          <w:szCs w:val="22"/>
        </w:rPr>
      </w:pPr>
    </w:p>
    <w:p w14:paraId="7A539546" w14:textId="77777777" w:rsidR="00AB680C" w:rsidRDefault="00AB680C" w:rsidP="00921CE9">
      <w:pPr>
        <w:rPr>
          <w:rFonts w:ascii="Arial" w:hAnsi="Arial" w:cs="Arial"/>
          <w:color w:val="000000" w:themeColor="text1"/>
          <w:sz w:val="22"/>
          <w:szCs w:val="22"/>
        </w:rPr>
      </w:pPr>
    </w:p>
    <w:p w14:paraId="583EBCCE" w14:textId="77777777" w:rsidR="00AB680C" w:rsidRDefault="00AB680C" w:rsidP="00921CE9">
      <w:pPr>
        <w:rPr>
          <w:rFonts w:ascii="Arial" w:hAnsi="Arial" w:cs="Arial"/>
          <w:color w:val="000000" w:themeColor="text1"/>
          <w:sz w:val="22"/>
          <w:szCs w:val="22"/>
        </w:rPr>
      </w:pPr>
    </w:p>
    <w:p w14:paraId="5799992C" w14:textId="77777777" w:rsidR="00AB680C" w:rsidRDefault="00AB680C" w:rsidP="00921CE9">
      <w:pPr>
        <w:rPr>
          <w:rFonts w:ascii="Arial" w:hAnsi="Arial" w:cs="Arial"/>
          <w:color w:val="000000" w:themeColor="text1"/>
          <w:sz w:val="22"/>
          <w:szCs w:val="22"/>
        </w:rPr>
      </w:pPr>
    </w:p>
    <w:p w14:paraId="2834A277" w14:textId="77777777" w:rsidR="00AB680C" w:rsidRDefault="00AB680C" w:rsidP="00921CE9">
      <w:pPr>
        <w:rPr>
          <w:rFonts w:ascii="Arial" w:hAnsi="Arial" w:cs="Arial"/>
          <w:color w:val="000000" w:themeColor="text1"/>
          <w:sz w:val="22"/>
          <w:szCs w:val="22"/>
        </w:rPr>
      </w:pPr>
    </w:p>
    <w:p w14:paraId="4ACF2F3B" w14:textId="77777777" w:rsidR="00AB680C" w:rsidRDefault="00AB680C" w:rsidP="00921CE9">
      <w:pPr>
        <w:rPr>
          <w:rFonts w:ascii="Arial" w:hAnsi="Arial" w:cs="Arial"/>
          <w:color w:val="000000" w:themeColor="text1"/>
          <w:sz w:val="22"/>
          <w:szCs w:val="22"/>
        </w:rPr>
      </w:pPr>
    </w:p>
    <w:p w14:paraId="7FAA8F56" w14:textId="77777777" w:rsidR="00710F2B" w:rsidRDefault="00710F2B" w:rsidP="00921CE9">
      <w:pPr>
        <w:rPr>
          <w:rFonts w:ascii="Arial" w:hAnsi="Arial" w:cs="Arial"/>
          <w:color w:val="000000" w:themeColor="text1"/>
          <w:sz w:val="22"/>
          <w:szCs w:val="22"/>
        </w:rPr>
      </w:pPr>
    </w:p>
    <w:p w14:paraId="22F71922" w14:textId="77777777" w:rsidR="00710F2B" w:rsidRDefault="00710F2B" w:rsidP="00921CE9">
      <w:pPr>
        <w:rPr>
          <w:rFonts w:ascii="Arial" w:hAnsi="Arial" w:cs="Arial"/>
          <w:color w:val="000000" w:themeColor="text1"/>
          <w:sz w:val="22"/>
          <w:szCs w:val="22"/>
        </w:rPr>
      </w:pPr>
    </w:p>
    <w:p w14:paraId="20E8EC66" w14:textId="77777777" w:rsidR="00710F2B" w:rsidRDefault="00710F2B" w:rsidP="00921CE9">
      <w:pPr>
        <w:rPr>
          <w:rFonts w:ascii="Arial" w:hAnsi="Arial" w:cs="Arial"/>
          <w:color w:val="000000" w:themeColor="text1"/>
          <w:sz w:val="22"/>
          <w:szCs w:val="22"/>
        </w:rPr>
      </w:pPr>
    </w:p>
    <w:p w14:paraId="01C791EC" w14:textId="77777777" w:rsidR="00710F2B" w:rsidRDefault="00710F2B" w:rsidP="00921CE9">
      <w:pPr>
        <w:rPr>
          <w:rFonts w:ascii="Arial" w:hAnsi="Arial" w:cs="Arial"/>
          <w:color w:val="000000" w:themeColor="text1"/>
          <w:sz w:val="22"/>
          <w:szCs w:val="22"/>
        </w:rPr>
      </w:pPr>
    </w:p>
    <w:p w14:paraId="05FA8FE3" w14:textId="77777777" w:rsidR="00710F2B" w:rsidRDefault="00710F2B" w:rsidP="00921CE9">
      <w:pPr>
        <w:rPr>
          <w:rFonts w:ascii="Arial" w:hAnsi="Arial" w:cs="Arial"/>
          <w:color w:val="000000" w:themeColor="text1"/>
          <w:sz w:val="22"/>
          <w:szCs w:val="22"/>
        </w:rPr>
      </w:pPr>
    </w:p>
    <w:p w14:paraId="46A9A7DB" w14:textId="77777777" w:rsidR="00710F2B" w:rsidRDefault="00710F2B" w:rsidP="00921CE9">
      <w:pPr>
        <w:rPr>
          <w:rFonts w:ascii="Arial" w:hAnsi="Arial" w:cs="Arial"/>
          <w:color w:val="000000" w:themeColor="text1"/>
          <w:sz w:val="22"/>
          <w:szCs w:val="22"/>
        </w:rPr>
      </w:pPr>
    </w:p>
    <w:p w14:paraId="155DE6B2" w14:textId="77777777" w:rsidR="00710F2B" w:rsidRDefault="00710F2B" w:rsidP="00921CE9">
      <w:pPr>
        <w:rPr>
          <w:rFonts w:ascii="Arial" w:hAnsi="Arial" w:cs="Arial"/>
          <w:color w:val="000000" w:themeColor="text1"/>
          <w:sz w:val="22"/>
          <w:szCs w:val="22"/>
        </w:rPr>
      </w:pPr>
    </w:p>
    <w:p w14:paraId="07918570" w14:textId="77777777" w:rsidR="00710F2B" w:rsidRDefault="00710F2B" w:rsidP="00921CE9">
      <w:pPr>
        <w:rPr>
          <w:rFonts w:ascii="Arial" w:hAnsi="Arial" w:cs="Arial"/>
          <w:color w:val="000000" w:themeColor="text1"/>
          <w:sz w:val="22"/>
          <w:szCs w:val="22"/>
        </w:rPr>
      </w:pPr>
    </w:p>
    <w:p w14:paraId="728C3FF1" w14:textId="77777777" w:rsidR="00710F2B" w:rsidRDefault="00710F2B" w:rsidP="00921CE9">
      <w:pPr>
        <w:rPr>
          <w:rFonts w:ascii="Arial" w:hAnsi="Arial" w:cs="Arial"/>
          <w:color w:val="000000" w:themeColor="text1"/>
          <w:sz w:val="22"/>
          <w:szCs w:val="22"/>
        </w:rPr>
      </w:pPr>
    </w:p>
    <w:p w14:paraId="405D4FF7" w14:textId="77777777" w:rsidR="00710F2B" w:rsidRDefault="00710F2B" w:rsidP="00921CE9">
      <w:pPr>
        <w:rPr>
          <w:rFonts w:ascii="Arial" w:hAnsi="Arial" w:cs="Arial"/>
          <w:color w:val="000000" w:themeColor="text1"/>
          <w:sz w:val="22"/>
          <w:szCs w:val="22"/>
        </w:rPr>
      </w:pPr>
    </w:p>
    <w:p w14:paraId="41D794E0" w14:textId="77777777" w:rsidR="00710F2B" w:rsidRDefault="00710F2B" w:rsidP="00921CE9">
      <w:pPr>
        <w:rPr>
          <w:rFonts w:ascii="Arial" w:hAnsi="Arial" w:cs="Arial"/>
          <w:color w:val="000000" w:themeColor="text1"/>
          <w:sz w:val="22"/>
          <w:szCs w:val="22"/>
        </w:rPr>
      </w:pPr>
    </w:p>
    <w:p w14:paraId="2272A426" w14:textId="77777777" w:rsidR="00710F2B" w:rsidRDefault="00710F2B" w:rsidP="00921CE9">
      <w:pPr>
        <w:rPr>
          <w:rFonts w:ascii="Arial" w:hAnsi="Arial" w:cs="Arial"/>
          <w:color w:val="000000" w:themeColor="text1"/>
          <w:sz w:val="22"/>
          <w:szCs w:val="22"/>
        </w:rPr>
      </w:pPr>
    </w:p>
    <w:p w14:paraId="3B83FB29" w14:textId="77777777" w:rsidR="00710F2B" w:rsidRDefault="00710F2B" w:rsidP="00921CE9">
      <w:pPr>
        <w:rPr>
          <w:rFonts w:ascii="Arial" w:hAnsi="Arial" w:cs="Arial"/>
          <w:color w:val="000000" w:themeColor="text1"/>
          <w:sz w:val="22"/>
          <w:szCs w:val="22"/>
        </w:rPr>
      </w:pPr>
    </w:p>
    <w:p w14:paraId="2F4B5E28" w14:textId="77777777" w:rsidR="00710F2B" w:rsidRDefault="00710F2B" w:rsidP="00921CE9">
      <w:pPr>
        <w:rPr>
          <w:rFonts w:ascii="Arial" w:hAnsi="Arial" w:cs="Arial"/>
          <w:color w:val="000000" w:themeColor="text1"/>
          <w:sz w:val="22"/>
          <w:szCs w:val="22"/>
        </w:rPr>
      </w:pPr>
    </w:p>
    <w:p w14:paraId="22ED12D6" w14:textId="77777777" w:rsidR="00710F2B" w:rsidRDefault="00710F2B" w:rsidP="00921CE9">
      <w:pPr>
        <w:rPr>
          <w:rFonts w:ascii="Arial" w:hAnsi="Arial" w:cs="Arial"/>
          <w:color w:val="000000" w:themeColor="text1"/>
          <w:sz w:val="22"/>
          <w:szCs w:val="22"/>
        </w:rPr>
      </w:pPr>
    </w:p>
    <w:p w14:paraId="02990B46" w14:textId="77777777" w:rsidR="00710F2B" w:rsidRPr="00921CE9" w:rsidRDefault="00710F2B" w:rsidP="00921CE9">
      <w:pPr>
        <w:rPr>
          <w:rFonts w:ascii="Arial" w:hAnsi="Arial" w:cs="Arial"/>
          <w:color w:val="000000" w:themeColor="text1"/>
          <w:sz w:val="22"/>
          <w:szCs w:val="22"/>
        </w:rPr>
      </w:pPr>
    </w:p>
    <w:p w14:paraId="0A3095B9" w14:textId="77777777" w:rsidR="00790ADA" w:rsidRPr="00921CE9" w:rsidRDefault="00790ADA" w:rsidP="00441B6F">
      <w:pPr>
        <w:pStyle w:val="Body"/>
        <w:spacing w:after="0"/>
        <w:rPr>
          <w:rFonts w:ascii="Arial" w:hAnsi="Arial" w:cs="Arial"/>
          <w:color w:val="000000" w:themeColor="text1"/>
          <w:sz w:val="22"/>
          <w:szCs w:val="22"/>
        </w:rPr>
      </w:pPr>
    </w:p>
    <w:sectPr w:rsidR="00790ADA" w:rsidRPr="00921CE9" w:rsidSect="00326B84">
      <w:type w:val="continuous"/>
      <w:pgSz w:w="12240" w:h="15840"/>
      <w:pgMar w:top="1440" w:right="1440" w:bottom="1440" w:left="21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6-03-27T16:25:00Z" w:initials="LPS">
    <w:p w14:paraId="53E07873" w14:textId="77777777" w:rsidR="00B97AEE" w:rsidRDefault="00B97AEE" w:rsidP="00B97AEE">
      <w:r>
        <w:rPr>
          <w:rStyle w:val="ReferensiKomentar"/>
        </w:rPr>
        <w:annotationRef/>
      </w:r>
      <w:r>
        <w:rPr>
          <w:rFonts w:ascii="Times New Roman" w:hAnsi="Times New Roman"/>
          <w:lang w:val="nb-NO" w:eastAsia="nb-NO"/>
        </w:rPr>
        <w:t>The present manuscript addresses a significant and pertinent subject within the field of nursing education, namely the correlation between the clinical learning environment and the cultivation of student empathy. The research design is consistent with the research objectives; however, further clarification is required regarding the validity and reliability of the instruments and the sampling technique. The presentation of the research results should include measures of the strength of the relationship in order to facilitate a more profound comprehension. Moreover, the discussion could be expanded by elucidating the benefits of the findings for the development of clinical learning in nursing educational institutions.</w:t>
      </w:r>
    </w:p>
  </w:comment>
  <w:comment w:id="1" w:author="Reviewer" w:date="2026-03-27T16:28:00Z" w:initials="LPS">
    <w:p w14:paraId="6CA3A8D8" w14:textId="77777777" w:rsidR="00B97AEE" w:rsidRDefault="00B97AEE" w:rsidP="00B97AEE">
      <w:r>
        <w:rPr>
          <w:rStyle w:val="ReferensiKomentar"/>
        </w:rPr>
        <w:annotationRef/>
      </w:r>
      <w:r>
        <w:rPr>
          <w:rFonts w:ascii="Times New Roman" w:hAnsi="Times New Roman"/>
          <w:lang w:val="nb-NO" w:eastAsia="nb-NO"/>
        </w:rPr>
        <w:t>The selection of keywords is generally relevant to the subject under investigation.</w:t>
      </w:r>
    </w:p>
  </w:comment>
  <w:comment w:id="2" w:author="Reviewer" w:date="2026-03-27T16:51:00Z" w:initials="LPS">
    <w:p w14:paraId="4C5167C9" w14:textId="77777777" w:rsidR="00095724" w:rsidRDefault="00095724" w:rsidP="00095724">
      <w:r>
        <w:rPr>
          <w:rStyle w:val="ReferensiKomentar"/>
        </w:rPr>
        <w:annotationRef/>
      </w:r>
      <w:r>
        <w:rPr>
          <w:rFonts w:ascii="Times New Roman" w:hAnsi="Times New Roman"/>
          <w:lang w:val="nb-NO" w:eastAsia="nb-NO"/>
        </w:rPr>
        <w:t>The introduction has explained the research background quite clearly. However, some statements still need to be supported by more relevant and update references.</w:t>
      </w:r>
    </w:p>
  </w:comment>
  <w:comment w:id="3" w:author="Reviewer" w:date="2026-03-27T17:12:00Z" w:initials="LPS">
    <w:p w14:paraId="20DDECF4" w14:textId="77777777" w:rsidR="00E71BF0" w:rsidRDefault="00E71BF0" w:rsidP="00E71BF0">
      <w:r>
        <w:rPr>
          <w:rStyle w:val="ReferensiKomentar"/>
        </w:rPr>
        <w:annotationRef/>
      </w:r>
      <w:r>
        <w:rPr>
          <w:rFonts w:ascii="Times New Roman" w:hAnsi="Times New Roman"/>
          <w:lang w:val="nb-NO" w:eastAsia="nb-NO"/>
        </w:rPr>
        <w:t>The research methodology has been articulated in a comprehensible manner and is aligned with the objectives of the study. However, further elucidation is required to ensure the research method is comprehensible. This should include an explanation of the stratified random sampling technique, instrument validity, and the rationale for using the Spearman's rho test. Furthermore, the characteristics of the institution in which the research was conducted could also be clarified to provide a more complete picture of the research context.</w:t>
      </w:r>
    </w:p>
  </w:comment>
  <w:comment w:id="4" w:author="Reviewer" w:date="2026-03-27T17:18:00Z" w:initials="LPS">
    <w:p w14:paraId="471C3ACC" w14:textId="77777777" w:rsidR="00E71BF0" w:rsidRDefault="00E71BF0" w:rsidP="00E71BF0">
      <w:r>
        <w:rPr>
          <w:rStyle w:val="ReferensiKomentar"/>
        </w:rPr>
        <w:annotationRef/>
      </w:r>
      <w:r>
        <w:rPr>
          <w:rFonts w:ascii="Times New Roman" w:hAnsi="Times New Roman"/>
          <w:lang w:val="nb-NO" w:eastAsia="nb-NO"/>
        </w:rPr>
        <w:t>It is imperative that the discussion in this manuscript is expanded in order to render the research results more robust. The authors are advised to include a description of other factors that may influence empathy, such as individual characteristics, previous clinical experience, and academic environment conditions, to make the discussion of the results more comprehensive and understandable.</w:t>
      </w:r>
    </w:p>
  </w:comment>
  <w:comment w:id="5" w:author="Reviewer" w:date="2026-03-27T17:21:00Z" w:initials="LPS">
    <w:p w14:paraId="2B52FE29" w14:textId="77777777" w:rsidR="00E71BF0" w:rsidRDefault="00E71BF0" w:rsidP="00E71BF0">
      <w:r>
        <w:rPr>
          <w:rStyle w:val="ReferensiKomentar"/>
        </w:rPr>
        <w:annotationRef/>
      </w:r>
      <w:r>
        <w:rPr>
          <w:rFonts w:ascii="Times New Roman" w:hAnsi="Times New Roman"/>
          <w:lang w:val="nb-NO" w:eastAsia="nb-NO"/>
        </w:rPr>
        <w:t>The bibliography is pertinent to the research topic, but it is necessary to undertake a thorough review to ensure that it exclusively comprises references that have been utilised in the article. It is also imperative to verify the references against the in-text citations to ensure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E07873" w15:done="0"/>
  <w15:commentEx w15:paraId="6CA3A8D8" w15:done="0"/>
  <w15:commentEx w15:paraId="4C5167C9" w15:done="0"/>
  <w15:commentEx w15:paraId="20DDECF4" w15:done="0"/>
  <w15:commentEx w15:paraId="471C3ACC" w15:done="0"/>
  <w15:commentEx w15:paraId="2B52FE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8CD3E4" w16cex:dateUtc="2026-03-27T08:25:00Z"/>
  <w16cex:commentExtensible w16cex:durableId="18E4ADF9" w16cex:dateUtc="2026-03-27T08:28:00Z"/>
  <w16cex:commentExtensible w16cex:durableId="17143805" w16cex:dateUtc="2026-03-27T08:51:00Z"/>
  <w16cex:commentExtensible w16cex:durableId="1A04D954" w16cex:dateUtc="2026-03-27T09:12:00Z"/>
  <w16cex:commentExtensible w16cex:durableId="623ED076" w16cex:dateUtc="2026-03-27T09:18:00Z"/>
  <w16cex:commentExtensible w16cex:durableId="3A0AF677" w16cex:dateUtc="2026-03-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E07873" w16cid:durableId="748CD3E4"/>
  <w16cid:commentId w16cid:paraId="6CA3A8D8" w16cid:durableId="18E4ADF9"/>
  <w16cid:commentId w16cid:paraId="4C5167C9" w16cid:durableId="17143805"/>
  <w16cid:commentId w16cid:paraId="20DDECF4" w16cid:durableId="1A04D954"/>
  <w16cid:commentId w16cid:paraId="471C3ACC" w16cid:durableId="623ED076"/>
  <w16cid:commentId w16cid:paraId="2B52FE29" w16cid:durableId="3A0AF6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1301" w14:textId="77777777" w:rsidR="00CF3323" w:rsidRDefault="00CF3323" w:rsidP="00C37E61">
      <w:r>
        <w:separator/>
      </w:r>
    </w:p>
  </w:endnote>
  <w:endnote w:type="continuationSeparator" w:id="0">
    <w:p w14:paraId="4CB68052" w14:textId="77777777" w:rsidR="00CF3323" w:rsidRDefault="00CF33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C82F" w14:textId="77777777" w:rsidR="00326B84" w:rsidRDefault="00326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BD3F" w14:textId="4DAA16EE" w:rsidR="00AB680C" w:rsidRPr="00921CE9" w:rsidRDefault="00AB680C" w:rsidP="00AB680C">
    <w:pPr>
      <w:pStyle w:val="Affiliation"/>
      <w:spacing w:after="0" w:line="240" w:lineRule="auto"/>
      <w:rPr>
        <w:rFonts w:ascii="Arial" w:hAnsi="Arial" w:cs="Arial"/>
        <w:i/>
        <w:color w:val="000000" w:themeColor="text1"/>
        <w:sz w:val="22"/>
        <w:szCs w:val="22"/>
      </w:rPr>
    </w:pPr>
  </w:p>
  <w:p w14:paraId="25833638" w14:textId="160BE664" w:rsidR="00AB680C" w:rsidRPr="00921CE9" w:rsidRDefault="00AB680C" w:rsidP="00AB680C">
    <w:pPr>
      <w:pStyle w:val="Affiliation"/>
      <w:spacing w:after="0" w:line="240" w:lineRule="auto"/>
      <w:jc w:val="center"/>
      <w:rPr>
        <w:rFonts w:ascii="Arial" w:hAnsi="Arial" w:cs="Arial"/>
        <w:i/>
        <w:color w:val="000000" w:themeColor="text1"/>
        <w:sz w:val="22"/>
        <w:szCs w:val="22"/>
      </w:rPr>
    </w:pPr>
  </w:p>
  <w:p w14:paraId="72DED38B" w14:textId="35C3CA6D" w:rsidR="00AB680C" w:rsidRPr="00921CE9" w:rsidRDefault="00AB680C" w:rsidP="00AB680C">
    <w:pPr>
      <w:pStyle w:val="Affiliation"/>
      <w:spacing w:after="0" w:line="240" w:lineRule="auto"/>
      <w:jc w:val="left"/>
      <w:rPr>
        <w:rFonts w:ascii="Arial" w:hAnsi="Arial" w:cs="Arial"/>
        <w:i/>
        <w:color w:val="000000" w:themeColor="text1"/>
        <w:sz w:val="22"/>
        <w:szCs w:val="22"/>
      </w:rPr>
    </w:pPr>
  </w:p>
  <w:p w14:paraId="1C24BE68" w14:textId="6966716E"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D88F" w14:textId="77777777" w:rsidR="009E048A" w:rsidRDefault="009E048A">
    <w:pPr>
      <w:pStyle w:val="Footer"/>
      <w:rPr>
        <w:rFonts w:ascii="Arial" w:hAnsi="Arial" w:cs="Arial"/>
        <w:sz w:val="16"/>
      </w:rPr>
    </w:pPr>
  </w:p>
  <w:p w14:paraId="70C7BBE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8000C8" w14:textId="77777777" w:rsidR="009E048A" w:rsidRDefault="009E048A">
    <w:pPr>
      <w:pStyle w:val="Footer"/>
      <w:rPr>
        <w:rFonts w:ascii="Arial" w:hAnsi="Arial" w:cs="Arial"/>
        <w:sz w:val="16"/>
      </w:rPr>
    </w:pPr>
  </w:p>
  <w:p w14:paraId="7EAAC2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FA71" w14:textId="77777777" w:rsidR="00CF3323" w:rsidRDefault="00CF3323" w:rsidP="00C37E61">
      <w:r>
        <w:separator/>
      </w:r>
    </w:p>
  </w:footnote>
  <w:footnote w:type="continuationSeparator" w:id="0">
    <w:p w14:paraId="3E326A0D" w14:textId="77777777" w:rsidR="00CF3323" w:rsidRDefault="00CF33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B693" w14:textId="22EEDE4A" w:rsidR="00326B84" w:rsidRDefault="00B97AEE">
    <w:pPr>
      <w:pStyle w:val="Header"/>
    </w:pPr>
    <w:r>
      <w:rPr>
        <w:noProof/>
      </w:rPr>
    </w:r>
    <w:r w:rsidR="00B97AEE">
      <w:rPr>
        <w:noProof/>
      </w:rPr>
      <w:pict w14:anchorId="490D6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2141" o:spid="_x0000_s1026" type="#_x0000_t136" alt="" style="position:absolute;margin-left:0;margin-top:0;width:547.25pt;height:61.7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535E" w14:textId="6801591B" w:rsidR="00326B84" w:rsidRDefault="00B97AEE">
    <w:pPr>
      <w:pStyle w:val="Header"/>
    </w:pPr>
    <w:r>
      <w:rPr>
        <w:noProof/>
      </w:rPr>
    </w:r>
    <w:r w:rsidR="00B97AEE">
      <w:rPr>
        <w:noProof/>
      </w:rPr>
      <w:pict w14:anchorId="0932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2142" o:spid="_x0000_s1027" type="#_x0000_t136" alt="" style="position:absolute;margin-left:0;margin-top:0;width:547.25pt;height:61.7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710" w14:textId="5B12E3D1" w:rsidR="00296529" w:rsidRPr="00296529" w:rsidRDefault="00B97AEE" w:rsidP="00296529">
    <w:pPr>
      <w:ind w:left="2160"/>
      <w:jc w:val="center"/>
      <w:rPr>
        <w:rFonts w:ascii="Times New Roman" w:eastAsia="Calibri" w:hAnsi="Times New Roman"/>
        <w:i/>
        <w:sz w:val="18"/>
        <w:szCs w:val="22"/>
      </w:rPr>
    </w:pPr>
    <w:r>
      <w:rPr>
        <w:noProof/>
      </w:rPr>
    </w:r>
    <w:r w:rsidR="00B97AEE">
      <w:rPr>
        <w:noProof/>
      </w:rPr>
      <w:pict w14:anchorId="74CF9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222140" o:spid="_x0000_s1025" type="#_x0000_t136" alt="" style="position:absolute;left:0;text-align:left;margin-left:0;margin-top:0;width:547.25pt;height:61.7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3EDC2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57F3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23FBC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7E58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117A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9CE9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8579668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E25"/>
    <w:rsid w:val="00030174"/>
    <w:rsid w:val="0004579C"/>
    <w:rsid w:val="00070F50"/>
    <w:rsid w:val="00095724"/>
    <w:rsid w:val="000A47FA"/>
    <w:rsid w:val="000A65D3"/>
    <w:rsid w:val="000B1E33"/>
    <w:rsid w:val="000D689F"/>
    <w:rsid w:val="000E7B7B"/>
    <w:rsid w:val="000E7D62"/>
    <w:rsid w:val="00103357"/>
    <w:rsid w:val="0012387A"/>
    <w:rsid w:val="00123C9F"/>
    <w:rsid w:val="00126190"/>
    <w:rsid w:val="00130F17"/>
    <w:rsid w:val="001320BF"/>
    <w:rsid w:val="00163BC4"/>
    <w:rsid w:val="00191062"/>
    <w:rsid w:val="00192B72"/>
    <w:rsid w:val="001A29D8"/>
    <w:rsid w:val="001A5CAA"/>
    <w:rsid w:val="001B0427"/>
    <w:rsid w:val="001C29CF"/>
    <w:rsid w:val="001D3A51"/>
    <w:rsid w:val="001E10D2"/>
    <w:rsid w:val="001E25B4"/>
    <w:rsid w:val="001E26A2"/>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B84"/>
    <w:rsid w:val="0033343E"/>
    <w:rsid w:val="003512C2"/>
    <w:rsid w:val="00371FB6"/>
    <w:rsid w:val="003763C1"/>
    <w:rsid w:val="00376BBE"/>
    <w:rsid w:val="0039224F"/>
    <w:rsid w:val="003A43A4"/>
    <w:rsid w:val="003A5DD8"/>
    <w:rsid w:val="003A7E18"/>
    <w:rsid w:val="003C4C86"/>
    <w:rsid w:val="003C6258"/>
    <w:rsid w:val="003C6856"/>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26DB"/>
    <w:rsid w:val="005E5539"/>
    <w:rsid w:val="00602BF5"/>
    <w:rsid w:val="00617FDD"/>
    <w:rsid w:val="00633614"/>
    <w:rsid w:val="00633F68"/>
    <w:rsid w:val="00636EB2"/>
    <w:rsid w:val="006375B8"/>
    <w:rsid w:val="0066510A"/>
    <w:rsid w:val="006662DC"/>
    <w:rsid w:val="00667719"/>
    <w:rsid w:val="00673F9F"/>
    <w:rsid w:val="00686953"/>
    <w:rsid w:val="00687DEA"/>
    <w:rsid w:val="00687E67"/>
    <w:rsid w:val="006967F7"/>
    <w:rsid w:val="006A250C"/>
    <w:rsid w:val="006B21D3"/>
    <w:rsid w:val="006B57D0"/>
    <w:rsid w:val="006D30FF"/>
    <w:rsid w:val="006D6940"/>
    <w:rsid w:val="006F11EC"/>
    <w:rsid w:val="0070082C"/>
    <w:rsid w:val="00710F2B"/>
    <w:rsid w:val="007369E6"/>
    <w:rsid w:val="007439DA"/>
    <w:rsid w:val="00746E59"/>
    <w:rsid w:val="00754C9A"/>
    <w:rsid w:val="0075599A"/>
    <w:rsid w:val="00761D52"/>
    <w:rsid w:val="0077749E"/>
    <w:rsid w:val="00790ADA"/>
    <w:rsid w:val="007D2288"/>
    <w:rsid w:val="007E088F"/>
    <w:rsid w:val="007F7B32"/>
    <w:rsid w:val="00804BC2"/>
    <w:rsid w:val="0081431A"/>
    <w:rsid w:val="00824A5E"/>
    <w:rsid w:val="00831390"/>
    <w:rsid w:val="0083216F"/>
    <w:rsid w:val="00857216"/>
    <w:rsid w:val="00860000"/>
    <w:rsid w:val="00863BD3"/>
    <w:rsid w:val="008641ED"/>
    <w:rsid w:val="00866D66"/>
    <w:rsid w:val="008671C6"/>
    <w:rsid w:val="00875803"/>
    <w:rsid w:val="008B459E"/>
    <w:rsid w:val="008E13AE"/>
    <w:rsid w:val="008E1506"/>
    <w:rsid w:val="008E710C"/>
    <w:rsid w:val="008F69D6"/>
    <w:rsid w:val="00902823"/>
    <w:rsid w:val="00915CA6"/>
    <w:rsid w:val="00921CE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B0"/>
    <w:rsid w:val="00A51431"/>
    <w:rsid w:val="00A539AD"/>
    <w:rsid w:val="00A548C8"/>
    <w:rsid w:val="00A94063"/>
    <w:rsid w:val="00AA6219"/>
    <w:rsid w:val="00AA74E0"/>
    <w:rsid w:val="00AB680C"/>
    <w:rsid w:val="00AB703F"/>
    <w:rsid w:val="00AC6BB8"/>
    <w:rsid w:val="00AE008F"/>
    <w:rsid w:val="00B01FCD"/>
    <w:rsid w:val="00B1776C"/>
    <w:rsid w:val="00B52583"/>
    <w:rsid w:val="00B52896"/>
    <w:rsid w:val="00B95236"/>
    <w:rsid w:val="00B96BD9"/>
    <w:rsid w:val="00B97AEE"/>
    <w:rsid w:val="00BA1B01"/>
    <w:rsid w:val="00BA2641"/>
    <w:rsid w:val="00BB37AA"/>
    <w:rsid w:val="00BC53A0"/>
    <w:rsid w:val="00BE62AD"/>
    <w:rsid w:val="00BF121F"/>
    <w:rsid w:val="00BF1F80"/>
    <w:rsid w:val="00C166EF"/>
    <w:rsid w:val="00C17EB0"/>
    <w:rsid w:val="00C27F5F"/>
    <w:rsid w:val="00C30A0F"/>
    <w:rsid w:val="00C37E61"/>
    <w:rsid w:val="00C64F0C"/>
    <w:rsid w:val="00C70F1B"/>
    <w:rsid w:val="00C71A47"/>
    <w:rsid w:val="00C7464C"/>
    <w:rsid w:val="00C85588"/>
    <w:rsid w:val="00CD6755"/>
    <w:rsid w:val="00CD6856"/>
    <w:rsid w:val="00CE0089"/>
    <w:rsid w:val="00CE793C"/>
    <w:rsid w:val="00CF193C"/>
    <w:rsid w:val="00CF3323"/>
    <w:rsid w:val="00D03559"/>
    <w:rsid w:val="00D173F1"/>
    <w:rsid w:val="00D44B04"/>
    <w:rsid w:val="00D73069"/>
    <w:rsid w:val="00D74CB0"/>
    <w:rsid w:val="00D757E9"/>
    <w:rsid w:val="00D8295D"/>
    <w:rsid w:val="00D83606"/>
    <w:rsid w:val="00DC2A65"/>
    <w:rsid w:val="00DE15F0"/>
    <w:rsid w:val="00DE5663"/>
    <w:rsid w:val="00DE78AA"/>
    <w:rsid w:val="00E053D0"/>
    <w:rsid w:val="00E0786D"/>
    <w:rsid w:val="00E15994"/>
    <w:rsid w:val="00E3114E"/>
    <w:rsid w:val="00E31A70"/>
    <w:rsid w:val="00E35B02"/>
    <w:rsid w:val="00E66496"/>
    <w:rsid w:val="00E66B35"/>
    <w:rsid w:val="00E66E10"/>
    <w:rsid w:val="00E71BF0"/>
    <w:rsid w:val="00E769F6"/>
    <w:rsid w:val="00E8407C"/>
    <w:rsid w:val="00E84F3C"/>
    <w:rsid w:val="00EA012C"/>
    <w:rsid w:val="00EC6A55"/>
    <w:rsid w:val="00ED0288"/>
    <w:rsid w:val="00EE52CB"/>
    <w:rsid w:val="00EF581D"/>
    <w:rsid w:val="00EF7FD8"/>
    <w:rsid w:val="00F06F59"/>
    <w:rsid w:val="00F1020D"/>
    <w:rsid w:val="00F17988"/>
    <w:rsid w:val="00F469F0"/>
    <w:rsid w:val="00F53273"/>
    <w:rsid w:val="00F755E4"/>
    <w:rsid w:val="00F77D02"/>
    <w:rsid w:val="00F973CC"/>
    <w:rsid w:val="00FB3A86"/>
    <w:rsid w:val="00FB537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563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link w:val="Judul1KAR"/>
    <w:uiPriority w:val="9"/>
    <w:qFormat/>
    <w:rsid w:val="00423789"/>
    <w:pPr>
      <w:keepNext/>
      <w:spacing w:before="240" w:after="60"/>
      <w:outlineLvl w:val="0"/>
    </w:pPr>
    <w:rPr>
      <w:rFonts w:ascii="Arial" w:hAnsi="Arial"/>
      <w:b/>
      <w:kern w:val="28"/>
      <w:sz w:val="28"/>
    </w:rPr>
  </w:style>
  <w:style w:type="paragraph" w:styleId="Judul2">
    <w:name w:val="heading 2"/>
    <w:basedOn w:val="Normal"/>
    <w:next w:val="Normal"/>
    <w:link w:val="Judul2KAR"/>
    <w:uiPriority w:val="9"/>
    <w:unhideWhenUsed/>
    <w:qFormat/>
    <w:rsid w:val="003A5D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unhideWhenUsed/>
    <w:qFormat/>
    <w:rsid w:val="003A5D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unhideWhenUsed/>
    <w:qFormat/>
    <w:rsid w:val="003A5DD8"/>
    <w:pPr>
      <w:keepNext/>
      <w:keepLines/>
      <w:spacing w:before="40"/>
      <w:outlineLvl w:val="3"/>
    </w:pPr>
    <w:rPr>
      <w:rFonts w:asciiTheme="majorHAnsi" w:eastAsiaTheme="majorEastAsia" w:hAnsiTheme="majorHAnsi" w:cstheme="majorBidi"/>
      <w:i/>
      <w:iCs/>
      <w:color w:val="365F91" w:themeColor="accent1" w:themeShade="BF"/>
    </w:rPr>
  </w:style>
  <w:style w:type="paragraph" w:styleId="Judul5">
    <w:name w:val="heading 5"/>
    <w:basedOn w:val="Normal"/>
    <w:next w:val="Normal"/>
    <w:link w:val="Judul5KAR"/>
    <w:uiPriority w:val="9"/>
    <w:qFormat/>
    <w:rsid w:val="00921CE9"/>
    <w:pPr>
      <w:keepNext/>
      <w:keepLines/>
      <w:spacing w:before="80" w:after="40" w:line="259" w:lineRule="auto"/>
      <w:outlineLvl w:val="4"/>
    </w:pPr>
    <w:rPr>
      <w:rFonts w:ascii="Calibri" w:eastAsia="Calibri" w:hAnsi="Calibri" w:cs="Calibri"/>
      <w:color w:val="2F5496"/>
      <w:sz w:val="22"/>
      <w:szCs w:val="22"/>
      <w:lang w:val="en-PH"/>
    </w:rPr>
  </w:style>
  <w:style w:type="paragraph" w:styleId="Judul6">
    <w:name w:val="heading 6"/>
    <w:basedOn w:val="Normal"/>
    <w:next w:val="Normal"/>
    <w:link w:val="Judul6KAR"/>
    <w:uiPriority w:val="9"/>
    <w:qFormat/>
    <w:rsid w:val="00921CE9"/>
    <w:pPr>
      <w:keepNext/>
      <w:keepLines/>
      <w:spacing w:before="40" w:line="259" w:lineRule="auto"/>
      <w:outlineLvl w:val="5"/>
    </w:pPr>
    <w:rPr>
      <w:rFonts w:ascii="Calibri" w:eastAsia="Calibri" w:hAnsi="Calibri" w:cs="Calibri"/>
      <w:i/>
      <w:iCs/>
      <w:color w:val="595959"/>
      <w:sz w:val="22"/>
      <w:szCs w:val="22"/>
      <w:lang w:val="en-PH"/>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link w:val="JudulK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K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K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uiPriority w:val="99"/>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customStyle="1" w:styleId="UnresolvedMention1">
    <w:name w:val="Unresolved Mention1"/>
    <w:basedOn w:val="FontParagrafDefault"/>
    <w:uiPriority w:val="99"/>
    <w:semiHidden/>
    <w:unhideWhenUsed/>
    <w:rsid w:val="00287E68"/>
    <w:rPr>
      <w:color w:val="605E5C"/>
      <w:shd w:val="clear" w:color="auto" w:fill="E1DFDD"/>
    </w:rPr>
  </w:style>
  <w:style w:type="character" w:customStyle="1" w:styleId="Judul2KAR">
    <w:name w:val="Judul 2 KAR"/>
    <w:basedOn w:val="FontParagrafDefault"/>
    <w:link w:val="Judul2"/>
    <w:uiPriority w:val="9"/>
    <w:rsid w:val="003A5DD8"/>
    <w:rPr>
      <w:rFonts w:asciiTheme="majorHAnsi" w:eastAsiaTheme="majorEastAsia" w:hAnsiTheme="majorHAnsi" w:cstheme="majorBidi"/>
      <w:color w:val="365F91" w:themeColor="accent1" w:themeShade="BF"/>
      <w:sz w:val="26"/>
      <w:szCs w:val="26"/>
    </w:rPr>
  </w:style>
  <w:style w:type="character" w:customStyle="1" w:styleId="Judul3KAR">
    <w:name w:val="Judul 3 KAR"/>
    <w:basedOn w:val="FontParagrafDefault"/>
    <w:link w:val="Judul3"/>
    <w:uiPriority w:val="9"/>
    <w:rsid w:val="003A5DD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A5DD8"/>
    <w:pPr>
      <w:spacing w:before="100" w:beforeAutospacing="1" w:after="100" w:afterAutospacing="1"/>
    </w:pPr>
    <w:rPr>
      <w:rFonts w:ascii="Times New Roman" w:hAnsi="Times New Roman"/>
      <w:sz w:val="24"/>
      <w:szCs w:val="24"/>
      <w:lang w:val="en-PH" w:eastAsia="en-PH"/>
    </w:rPr>
  </w:style>
  <w:style w:type="character" w:styleId="Kuat">
    <w:name w:val="Strong"/>
    <w:basedOn w:val="FontParagrafDefault"/>
    <w:uiPriority w:val="22"/>
    <w:qFormat/>
    <w:rsid w:val="003A5DD8"/>
    <w:rPr>
      <w:b/>
      <w:bCs/>
    </w:rPr>
  </w:style>
  <w:style w:type="character" w:customStyle="1" w:styleId="Judul4KAR">
    <w:name w:val="Judul 4 KAR"/>
    <w:basedOn w:val="FontParagrafDefault"/>
    <w:link w:val="Judul4"/>
    <w:uiPriority w:val="9"/>
    <w:rsid w:val="003A5DD8"/>
    <w:rPr>
      <w:rFonts w:asciiTheme="majorHAnsi" w:eastAsiaTheme="majorEastAsia" w:hAnsiTheme="majorHAnsi" w:cstheme="majorBidi"/>
      <w:i/>
      <w:iCs/>
      <w:color w:val="365F91" w:themeColor="accent1" w:themeShade="BF"/>
    </w:rPr>
  </w:style>
  <w:style w:type="character" w:customStyle="1" w:styleId="Judul5KAR">
    <w:name w:val="Judul 5 KAR"/>
    <w:basedOn w:val="FontParagrafDefault"/>
    <w:link w:val="Judul5"/>
    <w:uiPriority w:val="9"/>
    <w:rsid w:val="00921CE9"/>
    <w:rPr>
      <w:rFonts w:ascii="Calibri" w:eastAsia="Calibri" w:hAnsi="Calibri" w:cs="Calibri"/>
      <w:color w:val="2F5496"/>
      <w:sz w:val="22"/>
      <w:szCs w:val="22"/>
      <w:lang w:val="en-PH"/>
    </w:rPr>
  </w:style>
  <w:style w:type="character" w:customStyle="1" w:styleId="Judul6KAR">
    <w:name w:val="Judul 6 KAR"/>
    <w:basedOn w:val="FontParagrafDefault"/>
    <w:link w:val="Judul6"/>
    <w:uiPriority w:val="9"/>
    <w:rsid w:val="00921CE9"/>
    <w:rPr>
      <w:rFonts w:ascii="Calibri" w:eastAsia="Calibri" w:hAnsi="Calibri" w:cs="Calibri"/>
      <w:i/>
      <w:iCs/>
      <w:color w:val="595959"/>
      <w:sz w:val="22"/>
      <w:szCs w:val="22"/>
      <w:lang w:val="en-PH"/>
    </w:rPr>
  </w:style>
  <w:style w:type="table" w:customStyle="1" w:styleId="TableNormal">
    <w:name w:val="TableNormal"/>
    <w:rsid w:val="00921CE9"/>
    <w:pPr>
      <w:spacing w:after="160" w:line="259" w:lineRule="auto"/>
    </w:pPr>
    <w:rPr>
      <w:rFonts w:ascii="Calibri" w:eastAsia="Calibri" w:hAnsi="Calibri" w:cs="Calibri"/>
      <w:sz w:val="22"/>
      <w:szCs w:val="22"/>
      <w:lang w:val="en-PH"/>
    </w:rPr>
    <w:tblPr>
      <w:tblCellMar>
        <w:top w:w="100" w:type="dxa"/>
        <w:left w:w="100" w:type="dxa"/>
        <w:bottom w:w="100" w:type="dxa"/>
        <w:right w:w="100" w:type="dxa"/>
      </w:tblCellMar>
    </w:tblPr>
  </w:style>
  <w:style w:type="paragraph" w:styleId="Subjudul">
    <w:name w:val="Subtitle"/>
    <w:basedOn w:val="Normal"/>
    <w:next w:val="Normal"/>
    <w:link w:val="SubjudulKAR"/>
    <w:uiPriority w:val="11"/>
    <w:qFormat/>
    <w:rsid w:val="00921CE9"/>
    <w:pPr>
      <w:spacing w:after="160" w:line="259" w:lineRule="auto"/>
    </w:pPr>
    <w:rPr>
      <w:rFonts w:ascii="Calibri" w:eastAsia="Calibri" w:hAnsi="Calibri" w:cs="Calibri"/>
      <w:color w:val="595959"/>
      <w:sz w:val="28"/>
      <w:szCs w:val="28"/>
      <w:lang w:val="en-PH"/>
    </w:rPr>
  </w:style>
  <w:style w:type="character" w:customStyle="1" w:styleId="SubjudulKAR">
    <w:name w:val="Subjudul KAR"/>
    <w:basedOn w:val="FontParagrafDefault"/>
    <w:link w:val="Subjudul"/>
    <w:uiPriority w:val="11"/>
    <w:rsid w:val="00921CE9"/>
    <w:rPr>
      <w:rFonts w:ascii="Calibri" w:eastAsia="Calibri" w:hAnsi="Calibri" w:cs="Calibri"/>
      <w:color w:val="595959"/>
      <w:sz w:val="28"/>
      <w:szCs w:val="28"/>
      <w:lang w:val="en-PH"/>
    </w:rPr>
  </w:style>
  <w:style w:type="table" w:customStyle="1" w:styleId="32">
    <w:name w:val="32"/>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31">
    <w:name w:val="31"/>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30">
    <w:name w:val="30"/>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9">
    <w:name w:val="29"/>
    <w:basedOn w:val="TableNormal"/>
    <w:rsid w:val="00921CE9"/>
    <w:tblPr>
      <w:tblStyleRowBandSize w:val="1"/>
      <w:tblStyleColBandSize w:val="1"/>
      <w:tblCellMar>
        <w:top w:w="15" w:type="dxa"/>
        <w:left w:w="15" w:type="dxa"/>
        <w:bottom w:w="15" w:type="dxa"/>
        <w:right w:w="15" w:type="dxa"/>
      </w:tblCellMar>
    </w:tblPr>
  </w:style>
  <w:style w:type="table" w:customStyle="1" w:styleId="28">
    <w:name w:val="28"/>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7">
    <w:name w:val="27"/>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6">
    <w:name w:val="26"/>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5">
    <w:name w:val="25"/>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4">
    <w:name w:val="24"/>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3">
    <w:name w:val="23"/>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2">
    <w:name w:val="22"/>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1">
    <w:name w:val="21"/>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20">
    <w:name w:val="20"/>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9">
    <w:name w:val="19"/>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8">
    <w:name w:val="18"/>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7">
    <w:name w:val="17"/>
    <w:basedOn w:val="TableNormal"/>
    <w:rsid w:val="00921CE9"/>
    <w:tblPr>
      <w:tblStyleRowBandSize w:val="1"/>
      <w:tblStyleColBandSize w:val="1"/>
    </w:tblPr>
  </w:style>
  <w:style w:type="table" w:customStyle="1" w:styleId="16">
    <w:name w:val="16"/>
    <w:basedOn w:val="TableNormal"/>
    <w:rsid w:val="00921CE9"/>
    <w:tblPr>
      <w:tblStyleRowBandSize w:val="1"/>
      <w:tblStyleColBandSize w:val="1"/>
    </w:tblPr>
  </w:style>
  <w:style w:type="table" w:customStyle="1" w:styleId="15">
    <w:name w:val="15"/>
    <w:basedOn w:val="TableNormal"/>
    <w:rsid w:val="00921CE9"/>
    <w:tblPr>
      <w:tblStyleRowBandSize w:val="1"/>
      <w:tblStyleColBandSize w:val="1"/>
    </w:tblPr>
  </w:style>
  <w:style w:type="table" w:customStyle="1" w:styleId="14">
    <w:name w:val="14"/>
    <w:basedOn w:val="TableNormal"/>
    <w:rsid w:val="00921CE9"/>
    <w:tblPr>
      <w:tblStyleRowBandSize w:val="1"/>
      <w:tblStyleColBandSize w:val="1"/>
      <w:tblCellMar>
        <w:top w:w="0" w:type="dxa"/>
        <w:left w:w="0" w:type="dxa"/>
        <w:bottom w:w="0" w:type="dxa"/>
        <w:right w:w="0" w:type="dxa"/>
      </w:tblCellMar>
    </w:tblPr>
  </w:style>
  <w:style w:type="table" w:customStyle="1" w:styleId="13">
    <w:name w:val="13"/>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2">
    <w:name w:val="12"/>
    <w:basedOn w:val="TableNormal"/>
    <w:rsid w:val="00921CE9"/>
    <w:tblPr>
      <w:tblStyleRowBandSize w:val="1"/>
      <w:tblStyleColBandSize w:val="1"/>
      <w:tblCellMar>
        <w:top w:w="15" w:type="dxa"/>
        <w:left w:w="15" w:type="dxa"/>
        <w:bottom w:w="15" w:type="dxa"/>
        <w:right w:w="15" w:type="dxa"/>
      </w:tblCellMar>
    </w:tblPr>
  </w:style>
  <w:style w:type="table" w:customStyle="1" w:styleId="11">
    <w:name w:val="11"/>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10">
    <w:name w:val="10"/>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9">
    <w:name w:val="9"/>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8">
    <w:name w:val="8"/>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7">
    <w:name w:val="7"/>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6">
    <w:name w:val="6"/>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
    <w:rsid w:val="00921CE9"/>
    <w:pPr>
      <w:spacing w:after="0" w:line="240" w:lineRule="auto"/>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3">
    <w:name w:val="3"/>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
    <w:rsid w:val="00921CE9"/>
    <w:pPr>
      <w:spacing w:after="0" w:line="240" w:lineRule="auto"/>
    </w:pPr>
    <w:tblPr>
      <w:tblStyleRowBandSize w:val="1"/>
      <w:tblStyleColBandSize w:val="1"/>
      <w:tblCellMar>
        <w:top w:w="0" w:type="dxa"/>
        <w:left w:w="108" w:type="dxa"/>
        <w:bottom w:w="0" w:type="dxa"/>
        <w:right w:w="108" w:type="dxa"/>
      </w:tblCellMar>
    </w:tblPr>
  </w:style>
  <w:style w:type="character" w:customStyle="1" w:styleId="FooterKAR">
    <w:name w:val="Footer KAR"/>
    <w:basedOn w:val="FontParagrafDefault"/>
    <w:link w:val="Footer"/>
    <w:uiPriority w:val="99"/>
    <w:rsid w:val="00921CE9"/>
    <w:rPr>
      <w:rFonts w:ascii="Helvetica" w:hAnsi="Helvetica"/>
    </w:rPr>
  </w:style>
  <w:style w:type="character" w:customStyle="1" w:styleId="HeaderKAR">
    <w:name w:val="Header KAR"/>
    <w:basedOn w:val="FontParagrafDefault"/>
    <w:link w:val="Header"/>
    <w:uiPriority w:val="99"/>
    <w:rsid w:val="00921CE9"/>
    <w:rPr>
      <w:rFonts w:ascii="Helvetica" w:hAnsi="Helvetica"/>
    </w:rPr>
  </w:style>
  <w:style w:type="character" w:customStyle="1" w:styleId="Judul1KAR">
    <w:name w:val="Judul 1 KAR"/>
    <w:basedOn w:val="FontParagrafDefault"/>
    <w:link w:val="Judul1"/>
    <w:uiPriority w:val="9"/>
    <w:rsid w:val="00921CE9"/>
    <w:rPr>
      <w:rFonts w:ascii="Arial" w:hAnsi="Arial"/>
      <w:b/>
      <w:kern w:val="28"/>
      <w:sz w:val="28"/>
    </w:rPr>
  </w:style>
  <w:style w:type="character" w:customStyle="1" w:styleId="JudulKAR">
    <w:name w:val="Judul KAR"/>
    <w:basedOn w:val="FontParagrafDefault"/>
    <w:link w:val="Judul"/>
    <w:uiPriority w:val="10"/>
    <w:rsid w:val="00921CE9"/>
    <w:rPr>
      <w:rFonts w:ascii="Helvetica" w:hAnsi="Helvetica"/>
      <w:b/>
      <w:kern w:val="28"/>
      <w:sz w:val="36"/>
    </w:rPr>
  </w:style>
  <w:style w:type="paragraph" w:styleId="DaftarParagraf">
    <w:name w:val="List Paragraph"/>
    <w:basedOn w:val="Normal"/>
    <w:uiPriority w:val="34"/>
    <w:qFormat/>
    <w:rsid w:val="00921CE9"/>
    <w:pPr>
      <w:spacing w:after="160" w:line="259" w:lineRule="auto"/>
      <w:ind w:left="720"/>
      <w:contextualSpacing/>
    </w:pPr>
    <w:rPr>
      <w:rFonts w:ascii="Calibri" w:eastAsia="Calibri" w:hAnsi="Calibri" w:cs="Calibri"/>
      <w:sz w:val="22"/>
      <w:szCs w:val="22"/>
      <w:lang w:val="en-PH"/>
    </w:rPr>
  </w:style>
  <w:style w:type="paragraph" w:styleId="TeksIsi">
    <w:name w:val="Body Text"/>
    <w:basedOn w:val="Normal"/>
    <w:link w:val="TeksIsiKAR"/>
    <w:uiPriority w:val="1"/>
    <w:qFormat/>
    <w:rsid w:val="00921CE9"/>
    <w:pPr>
      <w:widowControl w:val="0"/>
      <w:autoSpaceDE w:val="0"/>
      <w:autoSpaceDN w:val="0"/>
    </w:pPr>
    <w:rPr>
      <w:rFonts w:ascii="Times New Roman" w:hAnsi="Times New Roman"/>
      <w:sz w:val="22"/>
      <w:szCs w:val="22"/>
    </w:rPr>
  </w:style>
  <w:style w:type="character" w:customStyle="1" w:styleId="TeksIsiKAR">
    <w:name w:val="Teks Isi KAR"/>
    <w:basedOn w:val="FontParagrafDefault"/>
    <w:link w:val="TeksIsi"/>
    <w:uiPriority w:val="1"/>
    <w:rsid w:val="00921CE9"/>
    <w:rPr>
      <w:sz w:val="22"/>
      <w:szCs w:val="22"/>
    </w:rPr>
  </w:style>
  <w:style w:type="paragraph" w:styleId="TidakAdaSpasi">
    <w:name w:val="No Spacing"/>
    <w:uiPriority w:val="1"/>
    <w:qFormat/>
    <w:rsid w:val="00921CE9"/>
    <w:rPr>
      <w:rFonts w:ascii="Calibri" w:eastAsia="Calibri" w:hAnsi="Calibri" w:cs="Calibri"/>
      <w:sz w:val="22"/>
      <w:szCs w:val="22"/>
      <w:lang w:val="en-PH"/>
    </w:rPr>
  </w:style>
  <w:style w:type="paragraph" w:styleId="SubjekKomentar">
    <w:name w:val="annotation subject"/>
    <w:basedOn w:val="TeksKomentar"/>
    <w:next w:val="TeksKomentar"/>
    <w:link w:val="SubjekKomentarKAR"/>
    <w:semiHidden/>
    <w:unhideWhenUsed/>
    <w:rsid w:val="00B97AEE"/>
    <w:rPr>
      <w:rFonts w:ascii="Helvetica" w:hAnsi="Helvetica"/>
      <w:b/>
      <w:bCs/>
      <w:lang w:val="en-US" w:eastAsia="en-US"/>
    </w:rPr>
  </w:style>
  <w:style w:type="character" w:customStyle="1" w:styleId="SubjekKomentarKAR">
    <w:name w:val="Subjek Komentar KAR"/>
    <w:basedOn w:val="TeksKomentarKAR"/>
    <w:link w:val="SubjekKomentar"/>
    <w:semiHidden/>
    <w:rsid w:val="00B97AE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link.springer.com/content/pdf/10.1186/s12909-025-07611-y.pdf" TargetMode="External"/><Relationship Id="rId39" Type="http://schemas.openxmlformats.org/officeDocument/2006/relationships/hyperlink" Target="https://doi.org/10.1177/0013164409355692" TargetMode="External"/><Relationship Id="rId21" Type="http://schemas.openxmlformats.org/officeDocument/2006/relationships/hyperlink" Target="https://doi.org/10.1177/23779608241233146" TargetMode="External"/><Relationship Id="rId34" Type="http://schemas.openxmlformats.org/officeDocument/2006/relationships/hyperlink" Target="https://doi.org/10.1016/j.nepr.2022.103430" TargetMode="External"/><Relationship Id="rId42" Type="http://schemas.openxmlformats.org/officeDocument/2006/relationships/hyperlink" Target="https://doi.org/10.31436/ijcs.v4i1.165" TargetMode="External"/><Relationship Id="rId47" Type="http://schemas.openxmlformats.org/officeDocument/2006/relationships/hyperlink" Target="https://doi.org/10.1097/nne.0000000000001740" TargetMode="External"/><Relationship Id="rId50" Type="http://schemas.openxmlformats.org/officeDocument/2006/relationships/hyperlink" Target="https://www.pchrd.dost.gov.ph/publications/2022-national-ethical-guidelines/" TargetMode="External"/><Relationship Id="rId55" Type="http://schemas.openxmlformats.org/officeDocument/2006/relationships/hyperlink" Target="https://doi.org/10.4236/ojn.2015.51004"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oi.org/10.1186/s12912-024-01944-7" TargetMode="External"/><Relationship Id="rId11" Type="http://schemas.openxmlformats.org/officeDocument/2006/relationships/header" Target="header1.xml"/><Relationship Id="rId24" Type="http://schemas.openxmlformats.org/officeDocument/2006/relationships/hyperlink" Target="https://doi.org/10.1186/s12909-024-06114-6" TargetMode="External"/><Relationship Id="rId32" Type="http://schemas.openxmlformats.org/officeDocument/2006/relationships/hyperlink" Target="https://pdf.ipinnovative.com/pdf/22058" TargetMode="External"/><Relationship Id="rId37" Type="http://schemas.openxmlformats.org/officeDocument/2006/relationships/hyperlink" Target="https://doi.org/10.1136/eb-2015-102129" TargetMode="External"/><Relationship Id="rId40" Type="http://schemas.openxmlformats.org/officeDocument/2006/relationships/hyperlink" Target="https://doi.org/10.1177/08980101231163966" TargetMode="External"/><Relationship Id="rId45" Type="http://schemas.openxmlformats.org/officeDocument/2006/relationships/hyperlink" Target="https://www.scribbr.com/methodology/validity/" TargetMode="External"/><Relationship Id="rId53" Type="http://schemas.openxmlformats.org/officeDocument/2006/relationships/hyperlink" Target="https://doi.org/10.5116/ijme.4dfb.8dfd" TargetMode="External"/><Relationship Id="rId58" Type="http://schemas.openxmlformats.org/officeDocument/2006/relationships/hyperlink" Target="https://iris.who.int/handle/10665/44100" TargetMode="External"/><Relationship Id="rId5" Type="http://schemas.openxmlformats.org/officeDocument/2006/relationships/numbering" Target="numbering.xml"/><Relationship Id="rId61" Type="http://schemas.openxmlformats.org/officeDocument/2006/relationships/fontTable" Target="fontTable.xml"/><Relationship Id="rId1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186/s12909-020-1964-5" TargetMode="External"/><Relationship Id="rId27" Type="http://schemas.openxmlformats.org/officeDocument/2006/relationships/hyperlink" Target="https://link.springer.com/article/10.1186/s13104-025-07396-9" TargetMode="External"/><Relationship Id="rId30" Type="http://schemas.openxmlformats.org/officeDocument/2006/relationships/hyperlink" Target="https://doi.org/10.1097/acm.0000000000003655" TargetMode="External"/><Relationship Id="rId35" Type="http://schemas.openxmlformats.org/officeDocument/2006/relationships/hyperlink" Target="https://globalgoals.org/goals/3-good-health-and-well-being/" TargetMode="External"/><Relationship Id="rId43" Type="http://schemas.openxmlformats.org/officeDocument/2006/relationships/hyperlink" Target="https://doi.org/10.12968/ijtr.2010.17.1.45988" TargetMode="External"/><Relationship Id="rId48" Type="http://schemas.openxmlformats.org/officeDocument/2006/relationships/hyperlink" Target="https://doi.org/10.1111/1475-6773.14016" TargetMode="External"/><Relationship Id="rId56" Type="http://schemas.openxmlformats.org/officeDocument/2006/relationships/hyperlink" Target="https://doi.org/10.1111/jep.13293" TargetMode="External"/><Relationship Id="rId8" Type="http://schemas.openxmlformats.org/officeDocument/2006/relationships/webSettings" Target="webSettings.xml"/><Relationship Id="rId51" Type="http://schemas.openxmlformats.org/officeDocument/2006/relationships/hyperlink" Target="https://doi.org/10.47895/amp.vi0.1203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nurseslabs.com/jean-watsons-philosophy-theory-transpersonal-caring/" TargetMode="External"/><Relationship Id="rId33" Type="http://schemas.openxmlformats.org/officeDocument/2006/relationships/hyperlink" Target="https://www.herdin.ph/index.php/component/herdin/?view=research&amp;cid=88444" TargetMode="External"/><Relationship Id="rId38" Type="http://schemas.openxmlformats.org/officeDocument/2006/relationships/hyperlink" Target="https://doi.org/10.1186/s40359-024-02174-x" TargetMode="External"/><Relationship Id="rId46" Type="http://schemas.openxmlformats.org/officeDocument/2006/relationships/hyperlink" Target="https://doi.org/10.1186/s12909-024-06562-0" TargetMode="External"/><Relationship Id="rId59" Type="http://schemas.openxmlformats.org/officeDocument/2006/relationships/hyperlink" Target="https://doi.org/10.1111/j.1365-2648.2008.04831.x" TargetMode="External"/><Relationship Id="rId20" Type="http://schemas.microsoft.com/office/2018/08/relationships/commentsExtensible" Target="commentsExtensible.xml"/><Relationship Id="rId41" Type="http://schemas.openxmlformats.org/officeDocument/2006/relationships/hyperlink" Target="https://doi.org/10.1186/s12909-024-05962-6" TargetMode="External"/><Relationship Id="rId54" Type="http://schemas.openxmlformats.org/officeDocument/2006/relationships/hyperlink" Target="https://www.wallstreetmojo.com/stratified-sampling/"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easystats.github.io/effectsize/articles/interpret.html" TargetMode="External"/><Relationship Id="rId28" Type="http://schemas.openxmlformats.org/officeDocument/2006/relationships/hyperlink" Target="https://doi.org/10.20473/jn.v19i4.56238" TargetMode="External"/><Relationship Id="rId36" Type="http://schemas.openxmlformats.org/officeDocument/2006/relationships/hyperlink" Target="https://pmc.ncbi.nlm.nih.gov/articles/PMC7459869/" TargetMode="External"/><Relationship Id="rId49" Type="http://schemas.openxmlformats.org/officeDocument/2006/relationships/hyperlink" Target="https://pubmed.ncbi.nlm.nih.gov/39901697/" TargetMode="External"/><Relationship Id="rId57" Type="http://schemas.openxmlformats.org/officeDocument/2006/relationships/hyperlink" Target="https://doi.org/10.1016/j.pec.2022.06.015" TargetMode="External"/><Relationship Id="rId10" Type="http://schemas.openxmlformats.org/officeDocument/2006/relationships/endnotes" Target="endnotes.xml"/><Relationship Id="rId31" Type="http://schemas.openxmlformats.org/officeDocument/2006/relationships/hyperlink" Target="https://doi.org/10.1016/j.nedt.2022.105649" TargetMode="External"/><Relationship Id="rId44" Type="http://schemas.openxmlformats.org/officeDocument/2006/relationships/hyperlink" Target="https://doi.org/10.3389/fmed.2021.758377" TargetMode="External"/><Relationship Id="rId52" Type="http://schemas.openxmlformats.org/officeDocument/2006/relationships/hyperlink" Target="https://doi.org/10.2139/ssrn.3205035" TargetMode="External"/><Relationship Id="rId60" Type="http://schemas.openxmlformats.org/officeDocument/2006/relationships/hyperlink" Target="https://doi.org/10.1186/s12912-025-03840-0"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9AD767093D545BC590C5FCCB522A7" ma:contentTypeVersion="5" ma:contentTypeDescription="Create a new document." ma:contentTypeScope="" ma:versionID="0d6cdea1523198cf1b14937a2b0168e2">
  <xsd:schema xmlns:xsd="http://www.w3.org/2001/XMLSchema" xmlns:xs="http://www.w3.org/2001/XMLSchema" xmlns:p="http://schemas.microsoft.com/office/2006/metadata/properties" xmlns:ns3="2e5b9d13-3cea-4637-8fcd-ae54db624af8" targetNamespace="http://schemas.microsoft.com/office/2006/metadata/properties" ma:root="true" ma:fieldsID="e3329f51e5adb4be525cef5f64fe821b" ns3:_="">
    <xsd:import namespace="2e5b9d13-3cea-4637-8fcd-ae54db624af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9d13-3cea-4637-8fcd-ae54db624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D77F0-A081-4B39-8D5B-06024951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9d13-3cea-4637-8fcd-ae54db624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EB96F-F2CE-4CAE-9DD7-D581F41EF4F7}">
  <ds:schemaRefs>
    <ds:schemaRef ds:uri="http://schemas.openxmlformats.org/officeDocument/2006/bibliography"/>
  </ds:schemaRefs>
</ds:datastoreItem>
</file>

<file path=customXml/itemProps3.xml><?xml version="1.0" encoding="utf-8"?>
<ds:datastoreItem xmlns:ds="http://schemas.openxmlformats.org/officeDocument/2006/customXml" ds:itemID="{11301E02-1843-4C12-8EE0-A1E4F8501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1224D5-0595-4008-836F-464A36F0C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38</TotalTime>
  <Pages>13</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9</cp:revision>
  <cp:lastPrinted>1999-07-06T11:00:00Z</cp:lastPrinted>
  <dcterms:created xsi:type="dcterms:W3CDTF">2026-03-24T10:10:00Z</dcterms:created>
  <dcterms:modified xsi:type="dcterms:W3CDTF">2026-03-27T09:25:00Z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0x0101001F59AD767093D545BC590C5FCCB522A7</vt:lpwstr>
  </property>
</Properties>
</file>