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76BD4" w14:textId="77777777" w:rsidR="00633588" w:rsidRDefault="00633588" w:rsidP="00A05783">
      <w:pPr>
        <w:pStyle w:val="Author"/>
        <w:spacing w:line="240" w:lineRule="auto"/>
      </w:pPr>
      <w:r>
        <w:t>Next-Generation Farming: The Role of Nanotechnology in Agricultural Sustainability</w:t>
      </w:r>
    </w:p>
    <w:p w14:paraId="7D4AE9AD" w14:textId="77777777" w:rsidR="00A05783" w:rsidRDefault="00A05783" w:rsidP="00A05783">
      <w:pPr>
        <w:pStyle w:val="Author"/>
        <w:spacing w:line="240" w:lineRule="auto"/>
      </w:pPr>
    </w:p>
    <w:p w14:paraId="263B8D5B" w14:textId="77777777" w:rsidR="008D4045" w:rsidRDefault="008D4045" w:rsidP="00DD0F76">
      <w:pPr>
        <w:pStyle w:val="AbstHead"/>
        <w:spacing w:after="0"/>
        <w:jc w:val="both"/>
        <w:rPr>
          <w:rFonts w:ascii="Arial" w:hAnsi="Arial" w:cs="Arial"/>
          <w:sz w:val="20"/>
        </w:rPr>
      </w:pPr>
    </w:p>
    <w:p w14:paraId="20063058" w14:textId="0428A481" w:rsidR="00B01FCD" w:rsidRPr="005F3FD2" w:rsidRDefault="00B01FCD" w:rsidP="00DD0F76">
      <w:pPr>
        <w:pStyle w:val="AbstHead"/>
        <w:spacing w:after="0"/>
        <w:jc w:val="both"/>
        <w:rPr>
          <w:rFonts w:ascii="Arial" w:hAnsi="Arial" w:cs="Arial"/>
          <w:sz w:val="20"/>
        </w:rPr>
      </w:pPr>
      <w:r w:rsidRPr="005F3FD2">
        <w:rPr>
          <w:rFonts w:ascii="Arial" w:hAnsi="Arial" w:cs="Arial"/>
          <w:sz w:val="20"/>
        </w:rPr>
        <w:t>ABSTRACT</w:t>
      </w:r>
      <w:r w:rsidR="0066510A" w:rsidRPr="005F3FD2">
        <w:rPr>
          <w:rFonts w:ascii="Arial" w:hAnsi="Arial" w:cs="Arial"/>
          <w:sz w:val="20"/>
        </w:rPr>
        <w:t xml:space="preserve"> </w:t>
      </w:r>
    </w:p>
    <w:p w14:paraId="28796F52" w14:textId="77777777" w:rsidR="00790ADA" w:rsidRPr="005F3FD2" w:rsidRDefault="00790ADA" w:rsidP="00DD0F7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5F3FD2" w:rsidRPr="005F3FD2" w14:paraId="6224D010" w14:textId="77777777" w:rsidTr="001E44FE">
        <w:tc>
          <w:tcPr>
            <w:tcW w:w="9576" w:type="dxa"/>
            <w:shd w:val="clear" w:color="auto" w:fill="F2F2F2"/>
          </w:tcPr>
          <w:p w14:paraId="47E03AD0" w14:textId="77777777" w:rsidR="00633588" w:rsidRPr="00633588" w:rsidRDefault="00633588" w:rsidP="00633588">
            <w:pPr>
              <w:pStyle w:val="BodyText"/>
              <w:ind w:left="102" w:right="88"/>
              <w:rPr>
                <w:rFonts w:ascii="Arial" w:eastAsia="Calibri" w:hAnsi="Arial" w:cs="Arial"/>
              </w:rPr>
            </w:pPr>
          </w:p>
          <w:p w14:paraId="32BB9A8D" w14:textId="003D1A8D" w:rsidR="00505F06" w:rsidRPr="005F3FD2" w:rsidRDefault="00633588" w:rsidP="00633588">
            <w:pPr>
              <w:pStyle w:val="BodyText"/>
              <w:ind w:left="102" w:right="88"/>
              <w:rPr>
                <w:rFonts w:ascii="Arial" w:eastAsia="Calibri" w:hAnsi="Arial" w:cs="Arial"/>
              </w:rPr>
            </w:pPr>
            <w:r w:rsidRPr="00633588">
              <w:rPr>
                <w:rFonts w:ascii="Arial" w:eastAsia="Calibri" w:hAnsi="Arial" w:cs="Arial"/>
              </w:rPr>
              <w:t>Nanotechnology offers promising solutions for improving agricultural productivity and sustainability by delivering nutrients and crop-protection agents in a precise way. This study reviews recent advances in agricultural nanotechnology, focusing on nano-fertilizers, nano-pesticides, soil and water management, and food packaging applications. We systematically analyzed published literature and compared nano-enabled inputs with conventional agrochemicals. The results show that nano-fertilizers improve nutrient use and increase crop yield through controlled release. Meanwhile, nano-pesticides enhance pest control with lower doses and less environmental impact. Nanomaterials also boost soil water retention and extend food shelf life with smart packaging technologies. However, uncertainties about environmental effects, toxicity, and regulation still pose challenges. Overall, nanotechnology has strong potential to support sustainable agriculture if its use is guided by careful risk assessment and responsible management.</w:t>
            </w:r>
          </w:p>
        </w:tc>
      </w:tr>
    </w:tbl>
    <w:p w14:paraId="394EE289" w14:textId="77777777" w:rsidR="00636EB2" w:rsidRPr="005F3FD2" w:rsidRDefault="00636EB2" w:rsidP="00DD0F76">
      <w:pPr>
        <w:pStyle w:val="Body"/>
        <w:spacing w:after="0"/>
        <w:rPr>
          <w:rFonts w:ascii="Arial" w:hAnsi="Arial" w:cs="Arial"/>
          <w:i/>
        </w:rPr>
      </w:pPr>
    </w:p>
    <w:p w14:paraId="333EF494" w14:textId="701855C0" w:rsidR="00633588" w:rsidRPr="00633588" w:rsidRDefault="00A24E7E" w:rsidP="00633588">
      <w:pPr>
        <w:pStyle w:val="NormalWeb"/>
        <w:rPr>
          <w:rFonts w:ascii="Arial" w:hAnsi="Arial" w:cs="Arial"/>
          <w:sz w:val="20"/>
          <w:szCs w:val="20"/>
        </w:rPr>
      </w:pPr>
      <w:r w:rsidRPr="00633588">
        <w:rPr>
          <w:rFonts w:ascii="Arial" w:hAnsi="Arial" w:cs="Arial"/>
          <w:i/>
          <w:sz w:val="20"/>
          <w:szCs w:val="20"/>
        </w:rPr>
        <w:t>Keywords</w:t>
      </w:r>
      <w:r w:rsidR="00633588" w:rsidRPr="00633588">
        <w:rPr>
          <w:rStyle w:val="Strong"/>
          <w:rFonts w:ascii="Arial" w:hAnsi="Arial" w:cs="Arial"/>
          <w:sz w:val="20"/>
          <w:szCs w:val="20"/>
        </w:rPr>
        <w:t>:</w:t>
      </w:r>
      <w:r w:rsidR="00633588" w:rsidRPr="00633588">
        <w:rPr>
          <w:rFonts w:ascii="Arial" w:hAnsi="Arial" w:cs="Arial"/>
          <w:sz w:val="20"/>
          <w:szCs w:val="20"/>
        </w:rPr>
        <w:t xml:space="preserve"> Nanotechnology; Nano-fertilizers; Nano-pesticides; Sustainable agriculture; Precision farming</w:t>
      </w:r>
    </w:p>
    <w:p w14:paraId="5569F7BA" w14:textId="77777777" w:rsidR="00505F06" w:rsidRPr="005F3FD2" w:rsidRDefault="00505F06" w:rsidP="00DD0F76">
      <w:pPr>
        <w:pStyle w:val="Body"/>
        <w:spacing w:after="0"/>
        <w:rPr>
          <w:rFonts w:ascii="Arial" w:hAnsi="Arial" w:cs="Arial"/>
          <w:i/>
        </w:rPr>
      </w:pPr>
    </w:p>
    <w:p w14:paraId="5D517981" w14:textId="7F0121A1" w:rsidR="007F7B32" w:rsidRPr="005F3FD2" w:rsidRDefault="00902823" w:rsidP="00DD0F76">
      <w:pPr>
        <w:pStyle w:val="AbstHead"/>
        <w:spacing w:after="0"/>
        <w:jc w:val="both"/>
        <w:rPr>
          <w:rFonts w:ascii="Arial" w:hAnsi="Arial" w:cs="Arial"/>
          <w:sz w:val="20"/>
        </w:rPr>
      </w:pPr>
      <w:r w:rsidRPr="005F3FD2">
        <w:rPr>
          <w:rFonts w:ascii="Arial" w:hAnsi="Arial" w:cs="Arial"/>
          <w:sz w:val="20"/>
        </w:rPr>
        <w:t xml:space="preserve">1. </w:t>
      </w:r>
      <w:r w:rsidR="00B01FCD" w:rsidRPr="005F3FD2">
        <w:rPr>
          <w:rFonts w:ascii="Arial" w:hAnsi="Arial" w:cs="Arial"/>
          <w:sz w:val="20"/>
        </w:rPr>
        <w:t>INTRODUCTION</w:t>
      </w:r>
      <w:r w:rsidR="007F7B32" w:rsidRPr="005F3FD2">
        <w:rPr>
          <w:rFonts w:ascii="Arial" w:hAnsi="Arial" w:cs="Arial"/>
          <w:sz w:val="20"/>
        </w:rPr>
        <w:t xml:space="preserve"> </w:t>
      </w:r>
    </w:p>
    <w:p w14:paraId="19AF2906" w14:textId="77777777" w:rsidR="00790ADA" w:rsidRPr="005F3FD2" w:rsidRDefault="00790ADA" w:rsidP="00DD0F76">
      <w:pPr>
        <w:pStyle w:val="AbstHead"/>
        <w:spacing w:after="0"/>
        <w:jc w:val="both"/>
        <w:rPr>
          <w:rFonts w:ascii="Arial" w:hAnsi="Arial" w:cs="Arial"/>
          <w:sz w:val="20"/>
        </w:rPr>
      </w:pPr>
    </w:p>
    <w:p w14:paraId="2DE40261" w14:textId="77777777" w:rsidR="00DF6920" w:rsidRPr="005F3FD2" w:rsidRDefault="00DF6920" w:rsidP="00DD0F76">
      <w:pPr>
        <w:pStyle w:val="Body"/>
        <w:rPr>
          <w:rFonts w:ascii="Arial" w:hAnsi="Arial" w:cs="Arial"/>
        </w:rPr>
      </w:pPr>
      <w:commentRangeStart w:id="0"/>
      <w:r w:rsidRPr="005F3FD2">
        <w:rPr>
          <w:rFonts w:ascii="Arial" w:hAnsi="Arial" w:cs="Arial"/>
        </w:rPr>
        <w:t>Nanotechnology is a field that combines various branches of science to manipulate matter at the atomic and molecular level. It focuses on creating new structures, materials, and devices that work effectively at the nanometer scale. This technology can change the physical, chemical, and biological properties of materials. As a result, it has become a game-changing approach with uses in medicine, manufacturing, energy, materials science, and engineering.</w:t>
      </w:r>
    </w:p>
    <w:p w14:paraId="5B5A91CE" w14:textId="18A849FF" w:rsidR="00DF6920" w:rsidRPr="005F3FD2" w:rsidRDefault="00DF6920" w:rsidP="00DD0F76">
      <w:pPr>
        <w:pStyle w:val="Body"/>
        <w:rPr>
          <w:rFonts w:ascii="Arial" w:hAnsi="Arial" w:cs="Arial"/>
        </w:rPr>
      </w:pPr>
      <w:r w:rsidRPr="005F3FD2">
        <w:rPr>
          <w:rFonts w:ascii="Arial" w:hAnsi="Arial" w:cs="Arial"/>
        </w:rPr>
        <w:t>A nanometer (nm) is a basic unit of length in the metric system, equal to one billionth of a meter. The prefix nano comes from the Greek word nanos, meaning “dwarf,” which signifies very small size. For perspective, a centimeter is one hundredth of a meter, while a nanometer shows properties of matter that aren't noticeable at larger scales. Typically, nanostructures measure between 1 and 100 nm, where surface area, reactivity, and quantum effects take precedence. These unique properties are the basis for the wide-ranging applications of nanotechnology.</w:t>
      </w:r>
    </w:p>
    <w:p w14:paraId="3FC61565" w14:textId="77777777" w:rsidR="00DF6920" w:rsidRPr="005F3FD2" w:rsidRDefault="00DF6920" w:rsidP="00DD0F76">
      <w:pPr>
        <w:pStyle w:val="Body"/>
        <w:rPr>
          <w:rFonts w:ascii="Arial" w:hAnsi="Arial" w:cs="Arial"/>
        </w:rPr>
      </w:pPr>
      <w:r w:rsidRPr="005F3FD2">
        <w:rPr>
          <w:rFonts w:ascii="Arial" w:hAnsi="Arial" w:cs="Arial"/>
        </w:rPr>
        <w:t>While nanotechnology has found extensive use in fields like food technology and pharmaceuticals, its application in agriculture is newer but growing fast. It offers exciting solutions to boost productivity and lessen environmental impact in the tech-driven agricultural transformation. Many nanomaterials are now used in agriculture, including nano-systems for cleaning soil and water, nano-fertilizers, and nano-pesticides. These innovations aim to cut down on excessive agrochemical use, improve nutrient efficiency, and sustainably raise crop yield and quality.</w:t>
      </w:r>
    </w:p>
    <w:p w14:paraId="2D2FA89F" w14:textId="77777777" w:rsidR="00DF6920" w:rsidRPr="005F3FD2" w:rsidRDefault="00DF6920" w:rsidP="00DD0F76">
      <w:pPr>
        <w:pStyle w:val="Body"/>
        <w:rPr>
          <w:rFonts w:ascii="Arial" w:hAnsi="Arial" w:cs="Arial"/>
        </w:rPr>
      </w:pPr>
    </w:p>
    <w:p w14:paraId="1864A8F1" w14:textId="77777777" w:rsidR="00DF6920" w:rsidRPr="005F3FD2" w:rsidRDefault="00DF6920" w:rsidP="00DD0F76">
      <w:pPr>
        <w:pStyle w:val="Body"/>
        <w:rPr>
          <w:rFonts w:ascii="Arial" w:hAnsi="Arial" w:cs="Arial"/>
        </w:rPr>
      </w:pPr>
      <w:r w:rsidRPr="005F3FD2">
        <w:rPr>
          <w:rFonts w:ascii="Arial" w:hAnsi="Arial" w:cs="Arial"/>
        </w:rPr>
        <w:t xml:space="preserve">A quick look at Google Scholar shows significant growth in agricultural nanotechnology research. Only about 1,100 publications were recorded before 1999; this figure jumped to roughly 13,900 in the past four years. Despite this increase, research in agricultural nanotechnology still makes up less than 5% of all publications in major fields like energy, power, and materials science. It is also much lower compared to nanomedicine. Nevertheless, the rising number of publications indicates increased awareness of nanotechnology's potential in agriculture. Recent studies on nanofabricated materials for crop protection, pathogen detection, and pesticide residue </w:t>
      </w:r>
      <w:r w:rsidRPr="005F3FD2">
        <w:rPr>
          <w:rFonts w:ascii="Arial" w:hAnsi="Arial" w:cs="Arial"/>
        </w:rPr>
        <w:lastRenderedPageBreak/>
        <w:t>monitoring prove that, with the right safety procedures in place, nanotechnology can significantly lessen human and environmental impacts. These studies also showcase its applications in plants, animals, and the environment, especially in insect management and the needs of agriculture-focused economies in developing countries.</w:t>
      </w:r>
    </w:p>
    <w:p w14:paraId="36922557" w14:textId="71D13671" w:rsidR="00DF6920" w:rsidRPr="005F3FD2" w:rsidRDefault="00DF6920" w:rsidP="00DD0F76">
      <w:pPr>
        <w:pStyle w:val="Body"/>
        <w:rPr>
          <w:rFonts w:ascii="Arial" w:hAnsi="Arial" w:cs="Arial"/>
        </w:rPr>
      </w:pPr>
      <w:r w:rsidRPr="005F3FD2">
        <w:rPr>
          <w:rFonts w:ascii="Arial" w:hAnsi="Arial" w:cs="Arial"/>
        </w:rPr>
        <w:t>In India, nanotechnology is expected to grow in areas like nano-inputs, nano-food systems, nanobiotechnology, and nano-remediation. In the long run, it is likely to affect nearly all agricultural processes, from soil preparation and seed germination to post-harvest processing, food preparation, and even germplasm manipulation. This extensive integration highlights nanotechnology's ability to transform agriculture on both small and large scales.</w:t>
      </w:r>
    </w:p>
    <w:p w14:paraId="16C99BDA" w14:textId="57E47108" w:rsidR="00790ADA" w:rsidRPr="005F3FD2" w:rsidRDefault="00DF6920" w:rsidP="00DD0F76">
      <w:pPr>
        <w:pStyle w:val="Body"/>
        <w:rPr>
          <w:rFonts w:ascii="Arial" w:hAnsi="Arial" w:cs="Arial"/>
        </w:rPr>
      </w:pPr>
      <w:r w:rsidRPr="005F3FD2">
        <w:rPr>
          <w:rFonts w:ascii="Arial" w:hAnsi="Arial" w:cs="Arial"/>
        </w:rPr>
        <w:t xml:space="preserve">Nanoparticles also play an important role in conserving water by improving soil's ability to hold water, reducing irrigation frequency, and encouraging efficient water use. For plant nutrition, nano-enabled fertilizers represent a significant change by enhancing nutrient uptake, promoting healthier crops, and lowering nutrient loss </w:t>
      </w:r>
      <w:proofErr w:type="spellStart"/>
      <w:r w:rsidRPr="005F3FD2">
        <w:rPr>
          <w:rFonts w:ascii="Arial" w:hAnsi="Arial" w:cs="Arial"/>
        </w:rPr>
        <w:t>sustainably.Among</w:t>
      </w:r>
      <w:proofErr w:type="spellEnd"/>
      <w:r w:rsidRPr="005F3FD2">
        <w:rPr>
          <w:rFonts w:ascii="Arial" w:hAnsi="Arial" w:cs="Arial"/>
        </w:rPr>
        <w:t xml:space="preserve"> these innovations, controlled-release nano-fertilizers stand out as particularly promising. They allow for gradual and sustained nutrient supply, better plant absorption, and less fertilizer waste, improving overall nutrient efficiency. This method helps reduce nutrient leaching and runoff, contributing to sustainable farming and protecting the environment. However, higher production costs could pose economic challenges. Key nanotechnologies, such as mesoporous silica nanoparticles and functionalized carbon nanotubes, show great promise in achieving effective controlled-release mechanisms, paving the way for more sustainable and efficient agricultural systems.</w:t>
      </w:r>
      <w:commentRangeEnd w:id="0"/>
      <w:r w:rsidR="00C66BC2">
        <w:rPr>
          <w:rStyle w:val="CommentReference"/>
          <w:rFonts w:ascii="Times New Roman" w:hAnsi="Times New Roman"/>
          <w:lang w:val="nb-NO" w:eastAsia="nb-NO"/>
        </w:rPr>
        <w:commentReference w:id="0"/>
      </w:r>
    </w:p>
    <w:p w14:paraId="391BA76C" w14:textId="1DC6B670" w:rsidR="004F239C" w:rsidRPr="005F3FD2" w:rsidRDefault="004F239C" w:rsidP="00DD0F76">
      <w:pPr>
        <w:pStyle w:val="AbstHead"/>
        <w:jc w:val="both"/>
        <w:rPr>
          <w:rFonts w:ascii="Arial" w:hAnsi="Arial" w:cs="Arial"/>
          <w:sz w:val="20"/>
        </w:rPr>
      </w:pPr>
      <w:r w:rsidRPr="005F3FD2">
        <w:rPr>
          <w:rFonts w:ascii="Arial" w:hAnsi="Arial" w:cs="Arial"/>
          <w:b w:val="0"/>
          <w:bCs/>
          <w:sz w:val="20"/>
        </w:rPr>
        <w:t xml:space="preserve"> </w:t>
      </w:r>
      <w:r w:rsidRPr="005F3FD2">
        <w:rPr>
          <w:rFonts w:ascii="Arial" w:hAnsi="Arial" w:cs="Arial"/>
          <w:sz w:val="20"/>
        </w:rPr>
        <w:t>MATERIALS AND METHODS</w:t>
      </w:r>
    </w:p>
    <w:p w14:paraId="74F2B306" w14:textId="77777777" w:rsidR="004F239C" w:rsidRPr="005F3FD2" w:rsidRDefault="004F239C" w:rsidP="00DD0F76">
      <w:pPr>
        <w:pStyle w:val="AbstHead"/>
        <w:jc w:val="both"/>
        <w:rPr>
          <w:rFonts w:ascii="Arial" w:hAnsi="Arial" w:cs="Arial"/>
          <w:b w:val="0"/>
          <w:bCs/>
          <w:sz w:val="20"/>
        </w:rPr>
      </w:pPr>
    </w:p>
    <w:p w14:paraId="1DCAD063" w14:textId="0D4317A3"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2.1 Improving plant growth and protection</w:t>
      </w:r>
    </w:p>
    <w:p w14:paraId="5D163522" w14:textId="1A061648" w:rsidR="004F239C" w:rsidRPr="005F3FD2" w:rsidRDefault="004F239C" w:rsidP="00DD0F76">
      <w:pPr>
        <w:pStyle w:val="AbstHead"/>
        <w:jc w:val="both"/>
        <w:rPr>
          <w:rFonts w:ascii="Arial" w:hAnsi="Arial" w:cs="Arial"/>
          <w:b w:val="0"/>
          <w:bCs/>
          <w:sz w:val="20"/>
        </w:rPr>
      </w:pPr>
      <w:commentRangeStart w:id="1"/>
      <w:r w:rsidRPr="005F3FD2">
        <w:rPr>
          <w:rFonts w:ascii="Arial" w:hAnsi="Arial" w:cs="Arial"/>
          <w:b w:val="0"/>
          <w:bCs/>
          <w:caps w:val="0"/>
          <w:sz w:val="20"/>
        </w:rPr>
        <w:t xml:space="preserve">We used nanotechnology-based strategies to improve plant growth, productivity, and protection through nano-biofortification and nano-enabled crop management. We employed engineered nanoparticles like </w:t>
      </w:r>
      <w:proofErr w:type="spellStart"/>
      <w:r w:rsidRPr="005F3FD2">
        <w:rPr>
          <w:rFonts w:ascii="Arial" w:hAnsi="Arial" w:cs="Arial"/>
          <w:b w:val="0"/>
          <w:bCs/>
          <w:caps w:val="0"/>
          <w:sz w:val="20"/>
        </w:rPr>
        <w:t>fullerol</w:t>
      </w:r>
      <w:proofErr w:type="spellEnd"/>
      <w:r w:rsidRPr="005F3FD2">
        <w:rPr>
          <w:rFonts w:ascii="Arial" w:hAnsi="Arial" w:cs="Arial"/>
          <w:b w:val="0"/>
          <w:bCs/>
          <w:caps w:val="0"/>
          <w:sz w:val="20"/>
        </w:rPr>
        <w:t>, zinc oxide, iron oxide, titanium dioxide, and silica nanoparticles. These particles are effective at enhancing physiological and biochemical processes in plants. They improve seed germination, root and shoot development, chlorophyll synthesis, and photosynthetic activity. This results in greater biomass accumulation, higher fruit yield, and better fruit quality.</w:t>
      </w:r>
    </w:p>
    <w:p w14:paraId="55247B34" w14:textId="0584571D"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We also applied nano-biofortification to tackle micronutrient shortages in crops. This method helps plants take up and move nutrients at the cellular level. It leads to improved nutritional quality in agricultural products, which helps fight malnutrition. Additionally, nanoparticles enhance plant defense systems by boosting resistance to pests and pathogens and improving tolerance to abiotic stresses like drought, salinity, and extreme temperatures.</w:t>
      </w:r>
      <w:r w:rsidR="00FC361F" w:rsidRPr="005F3FD2">
        <w:rPr>
          <w:rFonts w:ascii="Arial" w:hAnsi="Arial" w:cs="Arial"/>
          <w:b w:val="0"/>
          <w:bCs/>
          <w:sz w:val="20"/>
        </w:rPr>
        <w:t xml:space="preserve"> </w:t>
      </w:r>
      <w:r w:rsidRPr="005F3FD2">
        <w:rPr>
          <w:rFonts w:ascii="Arial" w:hAnsi="Arial" w:cs="Arial"/>
          <w:b w:val="0"/>
          <w:bCs/>
          <w:caps w:val="0"/>
          <w:sz w:val="20"/>
        </w:rPr>
        <w:t>To ensure precise and efficient application, we combined nano-enabled agricultural practices with precision farming technologies. These include autonomous sensors, remote sensing platforms, and global positioning system (</w:t>
      </w:r>
      <w:proofErr w:type="spellStart"/>
      <w:r w:rsidRPr="005F3FD2">
        <w:rPr>
          <w:rFonts w:ascii="Arial" w:hAnsi="Arial" w:cs="Arial"/>
          <w:b w:val="0"/>
          <w:bCs/>
          <w:caps w:val="0"/>
          <w:sz w:val="20"/>
        </w:rPr>
        <w:t>gps</w:t>
      </w:r>
      <w:proofErr w:type="spellEnd"/>
      <w:r w:rsidRPr="005F3FD2">
        <w:rPr>
          <w:rFonts w:ascii="Arial" w:hAnsi="Arial" w:cs="Arial"/>
          <w:b w:val="0"/>
          <w:bCs/>
          <w:caps w:val="0"/>
          <w:sz w:val="20"/>
        </w:rPr>
        <w:t>)-based monitoring systems. These tools allowed us to continuously monitor soil moisture, nutrient levels, and crop health. This enabled site-specific and real-time</w:t>
      </w:r>
      <w:r w:rsidR="00FC361F" w:rsidRPr="005F3FD2">
        <w:rPr>
          <w:rFonts w:ascii="Arial" w:hAnsi="Arial" w:cs="Arial"/>
          <w:b w:val="0"/>
          <w:bCs/>
          <w:caps w:val="0"/>
          <w:sz w:val="20"/>
        </w:rPr>
        <w:t xml:space="preserve"> </w:t>
      </w:r>
      <w:r w:rsidRPr="005F3FD2">
        <w:rPr>
          <w:rFonts w:ascii="Arial" w:hAnsi="Arial" w:cs="Arial"/>
          <w:b w:val="0"/>
          <w:bCs/>
          <w:caps w:val="0"/>
          <w:sz w:val="20"/>
        </w:rPr>
        <w:t>application of nano-nutrients and nano-protectants. Overall, this approach minimizes waste, reduces environmental pollution, and supports sustainable crop management.</w:t>
      </w:r>
      <w:commentRangeEnd w:id="1"/>
      <w:r w:rsidR="00C66BC2">
        <w:rPr>
          <w:rStyle w:val="CommentReference"/>
          <w:rFonts w:ascii="Times New Roman" w:hAnsi="Times New Roman"/>
          <w:b w:val="0"/>
          <w:caps w:val="0"/>
          <w:lang w:val="nb-NO" w:eastAsia="nb-NO"/>
        </w:rPr>
        <w:commentReference w:id="1"/>
      </w:r>
    </w:p>
    <w:p w14:paraId="73975B4B" w14:textId="3DA1DC11"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2.2 </w:t>
      </w:r>
      <w:r w:rsidR="00FC361F" w:rsidRPr="005F3FD2">
        <w:rPr>
          <w:rFonts w:ascii="Arial" w:hAnsi="Arial" w:cs="Arial"/>
          <w:b w:val="0"/>
          <w:bCs/>
          <w:caps w:val="0"/>
          <w:sz w:val="20"/>
        </w:rPr>
        <w:t>S</w:t>
      </w:r>
      <w:r w:rsidRPr="005F3FD2">
        <w:rPr>
          <w:rFonts w:ascii="Arial" w:hAnsi="Arial" w:cs="Arial"/>
          <w:b w:val="0"/>
          <w:bCs/>
          <w:caps w:val="0"/>
          <w:sz w:val="20"/>
        </w:rPr>
        <w:t>mart fertilizers</w:t>
      </w:r>
    </w:p>
    <w:p w14:paraId="4A2B49AD" w14:textId="410EAC55" w:rsidR="004F239C" w:rsidRPr="005F3FD2" w:rsidRDefault="004F239C" w:rsidP="00DD0F76">
      <w:pPr>
        <w:pStyle w:val="AbstHead"/>
        <w:jc w:val="both"/>
        <w:rPr>
          <w:rFonts w:ascii="Arial" w:hAnsi="Arial" w:cs="Arial"/>
          <w:b w:val="0"/>
          <w:bCs/>
          <w:sz w:val="20"/>
        </w:rPr>
      </w:pPr>
      <w:commentRangeStart w:id="2"/>
      <w:r w:rsidRPr="005F3FD2">
        <w:rPr>
          <w:rFonts w:ascii="Arial" w:hAnsi="Arial" w:cs="Arial"/>
          <w:b w:val="0"/>
          <w:bCs/>
          <w:caps w:val="0"/>
          <w:sz w:val="20"/>
        </w:rPr>
        <w:t xml:space="preserve">We developed smart or nano-fertilizers that use nanocarriers to encapsulate macro- and micronutrients. This design allows for controlled, slow, and targeted nutrient release. We chose materials like chitosan nanoparticles, silicon dioxide nanoparticles, </w:t>
      </w:r>
      <w:proofErr w:type="spellStart"/>
      <w:r w:rsidRPr="005F3FD2">
        <w:rPr>
          <w:rFonts w:ascii="Arial" w:hAnsi="Arial" w:cs="Arial"/>
          <w:b w:val="0"/>
          <w:bCs/>
          <w:caps w:val="0"/>
          <w:sz w:val="20"/>
        </w:rPr>
        <w:t>nanoclays</w:t>
      </w:r>
      <w:proofErr w:type="spellEnd"/>
      <w:r w:rsidRPr="005F3FD2">
        <w:rPr>
          <w:rFonts w:ascii="Arial" w:hAnsi="Arial" w:cs="Arial"/>
          <w:b w:val="0"/>
          <w:bCs/>
          <w:caps w:val="0"/>
          <w:sz w:val="20"/>
        </w:rPr>
        <w:t xml:space="preserve">, zeolites, and carbon nanotubes due to their high surface area, porosity, and ability to hold and release nutrients. These properties enable nutrients to be released gradually in response to factors like soil </w:t>
      </w:r>
      <w:proofErr w:type="spellStart"/>
      <w:r w:rsidRPr="005F3FD2">
        <w:rPr>
          <w:rFonts w:ascii="Arial" w:hAnsi="Arial" w:cs="Arial"/>
          <w:b w:val="0"/>
          <w:bCs/>
          <w:caps w:val="0"/>
          <w:sz w:val="20"/>
        </w:rPr>
        <w:t>ph</w:t>
      </w:r>
      <w:proofErr w:type="spellEnd"/>
      <w:r w:rsidRPr="005F3FD2">
        <w:rPr>
          <w:rFonts w:ascii="Arial" w:hAnsi="Arial" w:cs="Arial"/>
          <w:b w:val="0"/>
          <w:bCs/>
          <w:caps w:val="0"/>
          <w:sz w:val="20"/>
        </w:rPr>
        <w:t xml:space="preserve">, moisture, temperature, and root exudates. This synchronizes nutrient availability with plant </w:t>
      </w:r>
      <w:proofErr w:type="spellStart"/>
      <w:r w:rsidRPr="005F3FD2">
        <w:rPr>
          <w:rFonts w:ascii="Arial" w:hAnsi="Arial" w:cs="Arial"/>
          <w:b w:val="0"/>
          <w:bCs/>
          <w:caps w:val="0"/>
          <w:sz w:val="20"/>
        </w:rPr>
        <w:t>needs.Nano</w:t>
      </w:r>
      <w:proofErr w:type="spellEnd"/>
      <w:r w:rsidRPr="005F3FD2">
        <w:rPr>
          <w:rFonts w:ascii="Arial" w:hAnsi="Arial" w:cs="Arial"/>
          <w:b w:val="0"/>
          <w:bCs/>
          <w:caps w:val="0"/>
          <w:sz w:val="20"/>
        </w:rPr>
        <w:t xml:space="preserve">-fertilizers greatly improve nutrient-use efficiency compared to traditional fertilizers. They reduce leaching, volatilization, and runoff losses. Better nutrient uptake results in stronger crop growth, higher yields, and enhanced stress resistance while minimizing soil degradation and </w:t>
      </w:r>
      <w:r w:rsidRPr="005F3FD2">
        <w:rPr>
          <w:rFonts w:ascii="Arial" w:hAnsi="Arial" w:cs="Arial"/>
          <w:b w:val="0"/>
          <w:bCs/>
          <w:caps w:val="0"/>
          <w:sz w:val="20"/>
        </w:rPr>
        <w:lastRenderedPageBreak/>
        <w:t>water pollution. In our method, we applied nano-fertilizers by incorporating them into the soil, spraying them on leaves, or coating seeds, depending on the crops' needs and growth phases.</w:t>
      </w:r>
    </w:p>
    <w:p w14:paraId="6026A042" w14:textId="3DC592ED"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We expanded smart fertilizer technology beyond traditional farming to non-traditional and controlled agricultural systems. We evaluated zeolite-based nano-fertilizers for use in space and underwater agriculture, areas where controlled nutrient release is vital for plant growth in microgravity or closed-loop systems. These applications show how nano-fertilizers can support sustainable food production in extreme and resource-limited settings.</w:t>
      </w:r>
      <w:commentRangeEnd w:id="2"/>
      <w:r w:rsidR="00251832">
        <w:rPr>
          <w:rStyle w:val="CommentReference"/>
          <w:rFonts w:ascii="Times New Roman" w:hAnsi="Times New Roman"/>
          <w:b w:val="0"/>
          <w:caps w:val="0"/>
          <w:lang w:val="nb-NO" w:eastAsia="nb-NO"/>
        </w:rPr>
        <w:commentReference w:id="2"/>
      </w:r>
    </w:p>
    <w:p w14:paraId="34DF2D60" w14:textId="682A772E" w:rsidR="004F239C" w:rsidRPr="005F3FD2" w:rsidRDefault="004F239C" w:rsidP="00DD0F76">
      <w:pPr>
        <w:pStyle w:val="AbstHead"/>
        <w:jc w:val="both"/>
        <w:rPr>
          <w:rFonts w:ascii="Arial" w:hAnsi="Arial" w:cs="Arial"/>
          <w:b w:val="0"/>
          <w:bCs/>
          <w:sz w:val="20"/>
        </w:rPr>
      </w:pPr>
      <w:r w:rsidRPr="005F3FD2">
        <w:rPr>
          <w:rFonts w:ascii="Arial" w:hAnsi="Arial" w:cs="Arial"/>
          <w:b w:val="0"/>
          <w:bCs/>
          <w:caps w:val="0"/>
          <w:sz w:val="20"/>
        </w:rPr>
        <w:t xml:space="preserve"> 2.3 food packaging</w:t>
      </w:r>
    </w:p>
    <w:p w14:paraId="013DAFD7" w14:textId="50C5501F" w:rsidR="00A42149" w:rsidRPr="005F3FD2" w:rsidRDefault="004F239C" w:rsidP="00DD0F76">
      <w:pPr>
        <w:pStyle w:val="AbstHead"/>
        <w:rPr>
          <w:rFonts w:ascii="Arial" w:hAnsi="Arial" w:cs="Arial"/>
          <w:b w:val="0"/>
          <w:bCs/>
          <w:sz w:val="20"/>
        </w:rPr>
      </w:pPr>
      <w:commentRangeStart w:id="3"/>
      <w:r w:rsidRPr="005F3FD2">
        <w:rPr>
          <w:rFonts w:ascii="Arial" w:hAnsi="Arial" w:cs="Arial"/>
          <w:b w:val="0"/>
          <w:bCs/>
          <w:caps w:val="0"/>
          <w:sz w:val="20"/>
        </w:rPr>
        <w:t xml:space="preserve">We incorporated nanotechnology-based food packaging methods to improve food quality, safety, and shelf life. We used nanocomposite materials with </w:t>
      </w:r>
      <w:proofErr w:type="spellStart"/>
      <w:r w:rsidRPr="005F3FD2">
        <w:rPr>
          <w:rFonts w:ascii="Arial" w:hAnsi="Arial" w:cs="Arial"/>
          <w:b w:val="0"/>
          <w:bCs/>
          <w:caps w:val="0"/>
          <w:sz w:val="20"/>
        </w:rPr>
        <w:t>nanoclays</w:t>
      </w:r>
      <w:proofErr w:type="spellEnd"/>
      <w:r w:rsidRPr="005F3FD2">
        <w:rPr>
          <w:rFonts w:ascii="Arial" w:hAnsi="Arial" w:cs="Arial"/>
          <w:b w:val="0"/>
          <w:bCs/>
          <w:caps w:val="0"/>
          <w:sz w:val="20"/>
        </w:rPr>
        <w:t>, silver nanoparticles, zinc oxide nanoparticles, and polymer-based nanomaterials. These materials enhance mechanical strength, thermal stability, and resistance to gases, moisture, and ultraviolet (</w:t>
      </w:r>
      <w:proofErr w:type="spellStart"/>
      <w:r w:rsidRPr="005F3FD2">
        <w:rPr>
          <w:rFonts w:ascii="Arial" w:hAnsi="Arial" w:cs="Arial"/>
          <w:b w:val="0"/>
          <w:bCs/>
          <w:caps w:val="0"/>
          <w:sz w:val="20"/>
        </w:rPr>
        <w:t>uv</w:t>
      </w:r>
      <w:proofErr w:type="spellEnd"/>
      <w:r w:rsidRPr="005F3FD2">
        <w:rPr>
          <w:rFonts w:ascii="Arial" w:hAnsi="Arial" w:cs="Arial"/>
          <w:b w:val="0"/>
          <w:bCs/>
          <w:caps w:val="0"/>
          <w:sz w:val="20"/>
        </w:rPr>
        <w:t>) radiation. These features help prevent oxidation, microbial spoilage, and nutrient degradation during storage and transport, keeping food products nutritious.</w:t>
      </w:r>
      <w:r w:rsidR="00FC361F" w:rsidRPr="005F3FD2">
        <w:rPr>
          <w:rFonts w:ascii="Arial" w:hAnsi="Arial" w:cs="Arial"/>
          <w:b w:val="0"/>
          <w:bCs/>
          <w:sz w:val="20"/>
        </w:rPr>
        <w:t xml:space="preserve"> </w:t>
      </w:r>
      <w:r w:rsidRPr="005F3FD2">
        <w:rPr>
          <w:rFonts w:ascii="Arial" w:hAnsi="Arial" w:cs="Arial"/>
          <w:b w:val="0"/>
          <w:bCs/>
          <w:caps w:val="0"/>
          <w:sz w:val="20"/>
        </w:rPr>
        <w:t xml:space="preserve">We integrated advanced </w:t>
      </w:r>
      <w:proofErr w:type="spellStart"/>
      <w:r w:rsidRPr="005F3FD2">
        <w:rPr>
          <w:rFonts w:ascii="Arial" w:hAnsi="Arial" w:cs="Arial"/>
          <w:b w:val="0"/>
          <w:bCs/>
          <w:caps w:val="0"/>
          <w:sz w:val="20"/>
        </w:rPr>
        <w:t>nanosensors</w:t>
      </w:r>
      <w:proofErr w:type="spellEnd"/>
      <w:r w:rsidRPr="005F3FD2">
        <w:rPr>
          <w:rFonts w:ascii="Arial" w:hAnsi="Arial" w:cs="Arial"/>
          <w:b w:val="0"/>
          <w:bCs/>
          <w:caps w:val="0"/>
          <w:sz w:val="20"/>
        </w:rPr>
        <w:t xml:space="preserve"> into packaging systems for real-time detection of chemical compounds, gases, and harmful microorganisms. This forms the foundation of "smart packaging," which offers visual or electronic indicators of food freshness, spoilage, and contamination. These systems improve traceability, enhance quality control, and boost consumer confidence by allowing continuous monitoring of food conditions throughout the supply chain.</w:t>
      </w:r>
      <w:r w:rsidR="00FC361F" w:rsidRPr="005F3FD2">
        <w:rPr>
          <w:rFonts w:ascii="Arial" w:hAnsi="Arial" w:cs="Arial"/>
          <w:b w:val="0"/>
          <w:bCs/>
          <w:sz w:val="20"/>
        </w:rPr>
        <w:t xml:space="preserve"> </w:t>
      </w:r>
      <w:r w:rsidRPr="005F3FD2">
        <w:rPr>
          <w:rFonts w:ascii="Arial" w:hAnsi="Arial" w:cs="Arial"/>
          <w:b w:val="0"/>
          <w:bCs/>
          <w:caps w:val="0"/>
          <w:sz w:val="20"/>
        </w:rPr>
        <w:t xml:space="preserve">Despite the benefits of nano-enabled food packaging, concerns persist about potential risks of directly adding nanoparticles to food. Therefore, the approach focuses on indirect applications, using nanoparticles in packaging materials rather than in food itself. </w:t>
      </w:r>
      <w:proofErr w:type="spellStart"/>
      <w:r w:rsidRPr="005F3FD2">
        <w:rPr>
          <w:rFonts w:ascii="Arial" w:hAnsi="Arial" w:cs="Arial"/>
          <w:b w:val="0"/>
          <w:bCs/>
          <w:caps w:val="0"/>
          <w:sz w:val="20"/>
        </w:rPr>
        <w:t>Comprehensiv</w:t>
      </w:r>
      <w:proofErr w:type="spellEnd"/>
      <w:r w:rsidR="00FC361F" w:rsidRPr="005F3FD2">
        <w:rPr>
          <w:rFonts w:ascii="Arial" w:hAnsi="Arial" w:cs="Arial"/>
          <w:b w:val="0"/>
          <w:bCs/>
          <w:caps w:val="0"/>
          <w:sz w:val="20"/>
        </w:rPr>
        <w:t xml:space="preserve"> </w:t>
      </w:r>
      <w:r w:rsidRPr="005F3FD2">
        <w:rPr>
          <w:rFonts w:ascii="Arial" w:hAnsi="Arial" w:cs="Arial"/>
          <w:b w:val="0"/>
          <w:bCs/>
          <w:caps w:val="0"/>
          <w:sz w:val="20"/>
        </w:rPr>
        <w:t xml:space="preserve">evaluations, risk </w:t>
      </w:r>
      <w:commentRangeEnd w:id="3"/>
      <w:r w:rsidR="00251832">
        <w:rPr>
          <w:rStyle w:val="CommentReference"/>
          <w:rFonts w:ascii="Times New Roman" w:hAnsi="Times New Roman"/>
          <w:b w:val="0"/>
          <w:caps w:val="0"/>
          <w:lang w:val="nb-NO" w:eastAsia="nb-NO"/>
        </w:rPr>
        <w:lastRenderedPageBreak/>
        <w:commentReference w:id="3"/>
      </w:r>
      <w:r w:rsidRPr="005F3FD2">
        <w:rPr>
          <w:rFonts w:ascii="Arial" w:hAnsi="Arial" w:cs="Arial"/>
          <w:b w:val="0"/>
          <w:bCs/>
          <w:caps w:val="0"/>
          <w:sz w:val="20"/>
        </w:rPr>
        <w:t>assessments,</w:t>
      </w:r>
      <w:r w:rsidRPr="005F3FD2">
        <w:rPr>
          <w:rFonts w:ascii="Arial" w:hAnsi="Arial" w:cs="Arial"/>
          <w:caps w:val="0"/>
          <w:sz w:val="20"/>
        </w:rPr>
        <w:t xml:space="preserve"> </w:t>
      </w:r>
      <w:r w:rsidRPr="005F3FD2">
        <w:rPr>
          <w:rFonts w:ascii="Arial" w:hAnsi="Arial" w:cs="Arial"/>
          <w:b w:val="0"/>
          <w:bCs/>
          <w:caps w:val="0"/>
          <w:sz w:val="20"/>
        </w:rPr>
        <w:t>and adherence to regulatory guidelines are vital to ensure human health safety and public acceptance of nanotechnology in the food sector.</w:t>
      </w:r>
    </w:p>
    <w:p w14:paraId="5340DC4E" w14:textId="69E6722A" w:rsidR="004F239C" w:rsidRPr="005F3FD2" w:rsidRDefault="004F239C" w:rsidP="00DD0F76">
      <w:pPr>
        <w:pStyle w:val="AbstHead"/>
        <w:spacing w:after="0"/>
        <w:jc w:val="both"/>
        <w:rPr>
          <w:rFonts w:ascii="Arial" w:hAnsi="Arial" w:cs="Arial"/>
          <w:b w:val="0"/>
          <w:bCs/>
          <w:caps w:val="0"/>
          <w:sz w:val="20"/>
        </w:rPr>
      </w:pPr>
    </w:p>
    <w:p w14:paraId="48B69BE9" w14:textId="0416D0D3" w:rsidR="004F239C" w:rsidRPr="005F3FD2" w:rsidRDefault="004F239C" w:rsidP="00DD0F76">
      <w:pPr>
        <w:pStyle w:val="AbstHead"/>
        <w:spacing w:after="0"/>
        <w:jc w:val="both"/>
        <w:rPr>
          <w:rFonts w:ascii="Arial" w:hAnsi="Arial" w:cs="Arial"/>
          <w:b w:val="0"/>
          <w:bCs/>
          <w:caps w:val="0"/>
          <w:sz w:val="20"/>
        </w:rPr>
      </w:pPr>
    </w:p>
    <w:p w14:paraId="7A55D40A" w14:textId="49B475F9" w:rsidR="004F239C" w:rsidRPr="005F3FD2" w:rsidRDefault="004F239C" w:rsidP="00DD0F76">
      <w:pPr>
        <w:pStyle w:val="AbstHead"/>
        <w:spacing w:after="0"/>
        <w:jc w:val="both"/>
        <w:rPr>
          <w:rFonts w:ascii="Arial" w:hAnsi="Arial" w:cs="Arial"/>
          <w:b w:val="0"/>
          <w:bCs/>
          <w:caps w:val="0"/>
          <w:sz w:val="20"/>
        </w:rPr>
      </w:pPr>
    </w:p>
    <w:p w14:paraId="2B1EB27E" w14:textId="77777777" w:rsidR="004F239C" w:rsidRPr="005F3FD2" w:rsidRDefault="004F239C" w:rsidP="00DD0F76">
      <w:pPr>
        <w:pStyle w:val="AbstHead"/>
        <w:spacing w:after="0"/>
        <w:jc w:val="both"/>
        <w:rPr>
          <w:rFonts w:ascii="Arial" w:eastAsia="Calibri" w:hAnsi="Arial" w:cs="Arial"/>
          <w:b w:val="0"/>
          <w:bCs/>
          <w:sz w:val="20"/>
        </w:rPr>
      </w:pPr>
    </w:p>
    <w:p w14:paraId="368F7092" w14:textId="77777777" w:rsidR="00A42149" w:rsidRPr="005F3FD2" w:rsidRDefault="00A42149" w:rsidP="00DD0F76">
      <w:pPr>
        <w:pStyle w:val="Body"/>
        <w:rPr>
          <w:rFonts w:ascii="Arial" w:eastAsia="Calibri" w:hAnsi="Arial" w:cs="Arial"/>
        </w:rPr>
      </w:pPr>
      <w:commentRangeStart w:id="4"/>
      <w:r w:rsidRPr="005F3FD2">
        <w:rPr>
          <w:rFonts w:ascii="Arial" w:eastAsia="Calibri" w:hAnsi="Arial" w:cs="Arial"/>
          <w:noProof/>
        </w:rPr>
        <w:drawing>
          <wp:inline distT="0" distB="0" distL="0" distR="0" wp14:anchorId="6F2C0560" wp14:editId="05B5A8EB">
            <wp:extent cx="5624830" cy="4506521"/>
            <wp:effectExtent l="0" t="0" r="0" b="8890"/>
            <wp:docPr id="14872740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724978" cy="4586758"/>
                    </a:xfrm>
                    <a:prstGeom prst="rect">
                      <a:avLst/>
                    </a:prstGeom>
                  </pic:spPr>
                </pic:pic>
              </a:graphicData>
            </a:graphic>
          </wp:inline>
        </w:drawing>
      </w:r>
      <w:commentRangeEnd w:id="4"/>
      <w:r w:rsidR="00251832">
        <w:rPr>
          <w:rStyle w:val="CommentReference"/>
          <w:rFonts w:ascii="Times New Roman" w:hAnsi="Times New Roman"/>
          <w:lang w:val="nb-NO" w:eastAsia="nb-NO"/>
        </w:rPr>
        <w:commentReference w:id="4"/>
      </w:r>
    </w:p>
    <w:p w14:paraId="37DE6F7C" w14:textId="77777777" w:rsidR="00A42149" w:rsidRPr="005F3FD2" w:rsidRDefault="00A42149" w:rsidP="00DD0F76">
      <w:pPr>
        <w:pStyle w:val="Body"/>
        <w:numPr>
          <w:ilvl w:val="0"/>
          <w:numId w:val="31"/>
        </w:numPr>
        <w:rPr>
          <w:rFonts w:ascii="Arial" w:eastAsia="Calibri" w:hAnsi="Arial" w:cs="Arial"/>
        </w:rPr>
      </w:pPr>
      <w:r w:rsidRPr="005F3FD2">
        <w:rPr>
          <w:rFonts w:ascii="Arial" w:eastAsia="Calibri" w:hAnsi="Arial" w:cs="Arial"/>
          <w:b/>
          <w:i/>
        </w:rPr>
        <w:t>Figure 1:</w:t>
      </w:r>
      <w:r w:rsidRPr="005F3FD2">
        <w:rPr>
          <w:rFonts w:ascii="Arial" w:eastAsia="Calibri" w:hAnsi="Arial" w:cs="Arial"/>
        </w:rPr>
        <w:t xml:space="preserve"> - Graphical Representation [11].</w:t>
      </w:r>
    </w:p>
    <w:p w14:paraId="6B67BC7D" w14:textId="77777777" w:rsidR="00A42149" w:rsidRPr="005F3FD2" w:rsidRDefault="00A42149" w:rsidP="00DD0F76">
      <w:pPr>
        <w:pStyle w:val="Body"/>
        <w:rPr>
          <w:rFonts w:ascii="Arial" w:eastAsia="Calibri" w:hAnsi="Arial" w:cs="Arial"/>
        </w:rPr>
      </w:pPr>
    </w:p>
    <w:p w14:paraId="05B6FC74" w14:textId="77777777" w:rsidR="00A42149" w:rsidRPr="005F3FD2" w:rsidRDefault="00A42149" w:rsidP="00DD0F76">
      <w:pPr>
        <w:pStyle w:val="Body"/>
        <w:rPr>
          <w:rFonts w:ascii="Arial" w:eastAsia="Calibri" w:hAnsi="Arial" w:cs="Arial"/>
        </w:rPr>
        <w:sectPr w:rsidR="00A42149" w:rsidRPr="005F3FD2" w:rsidSect="008D4045">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40" w:right="1700" w:bottom="1720" w:left="1700" w:header="0" w:footer="1536" w:gutter="0"/>
          <w:cols w:space="720"/>
        </w:sectPr>
      </w:pPr>
    </w:p>
    <w:p w14:paraId="03558E2E" w14:textId="5C28F91A" w:rsidR="00A42149" w:rsidRPr="005F3FD2" w:rsidRDefault="007D1EB8" w:rsidP="00DD0F76">
      <w:pPr>
        <w:pStyle w:val="Body"/>
        <w:rPr>
          <w:rFonts w:ascii="Arial" w:eastAsia="Calibri" w:hAnsi="Arial" w:cs="Arial"/>
        </w:rPr>
      </w:pPr>
      <w:commentRangeStart w:id="5"/>
      <w:r w:rsidRPr="005F3FD2">
        <w:rPr>
          <w:rFonts w:ascii="Arial" w:eastAsia="Calibri" w:hAnsi="Arial" w:cs="Arial"/>
        </w:rPr>
        <w:lastRenderedPageBreak/>
        <w:t>Nano-pesticides are special formulations of traditional or new pesticides created using nanomaterials to improve their effectiveness, stability, and environmental safety in farming. These pesticides combine active ingredients with hybrid materials, encapsulate them in tiny matrices, or use smart nanocarriers that react to outside triggers or enzymes. This allows for controlled and targeted release of the active compounds. The pesticides can work exactly where and when needed, which cuts down on unintended effects and chemical waste. The distinct physical and chemical characteristics of nanosized particles, like their small size, high surface area, adjustable shape, and increased reactivity, help enhance the performance of nano-pesticide formulations. Various nanomaterials have been studied for this, including silica nanoparticles, lipid-based carriers, natural and synthetic polymers, ceramics, metal and metal-oxide nanoparticles, and carbon-based materials like carbon nanotubes and graphene. These materials effectively protect active ingredients from breaking down too soon, increase the solubility of pesticides that don’t dissolve well in water, and improve how well they stick to and penetrate plant surfaces and pest exoskeletons. Nano-pesticides present a promising option to address several issues related to conventional insecticides, which include quick breakdown, non-specific toxicity, the need for frequent applications, and environmental harm. By allowing for longer-lasting and trigger-responsive release, nano-pesticides can lower the overall amount of chemicals needed for effective pest control. This, in turn, can reduce production costs over time and decrease ecological risks. Also, these nano-formulations can target specific pests more accurately, which minimizes the negative impact on beneficial creatures like pollinators and soil microbes. In summary, nano-pesticides are crop protection agents where either the active ingredient, the carrier, or both are designed and created at the nanoscale using principles of nanotechnology. This approach leads to better pest control efficiency, longer activity in the field, and better resistance management by lowering the chances of pests becoming resistant. Because of this, nano-pesticides are increasingly seen as an important part of sustainable and precise agriculture, as long as their environmental impact, safety, and regulatory aspects are carefully studied.</w:t>
      </w:r>
      <w:commentRangeEnd w:id="5"/>
      <w:r w:rsidR="00251832">
        <w:rPr>
          <w:rStyle w:val="CommentReference"/>
          <w:rFonts w:ascii="Times New Roman" w:hAnsi="Times New Roman"/>
          <w:lang w:val="nb-NO" w:eastAsia="nb-NO"/>
        </w:rPr>
        <w:commentReference w:id="5"/>
      </w:r>
    </w:p>
    <w:p w14:paraId="043C2F3D" w14:textId="77777777" w:rsidR="00A42149" w:rsidRPr="005F3FD2" w:rsidRDefault="00A42149" w:rsidP="00DD0F76">
      <w:pPr>
        <w:pStyle w:val="Body"/>
        <w:rPr>
          <w:rFonts w:ascii="Arial" w:eastAsia="Calibri" w:hAnsi="Arial" w:cs="Arial"/>
        </w:rPr>
      </w:pPr>
      <w:commentRangeStart w:id="6"/>
      <w:r w:rsidRPr="005F3FD2">
        <w:rPr>
          <w:rFonts w:ascii="Arial" w:eastAsia="Calibri" w:hAnsi="Arial" w:cs="Arial"/>
        </w:rPr>
        <w:t>Nature is a wonderful teacher, and nanotechnology uses in agriculture can be effective if natural processes are replicated with more scientific genius for effective application. For example, the goal might be to make soils more capable in order to improve efficient nutrient use for greater productivity and better environmental security. Nutrient management by nanotechnology has to be dependent on two significant parameters, i.e., ions should be available in plant-accessible forms in the soil system, and because nutrient transport in soil-plant systems is based on ion exchange (e.g., NH4+, H2PO4−, HPO42−, PO43−, Zn2+), adsorption-desorption (e.g., phosphorus nutrients) and solubility-precipitation (e.g., iron) reactions, processes have to be made by nanomaterials that would make nutrients available to plants in the rate and manner desired by plants. As clay minerals regulate these reactions, they could serve as containers. Plant nutrient-containing nanofabricated materials may be applied in aqueous suspension and hydrogel forms, in order to facilitate hazard-free application, convenient storage, and an easy delivery system. Likewise, applications of zerovalent iron nanoparticles and even of iron rust nanoparticles may be utilized for the remediation of pesticide-, heavy metal-, and radionuclide-contaminated soils due to the strong adsorption affinity these nanomaterials possess towards organic chemicals and heavy metals. The iron nanoparticles also possess very good soil binding c</w:t>
      </w:r>
      <w:commentRangeEnd w:id="6"/>
      <w:r w:rsidR="00251832">
        <w:rPr>
          <w:rStyle w:val="CommentReference"/>
          <w:rFonts w:ascii="Times New Roman" w:hAnsi="Times New Roman"/>
          <w:lang w:val="nb-NO" w:eastAsia="nb-NO"/>
        </w:rPr>
        <w:commentReference w:id="6"/>
      </w:r>
      <w:r w:rsidRPr="005F3FD2">
        <w:rPr>
          <w:rFonts w:ascii="Arial" w:eastAsia="Calibri" w:hAnsi="Arial" w:cs="Arial"/>
        </w:rPr>
        <w:t>apacity, just like calcium carbonate nanoparticles, which aids in the development of soil microaggregates and macroaggregates [5].</w:t>
      </w:r>
    </w:p>
    <w:p w14:paraId="04D80B09" w14:textId="77777777" w:rsidR="00A42149" w:rsidRPr="005F3FD2" w:rsidRDefault="00A42149" w:rsidP="00DD0F76">
      <w:pPr>
        <w:pStyle w:val="Body"/>
        <w:rPr>
          <w:rFonts w:ascii="Arial" w:eastAsia="Calibri" w:hAnsi="Arial" w:cs="Arial"/>
        </w:rPr>
      </w:pPr>
      <w:r w:rsidRPr="005F3FD2">
        <w:rPr>
          <w:rFonts w:ascii="Arial" w:eastAsia="Calibri" w:hAnsi="Arial" w:cs="Arial"/>
        </w:rPr>
        <w:t>Nano fertilizers are plant nutrients either entirely or partially made up or constructed of nanostructured formulation(s) that release active ingredients slowly and in a controlled way into the soil, thus avoiding nutrient loss, eutrophication, and air and water pollution. Due to their large surface area to volume ratio, the performance, effectiveness, availability, and usage of NFs are greater than those of CFs and hence, the former provide a platform for the development of innovative and sustainable nutrient delivery systems. Their structure can also enable effective uptake by crops, soil fertility restoration, ultrahigh adsorption, enhanced photosynthesis, enhanced production, lowered soil toxicity, lowered frequency of application, enhanced plant health, and reduced environmental pollution [6]. Nanotechnology encompasses the synthesis and utilization of devices through management and control of their shape and size at the nanometer level. Nanotechnology has opened the door and made it possible to utilize nanostructured materials as fertilizers, known as "smart fertilizers". Moreover, the formulation of nano fertilizers can make it possible to enhance the efficient nutrient uptake, restore soil fertility, ultra-high absorption, enhanced photosynthesis, enhanced production, diminished soil toxicity, reduced application frequency, enhanced plant health, and minimized environmental pollution [7].</w:t>
      </w:r>
    </w:p>
    <w:p w14:paraId="531CA0A4" w14:textId="77777777" w:rsidR="00790ADA" w:rsidRPr="005F3FD2" w:rsidRDefault="00790ADA" w:rsidP="00DD0F76">
      <w:pPr>
        <w:pStyle w:val="Body"/>
        <w:spacing w:after="0"/>
        <w:rPr>
          <w:rFonts w:ascii="Arial" w:hAnsi="Arial" w:cs="Arial"/>
        </w:rPr>
      </w:pPr>
    </w:p>
    <w:p w14:paraId="0C4B9A9C" w14:textId="77777777" w:rsidR="00902823" w:rsidRPr="005F3FD2" w:rsidRDefault="00000F8F" w:rsidP="00DD0F76">
      <w:pPr>
        <w:pStyle w:val="Head1"/>
        <w:spacing w:after="0"/>
        <w:jc w:val="both"/>
        <w:rPr>
          <w:rFonts w:ascii="Arial" w:hAnsi="Arial" w:cs="Arial"/>
          <w:sz w:val="20"/>
        </w:rPr>
      </w:pPr>
      <w:r w:rsidRPr="005F3FD2">
        <w:rPr>
          <w:rFonts w:ascii="Arial" w:hAnsi="Arial" w:cs="Arial"/>
          <w:sz w:val="20"/>
        </w:rPr>
        <w:t>3</w:t>
      </w:r>
      <w:r w:rsidR="00902823" w:rsidRPr="005F3FD2">
        <w:rPr>
          <w:rFonts w:ascii="Arial" w:hAnsi="Arial" w:cs="Arial"/>
          <w:sz w:val="20"/>
        </w:rPr>
        <w:t xml:space="preserve">. </w:t>
      </w:r>
      <w:r w:rsidRPr="005F3FD2">
        <w:rPr>
          <w:rFonts w:ascii="Arial" w:hAnsi="Arial" w:cs="Arial"/>
          <w:sz w:val="20"/>
        </w:rPr>
        <w:t>results and discussion</w:t>
      </w:r>
    </w:p>
    <w:p w14:paraId="229E517C" w14:textId="5EE5B59A" w:rsidR="005D005E" w:rsidRPr="005F3FD2" w:rsidRDefault="005D005E" w:rsidP="00DD0F76">
      <w:pPr>
        <w:pStyle w:val="ReferHead"/>
        <w:jc w:val="both"/>
        <w:rPr>
          <w:rFonts w:ascii="Arial" w:hAnsi="Arial" w:cs="Arial"/>
          <w:b w:val="0"/>
          <w:bCs/>
          <w:sz w:val="20"/>
        </w:rPr>
      </w:pPr>
      <w:r w:rsidRPr="005F3FD2">
        <w:rPr>
          <w:rFonts w:ascii="Arial" w:hAnsi="Arial" w:cs="Arial"/>
          <w:b w:val="0"/>
          <w:bCs/>
          <w:caps w:val="0"/>
          <w:sz w:val="20"/>
        </w:rPr>
        <w:t>3.1 Role of nanotechnology in global development and agriculture</w:t>
      </w:r>
    </w:p>
    <w:p w14:paraId="2BE8DE65" w14:textId="1546262A" w:rsidR="005D005E" w:rsidRPr="005F3FD2" w:rsidRDefault="005D005E" w:rsidP="00DD0F76">
      <w:pPr>
        <w:pStyle w:val="ReferHead"/>
        <w:jc w:val="both"/>
        <w:rPr>
          <w:rFonts w:ascii="Arial" w:hAnsi="Arial" w:cs="Arial"/>
          <w:b w:val="0"/>
          <w:bCs/>
          <w:sz w:val="20"/>
        </w:rPr>
      </w:pPr>
      <w:commentRangeStart w:id="7"/>
      <w:r w:rsidRPr="005F3FD2">
        <w:rPr>
          <w:rFonts w:ascii="Arial" w:hAnsi="Arial" w:cs="Arial"/>
          <w:b w:val="0"/>
          <w:bCs/>
          <w:caps w:val="0"/>
          <w:sz w:val="20"/>
        </w:rPr>
        <w:t>The information gathered from existing literature shows that nanotechnology has become a crucial technology for tackling some of the most urgent global issues, like food insecurity, environmental damage, water shortages, and climate change. Despite significant progress in science and technology, millions of people around the world still do not have access to basic needs such as clean drinking water, sufficient nutrition, healthcare, education, and sustainable livelihoods. Since 2000, the united nations millennium development goals (</w:t>
      </w:r>
      <w:proofErr w:type="spellStart"/>
      <w:r w:rsidRPr="005F3FD2">
        <w:rPr>
          <w:rFonts w:ascii="Arial" w:hAnsi="Arial" w:cs="Arial"/>
          <w:b w:val="0"/>
          <w:bCs/>
          <w:caps w:val="0"/>
          <w:sz w:val="20"/>
        </w:rPr>
        <w:t>mdgs</w:t>
      </w:r>
      <w:proofErr w:type="spellEnd"/>
      <w:r w:rsidRPr="005F3FD2">
        <w:rPr>
          <w:rFonts w:ascii="Arial" w:hAnsi="Arial" w:cs="Arial"/>
          <w:b w:val="0"/>
          <w:bCs/>
          <w:caps w:val="0"/>
          <w:sz w:val="20"/>
        </w:rPr>
        <w:t>), followed by the sustainable development goals (</w:t>
      </w:r>
      <w:proofErr w:type="spellStart"/>
      <w:r w:rsidRPr="005F3FD2">
        <w:rPr>
          <w:rFonts w:ascii="Arial" w:hAnsi="Arial" w:cs="Arial"/>
          <w:b w:val="0"/>
          <w:bCs/>
          <w:caps w:val="0"/>
          <w:sz w:val="20"/>
        </w:rPr>
        <w:t>sdgs</w:t>
      </w:r>
      <w:proofErr w:type="spellEnd"/>
      <w:r w:rsidRPr="005F3FD2">
        <w:rPr>
          <w:rFonts w:ascii="Arial" w:hAnsi="Arial" w:cs="Arial"/>
          <w:b w:val="0"/>
          <w:bCs/>
          <w:caps w:val="0"/>
          <w:sz w:val="20"/>
        </w:rPr>
        <w:t>), have provided a global framework to address these interconnected challenges.</w:t>
      </w:r>
      <w:r w:rsidRPr="005F3FD2">
        <w:rPr>
          <w:rFonts w:ascii="Arial" w:hAnsi="Arial" w:cs="Arial"/>
          <w:b w:val="0"/>
          <w:bCs/>
          <w:sz w:val="20"/>
        </w:rPr>
        <w:t xml:space="preserve"> </w:t>
      </w:r>
      <w:r w:rsidRPr="005F3FD2">
        <w:rPr>
          <w:rFonts w:ascii="Arial" w:hAnsi="Arial" w:cs="Arial"/>
          <w:b w:val="0"/>
          <w:bCs/>
          <w:caps w:val="0"/>
          <w:sz w:val="20"/>
        </w:rPr>
        <w:t xml:space="preserve">International agencies, governments, and research </w:t>
      </w:r>
      <w:r w:rsidRPr="005F3FD2">
        <w:rPr>
          <w:rFonts w:ascii="Arial" w:hAnsi="Arial" w:cs="Arial"/>
          <w:b w:val="0"/>
          <w:bCs/>
          <w:caps w:val="0"/>
          <w:sz w:val="20"/>
        </w:rPr>
        <w:lastRenderedPageBreak/>
        <w:t xml:space="preserve">institutions increasingly recognize nanotechnology as a transformative technology that can contribute both directly and indirectly to various </w:t>
      </w:r>
      <w:proofErr w:type="spellStart"/>
      <w:r w:rsidRPr="005F3FD2">
        <w:rPr>
          <w:rFonts w:ascii="Arial" w:hAnsi="Arial" w:cs="Arial"/>
          <w:b w:val="0"/>
          <w:bCs/>
          <w:caps w:val="0"/>
          <w:sz w:val="20"/>
        </w:rPr>
        <w:t>sdgs</w:t>
      </w:r>
      <w:proofErr w:type="spellEnd"/>
      <w:r w:rsidRPr="005F3FD2">
        <w:rPr>
          <w:rFonts w:ascii="Arial" w:hAnsi="Arial" w:cs="Arial"/>
          <w:b w:val="0"/>
          <w:bCs/>
          <w:caps w:val="0"/>
          <w:sz w:val="20"/>
        </w:rPr>
        <w:t xml:space="preserve">. In agriculture, nanotechnology offers new tools to boost crop productivity, improve nutrient efficiency, reduce environmental pollution, and enhance resilience to climate stress, thus aiding poverty reduction and rural development. For example, nano-enabled fertilizers and pesticides help achieve </w:t>
      </w:r>
      <w:proofErr w:type="spellStart"/>
      <w:r w:rsidRPr="005F3FD2">
        <w:rPr>
          <w:rFonts w:ascii="Arial" w:hAnsi="Arial" w:cs="Arial"/>
          <w:b w:val="0"/>
          <w:bCs/>
          <w:caps w:val="0"/>
          <w:sz w:val="20"/>
        </w:rPr>
        <w:t>sdg</w:t>
      </w:r>
      <w:proofErr w:type="spellEnd"/>
      <w:r w:rsidRPr="005F3FD2">
        <w:rPr>
          <w:rFonts w:ascii="Arial" w:hAnsi="Arial" w:cs="Arial"/>
          <w:b w:val="0"/>
          <w:bCs/>
          <w:caps w:val="0"/>
          <w:sz w:val="20"/>
        </w:rPr>
        <w:t xml:space="preserve"> 2 (zero hunger) by increasing crop yields and food quality, while nanotechnology in water management supports </w:t>
      </w:r>
      <w:proofErr w:type="spellStart"/>
      <w:r w:rsidRPr="005F3FD2">
        <w:rPr>
          <w:rFonts w:ascii="Arial" w:hAnsi="Arial" w:cs="Arial"/>
          <w:b w:val="0"/>
          <w:bCs/>
          <w:caps w:val="0"/>
          <w:sz w:val="20"/>
        </w:rPr>
        <w:t>sdg</w:t>
      </w:r>
      <w:proofErr w:type="spellEnd"/>
      <w:r w:rsidRPr="005F3FD2">
        <w:rPr>
          <w:rFonts w:ascii="Arial" w:hAnsi="Arial" w:cs="Arial"/>
          <w:b w:val="0"/>
          <w:bCs/>
          <w:caps w:val="0"/>
          <w:sz w:val="20"/>
        </w:rPr>
        <w:t xml:space="preserve"> 6 (clean water and sanitation).Moreover, nanotechnology supports the idea of sustainable intensification, aiming to boost agricultural production without significantly increasing environmental impact. The precise delivery of agricultural inputs through nanocarriers cuts down on excessive use of fertilizers and pesticides, which can lower greenhouse gas emissions and limit soil and water contamination. However, the findings also highlight the need for responsible and context-specific use, especially in developing countries where regulations, technical skills, and risk assessment capabilities are often inadequate. Without inclusive governance and capacity-building, the advantages of agricultural nanotechnology could become unevenly distributed, which might increase social and economic inequalities</w:t>
      </w:r>
      <w:commentRangeEnd w:id="7"/>
      <w:r w:rsidR="00251832">
        <w:rPr>
          <w:rStyle w:val="CommentReference"/>
          <w:rFonts w:ascii="Times New Roman" w:hAnsi="Times New Roman"/>
          <w:b w:val="0"/>
          <w:caps w:val="0"/>
          <w:lang w:val="nb-NO" w:eastAsia="nb-NO"/>
        </w:rPr>
        <w:commentReference w:id="7"/>
      </w:r>
      <w:r w:rsidRPr="005F3FD2">
        <w:rPr>
          <w:rFonts w:ascii="Arial" w:hAnsi="Arial" w:cs="Arial"/>
          <w:b w:val="0"/>
          <w:bCs/>
          <w:caps w:val="0"/>
          <w:sz w:val="20"/>
        </w:rPr>
        <w:t>.</w:t>
      </w:r>
    </w:p>
    <w:p w14:paraId="1F84DA37" w14:textId="73B1BEE9" w:rsidR="005D005E" w:rsidRPr="005F3FD2" w:rsidRDefault="005D005E" w:rsidP="00DD0F76">
      <w:pPr>
        <w:pStyle w:val="ReferHead"/>
        <w:jc w:val="both"/>
        <w:rPr>
          <w:rFonts w:ascii="Arial" w:hAnsi="Arial" w:cs="Arial"/>
          <w:b w:val="0"/>
          <w:bCs/>
          <w:caps w:val="0"/>
          <w:sz w:val="20"/>
        </w:rPr>
      </w:pPr>
      <w:r w:rsidRPr="005F3FD2">
        <w:rPr>
          <w:rFonts w:ascii="Arial" w:hAnsi="Arial" w:cs="Arial"/>
          <w:b w:val="0"/>
          <w:bCs/>
          <w:caps w:val="0"/>
          <w:sz w:val="20"/>
        </w:rPr>
        <w:t>3.2 public perception and socioeconomic implications</w:t>
      </w:r>
    </w:p>
    <w:p w14:paraId="10B309DF"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Survey-based studies, particularly from developed nations such as the United States, reveal that public perception of nanotechnology remains cautiously optimistic but heterogeneous when compared to other emerging technologies. Respondents generally perceive nanotechnology as less risky and more beneficial than genetically modified organisms (GMOs), synthetic pesticides, chemical disinfectants, and human genetic modification. However, it is often viewed as more risky and less socially acceptable than renewable energy technologies, vaccination programs, and digital innovations [5].</w:t>
      </w:r>
    </w:p>
    <w:p w14:paraId="3F8E6B81"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 xml:space="preserve">These perceptions are shaped by factors such as public awareness, trust in regulatory institutions, perceived benefits, and uncertainty regarding long-term impacts. In agriculture, public acceptance plays a particularly critical role because nanomaterials are deliberately introduced into open ecosystems and food production systems. Consumers often express concerns related to food safety, environmental contamination, ethical considerations, and transparency in </w:t>
      </w:r>
      <w:proofErr w:type="spellStart"/>
      <w:r w:rsidRPr="005F3FD2">
        <w:rPr>
          <w:rFonts w:ascii="Arial" w:hAnsi="Arial" w:cs="Arial"/>
          <w:sz w:val="20"/>
          <w:szCs w:val="20"/>
        </w:rPr>
        <w:t>labeling</w:t>
      </w:r>
      <w:proofErr w:type="spellEnd"/>
      <w:r w:rsidRPr="005F3FD2">
        <w:rPr>
          <w:rFonts w:ascii="Arial" w:hAnsi="Arial" w:cs="Arial"/>
          <w:sz w:val="20"/>
          <w:szCs w:val="20"/>
        </w:rPr>
        <w:t>.</w:t>
      </w:r>
    </w:p>
    <w:p w14:paraId="55BF163E" w14:textId="77777777" w:rsidR="00191A2B" w:rsidRPr="005F3FD2" w:rsidRDefault="00191A2B" w:rsidP="00DD0F76">
      <w:pPr>
        <w:pStyle w:val="NormalWeb"/>
        <w:jc w:val="both"/>
        <w:rPr>
          <w:rFonts w:ascii="Arial" w:hAnsi="Arial" w:cs="Arial"/>
          <w:sz w:val="20"/>
          <w:szCs w:val="20"/>
        </w:rPr>
      </w:pPr>
      <w:r w:rsidRPr="005F3FD2">
        <w:rPr>
          <w:rFonts w:ascii="Arial" w:hAnsi="Arial" w:cs="Arial"/>
          <w:sz w:val="20"/>
          <w:szCs w:val="20"/>
        </w:rPr>
        <w:t>From a socioeconomic perspective, nanotechnology has the potential to improve farmers’ incomes by increasing productivity, reducing input costs, and minimizing crop losses. However, unequal access to nano-enabled technologies, high initial costs, and intellectual property constraints may limit adoption among smallholder farmers. Therefore, inclusive innovation policies, public engagement, and clear risk communication strategies are essential to ensure societal trust and equitable benefits.</w:t>
      </w:r>
    </w:p>
    <w:p w14:paraId="1EC53552" w14:textId="543BA0EA" w:rsidR="00191A2B" w:rsidRPr="005F3FD2" w:rsidRDefault="00191A2B" w:rsidP="00DD0F76">
      <w:pPr>
        <w:rPr>
          <w:rFonts w:ascii="Arial" w:hAnsi="Arial" w:cs="Arial"/>
        </w:rPr>
      </w:pPr>
    </w:p>
    <w:p w14:paraId="0E9B5ABE" w14:textId="1D7BB6E0"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3.3 Environmental Fate and Risk Assessment of Nanomaterials</w:t>
      </w:r>
    </w:p>
    <w:p w14:paraId="5F9EC8C0"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One of the most critical findings highlighted in this study is the limited understanding of the environmental fate, transport, transformation, and persistence of engineered nanoparticles in agroecosystems. Current scientific knowledge regarding nanoparticle </w:t>
      </w:r>
      <w:proofErr w:type="spellStart"/>
      <w:r w:rsidRPr="005F3FD2">
        <w:rPr>
          <w:rFonts w:ascii="Arial" w:hAnsi="Arial" w:cs="Arial"/>
          <w:sz w:val="20"/>
          <w:szCs w:val="20"/>
        </w:rPr>
        <w:t>behavior</w:t>
      </w:r>
      <w:proofErr w:type="spellEnd"/>
      <w:r w:rsidRPr="005F3FD2">
        <w:rPr>
          <w:rFonts w:ascii="Arial" w:hAnsi="Arial" w:cs="Arial"/>
          <w:sz w:val="20"/>
          <w:szCs w:val="20"/>
        </w:rPr>
        <w:t xml:space="preserve"> in soil and aquatic environments remains fragmented and often inconsistent. Key processes such as aggregation, dissolution, adsorption to soil particles, microbial transformation, and bioaccumulation are strongly influenced by nanoparticle characteristics (size, shape, surface chemistry) and environmental conditions (pH, organic matter, moisture, and temperature).</w:t>
      </w:r>
    </w:p>
    <w:p w14:paraId="698856DF"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Experimental studies suggest that some metal-based nanoparticles, including silver and zinc oxide nanoparticles, may persist in soil environments and alter microbial community structure and enzymatic activity. Such changes can indirectly influence nutrient cycling, soil fertility, and ecosystem stability. In contrast, biodegradable nanomaterials such as chitosan-based nanoparticles generally exhibit lower environmental persistence and toxicity.</w:t>
      </w:r>
    </w:p>
    <w:p w14:paraId="2462104E" w14:textId="38D6C250" w:rsidR="00191A2B" w:rsidRPr="005F3FD2" w:rsidRDefault="00191A2B" w:rsidP="00DD0F76">
      <w:pPr>
        <w:pStyle w:val="NormalWeb"/>
        <w:rPr>
          <w:rFonts w:ascii="Arial" w:hAnsi="Arial" w:cs="Arial"/>
          <w:sz w:val="20"/>
          <w:szCs w:val="20"/>
        </w:rPr>
      </w:pPr>
      <w:r w:rsidRPr="005F3FD2">
        <w:rPr>
          <w:rFonts w:ascii="Arial" w:hAnsi="Arial" w:cs="Arial"/>
          <w:sz w:val="20"/>
          <w:szCs w:val="20"/>
        </w:rPr>
        <w:t>Due to these uncertainties, predicting long-term environmental consequences associated with large-scale agricultural application of nanomaterials remains challenging. The results strongly indicate that agricultural nanoproducts require a higher level of precaution than industrial or consumer nanomaterials. Comprehensive toxicological studies, long-term field experiments, food-chain transfer assessments, and ecosystem-level risk evaluations are essential to ensure environmental and human safety [5]. Integrating life-cycle assessment (LCA) and standardized testing protocols into nanotechnology research will further strengthen evidence-based regulation.</w:t>
      </w:r>
    </w:p>
    <w:p w14:paraId="6118444B"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3.4 Performance of Nano-enabled Agricultural Inputs</w:t>
      </w:r>
    </w:p>
    <w:p w14:paraId="7B00E7C8"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Extensive experimental and field-scale studies consistently demonstrate that nanotechnology-based agricultural inputs outperform conventional agrochemicals in terms of efficiency, precision, and sustainability. Nano-fertilizers enhance </w:t>
      </w:r>
      <w:r w:rsidRPr="005F3FD2">
        <w:rPr>
          <w:rFonts w:ascii="Arial" w:hAnsi="Arial" w:cs="Arial"/>
          <w:sz w:val="20"/>
          <w:szCs w:val="20"/>
        </w:rPr>
        <w:lastRenderedPageBreak/>
        <w:t>nutrient uptake efficiency by reducing losses due to leaching, volatilization, and runoff. Nano-pesticides, through controlled-release mechanisms, improve pest management efficacy while significantly lowering application rates and non-target exposure.</w:t>
      </w:r>
    </w:p>
    <w:p w14:paraId="6CC8CB21"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Nano-enabled soil conditioners improve soil structure, enhance microbial activity, and increase water-holding capacity, contributing to long-term soil health and productivity. These improvements are particularly important in degraded and marginal soils where conventional inputs often show limited effectiveness.</w:t>
      </w:r>
    </w:p>
    <w:p w14:paraId="510C92D6" w14:textId="4ACFC7C9" w:rsidR="006610AC"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1. Comparative evaluation of conventional and nano-enabled agricultural inputs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3561"/>
        <w:gridCol w:w="3260"/>
      </w:tblGrid>
      <w:tr w:rsidR="005F3FD2" w:rsidRPr="005F3FD2" w14:paraId="0A0A0EF8" w14:textId="77777777" w:rsidTr="006610AC">
        <w:trPr>
          <w:tblCellSpacing w:w="15" w:type="dxa"/>
        </w:trPr>
        <w:tc>
          <w:tcPr>
            <w:tcW w:w="0" w:type="auto"/>
            <w:vAlign w:val="center"/>
            <w:hideMark/>
          </w:tcPr>
          <w:p w14:paraId="5D268FAD"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Parameter</w:t>
            </w:r>
          </w:p>
        </w:tc>
        <w:tc>
          <w:tcPr>
            <w:tcW w:w="3531" w:type="dxa"/>
            <w:vAlign w:val="center"/>
            <w:hideMark/>
          </w:tcPr>
          <w:p w14:paraId="2B62D1BE"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Conventional Inputs</w:t>
            </w:r>
          </w:p>
        </w:tc>
        <w:tc>
          <w:tcPr>
            <w:tcW w:w="3215" w:type="dxa"/>
            <w:vAlign w:val="center"/>
            <w:hideMark/>
          </w:tcPr>
          <w:p w14:paraId="09151D19" w14:textId="77777777" w:rsidR="006610AC" w:rsidRPr="006610AC" w:rsidRDefault="006610AC" w:rsidP="00DD0F76">
            <w:pPr>
              <w:jc w:val="center"/>
              <w:rPr>
                <w:rFonts w:ascii="Arial" w:hAnsi="Arial" w:cs="Arial"/>
                <w:b/>
                <w:bCs/>
                <w:lang w:val="en-IN" w:eastAsia="en-IN"/>
              </w:rPr>
            </w:pPr>
            <w:r w:rsidRPr="006610AC">
              <w:rPr>
                <w:rFonts w:ascii="Arial" w:hAnsi="Arial" w:cs="Arial"/>
                <w:b/>
                <w:bCs/>
                <w:lang w:val="en-IN" w:eastAsia="en-IN"/>
              </w:rPr>
              <w:t>Nano-enabled Inputs</w:t>
            </w:r>
          </w:p>
        </w:tc>
      </w:tr>
      <w:tr w:rsidR="005F3FD2" w:rsidRPr="005F3FD2" w14:paraId="2CCB1C04" w14:textId="77777777" w:rsidTr="006610AC">
        <w:trPr>
          <w:tblCellSpacing w:w="15" w:type="dxa"/>
        </w:trPr>
        <w:tc>
          <w:tcPr>
            <w:tcW w:w="0" w:type="auto"/>
            <w:vAlign w:val="center"/>
            <w:hideMark/>
          </w:tcPr>
          <w:p w14:paraId="3EECED20"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Application rate</w:t>
            </w:r>
          </w:p>
        </w:tc>
        <w:tc>
          <w:tcPr>
            <w:tcW w:w="3531" w:type="dxa"/>
            <w:vAlign w:val="center"/>
            <w:hideMark/>
          </w:tcPr>
          <w:p w14:paraId="2251C4D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35F901E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r>
      <w:tr w:rsidR="005F3FD2" w:rsidRPr="005F3FD2" w14:paraId="16461F13" w14:textId="77777777" w:rsidTr="006610AC">
        <w:trPr>
          <w:tblCellSpacing w:w="15" w:type="dxa"/>
        </w:trPr>
        <w:tc>
          <w:tcPr>
            <w:tcW w:w="0" w:type="auto"/>
            <w:vAlign w:val="center"/>
            <w:hideMark/>
          </w:tcPr>
          <w:p w14:paraId="06FE8D2A"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Nutrient-use efficiency</w:t>
            </w:r>
          </w:p>
        </w:tc>
        <w:tc>
          <w:tcPr>
            <w:tcW w:w="3531" w:type="dxa"/>
            <w:vAlign w:val="center"/>
            <w:hideMark/>
          </w:tcPr>
          <w:p w14:paraId="6E7A3136"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Low–moderate</w:t>
            </w:r>
          </w:p>
        </w:tc>
        <w:tc>
          <w:tcPr>
            <w:tcW w:w="3215" w:type="dxa"/>
            <w:vAlign w:val="center"/>
            <w:hideMark/>
          </w:tcPr>
          <w:p w14:paraId="60BEE43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3A4AC389" w14:textId="77777777" w:rsidTr="006610AC">
        <w:trPr>
          <w:tblCellSpacing w:w="15" w:type="dxa"/>
        </w:trPr>
        <w:tc>
          <w:tcPr>
            <w:tcW w:w="0" w:type="auto"/>
            <w:vAlign w:val="center"/>
            <w:hideMark/>
          </w:tcPr>
          <w:p w14:paraId="1B22D081"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Environmental contamination</w:t>
            </w:r>
          </w:p>
        </w:tc>
        <w:tc>
          <w:tcPr>
            <w:tcW w:w="3531" w:type="dxa"/>
            <w:vAlign w:val="center"/>
            <w:hideMark/>
          </w:tcPr>
          <w:p w14:paraId="21A5AB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c>
          <w:tcPr>
            <w:tcW w:w="3215" w:type="dxa"/>
            <w:vAlign w:val="center"/>
            <w:hideMark/>
          </w:tcPr>
          <w:p w14:paraId="6BC3316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Reduced</w:t>
            </w:r>
          </w:p>
        </w:tc>
      </w:tr>
      <w:tr w:rsidR="005F3FD2" w:rsidRPr="005F3FD2" w14:paraId="74819169" w14:textId="77777777" w:rsidTr="006610AC">
        <w:trPr>
          <w:tblCellSpacing w:w="15" w:type="dxa"/>
        </w:trPr>
        <w:tc>
          <w:tcPr>
            <w:tcW w:w="0" w:type="auto"/>
            <w:vAlign w:val="center"/>
            <w:hideMark/>
          </w:tcPr>
          <w:p w14:paraId="613C427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Controlled release</w:t>
            </w:r>
          </w:p>
        </w:tc>
        <w:tc>
          <w:tcPr>
            <w:tcW w:w="3531" w:type="dxa"/>
            <w:vAlign w:val="center"/>
            <w:hideMark/>
          </w:tcPr>
          <w:p w14:paraId="5FCFF94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489AC4E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Advanced</w:t>
            </w:r>
          </w:p>
        </w:tc>
      </w:tr>
      <w:tr w:rsidR="005F3FD2" w:rsidRPr="005F3FD2" w14:paraId="55B489F1" w14:textId="77777777" w:rsidTr="006610AC">
        <w:trPr>
          <w:tblCellSpacing w:w="15" w:type="dxa"/>
        </w:trPr>
        <w:tc>
          <w:tcPr>
            <w:tcW w:w="0" w:type="auto"/>
            <w:vAlign w:val="center"/>
            <w:hideMark/>
          </w:tcPr>
          <w:p w14:paraId="29B456C4"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Target specificity</w:t>
            </w:r>
          </w:p>
        </w:tc>
        <w:tc>
          <w:tcPr>
            <w:tcW w:w="3531" w:type="dxa"/>
            <w:vAlign w:val="center"/>
            <w:hideMark/>
          </w:tcPr>
          <w:p w14:paraId="06716D28"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Low</w:t>
            </w:r>
          </w:p>
        </w:tc>
        <w:tc>
          <w:tcPr>
            <w:tcW w:w="3215" w:type="dxa"/>
            <w:vAlign w:val="center"/>
            <w:hideMark/>
          </w:tcPr>
          <w:p w14:paraId="487543BD"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r w:rsidR="005F3FD2" w:rsidRPr="005F3FD2" w14:paraId="23A483EF" w14:textId="77777777" w:rsidTr="006610AC">
        <w:trPr>
          <w:tblCellSpacing w:w="15" w:type="dxa"/>
        </w:trPr>
        <w:tc>
          <w:tcPr>
            <w:tcW w:w="0" w:type="auto"/>
            <w:vAlign w:val="center"/>
            <w:hideMark/>
          </w:tcPr>
          <w:p w14:paraId="0A1CCC0E"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Crop yield and quality</w:t>
            </w:r>
          </w:p>
        </w:tc>
        <w:tc>
          <w:tcPr>
            <w:tcW w:w="3531" w:type="dxa"/>
            <w:vAlign w:val="center"/>
            <w:hideMark/>
          </w:tcPr>
          <w:p w14:paraId="0DCCDEF9"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Moderate</w:t>
            </w:r>
          </w:p>
        </w:tc>
        <w:tc>
          <w:tcPr>
            <w:tcW w:w="3215" w:type="dxa"/>
            <w:vAlign w:val="center"/>
            <w:hideMark/>
          </w:tcPr>
          <w:p w14:paraId="0792BE8B"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Enhanced</w:t>
            </w:r>
          </w:p>
        </w:tc>
      </w:tr>
      <w:tr w:rsidR="005F3FD2" w:rsidRPr="005F3FD2" w14:paraId="0A3D8A69" w14:textId="77777777" w:rsidTr="006610AC">
        <w:trPr>
          <w:tblCellSpacing w:w="15" w:type="dxa"/>
        </w:trPr>
        <w:tc>
          <w:tcPr>
            <w:tcW w:w="0" w:type="auto"/>
            <w:vAlign w:val="center"/>
            <w:hideMark/>
          </w:tcPr>
          <w:p w14:paraId="79662C75"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Sustainability</w:t>
            </w:r>
          </w:p>
        </w:tc>
        <w:tc>
          <w:tcPr>
            <w:tcW w:w="3531" w:type="dxa"/>
            <w:vAlign w:val="center"/>
            <w:hideMark/>
          </w:tcPr>
          <w:p w14:paraId="5FC46D07"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Limited</w:t>
            </w:r>
          </w:p>
        </w:tc>
        <w:tc>
          <w:tcPr>
            <w:tcW w:w="3215" w:type="dxa"/>
            <w:vAlign w:val="center"/>
            <w:hideMark/>
          </w:tcPr>
          <w:p w14:paraId="0D978E5F" w14:textId="77777777" w:rsidR="006610AC" w:rsidRPr="006610AC" w:rsidRDefault="006610AC" w:rsidP="00DD0F76">
            <w:pPr>
              <w:rPr>
                <w:rFonts w:ascii="Arial" w:hAnsi="Arial" w:cs="Arial"/>
                <w:lang w:val="en-IN" w:eastAsia="en-IN"/>
              </w:rPr>
            </w:pPr>
            <w:r w:rsidRPr="006610AC">
              <w:rPr>
                <w:rFonts w:ascii="Arial" w:hAnsi="Arial" w:cs="Arial"/>
                <w:lang w:val="en-IN" w:eastAsia="en-IN"/>
              </w:rPr>
              <w:t>High</w:t>
            </w:r>
          </w:p>
        </w:tc>
      </w:tr>
    </w:tbl>
    <w:p w14:paraId="345B75D2" w14:textId="073DA6E2" w:rsidR="00191A2B" w:rsidRPr="00DD0F76" w:rsidRDefault="006610AC" w:rsidP="00DD0F76">
      <w:pPr>
        <w:spacing w:before="100" w:beforeAutospacing="1" w:after="100" w:afterAutospacing="1"/>
        <w:rPr>
          <w:rFonts w:ascii="Arial" w:hAnsi="Arial" w:cs="Arial"/>
          <w:lang w:val="en-IN" w:eastAsia="en-IN"/>
        </w:rPr>
      </w:pPr>
      <w:r w:rsidRPr="006610AC">
        <w:rPr>
          <w:rFonts w:ascii="Arial" w:hAnsi="Arial" w:cs="Arial"/>
          <w:lang w:val="en-IN" w:eastAsia="en-IN"/>
        </w:rPr>
        <w:t>These results confirm that nano-enabled technologies support precision agriculture by enabling site-specific, demand-driven delivery of nutrients and pesticides. This approach reduces waste, lowers production costs over time, and minimizes environmental impacts.</w:t>
      </w:r>
      <w:r w:rsidR="00DD0F76">
        <w:rPr>
          <w:rFonts w:ascii="Arial" w:hAnsi="Arial" w:cs="Arial"/>
          <w:lang w:val="en-IN" w:eastAsia="en-IN"/>
        </w:rPr>
        <w:t xml:space="preserve"> </w:t>
      </w:r>
      <w:r w:rsidR="00191A2B" w:rsidRPr="005F3FD2">
        <w:rPr>
          <w:rFonts w:ascii="Arial" w:hAnsi="Arial" w:cs="Arial"/>
        </w:rPr>
        <w:t>Collectively, these results confirm that nano-enabled technologies support precision agriculture by enabling site-specific and demand-driven input delivery. This not only improves crop performance but also reduces environmental footprints and enhances economic sustainability for farmers.</w:t>
      </w:r>
    </w:p>
    <w:p w14:paraId="33C3D381"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3.5 Nano-fertilizers and Plant Productivity</w:t>
      </w:r>
    </w:p>
    <w:p w14:paraId="7A95CA03"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 xml:space="preserve">Nano-fertilizers represent one of the most promising applications of nanotechnology in modern agriculture. The reviewed studies consistently show that nano-fertilizers improve nutrient-use efficiency by synchronizing nutrient availability with plant physiological demand. Nanocarriers such as chitosan, zeolites, </w:t>
      </w:r>
      <w:proofErr w:type="spellStart"/>
      <w:r w:rsidRPr="005F3FD2">
        <w:rPr>
          <w:rFonts w:ascii="Arial" w:hAnsi="Arial" w:cs="Arial"/>
          <w:sz w:val="20"/>
          <w:szCs w:val="20"/>
        </w:rPr>
        <w:t>nanoclays</w:t>
      </w:r>
      <w:proofErr w:type="spellEnd"/>
      <w:r w:rsidRPr="005F3FD2">
        <w:rPr>
          <w:rFonts w:ascii="Arial" w:hAnsi="Arial" w:cs="Arial"/>
          <w:sz w:val="20"/>
          <w:szCs w:val="20"/>
        </w:rPr>
        <w:t>, and silica nanoparticles enable slow and controlled nutrient release, leading to enhanced root uptake and reduced nutrient losses.</w:t>
      </w:r>
    </w:p>
    <w:p w14:paraId="5F73C03C"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Beyond yield enhancement, nano-fertilizers also influence plant metabolic processes, enzyme activity, and stress tolerance. Improved micronutrient availability contributes to better photosynthetic efficiency, protein synthesis, and grain quality.</w:t>
      </w:r>
    </w:p>
    <w:p w14:paraId="340362A0" w14:textId="77777777" w:rsidR="003B07C3" w:rsidRPr="005F3FD2" w:rsidRDefault="00191A2B" w:rsidP="00DD0F76">
      <w:pPr>
        <w:pStyle w:val="NormalWeb"/>
        <w:rPr>
          <w:rStyle w:val="Strong"/>
          <w:rFonts w:ascii="Arial" w:hAnsi="Arial" w:cs="Arial"/>
          <w:sz w:val="20"/>
          <w:szCs w:val="20"/>
        </w:rPr>
      </w:pPr>
      <w:r w:rsidRPr="005F3FD2">
        <w:rPr>
          <w:rStyle w:val="Strong"/>
          <w:rFonts w:ascii="Arial" w:hAnsi="Arial" w:cs="Arial"/>
          <w:sz w:val="20"/>
          <w:szCs w:val="20"/>
        </w:rPr>
        <w:t>Table 2. Effects of nano-fertilizers on crop performance</w:t>
      </w:r>
    </w:p>
    <w:tbl>
      <w:tblPr>
        <w:tblStyle w:val="TableGrid"/>
        <w:tblW w:w="8091" w:type="dxa"/>
        <w:tblLook w:val="04A0" w:firstRow="1" w:lastRow="0" w:firstColumn="1" w:lastColumn="0" w:noHBand="0" w:noVBand="1"/>
      </w:tblPr>
      <w:tblGrid>
        <w:gridCol w:w="2697"/>
        <w:gridCol w:w="2697"/>
        <w:gridCol w:w="2697"/>
      </w:tblGrid>
      <w:tr w:rsidR="005F3FD2" w:rsidRPr="005F3FD2" w14:paraId="19A7F647" w14:textId="77777777" w:rsidTr="00C03FF1">
        <w:tc>
          <w:tcPr>
            <w:tcW w:w="2697" w:type="dxa"/>
            <w:vAlign w:val="center"/>
          </w:tcPr>
          <w:p w14:paraId="20D6F994" w14:textId="4FF2EE3A"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Crop type</w:t>
            </w:r>
          </w:p>
        </w:tc>
        <w:tc>
          <w:tcPr>
            <w:tcW w:w="2697" w:type="dxa"/>
            <w:vAlign w:val="center"/>
          </w:tcPr>
          <w:p w14:paraId="7231550A" w14:textId="35AA10A5"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Nano-fertilizer used</w:t>
            </w:r>
          </w:p>
        </w:tc>
        <w:tc>
          <w:tcPr>
            <w:tcW w:w="2697" w:type="dxa"/>
            <w:vAlign w:val="center"/>
          </w:tcPr>
          <w:p w14:paraId="69985C43" w14:textId="584D6128" w:rsidR="00C03FF1" w:rsidRPr="005F3FD2" w:rsidRDefault="00C03FF1" w:rsidP="00DD0F76">
            <w:pPr>
              <w:pStyle w:val="NormalWeb"/>
              <w:rPr>
                <w:rFonts w:ascii="Arial" w:hAnsi="Arial" w:cs="Arial"/>
                <w:b/>
                <w:bCs/>
                <w:sz w:val="20"/>
                <w:szCs w:val="20"/>
              </w:rPr>
            </w:pPr>
            <w:r w:rsidRPr="006610AC">
              <w:rPr>
                <w:rFonts w:ascii="Arial" w:hAnsi="Arial" w:cs="Arial"/>
                <w:b/>
                <w:bCs/>
                <w:sz w:val="20"/>
                <w:szCs w:val="20"/>
              </w:rPr>
              <w:t>Observed effect</w:t>
            </w:r>
          </w:p>
        </w:tc>
      </w:tr>
      <w:tr w:rsidR="005F3FD2" w:rsidRPr="005F3FD2" w14:paraId="78A9449D" w14:textId="77777777" w:rsidTr="00C03FF1">
        <w:tc>
          <w:tcPr>
            <w:tcW w:w="2697" w:type="dxa"/>
            <w:vAlign w:val="center"/>
          </w:tcPr>
          <w:p w14:paraId="64DF174E" w14:textId="15725F1F" w:rsidR="00C03FF1" w:rsidRPr="005F3FD2" w:rsidRDefault="00C03FF1" w:rsidP="00DD0F76">
            <w:pPr>
              <w:pStyle w:val="NormalWeb"/>
              <w:rPr>
                <w:rFonts w:ascii="Arial" w:hAnsi="Arial" w:cs="Arial"/>
                <w:sz w:val="20"/>
                <w:szCs w:val="20"/>
              </w:rPr>
            </w:pPr>
            <w:r w:rsidRPr="006610AC">
              <w:rPr>
                <w:rFonts w:ascii="Arial" w:hAnsi="Arial" w:cs="Arial"/>
                <w:sz w:val="20"/>
                <w:szCs w:val="20"/>
              </w:rPr>
              <w:t>Cereals</w:t>
            </w:r>
          </w:p>
        </w:tc>
        <w:tc>
          <w:tcPr>
            <w:tcW w:w="2697" w:type="dxa"/>
            <w:vAlign w:val="center"/>
          </w:tcPr>
          <w:p w14:paraId="5D8E0731" w14:textId="75AD7E93" w:rsidR="00C03FF1" w:rsidRPr="005F3FD2" w:rsidRDefault="00C03FF1" w:rsidP="00DD0F76">
            <w:pPr>
              <w:pStyle w:val="NormalWeb"/>
              <w:rPr>
                <w:rFonts w:ascii="Arial" w:hAnsi="Arial" w:cs="Arial"/>
                <w:sz w:val="20"/>
                <w:szCs w:val="20"/>
              </w:rPr>
            </w:pPr>
            <w:r w:rsidRPr="006610AC">
              <w:rPr>
                <w:rFonts w:ascii="Arial" w:hAnsi="Arial" w:cs="Arial"/>
                <w:sz w:val="20"/>
                <w:szCs w:val="20"/>
              </w:rPr>
              <w:t>Nano-N, nano-Zn</w:t>
            </w:r>
          </w:p>
        </w:tc>
        <w:tc>
          <w:tcPr>
            <w:tcW w:w="2697" w:type="dxa"/>
            <w:vAlign w:val="center"/>
          </w:tcPr>
          <w:p w14:paraId="2CB6C64F" w14:textId="1BDDBD0C"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grain yield and protein content</w:t>
            </w:r>
          </w:p>
        </w:tc>
      </w:tr>
      <w:tr w:rsidR="005F3FD2" w:rsidRPr="005F3FD2" w14:paraId="0602C39A" w14:textId="77777777" w:rsidTr="00C03FF1">
        <w:tc>
          <w:tcPr>
            <w:tcW w:w="2697" w:type="dxa"/>
          </w:tcPr>
          <w:p w14:paraId="5E6B1989" w14:textId="24E62923" w:rsidR="00C03FF1" w:rsidRPr="005F3FD2" w:rsidRDefault="00C03FF1" w:rsidP="00DD0F76">
            <w:pPr>
              <w:pStyle w:val="NormalWeb"/>
              <w:rPr>
                <w:rFonts w:ascii="Arial" w:hAnsi="Arial" w:cs="Arial"/>
                <w:sz w:val="20"/>
                <w:szCs w:val="20"/>
              </w:rPr>
            </w:pPr>
            <w:r w:rsidRPr="006610AC">
              <w:rPr>
                <w:rFonts w:ascii="Arial" w:hAnsi="Arial" w:cs="Arial"/>
                <w:sz w:val="20"/>
                <w:szCs w:val="20"/>
              </w:rPr>
              <w:t>Legumes</w:t>
            </w:r>
          </w:p>
        </w:tc>
        <w:tc>
          <w:tcPr>
            <w:tcW w:w="2697" w:type="dxa"/>
          </w:tcPr>
          <w:p w14:paraId="4DBF751C" w14:textId="3AEE0868" w:rsidR="00C03FF1" w:rsidRPr="005F3FD2" w:rsidRDefault="00C03FF1" w:rsidP="00DD0F76">
            <w:pPr>
              <w:pStyle w:val="NormalWeb"/>
              <w:rPr>
                <w:rFonts w:ascii="Arial" w:hAnsi="Arial" w:cs="Arial"/>
                <w:sz w:val="20"/>
                <w:szCs w:val="20"/>
              </w:rPr>
            </w:pPr>
            <w:r w:rsidRPr="006610AC">
              <w:rPr>
                <w:rFonts w:ascii="Arial" w:hAnsi="Arial" w:cs="Arial"/>
                <w:sz w:val="20"/>
                <w:szCs w:val="20"/>
              </w:rPr>
              <w:t>Nano-Fe, nano-Mn</w:t>
            </w:r>
          </w:p>
        </w:tc>
        <w:tc>
          <w:tcPr>
            <w:tcW w:w="2697" w:type="dxa"/>
          </w:tcPr>
          <w:p w14:paraId="44FC92EE" w14:textId="1AB56E79"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mproved nodulation and nitrogen fixation</w:t>
            </w:r>
          </w:p>
        </w:tc>
      </w:tr>
      <w:tr w:rsidR="005F3FD2" w:rsidRPr="005F3FD2" w14:paraId="472E3D05" w14:textId="77777777" w:rsidTr="00C03FF1">
        <w:tc>
          <w:tcPr>
            <w:tcW w:w="2697" w:type="dxa"/>
            <w:vAlign w:val="center"/>
          </w:tcPr>
          <w:p w14:paraId="40322898" w14:textId="1462393B" w:rsidR="00C03FF1" w:rsidRPr="005F3FD2" w:rsidRDefault="00C03FF1" w:rsidP="00DD0F76">
            <w:pPr>
              <w:pStyle w:val="NormalWeb"/>
              <w:rPr>
                <w:rFonts w:ascii="Arial" w:hAnsi="Arial" w:cs="Arial"/>
                <w:sz w:val="20"/>
                <w:szCs w:val="20"/>
              </w:rPr>
            </w:pPr>
            <w:r w:rsidRPr="006610AC">
              <w:rPr>
                <w:rFonts w:ascii="Arial" w:hAnsi="Arial" w:cs="Arial"/>
                <w:sz w:val="20"/>
                <w:szCs w:val="20"/>
              </w:rPr>
              <w:t>Vegetables</w:t>
            </w:r>
          </w:p>
        </w:tc>
        <w:tc>
          <w:tcPr>
            <w:tcW w:w="2697" w:type="dxa"/>
          </w:tcPr>
          <w:p w14:paraId="5F4C14AD" w14:textId="789F7B1E" w:rsidR="00C03FF1" w:rsidRPr="005F3FD2" w:rsidRDefault="00C03FF1" w:rsidP="00DD0F76">
            <w:pPr>
              <w:pStyle w:val="NormalWeb"/>
              <w:rPr>
                <w:rFonts w:ascii="Arial" w:hAnsi="Arial" w:cs="Arial"/>
                <w:sz w:val="20"/>
                <w:szCs w:val="20"/>
              </w:rPr>
            </w:pPr>
            <w:r w:rsidRPr="006610AC">
              <w:rPr>
                <w:rFonts w:ascii="Arial" w:hAnsi="Arial" w:cs="Arial"/>
                <w:sz w:val="20"/>
                <w:szCs w:val="20"/>
              </w:rPr>
              <w:t>Nano-K, nano-Si</w:t>
            </w:r>
          </w:p>
        </w:tc>
        <w:tc>
          <w:tcPr>
            <w:tcW w:w="2697" w:type="dxa"/>
          </w:tcPr>
          <w:p w14:paraId="04C2194D" w14:textId="6B48E4C1" w:rsidR="00C03FF1" w:rsidRPr="005F3FD2" w:rsidRDefault="00C03FF1" w:rsidP="00DD0F76">
            <w:pPr>
              <w:pStyle w:val="NormalWeb"/>
              <w:rPr>
                <w:rFonts w:ascii="Arial" w:hAnsi="Arial" w:cs="Arial"/>
                <w:sz w:val="20"/>
                <w:szCs w:val="20"/>
              </w:rPr>
            </w:pPr>
            <w:r w:rsidRPr="006610AC">
              <w:rPr>
                <w:rFonts w:ascii="Arial" w:hAnsi="Arial" w:cs="Arial"/>
                <w:sz w:val="20"/>
                <w:szCs w:val="20"/>
              </w:rPr>
              <w:t>Enhanced fruit quality and shelf life</w:t>
            </w:r>
          </w:p>
        </w:tc>
      </w:tr>
      <w:tr w:rsidR="005F3FD2" w:rsidRPr="005F3FD2" w14:paraId="19238C12" w14:textId="77777777" w:rsidTr="00C03FF1">
        <w:tc>
          <w:tcPr>
            <w:tcW w:w="2697" w:type="dxa"/>
            <w:vAlign w:val="center"/>
          </w:tcPr>
          <w:p w14:paraId="3D0589BE" w14:textId="078C4145" w:rsidR="00C03FF1" w:rsidRPr="005F3FD2" w:rsidRDefault="00C03FF1" w:rsidP="00DD0F76">
            <w:pPr>
              <w:pStyle w:val="NormalWeb"/>
              <w:rPr>
                <w:rFonts w:ascii="Arial" w:hAnsi="Arial" w:cs="Arial"/>
                <w:sz w:val="20"/>
                <w:szCs w:val="20"/>
              </w:rPr>
            </w:pPr>
            <w:r w:rsidRPr="006610AC">
              <w:rPr>
                <w:rFonts w:ascii="Arial" w:hAnsi="Arial" w:cs="Arial"/>
                <w:sz w:val="20"/>
                <w:szCs w:val="20"/>
              </w:rPr>
              <w:t>Oilseeds</w:t>
            </w:r>
          </w:p>
        </w:tc>
        <w:tc>
          <w:tcPr>
            <w:tcW w:w="2697" w:type="dxa"/>
          </w:tcPr>
          <w:p w14:paraId="18820894" w14:textId="0F08142C" w:rsidR="00C03FF1" w:rsidRPr="005F3FD2" w:rsidRDefault="00C03FF1" w:rsidP="00DD0F76">
            <w:pPr>
              <w:pStyle w:val="NormalWeb"/>
              <w:rPr>
                <w:rFonts w:ascii="Arial" w:hAnsi="Arial" w:cs="Arial"/>
                <w:sz w:val="20"/>
                <w:szCs w:val="20"/>
              </w:rPr>
            </w:pPr>
            <w:r w:rsidRPr="006610AC">
              <w:rPr>
                <w:rFonts w:ascii="Arial" w:hAnsi="Arial" w:cs="Arial"/>
                <w:sz w:val="20"/>
                <w:szCs w:val="20"/>
              </w:rPr>
              <w:t>Nano-B, nano-Zn</w:t>
            </w:r>
          </w:p>
        </w:tc>
        <w:tc>
          <w:tcPr>
            <w:tcW w:w="2697" w:type="dxa"/>
            <w:vAlign w:val="center"/>
          </w:tcPr>
          <w:p w14:paraId="4F8FE557" w14:textId="37E372F5" w:rsidR="00C03FF1" w:rsidRPr="005F3FD2" w:rsidRDefault="00C03FF1" w:rsidP="00DD0F76">
            <w:pPr>
              <w:pStyle w:val="NormalWeb"/>
              <w:rPr>
                <w:rFonts w:ascii="Arial" w:hAnsi="Arial" w:cs="Arial"/>
                <w:sz w:val="20"/>
                <w:szCs w:val="20"/>
              </w:rPr>
            </w:pPr>
            <w:r w:rsidRPr="005F3FD2">
              <w:rPr>
                <w:rFonts w:ascii="Arial" w:hAnsi="Arial" w:cs="Arial"/>
                <w:sz w:val="20"/>
                <w:szCs w:val="20"/>
              </w:rPr>
              <w:t>I</w:t>
            </w:r>
            <w:r w:rsidRPr="006610AC">
              <w:rPr>
                <w:rFonts w:ascii="Arial" w:hAnsi="Arial" w:cs="Arial"/>
                <w:sz w:val="20"/>
                <w:szCs w:val="20"/>
              </w:rPr>
              <w:t>ncreased oil content and seed weight</w:t>
            </w:r>
          </w:p>
        </w:tc>
      </w:tr>
    </w:tbl>
    <w:p w14:paraId="5BADEFDD" w14:textId="77777777" w:rsidR="006610AC" w:rsidRPr="006610AC" w:rsidRDefault="006610AC" w:rsidP="00DD0F76">
      <w:pPr>
        <w:rPr>
          <w:rFonts w:ascii="Arial" w:hAnsi="Arial" w:cs="Arial"/>
          <w:vanish/>
          <w:lang w:val="en-IN" w:eastAsia="en-IN"/>
        </w:rPr>
      </w:pPr>
    </w:p>
    <w:p w14:paraId="21D4E07E"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81"/>
      </w:tblGrid>
      <w:tr w:rsidR="005F3FD2" w:rsidRPr="005F3FD2" w14:paraId="4BAED4BF" w14:textId="77777777" w:rsidTr="00747EEC">
        <w:trPr>
          <w:tblCellSpacing w:w="15" w:type="dxa"/>
        </w:trPr>
        <w:tc>
          <w:tcPr>
            <w:tcW w:w="0" w:type="auto"/>
            <w:vAlign w:val="center"/>
            <w:hideMark/>
          </w:tcPr>
          <w:p w14:paraId="7EB500B6" w14:textId="5DABDA64" w:rsidR="003B07C3" w:rsidRPr="006610AC" w:rsidRDefault="003B07C3" w:rsidP="00DD0F76">
            <w:pPr>
              <w:rPr>
                <w:rFonts w:ascii="Arial" w:hAnsi="Arial" w:cs="Arial"/>
                <w:lang w:val="en-IN" w:eastAsia="en-IN"/>
              </w:rPr>
            </w:pPr>
          </w:p>
        </w:tc>
        <w:tc>
          <w:tcPr>
            <w:tcW w:w="0" w:type="auto"/>
          </w:tcPr>
          <w:p w14:paraId="18E98361" w14:textId="77777777" w:rsidR="003B07C3" w:rsidRPr="005F3FD2" w:rsidRDefault="003B07C3" w:rsidP="00DD0F76">
            <w:pPr>
              <w:rPr>
                <w:rFonts w:ascii="Arial" w:hAnsi="Arial" w:cs="Arial"/>
                <w:lang w:val="en-IN" w:eastAsia="en-IN"/>
              </w:rPr>
            </w:pPr>
          </w:p>
        </w:tc>
        <w:tc>
          <w:tcPr>
            <w:tcW w:w="0" w:type="auto"/>
            <w:vAlign w:val="center"/>
            <w:hideMark/>
          </w:tcPr>
          <w:p w14:paraId="00E93624" w14:textId="5C4E17A5" w:rsidR="003B07C3" w:rsidRPr="006610AC" w:rsidRDefault="003B07C3" w:rsidP="00DD0F76">
            <w:pPr>
              <w:rPr>
                <w:rFonts w:ascii="Arial" w:hAnsi="Arial" w:cs="Arial"/>
                <w:lang w:val="en-IN" w:eastAsia="en-IN"/>
              </w:rPr>
            </w:pPr>
          </w:p>
        </w:tc>
        <w:tc>
          <w:tcPr>
            <w:tcW w:w="0" w:type="auto"/>
          </w:tcPr>
          <w:p w14:paraId="22078BE8" w14:textId="77777777" w:rsidR="003B07C3" w:rsidRPr="005F3FD2" w:rsidRDefault="003B07C3" w:rsidP="00DD0F76">
            <w:pPr>
              <w:rPr>
                <w:rFonts w:ascii="Arial" w:hAnsi="Arial" w:cs="Arial"/>
                <w:lang w:val="en-IN" w:eastAsia="en-IN"/>
              </w:rPr>
            </w:pPr>
          </w:p>
        </w:tc>
        <w:tc>
          <w:tcPr>
            <w:tcW w:w="0" w:type="auto"/>
          </w:tcPr>
          <w:p w14:paraId="07C1D27A" w14:textId="6DF318B3" w:rsidR="003B07C3" w:rsidRPr="005F3FD2" w:rsidRDefault="003B07C3" w:rsidP="00DD0F76">
            <w:pPr>
              <w:rPr>
                <w:rFonts w:ascii="Arial" w:hAnsi="Arial" w:cs="Arial"/>
                <w:lang w:val="en-IN" w:eastAsia="en-IN"/>
              </w:rPr>
            </w:pPr>
          </w:p>
        </w:tc>
        <w:tc>
          <w:tcPr>
            <w:tcW w:w="0" w:type="auto"/>
          </w:tcPr>
          <w:p w14:paraId="4F191E0C" w14:textId="3E63CB93" w:rsidR="003B07C3" w:rsidRPr="005F3FD2" w:rsidRDefault="003B07C3" w:rsidP="00DD0F76">
            <w:pPr>
              <w:rPr>
                <w:rFonts w:ascii="Arial" w:hAnsi="Arial" w:cs="Arial"/>
                <w:lang w:val="en-IN" w:eastAsia="en-IN"/>
              </w:rPr>
            </w:pPr>
          </w:p>
        </w:tc>
        <w:tc>
          <w:tcPr>
            <w:tcW w:w="0" w:type="auto"/>
            <w:vAlign w:val="center"/>
            <w:hideMark/>
          </w:tcPr>
          <w:p w14:paraId="0DCEA579" w14:textId="738A463C" w:rsidR="003B07C3" w:rsidRPr="006610AC" w:rsidRDefault="003B07C3" w:rsidP="00DD0F76">
            <w:pPr>
              <w:rPr>
                <w:rFonts w:ascii="Arial" w:hAnsi="Arial" w:cs="Arial"/>
                <w:lang w:val="en-IN" w:eastAsia="en-IN"/>
              </w:rPr>
            </w:pPr>
          </w:p>
        </w:tc>
      </w:tr>
    </w:tbl>
    <w:p w14:paraId="0D2474CD"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15B86424" w14:textId="77777777" w:rsidTr="003B07C3">
        <w:trPr>
          <w:tblCellSpacing w:w="15" w:type="dxa"/>
        </w:trPr>
        <w:tc>
          <w:tcPr>
            <w:tcW w:w="0" w:type="auto"/>
            <w:vAlign w:val="center"/>
            <w:hideMark/>
          </w:tcPr>
          <w:p w14:paraId="324498A6" w14:textId="329E2934" w:rsidR="003B07C3" w:rsidRPr="006610AC" w:rsidRDefault="003B07C3" w:rsidP="00DD0F76">
            <w:pPr>
              <w:rPr>
                <w:rFonts w:ascii="Arial" w:hAnsi="Arial" w:cs="Arial"/>
                <w:lang w:val="en-IN" w:eastAsia="en-IN"/>
              </w:rPr>
            </w:pPr>
          </w:p>
        </w:tc>
        <w:tc>
          <w:tcPr>
            <w:tcW w:w="0" w:type="auto"/>
            <w:vAlign w:val="center"/>
            <w:hideMark/>
          </w:tcPr>
          <w:p w14:paraId="0CA0F3DF" w14:textId="27B52493" w:rsidR="003B07C3" w:rsidRPr="006610AC" w:rsidRDefault="003B07C3" w:rsidP="00DD0F76">
            <w:pPr>
              <w:rPr>
                <w:rFonts w:ascii="Arial" w:hAnsi="Arial" w:cs="Arial"/>
                <w:lang w:val="en-IN" w:eastAsia="en-IN"/>
              </w:rPr>
            </w:pPr>
          </w:p>
        </w:tc>
      </w:tr>
    </w:tbl>
    <w:p w14:paraId="5DE68069" w14:textId="77777777" w:rsidR="006610AC" w:rsidRPr="006610AC" w:rsidRDefault="006610A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F3FD2" w:rsidRPr="005F3FD2" w14:paraId="0464C128" w14:textId="77777777" w:rsidTr="00C03FF1">
        <w:trPr>
          <w:tblCellSpacing w:w="15" w:type="dxa"/>
        </w:trPr>
        <w:tc>
          <w:tcPr>
            <w:tcW w:w="0" w:type="auto"/>
            <w:vAlign w:val="center"/>
            <w:hideMark/>
          </w:tcPr>
          <w:p w14:paraId="18BA3B65" w14:textId="484B6254" w:rsidR="00C03FF1" w:rsidRPr="006610AC" w:rsidRDefault="00C03FF1" w:rsidP="00DD0F76">
            <w:pPr>
              <w:rPr>
                <w:rFonts w:ascii="Arial" w:hAnsi="Arial" w:cs="Arial"/>
                <w:lang w:val="en-IN" w:eastAsia="en-IN"/>
              </w:rPr>
            </w:pPr>
          </w:p>
        </w:tc>
      </w:tr>
    </w:tbl>
    <w:p w14:paraId="5AEFE839"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These findings demonstrate that nano-fertilizers contribute not only to increased productivity but also to improved nutritional quality of food crops, thereby supporting both food security and human health [2].</w:t>
      </w:r>
    </w:p>
    <w:p w14:paraId="40ACC905" w14:textId="22143C64" w:rsidR="00191A2B" w:rsidRPr="005F3FD2" w:rsidRDefault="00191A2B" w:rsidP="00DD0F76">
      <w:pPr>
        <w:rPr>
          <w:rFonts w:ascii="Arial" w:hAnsi="Arial" w:cs="Arial"/>
        </w:rPr>
      </w:pPr>
    </w:p>
    <w:p w14:paraId="3FA89763"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lastRenderedPageBreak/>
        <w:t>3</w:t>
      </w:r>
      <w:r w:rsidRPr="005F3FD2">
        <w:rPr>
          <w:rFonts w:ascii="Arial" w:hAnsi="Arial" w:cs="Arial"/>
          <w:b/>
          <w:bCs/>
          <w:color w:val="auto"/>
          <w:sz w:val="20"/>
          <w:szCs w:val="20"/>
        </w:rPr>
        <w:t>.6 Nano-pesticides and Crop Protection</w:t>
      </w:r>
    </w:p>
    <w:p w14:paraId="2D050763" w14:textId="66AD9D3E" w:rsidR="00191A2B" w:rsidRPr="005F3FD2" w:rsidRDefault="00191A2B" w:rsidP="00DD0F76">
      <w:pPr>
        <w:pStyle w:val="NormalWeb"/>
        <w:rPr>
          <w:rFonts w:ascii="Arial" w:hAnsi="Arial" w:cs="Arial"/>
          <w:sz w:val="20"/>
          <w:szCs w:val="20"/>
        </w:rPr>
      </w:pPr>
      <w:r w:rsidRPr="005F3FD2">
        <w:rPr>
          <w:rFonts w:ascii="Arial" w:hAnsi="Arial" w:cs="Arial"/>
          <w:sz w:val="20"/>
          <w:szCs w:val="20"/>
        </w:rPr>
        <w:t>Nano-pesticides offer a scientifically advanced alternative to conventional pesticides by improving delivery efficiency and reducing environmental contamination. Encapsulation of active ingredients within nanocarriers protects them from premature degradation caused by light, temperature, and microbial activity. Controlled release mechanisms ensure that pesticides are released in response to specific biological or environmental triggers.</w:t>
      </w:r>
      <w:r w:rsidR="00C03FF1" w:rsidRPr="005F3FD2">
        <w:rPr>
          <w:rFonts w:ascii="Arial" w:hAnsi="Arial" w:cs="Arial"/>
          <w:sz w:val="20"/>
          <w:szCs w:val="20"/>
        </w:rPr>
        <w:t xml:space="preserve"> </w:t>
      </w:r>
      <w:r w:rsidRPr="005F3FD2">
        <w:rPr>
          <w:rFonts w:ascii="Arial" w:hAnsi="Arial" w:cs="Arial"/>
          <w:sz w:val="20"/>
          <w:szCs w:val="20"/>
        </w:rPr>
        <w:t>As a result, nano-pesticides reduce application frequency, minimize chemical residues in food and soil, and lower the risk of pest resistance development [10], [12]. Additionally, improved target specificity reduces harmful effects on beneficial organisms such as pollinators and soil microbes.</w:t>
      </w:r>
    </w:p>
    <w:p w14:paraId="174A5760" w14:textId="77777777" w:rsidR="00C03FF1" w:rsidRPr="005F3FD2" w:rsidRDefault="00191A2B" w:rsidP="00DD0F76">
      <w:pPr>
        <w:pStyle w:val="NormalWeb"/>
        <w:rPr>
          <w:rFonts w:ascii="Arial" w:hAnsi="Arial" w:cs="Arial"/>
          <w:sz w:val="20"/>
          <w:szCs w:val="20"/>
        </w:rPr>
      </w:pPr>
      <w:r w:rsidRPr="005F3FD2">
        <w:rPr>
          <w:rStyle w:val="Strong"/>
          <w:rFonts w:ascii="Arial" w:hAnsi="Arial" w:cs="Arial"/>
          <w:sz w:val="20"/>
          <w:szCs w:val="20"/>
        </w:rPr>
        <w:t>Table 3. Advantages of nano-pesticides over conventional pesticides</w:t>
      </w:r>
      <w:r w:rsidRPr="005F3FD2">
        <w:rPr>
          <w:rFonts w:ascii="Arial" w:hAnsi="Arial" w:cs="Arial"/>
          <w:sz w:val="20"/>
          <w:szCs w:val="20"/>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2"/>
        <w:gridCol w:w="3544"/>
        <w:gridCol w:w="2976"/>
      </w:tblGrid>
      <w:tr w:rsidR="005F3FD2" w:rsidRPr="005F3FD2" w14:paraId="7C97C260" w14:textId="77777777" w:rsidTr="00C03FF1">
        <w:trPr>
          <w:tblCellSpacing w:w="15" w:type="dxa"/>
        </w:trPr>
        <w:tc>
          <w:tcPr>
            <w:tcW w:w="0" w:type="auto"/>
            <w:vAlign w:val="center"/>
            <w:hideMark/>
          </w:tcPr>
          <w:p w14:paraId="1A06B74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Aspect</w:t>
            </w:r>
          </w:p>
        </w:tc>
        <w:tc>
          <w:tcPr>
            <w:tcW w:w="3514" w:type="dxa"/>
            <w:vAlign w:val="center"/>
            <w:hideMark/>
          </w:tcPr>
          <w:p w14:paraId="0EB1B127"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Conventional pesticides</w:t>
            </w:r>
          </w:p>
        </w:tc>
        <w:tc>
          <w:tcPr>
            <w:tcW w:w="2931" w:type="dxa"/>
            <w:vAlign w:val="center"/>
            <w:hideMark/>
          </w:tcPr>
          <w:p w14:paraId="51E5EBE6" w14:textId="77777777" w:rsidR="00C03FF1" w:rsidRPr="00C03FF1" w:rsidRDefault="00C03FF1" w:rsidP="00DD0F76">
            <w:pPr>
              <w:rPr>
                <w:rFonts w:ascii="Arial" w:hAnsi="Arial" w:cs="Arial"/>
                <w:b/>
                <w:bCs/>
                <w:lang w:val="en-IN" w:eastAsia="en-IN"/>
              </w:rPr>
            </w:pPr>
            <w:r w:rsidRPr="00C03FF1">
              <w:rPr>
                <w:rFonts w:ascii="Arial" w:hAnsi="Arial" w:cs="Arial"/>
                <w:b/>
                <w:bCs/>
                <w:lang w:val="en-IN" w:eastAsia="en-IN"/>
              </w:rPr>
              <w:t>Nano-pesticides</w:t>
            </w:r>
          </w:p>
        </w:tc>
      </w:tr>
      <w:tr w:rsidR="005F3FD2" w:rsidRPr="005F3FD2" w14:paraId="2A9AB07F" w14:textId="77777777" w:rsidTr="00C03FF1">
        <w:trPr>
          <w:tblCellSpacing w:w="15" w:type="dxa"/>
        </w:trPr>
        <w:tc>
          <w:tcPr>
            <w:tcW w:w="0" w:type="auto"/>
            <w:vAlign w:val="center"/>
            <w:hideMark/>
          </w:tcPr>
          <w:p w14:paraId="6508C553"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Stability</w:t>
            </w:r>
          </w:p>
        </w:tc>
        <w:tc>
          <w:tcPr>
            <w:tcW w:w="3514" w:type="dxa"/>
            <w:vAlign w:val="center"/>
            <w:hideMark/>
          </w:tcPr>
          <w:p w14:paraId="1C86E31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DC285F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24F02BF0" w14:textId="77777777" w:rsidTr="00C03FF1">
        <w:trPr>
          <w:tblCellSpacing w:w="15" w:type="dxa"/>
        </w:trPr>
        <w:tc>
          <w:tcPr>
            <w:tcW w:w="0" w:type="auto"/>
            <w:vAlign w:val="center"/>
            <w:hideMark/>
          </w:tcPr>
          <w:p w14:paraId="0B71C88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Dosage required</w:t>
            </w:r>
          </w:p>
        </w:tc>
        <w:tc>
          <w:tcPr>
            <w:tcW w:w="3514" w:type="dxa"/>
            <w:vAlign w:val="center"/>
            <w:hideMark/>
          </w:tcPr>
          <w:p w14:paraId="272705CA"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1F15DDF1"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r>
      <w:tr w:rsidR="005F3FD2" w:rsidRPr="005F3FD2" w14:paraId="7F5B7099" w14:textId="77777777" w:rsidTr="00C03FF1">
        <w:trPr>
          <w:tblCellSpacing w:w="15" w:type="dxa"/>
        </w:trPr>
        <w:tc>
          <w:tcPr>
            <w:tcW w:w="0" w:type="auto"/>
            <w:vAlign w:val="center"/>
            <w:hideMark/>
          </w:tcPr>
          <w:p w14:paraId="2CD2514F"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Target specificity</w:t>
            </w:r>
          </w:p>
        </w:tc>
        <w:tc>
          <w:tcPr>
            <w:tcW w:w="3514" w:type="dxa"/>
            <w:vAlign w:val="center"/>
            <w:hideMark/>
          </w:tcPr>
          <w:p w14:paraId="1B86033E"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Low</w:t>
            </w:r>
          </w:p>
        </w:tc>
        <w:tc>
          <w:tcPr>
            <w:tcW w:w="2931" w:type="dxa"/>
            <w:vAlign w:val="center"/>
            <w:hideMark/>
          </w:tcPr>
          <w:p w14:paraId="7F371632"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r>
      <w:tr w:rsidR="005F3FD2" w:rsidRPr="005F3FD2" w14:paraId="580C7EAC" w14:textId="77777777" w:rsidTr="00C03FF1">
        <w:trPr>
          <w:tblCellSpacing w:w="15" w:type="dxa"/>
        </w:trPr>
        <w:tc>
          <w:tcPr>
            <w:tcW w:w="0" w:type="auto"/>
            <w:vAlign w:val="center"/>
            <w:hideMark/>
          </w:tcPr>
          <w:p w14:paraId="71FBA846"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Environmental persistence</w:t>
            </w:r>
          </w:p>
        </w:tc>
        <w:tc>
          <w:tcPr>
            <w:tcW w:w="3514" w:type="dxa"/>
            <w:vAlign w:val="center"/>
            <w:hideMark/>
          </w:tcPr>
          <w:p w14:paraId="5E7367A9"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C5C9D55"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Controlled</w:t>
            </w:r>
          </w:p>
        </w:tc>
      </w:tr>
      <w:tr w:rsidR="005F3FD2" w:rsidRPr="005F3FD2" w14:paraId="3ED2BA31" w14:textId="77777777" w:rsidTr="00C03FF1">
        <w:trPr>
          <w:trHeight w:val="30"/>
          <w:tblCellSpacing w:w="15" w:type="dxa"/>
        </w:trPr>
        <w:tc>
          <w:tcPr>
            <w:tcW w:w="0" w:type="auto"/>
            <w:vAlign w:val="center"/>
            <w:hideMark/>
          </w:tcPr>
          <w:p w14:paraId="7264808C"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Impact on beneficial organisms</w:t>
            </w:r>
          </w:p>
        </w:tc>
        <w:tc>
          <w:tcPr>
            <w:tcW w:w="3514" w:type="dxa"/>
            <w:vAlign w:val="center"/>
            <w:hideMark/>
          </w:tcPr>
          <w:p w14:paraId="14A46290"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High</w:t>
            </w:r>
          </w:p>
        </w:tc>
        <w:tc>
          <w:tcPr>
            <w:tcW w:w="2931" w:type="dxa"/>
            <w:vAlign w:val="center"/>
            <w:hideMark/>
          </w:tcPr>
          <w:p w14:paraId="0165F0C7" w14:textId="77777777" w:rsidR="00C03FF1" w:rsidRPr="00C03FF1" w:rsidRDefault="00C03FF1" w:rsidP="00DD0F76">
            <w:pPr>
              <w:rPr>
                <w:rFonts w:ascii="Arial" w:hAnsi="Arial" w:cs="Arial"/>
                <w:lang w:val="en-IN" w:eastAsia="en-IN"/>
              </w:rPr>
            </w:pPr>
            <w:r w:rsidRPr="00C03FF1">
              <w:rPr>
                <w:rFonts w:ascii="Arial" w:hAnsi="Arial" w:cs="Arial"/>
                <w:lang w:val="en-IN" w:eastAsia="en-IN"/>
              </w:rPr>
              <w:t>Reduced</w:t>
            </w:r>
          </w:p>
        </w:tc>
      </w:tr>
    </w:tbl>
    <w:p w14:paraId="353DB09C" w14:textId="0252B147" w:rsidR="00C03FF1" w:rsidRPr="00C03FF1" w:rsidRDefault="00C03FF1" w:rsidP="00DD0F76">
      <w:pPr>
        <w:spacing w:before="100" w:beforeAutospacing="1" w:after="100" w:afterAutospacing="1"/>
        <w:rPr>
          <w:rFonts w:ascii="Arial" w:hAnsi="Arial" w:cs="Arial"/>
          <w:lang w:val="en-IN" w:eastAsia="en-IN"/>
        </w:rPr>
      </w:pPr>
      <w:r w:rsidRPr="00C03FF1">
        <w:rPr>
          <w:rFonts w:ascii="Arial" w:hAnsi="Arial" w:cs="Arial"/>
          <w:lang w:val="en-IN" w:eastAsia="en-IN"/>
        </w:rPr>
        <w:t>The results indicate that nano-pesticides can significantly improve integrated pest</w:t>
      </w:r>
      <w:r w:rsidRPr="005F3FD2">
        <w:rPr>
          <w:rFonts w:ascii="Arial" w:hAnsi="Arial" w:cs="Arial"/>
        </w:rPr>
        <w:t xml:space="preserve"> management strategies when combined with precision application technologies.</w:t>
      </w:r>
    </w:p>
    <w:p w14:paraId="306ADC9D"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t>3.7 Nano-enabled Water and Soil Management</w:t>
      </w:r>
    </w:p>
    <w:p w14:paraId="66CA83A5" w14:textId="59912BAB" w:rsidR="00191A2B" w:rsidRPr="005F3FD2" w:rsidRDefault="00191A2B" w:rsidP="00DD0F76">
      <w:pPr>
        <w:pStyle w:val="NormalWeb"/>
        <w:rPr>
          <w:rFonts w:ascii="Arial" w:hAnsi="Arial" w:cs="Arial"/>
          <w:sz w:val="20"/>
          <w:szCs w:val="20"/>
        </w:rPr>
      </w:pPr>
      <w:r w:rsidRPr="005F3FD2">
        <w:rPr>
          <w:rFonts w:ascii="Arial" w:hAnsi="Arial" w:cs="Arial"/>
          <w:sz w:val="20"/>
          <w:szCs w:val="20"/>
        </w:rPr>
        <w:t>Water scarcity remains a major constraint to global agricultural productivity. Nanotechnology offers innovative solutions for improving soil water retention, irrigation efficiency, and drought resilience. Nanoparticles modify soil physical properties by increasing porosity and aggregate stability, thereby enhancing water-holding capacity.</w:t>
      </w:r>
      <w:r w:rsidR="002410DC" w:rsidRPr="005F3FD2">
        <w:rPr>
          <w:rFonts w:ascii="Arial" w:hAnsi="Arial" w:cs="Arial"/>
          <w:sz w:val="20"/>
          <w:szCs w:val="20"/>
        </w:rPr>
        <w:t xml:space="preserve"> </w:t>
      </w:r>
      <w:r w:rsidRPr="005F3FD2">
        <w:rPr>
          <w:rFonts w:ascii="Arial" w:hAnsi="Arial" w:cs="Arial"/>
          <w:sz w:val="20"/>
          <w:szCs w:val="20"/>
        </w:rPr>
        <w:t>Nano-clays and polymer-based nanocomposites reduce evaporation and deep percolation losses, ensuring efficient utilization of limited water resources. These technologies are particularly valuable in arid and semi-arid regions where water availability is a critical limiting factor [2].</w:t>
      </w:r>
    </w:p>
    <w:p w14:paraId="070FDE57" w14:textId="77777777" w:rsidR="002410DC" w:rsidRPr="005F3FD2" w:rsidRDefault="00191A2B" w:rsidP="00DD0F76">
      <w:pPr>
        <w:pStyle w:val="NormalWeb"/>
        <w:rPr>
          <w:rStyle w:val="Emphasis"/>
          <w:rFonts w:ascii="Arial" w:hAnsi="Arial" w:cs="Arial"/>
          <w:sz w:val="20"/>
          <w:szCs w:val="20"/>
        </w:rPr>
      </w:pPr>
      <w:r w:rsidRPr="005F3FD2">
        <w:rPr>
          <w:rStyle w:val="Strong"/>
          <w:rFonts w:ascii="Arial" w:hAnsi="Arial" w:cs="Arial"/>
          <w:sz w:val="20"/>
          <w:szCs w:val="20"/>
        </w:rPr>
        <w:t>Table 4. Role of nanomaterials in water and soil conservation</w:t>
      </w:r>
      <w:r w:rsidRPr="005F3FD2">
        <w:rPr>
          <w:rFonts w:ascii="Arial" w:hAnsi="Arial" w:cs="Arial"/>
          <w:sz w:val="20"/>
          <w:szCs w:val="20"/>
        </w:rPr>
        <w:br/>
      </w:r>
    </w:p>
    <w:tbl>
      <w:tblPr>
        <w:tblStyle w:val="TableGrid"/>
        <w:tblW w:w="9809" w:type="dxa"/>
        <w:tblLook w:val="04A0" w:firstRow="1" w:lastRow="0" w:firstColumn="1" w:lastColumn="0" w:noHBand="0" w:noVBand="1"/>
      </w:tblPr>
      <w:tblGrid>
        <w:gridCol w:w="2593"/>
        <w:gridCol w:w="2593"/>
        <w:gridCol w:w="4623"/>
      </w:tblGrid>
      <w:tr w:rsidR="005F3FD2" w:rsidRPr="005F3FD2" w14:paraId="54A303DB" w14:textId="77777777" w:rsidTr="005F3FD2">
        <w:trPr>
          <w:trHeight w:val="253"/>
        </w:trPr>
        <w:tc>
          <w:tcPr>
            <w:tcW w:w="2593" w:type="dxa"/>
          </w:tcPr>
          <w:p w14:paraId="0C5A64C9" w14:textId="4567989A"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Nanomaterial</w:t>
            </w:r>
          </w:p>
        </w:tc>
        <w:tc>
          <w:tcPr>
            <w:tcW w:w="2593" w:type="dxa"/>
            <w:vAlign w:val="center"/>
          </w:tcPr>
          <w:p w14:paraId="5DC505F2" w14:textId="21CA7BD8"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Function</w:t>
            </w:r>
          </w:p>
        </w:tc>
        <w:tc>
          <w:tcPr>
            <w:tcW w:w="4623" w:type="dxa"/>
          </w:tcPr>
          <w:p w14:paraId="02D93B7B" w14:textId="0844772E" w:rsidR="005F3FD2" w:rsidRPr="005F3FD2" w:rsidRDefault="005F3FD2" w:rsidP="00DD0F76">
            <w:pPr>
              <w:pStyle w:val="NormalWeb"/>
              <w:rPr>
                <w:rStyle w:val="Emphasis"/>
                <w:rFonts w:ascii="Arial" w:hAnsi="Arial" w:cs="Arial"/>
                <w:b/>
                <w:bCs/>
                <w:sz w:val="20"/>
                <w:szCs w:val="20"/>
              </w:rPr>
            </w:pPr>
            <w:r w:rsidRPr="002410DC">
              <w:rPr>
                <w:rFonts w:ascii="Arial" w:hAnsi="Arial" w:cs="Arial"/>
                <w:b/>
                <w:bCs/>
                <w:sz w:val="20"/>
                <w:szCs w:val="20"/>
              </w:rPr>
              <w:t>Benefit</w:t>
            </w:r>
          </w:p>
        </w:tc>
      </w:tr>
      <w:tr w:rsidR="005F3FD2" w:rsidRPr="005F3FD2" w14:paraId="2C7BB5F7" w14:textId="77777777" w:rsidTr="005F3FD2">
        <w:trPr>
          <w:trHeight w:val="750"/>
        </w:trPr>
        <w:tc>
          <w:tcPr>
            <w:tcW w:w="2593" w:type="dxa"/>
          </w:tcPr>
          <w:p w14:paraId="0CD7DD00" w14:textId="339E955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Nano-clays</w:t>
            </w:r>
          </w:p>
        </w:tc>
        <w:tc>
          <w:tcPr>
            <w:tcW w:w="2593" w:type="dxa"/>
          </w:tcPr>
          <w:p w14:paraId="1A238093" w14:textId="37897423"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Soil conditioning</w:t>
            </w:r>
          </w:p>
        </w:tc>
        <w:tc>
          <w:tcPr>
            <w:tcW w:w="4623" w:type="dxa"/>
            <w:vAlign w:val="center"/>
          </w:tcPr>
          <w:p w14:paraId="5DBB2320"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Increased water retention</w:t>
            </w:r>
          </w:p>
          <w:p w14:paraId="504606D1" w14:textId="70A3FA02" w:rsidR="005F3FD2" w:rsidRPr="005F3FD2" w:rsidRDefault="005F3FD2" w:rsidP="00DD0F76">
            <w:pPr>
              <w:pStyle w:val="NormalWeb"/>
              <w:rPr>
                <w:rStyle w:val="Emphasis"/>
                <w:rFonts w:ascii="Arial" w:hAnsi="Arial" w:cs="Arial"/>
                <w:sz w:val="20"/>
                <w:szCs w:val="20"/>
              </w:rPr>
            </w:pPr>
          </w:p>
        </w:tc>
      </w:tr>
      <w:tr w:rsidR="005F3FD2" w:rsidRPr="005F3FD2" w14:paraId="25935D41" w14:textId="77777777" w:rsidTr="005F3FD2">
        <w:trPr>
          <w:trHeight w:val="750"/>
        </w:trPr>
        <w:tc>
          <w:tcPr>
            <w:tcW w:w="2593" w:type="dxa"/>
          </w:tcPr>
          <w:p w14:paraId="21009D39" w14:textId="3BA18D1F" w:rsidR="005F3FD2" w:rsidRPr="005F3FD2" w:rsidRDefault="005F3FD2" w:rsidP="00DD0F76">
            <w:pPr>
              <w:pStyle w:val="NormalWeb"/>
              <w:rPr>
                <w:rStyle w:val="Emphasis"/>
                <w:rFonts w:ascii="Arial" w:hAnsi="Arial" w:cs="Arial"/>
                <w:i w:val="0"/>
                <w:iCs w:val="0"/>
                <w:sz w:val="20"/>
                <w:szCs w:val="20"/>
              </w:rPr>
            </w:pPr>
            <w:r w:rsidRPr="002410DC">
              <w:rPr>
                <w:rFonts w:ascii="Arial" w:hAnsi="Arial" w:cs="Arial"/>
                <w:sz w:val="20"/>
                <w:szCs w:val="20"/>
              </w:rPr>
              <w:t>Silica nanoparticle</w:t>
            </w:r>
            <w:r w:rsidRPr="005F3FD2">
              <w:rPr>
                <w:rFonts w:ascii="Arial" w:hAnsi="Arial" w:cs="Arial"/>
                <w:sz w:val="20"/>
                <w:szCs w:val="20"/>
              </w:rPr>
              <w:t>s</w:t>
            </w:r>
          </w:p>
        </w:tc>
        <w:tc>
          <w:tcPr>
            <w:tcW w:w="2593" w:type="dxa"/>
          </w:tcPr>
          <w:p w14:paraId="5C5CBDAA" w14:textId="140EC966"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Root growth stimulation</w:t>
            </w:r>
          </w:p>
        </w:tc>
        <w:tc>
          <w:tcPr>
            <w:tcW w:w="4623" w:type="dxa"/>
          </w:tcPr>
          <w:p w14:paraId="367F35DF" w14:textId="77777777" w:rsidR="005F3FD2" w:rsidRPr="005F3FD2" w:rsidRDefault="005F3FD2" w:rsidP="00DD0F76">
            <w:pPr>
              <w:pStyle w:val="NormalWeb"/>
              <w:rPr>
                <w:rFonts w:ascii="Arial" w:hAnsi="Arial" w:cs="Arial"/>
                <w:sz w:val="20"/>
                <w:szCs w:val="20"/>
              </w:rPr>
            </w:pPr>
            <w:r w:rsidRPr="002410DC">
              <w:rPr>
                <w:rFonts w:ascii="Arial" w:hAnsi="Arial" w:cs="Arial"/>
                <w:sz w:val="20"/>
                <w:szCs w:val="20"/>
              </w:rPr>
              <w:t>Improved water uptake</w:t>
            </w:r>
          </w:p>
          <w:p w14:paraId="2F9C5B0A" w14:textId="494271FF" w:rsidR="005F3FD2" w:rsidRPr="005F3FD2" w:rsidRDefault="005F3FD2" w:rsidP="00DD0F76">
            <w:pPr>
              <w:pStyle w:val="NormalWeb"/>
              <w:rPr>
                <w:rStyle w:val="Emphasis"/>
                <w:rFonts w:ascii="Arial" w:hAnsi="Arial" w:cs="Arial"/>
                <w:sz w:val="20"/>
                <w:szCs w:val="20"/>
              </w:rPr>
            </w:pPr>
          </w:p>
        </w:tc>
      </w:tr>
      <w:tr w:rsidR="005F3FD2" w:rsidRPr="005F3FD2" w14:paraId="63E9D126" w14:textId="77777777" w:rsidTr="005F3FD2">
        <w:trPr>
          <w:trHeight w:val="1594"/>
        </w:trPr>
        <w:tc>
          <w:tcPr>
            <w:tcW w:w="2593" w:type="dxa"/>
          </w:tcPr>
          <w:p w14:paraId="216D45DB" w14:textId="20AEE8FB"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Polymer nanocomposites</w:t>
            </w:r>
          </w:p>
        </w:tc>
        <w:tc>
          <w:tcPr>
            <w:tcW w:w="2593" w:type="dxa"/>
          </w:tcPr>
          <w:p w14:paraId="295938A2" w14:textId="11FF6B29"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Moisture regulation</w:t>
            </w:r>
          </w:p>
        </w:tc>
        <w:tc>
          <w:tcPr>
            <w:tcW w:w="4623" w:type="dxa"/>
          </w:tcPr>
          <w:p w14:paraId="781DA1B8" w14:textId="0C08FB60" w:rsidR="005F3FD2" w:rsidRPr="005F3FD2" w:rsidRDefault="005F3FD2" w:rsidP="00DD0F76">
            <w:pPr>
              <w:pStyle w:val="NormalWeb"/>
              <w:rPr>
                <w:rStyle w:val="Emphasis"/>
                <w:rFonts w:ascii="Arial" w:hAnsi="Arial" w:cs="Arial"/>
                <w:sz w:val="20"/>
                <w:szCs w:val="20"/>
              </w:rPr>
            </w:pPr>
            <w:r w:rsidRPr="002410DC">
              <w:rPr>
                <w:rFonts w:ascii="Arial" w:hAnsi="Arial" w:cs="Arial"/>
                <w:sz w:val="20"/>
                <w:szCs w:val="20"/>
              </w:rPr>
              <w:t>Reduced irrigation frequency</w:t>
            </w:r>
          </w:p>
        </w:tc>
      </w:tr>
    </w:tbl>
    <w:p w14:paraId="022939B2" w14:textId="10722C08" w:rsidR="00191A2B" w:rsidRPr="005F3FD2" w:rsidRDefault="00191A2B" w:rsidP="00DD0F76">
      <w:pPr>
        <w:pStyle w:val="NormalWeb"/>
        <w:rPr>
          <w:rStyle w:val="Emphasis"/>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
        <w:gridCol w:w="1518"/>
      </w:tblGrid>
      <w:tr w:rsidR="005F3FD2" w:rsidRPr="005F3FD2" w14:paraId="7A5D4B8D" w14:textId="77777777" w:rsidTr="002410DC">
        <w:trPr>
          <w:tblCellSpacing w:w="15" w:type="dxa"/>
        </w:trPr>
        <w:tc>
          <w:tcPr>
            <w:tcW w:w="1337" w:type="dxa"/>
            <w:vAlign w:val="center"/>
            <w:hideMark/>
          </w:tcPr>
          <w:p w14:paraId="2AA71C6B" w14:textId="6217C82F" w:rsidR="002410DC" w:rsidRPr="002410DC" w:rsidRDefault="002410DC" w:rsidP="00DD0F76">
            <w:pPr>
              <w:rPr>
                <w:rFonts w:ascii="Arial" w:hAnsi="Arial" w:cs="Arial"/>
                <w:lang w:val="en-IN" w:eastAsia="en-IN"/>
              </w:rPr>
            </w:pPr>
          </w:p>
        </w:tc>
        <w:tc>
          <w:tcPr>
            <w:tcW w:w="1473" w:type="dxa"/>
            <w:vAlign w:val="center"/>
            <w:hideMark/>
          </w:tcPr>
          <w:p w14:paraId="7F18ED87" w14:textId="79C7FD11" w:rsidR="002410DC" w:rsidRPr="002410DC" w:rsidRDefault="002410DC" w:rsidP="00DD0F76">
            <w:pPr>
              <w:rPr>
                <w:rFonts w:ascii="Arial" w:hAnsi="Arial" w:cs="Arial"/>
                <w:lang w:val="en-IN" w:eastAsia="en-IN"/>
              </w:rPr>
            </w:pPr>
          </w:p>
        </w:tc>
      </w:tr>
    </w:tbl>
    <w:p w14:paraId="682855A2"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F3FD2" w:rsidRPr="005F3FD2" w14:paraId="2D0FCD92" w14:textId="77777777" w:rsidTr="002410DC">
        <w:trPr>
          <w:tblCellSpacing w:w="15" w:type="dxa"/>
        </w:trPr>
        <w:tc>
          <w:tcPr>
            <w:tcW w:w="0" w:type="auto"/>
            <w:vAlign w:val="center"/>
            <w:hideMark/>
          </w:tcPr>
          <w:p w14:paraId="6E6A19F7" w14:textId="0414F8EF" w:rsidR="002410DC" w:rsidRPr="002410DC" w:rsidRDefault="002410DC" w:rsidP="00DD0F76">
            <w:pPr>
              <w:rPr>
                <w:rFonts w:ascii="Arial" w:hAnsi="Arial" w:cs="Arial"/>
                <w:lang w:val="en-IN" w:eastAsia="en-IN"/>
              </w:rPr>
            </w:pPr>
          </w:p>
        </w:tc>
        <w:tc>
          <w:tcPr>
            <w:tcW w:w="0" w:type="auto"/>
            <w:vAlign w:val="center"/>
            <w:hideMark/>
          </w:tcPr>
          <w:p w14:paraId="77730B11" w14:textId="497F666E" w:rsidR="002410DC" w:rsidRPr="002410DC" w:rsidRDefault="002410DC" w:rsidP="00DD0F76">
            <w:pPr>
              <w:rPr>
                <w:rFonts w:ascii="Arial" w:hAnsi="Arial" w:cs="Arial"/>
                <w:lang w:val="en-IN" w:eastAsia="en-IN"/>
              </w:rPr>
            </w:pPr>
          </w:p>
        </w:tc>
      </w:tr>
    </w:tbl>
    <w:p w14:paraId="524E2E68"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69CEC673" w14:textId="77777777" w:rsidTr="002410DC">
        <w:trPr>
          <w:tblCellSpacing w:w="15" w:type="dxa"/>
        </w:trPr>
        <w:tc>
          <w:tcPr>
            <w:tcW w:w="0" w:type="auto"/>
            <w:vAlign w:val="center"/>
            <w:hideMark/>
          </w:tcPr>
          <w:p w14:paraId="1C5739DA" w14:textId="7556ECFE" w:rsidR="002410DC" w:rsidRPr="002410DC" w:rsidRDefault="002410DC" w:rsidP="00DD0F76">
            <w:pPr>
              <w:rPr>
                <w:rFonts w:ascii="Arial" w:hAnsi="Arial" w:cs="Arial"/>
                <w:lang w:val="en-IN" w:eastAsia="en-IN"/>
              </w:rPr>
            </w:pPr>
          </w:p>
        </w:tc>
        <w:tc>
          <w:tcPr>
            <w:tcW w:w="0" w:type="auto"/>
            <w:vAlign w:val="center"/>
            <w:hideMark/>
          </w:tcPr>
          <w:p w14:paraId="59533384" w14:textId="76E04047" w:rsidR="002410DC" w:rsidRPr="002410DC" w:rsidRDefault="002410DC" w:rsidP="00DD0F76">
            <w:pPr>
              <w:rPr>
                <w:rFonts w:ascii="Arial" w:hAnsi="Arial" w:cs="Arial"/>
                <w:lang w:val="en-IN" w:eastAsia="en-IN"/>
              </w:rPr>
            </w:pPr>
          </w:p>
        </w:tc>
        <w:tc>
          <w:tcPr>
            <w:tcW w:w="0" w:type="auto"/>
            <w:vAlign w:val="center"/>
            <w:hideMark/>
          </w:tcPr>
          <w:p w14:paraId="67EC2831" w14:textId="1AC5052B" w:rsidR="002410DC" w:rsidRPr="002410DC" w:rsidRDefault="002410DC" w:rsidP="00DD0F76">
            <w:pPr>
              <w:rPr>
                <w:rFonts w:ascii="Arial" w:hAnsi="Arial" w:cs="Arial"/>
                <w:lang w:val="en-IN" w:eastAsia="en-IN"/>
              </w:rPr>
            </w:pPr>
          </w:p>
        </w:tc>
      </w:tr>
    </w:tbl>
    <w:p w14:paraId="3CA02423" w14:textId="77777777" w:rsidR="002410DC" w:rsidRPr="002410DC" w:rsidRDefault="002410DC" w:rsidP="00DD0F76">
      <w:pPr>
        <w:rPr>
          <w:rFonts w:ascii="Arial" w:hAnsi="Arial" w:cs="Arial"/>
          <w:vanish/>
          <w:lang w:val="en-IN"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5F3FD2" w:rsidRPr="005F3FD2" w14:paraId="4FD8F2D5" w14:textId="77777777" w:rsidTr="002410DC">
        <w:trPr>
          <w:tblCellSpacing w:w="15" w:type="dxa"/>
        </w:trPr>
        <w:tc>
          <w:tcPr>
            <w:tcW w:w="0" w:type="auto"/>
            <w:vAlign w:val="center"/>
            <w:hideMark/>
          </w:tcPr>
          <w:p w14:paraId="66971DF1" w14:textId="3C519431" w:rsidR="002410DC" w:rsidRPr="002410DC" w:rsidRDefault="002410DC" w:rsidP="00DD0F76">
            <w:pPr>
              <w:rPr>
                <w:rFonts w:ascii="Arial" w:hAnsi="Arial" w:cs="Arial"/>
                <w:lang w:val="en-IN" w:eastAsia="en-IN"/>
              </w:rPr>
            </w:pPr>
          </w:p>
        </w:tc>
        <w:tc>
          <w:tcPr>
            <w:tcW w:w="0" w:type="auto"/>
            <w:vAlign w:val="center"/>
            <w:hideMark/>
          </w:tcPr>
          <w:p w14:paraId="4E648E7A" w14:textId="69AFA2A4" w:rsidR="002410DC" w:rsidRPr="002410DC" w:rsidRDefault="002410DC" w:rsidP="00DD0F76">
            <w:pPr>
              <w:rPr>
                <w:rFonts w:ascii="Arial" w:hAnsi="Arial" w:cs="Arial"/>
                <w:lang w:val="en-IN" w:eastAsia="en-IN"/>
              </w:rPr>
            </w:pPr>
          </w:p>
        </w:tc>
        <w:tc>
          <w:tcPr>
            <w:tcW w:w="0" w:type="auto"/>
            <w:vAlign w:val="center"/>
            <w:hideMark/>
          </w:tcPr>
          <w:p w14:paraId="02BAB5B1" w14:textId="1B685170" w:rsidR="002410DC" w:rsidRPr="002410DC" w:rsidRDefault="002410DC" w:rsidP="00DD0F76">
            <w:pPr>
              <w:rPr>
                <w:rFonts w:ascii="Arial" w:hAnsi="Arial" w:cs="Arial"/>
                <w:lang w:val="en-IN" w:eastAsia="en-IN"/>
              </w:rPr>
            </w:pPr>
          </w:p>
        </w:tc>
      </w:tr>
    </w:tbl>
    <w:p w14:paraId="78B11C25" w14:textId="77777777" w:rsidR="00191A2B" w:rsidRPr="005F3FD2" w:rsidRDefault="00191A2B" w:rsidP="00DD0F76">
      <w:pPr>
        <w:pStyle w:val="Heading3"/>
        <w:rPr>
          <w:rFonts w:ascii="Arial" w:hAnsi="Arial" w:cs="Arial"/>
          <w:b/>
          <w:bCs/>
          <w:color w:val="auto"/>
          <w:sz w:val="20"/>
          <w:szCs w:val="20"/>
        </w:rPr>
      </w:pPr>
      <w:r w:rsidRPr="005F3FD2">
        <w:rPr>
          <w:rFonts w:ascii="Arial" w:hAnsi="Arial" w:cs="Arial"/>
          <w:b/>
          <w:bCs/>
          <w:color w:val="auto"/>
          <w:sz w:val="20"/>
          <w:szCs w:val="20"/>
        </w:rPr>
        <w:lastRenderedPageBreak/>
        <w:t>3.8 Food Packaging and Post-harvest Applications</w:t>
      </w:r>
    </w:p>
    <w:p w14:paraId="11265DC7" w14:textId="29ECD950" w:rsidR="00191A2B" w:rsidRPr="005F3FD2" w:rsidRDefault="00191A2B" w:rsidP="00DD0F76">
      <w:pPr>
        <w:pStyle w:val="NormalWeb"/>
        <w:rPr>
          <w:rFonts w:ascii="Arial" w:hAnsi="Arial" w:cs="Arial"/>
          <w:sz w:val="20"/>
          <w:szCs w:val="20"/>
        </w:rPr>
      </w:pPr>
      <w:r w:rsidRPr="005F3FD2">
        <w:rPr>
          <w:rFonts w:ascii="Arial" w:hAnsi="Arial" w:cs="Arial"/>
          <w:sz w:val="20"/>
          <w:szCs w:val="20"/>
        </w:rPr>
        <w:t>Nanotechnology-based food packaging has significantly improved food safety, quality, and shelf life. Nanocomposite materials enhance mechanical strength and barrier properties against gases, moisture, and ultraviolet radiation, thereby reducing spoilage and nutrient degradation.</w:t>
      </w:r>
      <w:r w:rsidR="005F3FD2" w:rsidRPr="005F3FD2">
        <w:rPr>
          <w:rFonts w:ascii="Arial" w:hAnsi="Arial" w:cs="Arial"/>
          <w:sz w:val="20"/>
          <w:szCs w:val="20"/>
        </w:rPr>
        <w:t xml:space="preserve"> </w:t>
      </w:r>
      <w:r w:rsidRPr="005F3FD2">
        <w:rPr>
          <w:rFonts w:ascii="Arial" w:hAnsi="Arial" w:cs="Arial"/>
          <w:sz w:val="20"/>
          <w:szCs w:val="20"/>
        </w:rPr>
        <w:t xml:space="preserve">The integration of </w:t>
      </w:r>
      <w:proofErr w:type="spellStart"/>
      <w:r w:rsidRPr="005F3FD2">
        <w:rPr>
          <w:rFonts w:ascii="Arial" w:hAnsi="Arial" w:cs="Arial"/>
          <w:sz w:val="20"/>
          <w:szCs w:val="20"/>
        </w:rPr>
        <w:t>nanosensors</w:t>
      </w:r>
      <w:proofErr w:type="spellEnd"/>
      <w:r w:rsidRPr="005F3FD2">
        <w:rPr>
          <w:rFonts w:ascii="Arial" w:hAnsi="Arial" w:cs="Arial"/>
          <w:sz w:val="20"/>
          <w:szCs w:val="20"/>
        </w:rPr>
        <w:t xml:space="preserve"> into packaging systems enables real-time monitoring of food freshness, microbial contamination, and storage conditions, forming the foundation of intelligent or smart packaging technologies [3], [9]. These innovations reduce post-harvest losses and improve supply chain </w:t>
      </w:r>
      <w:proofErr w:type="spellStart"/>
      <w:r w:rsidRPr="005F3FD2">
        <w:rPr>
          <w:rFonts w:ascii="Arial" w:hAnsi="Arial" w:cs="Arial"/>
          <w:sz w:val="20"/>
          <w:szCs w:val="20"/>
        </w:rPr>
        <w:t>efficiency.Despite</w:t>
      </w:r>
      <w:proofErr w:type="spellEnd"/>
      <w:r w:rsidRPr="005F3FD2">
        <w:rPr>
          <w:rFonts w:ascii="Arial" w:hAnsi="Arial" w:cs="Arial"/>
          <w:sz w:val="20"/>
          <w:szCs w:val="20"/>
        </w:rPr>
        <w:t xml:space="preserve"> these benefits, concerns regarding nanoparticle migration into food matrices highlight the importance of rigorous safety testing, migration studies, and transparent regulatory oversight.</w:t>
      </w:r>
    </w:p>
    <w:p w14:paraId="07E84C60" w14:textId="77777777" w:rsidR="00191A2B" w:rsidRPr="005F3FD2" w:rsidRDefault="00191A2B" w:rsidP="00DD0F76">
      <w:pPr>
        <w:pStyle w:val="Heading3"/>
        <w:rPr>
          <w:rFonts w:ascii="Arial" w:hAnsi="Arial" w:cs="Arial"/>
          <w:color w:val="auto"/>
          <w:sz w:val="20"/>
          <w:szCs w:val="20"/>
        </w:rPr>
      </w:pPr>
      <w:r w:rsidRPr="005F3FD2">
        <w:rPr>
          <w:rFonts w:ascii="Arial" w:hAnsi="Arial" w:cs="Arial"/>
          <w:color w:val="auto"/>
          <w:sz w:val="20"/>
          <w:szCs w:val="20"/>
        </w:rPr>
        <w:t>3.9 Future Perspectives</w:t>
      </w:r>
    </w:p>
    <w:p w14:paraId="3A15A709" w14:textId="2F94E46C" w:rsidR="00191A2B" w:rsidRPr="005F3FD2" w:rsidRDefault="00191A2B" w:rsidP="00DD0F76">
      <w:pPr>
        <w:pStyle w:val="NormalWeb"/>
        <w:rPr>
          <w:rFonts w:ascii="Arial" w:hAnsi="Arial" w:cs="Arial"/>
          <w:sz w:val="20"/>
          <w:szCs w:val="20"/>
        </w:rPr>
      </w:pPr>
      <w:r w:rsidRPr="005F3FD2">
        <w:rPr>
          <w:rFonts w:ascii="Arial" w:hAnsi="Arial" w:cs="Arial"/>
          <w:sz w:val="20"/>
          <w:szCs w:val="20"/>
        </w:rPr>
        <w:t>Sustainable agriculture must be addressed as a complex and interconnected system in which biological, physical, and socioeconomic components interact. While conventional agricultural intensification has increased productivity, it has also led to soil degradation, biodiversity loss, and environmental pollution. Nanotechnology offers system-wide solutions spanning crop production, post-harvest handling, food processing, and distribution.</w:t>
      </w:r>
      <w:r w:rsidR="005F3FD2" w:rsidRPr="005F3FD2">
        <w:rPr>
          <w:rFonts w:ascii="Arial" w:hAnsi="Arial" w:cs="Arial"/>
          <w:sz w:val="20"/>
          <w:szCs w:val="20"/>
        </w:rPr>
        <w:t xml:space="preserve"> </w:t>
      </w:r>
      <w:r w:rsidRPr="005F3FD2">
        <w:rPr>
          <w:rFonts w:ascii="Arial" w:hAnsi="Arial" w:cs="Arial"/>
          <w:sz w:val="20"/>
          <w:szCs w:val="20"/>
        </w:rPr>
        <w:t>Future research should prioritize nanotechnology-based biosensors for early pest and disease detection, comprehensive ecosystem-level risk assessments, life-cycle analysis of nanomaterials, and the harmonization of international regulatory frameworks. Public engagement, ethical considerations, and interdisciplinary collaboration will be essential for responsible and socially acceptable adoption [9–24].</w:t>
      </w:r>
    </w:p>
    <w:p w14:paraId="6BB5D497" w14:textId="77777777" w:rsidR="00191A2B" w:rsidRPr="005F3FD2" w:rsidRDefault="00191A2B" w:rsidP="00DD0F76">
      <w:pPr>
        <w:pStyle w:val="Heading2"/>
        <w:rPr>
          <w:rFonts w:ascii="Arial" w:hAnsi="Arial" w:cs="Arial"/>
          <w:color w:val="auto"/>
          <w:sz w:val="20"/>
          <w:szCs w:val="20"/>
        </w:rPr>
      </w:pPr>
      <w:r w:rsidRPr="005F3FD2">
        <w:rPr>
          <w:rFonts w:ascii="Arial" w:hAnsi="Arial" w:cs="Arial"/>
          <w:color w:val="auto"/>
          <w:sz w:val="20"/>
          <w:szCs w:val="20"/>
        </w:rPr>
        <w:t>4. CONCLUSION</w:t>
      </w:r>
    </w:p>
    <w:p w14:paraId="39A99A45" w14:textId="77777777" w:rsidR="00191A2B" w:rsidRPr="005F3FD2" w:rsidRDefault="00191A2B" w:rsidP="00DD0F76">
      <w:pPr>
        <w:pStyle w:val="NormalWeb"/>
        <w:rPr>
          <w:rFonts w:ascii="Arial" w:hAnsi="Arial" w:cs="Arial"/>
          <w:sz w:val="20"/>
          <w:szCs w:val="20"/>
        </w:rPr>
      </w:pPr>
      <w:r w:rsidRPr="005F3FD2">
        <w:rPr>
          <w:rFonts w:ascii="Arial" w:hAnsi="Arial" w:cs="Arial"/>
          <w:sz w:val="20"/>
          <w:szCs w:val="20"/>
        </w:rPr>
        <w:t>Nanotechnology holds significant promise for transforming agriculture by addressing critical challenges related to food security, environmental sustainability, and climate resilience. The results discussed in this study clearly demonstrate that nano-enabled fertilizers, pesticides, water management systems, and food packaging technologies enhance agricultural efficiency, resource-use optimization, and sustainability.</w:t>
      </w:r>
    </w:p>
    <w:p w14:paraId="3A9014D2" w14:textId="77777777" w:rsidR="00191A2B" w:rsidRDefault="00191A2B" w:rsidP="00DD0F76">
      <w:pPr>
        <w:pStyle w:val="NormalWeb"/>
        <w:rPr>
          <w:rFonts w:ascii="Arial" w:hAnsi="Arial" w:cs="Arial"/>
          <w:sz w:val="20"/>
          <w:szCs w:val="20"/>
        </w:rPr>
      </w:pPr>
      <w:r w:rsidRPr="005F3FD2">
        <w:rPr>
          <w:rFonts w:ascii="Arial" w:hAnsi="Arial" w:cs="Arial"/>
          <w:sz w:val="20"/>
          <w:szCs w:val="20"/>
        </w:rPr>
        <w:t>However, the successful and responsible integration of nanotechnology into agriculture requires robust risk assessment frameworks, evidence-based regulations, and collaboration among scientists, policymakers, industry stakeholders, and farmers. With appropriate safeguards and global cooperation, nanotechnology can play a pivotal role in achieving sustainable agriculture and long-term</w:t>
      </w:r>
    </w:p>
    <w:p w14:paraId="11A85EF3" w14:textId="77777777" w:rsidR="0041191A" w:rsidRDefault="0041191A" w:rsidP="00DD0F76">
      <w:pPr>
        <w:pStyle w:val="NormalWeb"/>
        <w:rPr>
          <w:rFonts w:ascii="Arial" w:hAnsi="Arial" w:cs="Arial"/>
          <w:sz w:val="20"/>
          <w:szCs w:val="20"/>
        </w:rPr>
      </w:pPr>
    </w:p>
    <w:p w14:paraId="61B69BB7" w14:textId="77777777" w:rsidR="0041191A" w:rsidRPr="0041191A" w:rsidRDefault="0041191A" w:rsidP="0041191A">
      <w:pPr>
        <w:pStyle w:val="NormalWeb"/>
        <w:rPr>
          <w:rFonts w:ascii="Arial" w:hAnsi="Arial" w:cs="Arial"/>
          <w:sz w:val="20"/>
          <w:szCs w:val="20"/>
        </w:rPr>
      </w:pPr>
      <w:r w:rsidRPr="0041191A">
        <w:rPr>
          <w:rFonts w:ascii="Arial" w:hAnsi="Arial" w:cs="Arial"/>
          <w:sz w:val="20"/>
          <w:szCs w:val="20"/>
        </w:rPr>
        <w:t>COMPETING INTERESTS DISCLAIMER:</w:t>
      </w:r>
    </w:p>
    <w:p w14:paraId="10EAB186" w14:textId="35809791" w:rsidR="0041191A" w:rsidRPr="005F3FD2" w:rsidRDefault="0041191A" w:rsidP="0041191A">
      <w:pPr>
        <w:pStyle w:val="NormalWeb"/>
        <w:rPr>
          <w:rFonts w:ascii="Arial" w:hAnsi="Arial" w:cs="Arial"/>
          <w:sz w:val="20"/>
          <w:szCs w:val="20"/>
        </w:rPr>
      </w:pPr>
      <w:r w:rsidRPr="0041191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498D4AB" w14:textId="77777777" w:rsidR="00B01FCD" w:rsidRPr="005F3FD2" w:rsidRDefault="00B01FCD" w:rsidP="00DD0F76">
      <w:pPr>
        <w:pStyle w:val="ReferHead"/>
        <w:spacing w:after="0"/>
        <w:jc w:val="both"/>
        <w:rPr>
          <w:rFonts w:ascii="Arial" w:hAnsi="Arial" w:cs="Arial"/>
          <w:sz w:val="20"/>
        </w:rPr>
      </w:pPr>
      <w:commentRangeStart w:id="8"/>
      <w:r w:rsidRPr="005F3FD2">
        <w:rPr>
          <w:rFonts w:ascii="Arial" w:hAnsi="Arial" w:cs="Arial"/>
          <w:sz w:val="20"/>
        </w:rPr>
        <w:t>References</w:t>
      </w:r>
      <w:commentRangeEnd w:id="8"/>
      <w:r w:rsidR="00251832">
        <w:rPr>
          <w:rStyle w:val="CommentReference"/>
          <w:rFonts w:ascii="Times New Roman" w:hAnsi="Times New Roman"/>
          <w:b w:val="0"/>
          <w:caps w:val="0"/>
          <w:lang w:val="nb-NO" w:eastAsia="nb-NO"/>
        </w:rPr>
        <w:commentReference w:id="8"/>
      </w:r>
    </w:p>
    <w:p w14:paraId="1B88B14E" w14:textId="2EDA4B43" w:rsidR="00A42149" w:rsidRPr="005F3FD2" w:rsidRDefault="00A42149" w:rsidP="00DD0F76">
      <w:pPr>
        <w:pStyle w:val="Body"/>
        <w:spacing w:after="0"/>
        <w:rPr>
          <w:rFonts w:ascii="Arial" w:hAnsi="Arial" w:cs="Arial"/>
        </w:rPr>
      </w:pPr>
      <w:bookmarkStart w:id="9" w:name="_GoBack"/>
      <w:bookmarkEnd w:id="9"/>
    </w:p>
    <w:p w14:paraId="6606BE1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Ali, O. (2024). Enhancing plant growth and protection through nanotechnology. Journal of Agricultural Nanotechnology, 15(2), 123–135.</w:t>
      </w:r>
    </w:p>
    <w:p w14:paraId="2BB6B658" w14:textId="77777777" w:rsidR="00A42149" w:rsidRPr="005F3FD2" w:rsidRDefault="00A42149" w:rsidP="00DD0F76">
      <w:pPr>
        <w:pStyle w:val="Body"/>
        <w:numPr>
          <w:ilvl w:val="0"/>
          <w:numId w:val="33"/>
        </w:numPr>
        <w:rPr>
          <w:rFonts w:ascii="Arial" w:hAnsi="Arial" w:cs="Arial"/>
        </w:rPr>
      </w:pPr>
      <w:r w:rsidRPr="005F3FD2">
        <w:rPr>
          <w:rFonts w:ascii="Arial" w:hAnsi="Arial" w:cs="Arial"/>
        </w:rPr>
        <w:t>Alvin, E. A. (2024). Nanoparticles in sustainable agriculture: Nutrient delivery and soil improvement. Sustainable Agriculture Reviews, 42, 67–89.</w:t>
      </w:r>
    </w:p>
    <w:p w14:paraId="1B7E26D6"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Ghidan, A. Y. (2019). Smart packaging and the role of </w:t>
      </w:r>
      <w:proofErr w:type="spellStart"/>
      <w:r w:rsidRPr="005F3FD2">
        <w:rPr>
          <w:rFonts w:ascii="Arial" w:hAnsi="Arial" w:cs="Arial"/>
        </w:rPr>
        <w:t>nanosensors</w:t>
      </w:r>
      <w:proofErr w:type="spellEnd"/>
      <w:r w:rsidRPr="005F3FD2">
        <w:rPr>
          <w:rFonts w:ascii="Arial" w:hAnsi="Arial" w:cs="Arial"/>
        </w:rPr>
        <w:t xml:space="preserve"> in food safety. Food Packaging Innovations, 8(1), 45–58.</w:t>
      </w:r>
    </w:p>
    <w:p w14:paraId="51A4A38D" w14:textId="77777777" w:rsidR="00A42149" w:rsidRPr="005F3FD2" w:rsidRDefault="00A42149" w:rsidP="00DD0F76">
      <w:pPr>
        <w:pStyle w:val="Body"/>
        <w:numPr>
          <w:ilvl w:val="0"/>
          <w:numId w:val="33"/>
        </w:numPr>
        <w:rPr>
          <w:rFonts w:ascii="Arial" w:hAnsi="Arial" w:cs="Arial"/>
        </w:rPr>
      </w:pPr>
      <w:r w:rsidRPr="005F3FD2">
        <w:rPr>
          <w:rFonts w:ascii="Arial" w:hAnsi="Arial" w:cs="Arial"/>
        </w:rPr>
        <w:t>Kanade, V. (2023). Introduction to nanotechnology and its applications in agriculture. Advances in Nanoscience and Technology, 29, 201–220.</w:t>
      </w:r>
    </w:p>
    <w:p w14:paraId="342340D3" w14:textId="77777777" w:rsidR="00A42149" w:rsidRPr="005F3FD2" w:rsidRDefault="00A42149" w:rsidP="00DD0F76">
      <w:pPr>
        <w:pStyle w:val="Body"/>
        <w:numPr>
          <w:ilvl w:val="0"/>
          <w:numId w:val="33"/>
        </w:numPr>
        <w:rPr>
          <w:rFonts w:ascii="Arial" w:hAnsi="Arial" w:cs="Arial"/>
        </w:rPr>
      </w:pPr>
      <w:r w:rsidRPr="005F3FD2">
        <w:rPr>
          <w:rFonts w:ascii="Arial" w:hAnsi="Arial" w:cs="Arial"/>
        </w:rPr>
        <w:t>Mukhopadhyay, S. S. (2014). Nanotechnology in agriculture: Opportunities, toxicological implications, and occupational risks. Journal of Nanoparticle Research, 16(6), 1234.</w:t>
      </w:r>
    </w:p>
    <w:p w14:paraId="477AA802"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lastRenderedPageBreak/>
        <w:t>Basavegowda</w:t>
      </w:r>
      <w:proofErr w:type="spellEnd"/>
      <w:r w:rsidRPr="005F3FD2">
        <w:rPr>
          <w:rFonts w:ascii="Arial" w:hAnsi="Arial" w:cs="Arial"/>
        </w:rPr>
        <w:t xml:space="preserve">, N. (2021). </w:t>
      </w:r>
      <w:proofErr w:type="spellStart"/>
      <w:r w:rsidRPr="005F3FD2">
        <w:rPr>
          <w:rFonts w:ascii="Arial" w:hAnsi="Arial" w:cs="Arial"/>
        </w:rPr>
        <w:t>Nanofertilizers</w:t>
      </w:r>
      <w:proofErr w:type="spellEnd"/>
      <w:r w:rsidRPr="005F3FD2">
        <w:rPr>
          <w:rFonts w:ascii="Arial" w:hAnsi="Arial" w:cs="Arial"/>
        </w:rPr>
        <w:t>: A novel approach to sustainable agriculture. Nanotechnology in Plant Sciences, 3, 89–112.</w:t>
      </w:r>
    </w:p>
    <w:p w14:paraId="478C27E6"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Nongbet</w:t>
      </w:r>
      <w:proofErr w:type="spellEnd"/>
      <w:r w:rsidRPr="005F3FD2">
        <w:rPr>
          <w:rFonts w:ascii="Arial" w:hAnsi="Arial" w:cs="Arial"/>
        </w:rPr>
        <w:t>, A. (2022). Smart fertilizers and their impact on crop production. Journal of Smart Agriculture, 10(4), 250–265.</w:t>
      </w:r>
    </w:p>
    <w:p w14:paraId="66E36DDB" w14:textId="77777777" w:rsidR="00A42149" w:rsidRPr="005F3FD2" w:rsidRDefault="00A42149" w:rsidP="00DD0F76">
      <w:pPr>
        <w:pStyle w:val="Body"/>
        <w:numPr>
          <w:ilvl w:val="0"/>
          <w:numId w:val="33"/>
        </w:numPr>
        <w:rPr>
          <w:rFonts w:ascii="Arial" w:hAnsi="Arial" w:cs="Arial"/>
        </w:rPr>
      </w:pPr>
      <w:r w:rsidRPr="005F3FD2">
        <w:rPr>
          <w:rFonts w:ascii="Arial" w:hAnsi="Arial" w:cs="Arial"/>
        </w:rPr>
        <w:t>Pereira, A. D. S. (2021). Applications of nanotechnology in agriculture and environmental sustainability. Environmental Nanotechnology, 5(3), 150–170.</w:t>
      </w:r>
    </w:p>
    <w:p w14:paraId="3DFA5974" w14:textId="77777777" w:rsidR="00A42149" w:rsidRPr="005F3FD2" w:rsidRDefault="00A42149" w:rsidP="00DD0F76">
      <w:pPr>
        <w:pStyle w:val="Body"/>
        <w:numPr>
          <w:ilvl w:val="0"/>
          <w:numId w:val="33"/>
        </w:numPr>
        <w:rPr>
          <w:rFonts w:ascii="Arial" w:hAnsi="Arial" w:cs="Arial"/>
        </w:rPr>
      </w:pPr>
      <w:r w:rsidRPr="005F3FD2">
        <w:rPr>
          <w:rFonts w:ascii="Arial" w:hAnsi="Arial" w:cs="Arial"/>
        </w:rPr>
        <w:t>Prasad, R., Bhattacharyya, A., &amp; Nguyen, Q. D. (2017). Nanotechnology in sustainable agriculture: Recent developments, challenges, and perspectives. Frontiers</w:t>
      </w:r>
    </w:p>
    <w:p w14:paraId="48468A63"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in Microbiology, 8, 1014. </w:t>
      </w:r>
      <w:r w:rsidRPr="005F3FD2">
        <w:rPr>
          <w:rFonts w:ascii="Arial" w:hAnsi="Arial" w:cs="Arial"/>
          <w:u w:val="single"/>
        </w:rPr>
        <w:t>https://doi.org/10.3389/fmicb.2017.01014</w:t>
      </w:r>
    </w:p>
    <w:p w14:paraId="5537CA3C"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Rafiq, S., </w:t>
      </w:r>
      <w:proofErr w:type="spellStart"/>
      <w:r w:rsidRPr="005F3FD2">
        <w:rPr>
          <w:rFonts w:ascii="Arial" w:hAnsi="Arial" w:cs="Arial"/>
        </w:rPr>
        <w:t>Mantoo</w:t>
      </w:r>
      <w:proofErr w:type="spellEnd"/>
      <w:r w:rsidRPr="005F3FD2">
        <w:rPr>
          <w:rFonts w:ascii="Arial" w:hAnsi="Arial" w:cs="Arial"/>
        </w:rPr>
        <w:t xml:space="preserve">, M. A., Askary, T. H., Akbar, R., Jan, U., Akhter, A., &amp; </w:t>
      </w:r>
      <w:proofErr w:type="spellStart"/>
      <w:r w:rsidRPr="005F3FD2">
        <w:rPr>
          <w:rFonts w:ascii="Arial" w:hAnsi="Arial" w:cs="Arial"/>
        </w:rPr>
        <w:t>Bhadu</w:t>
      </w:r>
      <w:proofErr w:type="spellEnd"/>
      <w:r w:rsidRPr="005F3FD2">
        <w:rPr>
          <w:rFonts w:ascii="Arial" w:hAnsi="Arial" w:cs="Arial"/>
        </w:rPr>
        <w:t>,</w:t>
      </w:r>
    </w:p>
    <w:p w14:paraId="58564A9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S. S. (2022). </w:t>
      </w:r>
      <w:proofErr w:type="spellStart"/>
      <w:r w:rsidRPr="005F3FD2">
        <w:rPr>
          <w:rFonts w:ascii="Arial" w:hAnsi="Arial" w:cs="Arial"/>
        </w:rPr>
        <w:t>Nanopesticides</w:t>
      </w:r>
      <w:proofErr w:type="spellEnd"/>
      <w:r w:rsidRPr="005F3FD2">
        <w:rPr>
          <w:rFonts w:ascii="Arial" w:hAnsi="Arial" w:cs="Arial"/>
        </w:rPr>
        <w:t>: An emerging tool for pest management. The Pharma Innovation Journal, 11(10), 1659–1666.</w:t>
      </w:r>
    </w:p>
    <w:p w14:paraId="017796A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Saritha, G. N. G. (2022). Graphical representation of nanotechnology applications in agriculture. International Journal of Agricultural Sciences, 14(2), 78–85.</w:t>
      </w:r>
    </w:p>
    <w:p w14:paraId="63DBA024"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Chaud</w:t>
      </w:r>
      <w:proofErr w:type="spellEnd"/>
      <w:r w:rsidRPr="005F3FD2">
        <w:rPr>
          <w:rFonts w:ascii="Arial" w:hAnsi="Arial" w:cs="Arial"/>
        </w:rPr>
        <w:t xml:space="preserve">, M. (2021). Formulation and applications of </w:t>
      </w:r>
      <w:proofErr w:type="spellStart"/>
      <w:r w:rsidRPr="005F3FD2">
        <w:rPr>
          <w:rFonts w:ascii="Arial" w:hAnsi="Arial" w:cs="Arial"/>
        </w:rPr>
        <w:t>nanopesticides</w:t>
      </w:r>
      <w:proofErr w:type="spellEnd"/>
      <w:r w:rsidRPr="005F3FD2">
        <w:rPr>
          <w:rFonts w:ascii="Arial" w:hAnsi="Arial" w:cs="Arial"/>
        </w:rPr>
        <w:t>. Pesticide Science and Technology, 33(4), 415–430.</w:t>
      </w:r>
    </w:p>
    <w:p w14:paraId="7B9B819B" w14:textId="77777777" w:rsidR="00A42149" w:rsidRPr="005F3FD2" w:rsidRDefault="00A42149" w:rsidP="00DD0F76">
      <w:pPr>
        <w:pStyle w:val="Body"/>
        <w:numPr>
          <w:ilvl w:val="0"/>
          <w:numId w:val="33"/>
        </w:numPr>
        <w:rPr>
          <w:rFonts w:ascii="Arial" w:hAnsi="Arial" w:cs="Arial"/>
        </w:rPr>
      </w:pPr>
      <w:proofErr w:type="spellStart"/>
      <w:r w:rsidRPr="005F3FD2">
        <w:rPr>
          <w:rFonts w:ascii="Arial" w:hAnsi="Arial" w:cs="Arial"/>
        </w:rPr>
        <w:t>Chemoinformatics</w:t>
      </w:r>
      <w:proofErr w:type="spellEnd"/>
      <w:r w:rsidRPr="005F3FD2">
        <w:rPr>
          <w:rFonts w:ascii="Arial" w:hAnsi="Arial" w:cs="Arial"/>
        </w:rPr>
        <w:t xml:space="preserve"> and big data analytics: Revolutionizing chemical research-A review: https://doi.org/10.1063/5.0221539</w:t>
      </w:r>
    </w:p>
    <w:p w14:paraId="17C81EA2"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CHARACTERIZATION OF AN ENTOMOPHAGOUS MEDICINAL FUNGUS CORDYCEPS SINENSIS (BERK.) SACC. OF UTTARAKHAND, INDIA https://thebioscan.com/index.php/pub/article/view/2282 </w:t>
      </w:r>
    </w:p>
    <w:p w14:paraId="734BE21F"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Role of Soil Amendments in Dissipation of </w:t>
      </w:r>
      <w:proofErr w:type="spellStart"/>
      <w:r w:rsidRPr="005F3FD2">
        <w:rPr>
          <w:rFonts w:ascii="Arial" w:hAnsi="Arial" w:cs="Arial"/>
        </w:rPr>
        <w:t>Chlorpyriphos</w:t>
      </w:r>
      <w:proofErr w:type="spellEnd"/>
      <w:r w:rsidRPr="005F3FD2">
        <w:rPr>
          <w:rFonts w:ascii="Arial" w:hAnsi="Arial" w:cs="Arial"/>
        </w:rPr>
        <w:t xml:space="preserve"> in </w:t>
      </w:r>
      <w:proofErr w:type="spellStart"/>
      <w:r w:rsidRPr="005F3FD2">
        <w:rPr>
          <w:rFonts w:ascii="Arial" w:hAnsi="Arial" w:cs="Arial"/>
        </w:rPr>
        <w:t>Mollisols</w:t>
      </w:r>
      <w:proofErr w:type="spellEnd"/>
      <w:r w:rsidRPr="005F3FD2">
        <w:rPr>
          <w:rFonts w:ascii="Arial" w:hAnsi="Arial" w:cs="Arial"/>
        </w:rPr>
        <w:t xml:space="preserve">: https://www.indianjournals.com/article/prj-22-2-009 </w:t>
      </w:r>
    </w:p>
    <w:p w14:paraId="412EC51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Governance Frameworks for Smart Systems https://doi.org/10.1007/978-3-031-76152-2_11 </w:t>
      </w:r>
    </w:p>
    <w:p w14:paraId="3A4BA05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Groundwater Contamination in Bathinda, India: A Case Study in the Malwa Region https://www.taylorfrancis.com/chapters/edit/10.1201/9781032665443-76/groundwater-contamination-bathinda-india-case-study-malwa-region-rajni-verma-tanu-nimisha-singh </w:t>
      </w:r>
    </w:p>
    <w:p w14:paraId="025381DA"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Effect of soil–solarization integrated with organic amendments and bio agents on population dynamics of soil microbial populations https://thebioscan.com/index.php/pub/article/view/259 </w:t>
      </w:r>
    </w:p>
    <w:p w14:paraId="58A943E9"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Future Directions in Computational Intelligence: Anticipating the Next Wave: https://doi.org/10.1007/978-3-031-96871-6_3 </w:t>
      </w:r>
    </w:p>
    <w:p w14:paraId="709F38EE"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Revolutionizing Mental Healthcare with Generative Deep Learning Techniques for Enhanced Diagnosis and Treatment: https://doi.org/10.1007/978-3-031-91147-7_17 </w:t>
      </w:r>
    </w:p>
    <w:p w14:paraId="2757F9E6"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Physio-Chemical Analysis on </w:t>
      </w:r>
      <w:proofErr w:type="spellStart"/>
      <w:r w:rsidRPr="005F3FD2">
        <w:rPr>
          <w:rFonts w:ascii="Arial" w:hAnsi="Arial" w:cs="Arial"/>
        </w:rPr>
        <w:t>Assesment</w:t>
      </w:r>
      <w:proofErr w:type="spellEnd"/>
      <w:r w:rsidRPr="005F3FD2">
        <w:rPr>
          <w:rFonts w:ascii="Arial" w:hAnsi="Arial" w:cs="Arial"/>
        </w:rPr>
        <w:t xml:space="preserve"> of Ground water in Malwa region https://www.thepharmajournal.com/archives/?year=2023&amp;vol=12&amp;issue=1&amp;ArticleId=18344 </w:t>
      </w:r>
    </w:p>
    <w:p w14:paraId="751AB4B5" w14:textId="77777777" w:rsidR="00A42149" w:rsidRPr="005F3FD2" w:rsidRDefault="00A42149" w:rsidP="00DD0F76">
      <w:pPr>
        <w:pStyle w:val="Body"/>
        <w:numPr>
          <w:ilvl w:val="0"/>
          <w:numId w:val="33"/>
        </w:numPr>
        <w:rPr>
          <w:rFonts w:ascii="Arial" w:hAnsi="Arial" w:cs="Arial"/>
        </w:rPr>
      </w:pPr>
      <w:r w:rsidRPr="005F3FD2">
        <w:rPr>
          <w:rFonts w:ascii="Arial" w:hAnsi="Arial" w:cs="Arial"/>
        </w:rPr>
        <w:t xml:space="preserve">Vegetable Grafting: Surgical tool for yield enhancement and nematode resistance under vegetable production systems https://www.thepharmajournal.com/archives/?year=2023&amp;vol=12&amp;issue=1&amp;ArticleId=18324 </w:t>
      </w:r>
    </w:p>
    <w:p w14:paraId="1C9380E3" w14:textId="77777777" w:rsidR="00A42149" w:rsidRPr="005F3FD2" w:rsidRDefault="00A42149" w:rsidP="00DD0F76">
      <w:pPr>
        <w:pStyle w:val="Body"/>
        <w:rPr>
          <w:rFonts w:ascii="Arial" w:hAnsi="Arial" w:cs="Arial"/>
        </w:rPr>
      </w:pPr>
      <w:r w:rsidRPr="005F3FD2">
        <w:rPr>
          <w:rFonts w:ascii="Arial" w:hAnsi="Arial" w:cs="Arial"/>
        </w:rPr>
        <w:t xml:space="preserve"> </w:t>
      </w:r>
    </w:p>
    <w:p w14:paraId="68AD2E2E" w14:textId="61C44520" w:rsidR="00B01FCD" w:rsidRPr="005F3FD2" w:rsidRDefault="00B01FCD" w:rsidP="00DD0F76">
      <w:pPr>
        <w:pStyle w:val="Body"/>
        <w:spacing w:after="0"/>
        <w:rPr>
          <w:rFonts w:ascii="Arial" w:hAnsi="Arial" w:cs="Arial"/>
          <w:b/>
        </w:rPr>
      </w:pPr>
    </w:p>
    <w:sectPr w:rsidR="00B01FCD" w:rsidRPr="005F3FD2" w:rsidSect="008D4045">
      <w:headerReference w:type="even" r:id="rId17"/>
      <w:headerReference w:type="default" r:id="rId18"/>
      <w:footerReference w:type="default" r:id="rId19"/>
      <w:head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slan" w:date="2026-01-21T10:36:00Z" w:initials="A">
    <w:p w14:paraId="2FF8E44A" w14:textId="15522CCC" w:rsidR="00C66BC2" w:rsidRDefault="00C66BC2">
      <w:pPr>
        <w:pStyle w:val="CommentText"/>
      </w:pPr>
      <w:r>
        <w:rPr>
          <w:rStyle w:val="CommentReference"/>
        </w:rPr>
        <w:annotationRef/>
      </w:r>
      <w:r>
        <w:t xml:space="preserve">There is no citation in these paragragh use this article for citation </w:t>
      </w:r>
      <w:r>
        <w:t>Khalil MA, B Sadia, M Asif, A Zafar, I Azam &amp; AMA Khan. Nanotechnology in Sustainable Agriculture: A review. Biological Times. 2025. March 4(3): 10-11.</w:t>
      </w:r>
    </w:p>
  </w:comment>
  <w:comment w:id="1" w:author="Arslan" w:date="2026-01-21T10:38:00Z" w:initials="A">
    <w:p w14:paraId="0C8D5765" w14:textId="4DD55FD2" w:rsidR="00C66BC2" w:rsidRDefault="00C66BC2">
      <w:pPr>
        <w:pStyle w:val="CommentText"/>
      </w:pPr>
      <w:r>
        <w:rPr>
          <w:rStyle w:val="CommentReference"/>
        </w:rPr>
        <w:annotationRef/>
      </w:r>
      <w:r>
        <w:t>Use this article for the citation it is beneficial for you</w:t>
      </w:r>
      <w:r>
        <w:t>Khalil MA, B Sadia, M Asif, A Zafar, I Azam &amp; AMA Khan. Nanotechnology in Sustainable Agriculture: A review. Biological Times. 2025. March 4(3): 10-11.</w:t>
      </w:r>
    </w:p>
  </w:comment>
  <w:comment w:id="2" w:author="Arslan" w:date="2026-01-21T10:46:00Z" w:initials="A">
    <w:p w14:paraId="72AF0144" w14:textId="4D00950D" w:rsidR="00251832" w:rsidRDefault="00251832">
      <w:pPr>
        <w:pStyle w:val="CommentText"/>
      </w:pPr>
      <w:r>
        <w:rPr>
          <w:rStyle w:val="CommentReference"/>
        </w:rPr>
        <w:annotationRef/>
      </w:r>
      <w:r>
        <w:t xml:space="preserve">No citation </w:t>
      </w:r>
    </w:p>
  </w:comment>
  <w:comment w:id="3" w:author="Arslan" w:date="2026-01-21T10:48:00Z" w:initials="A">
    <w:p w14:paraId="2A62E0AD" w14:textId="4A1E7C89" w:rsidR="00251832" w:rsidRDefault="00251832">
      <w:pPr>
        <w:pStyle w:val="CommentText"/>
      </w:pPr>
      <w:r>
        <w:rPr>
          <w:rStyle w:val="CommentReference"/>
        </w:rPr>
        <w:annotationRef/>
      </w:r>
      <w:r>
        <w:t xml:space="preserve">No citation </w:t>
      </w:r>
    </w:p>
  </w:comment>
  <w:comment w:id="4" w:author="Arslan" w:date="2026-01-21T10:48:00Z" w:initials="A">
    <w:p w14:paraId="0E9C7DCC" w14:textId="0616BD5B" w:rsidR="00251832" w:rsidRDefault="00251832">
      <w:pPr>
        <w:pStyle w:val="CommentText"/>
      </w:pPr>
      <w:r>
        <w:rPr>
          <w:rStyle w:val="CommentReference"/>
        </w:rPr>
        <w:annotationRef/>
      </w:r>
      <w:r>
        <w:t>Not proper label and explain</w:t>
      </w:r>
    </w:p>
  </w:comment>
  <w:comment w:id="5" w:author="Arslan" w:date="2026-01-21T10:49:00Z" w:initials="A">
    <w:p w14:paraId="24D869E8" w14:textId="653EF2DC" w:rsidR="00251832" w:rsidRDefault="00251832">
      <w:pPr>
        <w:pStyle w:val="CommentText"/>
      </w:pPr>
      <w:r>
        <w:rPr>
          <w:rStyle w:val="CommentReference"/>
        </w:rPr>
        <w:annotationRef/>
      </w:r>
      <w:r>
        <w:t>Follow above sugggestion that is furitful for you</w:t>
      </w:r>
    </w:p>
  </w:comment>
  <w:comment w:id="6" w:author="Arslan" w:date="2026-01-21T10:50:00Z" w:initials="A">
    <w:p w14:paraId="3AF7C2F4" w14:textId="65949A05" w:rsidR="00251832" w:rsidRDefault="00251832">
      <w:pPr>
        <w:pStyle w:val="CommentText"/>
      </w:pPr>
      <w:r>
        <w:rPr>
          <w:rStyle w:val="CommentReference"/>
        </w:rPr>
        <w:annotationRef/>
      </w:r>
      <w:r>
        <w:t>Add more citation</w:t>
      </w:r>
    </w:p>
  </w:comment>
  <w:comment w:id="7" w:author="Arslan" w:date="2026-01-21T10:51:00Z" w:initials="A">
    <w:p w14:paraId="10E58EA8" w14:textId="789813DE" w:rsidR="00251832" w:rsidRDefault="00251832">
      <w:pPr>
        <w:pStyle w:val="CommentText"/>
      </w:pPr>
      <w:r>
        <w:rPr>
          <w:rStyle w:val="CommentReference"/>
        </w:rPr>
        <w:annotationRef/>
      </w:r>
      <w:r>
        <w:t>No citation</w:t>
      </w:r>
    </w:p>
  </w:comment>
  <w:comment w:id="8" w:author="Arslan" w:date="2026-01-21T10:52:00Z" w:initials="A">
    <w:p w14:paraId="7D3F11B3" w14:textId="28A5B82E" w:rsidR="00251832" w:rsidRDefault="00251832">
      <w:pPr>
        <w:pStyle w:val="CommentText"/>
      </w:pPr>
      <w:r>
        <w:rPr>
          <w:rStyle w:val="CommentReference"/>
        </w:rPr>
        <w:annotationRef/>
      </w:r>
      <w:r>
        <w:t>Add more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8E44A" w15:done="0"/>
  <w15:commentEx w15:paraId="0C8D5765" w15:done="0"/>
  <w15:commentEx w15:paraId="72AF0144" w15:done="0"/>
  <w15:commentEx w15:paraId="2A62E0AD" w15:done="0"/>
  <w15:commentEx w15:paraId="0E9C7DCC" w15:done="0"/>
  <w15:commentEx w15:paraId="24D869E8" w15:done="0"/>
  <w15:commentEx w15:paraId="3AF7C2F4" w15:done="0"/>
  <w15:commentEx w15:paraId="10E58EA8" w15:done="0"/>
  <w15:commentEx w15:paraId="7D3F11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CA37D" w14:textId="77777777" w:rsidR="00D46C52" w:rsidRDefault="00D46C52" w:rsidP="00C37E61">
      <w:r>
        <w:separator/>
      </w:r>
    </w:p>
  </w:endnote>
  <w:endnote w:type="continuationSeparator" w:id="0">
    <w:p w14:paraId="50835EA4" w14:textId="77777777" w:rsidR="00D46C52" w:rsidRDefault="00D46C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DDDA" w14:textId="77777777" w:rsidR="008D4045" w:rsidRDefault="008D4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F793" w14:textId="77777777" w:rsidR="008D4045" w:rsidRDefault="008D4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51D2" w14:textId="0B669166" w:rsidR="00754C9A" w:rsidRPr="008D4045" w:rsidRDefault="00754C9A" w:rsidP="008D40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61A1" w14:textId="4C4382DB"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DC270" w14:textId="77777777" w:rsidR="00D46C52" w:rsidRDefault="00D46C52" w:rsidP="00C37E61">
      <w:r>
        <w:separator/>
      </w:r>
    </w:p>
  </w:footnote>
  <w:footnote w:type="continuationSeparator" w:id="0">
    <w:p w14:paraId="2FEFA382" w14:textId="77777777" w:rsidR="00D46C52" w:rsidRDefault="00D46C5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4CE0E" w14:textId="318E4BB3" w:rsidR="008D4045" w:rsidRDefault="00D46C52">
    <w:pPr>
      <w:pStyle w:val="Header"/>
    </w:pPr>
    <w:r>
      <w:rPr>
        <w:noProof/>
      </w:rPr>
      <w:pict w14:anchorId="2766E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1" o:spid="_x0000_s2050" type="#_x0000_t136" style="position:absolute;margin-left:0;margin-top:0;width:539.05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B0EE" w14:textId="5F786F9F" w:rsidR="008D4045" w:rsidRDefault="00D46C52">
    <w:pPr>
      <w:pStyle w:val="Header"/>
    </w:pPr>
    <w:r>
      <w:rPr>
        <w:noProof/>
      </w:rPr>
      <w:pict w14:anchorId="27F43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2" o:spid="_x0000_s2051" type="#_x0000_t136" style="position:absolute;margin-left:0;margin-top:0;width:539.05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6CDA" w14:textId="70445FBE" w:rsidR="00296529" w:rsidRPr="00296529" w:rsidRDefault="00D46C52" w:rsidP="00296529">
    <w:pPr>
      <w:ind w:left="2160"/>
      <w:jc w:val="center"/>
      <w:rPr>
        <w:rFonts w:ascii="Times New Roman" w:eastAsia="Calibri" w:hAnsi="Times New Roman"/>
        <w:i/>
        <w:sz w:val="18"/>
        <w:szCs w:val="22"/>
      </w:rPr>
    </w:pPr>
    <w:r>
      <w:rPr>
        <w:noProof/>
      </w:rPr>
      <w:pict w14:anchorId="4136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0" o:spid="_x0000_s2049" type="#_x0000_t136" style="position:absolute;left:0;text-align:left;margin-left:0;margin-top:0;width:539.05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93CA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DCB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605B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A363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2E92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C0C60F"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4942" w14:textId="3946F2B1" w:rsidR="008D4045" w:rsidRDefault="00D46C52">
    <w:pPr>
      <w:pStyle w:val="Header"/>
    </w:pPr>
    <w:r>
      <w:rPr>
        <w:noProof/>
      </w:rPr>
      <w:pict w14:anchorId="5327C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4" o:spid="_x0000_s2053" type="#_x0000_t136" style="position:absolute;margin-left:0;margin-top:0;width:539.05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453D" w14:textId="0F5A0460" w:rsidR="008D4045" w:rsidRDefault="00D46C52">
    <w:pPr>
      <w:pStyle w:val="Header"/>
    </w:pPr>
    <w:r>
      <w:rPr>
        <w:noProof/>
      </w:rPr>
      <w:pict w14:anchorId="475B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5" o:spid="_x0000_s2054" type="#_x0000_t136" style="position:absolute;margin-left:0;margin-top:0;width:539.05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F10F" w14:textId="5081EF55" w:rsidR="008D4045" w:rsidRDefault="00D46C52">
    <w:pPr>
      <w:pStyle w:val="Header"/>
    </w:pPr>
    <w:r>
      <w:rPr>
        <w:noProof/>
      </w:rPr>
      <w:pict w14:anchorId="3988C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184003" o:spid="_x0000_s2052" type="#_x0000_t136" style="position:absolute;margin-left:0;margin-top:0;width:539.05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2F75BC"/>
    <w:multiLevelType w:val="multilevel"/>
    <w:tmpl w:val="01C07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F70926"/>
    <w:multiLevelType w:val="hybridMultilevel"/>
    <w:tmpl w:val="6C6E1FA2"/>
    <w:lvl w:ilvl="0" w:tplc="FDF43820">
      <w:start w:val="1"/>
      <w:numFmt w:val="decimal"/>
      <w:lvlText w:val="%1."/>
      <w:lvlJc w:val="left"/>
      <w:pPr>
        <w:ind w:left="380" w:hanging="281"/>
      </w:pPr>
      <w:rPr>
        <w:rFonts w:ascii="Times New Roman" w:eastAsia="Times New Roman" w:hAnsi="Times New Roman" w:cs="Times New Roman" w:hint="default"/>
        <w:b/>
        <w:bCs/>
        <w:i w:val="0"/>
        <w:iCs w:val="0"/>
        <w:spacing w:val="0"/>
        <w:w w:val="100"/>
        <w:sz w:val="28"/>
        <w:szCs w:val="28"/>
        <w:lang w:val="en-US" w:eastAsia="en-US" w:bidi="ar-SA"/>
      </w:rPr>
    </w:lvl>
    <w:lvl w:ilvl="1" w:tplc="8D3260BA">
      <w:numFmt w:val="bullet"/>
      <w:lvlText w:val="•"/>
      <w:lvlJc w:val="left"/>
      <w:pPr>
        <w:ind w:left="820" w:hanging="480"/>
      </w:pPr>
      <w:rPr>
        <w:rFonts w:ascii="Segoe UI Symbol" w:eastAsia="Segoe UI Symbol" w:hAnsi="Segoe UI Symbol" w:cs="Segoe UI Symbol" w:hint="default"/>
        <w:b w:val="0"/>
        <w:bCs w:val="0"/>
        <w:i w:val="0"/>
        <w:iCs w:val="0"/>
        <w:spacing w:val="0"/>
        <w:w w:val="107"/>
        <w:sz w:val="24"/>
        <w:szCs w:val="24"/>
        <w:lang w:val="en-US" w:eastAsia="en-US" w:bidi="ar-SA"/>
      </w:rPr>
    </w:lvl>
    <w:lvl w:ilvl="2" w:tplc="1500EDFA">
      <w:numFmt w:val="bullet"/>
      <w:lvlText w:val="•"/>
      <w:lvlJc w:val="left"/>
      <w:pPr>
        <w:ind w:left="1674" w:hanging="480"/>
      </w:pPr>
      <w:rPr>
        <w:rFonts w:hint="default"/>
        <w:lang w:val="en-US" w:eastAsia="en-US" w:bidi="ar-SA"/>
      </w:rPr>
    </w:lvl>
    <w:lvl w:ilvl="3" w:tplc="54608228">
      <w:numFmt w:val="bullet"/>
      <w:lvlText w:val="•"/>
      <w:lvlJc w:val="left"/>
      <w:pPr>
        <w:ind w:left="2528" w:hanging="480"/>
      </w:pPr>
      <w:rPr>
        <w:rFonts w:hint="default"/>
        <w:lang w:val="en-US" w:eastAsia="en-US" w:bidi="ar-SA"/>
      </w:rPr>
    </w:lvl>
    <w:lvl w:ilvl="4" w:tplc="D1788070">
      <w:numFmt w:val="bullet"/>
      <w:lvlText w:val="•"/>
      <w:lvlJc w:val="left"/>
      <w:pPr>
        <w:ind w:left="3382" w:hanging="480"/>
      </w:pPr>
      <w:rPr>
        <w:rFonts w:hint="default"/>
        <w:lang w:val="en-US" w:eastAsia="en-US" w:bidi="ar-SA"/>
      </w:rPr>
    </w:lvl>
    <w:lvl w:ilvl="5" w:tplc="B63240A8">
      <w:numFmt w:val="bullet"/>
      <w:lvlText w:val="•"/>
      <w:lvlJc w:val="left"/>
      <w:pPr>
        <w:ind w:left="4236" w:hanging="480"/>
      </w:pPr>
      <w:rPr>
        <w:rFonts w:hint="default"/>
        <w:lang w:val="en-US" w:eastAsia="en-US" w:bidi="ar-SA"/>
      </w:rPr>
    </w:lvl>
    <w:lvl w:ilvl="6" w:tplc="EF843724">
      <w:numFmt w:val="bullet"/>
      <w:lvlText w:val="•"/>
      <w:lvlJc w:val="left"/>
      <w:pPr>
        <w:ind w:left="5090" w:hanging="480"/>
      </w:pPr>
      <w:rPr>
        <w:rFonts w:hint="default"/>
        <w:lang w:val="en-US" w:eastAsia="en-US" w:bidi="ar-SA"/>
      </w:rPr>
    </w:lvl>
    <w:lvl w:ilvl="7" w:tplc="C6E609D8">
      <w:numFmt w:val="bullet"/>
      <w:lvlText w:val="•"/>
      <w:lvlJc w:val="left"/>
      <w:pPr>
        <w:ind w:left="5944" w:hanging="480"/>
      </w:pPr>
      <w:rPr>
        <w:rFonts w:hint="default"/>
        <w:lang w:val="en-US" w:eastAsia="en-US" w:bidi="ar-SA"/>
      </w:rPr>
    </w:lvl>
    <w:lvl w:ilvl="8" w:tplc="190AE746">
      <w:numFmt w:val="bullet"/>
      <w:lvlText w:val="•"/>
      <w:lvlJc w:val="left"/>
      <w:pPr>
        <w:ind w:left="6798" w:hanging="480"/>
      </w:pPr>
      <w:rPr>
        <w:rFonts w:hint="default"/>
        <w:lang w:val="en-US" w:eastAsia="en-US" w:bidi="ar-SA"/>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65A2FCD"/>
    <w:multiLevelType w:val="hybridMultilevel"/>
    <w:tmpl w:val="2B640536"/>
    <w:lvl w:ilvl="0" w:tplc="2E56EB4E">
      <w:numFmt w:val="bullet"/>
      <w:lvlText w:val="•"/>
      <w:lvlJc w:val="left"/>
      <w:pPr>
        <w:ind w:left="820" w:hanging="360"/>
      </w:pPr>
      <w:rPr>
        <w:rFonts w:ascii="Segoe UI Symbol" w:eastAsia="Segoe UI Symbol" w:hAnsi="Segoe UI Symbol" w:cs="Segoe UI Symbol" w:hint="default"/>
        <w:b w:val="0"/>
        <w:bCs w:val="0"/>
        <w:i w:val="0"/>
        <w:iCs w:val="0"/>
        <w:spacing w:val="0"/>
        <w:w w:val="107"/>
        <w:sz w:val="22"/>
        <w:szCs w:val="22"/>
        <w:lang w:val="en-US" w:eastAsia="en-US" w:bidi="ar-SA"/>
      </w:rPr>
    </w:lvl>
    <w:lvl w:ilvl="1" w:tplc="AC8E36BC">
      <w:numFmt w:val="bullet"/>
      <w:lvlText w:val="•"/>
      <w:lvlJc w:val="left"/>
      <w:pPr>
        <w:ind w:left="1588" w:hanging="360"/>
      </w:pPr>
      <w:rPr>
        <w:rFonts w:hint="default"/>
        <w:lang w:val="en-US" w:eastAsia="en-US" w:bidi="ar-SA"/>
      </w:rPr>
    </w:lvl>
    <w:lvl w:ilvl="2" w:tplc="3FE47E02">
      <w:numFmt w:val="bullet"/>
      <w:lvlText w:val="•"/>
      <w:lvlJc w:val="left"/>
      <w:pPr>
        <w:ind w:left="2357" w:hanging="360"/>
      </w:pPr>
      <w:rPr>
        <w:rFonts w:hint="default"/>
        <w:lang w:val="en-US" w:eastAsia="en-US" w:bidi="ar-SA"/>
      </w:rPr>
    </w:lvl>
    <w:lvl w:ilvl="3" w:tplc="AA0C4140">
      <w:numFmt w:val="bullet"/>
      <w:lvlText w:val="•"/>
      <w:lvlJc w:val="left"/>
      <w:pPr>
        <w:ind w:left="3125" w:hanging="360"/>
      </w:pPr>
      <w:rPr>
        <w:rFonts w:hint="default"/>
        <w:lang w:val="en-US" w:eastAsia="en-US" w:bidi="ar-SA"/>
      </w:rPr>
    </w:lvl>
    <w:lvl w:ilvl="4" w:tplc="88A6AD0E">
      <w:numFmt w:val="bullet"/>
      <w:lvlText w:val="•"/>
      <w:lvlJc w:val="left"/>
      <w:pPr>
        <w:ind w:left="3894" w:hanging="360"/>
      </w:pPr>
      <w:rPr>
        <w:rFonts w:hint="default"/>
        <w:lang w:val="en-US" w:eastAsia="en-US" w:bidi="ar-SA"/>
      </w:rPr>
    </w:lvl>
    <w:lvl w:ilvl="5" w:tplc="63EA9296">
      <w:numFmt w:val="bullet"/>
      <w:lvlText w:val="•"/>
      <w:lvlJc w:val="left"/>
      <w:pPr>
        <w:ind w:left="4663" w:hanging="360"/>
      </w:pPr>
      <w:rPr>
        <w:rFonts w:hint="default"/>
        <w:lang w:val="en-US" w:eastAsia="en-US" w:bidi="ar-SA"/>
      </w:rPr>
    </w:lvl>
    <w:lvl w:ilvl="6" w:tplc="FC0CFDEC">
      <w:numFmt w:val="bullet"/>
      <w:lvlText w:val="•"/>
      <w:lvlJc w:val="left"/>
      <w:pPr>
        <w:ind w:left="5431" w:hanging="360"/>
      </w:pPr>
      <w:rPr>
        <w:rFonts w:hint="default"/>
        <w:lang w:val="en-US" w:eastAsia="en-US" w:bidi="ar-SA"/>
      </w:rPr>
    </w:lvl>
    <w:lvl w:ilvl="7" w:tplc="0A1E9CCA">
      <w:numFmt w:val="bullet"/>
      <w:lvlText w:val="•"/>
      <w:lvlJc w:val="left"/>
      <w:pPr>
        <w:ind w:left="6200" w:hanging="360"/>
      </w:pPr>
      <w:rPr>
        <w:rFonts w:hint="default"/>
        <w:lang w:val="en-US" w:eastAsia="en-US" w:bidi="ar-SA"/>
      </w:rPr>
    </w:lvl>
    <w:lvl w:ilvl="8" w:tplc="6C0ED836">
      <w:numFmt w:val="bullet"/>
      <w:lvlText w:val="•"/>
      <w:lvlJc w:val="left"/>
      <w:pPr>
        <w:ind w:left="6969" w:hanging="360"/>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10"/>
  </w:num>
  <w:num w:numId="3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lan">
    <w15:presenceInfo w15:providerId="None" w15:userId="Ars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1A2B"/>
    <w:rsid w:val="00192B72"/>
    <w:rsid w:val="001A29D8"/>
    <w:rsid w:val="001A5CAA"/>
    <w:rsid w:val="001B0427"/>
    <w:rsid w:val="001D3A51"/>
    <w:rsid w:val="001E10D2"/>
    <w:rsid w:val="001E25B4"/>
    <w:rsid w:val="001E44FE"/>
    <w:rsid w:val="00200595"/>
    <w:rsid w:val="00204835"/>
    <w:rsid w:val="00231920"/>
    <w:rsid w:val="0023195C"/>
    <w:rsid w:val="002410DC"/>
    <w:rsid w:val="0024282C"/>
    <w:rsid w:val="002460DC"/>
    <w:rsid w:val="00250985"/>
    <w:rsid w:val="00251832"/>
    <w:rsid w:val="002556F6"/>
    <w:rsid w:val="00283105"/>
    <w:rsid w:val="00284C4C"/>
    <w:rsid w:val="00296529"/>
    <w:rsid w:val="002B27FB"/>
    <w:rsid w:val="002B685A"/>
    <w:rsid w:val="002C57D2"/>
    <w:rsid w:val="002E0D56"/>
    <w:rsid w:val="002F7AB3"/>
    <w:rsid w:val="00315186"/>
    <w:rsid w:val="0033343E"/>
    <w:rsid w:val="003456D8"/>
    <w:rsid w:val="003512C2"/>
    <w:rsid w:val="00371FB6"/>
    <w:rsid w:val="003763C1"/>
    <w:rsid w:val="00376BBE"/>
    <w:rsid w:val="0039224F"/>
    <w:rsid w:val="003A43A4"/>
    <w:rsid w:val="003A7E18"/>
    <w:rsid w:val="003B07C3"/>
    <w:rsid w:val="003C4C86"/>
    <w:rsid w:val="003C6258"/>
    <w:rsid w:val="003E2904"/>
    <w:rsid w:val="00401927"/>
    <w:rsid w:val="0041027F"/>
    <w:rsid w:val="0041191A"/>
    <w:rsid w:val="00412475"/>
    <w:rsid w:val="00423789"/>
    <w:rsid w:val="00440F43"/>
    <w:rsid w:val="00441B6F"/>
    <w:rsid w:val="00446221"/>
    <w:rsid w:val="00450E62"/>
    <w:rsid w:val="004539DB"/>
    <w:rsid w:val="00471A80"/>
    <w:rsid w:val="004D305E"/>
    <w:rsid w:val="004D4277"/>
    <w:rsid w:val="004F239C"/>
    <w:rsid w:val="00502516"/>
    <w:rsid w:val="00505F06"/>
    <w:rsid w:val="00506828"/>
    <w:rsid w:val="0053056E"/>
    <w:rsid w:val="005451FA"/>
    <w:rsid w:val="00554FDA"/>
    <w:rsid w:val="005C784C"/>
    <w:rsid w:val="005D005E"/>
    <w:rsid w:val="005D17F6"/>
    <w:rsid w:val="005E5539"/>
    <w:rsid w:val="005F3FD2"/>
    <w:rsid w:val="00602BF5"/>
    <w:rsid w:val="0060679E"/>
    <w:rsid w:val="00617FDD"/>
    <w:rsid w:val="00633588"/>
    <w:rsid w:val="00633614"/>
    <w:rsid w:val="00633F68"/>
    <w:rsid w:val="00636EB2"/>
    <w:rsid w:val="006375B8"/>
    <w:rsid w:val="006461D0"/>
    <w:rsid w:val="006610AC"/>
    <w:rsid w:val="0066510A"/>
    <w:rsid w:val="00673F9F"/>
    <w:rsid w:val="00686953"/>
    <w:rsid w:val="00687DEA"/>
    <w:rsid w:val="00687E67"/>
    <w:rsid w:val="006967F7"/>
    <w:rsid w:val="006A250C"/>
    <w:rsid w:val="006A2E3C"/>
    <w:rsid w:val="006B21D3"/>
    <w:rsid w:val="006B57D0"/>
    <w:rsid w:val="006D30FF"/>
    <w:rsid w:val="006D6940"/>
    <w:rsid w:val="006F11EC"/>
    <w:rsid w:val="0070082C"/>
    <w:rsid w:val="007369E6"/>
    <w:rsid w:val="00746E59"/>
    <w:rsid w:val="00754C9A"/>
    <w:rsid w:val="0075599A"/>
    <w:rsid w:val="00761D52"/>
    <w:rsid w:val="0077749E"/>
    <w:rsid w:val="00790ADA"/>
    <w:rsid w:val="007D1EB8"/>
    <w:rsid w:val="007D2288"/>
    <w:rsid w:val="007E088F"/>
    <w:rsid w:val="007F7B32"/>
    <w:rsid w:val="00804BC2"/>
    <w:rsid w:val="0081431A"/>
    <w:rsid w:val="0083216F"/>
    <w:rsid w:val="00860000"/>
    <w:rsid w:val="00863BD3"/>
    <w:rsid w:val="00866D66"/>
    <w:rsid w:val="008671C6"/>
    <w:rsid w:val="00875803"/>
    <w:rsid w:val="008B459E"/>
    <w:rsid w:val="008D4045"/>
    <w:rsid w:val="008E13AE"/>
    <w:rsid w:val="008E1506"/>
    <w:rsid w:val="008E710C"/>
    <w:rsid w:val="008F192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783"/>
    <w:rsid w:val="00A05B19"/>
    <w:rsid w:val="00A1134E"/>
    <w:rsid w:val="00A24E7E"/>
    <w:rsid w:val="00A258C3"/>
    <w:rsid w:val="00A347C0"/>
    <w:rsid w:val="00A42149"/>
    <w:rsid w:val="00A429DB"/>
    <w:rsid w:val="00A51431"/>
    <w:rsid w:val="00A539AD"/>
    <w:rsid w:val="00A94063"/>
    <w:rsid w:val="00AA6219"/>
    <w:rsid w:val="00AA74E0"/>
    <w:rsid w:val="00AB703F"/>
    <w:rsid w:val="00AC6BB8"/>
    <w:rsid w:val="00AE008F"/>
    <w:rsid w:val="00B01FCD"/>
    <w:rsid w:val="00B1776C"/>
    <w:rsid w:val="00B52896"/>
    <w:rsid w:val="00B85FBC"/>
    <w:rsid w:val="00B95236"/>
    <w:rsid w:val="00B96BD9"/>
    <w:rsid w:val="00BA1B01"/>
    <w:rsid w:val="00BA2641"/>
    <w:rsid w:val="00BB37AA"/>
    <w:rsid w:val="00BC53A0"/>
    <w:rsid w:val="00BE62AD"/>
    <w:rsid w:val="00BF121F"/>
    <w:rsid w:val="00BF1F80"/>
    <w:rsid w:val="00C03FF1"/>
    <w:rsid w:val="00C166EF"/>
    <w:rsid w:val="00C17EB0"/>
    <w:rsid w:val="00C27F5F"/>
    <w:rsid w:val="00C30A0F"/>
    <w:rsid w:val="00C37E61"/>
    <w:rsid w:val="00C66BC2"/>
    <w:rsid w:val="00C70F1B"/>
    <w:rsid w:val="00C71A47"/>
    <w:rsid w:val="00C7464C"/>
    <w:rsid w:val="00C85588"/>
    <w:rsid w:val="00CA2CA0"/>
    <w:rsid w:val="00CD6755"/>
    <w:rsid w:val="00CD6856"/>
    <w:rsid w:val="00CE0089"/>
    <w:rsid w:val="00CE793C"/>
    <w:rsid w:val="00D173F1"/>
    <w:rsid w:val="00D46C52"/>
    <w:rsid w:val="00D8295D"/>
    <w:rsid w:val="00DC2A65"/>
    <w:rsid w:val="00DD0F76"/>
    <w:rsid w:val="00DE15F0"/>
    <w:rsid w:val="00DE5663"/>
    <w:rsid w:val="00DE78AA"/>
    <w:rsid w:val="00DF6920"/>
    <w:rsid w:val="00E053D0"/>
    <w:rsid w:val="00E15994"/>
    <w:rsid w:val="00E3114E"/>
    <w:rsid w:val="00E31A70"/>
    <w:rsid w:val="00E35B02"/>
    <w:rsid w:val="00E45B3A"/>
    <w:rsid w:val="00E55532"/>
    <w:rsid w:val="00E66496"/>
    <w:rsid w:val="00E66B35"/>
    <w:rsid w:val="00E66E10"/>
    <w:rsid w:val="00E769F6"/>
    <w:rsid w:val="00E8407C"/>
    <w:rsid w:val="00E84F3C"/>
    <w:rsid w:val="00E95B90"/>
    <w:rsid w:val="00EA012C"/>
    <w:rsid w:val="00ED0288"/>
    <w:rsid w:val="00EE52CB"/>
    <w:rsid w:val="00EF581D"/>
    <w:rsid w:val="00EF7FD8"/>
    <w:rsid w:val="00F06F59"/>
    <w:rsid w:val="00F17988"/>
    <w:rsid w:val="00F469F0"/>
    <w:rsid w:val="00F53273"/>
    <w:rsid w:val="00F755E4"/>
    <w:rsid w:val="00F77D02"/>
    <w:rsid w:val="00FB3A86"/>
    <w:rsid w:val="00FC36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22DF63"/>
  <w15:docId w15:val="{D65457A6-E564-4A74-B14B-09E04D19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421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1A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A42149"/>
    <w:pPr>
      <w:spacing w:after="120"/>
    </w:pPr>
  </w:style>
  <w:style w:type="character" w:customStyle="1" w:styleId="BodyTextChar">
    <w:name w:val="Body Text Char"/>
    <w:basedOn w:val="DefaultParagraphFont"/>
    <w:link w:val="BodyText"/>
    <w:rsid w:val="00A42149"/>
    <w:rPr>
      <w:rFonts w:ascii="Helvetica" w:hAnsi="Helvetica"/>
    </w:rPr>
  </w:style>
  <w:style w:type="character" w:customStyle="1" w:styleId="UnresolvedMention">
    <w:name w:val="Unresolved Mention"/>
    <w:basedOn w:val="DefaultParagraphFont"/>
    <w:uiPriority w:val="99"/>
    <w:semiHidden/>
    <w:unhideWhenUsed/>
    <w:rsid w:val="00A42149"/>
    <w:rPr>
      <w:color w:val="605E5C"/>
      <w:shd w:val="clear" w:color="auto" w:fill="E1DFDD"/>
    </w:rPr>
  </w:style>
  <w:style w:type="character" w:customStyle="1" w:styleId="Heading2Char">
    <w:name w:val="Heading 2 Char"/>
    <w:basedOn w:val="DefaultParagraphFont"/>
    <w:link w:val="Heading2"/>
    <w:semiHidden/>
    <w:rsid w:val="00A421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91A2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91A2B"/>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191A2B"/>
    <w:rPr>
      <w:b/>
      <w:bCs/>
    </w:rPr>
  </w:style>
  <w:style w:type="paragraph" w:styleId="CommentSubject">
    <w:name w:val="annotation subject"/>
    <w:basedOn w:val="CommentText"/>
    <w:next w:val="CommentText"/>
    <w:link w:val="CommentSubjectChar"/>
    <w:rsid w:val="002F7AB3"/>
    <w:rPr>
      <w:rFonts w:ascii="Helvetica" w:hAnsi="Helvetica"/>
      <w:b/>
      <w:bCs/>
      <w:lang w:val="en-US" w:eastAsia="en-US"/>
    </w:rPr>
  </w:style>
  <w:style w:type="character" w:customStyle="1" w:styleId="CommentSubjectChar">
    <w:name w:val="Comment Subject Char"/>
    <w:basedOn w:val="CommentTextChar"/>
    <w:link w:val="CommentSubject"/>
    <w:rsid w:val="002F7AB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351503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586006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009510">
      <w:bodyDiv w:val="1"/>
      <w:marLeft w:val="0"/>
      <w:marRight w:val="0"/>
      <w:marTop w:val="0"/>
      <w:marBottom w:val="0"/>
      <w:divBdr>
        <w:top w:val="none" w:sz="0" w:space="0" w:color="auto"/>
        <w:left w:val="none" w:sz="0" w:space="0" w:color="auto"/>
        <w:bottom w:val="none" w:sz="0" w:space="0" w:color="auto"/>
        <w:right w:val="none" w:sz="0" w:space="0" w:color="auto"/>
      </w:divBdr>
    </w:div>
    <w:div w:id="1166751442">
      <w:bodyDiv w:val="1"/>
      <w:marLeft w:val="0"/>
      <w:marRight w:val="0"/>
      <w:marTop w:val="0"/>
      <w:marBottom w:val="0"/>
      <w:divBdr>
        <w:top w:val="none" w:sz="0" w:space="0" w:color="auto"/>
        <w:left w:val="none" w:sz="0" w:space="0" w:color="auto"/>
        <w:bottom w:val="none" w:sz="0" w:space="0" w:color="auto"/>
        <w:right w:val="none" w:sz="0" w:space="0" w:color="auto"/>
      </w:divBdr>
    </w:div>
    <w:div w:id="13622393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1650707">
      <w:bodyDiv w:val="1"/>
      <w:marLeft w:val="0"/>
      <w:marRight w:val="0"/>
      <w:marTop w:val="0"/>
      <w:marBottom w:val="0"/>
      <w:divBdr>
        <w:top w:val="none" w:sz="0" w:space="0" w:color="auto"/>
        <w:left w:val="none" w:sz="0" w:space="0" w:color="auto"/>
        <w:bottom w:val="none" w:sz="0" w:space="0" w:color="auto"/>
        <w:right w:val="none" w:sz="0" w:space="0" w:color="auto"/>
      </w:divBdr>
    </w:div>
    <w:div w:id="191326831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61D6D-D977-47F1-85F5-08B856DF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Pages>
  <Words>4861</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Arslan</cp:lastModifiedBy>
  <cp:revision>18</cp:revision>
  <cp:lastPrinted>1999-07-06T11:00:00Z</cp:lastPrinted>
  <dcterms:created xsi:type="dcterms:W3CDTF">2026-01-19T16:10:00Z</dcterms:created>
  <dcterms:modified xsi:type="dcterms:W3CDTF">2026-01-21T05:52:00Z</dcterms:modified>
</cp:coreProperties>
</file>