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721D" w14:textId="77777777" w:rsidR="00F430F8" w:rsidRPr="00F430F8" w:rsidRDefault="00F430F8" w:rsidP="00F430F8">
      <w:pPr>
        <w:spacing w:after="160"/>
        <w:jc w:val="center"/>
        <w:rPr>
          <w:b/>
          <w:bCs/>
          <w:i/>
          <w:iCs/>
          <w:sz w:val="24"/>
          <w:u w:val="single"/>
        </w:rPr>
      </w:pPr>
      <w:r w:rsidRPr="00F430F8">
        <w:rPr>
          <w:b/>
          <w:bCs/>
          <w:i/>
          <w:iCs/>
          <w:sz w:val="24"/>
          <w:u w:val="single"/>
        </w:rPr>
        <w:t>Original Research Article</w:t>
      </w:r>
    </w:p>
    <w:p w14:paraId="1BB37DB1" w14:textId="77777777" w:rsidR="004F2F84" w:rsidRDefault="006B2731">
      <w:pPr>
        <w:spacing w:after="160"/>
        <w:jc w:val="center"/>
      </w:pPr>
      <w:r>
        <w:rPr>
          <w:b/>
          <w:sz w:val="24"/>
        </w:rPr>
        <w:t xml:space="preserve">Toxicological Assessment of Ethanol Extract of </w:t>
      </w:r>
      <w:r w:rsidRPr="00DA176A">
        <w:rPr>
          <w:b/>
          <w:i/>
          <w:sz w:val="24"/>
        </w:rPr>
        <w:t xml:space="preserve">Ficus </w:t>
      </w:r>
      <w:proofErr w:type="spellStart"/>
      <w:r w:rsidRPr="00DA176A">
        <w:rPr>
          <w:b/>
          <w:i/>
          <w:sz w:val="24"/>
        </w:rPr>
        <w:t>exasperata</w:t>
      </w:r>
      <w:proofErr w:type="spellEnd"/>
      <w:r>
        <w:rPr>
          <w:b/>
          <w:sz w:val="24"/>
        </w:rPr>
        <w:t xml:space="preserve"> and </w:t>
      </w:r>
      <w:r w:rsidRPr="00DA176A">
        <w:rPr>
          <w:b/>
          <w:i/>
          <w:sz w:val="24"/>
        </w:rPr>
        <w:t>Sida acuta</w:t>
      </w:r>
      <w:r>
        <w:rPr>
          <w:b/>
          <w:sz w:val="24"/>
        </w:rPr>
        <w:t xml:space="preserve"> </w:t>
      </w:r>
      <w:r w:rsidR="00804E42">
        <w:rPr>
          <w:b/>
          <w:sz w:val="24"/>
        </w:rPr>
        <w:t xml:space="preserve">leaves </w:t>
      </w:r>
      <w:r>
        <w:rPr>
          <w:b/>
          <w:sz w:val="24"/>
        </w:rPr>
        <w:t>in All</w:t>
      </w:r>
      <w:r w:rsidR="00804E42">
        <w:rPr>
          <w:b/>
          <w:sz w:val="24"/>
        </w:rPr>
        <w:t>oxan-Induced Diabetic Rats</w:t>
      </w:r>
    </w:p>
    <w:p w14:paraId="42084929" w14:textId="31FBDA34" w:rsidR="00F430F8" w:rsidRDefault="00F430F8">
      <w:pPr>
        <w:jc w:val="center"/>
      </w:pPr>
    </w:p>
    <w:p w14:paraId="25EECDBD" w14:textId="5557A520" w:rsidR="003A75A6" w:rsidRDefault="003A75A6">
      <w:pPr>
        <w:jc w:val="center"/>
      </w:pPr>
    </w:p>
    <w:p w14:paraId="1E6691D2" w14:textId="77777777" w:rsidR="003A75A6" w:rsidRDefault="003A75A6">
      <w:pPr>
        <w:jc w:val="center"/>
      </w:pPr>
    </w:p>
    <w:p w14:paraId="3E76EDB5" w14:textId="77777777" w:rsidR="004F2F84" w:rsidRDefault="006B2731">
      <w:pPr>
        <w:spacing w:before="80" w:after="80"/>
      </w:pPr>
      <w:r>
        <w:rPr>
          <w:b/>
          <w:sz w:val="22"/>
        </w:rPr>
        <w:t>ABSTRACT</w:t>
      </w:r>
    </w:p>
    <w:p w14:paraId="738A20C0" w14:textId="77777777" w:rsidR="004F2F84" w:rsidRDefault="006B2731">
      <w:pPr>
        <w:spacing w:after="60"/>
        <w:jc w:val="both"/>
      </w:pPr>
      <w:r>
        <w:rPr>
          <w:b/>
        </w:rPr>
        <w:t xml:space="preserve">Aims: </w:t>
      </w:r>
      <w:r>
        <w:t xml:space="preserve">This study evaluated the toxicological effects of ethanol extracts of </w:t>
      </w:r>
      <w:r w:rsidRPr="007E5834">
        <w:rPr>
          <w:i/>
        </w:rPr>
        <w:t xml:space="preserve">Ficus exasperata </w:t>
      </w:r>
      <w:r>
        <w:t xml:space="preserve">and </w:t>
      </w:r>
      <w:r w:rsidRPr="007E5834">
        <w:rPr>
          <w:i/>
        </w:rPr>
        <w:t>Sida acuta</w:t>
      </w:r>
      <w:r>
        <w:t>, administered singly and in combination, in alloxan-induced diabetic rats.</w:t>
      </w:r>
    </w:p>
    <w:p w14:paraId="15176A73" w14:textId="77777777" w:rsidR="004F2F84" w:rsidRDefault="006B2731">
      <w:pPr>
        <w:spacing w:after="60"/>
        <w:jc w:val="both"/>
      </w:pPr>
      <w:r>
        <w:rPr>
          <w:b/>
        </w:rPr>
        <w:t xml:space="preserve">Study Design: </w:t>
      </w:r>
      <w:r>
        <w:t xml:space="preserve">Experimental animal study involving </w:t>
      </w:r>
      <w:r w:rsidR="004238D6">
        <w:t xml:space="preserve">acute toxicity testing and a </w:t>
      </w:r>
      <w:proofErr w:type="gramStart"/>
      <w:r w:rsidR="004238D6">
        <w:t xml:space="preserve">28 </w:t>
      </w:r>
      <w:r>
        <w:t>day</w:t>
      </w:r>
      <w:proofErr w:type="gramEnd"/>
      <w:r>
        <w:t xml:space="preserve"> an</w:t>
      </w:r>
      <w:r w:rsidR="004238D6">
        <w:t xml:space="preserve">tidiabetic treatment in alloxan induced diabetic </w:t>
      </w:r>
      <w:commentRangeStart w:id="0"/>
      <w:proofErr w:type="spellStart"/>
      <w:r w:rsidR="004238D6">
        <w:t>w</w:t>
      </w:r>
      <w:r>
        <w:t>i</w:t>
      </w:r>
      <w:commentRangeEnd w:id="0"/>
      <w:r w:rsidR="005A48DA">
        <w:rPr>
          <w:rStyle w:val="CommentReference"/>
        </w:rPr>
        <w:commentReference w:id="0"/>
      </w:r>
      <w:r>
        <w:t>star</w:t>
      </w:r>
      <w:proofErr w:type="spellEnd"/>
      <w:r>
        <w:t xml:space="preserve"> rats.</w:t>
      </w:r>
    </w:p>
    <w:p w14:paraId="3E5B8BA1" w14:textId="77777777" w:rsidR="004F2F84" w:rsidRDefault="006B2731">
      <w:pPr>
        <w:spacing w:after="60"/>
        <w:jc w:val="both"/>
      </w:pPr>
      <w:r w:rsidRPr="00804E42">
        <w:rPr>
          <w:b/>
        </w:rPr>
        <w:t>Place and Duration of Study</w:t>
      </w:r>
      <w:r>
        <w:t>: Department of Applied Biochemistry, Faculty of Biosciences, Nnamdi Azikiwe University, Awka, and Chris Experimental Animal Farm and Research Laboratory, Awka, Nigeria. The duration of treatment was 28 days.</w:t>
      </w:r>
    </w:p>
    <w:p w14:paraId="59086EC3" w14:textId="77777777" w:rsidR="004F2F84" w:rsidRDefault="006B2731">
      <w:pPr>
        <w:spacing w:after="60"/>
        <w:jc w:val="both"/>
      </w:pPr>
      <w:r>
        <w:rPr>
          <w:b/>
        </w:rPr>
        <w:t xml:space="preserve">Methodology: </w:t>
      </w:r>
      <w:r w:rsidR="007E5834">
        <w:t>Acute oral toxicity (</w:t>
      </w:r>
      <w:r w:rsidR="007E5834" w:rsidRPr="007E5834">
        <w:rPr>
          <w:szCs w:val="20"/>
        </w:rPr>
        <w:t>LD</w:t>
      </w:r>
      <w:r w:rsidR="007E5834" w:rsidRPr="007E5834">
        <w:rPr>
          <w:sz w:val="24"/>
          <w:vertAlign w:val="subscript"/>
        </w:rPr>
        <w:t>50</w:t>
      </w:r>
      <w:r>
        <w:t>) was ev</w:t>
      </w:r>
      <w:r w:rsidR="00804E42">
        <w:t>aluated using Lorke’s method. One hundred and four (</w:t>
      </w:r>
      <w:r>
        <w:t>104</w:t>
      </w:r>
      <w:r w:rsidR="00804E42">
        <w:t>)</w:t>
      </w:r>
      <w:r>
        <w:t xml:space="preserve"> male Wistar rats were used for the acute toxicity study, while 63 female Wistar albino rats were used for the antidiabetic study and divided into nine groups (n = 7). Diabetes was induced with alloxan monohydrate (150 mg/kg, intraperitoneally). After 28 days of treatment, serum liver function markers, renal function indices, and electrolyte parameters were determined using standard spectrophotometric and diagnostic methods.</w:t>
      </w:r>
    </w:p>
    <w:p w14:paraId="338E0F6C" w14:textId="77777777" w:rsidR="00425C6D" w:rsidRDefault="006B2731">
      <w:pPr>
        <w:spacing w:after="60"/>
        <w:jc w:val="both"/>
      </w:pPr>
      <w:r>
        <w:rPr>
          <w:b/>
        </w:rPr>
        <w:t xml:space="preserve">Results: </w:t>
      </w:r>
      <w:r w:rsidR="007E5834">
        <w:t xml:space="preserve">The </w:t>
      </w:r>
      <w:r w:rsidR="007E5834" w:rsidRPr="007E5834">
        <w:rPr>
          <w:szCs w:val="20"/>
        </w:rPr>
        <w:t>LD</w:t>
      </w:r>
      <w:r w:rsidR="007E5834" w:rsidRPr="007E5834">
        <w:rPr>
          <w:sz w:val="24"/>
          <w:vertAlign w:val="subscript"/>
        </w:rPr>
        <w:t>50</w:t>
      </w:r>
      <w:r>
        <w:t xml:space="preserve"> of the ethanol extract of </w:t>
      </w:r>
      <w:r w:rsidRPr="004F490C">
        <w:rPr>
          <w:i/>
        </w:rPr>
        <w:t>Sida acuta</w:t>
      </w:r>
      <w:r>
        <w:t xml:space="preserve"> was 2154 mg/kg body weight, while that of </w:t>
      </w:r>
      <w:r w:rsidRPr="004F490C">
        <w:rPr>
          <w:i/>
        </w:rPr>
        <w:t>Ficus exasperata</w:t>
      </w:r>
      <w:r>
        <w:t xml:space="preserve"> was 3808 mg/kg body weight. Diabetic untreated rats showed significant increases in alanine aminotransferase, aspartate aminotransferase, alkaline phosphatase, bilirubin, urea, and creatinine </w:t>
      </w:r>
      <w:r w:rsidR="00804E42">
        <w:t>concentrations compared</w:t>
      </w:r>
      <w:r>
        <w:t xml:space="preserve"> to the normal control. Treatment with the single and combined extracts improved these parameters compared with the diabetic untreated group. The extracts also improved electrolyte imbalance</w:t>
      </w:r>
      <w:r w:rsidR="00425C6D">
        <w:t>.</w:t>
      </w:r>
    </w:p>
    <w:p w14:paraId="6BF2813E" w14:textId="77777777" w:rsidR="004F2F84" w:rsidRDefault="006B2731">
      <w:pPr>
        <w:spacing w:after="60"/>
        <w:jc w:val="both"/>
      </w:pPr>
      <w:r>
        <w:rPr>
          <w:b/>
        </w:rPr>
        <w:t xml:space="preserve">Conclusion: </w:t>
      </w:r>
      <w:r>
        <w:t xml:space="preserve">The ethanol extracts of </w:t>
      </w:r>
      <w:r w:rsidRPr="004F490C">
        <w:rPr>
          <w:i/>
        </w:rPr>
        <w:t>Sida acuta</w:t>
      </w:r>
      <w:r>
        <w:t xml:space="preserve"> and </w:t>
      </w:r>
      <w:r w:rsidRPr="004F490C">
        <w:rPr>
          <w:i/>
        </w:rPr>
        <w:t xml:space="preserve">Ficus </w:t>
      </w:r>
      <w:proofErr w:type="spellStart"/>
      <w:r w:rsidRPr="004F490C">
        <w:rPr>
          <w:i/>
        </w:rPr>
        <w:t>exasperata</w:t>
      </w:r>
      <w:proofErr w:type="spellEnd"/>
      <w:r>
        <w:t xml:space="preserve"> </w:t>
      </w:r>
      <w:r w:rsidR="00804E42">
        <w:t>showed</w:t>
      </w:r>
      <w:r>
        <w:t xml:space="preserve"> prot</w:t>
      </w:r>
      <w:r w:rsidR="00F603F4">
        <w:t xml:space="preserve">ective effects against diabetes </w:t>
      </w:r>
      <w:r>
        <w:t>induced hepatic and renal dysfunction, with evidence of improved biochemical and electrolyte parameter</w:t>
      </w:r>
      <w:r w:rsidR="00F603F4">
        <w:t>s when administered singly or</w:t>
      </w:r>
      <w:r>
        <w:t xml:space="preserve"> in combination. These findings support the safety and ethnomedicinal relevance of both plants.</w:t>
      </w:r>
    </w:p>
    <w:p w14:paraId="51550DA6" w14:textId="77777777" w:rsidR="004F2F84" w:rsidRDefault="006B2731">
      <w:pPr>
        <w:jc w:val="both"/>
      </w:pPr>
      <w:r w:rsidRPr="00806028">
        <w:rPr>
          <w:b/>
        </w:rPr>
        <w:t>Keywords</w:t>
      </w:r>
      <w:r w:rsidRPr="00804E42">
        <w:rPr>
          <w:b/>
          <w:i/>
        </w:rPr>
        <w:t xml:space="preserve">: </w:t>
      </w:r>
      <w:r w:rsidRPr="00806028">
        <w:rPr>
          <w:i/>
        </w:rPr>
        <w:t>Ficus exaspe</w:t>
      </w:r>
      <w:r w:rsidR="004F490C" w:rsidRPr="00806028">
        <w:rPr>
          <w:i/>
        </w:rPr>
        <w:t xml:space="preserve">rata; Sida acuta; toxicity; </w:t>
      </w:r>
      <w:r w:rsidR="004F490C" w:rsidRPr="00806028">
        <w:rPr>
          <w:szCs w:val="20"/>
        </w:rPr>
        <w:t>LD</w:t>
      </w:r>
      <w:r w:rsidR="004F490C" w:rsidRPr="00806028">
        <w:rPr>
          <w:sz w:val="24"/>
          <w:vertAlign w:val="subscript"/>
        </w:rPr>
        <w:t>50</w:t>
      </w:r>
      <w:r w:rsidRPr="00806028">
        <w:rPr>
          <w:i/>
        </w:rPr>
        <w:t>; liver enzymes; kidney function; electrolytes; diabetes</w:t>
      </w:r>
      <w:r>
        <w:rPr>
          <w:i/>
        </w:rPr>
        <w:t>.</w:t>
      </w:r>
    </w:p>
    <w:p w14:paraId="46F98953" w14:textId="77777777" w:rsidR="004F2F84" w:rsidRDefault="006B2731">
      <w:pPr>
        <w:spacing w:before="120" w:after="80"/>
      </w:pPr>
      <w:r>
        <w:rPr>
          <w:b/>
          <w:sz w:val="22"/>
        </w:rPr>
        <w:t>1. INTRODUCTION</w:t>
      </w:r>
    </w:p>
    <w:p w14:paraId="6E15FDD5" w14:textId="77777777" w:rsidR="004F2F84" w:rsidRDefault="006B2731">
      <w:pPr>
        <w:spacing w:after="80"/>
        <w:jc w:val="both"/>
      </w:pPr>
      <w:r>
        <w:t xml:space="preserve">Medicinal plants </w:t>
      </w:r>
      <w:r w:rsidR="00806028">
        <w:t>have proven to be</w:t>
      </w:r>
      <w:r>
        <w:t xml:space="preserve"> </w:t>
      </w:r>
      <w:r w:rsidR="00F603F4">
        <w:t xml:space="preserve">effective and </w:t>
      </w:r>
      <w:r w:rsidR="00806028">
        <w:t>essential</w:t>
      </w:r>
      <w:r>
        <w:t xml:space="preserve"> in the management of several diseases</w:t>
      </w:r>
      <w:r w:rsidR="00F603F4">
        <w:t xml:space="preserve">, including metabolic diseases </w:t>
      </w:r>
      <w:r>
        <w:t>because of their nutritional, antidiabetic,</w:t>
      </w:r>
      <w:r w:rsidR="00806028">
        <w:t xml:space="preserve"> phytochemicals</w:t>
      </w:r>
      <w:r>
        <w:t xml:space="preserve"> and protec</w:t>
      </w:r>
      <w:r w:rsidR="00C51A11">
        <w:t>tive effects</w:t>
      </w:r>
      <w:r w:rsidR="00F603F4">
        <w:t xml:space="preserve"> when administered</w:t>
      </w:r>
      <w:r w:rsidR="00C51A11">
        <w:t>. Many plant based</w:t>
      </w:r>
      <w:r>
        <w:t xml:space="preserve"> secondary metabolites</w:t>
      </w:r>
      <w:r w:rsidR="00C51A11">
        <w:t xml:space="preserve"> have shown efficacy</w:t>
      </w:r>
      <w:r>
        <w:t xml:space="preserve"> in the management of diabetes mellitus, a chronic metabolic disorder that remains a major global health burden [1-5].</w:t>
      </w:r>
      <w:r w:rsidR="00636588">
        <w:t xml:space="preserve"> </w:t>
      </w:r>
      <w:r w:rsidR="00636588" w:rsidRPr="00636588">
        <w:rPr>
          <w:i/>
        </w:rPr>
        <w:t xml:space="preserve">Ficus </w:t>
      </w:r>
      <w:proofErr w:type="spellStart"/>
      <w:r w:rsidR="00636588" w:rsidRPr="00636588">
        <w:rPr>
          <w:i/>
        </w:rPr>
        <w:t>exasperata</w:t>
      </w:r>
      <w:proofErr w:type="spellEnd"/>
      <w:r w:rsidR="00636588">
        <w:t xml:space="preserve"> and </w:t>
      </w:r>
      <w:r w:rsidR="00636588" w:rsidRPr="00636588">
        <w:rPr>
          <w:i/>
        </w:rPr>
        <w:t>Sida acuta</w:t>
      </w:r>
      <w:r w:rsidR="00636588">
        <w:t xml:space="preserve"> are two medicinal plants locally used in various communities in the treatme</w:t>
      </w:r>
      <w:r w:rsidR="00A32624">
        <w:t>nt of inflammation</w:t>
      </w:r>
      <w:r w:rsidR="00636588">
        <w:t xml:space="preserve">, </w:t>
      </w:r>
      <w:proofErr w:type="gramStart"/>
      <w:r w:rsidR="00636588">
        <w:t>infections  and</w:t>
      </w:r>
      <w:proofErr w:type="gramEnd"/>
      <w:r w:rsidR="00636588">
        <w:t xml:space="preserve"> metabolic diseases including diabetes mellitus.</w:t>
      </w:r>
    </w:p>
    <w:p w14:paraId="5CB7B58F" w14:textId="77777777" w:rsidR="004F2F84" w:rsidRDefault="006B2731">
      <w:pPr>
        <w:spacing w:after="80"/>
        <w:jc w:val="both"/>
      </w:pPr>
      <w:r>
        <w:t xml:space="preserve">The </w:t>
      </w:r>
      <w:r w:rsidR="00636588">
        <w:t>mechanism</w:t>
      </w:r>
      <w:r>
        <w:t xml:space="preserve"> of diabetes mellitus involves oxidative stress, which damages cells, tissues, and organs and predisposes affected individuals to complications such as nephropathy, hepatotoxicity, and </w:t>
      </w:r>
      <w:r>
        <w:lastRenderedPageBreak/>
        <w:t>cardiovascular disease [3,4</w:t>
      </w:r>
      <w:proofErr w:type="gramStart"/>
      <w:r>
        <w:t>].</w:t>
      </w:r>
      <w:commentRangeStart w:id="1"/>
      <w:r w:rsidR="00425C6D">
        <w:t>Interestingly</w:t>
      </w:r>
      <w:commentRangeEnd w:id="1"/>
      <w:proofErr w:type="gramEnd"/>
      <w:r w:rsidR="005A48DA">
        <w:rPr>
          <w:rStyle w:val="CommentReference"/>
        </w:rPr>
        <w:commentReference w:id="1"/>
      </w:r>
      <w:r>
        <w:t>, combining therapeutic agents that target multiple biochemical pathways, including antioxidant, anti-inflammatory, and metabolic mechanisms, may yield better outcomes than monotherapy. The adverse effects associated with some conventional antidiabetic drugs have also incr</w:t>
      </w:r>
      <w:r w:rsidR="00636588">
        <w:t xml:space="preserve">eased interest in </w:t>
      </w:r>
      <w:proofErr w:type="gramStart"/>
      <w:r w:rsidR="00636588">
        <w:t>plant based</w:t>
      </w:r>
      <w:proofErr w:type="gramEnd"/>
      <w:r w:rsidR="00636588">
        <w:t xml:space="preserve"> therapies with organ protective </w:t>
      </w:r>
      <w:proofErr w:type="gramStart"/>
      <w:r w:rsidR="00636588">
        <w:t xml:space="preserve">potentials </w:t>
      </w:r>
      <w:r>
        <w:t xml:space="preserve"> [</w:t>
      </w:r>
      <w:proofErr w:type="gramEnd"/>
      <w:r>
        <w:t>2,5].</w:t>
      </w:r>
    </w:p>
    <w:p w14:paraId="0EBD1F6B" w14:textId="77777777" w:rsidR="004F2F84" w:rsidRDefault="006B2731" w:rsidP="00993715">
      <w:pPr>
        <w:spacing w:after="80"/>
        <w:jc w:val="both"/>
      </w:pPr>
      <w:r w:rsidRPr="00190AD7">
        <w:rPr>
          <w:i/>
        </w:rPr>
        <w:t xml:space="preserve">Ficus </w:t>
      </w:r>
      <w:proofErr w:type="spellStart"/>
      <w:r w:rsidRPr="00190AD7">
        <w:rPr>
          <w:i/>
        </w:rPr>
        <w:t>exasperata</w:t>
      </w:r>
      <w:proofErr w:type="spellEnd"/>
      <w:r>
        <w:t xml:space="preserve"> (family </w:t>
      </w:r>
      <w:proofErr w:type="spellStart"/>
      <w:r>
        <w:t>Moraceae</w:t>
      </w:r>
      <w:proofErr w:type="spellEnd"/>
      <w:r>
        <w:t xml:space="preserve">), commonly known as the sandpaper tree, and </w:t>
      </w:r>
      <w:r w:rsidRPr="00190AD7">
        <w:rPr>
          <w:i/>
        </w:rPr>
        <w:t>Sida acuta</w:t>
      </w:r>
      <w:r>
        <w:t xml:space="preserve"> (family Malvaceae) are medicinal plants traditionally used for inflammation, infections, and metabolic disorders, including diabetes [6-10]. The leaves of </w:t>
      </w:r>
      <w:r w:rsidRPr="00190AD7">
        <w:rPr>
          <w:i/>
        </w:rPr>
        <w:t>F. exasperata</w:t>
      </w:r>
      <w:r>
        <w:t xml:space="preserve"> have been used traditionally in the management of diabetes, hypertension, ulcers, and infections, while </w:t>
      </w:r>
      <w:r w:rsidRPr="00190AD7">
        <w:rPr>
          <w:i/>
        </w:rPr>
        <w:t>S. acuta</w:t>
      </w:r>
      <w:r>
        <w:t xml:space="preserve"> has been reported to possess antidiabetic properties associated with flavonoids, alkaloids, and phenolic compounds [6-10]. Both plants also contain antioxidant bioactive compounds that may reduce oxidative stress by scavenging reactive oxygen species, inhibiting lipid peroxidation, and preserving membrane integrity [11].</w:t>
      </w:r>
      <w:r w:rsidR="00D91D25">
        <w:t xml:space="preserve"> </w:t>
      </w:r>
      <w:r w:rsidR="00C81C03" w:rsidRPr="00993715">
        <w:rPr>
          <w:rFonts w:cs="Arial"/>
          <w:color w:val="000000" w:themeColor="text1"/>
          <w:szCs w:val="20"/>
        </w:rPr>
        <w:t xml:space="preserve">Most drugs </w:t>
      </w:r>
      <w:r w:rsidR="00C81C03">
        <w:rPr>
          <w:rFonts w:cs="Arial"/>
          <w:color w:val="000000" w:themeColor="text1"/>
          <w:szCs w:val="20"/>
        </w:rPr>
        <w:t xml:space="preserve">we use today </w:t>
      </w:r>
      <w:r w:rsidR="00C81C03" w:rsidRPr="00993715">
        <w:rPr>
          <w:rFonts w:cs="Arial"/>
          <w:color w:val="000000" w:themeColor="text1"/>
          <w:szCs w:val="20"/>
        </w:rPr>
        <w:t>are chemically synthesized, and some are isolated from medi</w:t>
      </w:r>
      <w:r w:rsidR="00C81C03">
        <w:rPr>
          <w:rFonts w:cs="Arial"/>
          <w:color w:val="000000" w:themeColor="text1"/>
          <w:szCs w:val="20"/>
        </w:rPr>
        <w:t xml:space="preserve">cinal plants for therapeutic purposes, so these medicinal plants possess abundant </w:t>
      </w:r>
      <w:r w:rsidR="00C81C03" w:rsidRPr="00993715">
        <w:rPr>
          <w:rFonts w:cs="Arial"/>
          <w:szCs w:val="20"/>
        </w:rPr>
        <w:t>phytochemicals</w:t>
      </w:r>
      <w:r w:rsidR="00C81C03">
        <w:rPr>
          <w:rFonts w:cs="Arial"/>
          <w:szCs w:val="20"/>
        </w:rPr>
        <w:t>, when the phytochemicals are</w:t>
      </w:r>
      <w:r w:rsidR="00C81C03" w:rsidRPr="00993715">
        <w:rPr>
          <w:rFonts w:cs="Arial"/>
          <w:szCs w:val="20"/>
        </w:rPr>
        <w:t xml:space="preserve"> extracted from </w:t>
      </w:r>
      <w:r w:rsidR="00C81C03">
        <w:rPr>
          <w:rFonts w:cs="Arial"/>
          <w:szCs w:val="20"/>
        </w:rPr>
        <w:t>the</w:t>
      </w:r>
      <w:r w:rsidR="00C81C03" w:rsidRPr="00993715">
        <w:rPr>
          <w:rFonts w:cs="Arial"/>
          <w:szCs w:val="20"/>
        </w:rPr>
        <w:t xml:space="preserve"> plants</w:t>
      </w:r>
      <w:r w:rsidR="00C81C03">
        <w:rPr>
          <w:rFonts w:cs="Arial"/>
          <w:szCs w:val="20"/>
        </w:rPr>
        <w:t>, some are effective</w:t>
      </w:r>
      <w:r w:rsidR="00C81C03" w:rsidRPr="00993715">
        <w:rPr>
          <w:rFonts w:cs="Arial"/>
          <w:szCs w:val="20"/>
        </w:rPr>
        <w:t xml:space="preserve"> for clinical application</w:t>
      </w:r>
      <w:r w:rsidR="00C81C03">
        <w:rPr>
          <w:rFonts w:cs="Arial"/>
          <w:szCs w:val="20"/>
        </w:rPr>
        <w:t>.</w:t>
      </w:r>
      <w:r w:rsidR="00C81C03" w:rsidRPr="00993715">
        <w:rPr>
          <w:rFonts w:cs="Arial"/>
          <w:szCs w:val="20"/>
        </w:rPr>
        <w:t xml:space="preserve"> </w:t>
      </w:r>
      <w:r w:rsidR="00C81C03">
        <w:rPr>
          <w:rFonts w:cs="Arial"/>
          <w:szCs w:val="20"/>
        </w:rPr>
        <w:t xml:space="preserve">The </w:t>
      </w:r>
      <w:r w:rsidR="00C81C03" w:rsidRPr="00993715">
        <w:rPr>
          <w:rFonts w:cs="Arial"/>
          <w:szCs w:val="20"/>
        </w:rPr>
        <w:t xml:space="preserve">bioactive constituents </w:t>
      </w:r>
      <w:r w:rsidR="00C81C03">
        <w:rPr>
          <w:rFonts w:cs="Arial"/>
          <w:szCs w:val="20"/>
        </w:rPr>
        <w:t>extracted</w:t>
      </w:r>
      <w:r w:rsidR="00C81C03" w:rsidRPr="00993715">
        <w:rPr>
          <w:rFonts w:cs="Arial"/>
          <w:szCs w:val="20"/>
        </w:rPr>
        <w:t xml:space="preserve"> from higher plants, </w:t>
      </w:r>
      <w:r w:rsidR="00C81C03">
        <w:rPr>
          <w:rFonts w:cs="Arial"/>
          <w:szCs w:val="20"/>
        </w:rPr>
        <w:t>has proven to be a life saver in many communities, some</w:t>
      </w:r>
      <w:r w:rsidR="00C81C03" w:rsidRPr="00993715">
        <w:rPr>
          <w:rFonts w:cs="Arial"/>
          <w:szCs w:val="20"/>
        </w:rPr>
        <w:t xml:space="preserve"> established </w:t>
      </w:r>
      <w:r w:rsidR="00C81C03">
        <w:rPr>
          <w:rFonts w:cs="Arial"/>
          <w:szCs w:val="20"/>
        </w:rPr>
        <w:t xml:space="preserve">institutions rely on these plants for </w:t>
      </w:r>
      <w:r w:rsidR="00C81C03" w:rsidRPr="00993715">
        <w:rPr>
          <w:rFonts w:cs="Arial"/>
          <w:szCs w:val="20"/>
        </w:rPr>
        <w:t>therapeutic and eth</w:t>
      </w:r>
      <w:r w:rsidR="00C81C03">
        <w:rPr>
          <w:rFonts w:cs="Arial"/>
          <w:szCs w:val="20"/>
        </w:rPr>
        <w:t xml:space="preserve">nomedicinal uses. </w:t>
      </w:r>
      <w:r w:rsidR="00C81C03">
        <w:t xml:space="preserve">Both </w:t>
      </w:r>
      <w:r w:rsidR="00C81C03" w:rsidRPr="00C81C03">
        <w:rPr>
          <w:i/>
        </w:rPr>
        <w:t xml:space="preserve">Ficus </w:t>
      </w:r>
      <w:proofErr w:type="spellStart"/>
      <w:r w:rsidR="00C81C03" w:rsidRPr="00C81C03">
        <w:rPr>
          <w:i/>
        </w:rPr>
        <w:t>exasperta</w:t>
      </w:r>
      <w:proofErr w:type="spellEnd"/>
      <w:r w:rsidR="00C81C03">
        <w:t xml:space="preserve"> and </w:t>
      </w:r>
      <w:r w:rsidR="00C81C03" w:rsidRPr="00C81C03">
        <w:rPr>
          <w:i/>
        </w:rPr>
        <w:t>Sida acuta</w:t>
      </w:r>
      <w:r w:rsidR="00C81C03">
        <w:t xml:space="preserve"> plants also contain antioxidant bioactive compounds that may reduce oxidative stress by scavenging reactive oxygen species, inhibiting lipid peroxidation, and preserving membrane integrity</w:t>
      </w:r>
      <w:r w:rsidR="00885FFF">
        <w:t xml:space="preserve">. </w:t>
      </w:r>
      <w:r>
        <w:t>Although studies have documented the hypoglycemic effects of the ethanol leaf fractions of these plants, information on their toxicological profiles, especially when administered in combination, remains limited. Therefore, this study ev</w:t>
      </w:r>
      <w:r w:rsidR="00190AD7">
        <w:t>aluated the acute toxicity (</w:t>
      </w:r>
      <w:r w:rsidR="00190AD7" w:rsidRPr="007E5834">
        <w:rPr>
          <w:szCs w:val="20"/>
        </w:rPr>
        <w:t>LD</w:t>
      </w:r>
      <w:r w:rsidR="00190AD7" w:rsidRPr="007E5834">
        <w:rPr>
          <w:sz w:val="24"/>
          <w:vertAlign w:val="subscript"/>
        </w:rPr>
        <w:t>50</w:t>
      </w:r>
      <w:r>
        <w:t xml:space="preserve">) and the effects of ethanol extracts of </w:t>
      </w:r>
      <w:r w:rsidRPr="00190AD7">
        <w:rPr>
          <w:i/>
        </w:rPr>
        <w:t>Ficus exasperata</w:t>
      </w:r>
      <w:r>
        <w:t xml:space="preserve"> and </w:t>
      </w:r>
      <w:r w:rsidRPr="00190AD7">
        <w:rPr>
          <w:i/>
        </w:rPr>
        <w:t>Sida acuta</w:t>
      </w:r>
      <w:r>
        <w:t>, administered singly and in combination, on liver function, kidney function</w:t>
      </w:r>
      <w:r w:rsidR="00A32624">
        <w:t xml:space="preserve"> (urea, </w:t>
      </w:r>
      <w:commentRangeStart w:id="2"/>
      <w:r w:rsidR="00A32624">
        <w:t>creatine</w:t>
      </w:r>
      <w:commentRangeEnd w:id="2"/>
      <w:r w:rsidR="00ED4CE8">
        <w:rPr>
          <w:rStyle w:val="CommentReference"/>
        </w:rPr>
        <w:commentReference w:id="2"/>
      </w:r>
      <w:proofErr w:type="gramStart"/>
      <w:r w:rsidR="00A32624">
        <w:t xml:space="preserve">) </w:t>
      </w:r>
      <w:r>
        <w:t>,</w:t>
      </w:r>
      <w:proofErr w:type="gramEnd"/>
      <w:r>
        <w:t xml:space="preserve"> and electrolyte profile in alloxan-induced diabetic Wistar rats.</w:t>
      </w:r>
    </w:p>
    <w:p w14:paraId="086B1801" w14:textId="77777777" w:rsidR="004F2F84" w:rsidRDefault="006B2731">
      <w:pPr>
        <w:spacing w:before="120" w:after="80"/>
      </w:pPr>
      <w:r>
        <w:rPr>
          <w:b/>
          <w:sz w:val="22"/>
        </w:rPr>
        <w:t>2. METHODOLOGY</w:t>
      </w:r>
    </w:p>
    <w:p w14:paraId="0F848075" w14:textId="77777777" w:rsidR="004F2F84" w:rsidRDefault="006B2731">
      <w:pPr>
        <w:spacing w:before="120" w:after="80"/>
      </w:pPr>
      <w:r>
        <w:rPr>
          <w:b/>
          <w:sz w:val="22"/>
        </w:rPr>
        <w:t>2.1 Plant Collection and Authentication</w:t>
      </w:r>
    </w:p>
    <w:p w14:paraId="6940D4C7" w14:textId="77777777" w:rsidR="004F2F84" w:rsidRDefault="005506C3">
      <w:pPr>
        <w:spacing w:after="80"/>
        <w:jc w:val="both"/>
      </w:pPr>
      <w:r>
        <w:t>The l</w:t>
      </w:r>
      <w:r w:rsidR="006B2731">
        <w:t xml:space="preserve">eaf samples of </w:t>
      </w:r>
      <w:r w:rsidR="006B2731" w:rsidRPr="00190AD7">
        <w:rPr>
          <w:i/>
        </w:rPr>
        <w:t>Ficus exasperata</w:t>
      </w:r>
      <w:r w:rsidR="006B2731">
        <w:t xml:space="preserve"> and </w:t>
      </w:r>
      <w:r w:rsidR="006B2731" w:rsidRPr="00190AD7">
        <w:rPr>
          <w:i/>
        </w:rPr>
        <w:t>Sida acuta</w:t>
      </w:r>
      <w:r w:rsidR="006B2731">
        <w:t xml:space="preserve"> were collected, thoroughly washed, and air-dried at room temperature. The plants were authenticated by Dr. (Mrs.) Bibian Aziagba of the Department of Botany, Nnamdi Azikiwe University, Awka. Voucher specimens were deposited with reference numbers N.A.U.H. No: 28A for Ficus exasperata and N.A.U.H. No: 75A for </w:t>
      </w:r>
      <w:commentRangeStart w:id="3"/>
      <w:r w:rsidR="006B2731">
        <w:t>Sida</w:t>
      </w:r>
      <w:commentRangeEnd w:id="3"/>
      <w:r w:rsidR="00ED4CE8">
        <w:rPr>
          <w:rStyle w:val="CommentReference"/>
        </w:rPr>
        <w:commentReference w:id="3"/>
      </w:r>
      <w:r w:rsidR="006B2731">
        <w:t xml:space="preserve"> acuta. After drying, the leaves were pulverized into fine powder using a Buchymix electric blender.</w:t>
      </w:r>
    </w:p>
    <w:p w14:paraId="772FD30C" w14:textId="77777777" w:rsidR="004F2F84" w:rsidRDefault="006B2731">
      <w:pPr>
        <w:spacing w:before="120" w:after="80"/>
      </w:pPr>
      <w:r>
        <w:rPr>
          <w:b/>
          <w:sz w:val="22"/>
        </w:rPr>
        <w:t>2.2 Extraction Procedure</w:t>
      </w:r>
    </w:p>
    <w:p w14:paraId="00C05DC3" w14:textId="77777777" w:rsidR="004F2F84" w:rsidRDefault="006B2731">
      <w:pPr>
        <w:spacing w:after="80"/>
        <w:jc w:val="both"/>
      </w:pPr>
      <w:r>
        <w:t xml:space="preserve">The dried leaves of </w:t>
      </w:r>
      <w:r w:rsidRPr="00190AD7">
        <w:rPr>
          <w:i/>
        </w:rPr>
        <w:t>Sida acuta</w:t>
      </w:r>
      <w:r>
        <w:t xml:space="preserve"> and </w:t>
      </w:r>
      <w:r w:rsidRPr="00190AD7">
        <w:rPr>
          <w:i/>
        </w:rPr>
        <w:t>Ficus exasperata</w:t>
      </w:r>
      <w:r>
        <w:t xml:space="preserve"> were ground into fine powder and subjected to successive solvent extraction, beginning with n-hexane, followed by petroleum ether, ethanol, and water. For each plant, 1000 g of powdered sample was soaked in 5 L of n-hexane for 24 h with occasional stirring. After filtration through muslin cloth and Whatman No. 1 filter paper, the filtrate was concentrated using a rotary evaporator. The residue was air-dried and re-extracted with the next solvent in sequence. All fractions were evaporated to dryness in a water bath at 50 °C.</w:t>
      </w:r>
    </w:p>
    <w:p w14:paraId="6ED9B29E" w14:textId="77777777" w:rsidR="004F2F84" w:rsidRDefault="00190AD7">
      <w:pPr>
        <w:spacing w:before="120" w:after="80"/>
      </w:pPr>
      <w:r>
        <w:rPr>
          <w:b/>
          <w:sz w:val="22"/>
        </w:rPr>
        <w:t>2.3 Acute Toxicity (</w:t>
      </w:r>
      <w:r w:rsidRPr="00190AD7">
        <w:rPr>
          <w:b/>
          <w:sz w:val="22"/>
        </w:rPr>
        <w:t>LD</w:t>
      </w:r>
      <w:r w:rsidRPr="00190AD7">
        <w:rPr>
          <w:b/>
          <w:sz w:val="22"/>
          <w:vertAlign w:val="subscript"/>
        </w:rPr>
        <w:t>50</w:t>
      </w:r>
      <w:r w:rsidR="006B2731">
        <w:rPr>
          <w:b/>
          <w:sz w:val="22"/>
        </w:rPr>
        <w:t>) Assessment</w:t>
      </w:r>
    </w:p>
    <w:p w14:paraId="30A63AC1" w14:textId="77777777" w:rsidR="004F2F84" w:rsidRDefault="006B2731">
      <w:pPr>
        <w:spacing w:after="80"/>
        <w:jc w:val="both"/>
      </w:pPr>
      <w:r>
        <w:t xml:space="preserve">The acute oral toxicity profile was evaluated using the method of </w:t>
      </w:r>
      <w:proofErr w:type="spellStart"/>
      <w:r>
        <w:t>Lorke</w:t>
      </w:r>
      <w:proofErr w:type="spellEnd"/>
      <w:r>
        <w:t xml:space="preserve"> [12]. A total of 104 male Wistar rats weighing 100-120 g were used for the acute toxicity study. The rats were divided equally between </w:t>
      </w:r>
      <w:r w:rsidRPr="00190AD7">
        <w:rPr>
          <w:i/>
        </w:rPr>
        <w:t>Ficus exasperata</w:t>
      </w:r>
      <w:r>
        <w:t xml:space="preserve"> and </w:t>
      </w:r>
      <w:r w:rsidRPr="00190AD7">
        <w:rPr>
          <w:i/>
        </w:rPr>
        <w:t>Sida acuta</w:t>
      </w:r>
      <w:r>
        <w:t xml:space="preserve"> test groups, randomly assigned into dose groups, and administered graded doses of each extract orally. Behavioural changes and mortality were monitored for 24 </w:t>
      </w:r>
      <w:r w:rsidR="00190AD7">
        <w:t>h after administration, and</w:t>
      </w:r>
      <w:r w:rsidR="00190AD7" w:rsidRPr="00190AD7">
        <w:rPr>
          <w:szCs w:val="20"/>
        </w:rPr>
        <w:t xml:space="preserve"> </w:t>
      </w:r>
      <w:r w:rsidR="00190AD7" w:rsidRPr="007E5834">
        <w:rPr>
          <w:szCs w:val="20"/>
        </w:rPr>
        <w:t>LD</w:t>
      </w:r>
      <w:r w:rsidR="00190AD7" w:rsidRPr="007E5834">
        <w:rPr>
          <w:sz w:val="24"/>
          <w:vertAlign w:val="subscript"/>
        </w:rPr>
        <w:t>50</w:t>
      </w:r>
      <w:r>
        <w:t xml:space="preserve"> values were calculated accordingly.</w:t>
      </w:r>
    </w:p>
    <w:p w14:paraId="7428DDF2" w14:textId="77777777" w:rsidR="003B7B0C" w:rsidRDefault="003B7B0C">
      <w:pPr>
        <w:spacing w:after="80"/>
        <w:jc w:val="both"/>
      </w:pPr>
    </w:p>
    <w:p w14:paraId="5ED772F7" w14:textId="77777777" w:rsidR="003B7B0C" w:rsidRDefault="003B7B0C">
      <w:pPr>
        <w:spacing w:after="80"/>
        <w:jc w:val="both"/>
      </w:pPr>
    </w:p>
    <w:p w14:paraId="0A6256DC" w14:textId="77777777" w:rsidR="003B7B0C" w:rsidRDefault="003B7B0C">
      <w:pPr>
        <w:spacing w:after="80"/>
        <w:jc w:val="both"/>
      </w:pPr>
    </w:p>
    <w:p w14:paraId="79AAE353" w14:textId="77777777" w:rsidR="004F2F84" w:rsidRDefault="006B2731">
      <w:pPr>
        <w:spacing w:before="120" w:after="80"/>
      </w:pPr>
      <w:r>
        <w:rPr>
          <w:b/>
          <w:sz w:val="22"/>
        </w:rPr>
        <w:t>2.4 Experimental Design for the Antidiabetic Study</w:t>
      </w:r>
    </w:p>
    <w:p w14:paraId="2BDFEA34" w14:textId="77777777" w:rsidR="006728A6" w:rsidRPr="006728A6" w:rsidRDefault="006B2731" w:rsidP="006728A6">
      <w:pPr>
        <w:pStyle w:val="NormalWeb"/>
        <w:rPr>
          <w:rFonts w:ascii="Arial" w:hAnsi="Arial" w:cs="Arial"/>
          <w:sz w:val="20"/>
          <w:szCs w:val="20"/>
        </w:rPr>
      </w:pPr>
      <w:commentRangeStart w:id="4"/>
      <w:r w:rsidRPr="006728A6">
        <w:rPr>
          <w:rFonts w:ascii="Arial" w:hAnsi="Arial" w:cs="Arial"/>
          <w:sz w:val="20"/>
          <w:szCs w:val="20"/>
        </w:rPr>
        <w:t>A</w:t>
      </w:r>
      <w:commentRangeEnd w:id="4"/>
      <w:r w:rsidR="00ED4CE8">
        <w:rPr>
          <w:rStyle w:val="CommentReference"/>
          <w:rFonts w:ascii="Arial" w:eastAsia="Arial" w:hAnsi="Arial" w:cstheme="minorBidi"/>
        </w:rPr>
        <w:commentReference w:id="4"/>
      </w:r>
      <w:r w:rsidRPr="006728A6">
        <w:rPr>
          <w:rFonts w:ascii="Arial" w:hAnsi="Arial" w:cs="Arial"/>
          <w:sz w:val="20"/>
          <w:szCs w:val="20"/>
        </w:rPr>
        <w:t xml:space="preserve"> total of 63 female Wistar albino rats weighing 170-200 g were randomly divided into nine groups (n = 7). After overnight fasting, baseline fasting blood glucose levels were recorded using a OneTouch glucometer and glucostrips. Diabetes was induced by a single intraperitoneal injection of alloxan monohydrate (150 mg/kg) according to </w:t>
      </w:r>
      <w:r w:rsidR="006728A6" w:rsidRPr="006728A6">
        <w:rPr>
          <w:rFonts w:ascii="Arial" w:hAnsi="Arial" w:cs="Arial"/>
          <w:sz w:val="20"/>
          <w:szCs w:val="20"/>
        </w:rPr>
        <w:t>Radenković et al., 2016; Ighodaro et al., 2017 [13, 14].</w:t>
      </w:r>
    </w:p>
    <w:p w14:paraId="48289AE4" w14:textId="77777777" w:rsidR="004F2F84" w:rsidRDefault="006B2731">
      <w:pPr>
        <w:spacing w:after="80"/>
        <w:jc w:val="both"/>
      </w:pPr>
      <w:r>
        <w:t xml:space="preserve"> To prevent </w:t>
      </w:r>
      <w:proofErr w:type="spellStart"/>
      <w:r>
        <w:t>hypoglycaemic</w:t>
      </w:r>
      <w:proofErr w:type="spellEnd"/>
      <w:r>
        <w:t xml:space="preserve"> shock, rats received 5 mL of 5% glucose solution orally 2 h after alloxan administration. After 48 h, fasting blood glucose was measured again, and rats with blood glucose levels above 200 mg/dL were considered diabetic.</w:t>
      </w:r>
    </w:p>
    <w:p w14:paraId="58CAFA0A" w14:textId="77777777" w:rsidR="004F2F84" w:rsidRDefault="006B2731">
      <w:pPr>
        <w:spacing w:before="120" w:after="80"/>
      </w:pPr>
      <w:r>
        <w:rPr>
          <w:b/>
          <w:sz w:val="22"/>
        </w:rPr>
        <w:t>2.5 Treatment Regimen</w:t>
      </w:r>
    </w:p>
    <w:p w14:paraId="7DE729F8" w14:textId="77777777" w:rsidR="004F2F84" w:rsidRDefault="006B2731">
      <w:pPr>
        <w:spacing w:after="80"/>
        <w:jc w:val="both"/>
      </w:pPr>
      <w:r>
        <w:t xml:space="preserve">Treatment lasted 28 days with daily oral administration as follows: Group A, normal control; Group B, diabetic untreated (negative control); Group C, diabetic + glibenclamide (0.29 mg/kg); Group D, diabetic + 200 mg/kg ethanol fraction of </w:t>
      </w:r>
      <w:r w:rsidRPr="00190AD7">
        <w:rPr>
          <w:i/>
        </w:rPr>
        <w:t>Sida acuta</w:t>
      </w:r>
      <w:r>
        <w:t xml:space="preserve">; Group E, diabetic + 400 mg/kg ethanol fraction of </w:t>
      </w:r>
      <w:r w:rsidRPr="00190AD7">
        <w:rPr>
          <w:i/>
        </w:rPr>
        <w:t>Sida acuta</w:t>
      </w:r>
      <w:r>
        <w:t xml:space="preserve">; Group F, diabetic + 200 mg/kg ethanol fraction of </w:t>
      </w:r>
      <w:r w:rsidRPr="00190AD7">
        <w:rPr>
          <w:i/>
        </w:rPr>
        <w:t>Ficus exasperata</w:t>
      </w:r>
      <w:r>
        <w:t xml:space="preserve">; Group G, diabetic + 400 mg/kg ethanol fraction of </w:t>
      </w:r>
      <w:r w:rsidRPr="00190AD7">
        <w:rPr>
          <w:i/>
        </w:rPr>
        <w:t>Ficus exasperata</w:t>
      </w:r>
      <w:r>
        <w:t xml:space="preserve">; Group H, diabetic + 200 mg/kg combination of ethanol fractions of </w:t>
      </w:r>
      <w:r w:rsidRPr="00190AD7">
        <w:rPr>
          <w:i/>
        </w:rPr>
        <w:t>Sida acuta</w:t>
      </w:r>
      <w:r>
        <w:t xml:space="preserve"> and </w:t>
      </w:r>
      <w:r w:rsidRPr="00190AD7">
        <w:rPr>
          <w:i/>
        </w:rPr>
        <w:t>Ficus exasperata</w:t>
      </w:r>
      <w:r>
        <w:t xml:space="preserve">; and Group I, diabetic + 400 mg/kg combination of ethanol fractions of </w:t>
      </w:r>
      <w:r w:rsidRPr="00190AD7">
        <w:rPr>
          <w:i/>
        </w:rPr>
        <w:t>Sida acuta</w:t>
      </w:r>
      <w:r>
        <w:t xml:space="preserve"> and </w:t>
      </w:r>
      <w:r w:rsidRPr="00190AD7">
        <w:rPr>
          <w:i/>
        </w:rPr>
        <w:t>Ficus exasperata</w:t>
      </w:r>
      <w:r>
        <w:t>. At the end of treatment, the animals were anaesthetized with chloroform. Blood samples were collected by cardiac puncture for biochemical analysis, while the liver, kidney, heart, and pancreas were harvested for histopathological examination.</w:t>
      </w:r>
    </w:p>
    <w:p w14:paraId="28421538" w14:textId="77777777" w:rsidR="004F2F84" w:rsidRDefault="006B2731">
      <w:pPr>
        <w:spacing w:before="120" w:after="80"/>
      </w:pPr>
      <w:r>
        <w:rPr>
          <w:b/>
          <w:sz w:val="22"/>
        </w:rPr>
        <w:t>2.6 Biochemical Analysis</w:t>
      </w:r>
    </w:p>
    <w:p w14:paraId="0A34BE38" w14:textId="77777777" w:rsidR="004F2F84" w:rsidRDefault="006B2731">
      <w:pPr>
        <w:spacing w:after="80"/>
        <w:jc w:val="both"/>
      </w:pPr>
      <w:r>
        <w:t>Serum was analyzed for liver function markers (ALT, AST, ALP, direct bilirubin, and total bilirubin), renal function markers (urea and creatinine), and electrolytes (Na+, K+, Cl-, HCO3-, total calcium, and ionized calcium). Blood samples were collected into plain bottles, allowed to clot, and centrifuged to obtain serum. Serum ALT and AST activities were determined using Randox diagnostic kits according to the manufacturer's instructions. Serum ALP, total bilirubin, direct bilirubin, urea, and creatinine were also determined using Randox kits. Serum electrolytes were measured using routine diagnostic methods on an autoanalyzer (Selectra Junior, Vital Scientific B.V., The Netherlands).</w:t>
      </w:r>
    </w:p>
    <w:p w14:paraId="247218A7" w14:textId="77777777" w:rsidR="004F2F84" w:rsidRDefault="006B2731">
      <w:pPr>
        <w:spacing w:before="120" w:after="80"/>
      </w:pPr>
      <w:r>
        <w:rPr>
          <w:b/>
          <w:sz w:val="22"/>
        </w:rPr>
        <w:t>2.7 Statistical Analysis</w:t>
      </w:r>
    </w:p>
    <w:p w14:paraId="48287BE2" w14:textId="77777777" w:rsidR="004F2F84" w:rsidRDefault="006B2731">
      <w:pPr>
        <w:spacing w:after="80"/>
        <w:jc w:val="both"/>
      </w:pPr>
      <w:r>
        <w:t>Results were expressed as mean ± SEM (n = 7 per group for the antidiabetic study). One-way analysis of variance (ANOVA), followed by Tukey's post hoc test, was used to determine statistical significance. Values were considered significant at P &lt; .05.</w:t>
      </w:r>
    </w:p>
    <w:p w14:paraId="5425764D" w14:textId="77777777" w:rsidR="004F2F84" w:rsidRDefault="006B2731">
      <w:pPr>
        <w:spacing w:before="120" w:after="80"/>
      </w:pPr>
      <w:r>
        <w:rPr>
          <w:b/>
          <w:sz w:val="22"/>
        </w:rPr>
        <w:t xml:space="preserve">3. RESULTS </w:t>
      </w:r>
      <w:r w:rsidR="008C78D7">
        <w:rPr>
          <w:b/>
          <w:sz w:val="22"/>
        </w:rPr>
        <w:t>AND DISCUSSION</w:t>
      </w:r>
    </w:p>
    <w:p w14:paraId="3C3842B6" w14:textId="77777777" w:rsidR="004F2F84" w:rsidRDefault="006B2731">
      <w:pPr>
        <w:spacing w:before="120" w:after="80"/>
      </w:pPr>
      <w:r>
        <w:rPr>
          <w:b/>
          <w:sz w:val="22"/>
        </w:rPr>
        <w:t>3.</w:t>
      </w:r>
      <w:r w:rsidR="00190AD7">
        <w:rPr>
          <w:b/>
          <w:sz w:val="22"/>
        </w:rPr>
        <w:t>1 Acute Toxicity (</w:t>
      </w:r>
      <w:r w:rsidR="00190AD7" w:rsidRPr="00190AD7">
        <w:rPr>
          <w:b/>
          <w:szCs w:val="20"/>
        </w:rPr>
        <w:t>LD</w:t>
      </w:r>
      <w:r w:rsidR="00190AD7" w:rsidRPr="00190AD7">
        <w:rPr>
          <w:b/>
          <w:sz w:val="24"/>
          <w:vertAlign w:val="subscript"/>
        </w:rPr>
        <w:t>50</w:t>
      </w:r>
      <w:r>
        <w:rPr>
          <w:b/>
          <w:sz w:val="22"/>
        </w:rPr>
        <w:t>)</w:t>
      </w:r>
    </w:p>
    <w:p w14:paraId="556418AE" w14:textId="77777777" w:rsidR="00DA176A" w:rsidRDefault="006B2731" w:rsidP="00DA176A">
      <w:pPr>
        <w:spacing w:after="80"/>
        <w:jc w:val="both"/>
      </w:pPr>
      <w:r>
        <w:t>Acute toxicity results are presented in Tables 1 and 2. No mortality was observed up to 1600 mg/kg for the ethanol extracts. Slight weakness, dullness, and reduced feed intake were observed at higher doses, indicating dose-dependent</w:t>
      </w:r>
      <w:r w:rsidR="00190AD7">
        <w:t xml:space="preserve"> toxicity. The calculated </w:t>
      </w:r>
      <w:r w:rsidR="00190AD7" w:rsidRPr="007E5834">
        <w:rPr>
          <w:szCs w:val="20"/>
        </w:rPr>
        <w:t>LD</w:t>
      </w:r>
      <w:r w:rsidR="00190AD7" w:rsidRPr="007E5834">
        <w:rPr>
          <w:sz w:val="24"/>
          <w:vertAlign w:val="subscript"/>
        </w:rPr>
        <w:t>50</w:t>
      </w:r>
      <w:r>
        <w:t xml:space="preserve"> values were 3808 mg/kg body weight for </w:t>
      </w:r>
      <w:r w:rsidRPr="00AD2DE7">
        <w:rPr>
          <w:i/>
        </w:rPr>
        <w:t xml:space="preserve">Ficus exasperata </w:t>
      </w:r>
      <w:r>
        <w:t xml:space="preserve">and 2154 mg/kg body weight for </w:t>
      </w:r>
      <w:r w:rsidRPr="00AD2DE7">
        <w:rPr>
          <w:i/>
        </w:rPr>
        <w:t>Sida acuta</w:t>
      </w:r>
      <w:r>
        <w:t>.</w:t>
      </w:r>
    </w:p>
    <w:p w14:paraId="7C13BFDF" w14:textId="77777777" w:rsidR="008C78D7" w:rsidRDefault="008C78D7" w:rsidP="008C78D7">
      <w:pPr>
        <w:spacing w:after="80"/>
        <w:jc w:val="both"/>
      </w:pPr>
      <w:r>
        <w:t xml:space="preserve">The acute toxicity in this study showed that the ethanol leaf fractions of </w:t>
      </w:r>
      <w:r>
        <w:rPr>
          <w:rStyle w:val="Emphasis"/>
        </w:rPr>
        <w:t xml:space="preserve">Ficus </w:t>
      </w:r>
      <w:proofErr w:type="spellStart"/>
      <w:r>
        <w:rPr>
          <w:rStyle w:val="Emphasis"/>
        </w:rPr>
        <w:t>exasperata</w:t>
      </w:r>
      <w:proofErr w:type="spellEnd"/>
      <w:r>
        <w:t xml:space="preserve"> and </w:t>
      </w:r>
      <w:r>
        <w:rPr>
          <w:rStyle w:val="Emphasis"/>
        </w:rPr>
        <w:t>Sida acuta</w:t>
      </w:r>
      <w:r>
        <w:t xml:space="preserve"> produced a dose dependent toxicity in the experimental animals. For </w:t>
      </w:r>
      <w:r>
        <w:rPr>
          <w:rStyle w:val="Emphasis"/>
        </w:rPr>
        <w:t>Sida acuta</w:t>
      </w:r>
      <w:r>
        <w:t xml:space="preserve">, no mortality was recorded in the first phase (10, 100, and 1000 mg/kg) and at 1600 mg/kg in the second phase, where the animals appeared normal. However, weakness was observed at 2900 mg/kg with 100% mortality, while at 5000 </w:t>
      </w:r>
      <w:r>
        <w:lastRenderedPageBreak/>
        <w:t xml:space="preserve">mg/kg the animals became very weak with jerking, also resulting in 100% mortality. Using </w:t>
      </w:r>
      <w:proofErr w:type="spellStart"/>
      <w:r>
        <w:t>Lorke’s</w:t>
      </w:r>
      <w:proofErr w:type="spellEnd"/>
      <w:r>
        <w:t xml:space="preserve"> formula, the oral LD</w:t>
      </w:r>
      <w:r>
        <w:rPr>
          <w:rFonts w:ascii="Cambria Math" w:hAnsi="Cambria Math" w:cs="Cambria Math"/>
        </w:rPr>
        <w:t>₅₀</w:t>
      </w:r>
      <w:r>
        <w:t xml:space="preserve"> was calculated as </w:t>
      </w:r>
      <w:r w:rsidRPr="006B2731">
        <w:rPr>
          <w:rStyle w:val="Strong"/>
          <w:b w:val="0"/>
        </w:rPr>
        <w:t>2154 mg/kg body weight</w:t>
      </w:r>
      <w:r>
        <w:t xml:space="preserve">. For </w:t>
      </w:r>
      <w:r>
        <w:rPr>
          <w:rStyle w:val="Emphasis"/>
        </w:rPr>
        <w:t xml:space="preserve">Ficus </w:t>
      </w:r>
      <w:proofErr w:type="spellStart"/>
      <w:r>
        <w:rPr>
          <w:rStyle w:val="Emphasis"/>
        </w:rPr>
        <w:t>exasperata</w:t>
      </w:r>
      <w:proofErr w:type="spellEnd"/>
      <w:r>
        <w:t>, the animals remained normal up to 1600 mg/kg, showed slight weakness at 2900 mg/kg without mortality, and weakness at 5000 mg/kg with 100% mortality, giving an LD</w:t>
      </w:r>
      <w:r>
        <w:rPr>
          <w:rFonts w:ascii="Cambria Math" w:hAnsi="Cambria Math" w:cs="Cambria Math"/>
        </w:rPr>
        <w:t>₅₀</w:t>
      </w:r>
      <w:r>
        <w:t xml:space="preserve"> of </w:t>
      </w:r>
      <w:r w:rsidRPr="006B2731">
        <w:rPr>
          <w:rStyle w:val="Strong"/>
          <w:b w:val="0"/>
        </w:rPr>
        <w:t>3808 mg/kg body weight</w:t>
      </w:r>
      <w:r>
        <w:t>. Since a higher LD</w:t>
      </w:r>
      <w:r>
        <w:rPr>
          <w:rFonts w:ascii="Cambria Math" w:hAnsi="Cambria Math" w:cs="Cambria Math"/>
        </w:rPr>
        <w:t>₅₀</w:t>
      </w:r>
      <w:r>
        <w:t xml:space="preserve"> indicates lower acute toxicity, the ethanol fraction of </w:t>
      </w:r>
      <w:r>
        <w:rPr>
          <w:rStyle w:val="Emphasis"/>
        </w:rPr>
        <w:t xml:space="preserve">Ficus </w:t>
      </w:r>
      <w:proofErr w:type="spellStart"/>
      <w:r>
        <w:rPr>
          <w:rStyle w:val="Emphasis"/>
        </w:rPr>
        <w:t>exasperata</w:t>
      </w:r>
      <w:proofErr w:type="spellEnd"/>
      <w:r>
        <w:t xml:space="preserve"> was less toxic than that of </w:t>
      </w:r>
      <w:r>
        <w:rPr>
          <w:rStyle w:val="Emphasis"/>
        </w:rPr>
        <w:t xml:space="preserve">Sida acuta </w:t>
      </w:r>
      <w:r>
        <w:t xml:space="preserve">[12]. These findings suggest that both plant fractions possess </w:t>
      </w:r>
      <w:r w:rsidRPr="006728A6">
        <w:rPr>
          <w:rStyle w:val="Strong"/>
          <w:b w:val="0"/>
        </w:rPr>
        <w:t>low acute oral toxicity</w:t>
      </w:r>
      <w:r>
        <w:t>, because their LD</w:t>
      </w:r>
      <w:r>
        <w:rPr>
          <w:rFonts w:ascii="Cambria Math" w:hAnsi="Cambria Math" w:cs="Cambria Math"/>
        </w:rPr>
        <w:t>₅₀</w:t>
      </w:r>
      <w:r>
        <w:t xml:space="preserve"> values are above 2000 mg/kg. Under OECD/GHS interpretation, substances with oral LD</w:t>
      </w:r>
      <w:r>
        <w:rPr>
          <w:rFonts w:ascii="Cambria Math" w:hAnsi="Cambria Math" w:cs="Cambria Math"/>
        </w:rPr>
        <w:t>₅₀</w:t>
      </w:r>
      <w:r>
        <w:t xml:space="preserve"> values between </w:t>
      </w:r>
      <w:r w:rsidRPr="006728A6">
        <w:rPr>
          <w:rStyle w:val="Strong"/>
          <w:b w:val="0"/>
        </w:rPr>
        <w:t>2000 and 5000 mg/kg</w:t>
      </w:r>
      <w:r>
        <w:t xml:space="preserve"> are commonly placed in the </w:t>
      </w:r>
      <w:r>
        <w:rPr>
          <w:rStyle w:val="Strong"/>
          <w:b w:val="0"/>
        </w:rPr>
        <w:t xml:space="preserve">low to </w:t>
      </w:r>
      <w:r w:rsidRPr="006728A6">
        <w:rPr>
          <w:rStyle w:val="Strong"/>
          <w:b w:val="0"/>
        </w:rPr>
        <w:t>moderate acute toxicity range</w:t>
      </w:r>
      <w:r>
        <w:t xml:space="preserve">. This shows that the extracts are not highly toxic after a single oral exposure, but they are not completely safe when used at higher doses where obvious toxic signs and mortality appeared, OECD [15].The normal appearance of the animals at lower doses indicates that the extracts were tolerated at those levels, whereas the weakness, severe weakness, and jerking seen at higher doses point to the toxic effects though low that became more pronounced as the administered dose increased. In acute toxicity studies, changes in </w:t>
      </w:r>
      <w:proofErr w:type="spellStart"/>
      <w:r>
        <w:t>behaviour</w:t>
      </w:r>
      <w:proofErr w:type="spellEnd"/>
      <w:r>
        <w:t xml:space="preserve"> and motor activity are important indicators of adverse effects on the central nervous system and general physiological stability. Thus, the jerking observed with the </w:t>
      </w:r>
      <w:r>
        <w:rPr>
          <w:rStyle w:val="Emphasis"/>
        </w:rPr>
        <w:t>Sida acuta</w:t>
      </w:r>
      <w:r>
        <w:t xml:space="preserve"> fraction at 5000 mg/kg may reflect greater neurobehavioral activity at very high doses compared with </w:t>
      </w:r>
      <w:r>
        <w:rPr>
          <w:rStyle w:val="Emphasis"/>
        </w:rPr>
        <w:t xml:space="preserve">Ficus </w:t>
      </w:r>
      <w:proofErr w:type="spellStart"/>
      <w:r>
        <w:rPr>
          <w:rStyle w:val="Emphasis"/>
        </w:rPr>
        <w:t>exasperata</w:t>
      </w:r>
      <w:proofErr w:type="spellEnd"/>
      <w:r>
        <w:t>, which only produced slight weakness at 2900 mg/kg and weakness at 5000 mg/kg [16].</w:t>
      </w:r>
    </w:p>
    <w:p w14:paraId="1CB4C719" w14:textId="77777777" w:rsidR="008C78D7" w:rsidRDefault="008C78D7" w:rsidP="008C78D7">
      <w:pPr>
        <w:spacing w:after="80"/>
        <w:jc w:val="both"/>
        <w:rPr>
          <w:rFonts w:cs="Arial"/>
          <w:color w:val="1B1B1B"/>
          <w:shd w:val="clear" w:color="auto" w:fill="FFFFFF"/>
        </w:rPr>
      </w:pPr>
      <w:r>
        <w:t>The lower LD</w:t>
      </w:r>
      <w:r>
        <w:rPr>
          <w:rFonts w:ascii="Cambria Math" w:hAnsi="Cambria Math" w:cs="Cambria Math"/>
        </w:rPr>
        <w:t>₅₀</w:t>
      </w:r>
      <w:r>
        <w:t xml:space="preserve"> obtained for </w:t>
      </w:r>
      <w:r>
        <w:rPr>
          <w:rStyle w:val="Emphasis"/>
        </w:rPr>
        <w:t>Sida acuta</w:t>
      </w:r>
      <w:r>
        <w:t xml:space="preserve"> compared with </w:t>
      </w:r>
      <w:r>
        <w:rPr>
          <w:rStyle w:val="Emphasis"/>
        </w:rPr>
        <w:t xml:space="preserve">Ficus </w:t>
      </w:r>
      <w:proofErr w:type="spellStart"/>
      <w:r>
        <w:rPr>
          <w:rStyle w:val="Emphasis"/>
        </w:rPr>
        <w:t>exasperata</w:t>
      </w:r>
      <w:proofErr w:type="spellEnd"/>
      <w:r>
        <w:t xml:space="preserve"> indicates that </w:t>
      </w:r>
      <w:r>
        <w:rPr>
          <w:rStyle w:val="Emphasis"/>
        </w:rPr>
        <w:t>Sida acuta</w:t>
      </w:r>
      <w:r>
        <w:t xml:space="preserve"> has a less safety exposure. This difference may be related to variation in the phytochemical composition of the two plants, since ethanol fractions commonly concentrate bioactive constituents such as alkaloids, flavonoids, saponins, tannins, and phenolic compounds, which can contribute both therapeutic and toxic effects depending on dose. Therefore, while both plants may have medicinal relevance, the result emphasizes that dose standardization is essential, particularly for </w:t>
      </w:r>
      <w:r>
        <w:rPr>
          <w:rStyle w:val="Emphasis"/>
        </w:rPr>
        <w:t xml:space="preserve">Sida </w:t>
      </w:r>
      <w:proofErr w:type="gramStart"/>
      <w:r>
        <w:rPr>
          <w:rStyle w:val="Emphasis"/>
        </w:rPr>
        <w:t xml:space="preserve">acuta </w:t>
      </w:r>
      <w:r>
        <w:t xml:space="preserve"> [</w:t>
      </w:r>
      <w:proofErr w:type="gramEnd"/>
      <w:r>
        <w:t xml:space="preserve">17]. </w:t>
      </w:r>
      <w:r>
        <w:rPr>
          <w:rFonts w:cs="Arial"/>
          <w:b/>
          <w:color w:val="1B1B1B"/>
          <w:shd w:val="clear" w:color="auto" w:fill="FFFFFF"/>
        </w:rPr>
        <w:t xml:space="preserve"> </w:t>
      </w:r>
      <w:r>
        <w:t xml:space="preserve">The present finding is consistent with earlier reports showing that </w:t>
      </w:r>
      <w:r>
        <w:rPr>
          <w:rStyle w:val="Emphasis"/>
        </w:rPr>
        <w:t xml:space="preserve">Ficus </w:t>
      </w:r>
      <w:proofErr w:type="spellStart"/>
      <w:r>
        <w:rPr>
          <w:rStyle w:val="Emphasis"/>
        </w:rPr>
        <w:t>exasperata</w:t>
      </w:r>
      <w:proofErr w:type="spellEnd"/>
      <w:r>
        <w:t xml:space="preserve"> leaf preparations are safe at lower oral doses, although toxicity may emerge as the dose increases. A 2022 study using ethanol extract of </w:t>
      </w:r>
      <w:r>
        <w:rPr>
          <w:rStyle w:val="Emphasis"/>
        </w:rPr>
        <w:t xml:space="preserve">Ficus </w:t>
      </w:r>
      <w:proofErr w:type="spellStart"/>
      <w:r>
        <w:rPr>
          <w:rStyle w:val="Emphasis"/>
        </w:rPr>
        <w:t>exasperata</w:t>
      </w:r>
      <w:proofErr w:type="spellEnd"/>
      <w:r>
        <w:t xml:space="preserve"> reported acute toxicity testing in rats up to 2000 mg/kg, while earlier work also described the plant as relatively safe on short-term administration [18]. Some work on </w:t>
      </w:r>
      <w:r>
        <w:rPr>
          <w:rStyle w:val="Emphasis"/>
        </w:rPr>
        <w:t>Sida acuta</w:t>
      </w:r>
      <w:r>
        <w:t xml:space="preserve"> has shown that the plant is tolerated at lower doses, but toxicological effects still depend on the extract type, fraction, and administered amount. This explains why the current ethanol fraction of </w:t>
      </w:r>
      <w:r>
        <w:rPr>
          <w:rStyle w:val="Emphasis"/>
        </w:rPr>
        <w:t>Sida acuta</w:t>
      </w:r>
      <w:r>
        <w:t xml:space="preserve"> still produced mortality above 2000 mg/kg despite apparent safety at lower concentrations.</w:t>
      </w:r>
      <w:r w:rsidRPr="009813EB">
        <w:rPr>
          <w:rFonts w:cs="Arial"/>
          <w:color w:val="1B1B1B"/>
          <w:shd w:val="clear" w:color="auto" w:fill="FFFFFF"/>
        </w:rPr>
        <w:t xml:space="preserve"> </w:t>
      </w:r>
    </w:p>
    <w:p w14:paraId="5E46D1F0" w14:textId="77777777" w:rsidR="006F02A9" w:rsidRDefault="008C78D7" w:rsidP="00DA176A">
      <w:pPr>
        <w:spacing w:after="80"/>
        <w:jc w:val="both"/>
      </w:pPr>
      <w:r>
        <w:t xml:space="preserve">The acute toxicity profile of the two ethanol leaf fractions indicates that </w:t>
      </w:r>
      <w:r w:rsidRPr="00F33608">
        <w:rPr>
          <w:rStyle w:val="Emphasis"/>
          <w:bCs/>
        </w:rPr>
        <w:t xml:space="preserve">Ficus </w:t>
      </w:r>
      <w:proofErr w:type="spellStart"/>
      <w:r w:rsidRPr="00F33608">
        <w:rPr>
          <w:rStyle w:val="Emphasis"/>
          <w:bCs/>
        </w:rPr>
        <w:t>exasperata</w:t>
      </w:r>
      <w:proofErr w:type="spellEnd"/>
      <w:r w:rsidRPr="00F33608">
        <w:rPr>
          <w:rStyle w:val="Strong"/>
        </w:rPr>
        <w:t xml:space="preserve"> </w:t>
      </w:r>
      <w:r w:rsidRPr="00F33608">
        <w:rPr>
          <w:rStyle w:val="Strong"/>
          <w:b w:val="0"/>
        </w:rPr>
        <w:t>is safer than</w:t>
      </w:r>
      <w:r w:rsidRPr="00F33608">
        <w:rPr>
          <w:rStyle w:val="Strong"/>
        </w:rPr>
        <w:t xml:space="preserve"> </w:t>
      </w:r>
      <w:r w:rsidRPr="00F33608">
        <w:rPr>
          <w:rStyle w:val="Emphasis"/>
          <w:bCs/>
        </w:rPr>
        <w:t>Sida acuta</w:t>
      </w:r>
      <w:r w:rsidRPr="00F33608">
        <w:rPr>
          <w:rStyle w:val="Strong"/>
        </w:rPr>
        <w:t xml:space="preserve"> </w:t>
      </w:r>
      <w:r>
        <w:rPr>
          <w:rStyle w:val="Strong"/>
          <w:b w:val="0"/>
        </w:rPr>
        <w:t xml:space="preserve">in single </w:t>
      </w:r>
      <w:r w:rsidRPr="00F33608">
        <w:rPr>
          <w:rStyle w:val="Strong"/>
          <w:b w:val="0"/>
        </w:rPr>
        <w:t>dose oral exposure</w:t>
      </w:r>
      <w:r>
        <w:t>, as shown by its higher LD</w:t>
      </w:r>
      <w:r>
        <w:rPr>
          <w:rFonts w:ascii="Cambria Math" w:hAnsi="Cambria Math" w:cs="Cambria Math"/>
        </w:rPr>
        <w:t>₅₀</w:t>
      </w:r>
      <w:r>
        <w:t xml:space="preserve"> value (</w:t>
      </w:r>
      <w:r w:rsidRPr="00B605F8">
        <w:rPr>
          <w:rStyle w:val="Strong"/>
          <w:b w:val="0"/>
        </w:rPr>
        <w:t>3808 mg/kg</w:t>
      </w:r>
      <w:r>
        <w:t xml:space="preserve">) compared with </w:t>
      </w:r>
      <w:r>
        <w:rPr>
          <w:rStyle w:val="Emphasis"/>
        </w:rPr>
        <w:t>Sida acuta</w:t>
      </w:r>
      <w:r>
        <w:t xml:space="preserve"> (</w:t>
      </w:r>
      <w:r w:rsidRPr="00B605F8">
        <w:rPr>
          <w:rStyle w:val="Strong"/>
          <w:b w:val="0"/>
        </w:rPr>
        <w:t>2154 mg/kg</w:t>
      </w:r>
      <w:r>
        <w:t xml:space="preserve">). Since both extracts produced toxic signs and mortality at high doses, their use should still be approached with caution. </w:t>
      </w:r>
    </w:p>
    <w:p w14:paraId="5DF0C571" w14:textId="77777777" w:rsidR="006F02A9" w:rsidRDefault="006F02A9" w:rsidP="00DA176A">
      <w:pPr>
        <w:spacing w:after="80"/>
        <w:jc w:val="both"/>
      </w:pPr>
    </w:p>
    <w:p w14:paraId="78D37769"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1. </w:t>
      </w:r>
      <w:r>
        <w:rPr>
          <w:rFonts w:ascii="Times New Roman" w:hAnsi="Times New Roman" w:cs="Times New Roman"/>
          <w:b/>
          <w:sz w:val="24"/>
          <w:szCs w:val="24"/>
        </w:rPr>
        <w:t>LD₅₀</w:t>
      </w:r>
      <w:r w:rsidRPr="00F32AE4">
        <w:rPr>
          <w:rFonts w:ascii="Times New Roman" w:hAnsi="Times New Roman" w:cs="Times New Roman"/>
          <w:b/>
          <w:sz w:val="24"/>
          <w:szCs w:val="24"/>
        </w:rPr>
        <w:t xml:space="preserve"> of ethanol fraction of </w:t>
      </w:r>
      <w:proofErr w:type="spellStart"/>
      <w:r>
        <w:rPr>
          <w:rStyle w:val="Emphasis"/>
          <w:rFonts w:ascii="Times New Roman" w:hAnsi="Times New Roman" w:cs="Times New Roman"/>
          <w:b/>
          <w:sz w:val="24"/>
          <w:szCs w:val="24"/>
        </w:rPr>
        <w:t>F.</w:t>
      </w:r>
      <w:r w:rsidRPr="00F32AE4">
        <w:rPr>
          <w:rStyle w:val="Emphasis"/>
          <w:rFonts w:ascii="Times New Roman" w:hAnsi="Times New Roman" w:cs="Times New Roman"/>
          <w:b/>
          <w:sz w:val="24"/>
          <w:szCs w:val="24"/>
        </w:rPr>
        <w:t>exasperata</w:t>
      </w:r>
      <w:proofErr w:type="spellEnd"/>
      <w:r w:rsidRPr="00F32AE4">
        <w:rPr>
          <w:rFonts w:ascii="Times New Roman" w:hAnsi="Times New Roman" w:cs="Times New Roman"/>
          <w:b/>
          <w:sz w:val="24"/>
          <w:szCs w:val="24"/>
        </w:rPr>
        <w:t xml:space="preserve"> leaf extract</w:t>
      </w:r>
    </w:p>
    <w:tbl>
      <w:tblPr>
        <w:tblW w:w="6270" w:type="dxa"/>
        <w:tblInd w:w="48" w:type="dxa"/>
        <w:tblLayout w:type="fixed"/>
        <w:tblLook w:val="0000" w:firstRow="0" w:lastRow="0" w:firstColumn="0" w:lastColumn="0" w:noHBand="0" w:noVBand="0"/>
      </w:tblPr>
      <w:tblGrid>
        <w:gridCol w:w="2110"/>
        <w:gridCol w:w="2360"/>
        <w:gridCol w:w="1800"/>
      </w:tblGrid>
      <w:tr w:rsidR="00DA176A" w:rsidRPr="00F32AE4" w14:paraId="1016E560" w14:textId="77777777" w:rsidTr="006B2731">
        <w:trPr>
          <w:trHeight w:val="368"/>
        </w:trPr>
        <w:tc>
          <w:tcPr>
            <w:tcW w:w="2110" w:type="dxa"/>
          </w:tcPr>
          <w:p w14:paraId="6398DE8B"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360" w:type="dxa"/>
          </w:tcPr>
          <w:p w14:paraId="7A9E6D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800" w:type="dxa"/>
          </w:tcPr>
          <w:p w14:paraId="2AE78CF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274E07E6" w14:textId="77777777" w:rsidTr="006B2731">
        <w:trPr>
          <w:trHeight w:val="377"/>
        </w:trPr>
        <w:tc>
          <w:tcPr>
            <w:tcW w:w="2110" w:type="dxa"/>
          </w:tcPr>
          <w:p w14:paraId="596A55F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360" w:type="dxa"/>
          </w:tcPr>
          <w:p w14:paraId="5F70A02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800" w:type="dxa"/>
          </w:tcPr>
          <w:p w14:paraId="7EBCAD3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42EF95BD" w14:textId="77777777" w:rsidTr="006F02A9">
        <w:trPr>
          <w:trHeight w:val="423"/>
        </w:trPr>
        <w:tc>
          <w:tcPr>
            <w:tcW w:w="2110" w:type="dxa"/>
          </w:tcPr>
          <w:p w14:paraId="7791D23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360" w:type="dxa"/>
          </w:tcPr>
          <w:p w14:paraId="3039F1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800" w:type="dxa"/>
          </w:tcPr>
          <w:p w14:paraId="3A03E832"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BE314F6" w14:textId="77777777" w:rsidTr="006B2731">
        <w:trPr>
          <w:trHeight w:val="404"/>
        </w:trPr>
        <w:tc>
          <w:tcPr>
            <w:tcW w:w="2110" w:type="dxa"/>
          </w:tcPr>
          <w:p w14:paraId="7C5049C0"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w:t>
            </w:r>
          </w:p>
        </w:tc>
        <w:tc>
          <w:tcPr>
            <w:tcW w:w="2360" w:type="dxa"/>
          </w:tcPr>
          <w:p w14:paraId="2F2A3FA4"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02D837D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9D23F56" w14:textId="77777777" w:rsidTr="006F02A9">
        <w:trPr>
          <w:trHeight w:val="405"/>
        </w:trPr>
        <w:tc>
          <w:tcPr>
            <w:tcW w:w="2110" w:type="dxa"/>
          </w:tcPr>
          <w:p w14:paraId="11A803C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360" w:type="dxa"/>
          </w:tcPr>
          <w:p w14:paraId="75A4BA2F"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4B878A5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EDC5A25" w14:textId="77777777" w:rsidTr="006B2731">
        <w:trPr>
          <w:trHeight w:val="240"/>
        </w:trPr>
        <w:tc>
          <w:tcPr>
            <w:tcW w:w="2110" w:type="dxa"/>
          </w:tcPr>
          <w:p w14:paraId="01D48E0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360" w:type="dxa"/>
          </w:tcPr>
          <w:p w14:paraId="52595678"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800" w:type="dxa"/>
          </w:tcPr>
          <w:p w14:paraId="48570EB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4E684604" w14:textId="77777777" w:rsidTr="006B2731">
        <w:trPr>
          <w:trHeight w:val="370"/>
        </w:trPr>
        <w:tc>
          <w:tcPr>
            <w:tcW w:w="2110" w:type="dxa"/>
          </w:tcPr>
          <w:p w14:paraId="767B2B3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360" w:type="dxa"/>
          </w:tcPr>
          <w:p w14:paraId="6E35946D"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w:t>
            </w:r>
          </w:p>
        </w:tc>
        <w:tc>
          <w:tcPr>
            <w:tcW w:w="1800" w:type="dxa"/>
          </w:tcPr>
          <w:p w14:paraId="188C035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3F22D33A" w14:textId="77777777" w:rsidTr="006F02A9">
        <w:trPr>
          <w:trHeight w:val="423"/>
        </w:trPr>
        <w:tc>
          <w:tcPr>
            <w:tcW w:w="2110" w:type="dxa"/>
          </w:tcPr>
          <w:p w14:paraId="1152F08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360" w:type="dxa"/>
          </w:tcPr>
          <w:p w14:paraId="35E151AA"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weak</w:t>
            </w:r>
          </w:p>
        </w:tc>
        <w:tc>
          <w:tcPr>
            <w:tcW w:w="1800" w:type="dxa"/>
          </w:tcPr>
          <w:p w14:paraId="2006C79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360E31D6" w14:textId="77777777" w:rsidR="00DA176A" w:rsidRPr="00F32AE4" w:rsidRDefault="00DA176A" w:rsidP="00DA176A">
      <w:pPr>
        <w:spacing w:line="240" w:lineRule="auto"/>
        <w:jc w:val="both"/>
        <w:rPr>
          <w:rFonts w:ascii="Times New Roman" w:hAnsi="Times New Roman" w:cs="Times New Roman"/>
          <w:color w:val="000000" w:themeColor="text1"/>
          <w:sz w:val="24"/>
          <w:szCs w:val="24"/>
        </w:rPr>
      </w:pPr>
      <w:r w:rsidRPr="00F32AE4">
        <w:rPr>
          <w:rFonts w:ascii="Times New Roman" w:hAnsi="Times New Roman" w:cs="Times New Roman"/>
          <w:sz w:val="24"/>
          <w:szCs w:val="24"/>
        </w:rPr>
        <w:lastRenderedPageBreak/>
        <w:t>LD₅₀</w:t>
      </w:r>
      <w:r w:rsidRPr="00F32AE4">
        <w:rPr>
          <w:rFonts w:ascii="Times New Roman" w:hAnsi="Times New Roman" w:cs="Times New Roman"/>
          <w:color w:val="000000" w:themeColor="text1"/>
          <w:sz w:val="24"/>
          <w:szCs w:val="24"/>
        </w:rPr>
        <w:t xml:space="preserve">= √2900 × 5000 = √14500000 = </w:t>
      </w:r>
      <w:proofErr w:type="gramStart"/>
      <w:r w:rsidRPr="00F32AE4">
        <w:rPr>
          <w:rFonts w:ascii="Times New Roman" w:hAnsi="Times New Roman" w:cs="Times New Roman"/>
          <w:color w:val="000000" w:themeColor="text1"/>
          <w:sz w:val="24"/>
          <w:szCs w:val="24"/>
        </w:rPr>
        <w:t>3807.88655  ≈</w:t>
      </w:r>
      <w:proofErr w:type="gramEnd"/>
      <w:r w:rsidRPr="00F32AE4">
        <w:rPr>
          <w:rFonts w:ascii="Times New Roman" w:hAnsi="Times New Roman" w:cs="Times New Roman"/>
          <w:color w:val="000000" w:themeColor="text1"/>
          <w:sz w:val="24"/>
          <w:szCs w:val="24"/>
        </w:rPr>
        <w:t xml:space="preserve"> 3808mg/kg </w:t>
      </w:r>
      <w:proofErr w:type="spellStart"/>
      <w:r w:rsidRPr="00F32AE4">
        <w:rPr>
          <w:rFonts w:ascii="Times New Roman" w:hAnsi="Times New Roman" w:cs="Times New Roman"/>
          <w:color w:val="000000" w:themeColor="text1"/>
          <w:sz w:val="24"/>
          <w:szCs w:val="24"/>
        </w:rPr>
        <w:t>b.w.</w:t>
      </w:r>
      <w:proofErr w:type="spellEnd"/>
    </w:p>
    <w:p w14:paraId="599AA972" w14:textId="77777777" w:rsidR="00DA176A" w:rsidRPr="00F32AE4" w:rsidRDefault="00DA176A" w:rsidP="00DA176A">
      <w:pPr>
        <w:spacing w:after="0" w:line="240" w:lineRule="auto"/>
        <w:rPr>
          <w:rFonts w:ascii="Times New Roman" w:hAnsi="Times New Roman" w:cs="Times New Roman"/>
          <w:sz w:val="24"/>
          <w:szCs w:val="24"/>
        </w:rPr>
      </w:pPr>
    </w:p>
    <w:p w14:paraId="1D6357ED"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2. LD₅₀) of ethanol fraction of </w:t>
      </w:r>
      <w:r w:rsidRPr="00F32AE4">
        <w:rPr>
          <w:rStyle w:val="Emphasis"/>
          <w:rFonts w:ascii="Times New Roman" w:hAnsi="Times New Roman" w:cs="Times New Roman"/>
          <w:b/>
          <w:sz w:val="24"/>
          <w:szCs w:val="24"/>
        </w:rPr>
        <w:t>S acuta</w:t>
      </w:r>
      <w:r w:rsidRPr="00F32AE4">
        <w:rPr>
          <w:rFonts w:ascii="Times New Roman" w:hAnsi="Times New Roman" w:cs="Times New Roman"/>
          <w:b/>
          <w:sz w:val="24"/>
          <w:szCs w:val="24"/>
        </w:rPr>
        <w:t xml:space="preserve"> leaf extract</w:t>
      </w:r>
    </w:p>
    <w:tbl>
      <w:tblPr>
        <w:tblW w:w="6540" w:type="dxa"/>
        <w:tblInd w:w="48" w:type="dxa"/>
        <w:tblLayout w:type="fixed"/>
        <w:tblLook w:val="0000" w:firstRow="0" w:lastRow="0" w:firstColumn="0" w:lastColumn="0" w:noHBand="0" w:noVBand="0"/>
      </w:tblPr>
      <w:tblGrid>
        <w:gridCol w:w="2110"/>
        <w:gridCol w:w="2450"/>
        <w:gridCol w:w="1980"/>
      </w:tblGrid>
      <w:tr w:rsidR="00DA176A" w:rsidRPr="00F32AE4" w14:paraId="1ABB77EC" w14:textId="77777777" w:rsidTr="006B2731">
        <w:trPr>
          <w:trHeight w:val="368"/>
        </w:trPr>
        <w:tc>
          <w:tcPr>
            <w:tcW w:w="2110" w:type="dxa"/>
          </w:tcPr>
          <w:p w14:paraId="0730ECF4"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450" w:type="dxa"/>
          </w:tcPr>
          <w:p w14:paraId="7AFEF58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980" w:type="dxa"/>
          </w:tcPr>
          <w:p w14:paraId="221F02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129B6CC5" w14:textId="77777777" w:rsidTr="006B2731">
        <w:trPr>
          <w:trHeight w:val="377"/>
        </w:trPr>
        <w:tc>
          <w:tcPr>
            <w:tcW w:w="2110" w:type="dxa"/>
          </w:tcPr>
          <w:p w14:paraId="24F45F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450" w:type="dxa"/>
          </w:tcPr>
          <w:p w14:paraId="4DFF440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980" w:type="dxa"/>
          </w:tcPr>
          <w:p w14:paraId="54E28F2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613E90F1" w14:textId="77777777" w:rsidTr="006F02A9">
        <w:trPr>
          <w:trHeight w:val="477"/>
        </w:trPr>
        <w:tc>
          <w:tcPr>
            <w:tcW w:w="2110" w:type="dxa"/>
          </w:tcPr>
          <w:p w14:paraId="6FA8769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450" w:type="dxa"/>
          </w:tcPr>
          <w:p w14:paraId="2CDB55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980" w:type="dxa"/>
          </w:tcPr>
          <w:p w14:paraId="757D4149"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EA83F01" w14:textId="77777777" w:rsidTr="006B2731">
        <w:trPr>
          <w:trHeight w:val="404"/>
        </w:trPr>
        <w:tc>
          <w:tcPr>
            <w:tcW w:w="2110" w:type="dxa"/>
          </w:tcPr>
          <w:p w14:paraId="384B5E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w:t>
            </w:r>
          </w:p>
        </w:tc>
        <w:tc>
          <w:tcPr>
            <w:tcW w:w="2450" w:type="dxa"/>
          </w:tcPr>
          <w:p w14:paraId="3E73F12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00F7D4B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0163A33" w14:textId="77777777" w:rsidTr="006B2731">
        <w:trPr>
          <w:trHeight w:val="570"/>
        </w:trPr>
        <w:tc>
          <w:tcPr>
            <w:tcW w:w="2110" w:type="dxa"/>
          </w:tcPr>
          <w:p w14:paraId="5785F0F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450" w:type="dxa"/>
          </w:tcPr>
          <w:p w14:paraId="487B073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32D13CC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9B3FE27" w14:textId="77777777" w:rsidTr="006B2731">
        <w:trPr>
          <w:trHeight w:val="422"/>
        </w:trPr>
        <w:tc>
          <w:tcPr>
            <w:tcW w:w="2110" w:type="dxa"/>
          </w:tcPr>
          <w:p w14:paraId="0FC3731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Second phase</w:t>
            </w:r>
          </w:p>
        </w:tc>
        <w:tc>
          <w:tcPr>
            <w:tcW w:w="2450" w:type="dxa"/>
          </w:tcPr>
          <w:p w14:paraId="58224A63"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p>
        </w:tc>
        <w:tc>
          <w:tcPr>
            <w:tcW w:w="1980" w:type="dxa"/>
          </w:tcPr>
          <w:p w14:paraId="368C916E"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1696EA56" w14:textId="77777777" w:rsidTr="006B2731">
        <w:trPr>
          <w:trHeight w:val="240"/>
        </w:trPr>
        <w:tc>
          <w:tcPr>
            <w:tcW w:w="2110" w:type="dxa"/>
          </w:tcPr>
          <w:p w14:paraId="192A0C2A"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450" w:type="dxa"/>
          </w:tcPr>
          <w:p w14:paraId="7D21739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980" w:type="dxa"/>
          </w:tcPr>
          <w:p w14:paraId="075D0509"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1DA486A0" w14:textId="77777777" w:rsidTr="006B2731">
        <w:trPr>
          <w:trHeight w:val="370"/>
        </w:trPr>
        <w:tc>
          <w:tcPr>
            <w:tcW w:w="2110" w:type="dxa"/>
          </w:tcPr>
          <w:p w14:paraId="36A8A45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450" w:type="dxa"/>
          </w:tcPr>
          <w:p w14:paraId="7EB52877"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 before death</w:t>
            </w:r>
          </w:p>
        </w:tc>
        <w:tc>
          <w:tcPr>
            <w:tcW w:w="1980" w:type="dxa"/>
          </w:tcPr>
          <w:p w14:paraId="06DE6A6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r w:rsidR="00DA176A" w:rsidRPr="00F32AE4" w14:paraId="23632F95" w14:textId="77777777" w:rsidTr="006B2731">
        <w:trPr>
          <w:trHeight w:val="600"/>
        </w:trPr>
        <w:tc>
          <w:tcPr>
            <w:tcW w:w="2110" w:type="dxa"/>
          </w:tcPr>
          <w:p w14:paraId="4BCD6B1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450" w:type="dxa"/>
          </w:tcPr>
          <w:p w14:paraId="2292F9D9"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very weak, jerked and died</w:t>
            </w:r>
          </w:p>
        </w:tc>
        <w:tc>
          <w:tcPr>
            <w:tcW w:w="1980" w:type="dxa"/>
          </w:tcPr>
          <w:p w14:paraId="7B87CA2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2F2532E2" w14:textId="77777777" w:rsidR="00DA176A" w:rsidRPr="00F32AE4" w:rsidRDefault="00DA176A" w:rsidP="00DA176A">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sz w:val="24"/>
          <w:szCs w:val="24"/>
        </w:rPr>
        <w:t>LD₅₀</w:t>
      </w:r>
      <w:r w:rsidRPr="00F32AE4">
        <w:rPr>
          <w:rFonts w:ascii="Times New Roman" w:hAnsi="Times New Roman" w:cs="Times New Roman"/>
          <w:color w:val="000000" w:themeColor="text1"/>
          <w:sz w:val="24"/>
          <w:szCs w:val="24"/>
        </w:rPr>
        <w:t xml:space="preserve">= √1600 × 2900 = √4640000 = </w:t>
      </w:r>
      <w:proofErr w:type="gramStart"/>
      <w:r w:rsidRPr="00F32AE4">
        <w:rPr>
          <w:rFonts w:ascii="Times New Roman" w:hAnsi="Times New Roman" w:cs="Times New Roman"/>
          <w:color w:val="000000" w:themeColor="text1"/>
          <w:sz w:val="24"/>
          <w:szCs w:val="24"/>
        </w:rPr>
        <w:t>2154.0659  ≈</w:t>
      </w:r>
      <w:proofErr w:type="gramEnd"/>
      <w:r w:rsidRPr="00F32AE4">
        <w:rPr>
          <w:rFonts w:ascii="Times New Roman" w:hAnsi="Times New Roman" w:cs="Times New Roman"/>
          <w:color w:val="000000" w:themeColor="text1"/>
          <w:sz w:val="24"/>
          <w:szCs w:val="24"/>
        </w:rPr>
        <w:t xml:space="preserve"> 2154mg/kg </w:t>
      </w:r>
      <w:proofErr w:type="spellStart"/>
      <w:r w:rsidRPr="00F32AE4">
        <w:rPr>
          <w:rFonts w:ascii="Times New Roman" w:hAnsi="Times New Roman" w:cs="Times New Roman"/>
          <w:color w:val="000000" w:themeColor="text1"/>
          <w:sz w:val="24"/>
          <w:szCs w:val="24"/>
        </w:rPr>
        <w:t>b.w.</w:t>
      </w:r>
      <w:proofErr w:type="spellEnd"/>
    </w:p>
    <w:p w14:paraId="411DD414" w14:textId="77777777" w:rsidR="00DA176A" w:rsidRDefault="00DA176A">
      <w:pPr>
        <w:spacing w:after="80"/>
        <w:jc w:val="both"/>
      </w:pPr>
    </w:p>
    <w:p w14:paraId="305DE426" w14:textId="77777777" w:rsidR="004F2F84" w:rsidRDefault="006B2731">
      <w:pPr>
        <w:spacing w:before="120" w:after="80"/>
      </w:pPr>
      <w:r>
        <w:rPr>
          <w:b/>
          <w:sz w:val="22"/>
        </w:rPr>
        <w:t>3.3 Liver Function Parameters</w:t>
      </w:r>
    </w:p>
    <w:p w14:paraId="1D065A54" w14:textId="77777777" w:rsidR="00885705" w:rsidRPr="003B7B0C" w:rsidRDefault="006B2731" w:rsidP="003B7B0C">
      <w:pPr>
        <w:spacing w:after="80"/>
        <w:jc w:val="both"/>
      </w:pPr>
      <w:r>
        <w:t xml:space="preserve">The effects of the ethanol fractions on liver function parameters are shown in Table 3. </w:t>
      </w:r>
      <w:r w:rsidR="006728A6">
        <w:t xml:space="preserve">In the present study, the diabetic untreated rats showed marked elevations in ALT (80.50 ± 8.79 U/L), AST (41.25 ± 2.25 U/L), ALP (68.65 ± 11.89 U/L), direct bilirubin (1.32 ± 0.05 mg/dl), and total bilirubin (4.69 ± 0.52 mg/dl) relative to the normal control values of 56.50 ± 7.79 U/L, 27.00 ± 1.63 U/L, 22.08 ± 5.96 U/L, 0.99 ± 0.11 mg/dl, and 2.86 ± 0.22 mg/dl, respectively. </w:t>
      </w:r>
      <w:r>
        <w:t xml:space="preserve">The diabetic untreated group showed increased ALT, AST, ALP, and bilirubin values compared with the normal control group. Treatment with the extract fractions of </w:t>
      </w:r>
      <w:r w:rsidRPr="00AD2DE7">
        <w:rPr>
          <w:i/>
        </w:rPr>
        <w:t>Sida acuta</w:t>
      </w:r>
      <w:r>
        <w:t xml:space="preserve"> and </w:t>
      </w:r>
      <w:r w:rsidRPr="00AD2DE7">
        <w:rPr>
          <w:i/>
        </w:rPr>
        <w:t>Ficus exasperata</w:t>
      </w:r>
      <w:r>
        <w:t>, administered singly and in combination, improved these parameters relative to the diabetic untreated group. The combined extract groups showed evidence of hepatoprotective effect.</w:t>
      </w:r>
      <w:r w:rsidR="00915D78">
        <w:t xml:space="preserve"> </w:t>
      </w:r>
    </w:p>
    <w:p w14:paraId="17C3F7CC"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54061830" w14:textId="77777777" w:rsidR="00A34D33" w:rsidRDefault="00A34D33" w:rsidP="00A34D33">
      <w:pPr>
        <w:spacing w:after="80"/>
        <w:jc w:val="both"/>
      </w:pPr>
      <w:r>
        <w:t xml:space="preserve">The diabetic untreated rats showed marked elevations in ALT (80.50 ± 8.79 U/L), AST (41.25 ± 2.25 U/L), ALP (68.65 ± 11.89 U/L), direct bilirubin (1.32 ± 0.05 mg/dl), and total bilirubin (4.69 ± 0.52 mg/dl) when compared to the normal control values of 56.50 ± 7.79 U/L, 27.00 ± 1.63 U/L, 22.08 ± 5.96 U/L, 0.99 ± 0.11 mg/dl, and 2.86 ± 0.22 mg/dl, respectively. This indicates that alloxan induced diabetes was associated with liver dysfunction. Similar increases in serum transaminases, ALP, and bilirubin have been reported in diabetic rats and are generally interpreted as evidence of hepatic injury secondary to oxidative stress and metabolic imbalance [18].The liver function data show that induction of diabetes with alloxan caused clear hepatic disturbance, as seen in the diabetic untreated group, which had higher serum ALT, AST, ALP, direct bilirubin, and total bilirubin than the normal control group. This suggests hepatocellular injury and impaired hepatobiliary function. In experimental diabetes, persistent </w:t>
      </w:r>
      <w:proofErr w:type="spellStart"/>
      <w:r>
        <w:t>hyperglycaemia</w:t>
      </w:r>
      <w:proofErr w:type="spellEnd"/>
      <w:r>
        <w:t xml:space="preserve"> promotes oxidative stress, lipid peroxidation, inflammation, and membrane damage in hepatocytes, which increases leakage of intracellular enzymes such as ALT and AST into circulation, while elevated ALP and bilirubin may reflect biliary dysfunction and reduced hepatic clearance capacity. These changes are well documented in alloxan-induced diabetic models [19].Treatment with </w:t>
      </w:r>
      <w:proofErr w:type="spellStart"/>
      <w:r>
        <w:t>glibenclamide</w:t>
      </w:r>
      <w:proofErr w:type="spellEnd"/>
      <w:r>
        <w:t xml:space="preserve"> improved the liver indices compared with the diabetic untreated group, especially AST, ALP, and bilirubin, although most parameters did not fully return to normal. This agrees with the expected effect of standard antidiabetic therapy, where </w:t>
      </w:r>
      <w:proofErr w:type="spellStart"/>
      <w:r>
        <w:t>glycaemic</w:t>
      </w:r>
      <w:proofErr w:type="spellEnd"/>
      <w:r>
        <w:t xml:space="preserve"> control </w:t>
      </w:r>
      <w:r>
        <w:lastRenderedPageBreak/>
        <w:t xml:space="preserve">reduces the metabolic burden on the liver and limits further tissue injury [20]. The ethanol fraction of </w:t>
      </w:r>
      <w:r>
        <w:rPr>
          <w:rStyle w:val="Emphasis"/>
        </w:rPr>
        <w:t>Sida acuta</w:t>
      </w:r>
      <w:r>
        <w:t xml:space="preserve"> showed evidence of hepatoprotection, but the effect was dependent on the parameter.  At 200 mg/kg, ALT was reduced to 61.75 ± 11.56 U/L, which was closer to the normal control than the diabetic untreated group, suggesting better protection against hepatocellular leakage. AST also decreased to 31.25 ± 1.84 U/L, and total bilirubin declined to 3.48 ± 0.34 mg/dl. At 400 mg/kg, the effect on AST and ALP was more visible, with AST at 29.25 ± 2.78 U/L and ALP at 26.90 ± 0.70 U/L, both approaching normal values, while direct bilirubin also improved to 1.19 ± 0.01 mg/dl. These findings suggest that </w:t>
      </w:r>
      <w:r>
        <w:rPr>
          <w:rStyle w:val="Emphasis"/>
        </w:rPr>
        <w:t>Sida acuta</w:t>
      </w:r>
      <w:r>
        <w:t xml:space="preserve"> may improve hepatocyte membranes and biliary pigments, likely through antioxidant phytochemicals such as flavonoids and phenolics. However, the ALT value at 400 mg/kg remained relatively high, indicating that the hepatoprotective effect may not be uniform across all liver biomarkers and may indicate that it offers better protection in the liver at low dosage. Experimental work has shown that </w:t>
      </w:r>
      <w:r>
        <w:rPr>
          <w:rStyle w:val="Emphasis"/>
        </w:rPr>
        <w:t>Sida acuta</w:t>
      </w:r>
      <w:r>
        <w:t xml:space="preserve"> possesses antioxidant and hepatoprotective activity, supporting this interpretation [21].The ethanol fraction of </w:t>
      </w:r>
      <w:r>
        <w:rPr>
          <w:rStyle w:val="Emphasis"/>
        </w:rPr>
        <w:t xml:space="preserve">Ficus </w:t>
      </w:r>
      <w:proofErr w:type="spellStart"/>
      <w:r>
        <w:rPr>
          <w:rStyle w:val="Emphasis"/>
        </w:rPr>
        <w:t>exasperata</w:t>
      </w:r>
      <w:proofErr w:type="spellEnd"/>
      <w:r>
        <w:t xml:space="preserve"> also improved several liver function parameters, though not uniformly. At 200 mg/kg, ALP fell markedly to 25.53 ± 5.56 U/L and total bilirubin to 3.21 ± 0.20 mg/dl, showing improved hepatobiliary status, while AST also decreased to 31.25 ± 1.84 U/L. At 400 mg/kg, direct bilirubin was further reduced to 1.17 ± 0.10 mg/dl and total bilirubin to 3.09 ± 0.51 mg/dl, which were among the best bilirubin values observed among the treated groups. However, ALT remained high in both </w:t>
      </w:r>
      <w:r>
        <w:rPr>
          <w:rStyle w:val="Emphasis"/>
        </w:rPr>
        <w:t xml:space="preserve">Ficus </w:t>
      </w:r>
      <w:proofErr w:type="spellStart"/>
      <w:r>
        <w:rPr>
          <w:rStyle w:val="Emphasis"/>
        </w:rPr>
        <w:t>exasperata</w:t>
      </w:r>
      <w:proofErr w:type="spellEnd"/>
      <w:r>
        <w:t xml:space="preserve"> groups, and ALP rose again at 400 mg/kg. This suggests that </w:t>
      </w:r>
      <w:r>
        <w:rPr>
          <w:rStyle w:val="Emphasis"/>
        </w:rPr>
        <w:t xml:space="preserve">Ficus </w:t>
      </w:r>
      <w:proofErr w:type="spellStart"/>
      <w:r>
        <w:rPr>
          <w:rStyle w:val="Emphasis"/>
        </w:rPr>
        <w:t>exasperata</w:t>
      </w:r>
      <w:proofErr w:type="spellEnd"/>
      <w:r>
        <w:t xml:space="preserve"> may have exerted stronger effects on biliary function and oxidative injury. Though the impact of alloxan elevated the ALT, but it was still lower compared to the diabetic untreated. This interpretation is consistent with published evidence that ethanolic extract of </w:t>
      </w:r>
      <w:r>
        <w:rPr>
          <w:rStyle w:val="Emphasis"/>
        </w:rPr>
        <w:t xml:space="preserve">Ficus </w:t>
      </w:r>
      <w:proofErr w:type="spellStart"/>
      <w:r>
        <w:rPr>
          <w:rStyle w:val="Emphasis"/>
        </w:rPr>
        <w:t>exasperata</w:t>
      </w:r>
      <w:proofErr w:type="spellEnd"/>
      <w:r>
        <w:t xml:space="preserve"> has hepatoprotective and antioxidant effects in liver injury models [21].</w:t>
      </w:r>
    </w:p>
    <w:p w14:paraId="08DAC36E" w14:textId="77777777" w:rsidR="00885705" w:rsidRDefault="00A34D33" w:rsidP="00A34D33">
      <w:pPr>
        <w:spacing w:after="0" w:line="240" w:lineRule="auto"/>
        <w:jc w:val="both"/>
      </w:pPr>
      <w:r>
        <w:t xml:space="preserve">The combined treatment of </w:t>
      </w:r>
      <w:r>
        <w:rPr>
          <w:rStyle w:val="Emphasis"/>
        </w:rPr>
        <w:t>Sida acuta</w:t>
      </w:r>
      <w:r>
        <w:t xml:space="preserve"> and </w:t>
      </w:r>
      <w:r>
        <w:rPr>
          <w:rStyle w:val="Emphasis"/>
        </w:rPr>
        <w:t xml:space="preserve">Ficus </w:t>
      </w:r>
      <w:proofErr w:type="spellStart"/>
      <w:r>
        <w:rPr>
          <w:rStyle w:val="Emphasis"/>
        </w:rPr>
        <w:t>exasperata</w:t>
      </w:r>
      <w:proofErr w:type="spellEnd"/>
      <w:r>
        <w:t xml:space="preserve"> did not demonstrate a higher effect over the single extracts. Although the 200 mg/kg combination reduced ALP to 26.22 ± 2.87 U/L and direct bilirubin to 1.20 ± 0.14 mg/dl, AST remained high at 39.00 ± 4.24 U/L and total bilirubin was still elevated at 4.24 ± 0.05 mg/dl. At 400 mg/kg, the combination produced an ALT value of 83.00 ± 4.49 U/L, which was even higher than the diabetic untreated group, and direct bilirubin rose to 1.48 ± 0.09 mg/dl. These findings do not support a strong synergistic hepatoprotective interaction at the tested doses. Instead, the data suggest that combining the two extracts may have weakened the beneficial effect seen with some single-extract treatments for specific markers. This is important because combined herbal therapy does not always produce additive benefits; interactions among phytochemicals can alter absorption, metabolism, or biological activity [21]. The results indicate that alloxan-induced diabetes impaired liver function, while treatment with the ethanol fractions of </w:t>
      </w:r>
      <w:r>
        <w:rPr>
          <w:rStyle w:val="Emphasis"/>
        </w:rPr>
        <w:t>Sida acuta</w:t>
      </w:r>
      <w:r>
        <w:t xml:space="preserve"> and </w:t>
      </w:r>
      <w:r>
        <w:rPr>
          <w:rStyle w:val="Emphasis"/>
        </w:rPr>
        <w:t xml:space="preserve">Ficus </w:t>
      </w:r>
      <w:proofErr w:type="spellStart"/>
      <w:r>
        <w:rPr>
          <w:rStyle w:val="Emphasis"/>
        </w:rPr>
        <w:t>exasperata</w:t>
      </w:r>
      <w:proofErr w:type="spellEnd"/>
      <w:r>
        <w:t xml:space="preserve"> partially ameliorated these abnormalities. Among the single treatments, </w:t>
      </w:r>
      <w:r>
        <w:rPr>
          <w:rStyle w:val="Emphasis"/>
        </w:rPr>
        <w:t>Sida acuta</w:t>
      </w:r>
      <w:r>
        <w:t xml:space="preserve"> appeared more favourable for </w:t>
      </w:r>
      <w:proofErr w:type="gramStart"/>
      <w:r>
        <w:t>improving  ALT</w:t>
      </w:r>
      <w:proofErr w:type="gramEnd"/>
      <w:r>
        <w:t xml:space="preserve">, AST, and ALP at some doses, whereas </w:t>
      </w:r>
      <w:r>
        <w:rPr>
          <w:rStyle w:val="Emphasis"/>
        </w:rPr>
        <w:t xml:space="preserve">Ficus </w:t>
      </w:r>
      <w:proofErr w:type="spellStart"/>
      <w:r>
        <w:rPr>
          <w:rStyle w:val="Emphasis"/>
        </w:rPr>
        <w:t>exasperata</w:t>
      </w:r>
      <w:proofErr w:type="spellEnd"/>
      <w:r>
        <w:t xml:space="preserve"> appeared particularly beneficial for bilirubin reduction. The combination treatment was less consistent and did not outperform the individual extracts. The hepatoprotective effects observed are likely related to </w:t>
      </w:r>
      <w:proofErr w:type="gramStart"/>
      <w:r>
        <w:t>phytochemical,  antioxidant</w:t>
      </w:r>
      <w:proofErr w:type="gramEnd"/>
      <w:r>
        <w:t xml:space="preserve"> activity, reduction of oxidative stress, and stabilization of hepatocyte integrity [22].</w:t>
      </w:r>
      <w:r>
        <w:rPr>
          <w:rFonts w:cs="Arial"/>
          <w:b/>
          <w:color w:val="1B1B1B"/>
          <w:shd w:val="clear" w:color="auto" w:fill="FFFFFF"/>
        </w:rPr>
        <w:t xml:space="preserve"> </w:t>
      </w:r>
      <w:r>
        <w:t xml:space="preserve">The values obtained for the ethanol extracts of </w:t>
      </w:r>
      <w:r w:rsidRPr="007948CB">
        <w:rPr>
          <w:i/>
        </w:rPr>
        <w:t xml:space="preserve">Ficus </w:t>
      </w:r>
      <w:proofErr w:type="spellStart"/>
      <w:r w:rsidRPr="007948CB">
        <w:rPr>
          <w:i/>
        </w:rPr>
        <w:t>exasperata</w:t>
      </w:r>
      <w:proofErr w:type="spellEnd"/>
      <w:r>
        <w:t xml:space="preserve"> and </w:t>
      </w:r>
      <w:r w:rsidRPr="007948CB">
        <w:rPr>
          <w:i/>
        </w:rPr>
        <w:t>Sida acuta</w:t>
      </w:r>
      <w:r>
        <w:t xml:space="preserve"> suggest its safe use at the experimental doses used in this study suggesting hepatoprotective activity. This effect may be linked to antioxidant phytoconstituents, including flavonoids and phenolic compounds [18,23-25].</w:t>
      </w:r>
    </w:p>
    <w:p w14:paraId="4B880C35" w14:textId="77777777" w:rsidR="00C44821" w:rsidRDefault="00C44821" w:rsidP="00A34D33">
      <w:pPr>
        <w:spacing w:after="0" w:line="240" w:lineRule="auto"/>
        <w:jc w:val="both"/>
      </w:pPr>
    </w:p>
    <w:p w14:paraId="3D491E67" w14:textId="77777777" w:rsidR="00C44821" w:rsidRDefault="00C44821" w:rsidP="00A34D33">
      <w:pPr>
        <w:spacing w:after="0" w:line="240" w:lineRule="auto"/>
        <w:jc w:val="both"/>
      </w:pPr>
    </w:p>
    <w:p w14:paraId="39202465" w14:textId="77777777" w:rsidR="00C44821" w:rsidRDefault="00C44821" w:rsidP="00A34D33">
      <w:pPr>
        <w:spacing w:after="0" w:line="240" w:lineRule="auto"/>
        <w:jc w:val="both"/>
      </w:pPr>
    </w:p>
    <w:p w14:paraId="2120FB67" w14:textId="77777777" w:rsidR="00C44821" w:rsidRDefault="00C44821" w:rsidP="00A34D33">
      <w:pPr>
        <w:spacing w:after="0" w:line="240" w:lineRule="auto"/>
        <w:jc w:val="both"/>
      </w:pPr>
    </w:p>
    <w:p w14:paraId="0959678D" w14:textId="77777777" w:rsidR="00C44821" w:rsidRDefault="00C44821" w:rsidP="00A34D33">
      <w:pPr>
        <w:spacing w:after="0" w:line="240" w:lineRule="auto"/>
        <w:jc w:val="both"/>
      </w:pPr>
    </w:p>
    <w:p w14:paraId="45E64A7D" w14:textId="77777777" w:rsidR="00C44821" w:rsidRDefault="00C44821" w:rsidP="00A34D33">
      <w:pPr>
        <w:spacing w:after="0" w:line="240" w:lineRule="auto"/>
        <w:jc w:val="both"/>
      </w:pPr>
    </w:p>
    <w:p w14:paraId="2EC47514" w14:textId="77777777" w:rsidR="00C44821" w:rsidRDefault="00C44821" w:rsidP="00A34D33">
      <w:pPr>
        <w:spacing w:after="0" w:line="240" w:lineRule="auto"/>
        <w:jc w:val="both"/>
      </w:pPr>
    </w:p>
    <w:p w14:paraId="41CC47AC" w14:textId="77777777" w:rsidR="00C44821" w:rsidRDefault="00C44821" w:rsidP="00A34D33">
      <w:pPr>
        <w:spacing w:after="0" w:line="240" w:lineRule="auto"/>
        <w:jc w:val="both"/>
      </w:pPr>
    </w:p>
    <w:p w14:paraId="54E66F4B" w14:textId="77777777" w:rsidR="00C44821" w:rsidRDefault="00C44821" w:rsidP="00A34D33">
      <w:pPr>
        <w:spacing w:after="0" w:line="240" w:lineRule="auto"/>
        <w:jc w:val="both"/>
      </w:pPr>
    </w:p>
    <w:p w14:paraId="274879F9" w14:textId="77777777" w:rsidR="00C44821" w:rsidRDefault="00C44821" w:rsidP="00A34D33">
      <w:pPr>
        <w:spacing w:after="0" w:line="240" w:lineRule="auto"/>
        <w:jc w:val="both"/>
      </w:pPr>
    </w:p>
    <w:p w14:paraId="227C0440" w14:textId="77777777" w:rsidR="00C44821" w:rsidRDefault="00C44821" w:rsidP="00A34D33">
      <w:pPr>
        <w:spacing w:after="0" w:line="240" w:lineRule="auto"/>
        <w:jc w:val="both"/>
        <w:rPr>
          <w:rFonts w:ascii="Times New Roman" w:hAnsi="Times New Roman" w:cs="Times New Roman"/>
          <w:b/>
          <w:bCs/>
          <w:color w:val="000000" w:themeColor="text1"/>
          <w:sz w:val="24"/>
          <w:szCs w:val="24"/>
        </w:rPr>
      </w:pPr>
    </w:p>
    <w:p w14:paraId="0ABBC6F9"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60CCE904" w14:textId="77777777" w:rsidR="006F02A9" w:rsidRPr="00A34D33" w:rsidRDefault="00B53BA0" w:rsidP="00A34D33">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bCs/>
          <w:color w:val="000000" w:themeColor="text1"/>
          <w:sz w:val="24"/>
          <w:szCs w:val="24"/>
        </w:rPr>
        <w:lastRenderedPageBreak/>
        <w:t>Table3:</w:t>
      </w:r>
      <w:r w:rsidRPr="00F32AE4">
        <w:rPr>
          <w:rFonts w:ascii="Times New Roman" w:hAnsi="Times New Roman" w:cs="Times New Roman"/>
          <w:color w:val="000000" w:themeColor="text1"/>
          <w:sz w:val="24"/>
          <w:szCs w:val="24"/>
        </w:rPr>
        <w:t xml:space="preserve"> </w:t>
      </w:r>
      <w:r w:rsidR="00A34D33">
        <w:rPr>
          <w:rFonts w:ascii="Times New Roman" w:hAnsi="Times New Roman" w:cs="Times New Roman"/>
          <w:b/>
          <w:color w:val="000000" w:themeColor="text1"/>
          <w:sz w:val="24"/>
          <w:szCs w:val="24"/>
        </w:rPr>
        <w:t>E</w:t>
      </w:r>
      <w:r w:rsidRPr="00F32AE4">
        <w:rPr>
          <w:rFonts w:ascii="Times New Roman" w:hAnsi="Times New Roman" w:cs="Times New Roman"/>
          <w:b/>
          <w:color w:val="000000" w:themeColor="text1"/>
          <w:sz w:val="24"/>
          <w:szCs w:val="24"/>
        </w:rPr>
        <w:t xml:space="preserve">thanol Fraction of </w:t>
      </w:r>
      <w:r w:rsidRPr="00F32AE4">
        <w:rPr>
          <w:rFonts w:ascii="Times New Roman" w:hAnsi="Times New Roman" w:cs="Times New Roman"/>
          <w:b/>
          <w:i/>
          <w:iCs/>
          <w:color w:val="000000" w:themeColor="text1"/>
          <w:sz w:val="24"/>
          <w:szCs w:val="24"/>
        </w:rPr>
        <w:t>S. acuta</w:t>
      </w:r>
      <w:r w:rsidRPr="00F32AE4">
        <w:rPr>
          <w:rFonts w:ascii="Times New Roman" w:hAnsi="Times New Roman" w:cs="Times New Roman"/>
          <w:b/>
          <w:color w:val="000000" w:themeColor="text1"/>
          <w:sz w:val="24"/>
          <w:szCs w:val="24"/>
        </w:rPr>
        <w:t xml:space="preserve"> and </w:t>
      </w:r>
      <w:r w:rsidRPr="00F32AE4">
        <w:rPr>
          <w:rFonts w:ascii="Times New Roman" w:hAnsi="Times New Roman" w:cs="Times New Roman"/>
          <w:b/>
          <w:i/>
          <w:iCs/>
          <w:color w:val="000000" w:themeColor="text1"/>
          <w:sz w:val="24"/>
          <w:szCs w:val="24"/>
        </w:rPr>
        <w:t xml:space="preserve">F. </w:t>
      </w:r>
      <w:proofErr w:type="spellStart"/>
      <w:r w:rsidRPr="00F32AE4">
        <w:rPr>
          <w:rFonts w:ascii="Times New Roman" w:hAnsi="Times New Roman" w:cs="Times New Roman"/>
          <w:b/>
          <w:i/>
          <w:iCs/>
          <w:color w:val="000000" w:themeColor="text1"/>
          <w:sz w:val="24"/>
          <w:szCs w:val="24"/>
        </w:rPr>
        <w:t>exasperata</w:t>
      </w:r>
      <w:proofErr w:type="spellEnd"/>
      <w:r w:rsidRPr="00F32AE4">
        <w:rPr>
          <w:rFonts w:ascii="Times New Roman" w:hAnsi="Times New Roman" w:cs="Times New Roman"/>
          <w:b/>
          <w:color w:val="000000" w:themeColor="text1"/>
          <w:sz w:val="24"/>
          <w:szCs w:val="24"/>
        </w:rPr>
        <w:t xml:space="preserve"> on </w:t>
      </w:r>
      <w:proofErr w:type="gramStart"/>
      <w:r w:rsidRPr="00F32AE4">
        <w:rPr>
          <w:rFonts w:ascii="Times New Roman" w:hAnsi="Times New Roman" w:cs="Times New Roman"/>
          <w:b/>
          <w:color w:val="000000" w:themeColor="text1"/>
          <w:sz w:val="24"/>
          <w:szCs w:val="24"/>
        </w:rPr>
        <w:t>liver  function</w:t>
      </w:r>
      <w:proofErr w:type="gramEnd"/>
      <w:r w:rsidRPr="00F32AE4">
        <w:rPr>
          <w:rFonts w:ascii="Times New Roman" w:hAnsi="Times New Roman" w:cs="Times New Roman"/>
          <w:b/>
          <w:color w:val="000000" w:themeColor="text1"/>
          <w:sz w:val="24"/>
          <w:szCs w:val="24"/>
        </w:rPr>
        <w:t xml:space="preserve"> parameters of</w:t>
      </w:r>
      <w:r w:rsidR="00A34D33">
        <w:rPr>
          <w:rFonts w:ascii="Times New Roman" w:hAnsi="Times New Roman" w:cs="Times New Roman"/>
          <w:b/>
          <w:color w:val="000000" w:themeColor="text1"/>
          <w:sz w:val="24"/>
          <w:szCs w:val="24"/>
        </w:rPr>
        <w:t xml:space="preserve"> alloxan induced diabetic Rats</w:t>
      </w:r>
      <w:r w:rsidR="006F02A9" w:rsidRPr="007011BD">
        <w:rPr>
          <w:rFonts w:cs="Arial"/>
          <w:b/>
          <w:color w:val="000000" w:themeColor="text1"/>
          <w:szCs w:val="20"/>
        </w:rPr>
        <w:t>.</w:t>
      </w:r>
    </w:p>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7"/>
        <w:gridCol w:w="1633"/>
        <w:gridCol w:w="1440"/>
        <w:gridCol w:w="1800"/>
        <w:gridCol w:w="1710"/>
        <w:gridCol w:w="1710"/>
      </w:tblGrid>
      <w:tr w:rsidR="006F02A9" w:rsidRPr="007011BD" w14:paraId="0559A0FC" w14:textId="77777777" w:rsidTr="00314CD6">
        <w:trPr>
          <w:trHeight w:val="170"/>
        </w:trPr>
        <w:tc>
          <w:tcPr>
            <w:tcW w:w="2507" w:type="dxa"/>
          </w:tcPr>
          <w:p w14:paraId="30141EE3" w14:textId="77777777" w:rsidR="006F02A9" w:rsidRPr="007011BD" w:rsidRDefault="006F02A9" w:rsidP="00314CD6">
            <w:pPr>
              <w:jc w:val="both"/>
              <w:rPr>
                <w:rFonts w:cs="Arial"/>
                <w:b/>
                <w:bCs/>
                <w:color w:val="000000" w:themeColor="text1"/>
                <w:szCs w:val="20"/>
              </w:rPr>
            </w:pPr>
          </w:p>
          <w:p w14:paraId="0EF1BB8A" w14:textId="77777777" w:rsidR="006F02A9" w:rsidRPr="007011BD" w:rsidRDefault="006F02A9" w:rsidP="00314CD6">
            <w:pPr>
              <w:jc w:val="both"/>
              <w:rPr>
                <w:rFonts w:cs="Arial"/>
                <w:b/>
                <w:bCs/>
                <w:color w:val="000000" w:themeColor="text1"/>
                <w:szCs w:val="20"/>
              </w:rPr>
            </w:pPr>
          </w:p>
          <w:p w14:paraId="6AB46523"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GROUPS</w:t>
            </w:r>
          </w:p>
        </w:tc>
        <w:tc>
          <w:tcPr>
            <w:tcW w:w="1633" w:type="dxa"/>
          </w:tcPr>
          <w:p w14:paraId="2598DEE9" w14:textId="77777777" w:rsidR="006F02A9" w:rsidRPr="007011BD" w:rsidRDefault="006F02A9" w:rsidP="00314CD6">
            <w:pPr>
              <w:jc w:val="both"/>
              <w:rPr>
                <w:rFonts w:cs="Arial"/>
                <w:b/>
                <w:bCs/>
                <w:color w:val="000000" w:themeColor="text1"/>
                <w:szCs w:val="20"/>
              </w:rPr>
            </w:pPr>
          </w:p>
          <w:p w14:paraId="74AC5966" w14:textId="77777777" w:rsidR="006F02A9" w:rsidRPr="007011BD" w:rsidRDefault="006F02A9" w:rsidP="00314CD6">
            <w:pPr>
              <w:jc w:val="both"/>
              <w:rPr>
                <w:rFonts w:cs="Arial"/>
                <w:b/>
                <w:bCs/>
                <w:color w:val="000000" w:themeColor="text1"/>
                <w:szCs w:val="20"/>
              </w:rPr>
            </w:pPr>
          </w:p>
          <w:p w14:paraId="12EE863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ALT (U/L)</w:t>
            </w:r>
          </w:p>
        </w:tc>
        <w:tc>
          <w:tcPr>
            <w:tcW w:w="1440" w:type="dxa"/>
          </w:tcPr>
          <w:p w14:paraId="639F654F" w14:textId="77777777" w:rsidR="006F02A9" w:rsidRPr="007011BD" w:rsidRDefault="006F02A9" w:rsidP="00314CD6">
            <w:pPr>
              <w:jc w:val="both"/>
              <w:rPr>
                <w:rFonts w:cs="Arial"/>
                <w:b/>
                <w:bCs/>
                <w:color w:val="000000" w:themeColor="text1"/>
                <w:szCs w:val="20"/>
              </w:rPr>
            </w:pPr>
          </w:p>
          <w:p w14:paraId="74FE8188" w14:textId="77777777" w:rsidR="006F02A9" w:rsidRPr="007011BD" w:rsidRDefault="006F02A9" w:rsidP="00314CD6">
            <w:pPr>
              <w:jc w:val="both"/>
              <w:rPr>
                <w:rFonts w:cs="Arial"/>
                <w:b/>
                <w:bCs/>
                <w:color w:val="000000" w:themeColor="text1"/>
                <w:szCs w:val="20"/>
              </w:rPr>
            </w:pPr>
          </w:p>
          <w:p w14:paraId="62BC259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AST (U/L)</w:t>
            </w:r>
          </w:p>
        </w:tc>
        <w:tc>
          <w:tcPr>
            <w:tcW w:w="1800" w:type="dxa"/>
          </w:tcPr>
          <w:p w14:paraId="66FAA39D" w14:textId="77777777" w:rsidR="006F02A9" w:rsidRPr="007011BD" w:rsidRDefault="006F02A9" w:rsidP="00314CD6">
            <w:pPr>
              <w:jc w:val="both"/>
              <w:rPr>
                <w:rFonts w:cs="Arial"/>
                <w:b/>
                <w:bCs/>
                <w:color w:val="000000" w:themeColor="text1"/>
                <w:szCs w:val="20"/>
              </w:rPr>
            </w:pPr>
          </w:p>
          <w:p w14:paraId="386399C0" w14:textId="77777777" w:rsidR="006F02A9" w:rsidRPr="007011BD" w:rsidRDefault="006F02A9" w:rsidP="00314CD6">
            <w:pPr>
              <w:jc w:val="both"/>
              <w:rPr>
                <w:rFonts w:cs="Arial"/>
                <w:b/>
                <w:bCs/>
                <w:color w:val="000000" w:themeColor="text1"/>
                <w:szCs w:val="20"/>
              </w:rPr>
            </w:pPr>
          </w:p>
          <w:p w14:paraId="600E1AD0"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ALP (U/L)</w:t>
            </w:r>
          </w:p>
        </w:tc>
        <w:tc>
          <w:tcPr>
            <w:tcW w:w="1710" w:type="dxa"/>
          </w:tcPr>
          <w:p w14:paraId="18278305" w14:textId="77777777" w:rsidR="006F02A9" w:rsidRPr="007011BD" w:rsidRDefault="006F02A9" w:rsidP="00314CD6">
            <w:pPr>
              <w:jc w:val="both"/>
              <w:rPr>
                <w:rFonts w:cs="Arial"/>
                <w:b/>
                <w:bCs/>
                <w:color w:val="000000" w:themeColor="text1"/>
                <w:szCs w:val="20"/>
              </w:rPr>
            </w:pPr>
          </w:p>
          <w:p w14:paraId="3EDA080B" w14:textId="77777777" w:rsidR="006F02A9" w:rsidRPr="007011BD" w:rsidRDefault="006F02A9" w:rsidP="00314CD6">
            <w:pPr>
              <w:ind w:right="-198"/>
              <w:jc w:val="both"/>
              <w:rPr>
                <w:rFonts w:cs="Arial"/>
                <w:b/>
                <w:bCs/>
                <w:color w:val="000000" w:themeColor="text1"/>
                <w:szCs w:val="20"/>
              </w:rPr>
            </w:pPr>
            <w:r w:rsidRPr="007011BD">
              <w:rPr>
                <w:rFonts w:cs="Arial"/>
                <w:b/>
                <w:bCs/>
                <w:color w:val="000000" w:themeColor="text1"/>
                <w:szCs w:val="20"/>
              </w:rPr>
              <w:t>Direct Bilirubin (mg/dl)</w:t>
            </w:r>
          </w:p>
        </w:tc>
        <w:tc>
          <w:tcPr>
            <w:tcW w:w="1710" w:type="dxa"/>
          </w:tcPr>
          <w:p w14:paraId="4D7374CC" w14:textId="77777777" w:rsidR="006F02A9" w:rsidRPr="007011BD" w:rsidRDefault="006F02A9" w:rsidP="00314CD6">
            <w:pPr>
              <w:ind w:right="2109"/>
              <w:jc w:val="both"/>
              <w:rPr>
                <w:rFonts w:cs="Arial"/>
                <w:b/>
                <w:bCs/>
                <w:color w:val="000000" w:themeColor="text1"/>
                <w:szCs w:val="20"/>
              </w:rPr>
            </w:pPr>
          </w:p>
          <w:p w14:paraId="6154980A" w14:textId="77777777" w:rsidR="006F02A9" w:rsidRPr="007011BD" w:rsidRDefault="006F02A9" w:rsidP="00314CD6">
            <w:pPr>
              <w:tabs>
                <w:tab w:val="left" w:pos="1242"/>
              </w:tabs>
              <w:ind w:right="522"/>
              <w:jc w:val="both"/>
              <w:rPr>
                <w:rFonts w:cs="Arial"/>
                <w:b/>
                <w:bCs/>
                <w:color w:val="000000" w:themeColor="text1"/>
                <w:szCs w:val="20"/>
              </w:rPr>
            </w:pPr>
            <w:r w:rsidRPr="007011BD">
              <w:rPr>
                <w:rFonts w:cs="Arial"/>
                <w:b/>
                <w:bCs/>
                <w:color w:val="000000" w:themeColor="text1"/>
                <w:szCs w:val="20"/>
              </w:rPr>
              <w:t>Total Bilirubin (mg/dl)</w:t>
            </w:r>
          </w:p>
        </w:tc>
      </w:tr>
      <w:tr w:rsidR="006F02A9" w:rsidRPr="007011BD" w14:paraId="3D5A466A" w14:textId="77777777" w:rsidTr="00314CD6">
        <w:tc>
          <w:tcPr>
            <w:tcW w:w="2507" w:type="dxa"/>
          </w:tcPr>
          <w:p w14:paraId="5A81A5D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A: Normal control</w:t>
            </w:r>
          </w:p>
        </w:tc>
        <w:tc>
          <w:tcPr>
            <w:tcW w:w="1633" w:type="dxa"/>
          </w:tcPr>
          <w:p w14:paraId="3AC4B93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56.50 ± 7.79</w:t>
            </w:r>
          </w:p>
        </w:tc>
        <w:tc>
          <w:tcPr>
            <w:tcW w:w="1440" w:type="dxa"/>
          </w:tcPr>
          <w:p w14:paraId="280374F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27.00 ± 1.63</w:t>
            </w:r>
          </w:p>
        </w:tc>
        <w:tc>
          <w:tcPr>
            <w:tcW w:w="1800" w:type="dxa"/>
          </w:tcPr>
          <w:p w14:paraId="27A9E6D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22.08 ± 5.96</w:t>
            </w:r>
          </w:p>
        </w:tc>
        <w:tc>
          <w:tcPr>
            <w:tcW w:w="1710" w:type="dxa"/>
          </w:tcPr>
          <w:p w14:paraId="3C0A97A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0.99 ± 0.11</w:t>
            </w:r>
          </w:p>
        </w:tc>
        <w:tc>
          <w:tcPr>
            <w:tcW w:w="1710" w:type="dxa"/>
          </w:tcPr>
          <w:p w14:paraId="7D68ED0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2.86 ± 0.22</w:t>
            </w:r>
          </w:p>
        </w:tc>
      </w:tr>
      <w:tr w:rsidR="006F02A9" w:rsidRPr="007011BD" w14:paraId="7C4279B3" w14:textId="77777777" w:rsidTr="00314CD6">
        <w:tc>
          <w:tcPr>
            <w:tcW w:w="2507" w:type="dxa"/>
          </w:tcPr>
          <w:p w14:paraId="4B4C29BF"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B: Diabetic untreated</w:t>
            </w:r>
          </w:p>
        </w:tc>
        <w:tc>
          <w:tcPr>
            <w:tcW w:w="1633" w:type="dxa"/>
          </w:tcPr>
          <w:p w14:paraId="43EA6B0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80.50 ± 8.79a</w:t>
            </w:r>
          </w:p>
        </w:tc>
        <w:tc>
          <w:tcPr>
            <w:tcW w:w="1440" w:type="dxa"/>
          </w:tcPr>
          <w:p w14:paraId="131932A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41.25 ± 2.25a</w:t>
            </w:r>
          </w:p>
        </w:tc>
        <w:tc>
          <w:tcPr>
            <w:tcW w:w="1800" w:type="dxa"/>
          </w:tcPr>
          <w:p w14:paraId="48B815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58.65 ± 11.89a</w:t>
            </w:r>
          </w:p>
        </w:tc>
        <w:tc>
          <w:tcPr>
            <w:tcW w:w="1710" w:type="dxa"/>
          </w:tcPr>
          <w:p w14:paraId="5925F56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1.32 ± 0.05</w:t>
            </w:r>
          </w:p>
        </w:tc>
        <w:tc>
          <w:tcPr>
            <w:tcW w:w="1710" w:type="dxa"/>
          </w:tcPr>
          <w:p w14:paraId="20446E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4.69 ± 0.52a</w:t>
            </w:r>
          </w:p>
        </w:tc>
      </w:tr>
      <w:tr w:rsidR="006F02A9" w:rsidRPr="007011BD" w14:paraId="2AAF8AFC" w14:textId="77777777" w:rsidTr="00314CD6">
        <w:tc>
          <w:tcPr>
            <w:tcW w:w="2507" w:type="dxa"/>
          </w:tcPr>
          <w:p w14:paraId="1D43B65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C: 0.29mg/kg </w:t>
            </w:r>
            <w:proofErr w:type="spellStart"/>
            <w:r w:rsidRPr="007011BD">
              <w:rPr>
                <w:rFonts w:cs="Arial"/>
                <w:color w:val="000000" w:themeColor="text1"/>
                <w:szCs w:val="20"/>
              </w:rPr>
              <w:t>Glibenclamide</w:t>
            </w:r>
            <w:proofErr w:type="spellEnd"/>
            <w:r w:rsidRPr="007011BD">
              <w:rPr>
                <w:rFonts w:cs="Arial"/>
                <w:color w:val="000000" w:themeColor="text1"/>
                <w:szCs w:val="20"/>
              </w:rPr>
              <w:t xml:space="preserve"> </w:t>
            </w:r>
          </w:p>
        </w:tc>
        <w:tc>
          <w:tcPr>
            <w:tcW w:w="1633" w:type="dxa"/>
          </w:tcPr>
          <w:p w14:paraId="49B6500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76.00 ± 4.00a</w:t>
            </w:r>
          </w:p>
        </w:tc>
        <w:tc>
          <w:tcPr>
            <w:tcW w:w="1440" w:type="dxa"/>
          </w:tcPr>
          <w:p w14:paraId="7228765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15505C4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32.43 ± 7.07</w:t>
            </w:r>
          </w:p>
        </w:tc>
        <w:tc>
          <w:tcPr>
            <w:tcW w:w="1710" w:type="dxa"/>
          </w:tcPr>
          <w:p w14:paraId="46F172C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1.26 ± 0.05</w:t>
            </w:r>
          </w:p>
        </w:tc>
        <w:tc>
          <w:tcPr>
            <w:tcW w:w="1710" w:type="dxa"/>
          </w:tcPr>
          <w:p w14:paraId="37CC10D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3.55 ± 0.46a</w:t>
            </w:r>
          </w:p>
        </w:tc>
      </w:tr>
      <w:tr w:rsidR="006F02A9" w:rsidRPr="007011BD" w14:paraId="756CB0AB" w14:textId="77777777" w:rsidTr="00314CD6">
        <w:tc>
          <w:tcPr>
            <w:tcW w:w="2507" w:type="dxa"/>
          </w:tcPr>
          <w:p w14:paraId="2B73AED4"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D: 200mg/kg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w:t>
            </w:r>
          </w:p>
        </w:tc>
        <w:tc>
          <w:tcPr>
            <w:tcW w:w="1633" w:type="dxa"/>
          </w:tcPr>
          <w:p w14:paraId="1006C73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61.75 ± 11.56a</w:t>
            </w:r>
          </w:p>
        </w:tc>
        <w:tc>
          <w:tcPr>
            <w:tcW w:w="1440" w:type="dxa"/>
          </w:tcPr>
          <w:p w14:paraId="6F157EC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31.25 ± 1.84</w:t>
            </w:r>
          </w:p>
        </w:tc>
        <w:tc>
          <w:tcPr>
            <w:tcW w:w="1800" w:type="dxa"/>
          </w:tcPr>
          <w:p w14:paraId="26AD13B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35.19 ± 7.67a</w:t>
            </w:r>
          </w:p>
        </w:tc>
        <w:tc>
          <w:tcPr>
            <w:tcW w:w="1710" w:type="dxa"/>
          </w:tcPr>
          <w:p w14:paraId="58DA770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1.24 ± 0.05</w:t>
            </w:r>
          </w:p>
        </w:tc>
        <w:tc>
          <w:tcPr>
            <w:tcW w:w="1710" w:type="dxa"/>
          </w:tcPr>
          <w:p w14:paraId="5015F53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3.48 ± 0.34</w:t>
            </w:r>
          </w:p>
        </w:tc>
      </w:tr>
      <w:tr w:rsidR="006F02A9" w:rsidRPr="007011BD" w14:paraId="2907B9ED" w14:textId="77777777" w:rsidTr="00314CD6">
        <w:tc>
          <w:tcPr>
            <w:tcW w:w="2507" w:type="dxa"/>
          </w:tcPr>
          <w:p w14:paraId="65C275B9"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E: (400 mg/kg ethanol fraction of </w:t>
            </w:r>
            <w:r w:rsidRPr="007011BD">
              <w:rPr>
                <w:rFonts w:cs="Arial"/>
                <w:i/>
                <w:iCs/>
                <w:color w:val="000000" w:themeColor="text1"/>
                <w:szCs w:val="20"/>
              </w:rPr>
              <w:t>S. acuta).</w:t>
            </w:r>
          </w:p>
        </w:tc>
        <w:tc>
          <w:tcPr>
            <w:tcW w:w="1633" w:type="dxa"/>
          </w:tcPr>
          <w:p w14:paraId="702B1FB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73.75 ± 7.62a</w:t>
            </w:r>
          </w:p>
        </w:tc>
        <w:tc>
          <w:tcPr>
            <w:tcW w:w="1440" w:type="dxa"/>
          </w:tcPr>
          <w:p w14:paraId="416D4DD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29.25 ± 2.78 c</w:t>
            </w:r>
          </w:p>
        </w:tc>
        <w:tc>
          <w:tcPr>
            <w:tcW w:w="1800" w:type="dxa"/>
          </w:tcPr>
          <w:p w14:paraId="1950AD6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26.90 ± 0.70</w:t>
            </w:r>
          </w:p>
        </w:tc>
        <w:tc>
          <w:tcPr>
            <w:tcW w:w="1710" w:type="dxa"/>
          </w:tcPr>
          <w:p w14:paraId="47189F35"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1.19 ± 0.01</w:t>
            </w:r>
          </w:p>
        </w:tc>
        <w:tc>
          <w:tcPr>
            <w:tcW w:w="1710" w:type="dxa"/>
          </w:tcPr>
          <w:p w14:paraId="16A091D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3.46 ± 0.43</w:t>
            </w:r>
          </w:p>
        </w:tc>
      </w:tr>
      <w:tr w:rsidR="006F02A9" w:rsidRPr="007011BD" w14:paraId="31654369" w14:textId="77777777" w:rsidTr="00314CD6">
        <w:tc>
          <w:tcPr>
            <w:tcW w:w="2507" w:type="dxa"/>
          </w:tcPr>
          <w:p w14:paraId="28748441"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F (200mg/kg ethanol fraction of</w:t>
            </w:r>
            <w:r w:rsidRPr="007011BD">
              <w:rPr>
                <w:rFonts w:cs="Arial"/>
                <w:i/>
                <w:iCs/>
                <w:color w:val="000000" w:themeColor="text1"/>
                <w:szCs w:val="20"/>
              </w:rPr>
              <w:t xml:space="preserve"> </w:t>
            </w:r>
            <w:proofErr w:type="spellStart"/>
            <w:r w:rsidRPr="007011BD">
              <w:rPr>
                <w:rFonts w:cs="Arial"/>
                <w:i/>
                <w:iCs/>
                <w:color w:val="000000" w:themeColor="text1"/>
                <w:szCs w:val="20"/>
              </w:rPr>
              <w:t>F.exasperata</w:t>
            </w:r>
            <w:proofErr w:type="spellEnd"/>
            <w:r w:rsidRPr="007011BD">
              <w:rPr>
                <w:rFonts w:cs="Arial"/>
                <w:i/>
                <w:iCs/>
                <w:color w:val="000000" w:themeColor="text1"/>
                <w:szCs w:val="20"/>
              </w:rPr>
              <w:t>)</w:t>
            </w:r>
          </w:p>
        </w:tc>
        <w:tc>
          <w:tcPr>
            <w:tcW w:w="1633" w:type="dxa"/>
          </w:tcPr>
          <w:p w14:paraId="19026C3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79.00 ± 7.33a</w:t>
            </w:r>
          </w:p>
        </w:tc>
        <w:tc>
          <w:tcPr>
            <w:tcW w:w="1440" w:type="dxa"/>
          </w:tcPr>
          <w:p w14:paraId="0CFE08B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 xml:space="preserve">31.25 ± 1.84 </w:t>
            </w:r>
          </w:p>
        </w:tc>
        <w:tc>
          <w:tcPr>
            <w:tcW w:w="1800" w:type="dxa"/>
          </w:tcPr>
          <w:p w14:paraId="08A2328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25.53 ± 5.56</w:t>
            </w:r>
          </w:p>
        </w:tc>
        <w:tc>
          <w:tcPr>
            <w:tcW w:w="1710" w:type="dxa"/>
          </w:tcPr>
          <w:p w14:paraId="5179F05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1.25 ± 0.06</w:t>
            </w:r>
          </w:p>
        </w:tc>
        <w:tc>
          <w:tcPr>
            <w:tcW w:w="1710" w:type="dxa"/>
          </w:tcPr>
          <w:p w14:paraId="4E05038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3.21 ± 0.20</w:t>
            </w:r>
          </w:p>
        </w:tc>
      </w:tr>
      <w:tr w:rsidR="006F02A9" w:rsidRPr="007011BD" w14:paraId="54019ECC" w14:textId="77777777" w:rsidTr="00314CD6">
        <w:tc>
          <w:tcPr>
            <w:tcW w:w="2507" w:type="dxa"/>
          </w:tcPr>
          <w:p w14:paraId="14D7E62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G (400mg/kg ethanol fraction of </w:t>
            </w:r>
            <w:r w:rsidRPr="007011BD">
              <w:rPr>
                <w:rFonts w:cs="Arial"/>
                <w:i/>
                <w:iCs/>
                <w:color w:val="000000" w:themeColor="text1"/>
                <w:szCs w:val="20"/>
              </w:rPr>
              <w:t xml:space="preserve">F. </w:t>
            </w:r>
            <w:proofErr w:type="spellStart"/>
            <w:r w:rsidRPr="007011BD">
              <w:rPr>
                <w:rFonts w:cs="Arial"/>
                <w:i/>
                <w:iCs/>
                <w:color w:val="000000" w:themeColor="text1"/>
                <w:szCs w:val="20"/>
              </w:rPr>
              <w:t>exasperata</w:t>
            </w:r>
            <w:proofErr w:type="spellEnd"/>
            <w:r w:rsidRPr="007011BD">
              <w:rPr>
                <w:rFonts w:cs="Arial"/>
                <w:i/>
                <w:iCs/>
                <w:color w:val="000000" w:themeColor="text1"/>
                <w:szCs w:val="20"/>
              </w:rPr>
              <w:t>)</w:t>
            </w:r>
          </w:p>
        </w:tc>
        <w:tc>
          <w:tcPr>
            <w:tcW w:w="1633" w:type="dxa"/>
          </w:tcPr>
          <w:p w14:paraId="39A5BCF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78.75 ± 5.22a</w:t>
            </w:r>
          </w:p>
        </w:tc>
        <w:tc>
          <w:tcPr>
            <w:tcW w:w="1440" w:type="dxa"/>
          </w:tcPr>
          <w:p w14:paraId="265006A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32.50 ± 2.18</w:t>
            </w:r>
          </w:p>
        </w:tc>
        <w:tc>
          <w:tcPr>
            <w:tcW w:w="1800" w:type="dxa"/>
          </w:tcPr>
          <w:p w14:paraId="671D3A1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52.44 ± 16.98a</w:t>
            </w:r>
          </w:p>
        </w:tc>
        <w:tc>
          <w:tcPr>
            <w:tcW w:w="1710" w:type="dxa"/>
          </w:tcPr>
          <w:p w14:paraId="67499DD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1.17 ± 0.10</w:t>
            </w:r>
          </w:p>
        </w:tc>
        <w:tc>
          <w:tcPr>
            <w:tcW w:w="1710" w:type="dxa"/>
          </w:tcPr>
          <w:p w14:paraId="0E39A1D2"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3.09 ± 0.51</w:t>
            </w:r>
          </w:p>
        </w:tc>
      </w:tr>
      <w:tr w:rsidR="006F02A9" w:rsidRPr="007011BD" w14:paraId="0B4EFAEB" w14:textId="77777777" w:rsidTr="00314CD6">
        <w:tc>
          <w:tcPr>
            <w:tcW w:w="2507" w:type="dxa"/>
          </w:tcPr>
          <w:p w14:paraId="5D35EA1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H (200mg/kg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w:t>
            </w:r>
            <w:proofErr w:type="spellStart"/>
            <w:r w:rsidRPr="007011BD">
              <w:rPr>
                <w:rFonts w:cs="Arial"/>
                <w:i/>
                <w:iCs/>
                <w:color w:val="000000" w:themeColor="text1"/>
                <w:szCs w:val="20"/>
              </w:rPr>
              <w:t>exasperata</w:t>
            </w:r>
            <w:proofErr w:type="spellEnd"/>
          </w:p>
        </w:tc>
        <w:tc>
          <w:tcPr>
            <w:tcW w:w="1633" w:type="dxa"/>
          </w:tcPr>
          <w:p w14:paraId="7861BF4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75.00 ± 7.06a</w:t>
            </w:r>
          </w:p>
        </w:tc>
        <w:tc>
          <w:tcPr>
            <w:tcW w:w="1440" w:type="dxa"/>
          </w:tcPr>
          <w:p w14:paraId="58F4FC7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39.00 ± 4.24a</w:t>
            </w:r>
          </w:p>
        </w:tc>
        <w:tc>
          <w:tcPr>
            <w:tcW w:w="1800" w:type="dxa"/>
          </w:tcPr>
          <w:p w14:paraId="49860EB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26.22 ± 2.87</w:t>
            </w:r>
          </w:p>
        </w:tc>
        <w:tc>
          <w:tcPr>
            <w:tcW w:w="1710" w:type="dxa"/>
          </w:tcPr>
          <w:p w14:paraId="36EF3FC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1.20 ± 0.14</w:t>
            </w:r>
          </w:p>
        </w:tc>
        <w:tc>
          <w:tcPr>
            <w:tcW w:w="1710" w:type="dxa"/>
          </w:tcPr>
          <w:p w14:paraId="136E58B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4.24 ± 0.05a</w:t>
            </w:r>
          </w:p>
        </w:tc>
      </w:tr>
      <w:tr w:rsidR="006F02A9" w:rsidRPr="007011BD" w14:paraId="45F77652" w14:textId="77777777" w:rsidTr="00314CD6">
        <w:tc>
          <w:tcPr>
            <w:tcW w:w="2507" w:type="dxa"/>
          </w:tcPr>
          <w:p w14:paraId="6FFCBBF2"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I (400mg/kg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 </w:t>
            </w:r>
            <w:proofErr w:type="spellStart"/>
            <w:r w:rsidRPr="007011BD">
              <w:rPr>
                <w:rFonts w:cs="Arial"/>
                <w:i/>
                <w:iCs/>
                <w:color w:val="000000" w:themeColor="text1"/>
                <w:szCs w:val="20"/>
              </w:rPr>
              <w:t>exasperata</w:t>
            </w:r>
            <w:proofErr w:type="spellEnd"/>
          </w:p>
        </w:tc>
        <w:tc>
          <w:tcPr>
            <w:tcW w:w="1633" w:type="dxa"/>
          </w:tcPr>
          <w:p w14:paraId="4DC3240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83.00 ± 4.49a</w:t>
            </w:r>
          </w:p>
        </w:tc>
        <w:tc>
          <w:tcPr>
            <w:tcW w:w="1440" w:type="dxa"/>
          </w:tcPr>
          <w:p w14:paraId="524B11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24F371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31.74 ± 3.65</w:t>
            </w:r>
          </w:p>
        </w:tc>
        <w:tc>
          <w:tcPr>
            <w:tcW w:w="1710" w:type="dxa"/>
          </w:tcPr>
          <w:p w14:paraId="2A48863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1.48 ± 0.09a</w:t>
            </w:r>
          </w:p>
        </w:tc>
        <w:tc>
          <w:tcPr>
            <w:tcW w:w="1710" w:type="dxa"/>
          </w:tcPr>
          <w:p w14:paraId="3B51A36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3.58 ± 0.28a</w:t>
            </w:r>
          </w:p>
        </w:tc>
      </w:tr>
    </w:tbl>
    <w:p w14:paraId="41830CF1" w14:textId="77777777" w:rsidR="00B53BA0" w:rsidRPr="000C5470" w:rsidRDefault="006F02A9" w:rsidP="000C5470">
      <w:pPr>
        <w:spacing w:line="240" w:lineRule="auto"/>
        <w:jc w:val="both"/>
        <w:rPr>
          <w:rFonts w:cs="Arial"/>
          <w:color w:val="000000" w:themeColor="text1"/>
          <w:szCs w:val="20"/>
        </w:rPr>
      </w:pPr>
      <w:proofErr w:type="spellStart"/>
      <w:r w:rsidRPr="007011BD">
        <w:rPr>
          <w:rFonts w:cs="Arial"/>
          <w:color w:val="000000" w:themeColor="text1"/>
          <w:szCs w:val="20"/>
        </w:rPr>
        <w:t>aSignificant</w:t>
      </w:r>
      <w:proofErr w:type="spellEnd"/>
      <w:r w:rsidRPr="007011BD">
        <w:rPr>
          <w:rFonts w:cs="Arial"/>
          <w:color w:val="000000" w:themeColor="text1"/>
          <w:szCs w:val="20"/>
        </w:rPr>
        <w:t xml:space="preserve"> increase with respect to Normal Control; </w:t>
      </w:r>
      <w:proofErr w:type="spellStart"/>
      <w:r w:rsidRPr="007011BD">
        <w:rPr>
          <w:rFonts w:cs="Arial"/>
          <w:color w:val="000000" w:themeColor="text1"/>
          <w:szCs w:val="20"/>
        </w:rPr>
        <w:t>bSignificant</w:t>
      </w:r>
      <w:proofErr w:type="spellEnd"/>
      <w:r w:rsidRPr="007011BD">
        <w:rPr>
          <w:rFonts w:cs="Arial"/>
          <w:color w:val="000000" w:themeColor="text1"/>
          <w:szCs w:val="20"/>
        </w:rPr>
        <w:t xml:space="preserve"> decrease with respect to Normal Control; c</w:t>
      </w:r>
      <w:r w:rsidR="00C619A8">
        <w:rPr>
          <w:rFonts w:cs="Arial"/>
          <w:color w:val="000000" w:themeColor="text1"/>
          <w:szCs w:val="20"/>
        </w:rPr>
        <w:t xml:space="preserve"> </w:t>
      </w:r>
      <w:r w:rsidRPr="007011BD">
        <w:rPr>
          <w:rFonts w:cs="Arial"/>
          <w:color w:val="000000" w:themeColor="text1"/>
          <w:szCs w:val="20"/>
        </w:rPr>
        <w:t xml:space="preserve">Significant increase with respect to Diabetic untreated; </w:t>
      </w:r>
      <w:proofErr w:type="spellStart"/>
      <w:r w:rsidRPr="007011BD">
        <w:rPr>
          <w:rFonts w:cs="Arial"/>
          <w:color w:val="000000" w:themeColor="text1"/>
          <w:szCs w:val="20"/>
        </w:rPr>
        <w:t>dSignificant</w:t>
      </w:r>
      <w:proofErr w:type="spellEnd"/>
      <w:r w:rsidRPr="007011BD">
        <w:rPr>
          <w:rFonts w:cs="Arial"/>
          <w:color w:val="000000" w:themeColor="text1"/>
          <w:szCs w:val="20"/>
        </w:rPr>
        <w:t xml:space="preserve"> decrease with respect to Diabetic untreated.</w:t>
      </w:r>
    </w:p>
    <w:p w14:paraId="5B945BA1" w14:textId="77777777" w:rsidR="00B53BA0" w:rsidRDefault="00B53BA0">
      <w:pPr>
        <w:spacing w:after="80"/>
        <w:jc w:val="both"/>
      </w:pPr>
    </w:p>
    <w:p w14:paraId="658C26C6" w14:textId="77777777" w:rsidR="004F2F84" w:rsidRDefault="006B2731">
      <w:pPr>
        <w:spacing w:before="120" w:after="80"/>
      </w:pPr>
      <w:r>
        <w:rPr>
          <w:b/>
          <w:sz w:val="22"/>
        </w:rPr>
        <w:t>3.4 Kidney Function Parameters</w:t>
      </w:r>
    </w:p>
    <w:p w14:paraId="4CB85A5D" w14:textId="77777777" w:rsidR="004F2F84" w:rsidRDefault="006B2731">
      <w:pPr>
        <w:spacing w:after="80"/>
        <w:jc w:val="both"/>
      </w:pPr>
      <w:r>
        <w:t>The effects of the ethanol fractions on kidney function parameters</w:t>
      </w:r>
      <w:r w:rsidR="005506C3">
        <w:t xml:space="preserve"> (urea and creatinine)</w:t>
      </w:r>
      <w:r>
        <w:t xml:space="preserve"> are shown in Figures 1 and 2. The diabetic untreated group showed elevated urea and creatinine values compared with the normal control group. Treatment with the plant extracts improved these parameters toward normal values, although the change was reported as not statistically significant (P &gt; .05). The elevated urea and creatinine concentrations in the diabetic untreated rats indicate renal stress.</w:t>
      </w:r>
    </w:p>
    <w:p w14:paraId="576F72DB" w14:textId="77777777" w:rsidR="00745BFA" w:rsidRDefault="00745BFA">
      <w:pPr>
        <w:spacing w:after="80"/>
        <w:jc w:val="both"/>
      </w:pPr>
    </w:p>
    <w:p w14:paraId="699629ED" w14:textId="77777777" w:rsidR="00745BFA" w:rsidRDefault="00745BFA" w:rsidP="00745BFA">
      <w:pPr>
        <w:spacing w:after="80"/>
        <w:jc w:val="both"/>
      </w:pPr>
      <w:r>
        <w:t>Higher serum creatinine levels may indicate impaired kidney function. Urea and creatinine are widely used biochemical indices for assessing renal function. Creatinine is generally regarded as a more specific indicator of glomerular filtration, whereas urea is useful but can also be influenced by non-renal factors such as hydration status, protein intake, and catabolic state. In kidney disease assay, serum creatinine can be interpreted together with estimated glomerular filtration rate, while albuminuria is emphasized as an important marker for detecting kidney injury, especially in patients at risk such as those with diabetes [26].</w:t>
      </w:r>
    </w:p>
    <w:p w14:paraId="40D3584B" w14:textId="77777777" w:rsidR="00745BFA" w:rsidRDefault="00745BFA" w:rsidP="00745BFA">
      <w:pPr>
        <w:spacing w:after="80"/>
        <w:jc w:val="both"/>
      </w:pPr>
      <w:r>
        <w:t xml:space="preserve">Our finding in this urea and creatinine study of kidney function assay shows that the treatment groups showed only mild variation across doses, with most values clustering near the normal control. This suggests </w:t>
      </w:r>
      <w:r>
        <w:lastRenderedPageBreak/>
        <w:t xml:space="preserve">that both single-plant treatment and combined administration were able to stabilize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Recent plant-based nephroprotection studies and reviews similarly report reductions in serum urea and creatinine after treatment with bioactive extracts in renal injury and diabetic models [27].Treatment with </w:t>
      </w:r>
      <w:proofErr w:type="spellStart"/>
      <w:r>
        <w:t>glibenclamide</w:t>
      </w:r>
      <w:proofErr w:type="spellEnd"/>
      <w:r>
        <w:t xml:space="preserve">, the ethanol fraction of </w:t>
      </w:r>
      <w:r>
        <w:rPr>
          <w:rStyle w:val="Emphasis"/>
        </w:rPr>
        <w:t>Sida acuta</w:t>
      </w:r>
      <w:r>
        <w:t xml:space="preserve">, the ethanol fraction of </w:t>
      </w:r>
      <w:r>
        <w:rPr>
          <w:rStyle w:val="Emphasis"/>
        </w:rPr>
        <w:t xml:space="preserve">Ficus </w:t>
      </w:r>
      <w:proofErr w:type="spellStart"/>
      <w:r>
        <w:rPr>
          <w:rStyle w:val="Emphasis"/>
        </w:rPr>
        <w:t>exasperata</w:t>
      </w:r>
      <w:proofErr w:type="spellEnd"/>
      <w:r>
        <w:t>, and their combinations reduced the urea and creatinine values closer to those of the normal control group. This indicates that the plant fractions did not alter renal function and may have a protective effect against diabetes in kidney. The reduced creatinine values in treated groups compared with the diabetic untreated group are important, because creatinine is a more reliable reflection of renal filtration capacity than urea alone.</w:t>
      </w:r>
      <w:r w:rsidRPr="00D52060">
        <w:rPr>
          <w:b/>
        </w:rPr>
        <w:t xml:space="preserve"> </w:t>
      </w:r>
      <w:r>
        <w:t>[26]. The treatment groups showed only mild variation across doses, with most values clustering near the normal control. This suggests that both single-plant treatment and combined administration were able to stabilize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Some report showed reductions in serum urea and creatinine after treatment with bioactive extracts in renal injury and diabetic models</w:t>
      </w:r>
      <w:r>
        <w:rPr>
          <w:rFonts w:cs="Arial"/>
          <w:color w:val="1B1B1B"/>
          <w:shd w:val="clear" w:color="auto" w:fill="FFFFFF"/>
        </w:rPr>
        <w:t xml:space="preserve"> </w:t>
      </w:r>
      <w:r>
        <w:t xml:space="preserve">[28]. The combination groups also maintained urea and creatinine values close to normal, suggesting that co-administration of </w:t>
      </w:r>
      <w:r>
        <w:rPr>
          <w:rStyle w:val="Emphasis"/>
        </w:rPr>
        <w:t>Sida acuta</w:t>
      </w:r>
      <w:r>
        <w:t xml:space="preserve"> and </w:t>
      </w:r>
      <w:r>
        <w:rPr>
          <w:rStyle w:val="Emphasis"/>
        </w:rPr>
        <w:t xml:space="preserve">Ficus </w:t>
      </w:r>
      <w:proofErr w:type="spellStart"/>
      <w:r>
        <w:rPr>
          <w:rStyle w:val="Emphasis"/>
        </w:rPr>
        <w:t>exasperata</w:t>
      </w:r>
      <w:proofErr w:type="spellEnd"/>
      <w:r>
        <w:t xml:space="preserve"> may have preserved kidney function rather than producing additive renal stress. This is consistent with other experimental findings in diabetic rats where plant based treatments improved altered renal biomarkers relative to untreated diabetic controls [29]. These findings indicate that alloxan-induced diabetes caused renal dysfunction, as reflected by elevated urea and especially creatinine in the untreated diabetic rats, the reduction in serum urea and creatinine following treatment with the combined extracts suggests a possible protective and restorative effect on renal function, although this effect was reported as not statistically significant (P &gt; .05). </w:t>
      </w:r>
    </w:p>
    <w:p w14:paraId="06EEFE01" w14:textId="77777777" w:rsidR="00745BFA" w:rsidRDefault="00745BFA">
      <w:pPr>
        <w:spacing w:after="80"/>
        <w:jc w:val="both"/>
      </w:pPr>
    </w:p>
    <w:p w14:paraId="19932E27" w14:textId="77777777" w:rsidR="00647823" w:rsidRPr="00F32AE4" w:rsidRDefault="00AE297F" w:rsidP="00647823">
      <w:pPr>
        <w:jc w:val="both"/>
        <w:rPr>
          <w:rFonts w:ascii="Times New Roman" w:hAnsi="Times New Roman" w:cs="Times New Roman"/>
          <w:color w:val="000000" w:themeColor="text1"/>
          <w:sz w:val="22"/>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3A70608" wp14:editId="599F2C0F">
                <wp:simplePos x="0" y="0"/>
                <wp:positionH relativeFrom="column">
                  <wp:posOffset>1386840</wp:posOffset>
                </wp:positionH>
                <wp:positionV relativeFrom="paragraph">
                  <wp:posOffset>403860</wp:posOffset>
                </wp:positionV>
                <wp:extent cx="266700" cy="1981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6700" cy="19812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3196" w14:textId="77777777" w:rsidR="00AE297F" w:rsidRDefault="00AE297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A70608" id="_x0000_t202" coordsize="21600,21600" o:spt="202" path="m,l,21600r21600,l21600,xe">
                <v:stroke joinstyle="miter"/>
                <v:path gradientshapeok="t" o:connecttype="rect"/>
              </v:shapetype>
              <v:shape id="Text Box 6" o:spid="_x0000_s1026" type="#_x0000_t202" style="position:absolute;left:0;text-align:left;margin-left:109.2pt;margin-top:31.8pt;width:21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" fillcolor="white [3212]" stroked="f" strokeweight=".5pt">
                <v:fill opacity="0"/>
                <v:textbox>
                  <w:txbxContent>
                    <w:p w14:paraId="552E3196" w14:textId="77777777" w:rsidR="00AE297F" w:rsidRDefault="00AE297F">
                      <w:r>
                        <w:t>**</w:t>
                      </w:r>
                    </w:p>
                  </w:txbxContent>
                </v:textbox>
              </v:shape>
            </w:pict>
          </mc:Fallback>
        </mc:AlternateContent>
      </w:r>
      <w:r w:rsidR="00647823" w:rsidRPr="00F32AE4">
        <w:rPr>
          <w:rFonts w:ascii="Times New Roman" w:hAnsi="Times New Roman" w:cs="Times New Roman"/>
          <w:noProof/>
          <w:color w:val="000000" w:themeColor="text1"/>
        </w:rPr>
        <w:drawing>
          <wp:inline distT="0" distB="0" distL="0" distR="0" wp14:anchorId="65EBC0D1" wp14:editId="2051010C">
            <wp:extent cx="5608320" cy="220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2209800"/>
                    </a:xfrm>
                    <a:prstGeom prst="rect">
                      <a:avLst/>
                    </a:prstGeom>
                    <a:noFill/>
                    <a:ln>
                      <a:noFill/>
                    </a:ln>
                  </pic:spPr>
                </pic:pic>
              </a:graphicData>
            </a:graphic>
          </wp:inline>
        </w:drawing>
      </w:r>
    </w:p>
    <w:p w14:paraId="3E5E5414"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1: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Urea Activity</w:t>
      </w:r>
    </w:p>
    <w:p w14:paraId="43CC48CD" w14:textId="77777777" w:rsidR="00647823" w:rsidRPr="00F32AE4" w:rsidRDefault="00647823" w:rsidP="00647823">
      <w:pPr>
        <w:spacing w:after="0" w:line="240" w:lineRule="auto"/>
        <w:rPr>
          <w:rFonts w:ascii="Times New Roman" w:hAnsi="Times New Roman" w:cs="Times New Roman"/>
          <w:sz w:val="22"/>
        </w:rPr>
      </w:pPr>
    </w:p>
    <w:p w14:paraId="0F11A988" w14:textId="77777777" w:rsidR="00647823" w:rsidRPr="00F32AE4" w:rsidRDefault="00647823" w:rsidP="00647823">
      <w:pPr>
        <w:jc w:val="both"/>
        <w:rPr>
          <w:rFonts w:ascii="Times New Roman" w:hAnsi="Times New Roman" w:cs="Times New Roman"/>
          <w:b/>
          <w:bCs/>
          <w:color w:val="000000" w:themeColor="text1"/>
          <w:sz w:val="28"/>
          <w:szCs w:val="28"/>
        </w:rPr>
      </w:pPr>
    </w:p>
    <w:p w14:paraId="33A17DB4" w14:textId="77777777" w:rsidR="00647823" w:rsidRPr="00F32AE4" w:rsidRDefault="00647823" w:rsidP="00647823">
      <w:pPr>
        <w:jc w:val="both"/>
        <w:rPr>
          <w:rFonts w:ascii="Times New Roman" w:eastAsiaTheme="minorHAnsi" w:hAnsi="Times New Roman" w:cs="Times New Roman"/>
          <w:b/>
          <w:bCs/>
          <w:color w:val="000000" w:themeColor="text1"/>
          <w:sz w:val="28"/>
          <w:szCs w:val="28"/>
        </w:rPr>
      </w:pPr>
      <w:r w:rsidRPr="00F32AE4">
        <w:rPr>
          <w:rFonts w:ascii="Times New Roman" w:hAnsi="Times New Roman" w:cs="Times New Roman"/>
          <w:b/>
          <w:bCs/>
          <w:noProof/>
          <w:color w:val="000000" w:themeColor="text1"/>
          <w:sz w:val="28"/>
          <w:szCs w:val="28"/>
        </w:rPr>
        <w:lastRenderedPageBreak/>
        <w:drawing>
          <wp:inline distT="0" distB="0" distL="0" distR="0" wp14:anchorId="5EA1EB25" wp14:editId="04C6D6B7">
            <wp:extent cx="5783580" cy="25069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2506980"/>
                    </a:xfrm>
                    <a:prstGeom prst="rect">
                      <a:avLst/>
                    </a:prstGeom>
                    <a:noFill/>
                    <a:ln>
                      <a:noFill/>
                    </a:ln>
                  </pic:spPr>
                </pic:pic>
              </a:graphicData>
            </a:graphic>
          </wp:inline>
        </w:drawing>
      </w:r>
    </w:p>
    <w:p w14:paraId="55603E2D"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2: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Creatinine Activity</w:t>
      </w:r>
    </w:p>
    <w:p w14:paraId="683E31BE" w14:textId="77777777" w:rsidR="00647823" w:rsidRPr="00B53BA0" w:rsidRDefault="00647823" w:rsidP="00647823">
      <w:pPr>
        <w:spacing w:after="80"/>
        <w:jc w:val="both"/>
        <w:rPr>
          <w:b/>
        </w:rPr>
      </w:pPr>
    </w:p>
    <w:p w14:paraId="3507275B" w14:textId="77777777" w:rsidR="00647823" w:rsidRDefault="00647823">
      <w:pPr>
        <w:spacing w:after="80"/>
        <w:jc w:val="both"/>
      </w:pPr>
    </w:p>
    <w:p w14:paraId="6E7DA606" w14:textId="77777777" w:rsidR="004F2F84" w:rsidRDefault="00647823">
      <w:pPr>
        <w:spacing w:before="120" w:after="80"/>
      </w:pPr>
      <w:r>
        <w:rPr>
          <w:b/>
          <w:sz w:val="22"/>
        </w:rPr>
        <w:t>3.4.1</w:t>
      </w:r>
      <w:r w:rsidR="006B2731">
        <w:rPr>
          <w:b/>
          <w:sz w:val="22"/>
        </w:rPr>
        <w:t xml:space="preserve"> Electrolyte Profile</w:t>
      </w:r>
    </w:p>
    <w:p w14:paraId="65571775" w14:textId="77777777" w:rsidR="00C7380E" w:rsidRPr="00745BFA" w:rsidRDefault="006B2731" w:rsidP="00745BFA">
      <w:pPr>
        <w:spacing w:after="80"/>
        <w:jc w:val="both"/>
      </w:pPr>
      <w:r>
        <w:t>The effects of the ethanol fractions on electrolyte parameters are shown in Table 4. Diabetes was associated with altered electrolyte values, while treatment with the extracts improved electrolyte balance. The combined extract groups maintained relatively balanced potassium, sodium, chloride, bicarbonate, and calcium values.</w:t>
      </w:r>
      <w:r w:rsidR="00B53BA0">
        <w:t xml:space="preserve"> </w:t>
      </w:r>
    </w:p>
    <w:p w14:paraId="592BD744" w14:textId="77777777" w:rsidR="00745BFA" w:rsidRPr="00001959" w:rsidRDefault="00745BFA" w:rsidP="00D510F1">
      <w:pPr>
        <w:spacing w:after="0"/>
        <w:jc w:val="both"/>
        <w:rPr>
          <w:b/>
        </w:rPr>
      </w:pPr>
      <w:r>
        <w:t xml:space="preserve">The electrolyte profile obtained in this study showed that alloxan-induced diabetes altered the serum electrolyte homeostasis in the untreated diabetic rats, while treatment with the ethanol fractions of </w:t>
      </w:r>
      <w:r>
        <w:rPr>
          <w:rStyle w:val="Emphasis"/>
        </w:rPr>
        <w:t>Sida acuta</w:t>
      </w:r>
      <w:r>
        <w:t xml:space="preserve">, </w:t>
      </w:r>
      <w:r>
        <w:rPr>
          <w:rStyle w:val="Emphasis"/>
        </w:rPr>
        <w:t xml:space="preserve">Ficus </w:t>
      </w:r>
      <w:proofErr w:type="spellStart"/>
      <w:r>
        <w:rPr>
          <w:rStyle w:val="Emphasis"/>
        </w:rPr>
        <w:t>exasperata</w:t>
      </w:r>
      <w:proofErr w:type="spellEnd"/>
      <w:r>
        <w:t xml:space="preserve">, and their combinations generally improved these </w:t>
      </w:r>
      <w:proofErr w:type="spellStart"/>
      <w:r>
        <w:t>imbaances</w:t>
      </w:r>
      <w:proofErr w:type="spellEnd"/>
      <w:r>
        <w:t>. The diabetic untreated group showed reduced Na</w:t>
      </w:r>
      <w:r>
        <w:rPr>
          <w:rFonts w:ascii="Cambria Math" w:hAnsi="Cambria Math" w:cs="Cambria Math"/>
        </w:rPr>
        <w:t>⁺</w:t>
      </w:r>
      <w:r>
        <w:t xml:space="preserve"> (126.25 </w:t>
      </w:r>
      <w:r>
        <w:rPr>
          <w:rFonts w:cs="Arial"/>
        </w:rPr>
        <w:t>±</w:t>
      </w:r>
      <w:r>
        <w:t xml:space="preserve"> 4.42 mmol/L), Cl</w:t>
      </w:r>
      <w:r>
        <w:rPr>
          <w:rFonts w:ascii="Cambria Math" w:hAnsi="Cambria Math" w:cs="Cambria Math"/>
        </w:rPr>
        <w:t>⁻</w:t>
      </w:r>
      <w:r>
        <w:t xml:space="preserve"> (93.75 </w:t>
      </w:r>
      <w:r>
        <w:rPr>
          <w:rFonts w:cs="Arial"/>
        </w:rPr>
        <w:t>±</w:t>
      </w:r>
      <w:r>
        <w:t xml:space="preserve"> 5.31 mmol/L), and HCO</w:t>
      </w:r>
      <w:r>
        <w:rPr>
          <w:rFonts w:ascii="Cambria Math" w:hAnsi="Cambria Math" w:cs="Cambria Math"/>
        </w:rPr>
        <w:t>₃⁻</w:t>
      </w:r>
      <w:r>
        <w:t xml:space="preserve"> (12.25 </w:t>
      </w:r>
      <w:r>
        <w:rPr>
          <w:rFonts w:cs="Arial"/>
        </w:rPr>
        <w:t>±</w:t>
      </w:r>
      <w:r>
        <w:t xml:space="preserve"> 2.29 mmol/L) values compared with the normal control group (133.25 </w:t>
      </w:r>
      <w:r>
        <w:rPr>
          <w:rFonts w:cs="Arial"/>
        </w:rPr>
        <w:t>±</w:t>
      </w:r>
      <w:r>
        <w:t xml:space="preserve"> 2.21, 99.00 </w:t>
      </w:r>
      <w:r>
        <w:rPr>
          <w:rFonts w:cs="Arial"/>
        </w:rPr>
        <w:t>±</w:t>
      </w:r>
      <w:r>
        <w:t xml:space="preserve"> 1.22, and 16.25 </w:t>
      </w:r>
      <w:r>
        <w:rPr>
          <w:rFonts w:cs="Arial"/>
        </w:rPr>
        <w:t>±</w:t>
      </w:r>
      <w:r>
        <w:t xml:space="preserve"> 1.55 mmol/L, respectively), with a slight elevation in K</w:t>
      </w:r>
      <w:r>
        <w:rPr>
          <w:rFonts w:ascii="Cambria Math" w:hAnsi="Cambria Math" w:cs="Cambria Math"/>
        </w:rPr>
        <w:t>⁺</w:t>
      </w:r>
      <w:r>
        <w:t xml:space="preserve"> (7.60 </w:t>
      </w:r>
      <w:r>
        <w:rPr>
          <w:rFonts w:cs="Arial"/>
        </w:rPr>
        <w:t>±</w:t>
      </w:r>
      <w:r>
        <w:t xml:space="preserve"> 1.56 mmol/L versus 7.15 </w:t>
      </w:r>
      <w:r>
        <w:rPr>
          <w:rFonts w:cs="Arial"/>
        </w:rPr>
        <w:t>±</w:t>
      </w:r>
      <w:r>
        <w:t xml:space="preserve"> 1.62 mmol/L). This is consistent with the established metabolic effects of poorly controlled diabetes, in which </w:t>
      </w:r>
      <w:proofErr w:type="spellStart"/>
      <w:r>
        <w:t>hyperglycaemia</w:t>
      </w:r>
      <w:proofErr w:type="spellEnd"/>
      <w:r>
        <w:t xml:space="preserve"> promotes osmotic diuresis, volume depletion, natriuresis, and acid-base disturbance; potassium may appear normal or elevated in serum despite total potassium depletion because insulin deficiency and acidosis shift potassium from the intracellular to the extracellular space [30].The reduction in sodium observed in the diabetic untreated group may be attributed to </w:t>
      </w:r>
      <w:proofErr w:type="spellStart"/>
      <w:r>
        <w:t>hyperglycaemia</w:t>
      </w:r>
      <w:proofErr w:type="spellEnd"/>
      <w:r>
        <w:t xml:space="preserve">, which can cause osmotic fluid shifts and urinary electrolyte loss. Similar findings have been reported in diabetic patients, where </w:t>
      </w:r>
      <w:proofErr w:type="spellStart"/>
      <w:r>
        <w:t>hyponatraemia</w:t>
      </w:r>
      <w:proofErr w:type="spellEnd"/>
      <w:r>
        <w:t xml:space="preserve"> is one of the most frequent electrolyte abnormalities and is often associated with poor </w:t>
      </w:r>
      <w:proofErr w:type="spellStart"/>
      <w:r>
        <w:t>glycaemic</w:t>
      </w:r>
      <w:proofErr w:type="spellEnd"/>
      <w:r>
        <w:t xml:space="preserve"> control. The reduction in chloride in the untreated diabetic group also agrees with reports that </w:t>
      </w:r>
      <w:proofErr w:type="spellStart"/>
      <w:r>
        <w:t>hypochloraemia</w:t>
      </w:r>
      <w:proofErr w:type="spellEnd"/>
      <w:r>
        <w:t xml:space="preserve"> commonly accompanies diabetic electrolyte derangements, especially in the presence of osmotic diuresis and disturbed renal handling of ions</w:t>
      </w:r>
      <w:r w:rsidRPr="008E367A">
        <w:t xml:space="preserve"> </w:t>
      </w:r>
      <w:r>
        <w:t xml:space="preserve">[31].The depressed bicarbonate concentration in the diabetic untreated rats suggests the presence of metabolic acidosis or a tendency toward acid-base imbalance secondary to alloxan-induced diabetic metabolism. Literature has shown low bicarbonate as a key marker of metabolic acidosis in </w:t>
      </w:r>
      <w:proofErr w:type="spellStart"/>
      <w:r>
        <w:t>hyperglycaemic</w:t>
      </w:r>
      <w:proofErr w:type="spellEnd"/>
      <w:r>
        <w:t xml:space="preserve"> states. In the present study, bicarbonate improved from 12.25 ± 2.29 mmol/L in the diabetic untreated rats to 16.25 ± 0.25 mmol/L in the </w:t>
      </w:r>
      <w:proofErr w:type="spellStart"/>
      <w:r>
        <w:t>glibenclamide</w:t>
      </w:r>
      <w:proofErr w:type="spellEnd"/>
      <w:r>
        <w:t xml:space="preserve"> group, 17.75 ± 1.11 mmol/L in the 200 mg/kg </w:t>
      </w:r>
      <w:r>
        <w:rPr>
          <w:rStyle w:val="Emphasis"/>
        </w:rPr>
        <w:t>S. acuta</w:t>
      </w:r>
      <w:r>
        <w:t xml:space="preserve"> group, 17.25 ± 1.11 mmol/L in the 200 mg/kg </w:t>
      </w:r>
      <w:r>
        <w:rPr>
          <w:rStyle w:val="Emphasis"/>
        </w:rPr>
        <w:t xml:space="preserve">F. </w:t>
      </w:r>
      <w:proofErr w:type="spellStart"/>
      <w:r>
        <w:rPr>
          <w:rStyle w:val="Emphasis"/>
        </w:rPr>
        <w:t>exasperata</w:t>
      </w:r>
      <w:proofErr w:type="spellEnd"/>
      <w:r>
        <w:t xml:space="preserve"> group, and 16.00 ± 1.68 mmol/L in the 200 mg/kg combined treatment group. This suggests that the test extracts may have ameliorated diabetes through improved </w:t>
      </w:r>
      <w:proofErr w:type="spellStart"/>
      <w:r>
        <w:t>glycaemic</w:t>
      </w:r>
      <w:proofErr w:type="spellEnd"/>
      <w:r>
        <w:t xml:space="preserve"> control and preserved renal activity of </w:t>
      </w:r>
      <w:r>
        <w:lastRenderedPageBreak/>
        <w:t>bicarbonate [30].</w:t>
      </w:r>
      <w:r>
        <w:rPr>
          <w:b/>
        </w:rPr>
        <w:t xml:space="preserve"> </w:t>
      </w:r>
      <w:r>
        <w:t>With respect to potassium, the untreated diabetic rats had the highest mean value, whereas all treated groups showed lower K</w:t>
      </w:r>
      <w:r>
        <w:rPr>
          <w:rFonts w:ascii="Cambria Math" w:hAnsi="Cambria Math" w:cs="Cambria Math"/>
        </w:rPr>
        <w:t>⁺</w:t>
      </w:r>
      <w:r>
        <w:t xml:space="preserve"> values ranging from 5.67 </w:t>
      </w:r>
      <w:r>
        <w:rPr>
          <w:rFonts w:cs="Arial"/>
        </w:rPr>
        <w:t>±</w:t>
      </w:r>
      <w:r>
        <w:t xml:space="preserve"> 0.23 to 6.17 ± 0.09 mmol/L. </w:t>
      </w:r>
      <w:proofErr w:type="gramStart"/>
      <w:r>
        <w:t>This decreased values</w:t>
      </w:r>
      <w:proofErr w:type="gramEnd"/>
      <w:r>
        <w:t xml:space="preserve"> suggests an improvement in potassium redistribution and electrolyte balance after treatment. Since serum potassium may be falsely elevated in uncontrolled diabetes despite depletion, a reduction compared to the normal control range after treatment is usually interpreted as a favourable response rather than deterioration. This supports that the plant fractions improved the diabetic condition sufficiently to reduce abnormal extracellular potassium shift [30].</w:t>
      </w:r>
      <w:r>
        <w:rPr>
          <w:b/>
        </w:rPr>
        <w:t xml:space="preserve"> </w:t>
      </w:r>
      <w:r>
        <w:t xml:space="preserve">Among the treatment groups, the </w:t>
      </w:r>
      <w:r w:rsidRPr="00BA6C40">
        <w:rPr>
          <w:rStyle w:val="Strong"/>
          <w:b w:val="0"/>
        </w:rPr>
        <w:t xml:space="preserve">200 mg/kg ethanol fraction of </w:t>
      </w:r>
      <w:r w:rsidRPr="00BA6C40">
        <w:rPr>
          <w:rStyle w:val="Emphasis"/>
          <w:bCs/>
        </w:rPr>
        <w:t>S. acuta</w:t>
      </w:r>
      <w:r>
        <w:t xml:space="preserve"> appeared to produce the best protective effect on the major electrolytes, with Na</w:t>
      </w:r>
      <w:r>
        <w:rPr>
          <w:rFonts w:ascii="Cambria Math" w:hAnsi="Cambria Math" w:cs="Cambria Math"/>
        </w:rPr>
        <w:t>⁺</w:t>
      </w:r>
      <w:r>
        <w:t xml:space="preserve"> (132.25 </w:t>
      </w:r>
      <w:r>
        <w:rPr>
          <w:rFonts w:cs="Arial"/>
        </w:rPr>
        <w:t>±</w:t>
      </w:r>
      <w:r>
        <w:t xml:space="preserve"> 0.95 mmol/L) and Cl</w:t>
      </w:r>
      <w:r>
        <w:rPr>
          <w:rFonts w:ascii="Cambria Math" w:hAnsi="Cambria Math" w:cs="Cambria Math"/>
        </w:rPr>
        <w:t>⁻</w:t>
      </w:r>
      <w:r>
        <w:t xml:space="preserve"> (98.25 </w:t>
      </w:r>
      <w:r>
        <w:rPr>
          <w:rFonts w:cs="Arial"/>
        </w:rPr>
        <w:t>±</w:t>
      </w:r>
      <w:r>
        <w:t xml:space="preserve"> 0.48 mmol/L) values very close to the normal control, and with the highest HCO</w:t>
      </w:r>
      <w:r>
        <w:rPr>
          <w:rFonts w:ascii="Cambria Math" w:hAnsi="Cambria Math" w:cs="Cambria Math"/>
        </w:rPr>
        <w:t>₃⁻</w:t>
      </w:r>
      <w:r>
        <w:t xml:space="preserve"> value (17.75 </w:t>
      </w:r>
      <w:r>
        <w:rPr>
          <w:rFonts w:cs="Arial"/>
        </w:rPr>
        <w:t>±</w:t>
      </w:r>
      <w:r>
        <w:t xml:space="preserve"> 1.11 mmol/L) among all groups. The </w:t>
      </w:r>
      <w:r w:rsidRPr="00BA6C40">
        <w:rPr>
          <w:rStyle w:val="Strong"/>
          <w:b w:val="0"/>
        </w:rPr>
        <w:t xml:space="preserve">200 mg/kg ethanol fraction of </w:t>
      </w:r>
      <w:r w:rsidRPr="00BA6C40">
        <w:rPr>
          <w:rStyle w:val="Emphasis"/>
          <w:bCs/>
        </w:rPr>
        <w:t xml:space="preserve">F. </w:t>
      </w:r>
      <w:proofErr w:type="spellStart"/>
      <w:r w:rsidRPr="00BA6C40">
        <w:rPr>
          <w:rStyle w:val="Emphasis"/>
          <w:bCs/>
        </w:rPr>
        <w:t>exasperata</w:t>
      </w:r>
      <w:proofErr w:type="spellEnd"/>
      <w:r>
        <w:t xml:space="preserve"> also produced visible improvement, especially in Na</w:t>
      </w:r>
      <w:r>
        <w:rPr>
          <w:rFonts w:ascii="Cambria Math" w:hAnsi="Cambria Math" w:cs="Cambria Math"/>
        </w:rPr>
        <w:t>⁺</w:t>
      </w:r>
      <w:r>
        <w:t xml:space="preserve"> (131.25 </w:t>
      </w:r>
      <w:r>
        <w:rPr>
          <w:rFonts w:cs="Arial"/>
        </w:rPr>
        <w:t>±</w:t>
      </w:r>
      <w:r>
        <w:t xml:space="preserve"> 0.63 mmol/L), Cl</w:t>
      </w:r>
      <w:r>
        <w:rPr>
          <w:rFonts w:ascii="Cambria Math" w:hAnsi="Cambria Math" w:cs="Cambria Math"/>
        </w:rPr>
        <w:t>⁻</w:t>
      </w:r>
      <w:r>
        <w:t xml:space="preserve"> (96.25 </w:t>
      </w:r>
      <w:r>
        <w:rPr>
          <w:rFonts w:cs="Arial"/>
        </w:rPr>
        <w:t>±</w:t>
      </w:r>
      <w:r>
        <w:t xml:space="preserve"> 0.75 mmol/L), and HCO</w:t>
      </w:r>
      <w:r>
        <w:rPr>
          <w:rFonts w:ascii="Cambria Math" w:hAnsi="Cambria Math" w:cs="Cambria Math"/>
        </w:rPr>
        <w:t>₃⁻</w:t>
      </w:r>
      <w:r>
        <w:t xml:space="preserve"> (17.25 </w:t>
      </w:r>
      <w:r>
        <w:rPr>
          <w:rFonts w:cs="Arial"/>
        </w:rPr>
        <w:t>±</w:t>
      </w:r>
      <w:r>
        <w:t xml:space="preserve"> 1.11 mmol/L). The combined fractions improved the electrolyte imbalance as well, particularly at the dose of 200 mg/kg, although the improvement was not better to that produced by the single </w:t>
      </w:r>
      <w:proofErr w:type="spellStart"/>
      <w:proofErr w:type="gramStart"/>
      <w:r>
        <w:t>extracts.</w:t>
      </w:r>
      <w:commentRangeStart w:id="5"/>
      <w:r>
        <w:t>The</w:t>
      </w:r>
      <w:commentRangeEnd w:id="5"/>
      <w:proofErr w:type="spellEnd"/>
      <w:proofErr w:type="gramEnd"/>
      <w:r w:rsidR="005E373B">
        <w:rPr>
          <w:rStyle w:val="CommentReference"/>
        </w:rPr>
        <w:commentReference w:id="5"/>
      </w:r>
      <w:r>
        <w:t xml:space="preserve"> single extracts, especially at 200 mg/kg, appeared to show better electrolytes values than the combined extract. This may suggest that the combined treatment did not produce a stronger synergistic effect on electrolyte </w:t>
      </w:r>
    </w:p>
    <w:p w14:paraId="01EE3DE6" w14:textId="77777777" w:rsidR="00D510F1" w:rsidRDefault="00745BFA" w:rsidP="00745BFA">
      <w:pPr>
        <w:spacing w:after="0"/>
        <w:ind w:left="720" w:hanging="720"/>
        <w:jc w:val="both"/>
      </w:pPr>
      <w:r>
        <w:t xml:space="preserve">regulation than the individual fractions under the conditions of this </w:t>
      </w:r>
      <w:commentRangeStart w:id="6"/>
      <w:r>
        <w:t>experiment</w:t>
      </w:r>
      <w:commentRangeEnd w:id="6"/>
      <w:r w:rsidR="00886EBB">
        <w:rPr>
          <w:rStyle w:val="CommentReference"/>
        </w:rPr>
        <w:commentReference w:id="6"/>
      </w:r>
      <w:r>
        <w:t>.</w:t>
      </w:r>
    </w:p>
    <w:p w14:paraId="2BC94D23" w14:textId="77777777" w:rsidR="00D510F1" w:rsidRDefault="00D510F1" w:rsidP="00D510F1">
      <w:pPr>
        <w:spacing w:after="0"/>
        <w:jc w:val="both"/>
      </w:pPr>
      <w:r>
        <w:t xml:space="preserve">The total calcium </w:t>
      </w:r>
      <w:proofErr w:type="gramStart"/>
      <w:r>
        <w:t>and  ionized</w:t>
      </w:r>
      <w:proofErr w:type="gramEnd"/>
      <w:r>
        <w:t xml:space="preserve"> calcium were both higher in the diabetic untreated group than in the normal control, and </w:t>
      </w:r>
      <w:proofErr w:type="gramStart"/>
      <w:r>
        <w:t>these  values</w:t>
      </w:r>
      <w:proofErr w:type="gramEnd"/>
      <w:r>
        <w:t xml:space="preserve"> remained elevated in several treated groups, especially the </w:t>
      </w:r>
      <w:r>
        <w:rPr>
          <w:rStyle w:val="Emphasis"/>
        </w:rPr>
        <w:t>S. acuta</w:t>
      </w:r>
      <w:r>
        <w:t xml:space="preserve"> and </w:t>
      </w:r>
      <w:r>
        <w:rPr>
          <w:rStyle w:val="Emphasis"/>
        </w:rPr>
        <w:t xml:space="preserve">F. </w:t>
      </w:r>
      <w:proofErr w:type="spellStart"/>
      <w:r>
        <w:rPr>
          <w:rStyle w:val="Emphasis"/>
        </w:rPr>
        <w:t>exasperata</w:t>
      </w:r>
      <w:proofErr w:type="spellEnd"/>
      <w:r>
        <w:t xml:space="preserve"> </w:t>
      </w:r>
      <w:proofErr w:type="gramStart"/>
      <w:r>
        <w:t>single  treatment</w:t>
      </w:r>
      <w:proofErr w:type="gramEnd"/>
      <w:r>
        <w:t xml:space="preserve"> groups. While this may reflect altered calcium homeostasis in diabetes, it also indicates that </w:t>
      </w:r>
      <w:proofErr w:type="gramStart"/>
      <w:r>
        <w:t>the  treatments</w:t>
      </w:r>
      <w:proofErr w:type="gramEnd"/>
      <w:r>
        <w:t xml:space="preserve"> did not improve calcium indices in the same way they improved sodium, chloride, </w:t>
      </w:r>
      <w:proofErr w:type="gramStart"/>
      <w:r>
        <w:t>bicarbonate,  and</w:t>
      </w:r>
      <w:proofErr w:type="gramEnd"/>
      <w:r>
        <w:t xml:space="preserve"> potassium. </w:t>
      </w:r>
      <w:proofErr w:type="gramStart"/>
      <w:r>
        <w:t>This findings</w:t>
      </w:r>
      <w:proofErr w:type="gramEnd"/>
      <w:r>
        <w:t xml:space="preserve"> show that the ethanol fractions of </w:t>
      </w:r>
      <w:r>
        <w:rPr>
          <w:rStyle w:val="Emphasis"/>
        </w:rPr>
        <w:t>Sida acuta</w:t>
      </w:r>
      <w:r>
        <w:t xml:space="preserve"> and </w:t>
      </w:r>
      <w:r>
        <w:rPr>
          <w:rStyle w:val="Emphasis"/>
        </w:rPr>
        <w:t xml:space="preserve">Ficus </w:t>
      </w:r>
      <w:proofErr w:type="spellStart"/>
      <w:r>
        <w:rPr>
          <w:rStyle w:val="Emphasis"/>
        </w:rPr>
        <w:t>exasperata</w:t>
      </w:r>
      <w:proofErr w:type="spellEnd"/>
      <w:r>
        <w:t xml:space="preserve"> were able to ameliorate diabetes in serum electrolytes, particularly sodium, chloride, bicarbonate, </w:t>
      </w:r>
      <w:proofErr w:type="gramStart"/>
      <w:r>
        <w:t>and  potassium</w:t>
      </w:r>
      <w:proofErr w:type="gramEnd"/>
      <w:r>
        <w:t xml:space="preserve">. The effect was more evident with the single fractions than with the combined treatment, and the 200 mg/kg dose of </w:t>
      </w:r>
      <w:r>
        <w:rPr>
          <w:rStyle w:val="Emphasis"/>
        </w:rPr>
        <w:t>S. acuta</w:t>
      </w:r>
      <w:r>
        <w:t xml:space="preserve"> showed the closest improvement compared to normal values for most </w:t>
      </w:r>
      <w:proofErr w:type="gramStart"/>
      <w:r>
        <w:t>of  the</w:t>
      </w:r>
      <w:proofErr w:type="gramEnd"/>
      <w:r>
        <w:t xml:space="preserve"> electrolytes measured. These findings suggest that the extracts may possess protective </w:t>
      </w:r>
      <w:proofErr w:type="gramStart"/>
      <w:r>
        <w:t>effects  against</w:t>
      </w:r>
      <w:proofErr w:type="gramEnd"/>
      <w:r>
        <w:t xml:space="preserve"> diabetes-induced fluid, electrolyte, and acid-base imbalance. However, the persistently elevated calcium values indicate that their corrective effect may not extend equally to all electrolyte components, and this aspect warrants further investigation. The Electrolyte imbalance is a common feature of diabetic complications and may reflect tubular </w:t>
      </w:r>
      <w:r w:rsidR="00AB1F3E">
        <w:t>dysfunction [</w:t>
      </w:r>
      <w:r>
        <w:t>30</w:t>
      </w:r>
      <w:proofErr w:type="gramStart"/>
      <w:r>
        <w:t>]..</w:t>
      </w:r>
      <w:proofErr w:type="gramEnd"/>
      <w:r>
        <w:t xml:space="preserve"> The improvement observed in the treated groups suggests that the extracts may contribute to electrolyte homeostasis, the hepatoprotective and nephroprotective effects observed in this study may be attributed to the antidiabetic and antioxidant potential of </w:t>
      </w:r>
      <w:r w:rsidRPr="007948CB">
        <w:rPr>
          <w:i/>
        </w:rPr>
        <w:t>Sida acuta</w:t>
      </w:r>
      <w:r>
        <w:t xml:space="preserve"> and </w:t>
      </w:r>
      <w:r w:rsidRPr="007948CB">
        <w:rPr>
          <w:i/>
        </w:rPr>
        <w:t xml:space="preserve">Ficus </w:t>
      </w:r>
      <w:proofErr w:type="spellStart"/>
      <w:r w:rsidRPr="007948CB">
        <w:rPr>
          <w:i/>
        </w:rPr>
        <w:t>exasperata</w:t>
      </w:r>
      <w:proofErr w:type="spellEnd"/>
      <w:r>
        <w:t xml:space="preserve">. </w:t>
      </w:r>
    </w:p>
    <w:p w14:paraId="64A1147A"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29B783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15FC565"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0224B7B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5A8C36B"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65DB4D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3EF8C34"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67E2502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02AAB6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2FFEA58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721D3EF"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7CC5D21" w14:textId="77777777" w:rsidR="00745BFA" w:rsidRPr="00F32AE4" w:rsidRDefault="00745BFA" w:rsidP="00C7380E">
      <w:pPr>
        <w:spacing w:after="0" w:line="240" w:lineRule="auto"/>
        <w:jc w:val="both"/>
        <w:rPr>
          <w:rFonts w:ascii="Times New Roman" w:hAnsi="Times New Roman" w:cs="Times New Roman"/>
          <w:b/>
          <w:color w:val="000000" w:themeColor="text1"/>
          <w:sz w:val="28"/>
          <w:szCs w:val="28"/>
        </w:rPr>
      </w:pPr>
    </w:p>
    <w:p w14:paraId="061D84A6" w14:textId="77777777" w:rsidR="0084140B" w:rsidRPr="00B07608" w:rsidRDefault="00745BFA" w:rsidP="0084140B">
      <w:pPr>
        <w:spacing w:line="240" w:lineRule="auto"/>
        <w:jc w:val="both"/>
        <w:rPr>
          <w:rFonts w:cs="Arial"/>
          <w:b/>
          <w:bCs/>
          <w:color w:val="000000" w:themeColor="text1"/>
          <w:szCs w:val="20"/>
        </w:rPr>
      </w:pPr>
      <w:r>
        <w:rPr>
          <w:rFonts w:cs="Arial"/>
          <w:b/>
          <w:bCs/>
          <w:color w:val="000000" w:themeColor="text1"/>
          <w:szCs w:val="20"/>
        </w:rPr>
        <w:lastRenderedPageBreak/>
        <w:t>Table 4</w:t>
      </w:r>
      <w:r w:rsidR="0084140B" w:rsidRPr="00B07608">
        <w:rPr>
          <w:rFonts w:cs="Arial"/>
          <w:b/>
          <w:bCs/>
          <w:color w:val="000000" w:themeColor="text1"/>
          <w:szCs w:val="20"/>
        </w:rPr>
        <w:t>:</w:t>
      </w:r>
      <w:r w:rsidR="0084140B" w:rsidRPr="00B07608">
        <w:rPr>
          <w:rFonts w:cs="Arial"/>
          <w:color w:val="000000" w:themeColor="text1"/>
          <w:szCs w:val="20"/>
        </w:rPr>
        <w:t xml:space="preserve"> Effect of ethanol Fraction of </w:t>
      </w:r>
      <w:r w:rsidR="0084140B" w:rsidRPr="00B07608">
        <w:rPr>
          <w:rFonts w:cs="Arial"/>
          <w:i/>
          <w:iCs/>
          <w:color w:val="000000" w:themeColor="text1"/>
          <w:szCs w:val="20"/>
        </w:rPr>
        <w:t>S. acuta</w:t>
      </w:r>
      <w:r w:rsidR="0084140B" w:rsidRPr="00B07608">
        <w:rPr>
          <w:rFonts w:cs="Arial"/>
          <w:color w:val="000000" w:themeColor="text1"/>
          <w:szCs w:val="20"/>
        </w:rPr>
        <w:t xml:space="preserve"> and its combination with </w:t>
      </w:r>
      <w:r w:rsidR="0084140B" w:rsidRPr="00B07608">
        <w:rPr>
          <w:rFonts w:cs="Arial"/>
          <w:i/>
          <w:iCs/>
          <w:color w:val="000000" w:themeColor="text1"/>
          <w:szCs w:val="20"/>
        </w:rPr>
        <w:t xml:space="preserve">F. </w:t>
      </w:r>
      <w:proofErr w:type="spellStart"/>
      <w:r w:rsidR="0084140B" w:rsidRPr="00B07608">
        <w:rPr>
          <w:rFonts w:cs="Arial"/>
          <w:i/>
          <w:iCs/>
          <w:color w:val="000000" w:themeColor="text1"/>
          <w:szCs w:val="20"/>
        </w:rPr>
        <w:t>exasperata</w:t>
      </w:r>
      <w:proofErr w:type="spellEnd"/>
      <w:r w:rsidR="0084140B" w:rsidRPr="00B07608">
        <w:rPr>
          <w:rFonts w:cs="Arial"/>
          <w:color w:val="000000" w:themeColor="text1"/>
          <w:szCs w:val="20"/>
        </w:rPr>
        <w:t xml:space="preserve"> on </w:t>
      </w:r>
      <w:proofErr w:type="spellStart"/>
      <w:r w:rsidR="0084140B" w:rsidRPr="00B07608">
        <w:rPr>
          <w:rFonts w:cs="Arial"/>
          <w:color w:val="000000" w:themeColor="text1"/>
          <w:szCs w:val="20"/>
        </w:rPr>
        <w:t>electolytes</w:t>
      </w:r>
      <w:proofErr w:type="spellEnd"/>
      <w:r w:rsidR="0084140B" w:rsidRPr="00B07608">
        <w:rPr>
          <w:rFonts w:cs="Arial"/>
          <w:color w:val="000000" w:themeColor="text1"/>
          <w:szCs w:val="20"/>
        </w:rPr>
        <w:t xml:space="preserve"> of alloxan induced diabetic Rats expressed as mean ± SEM.</w:t>
      </w:r>
    </w:p>
    <w:tbl>
      <w:tblPr>
        <w:tblStyle w:val="TableGrid"/>
        <w:tblW w:w="11543" w:type="dxa"/>
        <w:tblInd w:w="-815" w:type="dxa"/>
        <w:tblLayout w:type="fixed"/>
        <w:tblLook w:val="04A0" w:firstRow="1" w:lastRow="0" w:firstColumn="1" w:lastColumn="0" w:noHBand="0" w:noVBand="1"/>
      </w:tblPr>
      <w:tblGrid>
        <w:gridCol w:w="2903"/>
        <w:gridCol w:w="1530"/>
        <w:gridCol w:w="1440"/>
        <w:gridCol w:w="1440"/>
        <w:gridCol w:w="1440"/>
        <w:gridCol w:w="1440"/>
        <w:gridCol w:w="1350"/>
      </w:tblGrid>
      <w:tr w:rsidR="0084140B" w:rsidRPr="00B07608" w14:paraId="31955981" w14:textId="77777777" w:rsidTr="00314CD6">
        <w:trPr>
          <w:trHeight w:val="710"/>
        </w:trPr>
        <w:tc>
          <w:tcPr>
            <w:tcW w:w="2903" w:type="dxa"/>
          </w:tcPr>
          <w:p w14:paraId="3576769F" w14:textId="77777777" w:rsidR="0084140B" w:rsidRPr="00B07608" w:rsidRDefault="0084140B" w:rsidP="00314CD6">
            <w:pPr>
              <w:spacing w:line="276" w:lineRule="auto"/>
              <w:jc w:val="both"/>
              <w:rPr>
                <w:rFonts w:cs="Arial"/>
                <w:b/>
                <w:bCs/>
                <w:color w:val="000000" w:themeColor="text1"/>
                <w:szCs w:val="20"/>
              </w:rPr>
            </w:pPr>
          </w:p>
          <w:p w14:paraId="1CB192F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GROUPS</w:t>
            </w:r>
          </w:p>
        </w:tc>
        <w:tc>
          <w:tcPr>
            <w:tcW w:w="1530" w:type="dxa"/>
          </w:tcPr>
          <w:p w14:paraId="635F17F1"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K+ (Mmol/L)</w:t>
            </w:r>
          </w:p>
        </w:tc>
        <w:tc>
          <w:tcPr>
            <w:tcW w:w="1440" w:type="dxa"/>
          </w:tcPr>
          <w:p w14:paraId="5226641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Na+ (Mmol/L)</w:t>
            </w:r>
          </w:p>
        </w:tc>
        <w:tc>
          <w:tcPr>
            <w:tcW w:w="1440" w:type="dxa"/>
          </w:tcPr>
          <w:p w14:paraId="25D9F97B"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Cl- (Mmol/L)</w:t>
            </w:r>
          </w:p>
        </w:tc>
        <w:tc>
          <w:tcPr>
            <w:tcW w:w="1440" w:type="dxa"/>
          </w:tcPr>
          <w:p w14:paraId="3644AF96"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HCo3+ (Mmol/L)</w:t>
            </w:r>
          </w:p>
        </w:tc>
        <w:tc>
          <w:tcPr>
            <w:tcW w:w="1440" w:type="dxa"/>
          </w:tcPr>
          <w:p w14:paraId="0410E769" w14:textId="77777777" w:rsidR="0084140B" w:rsidRPr="00B07608" w:rsidRDefault="0084140B" w:rsidP="00314CD6">
            <w:pPr>
              <w:spacing w:line="276" w:lineRule="auto"/>
              <w:jc w:val="both"/>
              <w:rPr>
                <w:rFonts w:cs="Arial"/>
                <w:b/>
                <w:bCs/>
                <w:color w:val="000000" w:themeColor="text1"/>
                <w:szCs w:val="20"/>
              </w:rPr>
            </w:pPr>
            <w:proofErr w:type="spellStart"/>
            <w:r w:rsidRPr="00B07608">
              <w:rPr>
                <w:rFonts w:cs="Arial"/>
                <w:b/>
                <w:bCs/>
                <w:color w:val="000000" w:themeColor="text1"/>
                <w:szCs w:val="20"/>
              </w:rPr>
              <w:t>Tca</w:t>
            </w:r>
            <w:proofErr w:type="spellEnd"/>
            <w:r w:rsidRPr="00B07608">
              <w:rPr>
                <w:rFonts w:cs="Arial"/>
                <w:b/>
                <w:bCs/>
                <w:color w:val="000000" w:themeColor="text1"/>
                <w:szCs w:val="20"/>
              </w:rPr>
              <w:t>+ (Mmol/L)</w:t>
            </w:r>
          </w:p>
        </w:tc>
        <w:tc>
          <w:tcPr>
            <w:tcW w:w="1350" w:type="dxa"/>
          </w:tcPr>
          <w:p w14:paraId="178A596D"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Ica+ (Mmol/L)</w:t>
            </w:r>
          </w:p>
        </w:tc>
      </w:tr>
      <w:tr w:rsidR="0084140B" w:rsidRPr="00B07608" w14:paraId="57D334B4" w14:textId="77777777" w:rsidTr="00314CD6">
        <w:trPr>
          <w:trHeight w:val="638"/>
        </w:trPr>
        <w:tc>
          <w:tcPr>
            <w:tcW w:w="2903" w:type="dxa"/>
          </w:tcPr>
          <w:p w14:paraId="49977876"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A: Normal control</w:t>
            </w:r>
          </w:p>
        </w:tc>
        <w:tc>
          <w:tcPr>
            <w:tcW w:w="1530" w:type="dxa"/>
          </w:tcPr>
          <w:p w14:paraId="52F5357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7.15±1.62 </w:t>
            </w:r>
          </w:p>
        </w:tc>
        <w:tc>
          <w:tcPr>
            <w:tcW w:w="1440" w:type="dxa"/>
          </w:tcPr>
          <w:p w14:paraId="2410CD9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133.25 ± 2.21</w:t>
            </w:r>
          </w:p>
        </w:tc>
        <w:tc>
          <w:tcPr>
            <w:tcW w:w="1440" w:type="dxa"/>
          </w:tcPr>
          <w:p w14:paraId="33AC6F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99.00 ± 1.22</w:t>
            </w:r>
          </w:p>
        </w:tc>
        <w:tc>
          <w:tcPr>
            <w:tcW w:w="1440" w:type="dxa"/>
          </w:tcPr>
          <w:p w14:paraId="79460F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1.55</w:t>
            </w:r>
          </w:p>
        </w:tc>
        <w:tc>
          <w:tcPr>
            <w:tcW w:w="1440" w:type="dxa"/>
          </w:tcPr>
          <w:p w14:paraId="0FC5DE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1.40 ± 0.32</w:t>
            </w:r>
          </w:p>
        </w:tc>
        <w:tc>
          <w:tcPr>
            <w:tcW w:w="1350" w:type="dxa"/>
          </w:tcPr>
          <w:p w14:paraId="34FC8DA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0.60 ± 0.17</w:t>
            </w:r>
          </w:p>
        </w:tc>
      </w:tr>
      <w:tr w:rsidR="0084140B" w:rsidRPr="00B07608" w14:paraId="6F3F57CB" w14:textId="77777777" w:rsidTr="00314CD6">
        <w:trPr>
          <w:trHeight w:val="800"/>
        </w:trPr>
        <w:tc>
          <w:tcPr>
            <w:tcW w:w="2903" w:type="dxa"/>
          </w:tcPr>
          <w:p w14:paraId="5C99D2F4"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B: Diabetic untreated</w:t>
            </w:r>
          </w:p>
        </w:tc>
        <w:tc>
          <w:tcPr>
            <w:tcW w:w="1530" w:type="dxa"/>
          </w:tcPr>
          <w:p w14:paraId="143EB44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7.60 ± 1.56</w:t>
            </w:r>
          </w:p>
        </w:tc>
        <w:tc>
          <w:tcPr>
            <w:tcW w:w="1440" w:type="dxa"/>
          </w:tcPr>
          <w:p w14:paraId="449604B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126.25 ± 4,42</w:t>
            </w:r>
          </w:p>
        </w:tc>
        <w:tc>
          <w:tcPr>
            <w:tcW w:w="1440" w:type="dxa"/>
          </w:tcPr>
          <w:p w14:paraId="4A40D2C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93.75 ± 5.31</w:t>
            </w:r>
          </w:p>
        </w:tc>
        <w:tc>
          <w:tcPr>
            <w:tcW w:w="1440" w:type="dxa"/>
          </w:tcPr>
          <w:p w14:paraId="33E2E96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12.25 ± 2.29</w:t>
            </w:r>
          </w:p>
        </w:tc>
        <w:tc>
          <w:tcPr>
            <w:tcW w:w="1440" w:type="dxa"/>
          </w:tcPr>
          <w:p w14:paraId="23209E0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1.75 ± 0.17</w:t>
            </w:r>
          </w:p>
        </w:tc>
        <w:tc>
          <w:tcPr>
            <w:tcW w:w="1350" w:type="dxa"/>
          </w:tcPr>
          <w:p w14:paraId="355A962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0.79 ± 0.82</w:t>
            </w:r>
          </w:p>
        </w:tc>
      </w:tr>
      <w:tr w:rsidR="0084140B" w:rsidRPr="00B07608" w14:paraId="76C83DC2" w14:textId="77777777" w:rsidTr="00314CD6">
        <w:trPr>
          <w:trHeight w:val="764"/>
        </w:trPr>
        <w:tc>
          <w:tcPr>
            <w:tcW w:w="2903" w:type="dxa"/>
          </w:tcPr>
          <w:p w14:paraId="6C17E9B9"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C : 0.29mg/kg </w:t>
            </w:r>
            <w:proofErr w:type="spellStart"/>
            <w:r w:rsidRPr="00B07608">
              <w:rPr>
                <w:rFonts w:cs="Arial"/>
                <w:color w:val="000000" w:themeColor="text1"/>
                <w:szCs w:val="20"/>
              </w:rPr>
              <w:t>Glibenclamide</w:t>
            </w:r>
            <w:proofErr w:type="spellEnd"/>
            <w:r w:rsidRPr="00B07608">
              <w:rPr>
                <w:rFonts w:cs="Arial"/>
                <w:color w:val="000000" w:themeColor="text1"/>
                <w:szCs w:val="20"/>
              </w:rPr>
              <w:t xml:space="preserve"> </w:t>
            </w:r>
          </w:p>
        </w:tc>
        <w:tc>
          <w:tcPr>
            <w:tcW w:w="1530" w:type="dxa"/>
          </w:tcPr>
          <w:p w14:paraId="6C6E5C7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6.07 ± 0.73</w:t>
            </w:r>
          </w:p>
        </w:tc>
        <w:tc>
          <w:tcPr>
            <w:tcW w:w="1440" w:type="dxa"/>
          </w:tcPr>
          <w:p w14:paraId="60DDF7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125.50 ± 1.19</w:t>
            </w:r>
          </w:p>
        </w:tc>
        <w:tc>
          <w:tcPr>
            <w:tcW w:w="1440" w:type="dxa"/>
          </w:tcPr>
          <w:p w14:paraId="3E63511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91.75 ± 1.11</w:t>
            </w:r>
          </w:p>
        </w:tc>
        <w:tc>
          <w:tcPr>
            <w:tcW w:w="1440" w:type="dxa"/>
          </w:tcPr>
          <w:p w14:paraId="032B402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0.25</w:t>
            </w:r>
          </w:p>
        </w:tc>
        <w:tc>
          <w:tcPr>
            <w:tcW w:w="1440" w:type="dxa"/>
          </w:tcPr>
          <w:p w14:paraId="2D487BE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1.73 ± 0.02</w:t>
            </w:r>
          </w:p>
        </w:tc>
        <w:tc>
          <w:tcPr>
            <w:tcW w:w="1350" w:type="dxa"/>
          </w:tcPr>
          <w:p w14:paraId="50C6D43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0.70 ± 0.04</w:t>
            </w:r>
          </w:p>
        </w:tc>
      </w:tr>
      <w:tr w:rsidR="0084140B" w:rsidRPr="00B07608" w14:paraId="733D190B" w14:textId="77777777" w:rsidTr="00314CD6">
        <w:trPr>
          <w:trHeight w:val="746"/>
        </w:trPr>
        <w:tc>
          <w:tcPr>
            <w:tcW w:w="2903" w:type="dxa"/>
          </w:tcPr>
          <w:p w14:paraId="7AF63E5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D 200mg/kg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3C3CF4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0.29</w:t>
            </w:r>
          </w:p>
        </w:tc>
        <w:tc>
          <w:tcPr>
            <w:tcW w:w="1440" w:type="dxa"/>
          </w:tcPr>
          <w:p w14:paraId="19F4A28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132.25 ± 0.95</w:t>
            </w:r>
          </w:p>
        </w:tc>
        <w:tc>
          <w:tcPr>
            <w:tcW w:w="1440" w:type="dxa"/>
          </w:tcPr>
          <w:p w14:paraId="590AE7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98.25 ± 0.48</w:t>
            </w:r>
          </w:p>
        </w:tc>
        <w:tc>
          <w:tcPr>
            <w:tcW w:w="1440" w:type="dxa"/>
          </w:tcPr>
          <w:p w14:paraId="124F0D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17.75 ± 1.11</w:t>
            </w:r>
          </w:p>
        </w:tc>
        <w:tc>
          <w:tcPr>
            <w:tcW w:w="1440" w:type="dxa"/>
          </w:tcPr>
          <w:p w14:paraId="7DB78D4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2.12 ± 0.05</w:t>
            </w:r>
          </w:p>
        </w:tc>
        <w:tc>
          <w:tcPr>
            <w:tcW w:w="1350" w:type="dxa"/>
          </w:tcPr>
          <w:p w14:paraId="05B45C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0.87 ± 0.02</w:t>
            </w:r>
          </w:p>
        </w:tc>
      </w:tr>
      <w:tr w:rsidR="0084140B" w:rsidRPr="00B07608" w14:paraId="660EB1BD" w14:textId="77777777" w:rsidTr="00314CD6">
        <w:trPr>
          <w:trHeight w:val="827"/>
        </w:trPr>
        <w:tc>
          <w:tcPr>
            <w:tcW w:w="2903" w:type="dxa"/>
          </w:tcPr>
          <w:p w14:paraId="09F6BA8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E (400mg/</w:t>
            </w:r>
            <w:proofErr w:type="spellStart"/>
            <w:r w:rsidRPr="00B07608">
              <w:rPr>
                <w:rFonts w:cs="Arial"/>
                <w:color w:val="000000" w:themeColor="text1"/>
                <w:szCs w:val="20"/>
              </w:rPr>
              <w:t>kgethanol</w:t>
            </w:r>
            <w:proofErr w:type="spellEnd"/>
            <w:r w:rsidRPr="00B07608">
              <w:rPr>
                <w:rFonts w:cs="Arial"/>
                <w:color w:val="000000" w:themeColor="text1"/>
                <w:szCs w:val="20"/>
              </w:rPr>
              <w:t xml:space="preserve">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95E868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1A5B35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130.00 ± 0.91</w:t>
            </w:r>
          </w:p>
        </w:tc>
        <w:tc>
          <w:tcPr>
            <w:tcW w:w="1440" w:type="dxa"/>
          </w:tcPr>
          <w:p w14:paraId="3825BD8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1.25</w:t>
            </w:r>
          </w:p>
        </w:tc>
        <w:tc>
          <w:tcPr>
            <w:tcW w:w="1440" w:type="dxa"/>
          </w:tcPr>
          <w:p w14:paraId="1AE5B66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15.50 ± 1.85</w:t>
            </w:r>
          </w:p>
        </w:tc>
        <w:tc>
          <w:tcPr>
            <w:tcW w:w="1440" w:type="dxa"/>
          </w:tcPr>
          <w:p w14:paraId="79940BC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2.03 ± 0.13</w:t>
            </w:r>
          </w:p>
        </w:tc>
        <w:tc>
          <w:tcPr>
            <w:tcW w:w="1350" w:type="dxa"/>
          </w:tcPr>
          <w:p w14:paraId="3F9584A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0.90 ± 0.06</w:t>
            </w:r>
          </w:p>
        </w:tc>
      </w:tr>
      <w:tr w:rsidR="0084140B" w:rsidRPr="00B07608" w14:paraId="178077DD" w14:textId="77777777" w:rsidTr="00314CD6">
        <w:trPr>
          <w:trHeight w:val="827"/>
        </w:trPr>
        <w:tc>
          <w:tcPr>
            <w:tcW w:w="2903" w:type="dxa"/>
          </w:tcPr>
          <w:p w14:paraId="5CC58CE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F (200mg/kg ethanol fraction of</w:t>
            </w:r>
            <w:r w:rsidRPr="00B07608">
              <w:rPr>
                <w:rFonts w:cs="Arial"/>
                <w:i/>
                <w:iCs/>
                <w:color w:val="000000" w:themeColor="text1"/>
                <w:szCs w:val="20"/>
              </w:rPr>
              <w:t xml:space="preserve"> </w:t>
            </w:r>
            <w:proofErr w:type="spellStart"/>
            <w:r w:rsidRPr="00B07608">
              <w:rPr>
                <w:rFonts w:cs="Arial"/>
                <w:i/>
                <w:iCs/>
                <w:color w:val="000000" w:themeColor="text1"/>
                <w:szCs w:val="20"/>
              </w:rPr>
              <w:t>F.exasperata</w:t>
            </w:r>
            <w:proofErr w:type="spellEnd"/>
            <w:r w:rsidRPr="00B07608">
              <w:rPr>
                <w:rFonts w:cs="Arial"/>
                <w:i/>
                <w:iCs/>
                <w:color w:val="000000" w:themeColor="text1"/>
                <w:szCs w:val="20"/>
              </w:rPr>
              <w:t>)</w:t>
            </w:r>
          </w:p>
        </w:tc>
        <w:tc>
          <w:tcPr>
            <w:tcW w:w="1530" w:type="dxa"/>
          </w:tcPr>
          <w:p w14:paraId="21BB73A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2F5194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131.25 ± 0.63</w:t>
            </w:r>
          </w:p>
        </w:tc>
        <w:tc>
          <w:tcPr>
            <w:tcW w:w="1440" w:type="dxa"/>
          </w:tcPr>
          <w:p w14:paraId="67A9BF9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0.75</w:t>
            </w:r>
          </w:p>
        </w:tc>
        <w:tc>
          <w:tcPr>
            <w:tcW w:w="1440" w:type="dxa"/>
          </w:tcPr>
          <w:p w14:paraId="7628E4C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17.25 ± 1.11</w:t>
            </w:r>
          </w:p>
        </w:tc>
        <w:tc>
          <w:tcPr>
            <w:tcW w:w="1440" w:type="dxa"/>
          </w:tcPr>
          <w:p w14:paraId="19DD214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2.00 ± 0.58</w:t>
            </w:r>
          </w:p>
        </w:tc>
        <w:tc>
          <w:tcPr>
            <w:tcW w:w="1350" w:type="dxa"/>
          </w:tcPr>
          <w:p w14:paraId="53524DD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0.88 ± 0.03</w:t>
            </w:r>
          </w:p>
        </w:tc>
      </w:tr>
      <w:tr w:rsidR="0084140B" w:rsidRPr="00B07608" w14:paraId="51812B5F" w14:textId="77777777" w:rsidTr="00314CD6">
        <w:trPr>
          <w:trHeight w:val="908"/>
        </w:trPr>
        <w:tc>
          <w:tcPr>
            <w:tcW w:w="2903" w:type="dxa"/>
          </w:tcPr>
          <w:p w14:paraId="3683157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Group G (400mg/kg ethanol fraction of </w:t>
            </w:r>
            <w:r w:rsidRPr="00B07608">
              <w:rPr>
                <w:rFonts w:cs="Arial"/>
                <w:i/>
                <w:iCs/>
                <w:color w:val="000000" w:themeColor="text1"/>
                <w:szCs w:val="20"/>
              </w:rPr>
              <w:t xml:space="preserve">F. </w:t>
            </w:r>
            <w:proofErr w:type="spellStart"/>
            <w:r w:rsidRPr="00B07608">
              <w:rPr>
                <w:rFonts w:cs="Arial"/>
                <w:i/>
                <w:iCs/>
                <w:color w:val="000000" w:themeColor="text1"/>
                <w:szCs w:val="20"/>
              </w:rPr>
              <w:t>exasperata</w:t>
            </w:r>
            <w:proofErr w:type="spellEnd"/>
            <w:r w:rsidRPr="00B07608">
              <w:rPr>
                <w:rFonts w:cs="Arial"/>
                <w:i/>
                <w:iCs/>
                <w:color w:val="000000" w:themeColor="text1"/>
                <w:szCs w:val="20"/>
              </w:rPr>
              <w:t>)</w:t>
            </w:r>
          </w:p>
        </w:tc>
        <w:tc>
          <w:tcPr>
            <w:tcW w:w="1530" w:type="dxa"/>
          </w:tcPr>
          <w:p w14:paraId="5DDAD78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5.75 ± 0.21</w:t>
            </w:r>
          </w:p>
        </w:tc>
        <w:tc>
          <w:tcPr>
            <w:tcW w:w="1440" w:type="dxa"/>
          </w:tcPr>
          <w:p w14:paraId="2F8A84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126.50 ± 6.89</w:t>
            </w:r>
          </w:p>
        </w:tc>
        <w:tc>
          <w:tcPr>
            <w:tcW w:w="1440" w:type="dxa"/>
          </w:tcPr>
          <w:p w14:paraId="70022AE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94.00 ± 4.06</w:t>
            </w:r>
          </w:p>
        </w:tc>
        <w:tc>
          <w:tcPr>
            <w:tcW w:w="1440" w:type="dxa"/>
          </w:tcPr>
          <w:p w14:paraId="1E35C5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0.75</w:t>
            </w:r>
          </w:p>
        </w:tc>
        <w:tc>
          <w:tcPr>
            <w:tcW w:w="1440" w:type="dxa"/>
          </w:tcPr>
          <w:p w14:paraId="0FEE4AC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2.10 ± 0.11</w:t>
            </w:r>
          </w:p>
        </w:tc>
        <w:tc>
          <w:tcPr>
            <w:tcW w:w="1350" w:type="dxa"/>
          </w:tcPr>
          <w:p w14:paraId="43B6A9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0.03</w:t>
            </w:r>
          </w:p>
        </w:tc>
      </w:tr>
      <w:tr w:rsidR="0084140B" w:rsidRPr="00B07608" w14:paraId="5BA5E0AF" w14:textId="77777777" w:rsidTr="00314CD6">
        <w:trPr>
          <w:trHeight w:val="1259"/>
        </w:trPr>
        <w:tc>
          <w:tcPr>
            <w:tcW w:w="2903" w:type="dxa"/>
          </w:tcPr>
          <w:p w14:paraId="6369C3C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H ( 200mg/kg 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w:t>
            </w:r>
            <w:proofErr w:type="spellStart"/>
            <w:r w:rsidRPr="00B07608">
              <w:rPr>
                <w:rFonts w:cs="Arial"/>
                <w:i/>
                <w:iCs/>
                <w:color w:val="000000" w:themeColor="text1"/>
                <w:szCs w:val="20"/>
              </w:rPr>
              <w:t>exasperata</w:t>
            </w:r>
            <w:proofErr w:type="spellEnd"/>
          </w:p>
        </w:tc>
        <w:tc>
          <w:tcPr>
            <w:tcW w:w="1530" w:type="dxa"/>
          </w:tcPr>
          <w:p w14:paraId="6B89D66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0.23</w:t>
            </w:r>
          </w:p>
        </w:tc>
        <w:tc>
          <w:tcPr>
            <w:tcW w:w="1440" w:type="dxa"/>
          </w:tcPr>
          <w:p w14:paraId="21F3377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132.75 ± 1.49</w:t>
            </w:r>
          </w:p>
        </w:tc>
        <w:tc>
          <w:tcPr>
            <w:tcW w:w="1440" w:type="dxa"/>
          </w:tcPr>
          <w:p w14:paraId="0AA28D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1.18</w:t>
            </w:r>
          </w:p>
        </w:tc>
        <w:tc>
          <w:tcPr>
            <w:tcW w:w="1440" w:type="dxa"/>
          </w:tcPr>
          <w:p w14:paraId="1920B1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16.00 ± 1.68 </w:t>
            </w:r>
          </w:p>
        </w:tc>
        <w:tc>
          <w:tcPr>
            <w:tcW w:w="1440" w:type="dxa"/>
          </w:tcPr>
          <w:p w14:paraId="1638360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1.95 ± 0.16</w:t>
            </w:r>
          </w:p>
        </w:tc>
        <w:tc>
          <w:tcPr>
            <w:tcW w:w="1350" w:type="dxa"/>
          </w:tcPr>
          <w:p w14:paraId="057E5C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0.06</w:t>
            </w:r>
          </w:p>
        </w:tc>
      </w:tr>
      <w:tr w:rsidR="0084140B" w:rsidRPr="00B07608" w14:paraId="3B504E2F" w14:textId="77777777" w:rsidTr="00314CD6">
        <w:tc>
          <w:tcPr>
            <w:tcW w:w="2903" w:type="dxa"/>
          </w:tcPr>
          <w:p w14:paraId="05A986D3"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I (400mg/kg 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 </w:t>
            </w:r>
            <w:proofErr w:type="spellStart"/>
            <w:r w:rsidRPr="00B07608">
              <w:rPr>
                <w:rFonts w:cs="Arial"/>
                <w:i/>
                <w:iCs/>
                <w:color w:val="000000" w:themeColor="text1"/>
                <w:szCs w:val="20"/>
              </w:rPr>
              <w:t>exasperata</w:t>
            </w:r>
            <w:proofErr w:type="spellEnd"/>
          </w:p>
        </w:tc>
        <w:tc>
          <w:tcPr>
            <w:tcW w:w="1530" w:type="dxa"/>
          </w:tcPr>
          <w:p w14:paraId="53A5F9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5.97 ± 0.23</w:t>
            </w:r>
          </w:p>
        </w:tc>
        <w:tc>
          <w:tcPr>
            <w:tcW w:w="1440" w:type="dxa"/>
          </w:tcPr>
          <w:p w14:paraId="21688EC9"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131.50 ± 2.06</w:t>
            </w:r>
          </w:p>
        </w:tc>
        <w:tc>
          <w:tcPr>
            <w:tcW w:w="1440" w:type="dxa"/>
          </w:tcPr>
          <w:p w14:paraId="433A713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1.10</w:t>
            </w:r>
          </w:p>
        </w:tc>
        <w:tc>
          <w:tcPr>
            <w:tcW w:w="1440" w:type="dxa"/>
          </w:tcPr>
          <w:p w14:paraId="341512C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15.25 ± 1.65</w:t>
            </w:r>
          </w:p>
        </w:tc>
        <w:tc>
          <w:tcPr>
            <w:tcW w:w="1440" w:type="dxa"/>
          </w:tcPr>
          <w:p w14:paraId="277F56E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1.83 ± 0.16</w:t>
            </w:r>
          </w:p>
        </w:tc>
        <w:tc>
          <w:tcPr>
            <w:tcW w:w="1350" w:type="dxa"/>
          </w:tcPr>
          <w:p w14:paraId="5B35D59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0.78 ± 0.08</w:t>
            </w:r>
          </w:p>
        </w:tc>
      </w:tr>
    </w:tbl>
    <w:p w14:paraId="12D447BB" w14:textId="77777777" w:rsidR="00C7380E" w:rsidRDefault="0084140B" w:rsidP="00745BFA">
      <w:pPr>
        <w:spacing w:line="240" w:lineRule="auto"/>
        <w:jc w:val="both"/>
        <w:rPr>
          <w:rFonts w:cs="Arial"/>
          <w:color w:val="000000" w:themeColor="text1"/>
          <w:szCs w:val="20"/>
        </w:rPr>
      </w:pPr>
      <w:proofErr w:type="spellStart"/>
      <w:r w:rsidRPr="00B07608">
        <w:rPr>
          <w:rFonts w:cs="Arial"/>
          <w:color w:val="000000" w:themeColor="text1"/>
          <w:szCs w:val="20"/>
        </w:rPr>
        <w:t>aSignificant</w:t>
      </w:r>
      <w:proofErr w:type="spellEnd"/>
      <w:r w:rsidRPr="00B07608">
        <w:rPr>
          <w:rFonts w:cs="Arial"/>
          <w:color w:val="000000" w:themeColor="text1"/>
          <w:szCs w:val="20"/>
        </w:rPr>
        <w:t xml:space="preserve"> increase with respect to Normal Control; </w:t>
      </w:r>
      <w:proofErr w:type="spellStart"/>
      <w:r w:rsidRPr="00B07608">
        <w:rPr>
          <w:rFonts w:cs="Arial"/>
          <w:color w:val="000000" w:themeColor="text1"/>
          <w:szCs w:val="20"/>
        </w:rPr>
        <w:t>bSignificant</w:t>
      </w:r>
      <w:proofErr w:type="spellEnd"/>
      <w:r w:rsidRPr="00B07608">
        <w:rPr>
          <w:rFonts w:cs="Arial"/>
          <w:color w:val="000000" w:themeColor="text1"/>
          <w:szCs w:val="20"/>
        </w:rPr>
        <w:t xml:space="preserve"> decrease with respect to Normal Control; </w:t>
      </w:r>
      <w:proofErr w:type="spellStart"/>
      <w:r w:rsidRPr="00B07608">
        <w:rPr>
          <w:rFonts w:cs="Arial"/>
          <w:color w:val="000000" w:themeColor="text1"/>
          <w:szCs w:val="20"/>
        </w:rPr>
        <w:t>cSignificant</w:t>
      </w:r>
      <w:proofErr w:type="spellEnd"/>
      <w:r w:rsidRPr="00B07608">
        <w:rPr>
          <w:rFonts w:cs="Arial"/>
          <w:color w:val="000000" w:themeColor="text1"/>
          <w:szCs w:val="20"/>
        </w:rPr>
        <w:t xml:space="preserve"> increase with respect to Diabetic untreated; </w:t>
      </w:r>
      <w:proofErr w:type="spellStart"/>
      <w:r w:rsidRPr="00B07608">
        <w:rPr>
          <w:rFonts w:cs="Arial"/>
          <w:color w:val="000000" w:themeColor="text1"/>
          <w:szCs w:val="20"/>
        </w:rPr>
        <w:t>dSignificant</w:t>
      </w:r>
      <w:proofErr w:type="spellEnd"/>
      <w:r w:rsidRPr="00B07608">
        <w:rPr>
          <w:rFonts w:cs="Arial"/>
          <w:color w:val="000000" w:themeColor="text1"/>
          <w:szCs w:val="20"/>
        </w:rPr>
        <w:t xml:space="preserve"> decrease with</w:t>
      </w:r>
      <w:r w:rsidR="00745BFA">
        <w:rPr>
          <w:rFonts w:cs="Arial"/>
          <w:color w:val="000000" w:themeColor="text1"/>
          <w:szCs w:val="20"/>
        </w:rPr>
        <w:t xml:space="preserve"> respect to Diabetic untreated.</w:t>
      </w:r>
    </w:p>
    <w:p w14:paraId="74D07E90" w14:textId="77777777" w:rsidR="00745BFA" w:rsidRPr="00745BFA" w:rsidRDefault="00745BFA" w:rsidP="00745BFA">
      <w:pPr>
        <w:spacing w:line="240" w:lineRule="auto"/>
        <w:jc w:val="both"/>
        <w:rPr>
          <w:rFonts w:cs="Arial"/>
          <w:color w:val="000000" w:themeColor="text1"/>
          <w:szCs w:val="20"/>
        </w:rPr>
      </w:pPr>
    </w:p>
    <w:p w14:paraId="7D944BE6" w14:textId="77777777" w:rsidR="00C7380E" w:rsidRPr="00F32AE4" w:rsidRDefault="00C7380E" w:rsidP="00C7380E">
      <w:pPr>
        <w:spacing w:after="0" w:line="240" w:lineRule="auto"/>
        <w:jc w:val="both"/>
        <w:rPr>
          <w:rFonts w:ascii="Times New Roman" w:hAnsi="Times New Roman" w:cs="Times New Roman"/>
          <w:b/>
          <w:color w:val="000000" w:themeColor="text1"/>
          <w:sz w:val="24"/>
          <w:szCs w:val="24"/>
        </w:rPr>
      </w:pPr>
    </w:p>
    <w:p w14:paraId="3D30C4D8" w14:textId="77777777" w:rsidR="00C7380E" w:rsidRDefault="00C7380E">
      <w:pPr>
        <w:spacing w:after="80"/>
        <w:jc w:val="both"/>
      </w:pPr>
    </w:p>
    <w:p w14:paraId="12FC69EA" w14:textId="77777777" w:rsidR="004F2F84" w:rsidRDefault="006B2731">
      <w:pPr>
        <w:spacing w:before="120" w:after="80"/>
      </w:pPr>
      <w:r>
        <w:rPr>
          <w:b/>
          <w:sz w:val="22"/>
        </w:rPr>
        <w:t>4. CONCLUSION</w:t>
      </w:r>
    </w:p>
    <w:p w14:paraId="7877E882" w14:textId="77777777" w:rsidR="004F2F84" w:rsidRDefault="006B2731">
      <w:pPr>
        <w:spacing w:after="80"/>
        <w:jc w:val="both"/>
      </w:pPr>
      <w:r>
        <w:t xml:space="preserve">Ethanol extracts of </w:t>
      </w:r>
      <w:r w:rsidRPr="007948CB">
        <w:rPr>
          <w:i/>
        </w:rPr>
        <w:t>Sida acuta</w:t>
      </w:r>
      <w:r>
        <w:t xml:space="preserve"> and </w:t>
      </w:r>
      <w:r w:rsidRPr="007948CB">
        <w:rPr>
          <w:i/>
        </w:rPr>
        <w:t>Ficus exasperata</w:t>
      </w:r>
      <w:r>
        <w:t xml:space="preserve"> leaves, administered singly and in combination, showed protective effects on liver and kidney functions in alloxan-induced diabetic rats. The combined treatment </w:t>
      </w:r>
      <w:r w:rsidR="00017B76">
        <w:t xml:space="preserve">also </w:t>
      </w:r>
      <w:r>
        <w:t>improve</w:t>
      </w:r>
      <w:r w:rsidR="00017B76">
        <w:t>d some</w:t>
      </w:r>
      <w:r>
        <w:t xml:space="preserve"> liver enzyme activities, renal function markers, and electrolyte balance without causing histological damage. These findings support the traditional use of these plants in the management of diabetes</w:t>
      </w:r>
      <w:r w:rsidR="00017B76">
        <w:t>.</w:t>
      </w:r>
      <w:r>
        <w:t xml:space="preserve"> </w:t>
      </w:r>
    </w:p>
    <w:p w14:paraId="07A2F600" w14:textId="200BD4D0" w:rsidR="004F2F84" w:rsidRDefault="0032323E">
      <w:pPr>
        <w:spacing w:before="120" w:after="80"/>
        <w:rPr>
          <w:b/>
          <w:sz w:val="22"/>
        </w:rPr>
      </w:pPr>
      <w:r>
        <w:rPr>
          <w:b/>
          <w:sz w:val="22"/>
        </w:rPr>
        <w:lastRenderedPageBreak/>
        <w:t>5</w:t>
      </w:r>
      <w:r w:rsidR="006B2731">
        <w:rPr>
          <w:b/>
          <w:sz w:val="22"/>
        </w:rPr>
        <w:t>. REFERENCES</w:t>
      </w:r>
    </w:p>
    <w:p w14:paraId="11C4147A" w14:textId="77777777" w:rsidR="006C4CFF" w:rsidRDefault="006C4CFF" w:rsidP="006C4CFF">
      <w:pPr>
        <w:spacing w:after="40" w:line="240" w:lineRule="auto"/>
        <w:jc w:val="both"/>
      </w:pPr>
      <w:r>
        <w:t xml:space="preserve">1. Sukhikh S, Babich O, </w:t>
      </w:r>
      <w:proofErr w:type="spellStart"/>
      <w:r>
        <w:t>Prosekov</w:t>
      </w:r>
      <w:proofErr w:type="spellEnd"/>
      <w:r>
        <w:t xml:space="preserve"> A, Kalashnikova O, Noskova S, </w:t>
      </w:r>
      <w:proofErr w:type="spellStart"/>
      <w:r>
        <w:t>Bakhtiyarova</w:t>
      </w:r>
      <w:proofErr w:type="spellEnd"/>
      <w:r>
        <w:t xml:space="preserve"> A, et </w:t>
      </w:r>
      <w:commentRangeStart w:id="7"/>
      <w:r>
        <w:t>al</w:t>
      </w:r>
      <w:commentRangeEnd w:id="7"/>
      <w:r w:rsidR="00886EBB">
        <w:rPr>
          <w:rStyle w:val="CommentReference"/>
        </w:rPr>
        <w:commentReference w:id="7"/>
      </w:r>
      <w:r>
        <w:t>. Antidiabetic properties of plant secondary metabolites. Metabolites. 2023;13(4):513.</w:t>
      </w:r>
    </w:p>
    <w:p w14:paraId="2A5241D2" w14:textId="77777777" w:rsidR="006C4CFF" w:rsidRDefault="006C4CFF" w:rsidP="006C4CFF">
      <w:pPr>
        <w:spacing w:after="40" w:line="240" w:lineRule="auto"/>
        <w:jc w:val="both"/>
      </w:pPr>
      <w:r>
        <w:t xml:space="preserve">2. Rahman MM, Al Mahmud Z, Hossain MS, Sultana N, Uddin ME, Rahman MA. Exploring the plant-derived bioactive substances as anti-diabetic agents: pharmacology, mechanisms, and therapeutic applications. Journal of Ethnopharmacology. </w:t>
      </w:r>
      <w:proofErr w:type="gramStart"/>
      <w:r>
        <w:t>2022;152:113217</w:t>
      </w:r>
      <w:proofErr w:type="gramEnd"/>
      <w:r>
        <w:t>.</w:t>
      </w:r>
    </w:p>
    <w:p w14:paraId="30B3E34A" w14:textId="77777777" w:rsidR="006C4CFF" w:rsidRDefault="006C4CFF" w:rsidP="006C4CFF">
      <w:pPr>
        <w:spacing w:after="40" w:line="240" w:lineRule="auto"/>
        <w:jc w:val="both"/>
      </w:pPr>
      <w:r>
        <w:t xml:space="preserve">3. Yang T, Qi F, Guo F, Shao M, Song Y, Ren G, et </w:t>
      </w:r>
      <w:commentRangeStart w:id="8"/>
      <w:r>
        <w:t>al</w:t>
      </w:r>
      <w:commentRangeEnd w:id="8"/>
      <w:r w:rsidR="00886EBB">
        <w:rPr>
          <w:rStyle w:val="CommentReference"/>
        </w:rPr>
        <w:commentReference w:id="8"/>
      </w:r>
      <w:r>
        <w:t>. An update on chronic complications of diabetes mellitus: from molecular mechanisms to therapeutic strategies with a focus on metabolic memory. Molecular Medicine. 2024;30(1):71.</w:t>
      </w:r>
    </w:p>
    <w:p w14:paraId="00236B19" w14:textId="77777777" w:rsidR="006C4CFF" w:rsidRDefault="006C4CFF" w:rsidP="006C4CFF">
      <w:pPr>
        <w:spacing w:after="40" w:line="240" w:lineRule="auto"/>
        <w:jc w:val="both"/>
      </w:pPr>
      <w:r>
        <w:t xml:space="preserve">4. Antar SA, Ashour NA, Sharaky M, Khattab M, Ashour NA, Zaid RT, et </w:t>
      </w:r>
      <w:commentRangeStart w:id="9"/>
      <w:r>
        <w:t>al</w:t>
      </w:r>
      <w:commentRangeEnd w:id="9"/>
      <w:r w:rsidR="00886EBB">
        <w:rPr>
          <w:rStyle w:val="CommentReference"/>
        </w:rPr>
        <w:commentReference w:id="9"/>
      </w:r>
      <w:r>
        <w:t xml:space="preserve">. Diabetes mellitus: classification, mediators, and complications; a gate to identify potential targets for the development of new effective treatments. Biomedicine &amp; Pharmacotherapy. </w:t>
      </w:r>
      <w:proofErr w:type="gramStart"/>
      <w:r>
        <w:t>2023;168:115734</w:t>
      </w:r>
      <w:proofErr w:type="gramEnd"/>
      <w:r>
        <w:t>.</w:t>
      </w:r>
    </w:p>
    <w:p w14:paraId="69D0500F" w14:textId="77777777" w:rsidR="006C4CFF" w:rsidRDefault="006C4CFF" w:rsidP="006C4CFF">
      <w:pPr>
        <w:spacing w:after="40" w:line="240" w:lineRule="auto"/>
        <w:jc w:val="both"/>
      </w:pPr>
      <w:r>
        <w:t xml:space="preserve">5. </w:t>
      </w:r>
      <w:proofErr w:type="spellStart"/>
      <w:r>
        <w:t>Yedjou</w:t>
      </w:r>
      <w:proofErr w:type="spellEnd"/>
      <w:r>
        <w:t xml:space="preserve"> CG, Grigsby J, </w:t>
      </w:r>
      <w:proofErr w:type="spellStart"/>
      <w:r>
        <w:t>Mbemi</w:t>
      </w:r>
      <w:proofErr w:type="spellEnd"/>
      <w:r>
        <w:t xml:space="preserve"> A, Nelson D, </w:t>
      </w:r>
      <w:proofErr w:type="spellStart"/>
      <w:r>
        <w:t>Mildort</w:t>
      </w:r>
      <w:proofErr w:type="spellEnd"/>
      <w:r>
        <w:t xml:space="preserve"> B, </w:t>
      </w:r>
      <w:proofErr w:type="spellStart"/>
      <w:r>
        <w:t>Latinwo</w:t>
      </w:r>
      <w:proofErr w:type="spellEnd"/>
      <w:r>
        <w:t xml:space="preserve"> L, et </w:t>
      </w:r>
      <w:commentRangeStart w:id="10"/>
      <w:r>
        <w:t>al</w:t>
      </w:r>
      <w:commentRangeEnd w:id="10"/>
      <w:r w:rsidR="00886EBB">
        <w:rPr>
          <w:rStyle w:val="CommentReference"/>
        </w:rPr>
        <w:commentReference w:id="10"/>
      </w:r>
      <w:r>
        <w:t>. The management of diabetes mellitus using medicinal plants and vitamins. International Journal of Molecular Sciences. 2023;24(10):9085.</w:t>
      </w:r>
    </w:p>
    <w:p w14:paraId="779C2F35" w14:textId="77777777" w:rsidR="006C4CFF" w:rsidRDefault="006C4CFF" w:rsidP="006C4CFF">
      <w:pPr>
        <w:spacing w:after="40" w:line="240" w:lineRule="auto"/>
        <w:jc w:val="both"/>
      </w:pPr>
      <w:r>
        <w:t xml:space="preserve">6. Diatta K, Diatta W, Mbaye AI, Sarr A, Dieng SIM, Maiga H, et </w:t>
      </w:r>
      <w:commentRangeStart w:id="11"/>
      <w:r>
        <w:t>al</w:t>
      </w:r>
      <w:commentRangeEnd w:id="11"/>
      <w:r w:rsidR="00886EBB">
        <w:rPr>
          <w:rStyle w:val="CommentReference"/>
        </w:rPr>
        <w:commentReference w:id="11"/>
      </w:r>
      <w:r>
        <w:t xml:space="preserve">. Monographic study on Ficus </w:t>
      </w:r>
      <w:proofErr w:type="spellStart"/>
      <w:r>
        <w:t>exasperata</w:t>
      </w:r>
      <w:proofErr w:type="spellEnd"/>
      <w:r>
        <w:t xml:space="preserve"> Vahl: phytochemistry, pharmacology and toxicity. Asian Journal of Research in Botany. 2024;7(2):326-335.</w:t>
      </w:r>
    </w:p>
    <w:p w14:paraId="3DCBF1B9" w14:textId="77777777" w:rsidR="006C4CFF" w:rsidRDefault="006C4CFF" w:rsidP="006C4CFF">
      <w:pPr>
        <w:spacing w:after="40" w:line="240" w:lineRule="auto"/>
        <w:jc w:val="both"/>
      </w:pPr>
      <w:r>
        <w:t xml:space="preserve">7. Roy BC, Ghodke AS, Thakur AK, Kumar S, et </w:t>
      </w:r>
      <w:commentRangeStart w:id="12"/>
      <w:r>
        <w:t>al</w:t>
      </w:r>
      <w:commentRangeEnd w:id="12"/>
      <w:r w:rsidR="00886EBB">
        <w:rPr>
          <w:rStyle w:val="CommentReference"/>
        </w:rPr>
        <w:commentReference w:id="12"/>
      </w:r>
      <w:r>
        <w:t xml:space="preserve">. </w:t>
      </w:r>
      <w:r w:rsidRPr="000C096B">
        <w:rPr>
          <w:i/>
        </w:rPr>
        <w:t xml:space="preserve">Ficus </w:t>
      </w:r>
      <w:proofErr w:type="spellStart"/>
      <w:r w:rsidRPr="000C096B">
        <w:rPr>
          <w:i/>
        </w:rPr>
        <w:t>exasperata</w:t>
      </w:r>
      <w:proofErr w:type="spellEnd"/>
      <w:r>
        <w:t xml:space="preserve"> Vahl: sandpaper fig with traditional medicinal uses. In: Medicinal Trees of India. Vol. 1. 2025. p. 53-63.</w:t>
      </w:r>
    </w:p>
    <w:p w14:paraId="54052E95" w14:textId="77777777" w:rsidR="006C4CFF" w:rsidRDefault="006C4CFF" w:rsidP="006C4CFF">
      <w:pPr>
        <w:spacing w:after="40" w:line="240" w:lineRule="auto"/>
        <w:jc w:val="both"/>
      </w:pPr>
      <w:r>
        <w:t xml:space="preserve">8. Shankar P, Gayathri R, Selvaraj J, Vishnu Priya V. Antidiabetic and anti-inflammatory potentials of </w:t>
      </w:r>
      <w:r w:rsidRPr="000C096B">
        <w:rPr>
          <w:i/>
        </w:rPr>
        <w:t>Sida acuta</w:t>
      </w:r>
      <w:r>
        <w:t xml:space="preserve"> leaf ethanolic extract. Journal of Pharmaceutical Research International. 2021;33(64A):96-103.</w:t>
      </w:r>
    </w:p>
    <w:p w14:paraId="65D8E4F1" w14:textId="77777777" w:rsidR="006C4CFF" w:rsidRDefault="006C4CFF" w:rsidP="006C4CFF">
      <w:pPr>
        <w:spacing w:after="40" w:line="240" w:lineRule="auto"/>
        <w:jc w:val="both"/>
      </w:pPr>
      <w:r>
        <w:t xml:space="preserve">9. Oboh IE, </w:t>
      </w:r>
      <w:proofErr w:type="spellStart"/>
      <w:r>
        <w:t>Onwukaeme</w:t>
      </w:r>
      <w:proofErr w:type="spellEnd"/>
      <w:r>
        <w:t xml:space="preserve"> DN. </w:t>
      </w:r>
      <w:proofErr w:type="spellStart"/>
      <w:r>
        <w:t>Pharmacognostic</w:t>
      </w:r>
      <w:proofErr w:type="spellEnd"/>
      <w:r>
        <w:t xml:space="preserve"> evaluation of the leaves of </w:t>
      </w:r>
      <w:commentRangeStart w:id="13"/>
      <w:r>
        <w:t>Sida</w:t>
      </w:r>
      <w:commentRangeEnd w:id="13"/>
      <w:r w:rsidR="00886EBB">
        <w:rPr>
          <w:rStyle w:val="CommentReference"/>
        </w:rPr>
        <w:commentReference w:id="13"/>
      </w:r>
      <w:r>
        <w:t xml:space="preserve"> acuta </w:t>
      </w:r>
      <w:proofErr w:type="spellStart"/>
      <w:r>
        <w:t>Burm.f</w:t>
      </w:r>
      <w:proofErr w:type="spellEnd"/>
      <w:r>
        <w:t>. (</w:t>
      </w:r>
      <w:proofErr w:type="spellStart"/>
      <w:r>
        <w:t>Malvaceae</w:t>
      </w:r>
      <w:proofErr w:type="spellEnd"/>
      <w:r>
        <w:t xml:space="preserve">). Journal of Phytomedicine and Therapeutics. </w:t>
      </w:r>
      <w:proofErr w:type="gramStart"/>
      <w:r>
        <w:t>2007;12:56</w:t>
      </w:r>
      <w:proofErr w:type="gramEnd"/>
      <w:r>
        <w:t>-65.</w:t>
      </w:r>
    </w:p>
    <w:p w14:paraId="4CD3D115" w14:textId="77777777" w:rsidR="006C4CFF" w:rsidRDefault="006C4CFF" w:rsidP="006C4CFF">
      <w:pPr>
        <w:spacing w:after="40" w:line="240" w:lineRule="auto"/>
        <w:jc w:val="both"/>
      </w:pPr>
      <w:r>
        <w:t xml:space="preserve">10. Srinivasan N, Murali R. An overview of the traditional importance, phytochemistry, and pharmacological properties of Sida acuta </w:t>
      </w:r>
      <w:proofErr w:type="spellStart"/>
      <w:r>
        <w:t>Burm.f</w:t>
      </w:r>
      <w:proofErr w:type="spellEnd"/>
      <w:r>
        <w:t>. Annals of Phytomedicine. 2022;11(2):245-254.</w:t>
      </w:r>
    </w:p>
    <w:p w14:paraId="7509032B" w14:textId="77777777" w:rsidR="006C4CFF" w:rsidRDefault="006C4CFF" w:rsidP="006C4CFF">
      <w:pPr>
        <w:spacing w:after="40" w:line="240" w:lineRule="auto"/>
        <w:jc w:val="both"/>
      </w:pPr>
      <w:r>
        <w:t>11. Zahra M, Ali F, Ahmed S, Khan S, Gul H. Flavonoids: antioxidant powerhouses and their role in reducing oxidative stress and chronic disease. Antioxidants. 2024;13(8):922.</w:t>
      </w:r>
    </w:p>
    <w:p w14:paraId="75CB8214" w14:textId="77777777" w:rsidR="006C4CFF" w:rsidRDefault="006C4CFF" w:rsidP="006C4CFF">
      <w:pPr>
        <w:spacing w:after="0" w:line="240" w:lineRule="auto"/>
        <w:jc w:val="both"/>
      </w:pPr>
      <w:r>
        <w:t xml:space="preserve">12. </w:t>
      </w:r>
      <w:proofErr w:type="spellStart"/>
      <w:r>
        <w:t>Lorke</w:t>
      </w:r>
      <w:proofErr w:type="spellEnd"/>
      <w:r>
        <w:t xml:space="preserve"> D. A new approach to practical acute toxicity testing. Archives of Toxicology. </w:t>
      </w:r>
      <w:proofErr w:type="gramStart"/>
      <w:r>
        <w:t>1983;54:275</w:t>
      </w:r>
      <w:proofErr w:type="gramEnd"/>
      <w:r>
        <w:t>-287</w:t>
      </w:r>
    </w:p>
    <w:p w14:paraId="1B4A240A" w14:textId="77777777" w:rsidR="006C4CFF" w:rsidRDefault="006C4CFF" w:rsidP="006C4CFF">
      <w:pPr>
        <w:spacing w:after="0" w:line="240" w:lineRule="auto"/>
        <w:jc w:val="both"/>
        <w:rPr>
          <w:rFonts w:cs="Arial"/>
          <w:szCs w:val="20"/>
        </w:rPr>
      </w:pPr>
      <w:r>
        <w:rPr>
          <w:rFonts w:cs="Arial"/>
          <w:szCs w:val="20"/>
        </w:rPr>
        <w:t>13.</w:t>
      </w:r>
      <w:r w:rsidRPr="008D0A7B">
        <w:rPr>
          <w:rFonts w:cs="Arial"/>
          <w:szCs w:val="20"/>
        </w:rPr>
        <w:t xml:space="preserve">Radenković M, Stojanović M, </w:t>
      </w:r>
      <w:proofErr w:type="spellStart"/>
      <w:r w:rsidRPr="008D0A7B">
        <w:rPr>
          <w:rFonts w:cs="Arial"/>
          <w:szCs w:val="20"/>
        </w:rPr>
        <w:t>Prostran</w:t>
      </w:r>
      <w:proofErr w:type="spellEnd"/>
      <w:r w:rsidRPr="008D0A7B">
        <w:rPr>
          <w:rFonts w:cs="Arial"/>
          <w:szCs w:val="20"/>
        </w:rPr>
        <w:t xml:space="preserve"> M. Experimental diabetes induced by alloxan and streptozotocin: The current state of the art. J </w:t>
      </w:r>
      <w:proofErr w:type="spellStart"/>
      <w:r w:rsidRPr="008D0A7B">
        <w:rPr>
          <w:rFonts w:cs="Arial"/>
          <w:szCs w:val="20"/>
        </w:rPr>
        <w:t>Pharmacol</w:t>
      </w:r>
      <w:proofErr w:type="spellEnd"/>
      <w:r w:rsidRPr="008D0A7B">
        <w:rPr>
          <w:rFonts w:cs="Arial"/>
          <w:szCs w:val="20"/>
        </w:rPr>
        <w:t xml:space="preserve"> </w:t>
      </w:r>
      <w:proofErr w:type="spellStart"/>
      <w:r w:rsidRPr="008D0A7B">
        <w:rPr>
          <w:rFonts w:cs="Arial"/>
          <w:szCs w:val="20"/>
        </w:rPr>
        <w:t>Toxicol</w:t>
      </w:r>
      <w:proofErr w:type="spellEnd"/>
      <w:r w:rsidRPr="008D0A7B">
        <w:rPr>
          <w:rFonts w:cs="Arial"/>
          <w:szCs w:val="20"/>
        </w:rPr>
        <w:t xml:space="preserve"> Methods. </w:t>
      </w:r>
      <w:proofErr w:type="gramStart"/>
      <w:r w:rsidRPr="008D0A7B">
        <w:rPr>
          <w:rFonts w:cs="Arial"/>
          <w:szCs w:val="20"/>
        </w:rPr>
        <w:t>2016;78:13</w:t>
      </w:r>
      <w:proofErr w:type="gramEnd"/>
      <w:r w:rsidRPr="008D0A7B">
        <w:rPr>
          <w:rFonts w:cs="Arial"/>
          <w:szCs w:val="20"/>
        </w:rPr>
        <w:t>–31.</w:t>
      </w:r>
    </w:p>
    <w:p w14:paraId="06556755" w14:textId="77777777" w:rsidR="006C4CFF" w:rsidRDefault="006C4CFF" w:rsidP="006C4CFF">
      <w:pPr>
        <w:spacing w:after="0" w:line="240" w:lineRule="auto"/>
        <w:jc w:val="both"/>
      </w:pPr>
      <w:r>
        <w:rPr>
          <w:rFonts w:cs="Arial"/>
          <w:szCs w:val="20"/>
        </w:rPr>
        <w:t>14.</w:t>
      </w:r>
      <w:r w:rsidRPr="008D0A7B">
        <w:rPr>
          <w:rFonts w:cs="Arial"/>
          <w:szCs w:val="20"/>
        </w:rPr>
        <w:t xml:space="preserve">Ighodaro OM, Adeosun AM, </w:t>
      </w:r>
      <w:proofErr w:type="spellStart"/>
      <w:r w:rsidRPr="008D0A7B">
        <w:rPr>
          <w:rFonts w:cs="Arial"/>
          <w:szCs w:val="20"/>
        </w:rPr>
        <w:t>Akinloye</w:t>
      </w:r>
      <w:proofErr w:type="spellEnd"/>
      <w:r w:rsidRPr="008D0A7B">
        <w:rPr>
          <w:rFonts w:cs="Arial"/>
          <w:szCs w:val="20"/>
        </w:rPr>
        <w:t xml:space="preserve"> OA. Alloxan-induced diabetes, a common model for evaluating the glycemic-control potential of therapeutic compounds and plants extracts in experimental studies. Medicina. </w:t>
      </w:r>
      <w:proofErr w:type="gramStart"/>
      <w:r w:rsidRPr="008D0A7B">
        <w:rPr>
          <w:rFonts w:cs="Arial"/>
          <w:szCs w:val="20"/>
        </w:rPr>
        <w:t>2017;53:365</w:t>
      </w:r>
      <w:proofErr w:type="gramEnd"/>
      <w:r w:rsidRPr="008D0A7B">
        <w:rPr>
          <w:rFonts w:cs="Arial"/>
          <w:szCs w:val="20"/>
        </w:rPr>
        <w:t>–374</w:t>
      </w:r>
      <w:r>
        <w:t>.</w:t>
      </w:r>
    </w:p>
    <w:p w14:paraId="1569D73D" w14:textId="77777777" w:rsidR="006C4CFF" w:rsidRDefault="006C4CFF" w:rsidP="006C4CFF">
      <w:pPr>
        <w:spacing w:after="0" w:line="240" w:lineRule="auto"/>
        <w:jc w:val="both"/>
      </w:pPr>
      <w:r>
        <w:t xml:space="preserve">15.OECD. </w:t>
      </w:r>
      <w:r>
        <w:rPr>
          <w:rStyle w:val="Emphasis"/>
        </w:rPr>
        <w:t>Test No. 425: Acute Oral Toxicity: Up-and-Down Procedure</w:t>
      </w:r>
      <w:r>
        <w:t>. OECD Guidelines for the Testing of Chemicals. Paris: OECD Publishing; 2022</w:t>
      </w:r>
    </w:p>
    <w:p w14:paraId="1872EAD9" w14:textId="77777777" w:rsidR="006C4CFF" w:rsidRDefault="006C4CFF" w:rsidP="006C4CFF">
      <w:pPr>
        <w:spacing w:after="40" w:line="240" w:lineRule="auto"/>
        <w:jc w:val="both"/>
      </w:pPr>
      <w:r>
        <w:t xml:space="preserve">16. OECD. </w:t>
      </w:r>
      <w:r>
        <w:rPr>
          <w:rStyle w:val="Emphasis"/>
        </w:rPr>
        <w:t>Guidance Document on Acute Oral Toxicity Testing</w:t>
      </w:r>
      <w:r>
        <w:t>. OECD Environment, Health and Safety Publications; updated edition available through OECD library.2001</w:t>
      </w:r>
    </w:p>
    <w:p w14:paraId="0BA83657" w14:textId="7777777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17. </w:t>
      </w:r>
      <w:r w:rsidRPr="003C32AE">
        <w:rPr>
          <w:rFonts w:cs="Arial"/>
          <w:color w:val="1B1B1B"/>
          <w:shd w:val="clear" w:color="auto" w:fill="FFFFFF"/>
        </w:rPr>
        <w:t xml:space="preserve">Donkor AM, </w:t>
      </w:r>
      <w:proofErr w:type="spellStart"/>
      <w:r w:rsidRPr="003C32AE">
        <w:rPr>
          <w:rFonts w:cs="Arial"/>
          <w:color w:val="1B1B1B"/>
          <w:shd w:val="clear" w:color="auto" w:fill="FFFFFF"/>
        </w:rPr>
        <w:t>Ahenkorah</w:t>
      </w:r>
      <w:proofErr w:type="spellEnd"/>
      <w:r w:rsidRPr="003C32AE">
        <w:rPr>
          <w:rFonts w:cs="Arial"/>
          <w:color w:val="1B1B1B"/>
          <w:shd w:val="clear" w:color="auto" w:fill="FFFFFF"/>
        </w:rPr>
        <w:t xml:space="preserve"> B, </w:t>
      </w:r>
      <w:proofErr w:type="spellStart"/>
      <w:r w:rsidRPr="003C32AE">
        <w:rPr>
          <w:rFonts w:cs="Arial"/>
          <w:color w:val="1B1B1B"/>
          <w:shd w:val="clear" w:color="auto" w:fill="FFFFFF"/>
        </w:rPr>
        <w:t>Wallah</w:t>
      </w:r>
      <w:proofErr w:type="spellEnd"/>
      <w:r w:rsidRPr="003C32AE">
        <w:rPr>
          <w:rFonts w:cs="Arial"/>
          <w:color w:val="1B1B1B"/>
          <w:shd w:val="clear" w:color="auto" w:fill="FFFFFF"/>
        </w:rPr>
        <w:t xml:space="preserve"> TA, Yakubu A. Evaluation of extracts from </w:t>
      </w:r>
      <w:r w:rsidRPr="003C32AE">
        <w:rPr>
          <w:rFonts w:cs="Arial"/>
          <w:i/>
          <w:iCs/>
          <w:color w:val="1B1B1B"/>
          <w:shd w:val="clear" w:color="auto" w:fill="FFFFFF"/>
        </w:rPr>
        <w:t xml:space="preserve">Sida acuta, Phyllanthus </w:t>
      </w:r>
      <w:proofErr w:type="spellStart"/>
      <w:r w:rsidRPr="003C32AE">
        <w:rPr>
          <w:rFonts w:cs="Arial"/>
          <w:i/>
          <w:iCs/>
          <w:color w:val="1B1B1B"/>
          <w:shd w:val="clear" w:color="auto" w:fill="FFFFFF"/>
        </w:rPr>
        <w:t>amarus</w:t>
      </w:r>
      <w:proofErr w:type="spellEnd"/>
      <w:r w:rsidRPr="003C32AE">
        <w:rPr>
          <w:rFonts w:cs="Arial"/>
          <w:i/>
          <w:iCs/>
          <w:color w:val="1B1B1B"/>
          <w:shd w:val="clear" w:color="auto" w:fill="FFFFFF"/>
        </w:rPr>
        <w:t xml:space="preserve">, Parkia </w:t>
      </w:r>
      <w:proofErr w:type="spellStart"/>
      <w:r w:rsidRPr="003C32AE">
        <w:rPr>
          <w:rFonts w:cs="Arial"/>
          <w:i/>
          <w:iCs/>
          <w:color w:val="1B1B1B"/>
          <w:shd w:val="clear" w:color="auto" w:fill="FFFFFF"/>
        </w:rPr>
        <w:t>biglobosa</w:t>
      </w:r>
      <w:proofErr w:type="spellEnd"/>
      <w:r w:rsidRPr="003C32AE">
        <w:rPr>
          <w:rFonts w:cs="Arial"/>
          <w:color w:val="1B1B1B"/>
          <w:shd w:val="clear" w:color="auto" w:fill="FFFFFF"/>
        </w:rPr>
        <w:t xml:space="preserve"> and their herbal ointment for therapeutic and biological activities. </w:t>
      </w:r>
      <w:proofErr w:type="spellStart"/>
      <w:r w:rsidRPr="003C32AE">
        <w:rPr>
          <w:rFonts w:cs="Arial"/>
          <w:color w:val="1B1B1B"/>
          <w:shd w:val="clear" w:color="auto" w:fill="FFFFFF"/>
        </w:rPr>
        <w:t>Heliyon</w:t>
      </w:r>
      <w:proofErr w:type="spellEnd"/>
      <w:r w:rsidRPr="003C32AE">
        <w:rPr>
          <w:rFonts w:cs="Arial"/>
          <w:color w:val="1B1B1B"/>
          <w:shd w:val="clear" w:color="auto" w:fill="FFFFFF"/>
        </w:rPr>
        <w:t>. 2023 Aug 19;9(9</w:t>
      </w:r>
      <w:proofErr w:type="gramStart"/>
      <w:r w:rsidRPr="003C32AE">
        <w:rPr>
          <w:rFonts w:cs="Arial"/>
          <w:color w:val="1B1B1B"/>
          <w:shd w:val="clear" w:color="auto" w:fill="FFFFFF"/>
        </w:rPr>
        <w:t>):e</w:t>
      </w:r>
      <w:proofErr w:type="gramEnd"/>
      <w:r w:rsidRPr="003C32AE">
        <w:rPr>
          <w:rFonts w:cs="Arial"/>
          <w:color w:val="1B1B1B"/>
          <w:shd w:val="clear" w:color="auto" w:fill="FFFFFF"/>
        </w:rPr>
        <w:t xml:space="preserve">19316. </w:t>
      </w:r>
      <w:proofErr w:type="spellStart"/>
      <w:r w:rsidRPr="003C32AE">
        <w:rPr>
          <w:rFonts w:cs="Arial"/>
          <w:color w:val="1B1B1B"/>
          <w:shd w:val="clear" w:color="auto" w:fill="FFFFFF"/>
        </w:rPr>
        <w:t>doi</w:t>
      </w:r>
      <w:proofErr w:type="spellEnd"/>
      <w:r w:rsidRPr="003C32AE">
        <w:rPr>
          <w:rFonts w:cs="Arial"/>
          <w:color w:val="1B1B1B"/>
          <w:shd w:val="clear" w:color="auto" w:fill="FFFFFF"/>
        </w:rPr>
        <w:t xml:space="preserve">: </w:t>
      </w:r>
      <w:proofErr w:type="gramStart"/>
      <w:r w:rsidRPr="003C32AE">
        <w:rPr>
          <w:rFonts w:cs="Arial"/>
          <w:color w:val="1B1B1B"/>
          <w:shd w:val="clear" w:color="auto" w:fill="FFFFFF"/>
        </w:rPr>
        <w:t>10.1016/j.heliyon.2023.e</w:t>
      </w:r>
      <w:proofErr w:type="gramEnd"/>
      <w:r w:rsidRPr="003C32AE">
        <w:rPr>
          <w:rFonts w:cs="Arial"/>
          <w:color w:val="1B1B1B"/>
          <w:shd w:val="clear" w:color="auto" w:fill="FFFFFF"/>
        </w:rPr>
        <w:t>19316. PMID: 37681151; PMCID: PMC10481288</w:t>
      </w:r>
      <w:r>
        <w:rPr>
          <w:rFonts w:ascii="Consolas" w:hAnsi="Consolas"/>
          <w:color w:val="1B1B1B"/>
          <w:shd w:val="clear" w:color="auto" w:fill="FFFFFF"/>
        </w:rPr>
        <w:t>.</w:t>
      </w:r>
    </w:p>
    <w:p w14:paraId="4F39613A" w14:textId="7777777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18.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BO, Adebisi OA,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OA, Ogunlana OO, </w:t>
      </w:r>
      <w:proofErr w:type="spellStart"/>
      <w:r w:rsidRPr="006C5AD7">
        <w:rPr>
          <w:rFonts w:cs="Arial"/>
          <w:color w:val="1B1B1B"/>
          <w:shd w:val="clear" w:color="auto" w:fill="FFFFFF"/>
        </w:rPr>
        <w:t>Toloyai</w:t>
      </w:r>
      <w:proofErr w:type="spellEnd"/>
      <w:r w:rsidRPr="006C5AD7">
        <w:rPr>
          <w:rFonts w:cs="Arial"/>
          <w:color w:val="1B1B1B"/>
          <w:shd w:val="clear" w:color="auto" w:fill="FFFFFF"/>
        </w:rPr>
        <w:t xml:space="preserve"> PE, Egbuna C, Uche CZ, Khan J, </w:t>
      </w:r>
      <w:proofErr w:type="spellStart"/>
      <w:r w:rsidRPr="006C5AD7">
        <w:rPr>
          <w:rFonts w:cs="Arial"/>
          <w:color w:val="1B1B1B"/>
          <w:shd w:val="clear" w:color="auto" w:fill="FFFFFF"/>
        </w:rPr>
        <w:t>Adumanya</w:t>
      </w:r>
      <w:proofErr w:type="spellEnd"/>
      <w:r w:rsidRPr="006C5AD7">
        <w:rPr>
          <w:rFonts w:cs="Arial"/>
          <w:color w:val="1B1B1B"/>
          <w:shd w:val="clear" w:color="auto" w:fill="FFFFFF"/>
        </w:rPr>
        <w:t xml:space="preserve"> OCU, Patrick-Iwuanyanwu KC. </w:t>
      </w:r>
      <w:r w:rsidRPr="006C5AD7">
        <w:rPr>
          <w:rFonts w:cs="Arial"/>
          <w:i/>
          <w:iCs/>
          <w:color w:val="1B1B1B"/>
          <w:shd w:val="clear" w:color="auto" w:fill="FFFFFF"/>
        </w:rPr>
        <w:t xml:space="preserve">Ficus </w:t>
      </w:r>
      <w:proofErr w:type="spellStart"/>
      <w:r w:rsidRPr="006C5AD7">
        <w:rPr>
          <w:rFonts w:cs="Arial"/>
          <w:i/>
          <w:iCs/>
          <w:color w:val="1B1B1B"/>
          <w:shd w:val="clear" w:color="auto" w:fill="FFFFFF"/>
        </w:rPr>
        <w:t>exasperata</w:t>
      </w:r>
      <w:proofErr w:type="spellEnd"/>
      <w:r w:rsidRPr="006C5AD7">
        <w:rPr>
          <w:rFonts w:cs="Arial"/>
          <w:color w:val="1B1B1B"/>
          <w:shd w:val="clear" w:color="auto" w:fill="FFFFFF"/>
        </w:rPr>
        <w:t> Attenuates Acetaminophen-Induced Hepatic Damage via NF-</w:t>
      </w:r>
      <w:proofErr w:type="spellStart"/>
      <w:r w:rsidRPr="006C5AD7">
        <w:rPr>
          <w:rFonts w:cs="Arial"/>
          <w:i/>
          <w:iCs/>
          <w:color w:val="1B1B1B"/>
          <w:shd w:val="clear" w:color="auto" w:fill="FFFFFF"/>
        </w:rPr>
        <w:t>κ</w:t>
      </w:r>
      <w:r w:rsidRPr="006C5AD7">
        <w:rPr>
          <w:rFonts w:cs="Arial"/>
          <w:color w:val="1B1B1B"/>
          <w:shd w:val="clear" w:color="auto" w:fill="FFFFFF"/>
        </w:rPr>
        <w:t>B</w:t>
      </w:r>
      <w:proofErr w:type="spellEnd"/>
      <w:r w:rsidRPr="006C5AD7">
        <w:rPr>
          <w:rFonts w:cs="Arial"/>
          <w:color w:val="1B1B1B"/>
          <w:shd w:val="clear" w:color="auto" w:fill="FFFFFF"/>
        </w:rPr>
        <w:t xml:space="preserve"> Signaling Mechanism in Experimental Rat Model. Biomed Res Int. 2022 May </w:t>
      </w:r>
      <w:proofErr w:type="gramStart"/>
      <w:r w:rsidRPr="006C5AD7">
        <w:rPr>
          <w:rFonts w:cs="Arial"/>
          <w:color w:val="1B1B1B"/>
          <w:shd w:val="clear" w:color="auto" w:fill="FFFFFF"/>
        </w:rPr>
        <w:t>24;2022:6032511</w:t>
      </w:r>
      <w:proofErr w:type="gramEnd"/>
      <w:r w:rsidRPr="006C5AD7">
        <w:rPr>
          <w:rFonts w:cs="Arial"/>
          <w:color w:val="1B1B1B"/>
          <w:shd w:val="clear" w:color="auto" w:fill="FFFFFF"/>
        </w:rPr>
        <w:t xml:space="preserve">. </w:t>
      </w:r>
      <w:proofErr w:type="spellStart"/>
      <w:r w:rsidRPr="006C5AD7">
        <w:rPr>
          <w:rFonts w:cs="Arial"/>
          <w:color w:val="1B1B1B"/>
          <w:shd w:val="clear" w:color="auto" w:fill="FFFFFF"/>
        </w:rPr>
        <w:t>doi</w:t>
      </w:r>
      <w:proofErr w:type="spellEnd"/>
      <w:r w:rsidRPr="006C5AD7">
        <w:rPr>
          <w:rFonts w:cs="Arial"/>
          <w:color w:val="1B1B1B"/>
          <w:shd w:val="clear" w:color="auto" w:fill="FFFFFF"/>
        </w:rPr>
        <w:t>: 10.1155/2022/6032511. PMID: 35655487; PMCID: PMC9155960</w:t>
      </w:r>
      <w:r>
        <w:rPr>
          <w:rFonts w:ascii="Consolas" w:hAnsi="Consolas"/>
          <w:color w:val="1B1B1B"/>
          <w:shd w:val="clear" w:color="auto" w:fill="FFFFFF"/>
        </w:rPr>
        <w:t>.</w:t>
      </w:r>
    </w:p>
    <w:p w14:paraId="6753BBB2" w14:textId="77777777" w:rsidR="006C4CFF" w:rsidRDefault="006C4CFF" w:rsidP="006C4CFF">
      <w:pPr>
        <w:shd w:val="clear" w:color="auto" w:fill="FFFFFF"/>
        <w:spacing w:after="0" w:line="240" w:lineRule="auto"/>
        <w:rPr>
          <w:rFonts w:eastAsia="Times New Roman" w:cs="Arial"/>
          <w:color w:val="333333"/>
          <w:szCs w:val="20"/>
        </w:rPr>
      </w:pPr>
      <w:r>
        <w:rPr>
          <w:rFonts w:eastAsia="Times New Roman" w:cs="Arial"/>
          <w:color w:val="333333"/>
          <w:szCs w:val="20"/>
        </w:rPr>
        <w:t xml:space="preserve">19. </w:t>
      </w:r>
      <w:r w:rsidRPr="003545EA">
        <w:rPr>
          <w:rFonts w:eastAsia="Times New Roman" w:cs="Arial"/>
          <w:color w:val="333333"/>
          <w:szCs w:val="20"/>
        </w:rPr>
        <w:t xml:space="preserve">Chidinma, Iwuji Joy, </w:t>
      </w:r>
      <w:proofErr w:type="spellStart"/>
      <w:r w:rsidRPr="003545EA">
        <w:rPr>
          <w:rFonts w:eastAsia="Times New Roman" w:cs="Arial"/>
          <w:color w:val="333333"/>
          <w:szCs w:val="20"/>
        </w:rPr>
        <w:t>Nwanjo</w:t>
      </w:r>
      <w:proofErr w:type="spellEnd"/>
      <w:r w:rsidRPr="003545EA">
        <w:rPr>
          <w:rFonts w:eastAsia="Times New Roman" w:cs="Arial"/>
          <w:color w:val="333333"/>
          <w:szCs w:val="20"/>
        </w:rPr>
        <w:t xml:space="preserve"> Harrison Ugochukwu, Nwosu Dennis C, Onuoha Chisom Precious, </w:t>
      </w:r>
      <w:proofErr w:type="spellStart"/>
      <w:r w:rsidRPr="003545EA">
        <w:rPr>
          <w:rFonts w:eastAsia="Times New Roman" w:cs="Arial"/>
          <w:color w:val="333333"/>
          <w:szCs w:val="20"/>
        </w:rPr>
        <w:t>Emerole</w:t>
      </w:r>
      <w:proofErr w:type="spellEnd"/>
      <w:r w:rsidRPr="003545EA">
        <w:rPr>
          <w:rFonts w:eastAsia="Times New Roman" w:cs="Arial"/>
          <w:color w:val="333333"/>
          <w:szCs w:val="20"/>
        </w:rPr>
        <w:t xml:space="preserve"> Chinwe Nelly, and </w:t>
      </w:r>
      <w:proofErr w:type="spellStart"/>
      <w:r w:rsidRPr="003545EA">
        <w:rPr>
          <w:rFonts w:eastAsia="Times New Roman" w:cs="Arial"/>
          <w:color w:val="333333"/>
          <w:szCs w:val="20"/>
        </w:rPr>
        <w:t>Ohaeri</w:t>
      </w:r>
      <w:proofErr w:type="spellEnd"/>
      <w:r w:rsidRPr="003545EA">
        <w:rPr>
          <w:rFonts w:eastAsia="Times New Roman" w:cs="Arial"/>
          <w:color w:val="333333"/>
          <w:szCs w:val="20"/>
        </w:rPr>
        <w:t xml:space="preserve"> Evangelina Ozoemena. 2024. “Comparative Evaluation of Diabetes Complication Using Liver Function Parameters As Indices Between Male and Female Alloxan Induced Diabetic Rats”. </w:t>
      </w:r>
      <w:r w:rsidRPr="003545EA">
        <w:rPr>
          <w:rFonts w:eastAsia="Times New Roman" w:cs="Arial"/>
          <w:i/>
          <w:iCs/>
          <w:color w:val="333333"/>
          <w:szCs w:val="20"/>
        </w:rPr>
        <w:t>International Journal of TROPICAL DISEASE &amp; Health</w:t>
      </w:r>
      <w:r w:rsidRPr="003545EA">
        <w:rPr>
          <w:rFonts w:eastAsia="Times New Roman" w:cs="Arial"/>
          <w:color w:val="333333"/>
          <w:szCs w:val="20"/>
        </w:rPr>
        <w:t xml:space="preserve"> 45 (7):166-77. </w:t>
      </w:r>
    </w:p>
    <w:p w14:paraId="12547C66" w14:textId="77777777" w:rsidR="006C4CFF" w:rsidRDefault="006C4CFF" w:rsidP="006C4CFF">
      <w:pPr>
        <w:spacing w:after="40" w:line="240" w:lineRule="auto"/>
        <w:jc w:val="both"/>
      </w:pPr>
      <w:r>
        <w:t xml:space="preserve">20. </w:t>
      </w:r>
      <w:proofErr w:type="spellStart"/>
      <w:r>
        <w:t>Ehikioya</w:t>
      </w:r>
      <w:proofErr w:type="spellEnd"/>
      <w:r>
        <w:t xml:space="preserve"> CO,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Carbohydrate digestive enzyme inhibition, hepatoprotective, antioxidant and antidiabetic benefits of </w:t>
      </w:r>
      <w:proofErr w:type="spellStart"/>
      <w:r>
        <w:rPr>
          <w:rStyle w:val="Emphasis"/>
        </w:rPr>
        <w:t>Persea</w:t>
      </w:r>
      <w:proofErr w:type="spellEnd"/>
      <w:r>
        <w:rPr>
          <w:rStyle w:val="Emphasis"/>
        </w:rPr>
        <w:t xml:space="preserve"> americana</w:t>
      </w:r>
      <w:r>
        <w:t xml:space="preserve">. </w:t>
      </w:r>
      <w:r w:rsidRPr="00A92D3C">
        <w:rPr>
          <w:rStyle w:val="Strong"/>
          <w:b w:val="0"/>
        </w:rPr>
        <w:t>Scientific Reports</w:t>
      </w:r>
      <w:r w:rsidRPr="00A92D3C">
        <w:rPr>
          <w:b/>
        </w:rPr>
        <w:t>.</w:t>
      </w:r>
      <w:r>
        <w:t xml:space="preserve"> </w:t>
      </w:r>
      <w:proofErr w:type="gramStart"/>
      <w:r>
        <w:t>2023;13:284</w:t>
      </w:r>
      <w:proofErr w:type="gramEnd"/>
    </w:p>
    <w:p w14:paraId="4E351BA3" w14:textId="77777777" w:rsidR="006C4CFF" w:rsidRDefault="006C4CFF" w:rsidP="006C4CFF">
      <w:pPr>
        <w:spacing w:after="40" w:line="240" w:lineRule="auto"/>
        <w:jc w:val="both"/>
      </w:pPr>
      <w:r>
        <w:t xml:space="preserve">21.) </w:t>
      </w:r>
      <w:proofErr w:type="spellStart"/>
      <w:r>
        <w:t>Ogunmoyole</w:t>
      </w:r>
      <w:proofErr w:type="spellEnd"/>
      <w:r>
        <w:t xml:space="preserve"> T, Falusi OO, </w:t>
      </w:r>
      <w:proofErr w:type="spellStart"/>
      <w:r>
        <w:t>Oderinde</w:t>
      </w:r>
      <w:proofErr w:type="spellEnd"/>
      <w:r>
        <w:t xml:space="preserve"> F. </w:t>
      </w:r>
      <w:r>
        <w:rPr>
          <w:rStyle w:val="Emphasis"/>
        </w:rPr>
        <w:t>Sida acuta</w:t>
      </w:r>
      <w:r>
        <w:t xml:space="preserve"> leaf extract attenuates oxidants-induced animal model of nephrotoxicity and hepatotoxicity. </w:t>
      </w:r>
      <w:r w:rsidRPr="009A6D1E">
        <w:rPr>
          <w:rStyle w:val="Strong"/>
          <w:b w:val="0"/>
        </w:rPr>
        <w:t xml:space="preserve">Clinical </w:t>
      </w:r>
      <w:proofErr w:type="spellStart"/>
      <w:r w:rsidRPr="009A6D1E">
        <w:rPr>
          <w:rStyle w:val="Strong"/>
          <w:b w:val="0"/>
        </w:rPr>
        <w:t>Phytoscience</w:t>
      </w:r>
      <w:proofErr w:type="spellEnd"/>
      <w:r>
        <w:t xml:space="preserve">. </w:t>
      </w:r>
      <w:proofErr w:type="gramStart"/>
      <w:r>
        <w:t>2022;8:5</w:t>
      </w:r>
      <w:proofErr w:type="gramEnd"/>
    </w:p>
    <w:p w14:paraId="66721A19" w14:textId="77777777" w:rsidR="006C4CFF" w:rsidRDefault="006C4CFF" w:rsidP="006C4CFF">
      <w:pPr>
        <w:spacing w:after="40" w:line="240" w:lineRule="auto"/>
        <w:jc w:val="both"/>
      </w:pPr>
      <w:r>
        <w:lastRenderedPageBreak/>
        <w:t>22.)</w:t>
      </w:r>
      <w:r w:rsidRPr="00DF3945">
        <w:t xml:space="preserve"> </w:t>
      </w:r>
      <w:r>
        <w:t xml:space="preserve">Aslam B, Wang W, Arbab AA, et al. Polyphenols-rich polyherbal mixture attenuates oxidative stress and hepatorenal injury in alloxan-induced diabetic rats. </w:t>
      </w:r>
      <w:r w:rsidRPr="00AC7541">
        <w:rPr>
          <w:rStyle w:val="Strong"/>
          <w:b w:val="0"/>
        </w:rPr>
        <w:t>Pharmaceutical Biology</w:t>
      </w:r>
      <w:r>
        <w:t>. 2023.</w:t>
      </w:r>
    </w:p>
    <w:p w14:paraId="426021C6" w14:textId="77777777" w:rsidR="006C4CFF" w:rsidRDefault="006C4CFF" w:rsidP="006C4CFF">
      <w:pPr>
        <w:spacing w:after="40" w:line="240" w:lineRule="auto"/>
        <w:jc w:val="both"/>
      </w:pPr>
      <w:r>
        <w:t>23.</w:t>
      </w:r>
      <w:proofErr w:type="gramStart"/>
      <w:r>
        <w:t>)</w:t>
      </w:r>
      <w:r w:rsidRPr="00703A1D">
        <w:t xml:space="preserve"> </w:t>
      </w:r>
      <w:r>
        <w:t>.</w:t>
      </w:r>
      <w:proofErr w:type="gramEnd"/>
      <w:r>
        <w:t xml:space="preserve"> Zahra M, Ali F, Ahmed S, Khan S, Gul H. Flavonoids: antioxidant powerhouses and their role in reducing oxidative stress and chronic disease. Antioxidants. 2024;13(8):922.</w:t>
      </w:r>
    </w:p>
    <w:p w14:paraId="7CFC89F5" w14:textId="77777777" w:rsidR="006C4CFF" w:rsidRDefault="006C4CFF" w:rsidP="006C4CFF">
      <w:pPr>
        <w:spacing w:after="40" w:line="240" w:lineRule="auto"/>
        <w:jc w:val="both"/>
      </w:pPr>
      <w:r>
        <w:t>24.)</w:t>
      </w:r>
      <w:r w:rsidRPr="00703A1D">
        <w:t xml:space="preserve"> </w:t>
      </w:r>
      <w:r>
        <w:t xml:space="preserve">16. </w:t>
      </w:r>
      <w:proofErr w:type="spellStart"/>
      <w:r>
        <w:t>Orumwense</w:t>
      </w:r>
      <w:proofErr w:type="spellEnd"/>
      <w:r>
        <w:t xml:space="preserve"> GE,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w:t>
      </w:r>
      <w:proofErr w:type="spellStart"/>
      <w:r>
        <w:t>Synclisia</w:t>
      </w:r>
      <w:proofErr w:type="spellEnd"/>
      <w:r>
        <w:t xml:space="preserve"> </w:t>
      </w:r>
      <w:proofErr w:type="spellStart"/>
      <w:r>
        <w:t>scabrida</w:t>
      </w:r>
      <w:proofErr w:type="spellEnd"/>
      <w:r>
        <w:t xml:space="preserve"> protects against oxidative stress, hepatotoxicity and </w:t>
      </w:r>
      <w:proofErr w:type="spellStart"/>
      <w:r>
        <w:t>hyperglycaemia</w:t>
      </w:r>
      <w:proofErr w:type="spellEnd"/>
      <w:r>
        <w:t xml:space="preserve"> in alloxan-induced diabetic rats. Journal of Diabetes &amp; Metabolic Disorders. 2022;21(1):669-680.</w:t>
      </w:r>
    </w:p>
    <w:p w14:paraId="7F4584D2" w14:textId="77777777" w:rsidR="006C4CFF" w:rsidRDefault="006C4CFF" w:rsidP="006C4CFF">
      <w:pPr>
        <w:spacing w:after="40" w:line="240" w:lineRule="auto"/>
        <w:jc w:val="both"/>
      </w:pPr>
      <w:r>
        <w:t>25. Sreedevi CD, Latha PG, Ancy P, Suja SR, Shyamal S, Shine VJ, et al. Hepatoprotective studies on Sida acuta Burm. f. Journal of Ethnopharmacology. 2009;124(2):171-175.</w:t>
      </w:r>
    </w:p>
    <w:p w14:paraId="29056034" w14:textId="77777777" w:rsidR="006C4CFF" w:rsidRDefault="006C4CFF" w:rsidP="006C4CFF">
      <w:pPr>
        <w:spacing w:after="40" w:line="240" w:lineRule="auto"/>
        <w:jc w:val="both"/>
      </w:pPr>
      <w:r>
        <w:t xml:space="preserve">26.) Gounden, V., Bhatt, H., &amp; </w:t>
      </w:r>
      <w:proofErr w:type="spellStart"/>
      <w:r>
        <w:t>Jialal</w:t>
      </w:r>
      <w:proofErr w:type="spellEnd"/>
      <w:r>
        <w:t xml:space="preserve">, I. (2024). </w:t>
      </w:r>
      <w:r w:rsidRPr="00C64861">
        <w:rPr>
          <w:rStyle w:val="Strong"/>
          <w:b w:val="0"/>
        </w:rPr>
        <w:t>Renal Function Tests</w:t>
      </w:r>
      <w:r>
        <w:t xml:space="preserve">. </w:t>
      </w:r>
      <w:proofErr w:type="spellStart"/>
      <w:r>
        <w:rPr>
          <w:rStyle w:val="Emphasis"/>
        </w:rPr>
        <w:t>StatPearls</w:t>
      </w:r>
      <w:proofErr w:type="spellEnd"/>
      <w:r>
        <w:t xml:space="preserve">. Treasure Island (FL): </w:t>
      </w:r>
      <w:proofErr w:type="spellStart"/>
      <w:r>
        <w:t>StatPearls</w:t>
      </w:r>
      <w:proofErr w:type="spellEnd"/>
      <w:r>
        <w:t xml:space="preserve"> Publishing</w:t>
      </w:r>
    </w:p>
    <w:p w14:paraId="4E4884BB" w14:textId="77777777" w:rsidR="006C4CFF" w:rsidRDefault="006C4CFF" w:rsidP="006C4CFF">
      <w:pPr>
        <w:spacing w:after="40" w:line="240" w:lineRule="auto"/>
        <w:jc w:val="both"/>
      </w:pPr>
      <w:r>
        <w:t xml:space="preserve">27.) Butt B, Ghulam B, Bashir. Z, Abbasi, S.R., Hussain, S., Jadoon S.K., Akbar, A., Khan, M.A (2024). Enhanced Creatinine Level in </w:t>
      </w:r>
      <w:proofErr w:type="spellStart"/>
      <w:r>
        <w:t>Diaetic</w:t>
      </w:r>
      <w:proofErr w:type="spellEnd"/>
      <w:r>
        <w:t xml:space="preserve"> Patients Maximizing the Possibilities of Nephropathy and Its Association with Blood Urea Nitrogen and Glomerular Filtration Rate. </w:t>
      </w:r>
      <w:proofErr w:type="spellStart"/>
      <w:r>
        <w:t>Cureus</w:t>
      </w:r>
      <w:proofErr w:type="spellEnd"/>
      <w:r>
        <w:t xml:space="preserve"> 16(9):e70482. </w:t>
      </w:r>
    </w:p>
    <w:p w14:paraId="4F18CB9B" w14:textId="77777777" w:rsidR="006C4CFF" w:rsidRDefault="006C4CFF" w:rsidP="006C4CFF">
      <w:pPr>
        <w:spacing w:after="40" w:line="240" w:lineRule="auto"/>
        <w:jc w:val="both"/>
        <w:rPr>
          <w:rFonts w:cs="Arial"/>
          <w:color w:val="1B1B1B"/>
          <w:shd w:val="clear" w:color="auto" w:fill="FFFFFF"/>
        </w:rPr>
      </w:pPr>
      <w:r>
        <w:t>28.)</w:t>
      </w:r>
      <w:r w:rsidRPr="00D51962">
        <w:rPr>
          <w:rFonts w:cs="Arial"/>
          <w:color w:val="1B1B1B"/>
          <w:shd w:val="clear" w:color="auto" w:fill="FFFFFF"/>
        </w:rPr>
        <w:t xml:space="preserve"> </w:t>
      </w:r>
      <w:r w:rsidRPr="00EA6D59">
        <w:rPr>
          <w:rFonts w:cs="Arial"/>
          <w:color w:val="1B1B1B"/>
          <w:shd w:val="clear" w:color="auto" w:fill="FFFFFF"/>
        </w:rPr>
        <w:t xml:space="preserve">Liu M, Di YM, Zhang AL, Chen J, Wang R, Huang J, Zhang L, Xue CC, Liu X. Renal-protective effects of Chinese medicinal herbs and compounds for diabetic kidney disease in animal models: protocol for systematic review and meta-analysis. Syst Rev. 2024 Jan 12;13(1):23. </w:t>
      </w:r>
    </w:p>
    <w:p w14:paraId="0547D2B4" w14:textId="77777777" w:rsidR="006C4CFF" w:rsidRDefault="006C4CFF" w:rsidP="006C4CFF">
      <w:pPr>
        <w:spacing w:after="40" w:line="240" w:lineRule="auto"/>
        <w:jc w:val="both"/>
        <w:rPr>
          <w:rFonts w:cs="Arial"/>
          <w:color w:val="333333"/>
          <w:szCs w:val="20"/>
          <w:shd w:val="clear" w:color="auto" w:fill="FFFFFF"/>
        </w:rPr>
      </w:pPr>
      <w:r>
        <w:rPr>
          <w:rFonts w:cs="Arial"/>
          <w:color w:val="1B1B1B"/>
          <w:shd w:val="clear" w:color="auto" w:fill="FFFFFF"/>
        </w:rPr>
        <w:t>29.)</w:t>
      </w:r>
      <w:r w:rsidRPr="00D51962">
        <w:rPr>
          <w:rFonts w:cs="Arial"/>
          <w:color w:val="333333"/>
          <w:szCs w:val="20"/>
          <w:shd w:val="clear" w:color="auto" w:fill="FFFFFF"/>
        </w:rPr>
        <w:t xml:space="preserve"> </w:t>
      </w:r>
      <w:r w:rsidRPr="00F85F94">
        <w:rPr>
          <w:rFonts w:cs="Arial"/>
          <w:color w:val="333333"/>
          <w:szCs w:val="20"/>
          <w:shd w:val="clear" w:color="auto" w:fill="FFFFFF"/>
        </w:rPr>
        <w:t xml:space="preserve">Chidinma, Iwuji Joy, </w:t>
      </w:r>
      <w:proofErr w:type="spellStart"/>
      <w:r w:rsidRPr="00F85F94">
        <w:rPr>
          <w:rFonts w:cs="Arial"/>
          <w:color w:val="333333"/>
          <w:szCs w:val="20"/>
          <w:shd w:val="clear" w:color="auto" w:fill="FFFFFF"/>
        </w:rPr>
        <w:t>Nwanjo</w:t>
      </w:r>
      <w:proofErr w:type="spellEnd"/>
      <w:r w:rsidRPr="00F85F94">
        <w:rPr>
          <w:rFonts w:cs="Arial"/>
          <w:color w:val="333333"/>
          <w:szCs w:val="20"/>
          <w:shd w:val="clear" w:color="auto" w:fill="FFFFFF"/>
        </w:rPr>
        <w:t xml:space="preserve"> Harrison Ugochukwu, Nwosu Dennis C, </w:t>
      </w:r>
      <w:proofErr w:type="spellStart"/>
      <w:r w:rsidRPr="00F85F94">
        <w:rPr>
          <w:rFonts w:cs="Arial"/>
          <w:color w:val="333333"/>
          <w:szCs w:val="20"/>
          <w:shd w:val="clear" w:color="auto" w:fill="FFFFFF"/>
        </w:rPr>
        <w:t>Osuegbu</w:t>
      </w:r>
      <w:proofErr w:type="spellEnd"/>
      <w:r w:rsidRPr="00F85F94">
        <w:rPr>
          <w:rFonts w:cs="Arial"/>
          <w:color w:val="333333"/>
          <w:szCs w:val="20"/>
          <w:shd w:val="clear" w:color="auto" w:fill="FFFFFF"/>
        </w:rPr>
        <w:t xml:space="preserve"> Mercy </w:t>
      </w:r>
      <w:proofErr w:type="spellStart"/>
      <w:r w:rsidRPr="00F85F94">
        <w:rPr>
          <w:rFonts w:cs="Arial"/>
          <w:color w:val="333333"/>
          <w:szCs w:val="20"/>
          <w:shd w:val="clear" w:color="auto" w:fill="FFFFFF"/>
        </w:rPr>
        <w:t>Chukwujindu</w:t>
      </w:r>
      <w:proofErr w:type="spellEnd"/>
      <w:r w:rsidRPr="00F85F94">
        <w:rPr>
          <w:rFonts w:cs="Arial"/>
          <w:color w:val="333333"/>
          <w:szCs w:val="20"/>
          <w:shd w:val="clear" w:color="auto" w:fill="FFFFFF"/>
        </w:rPr>
        <w:t xml:space="preserve">, and </w:t>
      </w:r>
      <w:proofErr w:type="spellStart"/>
      <w:r w:rsidRPr="00F85F94">
        <w:rPr>
          <w:rFonts w:cs="Arial"/>
          <w:color w:val="333333"/>
          <w:szCs w:val="20"/>
          <w:shd w:val="clear" w:color="auto" w:fill="FFFFFF"/>
        </w:rPr>
        <w:t>Ohaeri</w:t>
      </w:r>
      <w:proofErr w:type="spellEnd"/>
      <w:r w:rsidRPr="00F85F94">
        <w:rPr>
          <w:rFonts w:cs="Arial"/>
          <w:color w:val="333333"/>
          <w:szCs w:val="20"/>
          <w:shd w:val="clear" w:color="auto" w:fill="FFFFFF"/>
        </w:rPr>
        <w:t xml:space="preserve"> Evangelina Ozoemena. 2024. “Comparative Assessment of Histopathological and Biochemical Indices of Renal Function in Alloxan-Induced Male and Female Diabetic Rats”. </w:t>
      </w:r>
      <w:r w:rsidRPr="00F85F94">
        <w:rPr>
          <w:rFonts w:cs="Arial"/>
          <w:i/>
          <w:iCs/>
          <w:color w:val="333333"/>
          <w:szCs w:val="20"/>
          <w:shd w:val="clear" w:color="auto" w:fill="FFFFFF"/>
        </w:rPr>
        <w:t>Asian Journal of Medicine and Health</w:t>
      </w:r>
      <w:r>
        <w:rPr>
          <w:rFonts w:cs="Arial"/>
          <w:color w:val="333333"/>
          <w:szCs w:val="20"/>
          <w:shd w:val="clear" w:color="auto" w:fill="FFFFFF"/>
        </w:rPr>
        <w:t> 22 (8):106-16</w:t>
      </w:r>
      <w:r w:rsidRPr="00F85F94">
        <w:rPr>
          <w:rFonts w:cs="Arial"/>
          <w:color w:val="333333"/>
          <w:szCs w:val="20"/>
          <w:shd w:val="clear" w:color="auto" w:fill="FFFFFF"/>
        </w:rPr>
        <w:t>.</w:t>
      </w:r>
    </w:p>
    <w:p w14:paraId="2F6AEB41" w14:textId="77777777" w:rsidR="006C4CFF" w:rsidRDefault="006C4CFF" w:rsidP="006C4CFF">
      <w:pPr>
        <w:spacing w:after="40" w:line="240" w:lineRule="auto"/>
        <w:jc w:val="both"/>
      </w:pPr>
      <w:r>
        <w:rPr>
          <w:rFonts w:cs="Arial"/>
          <w:color w:val="333333"/>
          <w:szCs w:val="20"/>
          <w:shd w:val="clear" w:color="auto" w:fill="FFFFFF"/>
        </w:rPr>
        <w:t>30.)</w:t>
      </w:r>
      <w:r w:rsidRPr="00F865B9">
        <w:t xml:space="preserve"> </w:t>
      </w:r>
      <w:r>
        <w:t xml:space="preserve">Umpierrez GE, Davis GM, ElSayed NA, </w:t>
      </w:r>
      <w:proofErr w:type="spellStart"/>
      <w:r>
        <w:t>Fadini</w:t>
      </w:r>
      <w:proofErr w:type="spellEnd"/>
      <w:r>
        <w:t xml:space="preserve"> GP, Galindo RJ, Hirsch IB, </w:t>
      </w:r>
      <w:r>
        <w:rPr>
          <w:rStyle w:val="Emphasis"/>
        </w:rPr>
        <w:t>et al.</w:t>
      </w:r>
      <w:r>
        <w:t xml:space="preserve"> Hyperglycemic crises in adults with diabetes: a consensus report. </w:t>
      </w:r>
      <w:r>
        <w:rPr>
          <w:rStyle w:val="Emphasis"/>
        </w:rPr>
        <w:t>Diabetes Care</w:t>
      </w:r>
      <w:r>
        <w:t>. 2024;47(8):1257-1283.</w:t>
      </w:r>
    </w:p>
    <w:p w14:paraId="33CFE85E" w14:textId="77777777" w:rsidR="002B670B" w:rsidRDefault="002B670B" w:rsidP="002B670B">
      <w:pPr>
        <w:spacing w:after="40" w:line="240" w:lineRule="auto"/>
        <w:jc w:val="both"/>
      </w:pPr>
      <w:r>
        <w:t>31.)</w:t>
      </w:r>
      <w:r w:rsidRPr="002B670B">
        <w:t xml:space="preserve"> </w:t>
      </w:r>
      <w:r>
        <w:t xml:space="preserve">Pawar BG, Jadhav AA, </w:t>
      </w:r>
      <w:proofErr w:type="spellStart"/>
      <w:r>
        <w:t>Mhaske</w:t>
      </w:r>
      <w:proofErr w:type="spellEnd"/>
      <w:r>
        <w:t xml:space="preserve"> ST, Patil SS, Khedkar SG. Correlation of serum electrolyte imbalances with diabetic duration and medication use: a cross-sectional comparative study. </w:t>
      </w:r>
      <w:r>
        <w:rPr>
          <w:rStyle w:val="Emphasis"/>
        </w:rPr>
        <w:t>Cureus</w:t>
      </w:r>
      <w:r>
        <w:t>. 2024;16(8</w:t>
      </w:r>
      <w:proofErr w:type="gramStart"/>
      <w:r>
        <w:t>):e</w:t>
      </w:r>
      <w:proofErr w:type="gramEnd"/>
      <w:r>
        <w:t>67627</w:t>
      </w:r>
    </w:p>
    <w:p w14:paraId="4A122A20" w14:textId="77777777" w:rsidR="002B670B" w:rsidRDefault="002B670B" w:rsidP="006C4CFF">
      <w:pPr>
        <w:spacing w:after="40" w:line="240" w:lineRule="auto"/>
        <w:jc w:val="both"/>
      </w:pPr>
    </w:p>
    <w:p w14:paraId="35E6EE82" w14:textId="77777777" w:rsidR="006C4CFF" w:rsidRDefault="006C4CFF" w:rsidP="006C4CFF">
      <w:pPr>
        <w:spacing w:after="40" w:line="240" w:lineRule="auto"/>
        <w:jc w:val="both"/>
      </w:pPr>
    </w:p>
    <w:p w14:paraId="7758C5BE" w14:textId="77777777" w:rsidR="006C4CFF" w:rsidRDefault="006C4CFF">
      <w:pPr>
        <w:spacing w:before="120" w:after="80"/>
      </w:pPr>
    </w:p>
    <w:sectPr w:rsidR="006C4CFF"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 George" w:date="2026-04-05T19:18:00Z" w:initials="JG">
    <w:p w14:paraId="368AE29E" w14:textId="63FFA577" w:rsidR="005A48DA" w:rsidRDefault="005A48DA">
      <w:pPr>
        <w:pStyle w:val="CommentText"/>
      </w:pPr>
      <w:r>
        <w:rPr>
          <w:rStyle w:val="CommentReference"/>
        </w:rPr>
        <w:annotationRef/>
      </w:r>
      <w:r>
        <w:rPr>
          <w:rStyle w:val="CommentReference"/>
        </w:rPr>
        <w:t>Wistar</w:t>
      </w:r>
    </w:p>
  </w:comment>
  <w:comment w:id="1" w:author="Joe George" w:date="2026-04-05T19:20:00Z" w:initials="JG">
    <w:p w14:paraId="2D08846B" w14:textId="77777777" w:rsidR="005A48DA" w:rsidRDefault="005A48DA">
      <w:pPr>
        <w:pStyle w:val="CommentText"/>
      </w:pPr>
      <w:r>
        <w:rPr>
          <w:rStyle w:val="CommentReference"/>
        </w:rPr>
        <w:annotationRef/>
      </w:r>
      <w:r>
        <w:t>Insert space</w:t>
      </w:r>
    </w:p>
    <w:p w14:paraId="617BB92B" w14:textId="7639B1AB" w:rsidR="005A48DA" w:rsidRDefault="005A48DA">
      <w:pPr>
        <w:pStyle w:val="CommentText"/>
      </w:pPr>
    </w:p>
  </w:comment>
  <w:comment w:id="2" w:author="Joe George" w:date="2026-04-05T19:25:00Z" w:initials="JG">
    <w:p w14:paraId="5EDCAD4B" w14:textId="77777777" w:rsidR="00ED4CE8" w:rsidRDefault="00ED4CE8">
      <w:pPr>
        <w:pStyle w:val="CommentText"/>
      </w:pPr>
      <w:r>
        <w:rPr>
          <w:rStyle w:val="CommentReference"/>
        </w:rPr>
        <w:annotationRef/>
      </w:r>
      <w:r>
        <w:t>Remove comma</w:t>
      </w:r>
    </w:p>
    <w:p w14:paraId="27C9C844" w14:textId="7ED0A245" w:rsidR="00ED4CE8" w:rsidRDefault="00ED4CE8">
      <w:pPr>
        <w:pStyle w:val="CommentText"/>
      </w:pPr>
    </w:p>
  </w:comment>
  <w:comment w:id="3" w:author="Joe George" w:date="2026-04-05T19:26:00Z" w:initials="JG">
    <w:p w14:paraId="52F10E95" w14:textId="728F682C" w:rsidR="00ED4CE8" w:rsidRDefault="00ED4CE8">
      <w:pPr>
        <w:pStyle w:val="CommentText"/>
      </w:pPr>
      <w:r>
        <w:rPr>
          <w:rStyle w:val="CommentReference"/>
        </w:rPr>
        <w:annotationRef/>
      </w:r>
      <w:r>
        <w:t>italicize</w:t>
      </w:r>
    </w:p>
  </w:comment>
  <w:comment w:id="4" w:author="Joe George" w:date="2026-04-05T19:27:00Z" w:initials="JG">
    <w:p w14:paraId="0A686B64" w14:textId="7D9C92B9" w:rsidR="00ED4CE8" w:rsidRDefault="00ED4CE8">
      <w:pPr>
        <w:pStyle w:val="CommentText"/>
      </w:pPr>
      <w:r>
        <w:rPr>
          <w:rStyle w:val="CommentReference"/>
        </w:rPr>
        <w:annotationRef/>
      </w:r>
      <w:r>
        <w:t>justify the alignment</w:t>
      </w:r>
    </w:p>
  </w:comment>
  <w:comment w:id="5" w:author="Joe George" w:date="2026-04-05T19:43:00Z" w:initials="JG">
    <w:p w14:paraId="5EF00A14" w14:textId="77777777" w:rsidR="005E373B" w:rsidRDefault="005E373B">
      <w:pPr>
        <w:pStyle w:val="CommentText"/>
      </w:pPr>
      <w:r>
        <w:rPr>
          <w:rStyle w:val="CommentReference"/>
        </w:rPr>
        <w:annotationRef/>
      </w:r>
      <w:r>
        <w:t>insert space</w:t>
      </w:r>
    </w:p>
    <w:p w14:paraId="11CC99AC" w14:textId="00871564" w:rsidR="005E373B" w:rsidRDefault="005E373B">
      <w:pPr>
        <w:pStyle w:val="CommentText"/>
      </w:pPr>
    </w:p>
  </w:comment>
  <w:comment w:id="6" w:author="Joe George" w:date="2026-04-06T07:27:00Z" w:initials="JG">
    <w:p w14:paraId="556FD6E4" w14:textId="7FA5B4C0" w:rsidR="00886EBB" w:rsidRDefault="00886EBB">
      <w:pPr>
        <w:pStyle w:val="CommentText"/>
      </w:pPr>
      <w:r>
        <w:rPr>
          <w:rStyle w:val="CommentReference"/>
        </w:rPr>
        <w:annotationRef/>
      </w:r>
      <w:r>
        <w:t>any reason?</w:t>
      </w:r>
    </w:p>
  </w:comment>
  <w:comment w:id="7" w:author="Joe George" w:date="2026-04-06T07:29:00Z" w:initials="JG">
    <w:p w14:paraId="6C9447CB" w14:textId="39A3C56C" w:rsidR="00886EBB" w:rsidRDefault="00886EBB">
      <w:pPr>
        <w:pStyle w:val="CommentText"/>
      </w:pPr>
      <w:r>
        <w:rPr>
          <w:rStyle w:val="CommentReference"/>
        </w:rPr>
        <w:annotationRef/>
      </w:r>
      <w:r>
        <w:t>Complete the reference</w:t>
      </w:r>
    </w:p>
  </w:comment>
  <w:comment w:id="8" w:author="Joe George" w:date="2026-04-06T07:29:00Z" w:initials="JG">
    <w:p w14:paraId="24BF53DA" w14:textId="428735F1" w:rsidR="00886EBB" w:rsidRDefault="00886EBB">
      <w:pPr>
        <w:pStyle w:val="CommentText"/>
      </w:pPr>
      <w:r>
        <w:rPr>
          <w:rStyle w:val="CommentReference"/>
        </w:rPr>
        <w:annotationRef/>
      </w:r>
      <w:r>
        <w:t>Complete the reference</w:t>
      </w:r>
    </w:p>
  </w:comment>
  <w:comment w:id="9" w:author="Joe George" w:date="2026-04-06T07:29:00Z" w:initials="JG">
    <w:p w14:paraId="582D499F" w14:textId="0DD6CA3F" w:rsidR="00886EBB" w:rsidRDefault="00886EBB">
      <w:pPr>
        <w:pStyle w:val="CommentText"/>
      </w:pPr>
      <w:r>
        <w:rPr>
          <w:rStyle w:val="CommentReference"/>
        </w:rPr>
        <w:annotationRef/>
      </w:r>
      <w:r>
        <w:t>Complete the reference</w:t>
      </w:r>
    </w:p>
  </w:comment>
  <w:comment w:id="10" w:author="Joe George" w:date="2026-04-06T07:29:00Z" w:initials="JG">
    <w:p w14:paraId="04198432" w14:textId="787AB610" w:rsidR="00886EBB" w:rsidRDefault="00886EBB">
      <w:pPr>
        <w:pStyle w:val="CommentText"/>
      </w:pPr>
      <w:r>
        <w:rPr>
          <w:rStyle w:val="CommentReference"/>
        </w:rPr>
        <w:annotationRef/>
      </w:r>
      <w:r>
        <w:t>Complete the reference</w:t>
      </w:r>
    </w:p>
  </w:comment>
  <w:comment w:id="11" w:author="Joe George" w:date="2026-04-06T07:30:00Z" w:initials="JG">
    <w:p w14:paraId="16A76D8A" w14:textId="244CF0B0" w:rsidR="00886EBB" w:rsidRDefault="00886EBB">
      <w:pPr>
        <w:pStyle w:val="CommentText"/>
      </w:pPr>
      <w:r>
        <w:rPr>
          <w:rStyle w:val="CommentReference"/>
        </w:rPr>
        <w:annotationRef/>
      </w:r>
      <w:r>
        <w:t>Complete the reference</w:t>
      </w:r>
    </w:p>
  </w:comment>
  <w:comment w:id="12" w:author="Joe George" w:date="2026-04-06T07:30:00Z" w:initials="JG">
    <w:p w14:paraId="36BA5CBD" w14:textId="48E68C25" w:rsidR="00886EBB" w:rsidRDefault="00886EBB">
      <w:pPr>
        <w:pStyle w:val="CommentText"/>
      </w:pPr>
      <w:r>
        <w:rPr>
          <w:rStyle w:val="CommentReference"/>
        </w:rPr>
        <w:annotationRef/>
      </w:r>
      <w:r>
        <w:t>Complete the reference</w:t>
      </w:r>
    </w:p>
  </w:comment>
  <w:comment w:id="13" w:author="Joe George" w:date="2026-04-06T07:30:00Z" w:initials="JG">
    <w:p w14:paraId="4F9B4134" w14:textId="75D5105C" w:rsidR="00886EBB" w:rsidRDefault="00886EBB">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8AE29E" w15:done="0"/>
  <w15:commentEx w15:paraId="617BB92B" w15:done="0"/>
  <w15:commentEx w15:paraId="27C9C844" w15:done="0"/>
  <w15:commentEx w15:paraId="52F10E95" w15:done="0"/>
  <w15:commentEx w15:paraId="0A686B64" w15:done="0"/>
  <w15:commentEx w15:paraId="11CC99AC" w15:done="0"/>
  <w15:commentEx w15:paraId="556FD6E4" w15:done="0"/>
  <w15:commentEx w15:paraId="6C9447CB" w15:done="0"/>
  <w15:commentEx w15:paraId="24BF53DA" w15:done="0"/>
  <w15:commentEx w15:paraId="582D499F" w15:done="0"/>
  <w15:commentEx w15:paraId="04198432" w15:done="0"/>
  <w15:commentEx w15:paraId="16A76D8A" w15:done="0"/>
  <w15:commentEx w15:paraId="36BA5CBD" w15:done="0"/>
  <w15:commentEx w15:paraId="4F9B41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649F1B" w16cex:dateUtc="2026-04-05T13:48:00Z"/>
  <w16cex:commentExtensible w16cex:durableId="3A68DBF7" w16cex:dateUtc="2026-04-05T13:50:00Z"/>
  <w16cex:commentExtensible w16cex:durableId="4AF64EAA" w16cex:dateUtc="2026-04-05T13:55:00Z"/>
  <w16cex:commentExtensible w16cex:durableId="1A660534" w16cex:dateUtc="2026-04-05T13:56:00Z"/>
  <w16cex:commentExtensible w16cex:durableId="784E89D9" w16cex:dateUtc="2026-04-05T13:57:00Z"/>
  <w16cex:commentExtensible w16cex:durableId="05F24829" w16cex:dateUtc="2026-04-05T14:13:00Z"/>
  <w16cex:commentExtensible w16cex:durableId="3B71EC9D" w16cex:dateUtc="2026-04-06T01:57:00Z"/>
  <w16cex:commentExtensible w16cex:durableId="3EC8AD40" w16cex:dateUtc="2026-04-06T01:59:00Z"/>
  <w16cex:commentExtensible w16cex:durableId="5B7FACB2" w16cex:dateUtc="2026-04-06T01:59:00Z"/>
  <w16cex:commentExtensible w16cex:durableId="53C36DFA" w16cex:dateUtc="2026-04-06T01:59:00Z"/>
  <w16cex:commentExtensible w16cex:durableId="2511DF09" w16cex:dateUtc="2026-04-06T01:59:00Z"/>
  <w16cex:commentExtensible w16cex:durableId="079F6078" w16cex:dateUtc="2026-04-06T02:00:00Z"/>
  <w16cex:commentExtensible w16cex:durableId="364EF4B4" w16cex:dateUtc="2026-04-06T02:00:00Z"/>
  <w16cex:commentExtensible w16cex:durableId="53D6283C" w16cex:dateUtc="2026-04-06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8AE29E" w16cid:durableId="3A649F1B"/>
  <w16cid:commentId w16cid:paraId="617BB92B" w16cid:durableId="3A68DBF7"/>
  <w16cid:commentId w16cid:paraId="27C9C844" w16cid:durableId="4AF64EAA"/>
  <w16cid:commentId w16cid:paraId="52F10E95" w16cid:durableId="1A660534"/>
  <w16cid:commentId w16cid:paraId="0A686B64" w16cid:durableId="784E89D9"/>
  <w16cid:commentId w16cid:paraId="11CC99AC" w16cid:durableId="05F24829"/>
  <w16cid:commentId w16cid:paraId="556FD6E4" w16cid:durableId="3B71EC9D"/>
  <w16cid:commentId w16cid:paraId="6C9447CB" w16cid:durableId="3EC8AD40"/>
  <w16cid:commentId w16cid:paraId="24BF53DA" w16cid:durableId="5B7FACB2"/>
  <w16cid:commentId w16cid:paraId="582D499F" w16cid:durableId="53C36DFA"/>
  <w16cid:commentId w16cid:paraId="04198432" w16cid:durableId="2511DF09"/>
  <w16cid:commentId w16cid:paraId="16A76D8A" w16cid:durableId="079F6078"/>
  <w16cid:commentId w16cid:paraId="36BA5CBD" w16cid:durableId="364EF4B4"/>
  <w16cid:commentId w16cid:paraId="4F9B4134" w16cid:durableId="53D62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7316" w14:textId="77777777" w:rsidR="00FC3567" w:rsidRDefault="00FC3567" w:rsidP="0042621E">
      <w:pPr>
        <w:spacing w:after="0" w:line="240" w:lineRule="auto"/>
      </w:pPr>
      <w:r>
        <w:separator/>
      </w:r>
    </w:p>
  </w:endnote>
  <w:endnote w:type="continuationSeparator" w:id="0">
    <w:p w14:paraId="54D30E42" w14:textId="77777777" w:rsidR="00FC3567" w:rsidRDefault="00FC3567" w:rsidP="0042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8723" w14:textId="77777777" w:rsidR="0042621E" w:rsidRDefault="0042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BCD" w14:textId="77777777" w:rsidR="0042621E" w:rsidRDefault="0042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7C8A" w14:textId="77777777" w:rsidR="0042621E" w:rsidRDefault="0042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E976" w14:textId="77777777" w:rsidR="00FC3567" w:rsidRDefault="00FC3567" w:rsidP="0042621E">
      <w:pPr>
        <w:spacing w:after="0" w:line="240" w:lineRule="auto"/>
      </w:pPr>
      <w:r>
        <w:separator/>
      </w:r>
    </w:p>
  </w:footnote>
  <w:footnote w:type="continuationSeparator" w:id="0">
    <w:p w14:paraId="103F8372" w14:textId="77777777" w:rsidR="00FC3567" w:rsidRDefault="00FC3567" w:rsidP="0042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0EFF" w14:textId="2CD1743A" w:rsidR="0042621E" w:rsidRDefault="00000000">
    <w:pPr>
      <w:pStyle w:val="Header"/>
    </w:pPr>
    <w:r>
      <w:rPr>
        <w:noProof/>
      </w:rPr>
      <w:pict w14:anchorId="3B68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00E2" w14:textId="016D1BF4" w:rsidR="0042621E" w:rsidRDefault="00000000">
    <w:pPr>
      <w:pStyle w:val="Header"/>
    </w:pPr>
    <w:r>
      <w:rPr>
        <w:noProof/>
      </w:rPr>
      <w:pict w14:anchorId="36695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22F" w14:textId="7946C791" w:rsidR="0042621E" w:rsidRDefault="00000000">
    <w:pPr>
      <w:pStyle w:val="Header"/>
    </w:pPr>
    <w:r>
      <w:rPr>
        <w:noProof/>
      </w:rPr>
      <w:pict w14:anchorId="48CCF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7332053">
    <w:abstractNumId w:val="8"/>
  </w:num>
  <w:num w:numId="2" w16cid:durableId="1921913844">
    <w:abstractNumId w:val="6"/>
  </w:num>
  <w:num w:numId="3" w16cid:durableId="1607545179">
    <w:abstractNumId w:val="5"/>
  </w:num>
  <w:num w:numId="4" w16cid:durableId="1412002872">
    <w:abstractNumId w:val="4"/>
  </w:num>
  <w:num w:numId="5" w16cid:durableId="220408775">
    <w:abstractNumId w:val="7"/>
  </w:num>
  <w:num w:numId="6" w16cid:durableId="1542935442">
    <w:abstractNumId w:val="3"/>
  </w:num>
  <w:num w:numId="7" w16cid:durableId="1456557601">
    <w:abstractNumId w:val="2"/>
  </w:num>
  <w:num w:numId="8" w16cid:durableId="457257110">
    <w:abstractNumId w:val="1"/>
  </w:num>
  <w:num w:numId="9" w16cid:durableId="8545371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George">
    <w15:presenceInfo w15:providerId="Windows Live" w15:userId="9b35847111467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59"/>
    <w:rsid w:val="00011020"/>
    <w:rsid w:val="00011CCF"/>
    <w:rsid w:val="00017B76"/>
    <w:rsid w:val="00020051"/>
    <w:rsid w:val="00032E98"/>
    <w:rsid w:val="00034616"/>
    <w:rsid w:val="00042053"/>
    <w:rsid w:val="00044B9D"/>
    <w:rsid w:val="000475E9"/>
    <w:rsid w:val="0006063C"/>
    <w:rsid w:val="0006397B"/>
    <w:rsid w:val="00084CAA"/>
    <w:rsid w:val="000911C6"/>
    <w:rsid w:val="000B1280"/>
    <w:rsid w:val="000C096B"/>
    <w:rsid w:val="000C2C11"/>
    <w:rsid w:val="000C5470"/>
    <w:rsid w:val="000D44E4"/>
    <w:rsid w:val="000D5B0B"/>
    <w:rsid w:val="000F044F"/>
    <w:rsid w:val="001266B3"/>
    <w:rsid w:val="0015074B"/>
    <w:rsid w:val="00190AD7"/>
    <w:rsid w:val="001E041A"/>
    <w:rsid w:val="001E5DA1"/>
    <w:rsid w:val="00283ED8"/>
    <w:rsid w:val="00290B28"/>
    <w:rsid w:val="0029639D"/>
    <w:rsid w:val="002B670B"/>
    <w:rsid w:val="002C5B3C"/>
    <w:rsid w:val="00303185"/>
    <w:rsid w:val="0031036B"/>
    <w:rsid w:val="003152A0"/>
    <w:rsid w:val="0032323E"/>
    <w:rsid w:val="00326F90"/>
    <w:rsid w:val="003545EA"/>
    <w:rsid w:val="003A2BEB"/>
    <w:rsid w:val="003A75A6"/>
    <w:rsid w:val="003B39A9"/>
    <w:rsid w:val="003B7B0C"/>
    <w:rsid w:val="003C32AE"/>
    <w:rsid w:val="003E4FCB"/>
    <w:rsid w:val="003F1DFD"/>
    <w:rsid w:val="003F52E6"/>
    <w:rsid w:val="003F6ADE"/>
    <w:rsid w:val="004238D6"/>
    <w:rsid w:val="00425C6D"/>
    <w:rsid w:val="0042621E"/>
    <w:rsid w:val="00450352"/>
    <w:rsid w:val="004638E4"/>
    <w:rsid w:val="00464A60"/>
    <w:rsid w:val="004751AA"/>
    <w:rsid w:val="00483265"/>
    <w:rsid w:val="004946B2"/>
    <w:rsid w:val="004B42AC"/>
    <w:rsid w:val="004D252C"/>
    <w:rsid w:val="004F2F84"/>
    <w:rsid w:val="004F490C"/>
    <w:rsid w:val="00546E8A"/>
    <w:rsid w:val="005506C3"/>
    <w:rsid w:val="005763EF"/>
    <w:rsid w:val="00580029"/>
    <w:rsid w:val="005A48DA"/>
    <w:rsid w:val="005C2AEB"/>
    <w:rsid w:val="005C7C4F"/>
    <w:rsid w:val="005E373B"/>
    <w:rsid w:val="00636588"/>
    <w:rsid w:val="00647823"/>
    <w:rsid w:val="0066293A"/>
    <w:rsid w:val="006728A6"/>
    <w:rsid w:val="0067486F"/>
    <w:rsid w:val="006A6743"/>
    <w:rsid w:val="006B2731"/>
    <w:rsid w:val="006C4CFF"/>
    <w:rsid w:val="006C5AD7"/>
    <w:rsid w:val="006D04E2"/>
    <w:rsid w:val="006F02A9"/>
    <w:rsid w:val="00745BFA"/>
    <w:rsid w:val="00776589"/>
    <w:rsid w:val="007948CB"/>
    <w:rsid w:val="00796E34"/>
    <w:rsid w:val="00796FFD"/>
    <w:rsid w:val="007B1528"/>
    <w:rsid w:val="007C23CB"/>
    <w:rsid w:val="007E5834"/>
    <w:rsid w:val="007F15E5"/>
    <w:rsid w:val="008001AB"/>
    <w:rsid w:val="0080183B"/>
    <w:rsid w:val="00804E42"/>
    <w:rsid w:val="00806028"/>
    <w:rsid w:val="00814546"/>
    <w:rsid w:val="008256E1"/>
    <w:rsid w:val="0083013A"/>
    <w:rsid w:val="0083326D"/>
    <w:rsid w:val="0084140B"/>
    <w:rsid w:val="008540AA"/>
    <w:rsid w:val="00881D8B"/>
    <w:rsid w:val="00885705"/>
    <w:rsid w:val="00885FFF"/>
    <w:rsid w:val="00886EBB"/>
    <w:rsid w:val="008B664A"/>
    <w:rsid w:val="008C78D7"/>
    <w:rsid w:val="008E367A"/>
    <w:rsid w:val="00903B44"/>
    <w:rsid w:val="009118F5"/>
    <w:rsid w:val="00915D78"/>
    <w:rsid w:val="009813EB"/>
    <w:rsid w:val="00993715"/>
    <w:rsid w:val="009C3FBD"/>
    <w:rsid w:val="00A32624"/>
    <w:rsid w:val="00A34D33"/>
    <w:rsid w:val="00A364B4"/>
    <w:rsid w:val="00A44D6E"/>
    <w:rsid w:val="00A46CE9"/>
    <w:rsid w:val="00A50F6E"/>
    <w:rsid w:val="00A829E2"/>
    <w:rsid w:val="00A8348C"/>
    <w:rsid w:val="00AA1D8D"/>
    <w:rsid w:val="00AA5D1F"/>
    <w:rsid w:val="00AB03B1"/>
    <w:rsid w:val="00AB0E87"/>
    <w:rsid w:val="00AB1F3E"/>
    <w:rsid w:val="00AB1FA4"/>
    <w:rsid w:val="00AB5815"/>
    <w:rsid w:val="00AC531E"/>
    <w:rsid w:val="00AD2DE7"/>
    <w:rsid w:val="00AD370F"/>
    <w:rsid w:val="00AE297F"/>
    <w:rsid w:val="00B0193D"/>
    <w:rsid w:val="00B47730"/>
    <w:rsid w:val="00B53BA0"/>
    <w:rsid w:val="00B605F8"/>
    <w:rsid w:val="00BA6C40"/>
    <w:rsid w:val="00BB6D6E"/>
    <w:rsid w:val="00BD105D"/>
    <w:rsid w:val="00BD2B5C"/>
    <w:rsid w:val="00BF0401"/>
    <w:rsid w:val="00C1502D"/>
    <w:rsid w:val="00C44821"/>
    <w:rsid w:val="00C51A11"/>
    <w:rsid w:val="00C619A8"/>
    <w:rsid w:val="00C7380E"/>
    <w:rsid w:val="00C81C03"/>
    <w:rsid w:val="00C9362A"/>
    <w:rsid w:val="00CB0664"/>
    <w:rsid w:val="00CB16CD"/>
    <w:rsid w:val="00CB1D1A"/>
    <w:rsid w:val="00CC620C"/>
    <w:rsid w:val="00CE393C"/>
    <w:rsid w:val="00D23BF0"/>
    <w:rsid w:val="00D3680E"/>
    <w:rsid w:val="00D41823"/>
    <w:rsid w:val="00D510F1"/>
    <w:rsid w:val="00D52060"/>
    <w:rsid w:val="00D77464"/>
    <w:rsid w:val="00D84F09"/>
    <w:rsid w:val="00D91D25"/>
    <w:rsid w:val="00DA176A"/>
    <w:rsid w:val="00DA1831"/>
    <w:rsid w:val="00DA287F"/>
    <w:rsid w:val="00E20380"/>
    <w:rsid w:val="00E32699"/>
    <w:rsid w:val="00E637C0"/>
    <w:rsid w:val="00EA2955"/>
    <w:rsid w:val="00EA6D59"/>
    <w:rsid w:val="00ED4CE8"/>
    <w:rsid w:val="00F32C21"/>
    <w:rsid w:val="00F33608"/>
    <w:rsid w:val="00F430F8"/>
    <w:rsid w:val="00F5487D"/>
    <w:rsid w:val="00F603F4"/>
    <w:rsid w:val="00F8211A"/>
    <w:rsid w:val="00F85F94"/>
    <w:rsid w:val="00FB5056"/>
    <w:rsid w:val="00FC35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08B25"/>
  <w14:defaultImageDpi w14:val="300"/>
  <w15:docId w15:val="{B76A74F2-42DC-4850-A681-D503534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5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A0"/>
    <w:rPr>
      <w:rFonts w:ascii="Tahoma" w:eastAsia="Arial" w:hAnsi="Tahoma" w:cs="Tahoma"/>
      <w:sz w:val="16"/>
      <w:szCs w:val="16"/>
    </w:rPr>
  </w:style>
  <w:style w:type="paragraph" w:customStyle="1" w:styleId="author-list">
    <w:name w:val="author-list"/>
    <w:basedOn w:val="Normal"/>
    <w:rsid w:val="00315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2A0"/>
    <w:rPr>
      <w:color w:val="0000FF"/>
      <w:u w:val="single"/>
    </w:rPr>
  </w:style>
  <w:style w:type="paragraph" w:styleId="NormalWeb">
    <w:name w:val="Normal (Web)"/>
    <w:basedOn w:val="Normal"/>
    <w:uiPriority w:val="99"/>
    <w:unhideWhenUsed/>
    <w:rsid w:val="006B273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430F8"/>
    <w:rPr>
      <w:color w:val="605E5C"/>
      <w:shd w:val="clear" w:color="auto" w:fill="E1DFDD"/>
    </w:rPr>
  </w:style>
  <w:style w:type="character" w:styleId="CommentReference">
    <w:name w:val="annotation reference"/>
    <w:basedOn w:val="DefaultParagraphFont"/>
    <w:uiPriority w:val="99"/>
    <w:semiHidden/>
    <w:unhideWhenUsed/>
    <w:rsid w:val="005A48DA"/>
    <w:rPr>
      <w:sz w:val="16"/>
      <w:szCs w:val="16"/>
    </w:rPr>
  </w:style>
  <w:style w:type="paragraph" w:styleId="CommentText">
    <w:name w:val="annotation text"/>
    <w:basedOn w:val="Normal"/>
    <w:link w:val="CommentTextChar"/>
    <w:uiPriority w:val="99"/>
    <w:semiHidden/>
    <w:unhideWhenUsed/>
    <w:rsid w:val="005A48DA"/>
    <w:pPr>
      <w:spacing w:line="240" w:lineRule="auto"/>
    </w:pPr>
    <w:rPr>
      <w:szCs w:val="20"/>
    </w:rPr>
  </w:style>
  <w:style w:type="character" w:customStyle="1" w:styleId="CommentTextChar">
    <w:name w:val="Comment Text Char"/>
    <w:basedOn w:val="DefaultParagraphFont"/>
    <w:link w:val="CommentText"/>
    <w:uiPriority w:val="99"/>
    <w:semiHidden/>
    <w:rsid w:val="005A48DA"/>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5A48DA"/>
    <w:rPr>
      <w:b/>
      <w:bCs/>
    </w:rPr>
  </w:style>
  <w:style w:type="character" w:customStyle="1" w:styleId="CommentSubjectChar">
    <w:name w:val="Comment Subject Char"/>
    <w:basedOn w:val="CommentTextChar"/>
    <w:link w:val="CommentSubject"/>
    <w:uiPriority w:val="99"/>
    <w:semiHidden/>
    <w:rsid w:val="005A48DA"/>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0978">
      <w:bodyDiv w:val="1"/>
      <w:marLeft w:val="0"/>
      <w:marRight w:val="0"/>
      <w:marTop w:val="0"/>
      <w:marBottom w:val="0"/>
      <w:divBdr>
        <w:top w:val="none" w:sz="0" w:space="0" w:color="auto"/>
        <w:left w:val="none" w:sz="0" w:space="0" w:color="auto"/>
        <w:bottom w:val="none" w:sz="0" w:space="0" w:color="auto"/>
        <w:right w:val="none" w:sz="0" w:space="0" w:color="auto"/>
      </w:divBdr>
    </w:div>
    <w:div w:id="504979833">
      <w:bodyDiv w:val="1"/>
      <w:marLeft w:val="0"/>
      <w:marRight w:val="0"/>
      <w:marTop w:val="0"/>
      <w:marBottom w:val="0"/>
      <w:divBdr>
        <w:top w:val="none" w:sz="0" w:space="0" w:color="auto"/>
        <w:left w:val="none" w:sz="0" w:space="0" w:color="auto"/>
        <w:bottom w:val="none" w:sz="0" w:space="0" w:color="auto"/>
        <w:right w:val="none" w:sz="0" w:space="0" w:color="auto"/>
      </w:divBdr>
      <w:divsChild>
        <w:div w:id="215969439">
          <w:marLeft w:val="0"/>
          <w:marRight w:val="0"/>
          <w:marTop w:val="0"/>
          <w:marBottom w:val="0"/>
          <w:divBdr>
            <w:top w:val="none" w:sz="0" w:space="0" w:color="auto"/>
            <w:left w:val="none" w:sz="0" w:space="0" w:color="auto"/>
            <w:bottom w:val="none" w:sz="0" w:space="0" w:color="auto"/>
            <w:right w:val="none" w:sz="0" w:space="0" w:color="auto"/>
          </w:divBdr>
          <w:divsChild>
            <w:div w:id="1660645988">
              <w:marLeft w:val="0"/>
              <w:marRight w:val="0"/>
              <w:marTop w:val="1050"/>
              <w:marBottom w:val="0"/>
              <w:divBdr>
                <w:top w:val="none" w:sz="0" w:space="0" w:color="auto"/>
                <w:left w:val="none" w:sz="0" w:space="0" w:color="auto"/>
                <w:bottom w:val="none" w:sz="0" w:space="0" w:color="auto"/>
                <w:right w:val="none" w:sz="0" w:space="0" w:color="auto"/>
              </w:divBdr>
            </w:div>
          </w:divsChild>
        </w:div>
        <w:div w:id="1395280938">
          <w:marLeft w:val="0"/>
          <w:marRight w:val="0"/>
          <w:marTop w:val="0"/>
          <w:marBottom w:val="0"/>
          <w:divBdr>
            <w:top w:val="none" w:sz="0" w:space="0" w:color="auto"/>
            <w:left w:val="none" w:sz="0" w:space="0" w:color="auto"/>
            <w:bottom w:val="none" w:sz="0" w:space="0" w:color="auto"/>
            <w:right w:val="none" w:sz="0" w:space="0" w:color="auto"/>
          </w:divBdr>
          <w:divsChild>
            <w:div w:id="375854787">
              <w:marLeft w:val="0"/>
              <w:marRight w:val="0"/>
              <w:marTop w:val="0"/>
              <w:marBottom w:val="0"/>
              <w:divBdr>
                <w:top w:val="none" w:sz="0" w:space="0" w:color="auto"/>
                <w:left w:val="none" w:sz="0" w:space="0" w:color="auto"/>
                <w:bottom w:val="none" w:sz="0" w:space="0" w:color="auto"/>
                <w:right w:val="none" w:sz="0" w:space="0" w:color="auto"/>
              </w:divBdr>
              <w:divsChild>
                <w:div w:id="1639796285">
                  <w:marLeft w:val="60"/>
                  <w:marRight w:val="60"/>
                  <w:marTop w:val="0"/>
                  <w:marBottom w:val="0"/>
                  <w:divBdr>
                    <w:top w:val="single" w:sz="6" w:space="8" w:color="EFF1F2"/>
                    <w:left w:val="single" w:sz="6" w:space="8" w:color="EFF1F2"/>
                    <w:bottom w:val="single" w:sz="6" w:space="8" w:color="EFF1F2"/>
                    <w:right w:val="single" w:sz="6" w:space="8" w:color="EFF1F2"/>
                  </w:divBdr>
                </w:div>
                <w:div w:id="515340140">
                  <w:marLeft w:val="60"/>
                  <w:marRight w:val="60"/>
                  <w:marTop w:val="0"/>
                  <w:marBottom w:val="0"/>
                  <w:divBdr>
                    <w:top w:val="single" w:sz="6" w:space="8" w:color="EFF1F2"/>
                    <w:left w:val="single" w:sz="6" w:space="8" w:color="EFF1F2"/>
                    <w:bottom w:val="single" w:sz="6" w:space="8" w:color="EFF1F2"/>
                    <w:right w:val="single" w:sz="6" w:space="8" w:color="EFF1F2"/>
                  </w:divBdr>
                </w:div>
              </w:divsChild>
            </w:div>
          </w:divsChild>
        </w:div>
        <w:div w:id="190264711">
          <w:marLeft w:val="0"/>
          <w:marRight w:val="0"/>
          <w:marTop w:val="450"/>
          <w:marBottom w:val="0"/>
          <w:divBdr>
            <w:top w:val="none" w:sz="0" w:space="0" w:color="auto"/>
            <w:left w:val="none" w:sz="0" w:space="0" w:color="auto"/>
            <w:bottom w:val="none" w:sz="0" w:space="0" w:color="auto"/>
            <w:right w:val="none" w:sz="0" w:space="0" w:color="auto"/>
          </w:divBdr>
        </w:div>
      </w:divsChild>
    </w:div>
    <w:div w:id="1400320118">
      <w:bodyDiv w:val="1"/>
      <w:marLeft w:val="0"/>
      <w:marRight w:val="0"/>
      <w:marTop w:val="0"/>
      <w:marBottom w:val="0"/>
      <w:divBdr>
        <w:top w:val="none" w:sz="0" w:space="0" w:color="auto"/>
        <w:left w:val="none" w:sz="0" w:space="0" w:color="auto"/>
        <w:bottom w:val="none" w:sz="0" w:space="0" w:color="auto"/>
        <w:right w:val="none" w:sz="0" w:space="0" w:color="auto"/>
      </w:divBdr>
      <w:divsChild>
        <w:div w:id="828980601">
          <w:marLeft w:val="0"/>
          <w:marRight w:val="0"/>
          <w:marTop w:val="0"/>
          <w:marBottom w:val="0"/>
          <w:divBdr>
            <w:top w:val="none" w:sz="0" w:space="0" w:color="auto"/>
            <w:left w:val="none" w:sz="0" w:space="0" w:color="auto"/>
            <w:bottom w:val="none" w:sz="0" w:space="0" w:color="auto"/>
            <w:right w:val="none" w:sz="0" w:space="0" w:color="auto"/>
          </w:divBdr>
          <w:divsChild>
            <w:div w:id="1944143011">
              <w:marLeft w:val="0"/>
              <w:marRight w:val="0"/>
              <w:marTop w:val="0"/>
              <w:marBottom w:val="0"/>
              <w:divBdr>
                <w:top w:val="none" w:sz="0" w:space="0" w:color="auto"/>
                <w:left w:val="none" w:sz="0" w:space="0" w:color="auto"/>
                <w:bottom w:val="none" w:sz="0" w:space="0" w:color="auto"/>
                <w:right w:val="none" w:sz="0" w:space="0" w:color="auto"/>
              </w:divBdr>
              <w:divsChild>
                <w:div w:id="452215432">
                  <w:marLeft w:val="0"/>
                  <w:marRight w:val="0"/>
                  <w:marTop w:val="0"/>
                  <w:marBottom w:val="0"/>
                  <w:divBdr>
                    <w:top w:val="none" w:sz="0" w:space="0" w:color="auto"/>
                    <w:left w:val="none" w:sz="0" w:space="0" w:color="auto"/>
                    <w:bottom w:val="none" w:sz="0" w:space="0" w:color="auto"/>
                    <w:right w:val="none" w:sz="0" w:space="0" w:color="auto"/>
                  </w:divBdr>
                  <w:divsChild>
                    <w:div w:id="2685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9980-CD11-4D03-AFA2-3328F689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Joe George</cp:lastModifiedBy>
  <cp:revision>5</cp:revision>
  <dcterms:created xsi:type="dcterms:W3CDTF">2026-04-06T02:01:00Z</dcterms:created>
  <dcterms:modified xsi:type="dcterms:W3CDTF">2026-04-06T02:34:00Z</dcterms:modified>
</cp:coreProperties>
</file>