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6BD6" w14:textId="3D174D3D" w:rsidR="00754C9A" w:rsidRDefault="002626F5" w:rsidP="00441B6F">
      <w:pPr>
        <w:pStyle w:val="Judul"/>
        <w:spacing w:after="0"/>
        <w:jc w:val="both"/>
        <w:rPr>
          <w:rFonts w:ascii="Arial" w:hAnsi="Arial" w:cs="Arial"/>
        </w:rPr>
      </w:pPr>
      <w:r w:rsidRPr="002626F5">
        <w:rPr>
          <w:rFonts w:ascii="Arial" w:hAnsi="Arial" w:cs="Arial"/>
        </w:rPr>
        <w:t>Original Research Article</w:t>
      </w:r>
    </w:p>
    <w:p w14:paraId="2BF7F6F9" w14:textId="77777777" w:rsidR="002626F5" w:rsidRDefault="002626F5" w:rsidP="00441B6F">
      <w:pPr>
        <w:pStyle w:val="Judul"/>
        <w:spacing w:after="0"/>
        <w:jc w:val="both"/>
        <w:rPr>
          <w:rFonts w:ascii="Arial" w:hAnsi="Arial" w:cs="Arial"/>
        </w:rPr>
      </w:pPr>
    </w:p>
    <w:p w14:paraId="2EB2C294" w14:textId="77777777" w:rsidR="007F28C9" w:rsidRPr="007F28C9" w:rsidRDefault="007F28C9" w:rsidP="007F28C9">
      <w:pPr>
        <w:pStyle w:val="Author"/>
        <w:spacing w:line="240" w:lineRule="auto"/>
        <w:jc w:val="both"/>
        <w:rPr>
          <w:rFonts w:ascii="Arial" w:hAnsi="Arial" w:cs="Arial"/>
          <w:bCs/>
          <w:iCs/>
          <w:kern w:val="28"/>
          <w:sz w:val="36"/>
          <w:lang w:val="en-GB"/>
        </w:rPr>
      </w:pPr>
      <w:r w:rsidRPr="007F28C9">
        <w:rPr>
          <w:rFonts w:ascii="Arial" w:hAnsi="Arial" w:cs="Arial"/>
          <w:bCs/>
          <w:iCs/>
          <w:kern w:val="28"/>
          <w:sz w:val="36"/>
          <w:lang w:val="en-GB"/>
        </w:rPr>
        <w:t>Determinants Of Current Contraceptive Use Among Women of Reproductive Age: A Multinomial Logistic Regression Analysis</w:t>
      </w:r>
    </w:p>
    <w:p w14:paraId="50F62864" w14:textId="77777777" w:rsidR="00A258C3" w:rsidRPr="00790ADA" w:rsidRDefault="00A258C3" w:rsidP="00441B6F">
      <w:pPr>
        <w:pStyle w:val="Author"/>
        <w:spacing w:line="240" w:lineRule="auto"/>
        <w:jc w:val="both"/>
        <w:rPr>
          <w:rFonts w:ascii="Arial" w:hAnsi="Arial" w:cs="Arial"/>
          <w:sz w:val="36"/>
        </w:rPr>
      </w:pPr>
    </w:p>
    <w:p w14:paraId="10288E02" w14:textId="77777777" w:rsidR="00790ADA" w:rsidRDefault="00790ADA" w:rsidP="00441B6F">
      <w:pPr>
        <w:pStyle w:val="Affiliation"/>
        <w:spacing w:after="0" w:line="240" w:lineRule="auto"/>
        <w:jc w:val="both"/>
        <w:rPr>
          <w:rFonts w:ascii="Arial" w:hAnsi="Arial" w:cs="Arial"/>
        </w:rPr>
      </w:pPr>
    </w:p>
    <w:p w14:paraId="7EDCAF13" w14:textId="77777777" w:rsidR="002C57D2" w:rsidRPr="00FB3A86" w:rsidRDefault="002C57D2" w:rsidP="00441B6F">
      <w:pPr>
        <w:pStyle w:val="Affiliation"/>
        <w:spacing w:after="0" w:line="240" w:lineRule="auto"/>
        <w:jc w:val="both"/>
        <w:rPr>
          <w:rFonts w:ascii="Arial" w:hAnsi="Arial" w:cs="Arial"/>
        </w:rPr>
      </w:pPr>
    </w:p>
    <w:p w14:paraId="73356FA0" w14:textId="0B1B8F2F" w:rsidR="00B01FCD" w:rsidRPr="00FB3A86" w:rsidRDefault="002D1678" w:rsidP="00441B6F">
      <w:pPr>
        <w:pStyle w:val="Copyright"/>
        <w:spacing w:after="0" w:line="240" w:lineRule="auto"/>
        <w:jc w:val="both"/>
        <w:rPr>
          <w:rFonts w:ascii="Arial" w:hAnsi="Arial" w:cs="Arial"/>
        </w:rPr>
        <w:sectPr w:rsidR="00B01FCD" w:rsidRPr="00FB3A86" w:rsidSect="00346F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396765" wp14:editId="204ED3AE">
                <wp:extent cx="5303520" cy="635"/>
                <wp:effectExtent l="17145" t="9525" r="13335" b="9525"/>
                <wp:docPr id="1547205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1BD2AB4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08338D" w14:textId="5A239E76" w:rsidR="00B01FCD" w:rsidRDefault="00B01FCD" w:rsidP="00441B6F">
      <w:pPr>
        <w:pStyle w:val="AbstHead"/>
        <w:spacing w:after="0"/>
        <w:jc w:val="both"/>
        <w:rPr>
          <w:rFonts w:ascii="Arial" w:hAnsi="Arial" w:cs="Arial"/>
        </w:rPr>
      </w:pPr>
      <w:r w:rsidRPr="00FB3A86">
        <w:rPr>
          <w:rFonts w:ascii="Arial" w:hAnsi="Arial" w:cs="Arial"/>
        </w:rPr>
        <w:t>ABSTRACT</w:t>
      </w:r>
    </w:p>
    <w:p w14:paraId="29AE8D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4E437B" w14:textId="77777777" w:rsidTr="001E44FE">
        <w:tc>
          <w:tcPr>
            <w:tcW w:w="9576" w:type="dxa"/>
            <w:shd w:val="clear" w:color="auto" w:fill="F2F2F2"/>
          </w:tcPr>
          <w:p w14:paraId="45385629" w14:textId="56AC127C" w:rsidR="00505F06" w:rsidRPr="00350D51" w:rsidRDefault="00350D51" w:rsidP="00441B6F">
            <w:pPr>
              <w:pStyle w:val="Body"/>
              <w:spacing w:after="0"/>
              <w:rPr>
                <w:rFonts w:ascii="Arial" w:eastAsia="Calibri" w:hAnsi="Arial" w:cs="Arial"/>
                <w:szCs w:val="22"/>
                <w:lang w:val="en-GB"/>
              </w:rPr>
            </w:pPr>
            <w:r w:rsidRPr="00350D51">
              <w:rPr>
                <w:rFonts w:ascii="Arial" w:eastAsia="Calibri" w:hAnsi="Arial" w:cs="Arial"/>
                <w:szCs w:val="22"/>
                <w:lang w:val="en-GB"/>
              </w:rPr>
              <w:t xml:space="preserve">In Nigeria, uptake of contraception is shaped by social, economic, demographic, and informational factors, yet patterns may differ between traditional and modern methods. The study aimed to examine the determinants of current contraceptive use among women of reproductive age in Nigeria using multinomial logistic regression. This study used cross-sectional data from DHS comprising 104,557 women of reproductive age. Current contraceptive use was categorized into three outcomes: not using any method, using a traditional method, and using a modern method. Descriptive statistics were used to summarize contraceptive-use patterns. Bivariate associations were assessed using chi-square procedures, and multinomial logistic regression was used to estimate adjusted </w:t>
            </w:r>
            <w:commentRangeStart w:id="0"/>
            <w:r w:rsidRPr="00350D51">
              <w:rPr>
                <w:rFonts w:ascii="Arial" w:eastAsia="Calibri" w:hAnsi="Arial" w:cs="Arial"/>
                <w:szCs w:val="22"/>
                <w:lang w:val="en-GB"/>
              </w:rPr>
              <w:t xml:space="preserve">relative risk ratios </w:t>
            </w:r>
            <w:commentRangeEnd w:id="0"/>
            <w:r w:rsidR="00486439">
              <w:rPr>
                <w:rStyle w:val="ReferensiKomentar"/>
                <w:rFonts w:ascii="Times New Roman" w:hAnsi="Times New Roman"/>
                <w:lang w:val="nb-NO" w:eastAsia="nb-NO"/>
              </w:rPr>
              <w:commentReference w:id="0"/>
            </w:r>
            <w:r w:rsidRPr="00350D51">
              <w:rPr>
                <w:rFonts w:ascii="Arial" w:eastAsia="Calibri" w:hAnsi="Arial" w:cs="Arial"/>
                <w:szCs w:val="22"/>
                <w:lang w:val="en-GB"/>
              </w:rPr>
              <w:t>(aRRRs) with 95% confidence intervals, with non-use as the reference category. Weighted prevalence estimates showed that 79.9% of women were not using any contraceptive method, 4.7% were using traditional/folkloric methods, and 15.5% were using modern methods. Education, household wealth, parity, religion, media exposure, and employment status were significant predictors of contraceptive use. Compared with women with no education, women with higher education had significantly higher relative risks of traditional-method use (aRRR: 3.35; 95% CI: 2.93-3.83) and modern-method use (aRRR: 2.15; 95% CI: 1.99-2.32). Women in the richest wealth quintile were more likely than those in the poorest quintile to use traditional methods (aRRR: 6.58; 95% CI: 5.51-7.86) and modern methods (aRRR: 2.41; 95% CI: 2.21-2.62). Rural residence was associated with lower modern contraceptive use (aRRR: 0.90; 95% CI: 0.86-0.94), while radio exposure and current employment were positively associated with both traditional and modern method use. Current contraceptive use in Nigeria is strongly associated with women’s education, household wealth, reproductive history, religion, media exposure, and employment. Modern method uptake remains lower among rural, poorer, and less educated women. Interventions to improve contraceptive use should address both social inequalities and access barriers, especially for disadvantaged populations.</w:t>
            </w:r>
          </w:p>
        </w:tc>
      </w:tr>
    </w:tbl>
    <w:p w14:paraId="5E7F7E54" w14:textId="77777777" w:rsidR="00636EB2" w:rsidRDefault="00636EB2" w:rsidP="00441B6F">
      <w:pPr>
        <w:pStyle w:val="Body"/>
        <w:spacing w:after="0"/>
        <w:rPr>
          <w:rFonts w:ascii="Arial" w:hAnsi="Arial" w:cs="Arial"/>
          <w:i/>
        </w:rPr>
      </w:pPr>
    </w:p>
    <w:p w14:paraId="5C1E42A4" w14:textId="19605D77" w:rsidR="00A24E7E" w:rsidRDefault="00A24E7E" w:rsidP="00441B6F">
      <w:pPr>
        <w:pStyle w:val="Body"/>
        <w:spacing w:after="0"/>
        <w:rPr>
          <w:rFonts w:ascii="Arial" w:hAnsi="Arial" w:cs="Arial"/>
          <w:i/>
        </w:rPr>
      </w:pPr>
      <w:r>
        <w:rPr>
          <w:rFonts w:ascii="Arial" w:hAnsi="Arial" w:cs="Arial"/>
          <w:i/>
        </w:rPr>
        <w:t xml:space="preserve">Keywords: </w:t>
      </w:r>
      <w:r w:rsidR="00350D51" w:rsidRPr="00350D51">
        <w:rPr>
          <w:rFonts w:ascii="Arial" w:hAnsi="Arial" w:cs="Arial"/>
          <w:i/>
          <w:lang w:val="en-GB"/>
        </w:rPr>
        <w:t>contraceptive use; modern contraception; traditional methods; multinomial logistic regression; women of reproductive age; Nigeria</w:t>
      </w:r>
    </w:p>
    <w:p w14:paraId="439BF7FB" w14:textId="77777777" w:rsidR="0024282C" w:rsidRDefault="0024282C" w:rsidP="00441B6F">
      <w:pPr>
        <w:pStyle w:val="Body"/>
        <w:spacing w:after="0"/>
        <w:rPr>
          <w:rFonts w:ascii="Arial" w:hAnsi="Arial" w:cs="Arial"/>
          <w:i/>
          <w:sz w:val="18"/>
        </w:rPr>
      </w:pPr>
    </w:p>
    <w:p w14:paraId="51854055" w14:textId="77777777" w:rsidR="00505F06" w:rsidRPr="00A24E7E" w:rsidRDefault="00505F06" w:rsidP="00441B6F">
      <w:pPr>
        <w:pStyle w:val="Body"/>
        <w:spacing w:after="0"/>
        <w:rPr>
          <w:rFonts w:ascii="Arial" w:hAnsi="Arial" w:cs="Arial"/>
          <w:i/>
        </w:rPr>
      </w:pPr>
    </w:p>
    <w:p w14:paraId="0001E928" w14:textId="4CB35C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5A42B3" w14:textId="77777777" w:rsidR="00790ADA" w:rsidRPr="00FB3A86" w:rsidRDefault="00790ADA" w:rsidP="00441B6F">
      <w:pPr>
        <w:pStyle w:val="AbstHead"/>
        <w:spacing w:after="0"/>
        <w:jc w:val="both"/>
        <w:rPr>
          <w:rFonts w:ascii="Arial" w:hAnsi="Arial" w:cs="Arial"/>
        </w:rPr>
      </w:pPr>
    </w:p>
    <w:p w14:paraId="705DA633"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Family planning is a core component of sexual and reproductive health because it enables women and couples to decide the number and spacing of their children, reduces unintended pregnancy, and lowers pregnancy-related health risks. Globally, the World Health Organization estimates that among 1.9 billion women of reproductive age in 2021, about 1.1 </w:t>
      </w:r>
      <w:r w:rsidRPr="00350D51">
        <w:rPr>
          <w:rFonts w:ascii="Arial" w:hAnsi="Arial" w:cs="Arial"/>
          <w:lang w:val="en-GB"/>
        </w:rPr>
        <w:lastRenderedPageBreak/>
        <w:t xml:space="preserve">billion had a need for family planning; of these, 874 million were using modern contraception, while 164 million still had an unmet need. These figures show that, despite progress, access to and uptake of contraception remain uneven, particularly in low- and middle-income settings where social, economic, and service-delivery barriers are persistent (World Health Organization [WHO], 2025). </w:t>
      </w:r>
    </w:p>
    <w:p w14:paraId="53BDF44D"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Nigeria remains a high-priority setting for contraceptive research because it combines high fertility with persistently modest contraceptive uptake. Official survey evidence shows that among currently married women aged 15–49, contraceptive use increased from 17% in 2018 to 20.3% in 2023–24; modern contraceptive use rose from 12% to 15.3%, while traditional-method use remained at about 5%. Although this trend suggests improvement, a large majority of women are still not using contraception, indicating that Nigeria remains off pace for universal access to family-planning services and for faster gains in reproductive health. This continuing gap constitutes a major public health and development concern because low contraceptive uptake is closely linked to unintended pregnancy, unmet need, and persistent maternal-health risks (National Population Commission [NPC] [Nigeria] &amp; ICF, 2019; Federal Ministry of Health and Social Welfare of Nigeria, NPC [Nigeria], &amp; ICF, 2024). </w:t>
      </w:r>
    </w:p>
    <w:p w14:paraId="39521EE4"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Recent literature from Nigeria shows that contraceptive use is shaped by a combination of individual, household, and contextual factors. A multilevel national study found that education, wealth, media exposure, parity, religion, and region were significant predictors of modern contraceptive use, with marked spatial concentration of lower use in parts of northern Nigeria (Bolarinwa et al., 2021). Similarly, Abubakar and Abubakar (2024), using NDHS 2018 data, reported that modern contraceptive use was associated with employment, urban residence, higher wealth, and regional location. More recent evidence has also shown persistent inequality gaps by age, education, wealth, residence, and subnational region, suggesting that contraceptive uptake in Nigeria is still stratified by social advantage (Bolarinwa, 2024). In addition, a 2025 systematic review concluded that low uptake remains influenced by desire for more children, fear of side effects, spousal opposition, limited-service access, and inadequate knowledge, while a 2022 study on family-planning social norms demonstrated that norms around birth spacing and contraceptive approval significantly shape modern method use (Ayo-Bello &amp; Quinn-Walker, 2025; Mandal et al., 2022). Among Nigerian youth, regional disparities also persist, with higher modern contraceptive use in Southern than Northern Nigeria and significant effects of education, wealth, marital status, and religion (Sanni et al., 2025). </w:t>
      </w:r>
    </w:p>
    <w:p w14:paraId="1E77E068"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However, an important gap remains in the literature. Much of the recent Nigerian evidence has focused on modern contraceptive use only, on specific subgroups such as youth, or on inequality trends, rather than modelling current contraceptive use as a three-part behavioural outcome: non-use, traditional-method use, and modern-method use. This matters because the determinants of using a traditional method may differ from the determinants of using a modern method, especially in relation to education, media exposure, religion, autonomy, and access to formal health services. The problem statement of this study, therefore, is that contraceptive use in Nigeria remains low and socially patterned, while existing analyses do not always adequately distinguish the different forms of current contraceptive behaviour that are most relevant for policy and programme design. Against this background, the aim of this study is to examine the determinants of current contraceptive use among women of reproductive age in Nigeria. The specific objectives are to estimate the prevalence of non-use, traditional-method use, and modern-method use, and to assess the association between contraceptive-use category and selected demographic, socioeconomic, and media-exposure factors using multinomial logistic regression. </w:t>
      </w:r>
    </w:p>
    <w:p w14:paraId="24F88DFA" w14:textId="77777777" w:rsidR="00790ADA" w:rsidRPr="00FB3A86" w:rsidRDefault="00790ADA" w:rsidP="00441B6F">
      <w:pPr>
        <w:pStyle w:val="Body"/>
        <w:spacing w:after="0"/>
        <w:rPr>
          <w:rFonts w:ascii="Arial" w:hAnsi="Arial" w:cs="Arial"/>
        </w:rPr>
      </w:pPr>
    </w:p>
    <w:p w14:paraId="6E6B859C" w14:textId="2B6A62F2" w:rsidR="007F7B32" w:rsidRDefault="00902823" w:rsidP="00441B6F">
      <w:pPr>
        <w:pStyle w:val="AbstHead"/>
        <w:spacing w:after="0"/>
        <w:jc w:val="both"/>
        <w:rPr>
          <w:rFonts w:ascii="Arial" w:hAnsi="Arial" w:cs="Arial"/>
        </w:rPr>
      </w:pPr>
      <w:commentRangeStart w:id="1"/>
      <w:r>
        <w:rPr>
          <w:rFonts w:ascii="Arial" w:hAnsi="Arial" w:cs="Arial"/>
        </w:rPr>
        <w:t xml:space="preserve">2. </w:t>
      </w:r>
      <w:r w:rsidR="006B57D0">
        <w:rPr>
          <w:rFonts w:ascii="Arial" w:hAnsi="Arial" w:cs="Arial"/>
        </w:rPr>
        <w:t>methodology</w:t>
      </w:r>
      <w:commentRangeEnd w:id="1"/>
      <w:r w:rsidR="001F6570">
        <w:rPr>
          <w:rStyle w:val="ReferensiKomentar"/>
          <w:rFonts w:ascii="Times New Roman" w:hAnsi="Times New Roman"/>
          <w:b w:val="0"/>
          <w:caps w:val="0"/>
          <w:lang w:val="nb-NO" w:eastAsia="nb-NO"/>
        </w:rPr>
        <w:commentReference w:id="1"/>
      </w:r>
    </w:p>
    <w:p w14:paraId="2DF1B10D" w14:textId="77777777" w:rsidR="00790ADA" w:rsidRPr="00FB3A86" w:rsidRDefault="00790ADA" w:rsidP="00441B6F">
      <w:pPr>
        <w:pStyle w:val="AbstHead"/>
        <w:spacing w:after="0"/>
        <w:jc w:val="both"/>
        <w:rPr>
          <w:rFonts w:ascii="Arial" w:hAnsi="Arial" w:cs="Arial"/>
        </w:rPr>
      </w:pPr>
    </w:p>
    <w:p w14:paraId="510D31BA"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2.1 Study design and Data source</w:t>
      </w:r>
    </w:p>
    <w:p w14:paraId="02398883"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lastRenderedPageBreak/>
        <w:t>The study was a cross-sectional study from the Demographic and Health survey (DHS) programme conducted in Nigeria. The study contained 104,557 observations and variables on sociodemographic characteristics, fertility history, family planning, maternal health, media exposure and employment status of women aged 15-49 years. The dependent variable was current contraceptive use, which was coded into 0 = not using any method, 1 = using a traditional method, and 2 = using a modern method. The independent variables were selected based on the theoretical evidence from literature. They include, age, educational level, household wealth quintile, place of residence, religion, marital status, total children ever born, frequency of reading newspaper, frequency of listening to radio, frequency of watching television, current working status.</w:t>
      </w:r>
    </w:p>
    <w:p w14:paraId="7436B831"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2.2 Statistical analysis</w:t>
      </w:r>
    </w:p>
    <w:p w14:paraId="72452F41"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Descriptive statistics were first used to summarize the distribution of the study variables. Weighted prevalence estimates were generated for the outcome variable to describe the proportions of women who were not using contraception, using traditional methods, and using modern methods. Bivariate analysis was conducted to examine the association between current contraceptive-use category and each explanatory variable. </w:t>
      </w:r>
      <w:commentRangeStart w:id="2"/>
      <w:r w:rsidRPr="00BC00DC">
        <w:rPr>
          <w:rFonts w:ascii="Arial" w:hAnsi="Arial" w:cs="Arial"/>
          <w:lang w:val="en-GB"/>
        </w:rPr>
        <w:t>Rao–Scott chi-square tests were considered appropriate for categorical comparisons because of the survey nature of the data.</w:t>
      </w:r>
      <w:commentRangeEnd w:id="2"/>
      <w:r w:rsidR="00D9721C">
        <w:rPr>
          <w:rStyle w:val="ReferensiKomentar"/>
          <w:rFonts w:ascii="Times New Roman" w:hAnsi="Times New Roman"/>
          <w:lang w:val="nb-NO" w:eastAsia="nb-NO"/>
        </w:rPr>
        <w:commentReference w:id="2"/>
      </w:r>
    </w:p>
    <w:p w14:paraId="6332C054" w14:textId="5184236E" w:rsidR="00BC00DC" w:rsidRPr="00BC00DC" w:rsidRDefault="00F86F81" w:rsidP="00BC00DC">
      <w:pPr>
        <w:pStyle w:val="Body"/>
        <w:spacing w:after="0"/>
        <w:rPr>
          <w:rFonts w:ascii="Arial" w:hAnsi="Arial" w:cs="Arial"/>
          <w:b/>
          <w:bCs/>
          <w:i/>
          <w:iCs/>
          <w:lang w:val="en-GB"/>
        </w:rPr>
      </w:pPr>
      <w:r>
        <w:rPr>
          <w:rFonts w:ascii="Arial" w:hAnsi="Arial" w:cs="Arial"/>
          <w:b/>
          <w:bCs/>
          <w:i/>
          <w:iCs/>
          <w:lang w:val="en-GB"/>
        </w:rPr>
        <w:t xml:space="preserve">2.2.1 </w:t>
      </w:r>
      <w:r w:rsidR="00BC00DC" w:rsidRPr="00BC00DC">
        <w:rPr>
          <w:rFonts w:ascii="Arial" w:hAnsi="Arial" w:cs="Arial"/>
          <w:b/>
          <w:bCs/>
          <w:i/>
          <w:iCs/>
          <w:lang w:val="en-GB"/>
        </w:rPr>
        <w:t>Model specification for the multinomial logistic regression</w:t>
      </w:r>
    </w:p>
    <w:p w14:paraId="2D095020" w14:textId="14DAE6F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Let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xml:space="preserve">denote the current contraceptive-use status of woman </w:t>
      </w:r>
      <m:oMath>
        <m:r>
          <w:rPr>
            <w:rFonts w:ascii="Cambria Math" w:hAnsi="Cambria Math" w:cs="Arial"/>
            <w:lang w:val="en-GB"/>
          </w:rPr>
          <m:t>i</m:t>
        </m:r>
      </m:oMath>
      <w:r w:rsidRPr="00BC00DC">
        <w:rPr>
          <w:rFonts w:ascii="Arial" w:hAnsi="Arial" w:cs="Arial"/>
          <w:lang w:val="en-GB"/>
        </w:rPr>
        <w:t>, defined as:</w:t>
      </w:r>
    </w:p>
    <w:p w14:paraId="5953ADE5" w14:textId="01DDCB62" w:rsidR="00BC00DC" w:rsidRPr="00BC00DC" w:rsidRDefault="008144D0"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d>
            <m:dPr>
              <m:begChr m:val="{"/>
              <m:endChr m:val=""/>
              <m:ctrlPr>
                <w:rPr>
                  <w:rFonts w:ascii="Cambria Math" w:hAnsi="Cambria Math" w:cs="Arial"/>
                  <w:lang w:val="en-GB"/>
                </w:rPr>
              </m:ctrlPr>
            </m:dPr>
            <m:e>
              <m:m>
                <m:mPr>
                  <m:plcHide m:val="1"/>
                  <m:mcs>
                    <m:mc>
                      <m:mcPr>
                        <m:count m:val="2"/>
                        <m:mcJc m:val="center"/>
                      </m:mcPr>
                    </m:mc>
                  </m:mcs>
                  <m:ctrlPr>
                    <w:rPr>
                      <w:rFonts w:ascii="Cambria Math" w:hAnsi="Cambria Math" w:cs="Arial"/>
                      <w:lang w:val="en-GB"/>
                    </w:rPr>
                  </m:ctrlPr>
                </m:mPr>
                <m:mr>
                  <m:e>
                    <m:r>
                      <w:rPr>
                        <w:rFonts w:ascii="Cambria Math" w:hAnsi="Cambria Math" w:cs="Arial"/>
                        <w:lang w:val="en-GB"/>
                      </w:rPr>
                      <m:t>0,</m:t>
                    </m:r>
                  </m:e>
                  <m:e>
                    <m:r>
                      <m:rPr>
                        <m:nor/>
                      </m:rPr>
                      <w:rPr>
                        <w:rFonts w:ascii="Arial" w:hAnsi="Arial" w:cs="Arial"/>
                        <w:lang w:val="en-GB"/>
                      </w:rPr>
                      <m:t>if not using any contraceptive method</m:t>
                    </m:r>
                  </m:e>
                </m:mr>
                <m:mr>
                  <m:e>
                    <m:r>
                      <w:rPr>
                        <w:rFonts w:ascii="Cambria Math" w:hAnsi="Cambria Math" w:cs="Arial"/>
                        <w:lang w:val="en-GB"/>
                      </w:rPr>
                      <m:t>1,</m:t>
                    </m:r>
                  </m:e>
                  <m:e>
                    <m:r>
                      <m:rPr>
                        <m:nor/>
                      </m:rPr>
                      <w:rPr>
                        <w:rFonts w:ascii="Arial" w:hAnsi="Arial" w:cs="Arial"/>
                        <w:lang w:val="en-GB"/>
                      </w:rPr>
                      <m:t>if using a traditional/folkloric method</m:t>
                    </m:r>
                  </m:e>
                </m:mr>
                <m:mr>
                  <m:e>
                    <m:r>
                      <w:rPr>
                        <w:rFonts w:ascii="Cambria Math" w:hAnsi="Cambria Math" w:cs="Arial"/>
                        <w:lang w:val="en-GB"/>
                      </w:rPr>
                      <m:t>2,</m:t>
                    </m:r>
                  </m:e>
                  <m:e>
                    <m:r>
                      <m:rPr>
                        <m:nor/>
                      </m:rPr>
                      <w:rPr>
                        <w:rFonts w:ascii="Arial" w:hAnsi="Arial" w:cs="Arial"/>
                        <w:lang w:val="en-GB"/>
                      </w:rPr>
                      <m:t>if using a modern method</m:t>
                    </m:r>
                  </m:e>
                </m:mr>
              </m:m>
            </m:e>
          </m:d>
          <m:r>
            <m:rPr>
              <m:sty m:val="p"/>
            </m:rPr>
            <w:rPr>
              <w:rFonts w:ascii="Arial" w:hAnsi="Arial" w:cs="Arial"/>
              <w:lang w:val="en-GB"/>
            </w:rPr>
            <w:br/>
          </m:r>
        </m:oMath>
      </m:oMathPara>
      <w:r w:rsidR="00BC00DC" w:rsidRPr="00BC00DC">
        <w:rPr>
          <w:rFonts w:ascii="Arial" w:hAnsi="Arial" w:cs="Arial"/>
          <w:lang w:val="en-GB"/>
        </w:rPr>
        <w:t xml:space="preserve">The reference outcome is non-use of contraception </w:t>
      </w:r>
      <m:oMath>
        <m:d>
          <m:dPr>
            <m:sepChr m:val="="/>
            <m:ctrlPr>
              <w:rPr>
                <w:rFonts w:ascii="Cambria Math" w:hAnsi="Cambria Math" w:cs="Arial"/>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e>
          <m:e>
            <m:r>
              <w:rPr>
                <w:rFonts w:ascii="Cambria Math" w:hAnsi="Cambria Math" w:cs="Arial"/>
                <w:lang w:val="en-GB"/>
              </w:rPr>
              <m:t>0</m:t>
            </m:r>
          </m:e>
        </m:d>
      </m:oMath>
      <w:r w:rsidR="00BC00DC" w:rsidRPr="00BC00DC">
        <w:rPr>
          <w:rFonts w:ascii="Arial" w:hAnsi="Arial" w:cs="Arial"/>
          <w:lang w:val="en-GB"/>
        </w:rPr>
        <w:t>. Since the dependent variable has three unordered categories, a multinomial logistic regression model was specified to estimate the relative effect of selected predictors on the likelihood of being in category 1 or category 2 relative to category 0.</w:t>
      </w:r>
    </w:p>
    <w:p w14:paraId="7A4314F6" w14:textId="0D024551" w:rsidR="00BC00DC" w:rsidRPr="00BC00DC" w:rsidRDefault="00F86F81" w:rsidP="00C073B3">
      <w:pPr>
        <w:pStyle w:val="Body"/>
        <w:spacing w:before="240" w:after="0"/>
        <w:rPr>
          <w:rFonts w:ascii="Arial" w:hAnsi="Arial" w:cs="Arial"/>
          <w:b/>
          <w:bCs/>
          <w:i/>
          <w:iCs/>
          <w:lang w:val="en-GB"/>
        </w:rPr>
      </w:pPr>
      <w:r>
        <w:rPr>
          <w:rFonts w:ascii="Arial" w:hAnsi="Arial" w:cs="Arial"/>
          <w:b/>
          <w:bCs/>
          <w:i/>
          <w:iCs/>
          <w:lang w:val="en-GB"/>
        </w:rPr>
        <w:t>2.2.2 M</w:t>
      </w:r>
      <w:r w:rsidR="00BC00DC" w:rsidRPr="00BC00DC">
        <w:rPr>
          <w:rFonts w:ascii="Arial" w:hAnsi="Arial" w:cs="Arial"/>
          <w:b/>
          <w:bCs/>
          <w:i/>
          <w:iCs/>
          <w:lang w:val="en-GB"/>
        </w:rPr>
        <w:t>ultinomial logit model</w:t>
      </w:r>
    </w:p>
    <w:p w14:paraId="7A881B59" w14:textId="36B0BE3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woman </w:t>
      </w:r>
      <m:oMath>
        <m:r>
          <w:rPr>
            <w:rFonts w:ascii="Cambria Math" w:hAnsi="Cambria Math" w:cs="Arial"/>
            <w:lang w:val="en-GB"/>
          </w:rPr>
          <m:t>i</m:t>
        </m:r>
      </m:oMath>
      <w:r w:rsidRPr="00BC00DC">
        <w:rPr>
          <w:rFonts w:ascii="Arial" w:hAnsi="Arial" w:cs="Arial"/>
          <w:lang w:val="en-GB"/>
        </w:rPr>
        <w:t>, let:</w:t>
      </w:r>
    </w:p>
    <w:p w14:paraId="3A7406A5" w14:textId="77777777" w:rsidR="00C073B3" w:rsidRPr="00C073B3" w:rsidRDefault="008144D0"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ij</m:t>
                  </m:r>
                </m:sub>
              </m:sSub>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=j</m:t>
                  </m:r>
                </m:e>
              </m:d>
              <m:r>
                <w:rPr>
                  <w:rFonts w:ascii="Cambria Math" w:hAnsi="Cambria Math" w:cs="Arial"/>
                  <w:lang w:val="en-GB"/>
                </w:rPr>
                <m:t>,j=0,1,2#</m:t>
              </m:r>
              <m:d>
                <m:dPr>
                  <m:ctrlPr>
                    <w:rPr>
                      <w:rFonts w:ascii="Cambria Math" w:hAnsi="Cambria Math" w:cs="Arial"/>
                      <w:i/>
                      <w:lang w:val="en-GB"/>
                    </w:rPr>
                  </m:ctrlPr>
                </m:dPr>
                <m:e>
                  <m:r>
                    <w:rPr>
                      <w:rFonts w:ascii="Cambria Math" w:hAnsi="Cambria Math" w:cs="Arial"/>
                      <w:lang w:val="en-GB"/>
                    </w:rPr>
                    <m:t>1</m:t>
                  </m:r>
                </m:e>
              </m:d>
            </m:e>
          </m:eqArr>
        </m:oMath>
      </m:oMathPara>
    </w:p>
    <w:p w14:paraId="30995DA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with</w:t>
      </w:r>
    </w:p>
    <w:p w14:paraId="54F9FEAF" w14:textId="77777777" w:rsidR="00C073B3" w:rsidRPr="00C073B3" w:rsidRDefault="008144D0"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r>
                <w:rPr>
                  <w:rFonts w:ascii="Cambria Math" w:hAnsi="Cambria Math" w:cs="Arial"/>
                  <w:lang w:val="en-GB"/>
                </w:rPr>
                <m:t>=1#</m:t>
              </m:r>
              <m:d>
                <m:dPr>
                  <m:ctrlPr>
                    <w:rPr>
                      <w:rFonts w:ascii="Cambria Math" w:hAnsi="Cambria Math" w:cs="Arial"/>
                      <w:i/>
                      <w:lang w:val="en-GB"/>
                    </w:rPr>
                  </m:ctrlPr>
                </m:dPr>
                <m:e>
                  <m:r>
                    <w:rPr>
                      <w:rFonts w:ascii="Cambria Math" w:hAnsi="Cambria Math" w:cs="Arial"/>
                      <w:lang w:val="en-GB"/>
                    </w:rPr>
                    <m:t>2</m:t>
                  </m:r>
                </m:e>
              </m:d>
            </m:e>
          </m:eqArr>
        </m:oMath>
      </m:oMathPara>
    </w:p>
    <w:p w14:paraId="625A0B2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logit model is given by:</w:t>
      </w:r>
    </w:p>
    <w:p w14:paraId="27948F2C" w14:textId="77777777" w:rsidR="00C073B3" w:rsidRPr="00C073B3" w:rsidRDefault="008144D0"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3</m:t>
                  </m:r>
                </m:e>
              </m:d>
            </m:e>
          </m:eqArr>
        </m:oMath>
      </m:oMathPara>
    </w:p>
    <w:p w14:paraId="77083745"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4</m:t>
                  </m:r>
                </m:e>
              </m:d>
            </m:e>
          </m:eqArr>
        </m:oMath>
      </m:oMathPara>
    </w:p>
    <w:p w14:paraId="26257A0E"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06C82EAD" w14:textId="07472C3D" w:rsidR="00BC00DC" w:rsidRPr="00BC00DC" w:rsidRDefault="008144D0"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oMath>
      <w:r w:rsidR="00BC00DC" w:rsidRPr="00BC00DC">
        <w:rPr>
          <w:rFonts w:ascii="Arial" w:hAnsi="Arial" w:cs="Arial"/>
          <w:lang w:val="en-GB"/>
        </w:rPr>
        <w:t xml:space="preserve">is the relative probability of using a traditional/folkloric method versus not using </w:t>
      </w:r>
    </w:p>
    <w:p w14:paraId="48B3502E" w14:textId="641BDBB3" w:rsidR="00BC00DC" w:rsidRPr="00BC00DC" w:rsidRDefault="008144D0"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oMath>
      <w:r w:rsidR="00BC00DC" w:rsidRPr="00BC00DC">
        <w:rPr>
          <w:rFonts w:ascii="Arial" w:hAnsi="Arial" w:cs="Arial"/>
          <w:lang w:val="en-GB"/>
        </w:rPr>
        <w:t xml:space="preserve">is the relative probability of using a modern method versus not using </w:t>
      </w:r>
    </w:p>
    <w:p w14:paraId="2217CA6E" w14:textId="1EF533DF" w:rsidR="00BC00DC" w:rsidRPr="00BC00DC" w:rsidRDefault="008144D0"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oMath>
      <w:r w:rsidR="00BC00DC" w:rsidRPr="00BC00DC">
        <w:rPr>
          <w:rFonts w:ascii="Arial" w:hAnsi="Arial" w:cs="Arial"/>
          <w:lang w:val="en-GB"/>
        </w:rPr>
        <w:t xml:space="preserve">are the intercepts </w:t>
      </w:r>
    </w:p>
    <w:p w14:paraId="05BDB003" w14:textId="65BACD83" w:rsidR="00BC00DC" w:rsidRPr="00BC00DC" w:rsidRDefault="008144D0"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oMath>
      <w:r w:rsidR="00BC00DC" w:rsidRPr="00BC00DC">
        <w:rPr>
          <w:rFonts w:ascii="Arial" w:hAnsi="Arial" w:cs="Arial"/>
          <w:lang w:val="en-GB"/>
        </w:rPr>
        <w:t xml:space="preserve">are category-specific regression coefficients </w:t>
      </w:r>
    </w:p>
    <w:p w14:paraId="59161298" w14:textId="6A852365" w:rsidR="00BC00DC" w:rsidRPr="00BC00DC" w:rsidRDefault="008144D0"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oMath>
      <w:r w:rsidR="00BC00DC" w:rsidRPr="00BC00DC">
        <w:rPr>
          <w:rFonts w:ascii="Arial" w:hAnsi="Arial" w:cs="Arial"/>
          <w:lang w:val="en-GB"/>
        </w:rPr>
        <w:t xml:space="preserve">are the explanatory variables for woman </w:t>
      </w:r>
      <m:oMath>
        <m:r>
          <w:rPr>
            <w:rFonts w:ascii="Cambria Math" w:hAnsi="Cambria Math" w:cs="Arial"/>
            <w:lang w:val="en-GB"/>
          </w:rPr>
          <m:t>i</m:t>
        </m:r>
      </m:oMath>
    </w:p>
    <w:p w14:paraId="3ED43134" w14:textId="77777777" w:rsidR="00BC00DC" w:rsidRPr="00BC00DC" w:rsidRDefault="00BC00DC" w:rsidP="00F86F81">
      <w:pPr>
        <w:pStyle w:val="Body"/>
        <w:spacing w:before="240" w:after="0"/>
        <w:rPr>
          <w:rFonts w:ascii="Arial" w:hAnsi="Arial" w:cs="Arial"/>
          <w:b/>
          <w:bCs/>
          <w:i/>
          <w:iCs/>
          <w:lang w:val="en-GB"/>
        </w:rPr>
      </w:pPr>
      <w:r w:rsidRPr="00BC00DC">
        <w:rPr>
          <w:rFonts w:ascii="Arial" w:hAnsi="Arial" w:cs="Arial"/>
          <w:b/>
          <w:bCs/>
          <w:i/>
          <w:iCs/>
          <w:lang w:val="en-GB"/>
        </w:rPr>
        <w:t>Expanded model for this study</w:t>
      </w:r>
    </w:p>
    <w:p w14:paraId="44CBE1B6" w14:textId="18E6E9D8" w:rsidR="00BC00DC" w:rsidRPr="00BC00DC" w:rsidRDefault="00BC00DC" w:rsidP="00F86F81">
      <w:pPr>
        <w:pStyle w:val="Body"/>
        <w:spacing w:after="0"/>
        <w:rPr>
          <w:rFonts w:ascii="Arial" w:hAnsi="Arial" w:cs="Arial"/>
          <w:lang w:val="en-GB"/>
        </w:rPr>
      </w:pPr>
      <w:r w:rsidRPr="00BC00DC">
        <w:rPr>
          <w:rFonts w:ascii="Arial" w:hAnsi="Arial" w:cs="Arial"/>
          <w:lang w:val="en-GB"/>
        </w:rPr>
        <w:t>The explanatory variables included in the model were:</w:t>
      </w:r>
      <m:oMath>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oMath>
      <w:r w:rsidRPr="00BC00DC">
        <w:rPr>
          <w:rFonts w:ascii="Arial" w:hAnsi="Arial" w:cs="Arial"/>
          <w:lang w:val="en-GB"/>
        </w:rPr>
        <w:t>: respondent’s age in years</w:t>
      </w:r>
      <w:r w:rsidR="00F86F81">
        <w:rPr>
          <w:rFonts w:ascii="Arial" w:hAnsi="Arial" w:cs="Arial"/>
          <w:lang w:val="en-GB"/>
        </w:rPr>
        <w:t xml:space="preserve">, </w:t>
      </w:r>
      <m:oMath>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total children ever born</w:t>
      </w:r>
      <w:r w:rsidR="00F86F81">
        <w:rPr>
          <w:rFonts w:ascii="Arial" w:hAnsi="Arial" w:cs="Arial"/>
          <w:lang w:val="en-GB"/>
        </w:rPr>
        <w:t xml:space="preserve">, </w:t>
      </w:r>
      <m:oMath>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oMath>
      <w:r w:rsidRPr="00BC00DC">
        <w:rPr>
          <w:rFonts w:ascii="Arial" w:hAnsi="Arial" w:cs="Arial"/>
          <w:lang w:val="en-GB"/>
        </w:rPr>
        <w:t>: educational level</w:t>
      </w:r>
      <w:r w:rsidR="00F86F81">
        <w:rPr>
          <w:rFonts w:ascii="Arial" w:hAnsi="Arial" w:cs="Arial"/>
          <w:lang w:val="en-GB"/>
        </w:rPr>
        <w:t xml:space="preserve">, </w:t>
      </w:r>
      <m:oMath>
        <m:r>
          <w:rPr>
            <w:rFonts w:ascii="Cambria Math" w:hAnsi="Cambria Math" w:cs="Arial"/>
            <w:lang w:val="en-GB"/>
          </w:rPr>
          <w:lastRenderedPageBreak/>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oMath>
      <w:r w:rsidRPr="00BC00DC">
        <w:rPr>
          <w:rFonts w:ascii="Arial" w:hAnsi="Arial" w:cs="Arial"/>
          <w:lang w:val="en-GB"/>
        </w:rPr>
        <w:t>: wealth quintile</w:t>
      </w:r>
      <w:r w:rsidR="00F86F81">
        <w:rPr>
          <w:rFonts w:ascii="Arial" w:hAnsi="Arial" w:cs="Arial"/>
          <w:lang w:val="en-GB"/>
        </w:rPr>
        <w:t xml:space="preserve">, </w:t>
      </w:r>
      <m:oMath>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oMath>
      <w:r w:rsidRPr="00BC00DC">
        <w:rPr>
          <w:rFonts w:ascii="Arial" w:hAnsi="Arial" w:cs="Arial"/>
          <w:lang w:val="en-GB"/>
        </w:rPr>
        <w:t>: place of residence</w:t>
      </w:r>
      <w:r w:rsidR="00F86F81">
        <w:rPr>
          <w:rFonts w:ascii="Arial" w:hAnsi="Arial" w:cs="Arial"/>
          <w:lang w:val="en-GB"/>
        </w:rPr>
        <w:t xml:space="preserve">, </w:t>
      </w:r>
      <m:oMath>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oMath>
      <w:r w:rsidRPr="00BC00DC">
        <w:rPr>
          <w:rFonts w:ascii="Arial" w:hAnsi="Arial" w:cs="Arial"/>
          <w:lang w:val="en-GB"/>
        </w:rPr>
        <w:t>: religion</w:t>
      </w:r>
      <w:r w:rsidR="00F86F81">
        <w:rPr>
          <w:rFonts w:ascii="Arial" w:hAnsi="Arial" w:cs="Arial"/>
          <w:lang w:val="en-GB"/>
        </w:rPr>
        <w:t xml:space="preserve">, </w:t>
      </w:r>
      <m:oMath>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oMath>
      <w:r w:rsidRPr="00BC00DC">
        <w:rPr>
          <w:rFonts w:ascii="Arial" w:hAnsi="Arial" w:cs="Arial"/>
          <w:lang w:val="en-GB"/>
        </w:rPr>
        <w:t>: marital status</w:t>
      </w:r>
      <w:r w:rsidR="00F86F81">
        <w:rPr>
          <w:rFonts w:ascii="Arial" w:hAnsi="Arial" w:cs="Arial"/>
          <w:lang w:val="en-GB"/>
        </w:rPr>
        <w:t xml:space="preserve">, </w:t>
      </w:r>
      <m:oMath>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oMath>
      <w:r w:rsidRPr="00BC00DC">
        <w:rPr>
          <w:rFonts w:ascii="Arial" w:hAnsi="Arial" w:cs="Arial"/>
          <w:lang w:val="en-GB"/>
        </w:rPr>
        <w:t>: frequency of reading newspaper/magazine</w:t>
      </w:r>
      <w:r w:rsidR="00F86F81">
        <w:rPr>
          <w:rFonts w:ascii="Arial" w:hAnsi="Arial" w:cs="Arial"/>
          <w:lang w:val="en-GB"/>
        </w:rPr>
        <w:t xml:space="preserve">, </w:t>
      </w:r>
      <m:oMath>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oMath>
      <w:r w:rsidRPr="00BC00DC">
        <w:rPr>
          <w:rFonts w:ascii="Arial" w:hAnsi="Arial" w:cs="Arial"/>
          <w:lang w:val="en-GB"/>
        </w:rPr>
        <w:t>: frequency of listening to radio</w:t>
      </w:r>
      <w:r w:rsidR="00F86F81">
        <w:rPr>
          <w:rFonts w:ascii="Arial" w:hAnsi="Arial" w:cs="Arial"/>
          <w:lang w:val="en-GB"/>
        </w:rPr>
        <w:t xml:space="preserve">, </w:t>
      </w:r>
      <m:oMath>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oMath>
      <w:r w:rsidRPr="00BC00DC">
        <w:rPr>
          <w:rFonts w:ascii="Arial" w:hAnsi="Arial" w:cs="Arial"/>
          <w:lang w:val="en-GB"/>
        </w:rPr>
        <w:t>: frequency of watching television</w:t>
      </w:r>
      <w:r w:rsidR="00F86F81">
        <w:rPr>
          <w:rFonts w:ascii="Arial" w:hAnsi="Arial" w:cs="Arial"/>
          <w:lang w:val="en-GB"/>
        </w:rPr>
        <w:t xml:space="preserve">, </w:t>
      </w:r>
      <m:oMath>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oMath>
      <w:r w:rsidRPr="00BC00DC">
        <w:rPr>
          <w:rFonts w:ascii="Arial" w:hAnsi="Arial" w:cs="Arial"/>
          <w:lang w:val="en-GB"/>
        </w:rPr>
        <w:t xml:space="preserve">: currently working </w:t>
      </w:r>
    </w:p>
    <w:p w14:paraId="5C9ED829" w14:textId="77777777" w:rsidR="00BC00DC" w:rsidRPr="00BC00DC" w:rsidRDefault="00BC00DC" w:rsidP="00F86F81">
      <w:pPr>
        <w:pStyle w:val="Body"/>
        <w:spacing w:before="240" w:after="0"/>
        <w:rPr>
          <w:rFonts w:ascii="Arial" w:hAnsi="Arial" w:cs="Arial"/>
          <w:lang w:val="en-GB"/>
        </w:rPr>
      </w:pPr>
      <w:r w:rsidRPr="00BC00DC">
        <w:rPr>
          <w:rFonts w:ascii="Arial" w:hAnsi="Arial" w:cs="Arial"/>
          <w:lang w:val="en-GB"/>
        </w:rPr>
        <w:t>The two logits were therefore specified as:</w:t>
      </w:r>
    </w:p>
    <w:p w14:paraId="3AFF00F6" w14:textId="77777777" w:rsidR="00C073B3" w:rsidRPr="00C073B3" w:rsidRDefault="008144D0"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5</m:t>
                  </m:r>
                </m:e>
              </m:d>
            </m:e>
          </m:eqArr>
        </m:oMath>
      </m:oMathPara>
    </w:p>
    <w:p w14:paraId="69E1713C" w14:textId="088E3A08" w:rsidR="00BC00DC" w:rsidRPr="00BC00DC" w:rsidRDefault="00BC00DC" w:rsidP="00BC00DC">
      <w:pPr>
        <w:pStyle w:val="Body"/>
        <w:spacing w:after="0"/>
        <w:rPr>
          <w:rFonts w:ascii="Arial" w:hAnsi="Arial" w:cs="Arial"/>
          <w:lang w:val="en-GB"/>
        </w:rPr>
      </w:pPr>
      <w:r w:rsidRPr="00BC00DC">
        <w:rPr>
          <w:rFonts w:ascii="Arial" w:hAnsi="Arial" w:cs="Arial"/>
          <w:lang w:val="en-GB"/>
        </w:rPr>
        <w:br/>
        <w:t>and</w:t>
      </w:r>
    </w:p>
    <w:p w14:paraId="5183DED5" w14:textId="77777777" w:rsidR="00C073B3" w:rsidRPr="00C073B3" w:rsidRDefault="008144D0"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6</m:t>
                  </m:r>
                </m:e>
              </m:d>
            </m:e>
          </m:eqArr>
        </m:oMath>
      </m:oMathPara>
    </w:p>
    <w:p w14:paraId="08C1E769" w14:textId="05438A22" w:rsidR="00BC00DC" w:rsidRPr="00BC00DC" w:rsidRDefault="00BC00DC" w:rsidP="00BC00DC">
      <w:pPr>
        <w:pStyle w:val="Body"/>
        <w:spacing w:after="0"/>
        <w:rPr>
          <w:rFonts w:ascii="Arial" w:hAnsi="Arial" w:cs="Arial"/>
          <w:lang w:val="en-GB"/>
        </w:rPr>
      </w:pPr>
    </w:p>
    <w:p w14:paraId="0E0A4203"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Probability form of the model</w:t>
      </w:r>
    </w:p>
    <w:p w14:paraId="3A9323DD"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probabilities were derived as:</w:t>
      </w:r>
    </w:p>
    <w:p w14:paraId="0037E18D" w14:textId="77777777" w:rsidR="00C073B3" w:rsidRPr="00C073B3" w:rsidRDefault="008144D0"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r>
                <w:rPr>
                  <w:rFonts w:ascii="Cambria Math" w:hAnsi="Cambria Math" w:cs="Arial"/>
                  <w:lang w:val="en-GB"/>
                </w:rPr>
                <m:t>=</m:t>
              </m:r>
              <m:f>
                <m:fPr>
                  <m:ctrlPr>
                    <w:rPr>
                      <w:rFonts w:ascii="Cambria Math" w:hAnsi="Cambria Math" w:cs="Arial"/>
                      <w:lang w:val="en-GB"/>
                    </w:rPr>
                  </m:ctrlPr>
                </m:fPr>
                <m:num>
                  <m:r>
                    <w:rPr>
                      <w:rFonts w:ascii="Cambria Math" w:hAnsi="Cambria Math" w:cs="Arial"/>
                      <w:lang w:val="en-GB"/>
                    </w:rPr>
                    <m:t>1</m:t>
                  </m:r>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7</m:t>
                  </m:r>
                </m:e>
              </m:d>
            </m:e>
          </m:eqArr>
        </m:oMath>
      </m:oMathPara>
    </w:p>
    <w:p w14:paraId="0E81665B"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8</m:t>
                  </m:r>
                </m:e>
              </m:d>
            </m:e>
          </m:eqArr>
        </m:oMath>
      </m:oMathPara>
    </w:p>
    <w:p w14:paraId="7D89636A"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9</m:t>
                  </m:r>
                </m:e>
              </m:d>
            </m:e>
          </m:eqArr>
        </m:oMath>
      </m:oMathPara>
    </w:p>
    <w:p w14:paraId="07AD5EE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211EEF5B" w14:textId="0655CD60" w:rsidR="00BC00DC" w:rsidRPr="00BC00DC" w:rsidRDefault="008144D0"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Para>
    </w:p>
    <w:p w14:paraId="3AD14050"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Estimation and interpretation</w:t>
      </w:r>
    </w:p>
    <w:p w14:paraId="089D1721"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The model parameters were estimated using </w:t>
      </w:r>
      <w:r w:rsidRPr="00BC00DC">
        <w:rPr>
          <w:rFonts w:ascii="Arial" w:hAnsi="Arial" w:cs="Arial"/>
          <w:b/>
          <w:bCs/>
          <w:lang w:val="en-GB"/>
        </w:rPr>
        <w:t>maximum likelihood estimation</w:t>
      </w:r>
      <w:r w:rsidRPr="00BC00DC">
        <w:rPr>
          <w:rFonts w:ascii="Arial" w:hAnsi="Arial" w:cs="Arial"/>
          <w:lang w:val="en-GB"/>
        </w:rPr>
        <w:t xml:space="preserve">. Exponentiated coefficients were reported as </w:t>
      </w:r>
      <w:r w:rsidRPr="00BC00DC">
        <w:rPr>
          <w:rFonts w:ascii="Arial" w:hAnsi="Arial" w:cs="Arial"/>
          <w:b/>
          <w:bCs/>
          <w:lang w:val="en-GB"/>
        </w:rPr>
        <w:t>adjusted relative risk ratios (aRRRs)</w:t>
      </w:r>
      <w:r w:rsidRPr="00BC00DC">
        <w:rPr>
          <w:rFonts w:ascii="Arial" w:hAnsi="Arial" w:cs="Arial"/>
          <w:lang w:val="en-GB"/>
        </w:rPr>
        <w:t>:</w:t>
      </w:r>
    </w:p>
    <w:p w14:paraId="0D8D0D35" w14:textId="5B0680DA" w:rsidR="00BC00DC" w:rsidRPr="00BC00DC" w:rsidRDefault="008144D0" w:rsidP="00BC00DC">
      <w:pPr>
        <w:pStyle w:val="Body"/>
        <w:spacing w:after="0"/>
        <w:rPr>
          <w:rFonts w:ascii="Arial" w:hAnsi="Arial" w:cs="Arial"/>
          <w:lang w:val="en-GB"/>
        </w:rPr>
      </w:pPr>
      <m:oMath>
        <m:eqArr>
          <m:eqArrPr>
            <m:maxDist m:val="1"/>
            <m:ctrlPr>
              <w:rPr>
                <w:rFonts w:ascii="Cambria Math" w:hAnsi="Cambria Math" w:cs="Arial"/>
                <w:i/>
                <w:lang w:val="en-GB"/>
              </w:rPr>
            </m:ctrlPr>
          </m:eqArrPr>
          <m:e>
            <m:r>
              <w:rPr>
                <w:rFonts w:ascii="Cambria Math" w:hAnsi="Cambria Math" w:cs="Arial"/>
                <w:lang w:val="en-GB"/>
              </w:rPr>
              <m:t>aRRR=</m:t>
            </m:r>
            <m:sSup>
              <m:sSupPr>
                <m:ctrlPr>
                  <w:rPr>
                    <w:rFonts w:ascii="Cambria Math" w:hAnsi="Cambria Math" w:cs="Arial"/>
                    <w:lang w:val="en-GB"/>
                  </w:rPr>
                </m:ctrlPr>
              </m:sSupPr>
              <m:e>
                <m:r>
                  <w:rPr>
                    <w:rFonts w:ascii="Cambria Math" w:hAnsi="Cambria Math" w:cs="Arial"/>
                    <w:lang w:val="en-GB"/>
                  </w:rPr>
                  <m:t>e</m:t>
                </m:r>
              </m:e>
              <m:sup>
                <m:r>
                  <w:rPr>
                    <w:rFonts w:ascii="Cambria Math" w:hAnsi="Cambria Math" w:cs="Arial"/>
                    <w:lang w:val="en-GB"/>
                  </w:rPr>
                  <m:t>β</m:t>
                </m:r>
              </m:sup>
            </m:sSup>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10</m:t>
                </m:r>
              </m:e>
            </m:d>
          </m:e>
        </m:eqArr>
      </m:oMath>
      <w:r w:rsidR="00BC00DC" w:rsidRPr="00BC00DC">
        <w:rPr>
          <w:rFonts w:ascii="Arial" w:hAnsi="Arial" w:cs="Arial"/>
          <w:lang w:val="en-GB"/>
        </w:rPr>
        <w:t xml:space="preserve">An aRRR greater than 1 indicates that the predictor increases the relative likelihood of being in contraceptive-use category </w:t>
      </w:r>
      <m:oMath>
        <m:r>
          <w:rPr>
            <w:rFonts w:ascii="Cambria Math" w:hAnsi="Cambria Math" w:cs="Arial"/>
            <w:lang w:val="en-GB"/>
          </w:rPr>
          <m:t>j</m:t>
        </m:r>
      </m:oMath>
      <w:r w:rsidR="00BC00DC" w:rsidRPr="00BC00DC">
        <w:rPr>
          <w:rFonts w:ascii="Arial" w:hAnsi="Arial" w:cs="Arial"/>
          <w:lang w:val="en-GB"/>
        </w:rPr>
        <w:t>rather than the reference category of non-use, while an aRRR less than 1 indicates a reduced relative likelihood.</w:t>
      </w:r>
    </w:p>
    <w:p w14:paraId="774050EA" w14:textId="77777777" w:rsidR="00BC00DC" w:rsidRPr="00BC00DC" w:rsidRDefault="00BC00DC" w:rsidP="00BC00DC">
      <w:pPr>
        <w:pStyle w:val="Body"/>
        <w:spacing w:after="0"/>
        <w:rPr>
          <w:rFonts w:ascii="Arial" w:hAnsi="Arial" w:cs="Arial"/>
          <w:b/>
          <w:bCs/>
          <w:lang w:val="en-GB"/>
        </w:rPr>
      </w:pPr>
      <w:r w:rsidRPr="00BC00DC">
        <w:rPr>
          <w:rFonts w:ascii="Arial" w:hAnsi="Arial" w:cs="Arial"/>
          <w:b/>
          <w:bCs/>
          <w:lang w:val="en-GB"/>
        </w:rPr>
        <w:t>Hypothesis tested</w:t>
      </w:r>
    </w:p>
    <w:p w14:paraId="796D16B8" w14:textId="3991D47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each predictor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m</m:t>
            </m:r>
          </m:sub>
        </m:sSub>
      </m:oMath>
      <w:r w:rsidRPr="00BC00DC">
        <w:rPr>
          <w:rFonts w:ascii="Arial" w:hAnsi="Arial" w:cs="Arial"/>
          <w:lang w:val="en-GB"/>
        </w:rPr>
        <w:t>, the null hypothesis was:</w:t>
      </w:r>
    </w:p>
    <w:p w14:paraId="44D37586" w14:textId="1A46751D" w:rsidR="00BC00DC" w:rsidRPr="00BC00DC" w:rsidRDefault="008144D0"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against the alternative:</w:t>
      </w:r>
    </w:p>
    <w:p w14:paraId="4E261838" w14:textId="3BF05EFA" w:rsidR="00BC00DC" w:rsidRPr="00BC00DC" w:rsidRDefault="008144D0"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A</m:t>
              </m:r>
            </m:sub>
          </m:sSub>
          <m:r>
            <w:rPr>
              <w:rFonts w:ascii="Cambria Math" w:hAnsi="Cambria Math" w:cs="Arial"/>
              <w:lang w:val="en-GB"/>
            </w:rPr>
            <m:t>:</m:t>
          </m:r>
          <m:r>
            <m:rPr>
              <m:nor/>
            </m:rPr>
            <w:rPr>
              <w:rFonts w:ascii="Arial" w:hAnsi="Arial" w:cs="Arial"/>
              <w:lang w:val="en-GB"/>
            </w:rPr>
            <m:t xml:space="preserve">at least one of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r>
            <m:rPr>
              <m:nor/>
            </m:rPr>
            <w:rPr>
              <w:rFonts w:ascii="Arial" w:hAnsi="Arial" w:cs="Arial"/>
              <w:lang w:val="en-GB"/>
            </w:rPr>
            <m:t xml:space="preserve"> or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r>
            <m:rPr>
              <m:sty m:val="p"/>
            </m:rPr>
            <w:rPr>
              <w:rFonts w:ascii="Cambria Math" w:hAnsi="Cambria Math" w:cs="Arial"/>
              <w:lang w:val="en-GB"/>
            </w:rPr>
            <m:t>≠</m:t>
          </m:r>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This implies that a predictor was considered significantly associated with contraceptive-use category if it significantly affected the relative risk of traditional-method use or modern-method use compared with non-use.</w:t>
      </w:r>
    </w:p>
    <w:p w14:paraId="267BECBE" w14:textId="77777777" w:rsidR="00BC00DC" w:rsidRPr="00BC00DC" w:rsidRDefault="00BC00DC" w:rsidP="00F86F81">
      <w:pPr>
        <w:pStyle w:val="Body"/>
        <w:spacing w:before="240" w:after="0"/>
        <w:rPr>
          <w:rFonts w:ascii="Arial" w:hAnsi="Arial" w:cs="Arial"/>
          <w:b/>
          <w:bCs/>
          <w:lang w:val="en-GB"/>
        </w:rPr>
      </w:pPr>
      <w:r w:rsidRPr="00BC00DC">
        <w:rPr>
          <w:rFonts w:ascii="Arial" w:hAnsi="Arial" w:cs="Arial"/>
          <w:b/>
          <w:bCs/>
          <w:lang w:val="en-GB"/>
        </w:rPr>
        <w:t>Model assumptions</w:t>
      </w:r>
    </w:p>
    <w:p w14:paraId="7B360B0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logistic regression model was specified under the following assumptions:</w:t>
      </w:r>
    </w:p>
    <w:p w14:paraId="63526C8D"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dependent variable is nominal with more than two categories. </w:t>
      </w:r>
    </w:p>
    <w:p w14:paraId="6C1B490B"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Observations are independent. </w:t>
      </w:r>
    </w:p>
    <w:p w14:paraId="6DCE1372"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There is no perfect multicollinearity among predictors. </w:t>
      </w:r>
    </w:p>
    <w:p w14:paraId="15CCDE59"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continuous predictors have a linear relationship with the log-relative risk. </w:t>
      </w:r>
    </w:p>
    <w:p w14:paraId="6F7ABF64"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categories of the dependent variable are mutually exclusive and exhaustive. </w:t>
      </w:r>
    </w:p>
    <w:p w14:paraId="530D4EF8"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The independence of irrelevant alternatives (IIA) assumption holds, meaning the odds of choosing one contraceptive category over the reference category are assumed independent of the presence of the other alternative category.</w:t>
      </w:r>
    </w:p>
    <w:p w14:paraId="11169FC4" w14:textId="77777777" w:rsidR="00902823" w:rsidRDefault="00000F8F" w:rsidP="00C073B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FBE62A" w14:textId="77777777" w:rsidR="00790ADA" w:rsidRPr="00FB3A86" w:rsidRDefault="00790ADA" w:rsidP="00441B6F">
      <w:pPr>
        <w:pStyle w:val="Head1"/>
        <w:spacing w:after="0"/>
        <w:jc w:val="both"/>
        <w:rPr>
          <w:rFonts w:ascii="Arial" w:hAnsi="Arial" w:cs="Arial"/>
        </w:rPr>
      </w:pPr>
    </w:p>
    <w:p w14:paraId="78CF6026" w14:textId="1C5A407D" w:rsidR="000C789E" w:rsidRPr="000C789E" w:rsidRDefault="000C789E" w:rsidP="000C789E">
      <w:pPr>
        <w:pStyle w:val="Body"/>
        <w:spacing w:after="0"/>
        <w:rPr>
          <w:rFonts w:ascii="Arial" w:hAnsi="Arial" w:cs="Arial"/>
          <w:b/>
          <w:bCs/>
          <w:i/>
          <w:iCs/>
          <w:lang w:val="en-GB"/>
        </w:rPr>
      </w:pPr>
      <w:r>
        <w:rPr>
          <w:rFonts w:ascii="Arial" w:hAnsi="Arial" w:cs="Arial"/>
          <w:b/>
          <w:bCs/>
          <w:i/>
          <w:iCs/>
          <w:lang w:val="en-GB"/>
        </w:rPr>
        <w:t xml:space="preserve">3.1 </w:t>
      </w:r>
      <w:r w:rsidRPr="000C789E">
        <w:rPr>
          <w:rFonts w:ascii="Arial" w:hAnsi="Arial" w:cs="Arial"/>
          <w:b/>
          <w:bCs/>
          <w:i/>
          <w:iCs/>
          <w:lang w:val="en-GB"/>
        </w:rPr>
        <w:t>Descriptive statistics</w:t>
      </w:r>
    </w:p>
    <w:p w14:paraId="46A88651"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1. Descriptive characteristics of respondents and weighted prevalence of contraceptive use</w:t>
      </w:r>
    </w:p>
    <w:tbl>
      <w:tblPr>
        <w:tblStyle w:val="TabelDaftar6Berwarna"/>
        <w:tblW w:w="9159" w:type="dxa"/>
        <w:tblLook w:val="04A0" w:firstRow="1" w:lastRow="0" w:firstColumn="1" w:lastColumn="0" w:noHBand="0" w:noVBand="1"/>
      </w:tblPr>
      <w:tblGrid>
        <w:gridCol w:w="6243"/>
        <w:gridCol w:w="2916"/>
      </w:tblGrid>
      <w:tr w:rsidR="000C789E" w:rsidRPr="000C789E" w14:paraId="44F52FE6"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5BCA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0A930360"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Weighted value</w:t>
            </w:r>
          </w:p>
        </w:tc>
      </w:tr>
      <w:tr w:rsidR="000C789E" w:rsidRPr="000C789E" w14:paraId="43B6154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3B62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 mean ± SD</w:t>
            </w:r>
          </w:p>
        </w:tc>
        <w:tc>
          <w:tcPr>
            <w:tcW w:w="0" w:type="auto"/>
            <w:shd w:val="clear" w:color="auto" w:fill="auto"/>
            <w:hideMark/>
          </w:tcPr>
          <w:p w14:paraId="3A50AAD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36.0 ± 7.7</w:t>
            </w:r>
          </w:p>
        </w:tc>
      </w:tr>
      <w:tr w:rsidR="000C789E" w:rsidRPr="000C789E" w14:paraId="3D211B4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B5A25B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 mean ± SD</w:t>
            </w:r>
          </w:p>
        </w:tc>
        <w:tc>
          <w:tcPr>
            <w:tcW w:w="0" w:type="auto"/>
            <w:hideMark/>
          </w:tcPr>
          <w:p w14:paraId="0C65EC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commentRangeStart w:id="3"/>
            <w:r w:rsidRPr="000C789E">
              <w:rPr>
                <w:rFonts w:ascii="Arial" w:hAnsi="Arial" w:cs="Arial"/>
                <w:sz w:val="20"/>
                <w:szCs w:val="20"/>
              </w:rPr>
              <w:t>5.6 ± 2.7</w:t>
            </w:r>
            <w:commentRangeEnd w:id="3"/>
            <w:r w:rsidR="001F6570">
              <w:rPr>
                <w:rStyle w:val="ReferensiKomentar"/>
                <w:rFonts w:ascii="Times New Roman" w:eastAsia="Times New Roman" w:hAnsi="Times New Roman" w:cs="Times New Roman"/>
                <w:color w:val="auto"/>
                <w:kern w:val="0"/>
                <w:lang w:val="nb-NO" w:eastAsia="nb-NO"/>
                <w14:ligatures w14:val="none"/>
              </w:rPr>
              <w:commentReference w:id="3"/>
            </w:r>
          </w:p>
        </w:tc>
      </w:tr>
      <w:tr w:rsidR="000C789E" w:rsidRPr="000C789E" w14:paraId="305211C9"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20A32D"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0" w:type="auto"/>
            <w:shd w:val="clear" w:color="auto" w:fill="auto"/>
            <w:hideMark/>
          </w:tcPr>
          <w:p w14:paraId="1120BF2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305BB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78124F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 education</w:t>
            </w:r>
          </w:p>
        </w:tc>
        <w:tc>
          <w:tcPr>
            <w:tcW w:w="0" w:type="auto"/>
            <w:hideMark/>
          </w:tcPr>
          <w:p w14:paraId="1073BC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r>
      <w:tr w:rsidR="000C789E" w:rsidRPr="000C789E" w14:paraId="6A766E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07167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w:t>
            </w:r>
          </w:p>
        </w:tc>
        <w:tc>
          <w:tcPr>
            <w:tcW w:w="0" w:type="auto"/>
            <w:shd w:val="clear" w:color="auto" w:fill="auto"/>
            <w:hideMark/>
          </w:tcPr>
          <w:p w14:paraId="00F5A2E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r>
      <w:tr w:rsidR="000C789E" w:rsidRPr="000C789E" w14:paraId="190E3A6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C8578E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w:t>
            </w:r>
          </w:p>
        </w:tc>
        <w:tc>
          <w:tcPr>
            <w:tcW w:w="0" w:type="auto"/>
            <w:hideMark/>
          </w:tcPr>
          <w:p w14:paraId="077B1CD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26.7%</w:t>
            </w:r>
          </w:p>
        </w:tc>
      </w:tr>
      <w:tr w:rsidR="000C789E" w:rsidRPr="000C789E" w14:paraId="3F4CC7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E424A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w:t>
            </w:r>
          </w:p>
        </w:tc>
        <w:tc>
          <w:tcPr>
            <w:tcW w:w="0" w:type="auto"/>
            <w:shd w:val="clear" w:color="auto" w:fill="auto"/>
            <w:hideMark/>
          </w:tcPr>
          <w:p w14:paraId="385F690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w:t>
            </w:r>
          </w:p>
        </w:tc>
      </w:tr>
      <w:tr w:rsidR="000C789E" w:rsidRPr="000C789E" w14:paraId="1E766DB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F99B4EC"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0" w:type="auto"/>
            <w:hideMark/>
          </w:tcPr>
          <w:p w14:paraId="46BEBD7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DB209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5B10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Poorest</w:t>
            </w:r>
          </w:p>
        </w:tc>
        <w:tc>
          <w:tcPr>
            <w:tcW w:w="0" w:type="auto"/>
            <w:shd w:val="clear" w:color="auto" w:fill="auto"/>
            <w:hideMark/>
          </w:tcPr>
          <w:p w14:paraId="009E23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23.5%</w:t>
            </w:r>
          </w:p>
        </w:tc>
      </w:tr>
      <w:tr w:rsidR="000C789E" w:rsidRPr="000C789E" w14:paraId="528F2B13"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22AE92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w:t>
            </w:r>
          </w:p>
        </w:tc>
        <w:tc>
          <w:tcPr>
            <w:tcW w:w="0" w:type="auto"/>
            <w:hideMark/>
          </w:tcPr>
          <w:p w14:paraId="03403D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r>
      <w:tr w:rsidR="000C789E" w:rsidRPr="000C789E" w14:paraId="16DDC62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7456B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w:t>
            </w:r>
          </w:p>
        </w:tc>
        <w:tc>
          <w:tcPr>
            <w:tcW w:w="0" w:type="auto"/>
            <w:shd w:val="clear" w:color="auto" w:fill="auto"/>
            <w:hideMark/>
          </w:tcPr>
          <w:p w14:paraId="5F2E862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20.6%</w:t>
            </w:r>
          </w:p>
        </w:tc>
      </w:tr>
      <w:tr w:rsidR="000C789E" w:rsidRPr="000C789E" w14:paraId="0476B00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506EE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w:t>
            </w:r>
          </w:p>
        </w:tc>
        <w:tc>
          <w:tcPr>
            <w:tcW w:w="0" w:type="auto"/>
            <w:hideMark/>
          </w:tcPr>
          <w:p w14:paraId="05EA31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18.3%</w:t>
            </w:r>
          </w:p>
        </w:tc>
      </w:tr>
      <w:tr w:rsidR="000C789E" w:rsidRPr="000C789E" w14:paraId="0DF81AF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4B2A4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w:t>
            </w:r>
          </w:p>
        </w:tc>
        <w:tc>
          <w:tcPr>
            <w:tcW w:w="0" w:type="auto"/>
            <w:shd w:val="clear" w:color="auto" w:fill="auto"/>
            <w:hideMark/>
          </w:tcPr>
          <w:p w14:paraId="56A1885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15.1%</w:t>
            </w:r>
          </w:p>
        </w:tc>
      </w:tr>
      <w:tr w:rsidR="000C789E" w:rsidRPr="000C789E" w14:paraId="480F11A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22F59C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0" w:type="auto"/>
            <w:hideMark/>
          </w:tcPr>
          <w:p w14:paraId="6D93541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985EE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248C0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Urban</w:t>
            </w:r>
          </w:p>
        </w:tc>
        <w:tc>
          <w:tcPr>
            <w:tcW w:w="0" w:type="auto"/>
            <w:shd w:val="clear" w:color="auto" w:fill="auto"/>
            <w:hideMark/>
          </w:tcPr>
          <w:p w14:paraId="661CE55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40.2%</w:t>
            </w:r>
          </w:p>
        </w:tc>
      </w:tr>
      <w:tr w:rsidR="000C789E" w:rsidRPr="000C789E" w14:paraId="54AD500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97CB0C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w:t>
            </w:r>
          </w:p>
        </w:tc>
        <w:tc>
          <w:tcPr>
            <w:tcW w:w="0" w:type="auto"/>
            <w:hideMark/>
          </w:tcPr>
          <w:p w14:paraId="1F95E6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59.8%</w:t>
            </w:r>
          </w:p>
        </w:tc>
      </w:tr>
      <w:tr w:rsidR="000C789E" w:rsidRPr="000C789E" w14:paraId="6AE0D08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E3EF0B"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0" w:type="auto"/>
            <w:shd w:val="clear" w:color="auto" w:fill="auto"/>
            <w:hideMark/>
          </w:tcPr>
          <w:p w14:paraId="1E562B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5D328A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DACE7A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Islam</w:t>
            </w:r>
          </w:p>
        </w:tc>
        <w:tc>
          <w:tcPr>
            <w:tcW w:w="0" w:type="auto"/>
            <w:hideMark/>
          </w:tcPr>
          <w:p w14:paraId="7D3F70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r>
      <w:tr w:rsidR="000C789E" w:rsidRPr="000C789E" w14:paraId="689BF26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CAFC9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w:t>
            </w:r>
          </w:p>
        </w:tc>
        <w:tc>
          <w:tcPr>
            <w:tcW w:w="0" w:type="auto"/>
            <w:shd w:val="clear" w:color="auto" w:fill="auto"/>
            <w:hideMark/>
          </w:tcPr>
          <w:p w14:paraId="5649CF2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commentRangeStart w:id="4"/>
            <w:r w:rsidRPr="000C789E">
              <w:rPr>
                <w:rFonts w:ascii="Arial" w:hAnsi="Arial" w:cs="Arial"/>
                <w:sz w:val="20"/>
                <w:szCs w:val="20"/>
              </w:rPr>
              <w:t>6.5%</w:t>
            </w:r>
            <w:commentRangeEnd w:id="4"/>
            <w:r w:rsidR="001F6570">
              <w:rPr>
                <w:rStyle w:val="ReferensiKomentar"/>
                <w:rFonts w:ascii="Times New Roman" w:eastAsia="Times New Roman" w:hAnsi="Times New Roman" w:cs="Times New Roman"/>
                <w:color w:val="auto"/>
                <w:kern w:val="0"/>
                <w:lang w:val="nb-NO" w:eastAsia="nb-NO"/>
                <w14:ligatures w14:val="none"/>
              </w:rPr>
              <w:commentReference w:id="4"/>
            </w:r>
          </w:p>
        </w:tc>
      </w:tr>
      <w:tr w:rsidR="000C789E" w:rsidRPr="000C789E" w14:paraId="158ED416"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1AEB22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 Christian</w:t>
            </w:r>
          </w:p>
        </w:tc>
        <w:tc>
          <w:tcPr>
            <w:tcW w:w="0" w:type="auto"/>
            <w:hideMark/>
          </w:tcPr>
          <w:p w14:paraId="65F57B7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25.6%</w:t>
            </w:r>
          </w:p>
        </w:tc>
      </w:tr>
      <w:tr w:rsidR="000C789E" w:rsidRPr="000C789E" w14:paraId="26CA915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6AFE8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w:t>
            </w:r>
          </w:p>
        </w:tc>
        <w:tc>
          <w:tcPr>
            <w:tcW w:w="0" w:type="auto"/>
            <w:shd w:val="clear" w:color="auto" w:fill="auto"/>
            <w:hideMark/>
          </w:tcPr>
          <w:p w14:paraId="5AB32CC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0.5%</w:t>
            </w:r>
          </w:p>
        </w:tc>
      </w:tr>
      <w:tr w:rsidR="000C789E" w:rsidRPr="000C789E" w14:paraId="672D0B4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4355F9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w:t>
            </w:r>
          </w:p>
        </w:tc>
        <w:tc>
          <w:tcPr>
            <w:tcW w:w="0" w:type="auto"/>
            <w:hideMark/>
          </w:tcPr>
          <w:p w14:paraId="4E9FE55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w:t>
            </w:r>
          </w:p>
        </w:tc>
      </w:tr>
      <w:tr w:rsidR="000C789E" w:rsidRPr="000C789E" w14:paraId="7409F43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1654C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0" w:type="auto"/>
            <w:shd w:val="clear" w:color="auto" w:fill="auto"/>
            <w:hideMark/>
          </w:tcPr>
          <w:p w14:paraId="61BEE95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74D44C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CEB8E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Married</w:t>
            </w:r>
          </w:p>
        </w:tc>
        <w:tc>
          <w:tcPr>
            <w:tcW w:w="0" w:type="auto"/>
            <w:hideMark/>
          </w:tcPr>
          <w:p w14:paraId="33D5ACA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89.8%</w:t>
            </w:r>
          </w:p>
        </w:tc>
      </w:tr>
      <w:tr w:rsidR="000C789E" w:rsidRPr="000C789E" w14:paraId="4C9C49D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5381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w:t>
            </w:r>
          </w:p>
        </w:tc>
        <w:tc>
          <w:tcPr>
            <w:tcW w:w="0" w:type="auto"/>
            <w:shd w:val="clear" w:color="auto" w:fill="auto"/>
            <w:hideMark/>
          </w:tcPr>
          <w:p w14:paraId="50AB099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3.0%</w:t>
            </w:r>
          </w:p>
        </w:tc>
      </w:tr>
      <w:tr w:rsidR="000C789E" w:rsidRPr="000C789E" w14:paraId="1C62BFFB"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2CA72D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w:t>
            </w:r>
          </w:p>
        </w:tc>
        <w:tc>
          <w:tcPr>
            <w:tcW w:w="0" w:type="auto"/>
            <w:hideMark/>
          </w:tcPr>
          <w:p w14:paraId="4BA5380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w:t>
            </w:r>
          </w:p>
        </w:tc>
      </w:tr>
      <w:tr w:rsidR="000C789E" w:rsidRPr="000C789E" w14:paraId="33BB7D7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6BC17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w:t>
            </w:r>
          </w:p>
        </w:tc>
        <w:tc>
          <w:tcPr>
            <w:tcW w:w="0" w:type="auto"/>
            <w:shd w:val="clear" w:color="auto" w:fill="auto"/>
            <w:hideMark/>
          </w:tcPr>
          <w:p w14:paraId="27E9144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w:t>
            </w:r>
          </w:p>
        </w:tc>
      </w:tr>
      <w:tr w:rsidR="000C789E" w:rsidRPr="000C789E" w14:paraId="7F5F7B3E"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AC86B3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w:t>
            </w:r>
          </w:p>
        </w:tc>
        <w:tc>
          <w:tcPr>
            <w:tcW w:w="0" w:type="auto"/>
            <w:hideMark/>
          </w:tcPr>
          <w:p w14:paraId="35C5C6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r>
      <w:tr w:rsidR="000C789E" w:rsidRPr="000C789E" w14:paraId="73E6646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08002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w:t>
            </w:r>
          </w:p>
        </w:tc>
        <w:tc>
          <w:tcPr>
            <w:tcW w:w="0" w:type="auto"/>
            <w:shd w:val="clear" w:color="auto" w:fill="auto"/>
            <w:hideMark/>
          </w:tcPr>
          <w:p w14:paraId="06FB5B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r>
      <w:tr w:rsidR="000C789E" w:rsidRPr="000C789E" w14:paraId="188CEF6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8A5C78F"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 newspaper/magazine</w:t>
            </w:r>
          </w:p>
        </w:tc>
        <w:tc>
          <w:tcPr>
            <w:tcW w:w="0" w:type="auto"/>
            <w:hideMark/>
          </w:tcPr>
          <w:p w14:paraId="3AE5AF9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353794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C8C57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3E4D376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93.5%</w:t>
            </w:r>
          </w:p>
        </w:tc>
      </w:tr>
      <w:tr w:rsidR="000C789E" w:rsidRPr="000C789E" w14:paraId="5D94F07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4618E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Less than once a week</w:t>
            </w:r>
          </w:p>
        </w:tc>
        <w:tc>
          <w:tcPr>
            <w:tcW w:w="0" w:type="auto"/>
            <w:hideMark/>
          </w:tcPr>
          <w:p w14:paraId="4D94B94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4.2%</w:t>
            </w:r>
          </w:p>
        </w:tc>
      </w:tr>
      <w:tr w:rsidR="000C789E" w:rsidRPr="000C789E" w14:paraId="4A17C0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D937D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693FA7D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w:t>
            </w:r>
          </w:p>
        </w:tc>
      </w:tr>
      <w:tr w:rsidR="000C789E" w:rsidRPr="000C789E" w14:paraId="2C85597F"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C2F6261"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0" w:type="auto"/>
            <w:hideMark/>
          </w:tcPr>
          <w:p w14:paraId="10DDEAC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195B1F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C7184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AFA5B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55.3%</w:t>
            </w:r>
          </w:p>
        </w:tc>
      </w:tr>
      <w:tr w:rsidR="000C789E" w:rsidRPr="000C789E" w14:paraId="5E97949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6DA2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4AC0B97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19.8%</w:t>
            </w:r>
          </w:p>
        </w:tc>
      </w:tr>
      <w:tr w:rsidR="000C789E" w:rsidRPr="000C789E" w14:paraId="00E058D2"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2B816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38110B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24.8%</w:t>
            </w:r>
          </w:p>
        </w:tc>
      </w:tr>
      <w:tr w:rsidR="000C789E" w:rsidRPr="000C789E" w14:paraId="0A509598"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9BC24E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 television</w:t>
            </w:r>
          </w:p>
        </w:tc>
        <w:tc>
          <w:tcPr>
            <w:tcW w:w="0" w:type="auto"/>
            <w:hideMark/>
          </w:tcPr>
          <w:p w14:paraId="01E005F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810F85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878D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B535C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64.8%</w:t>
            </w:r>
          </w:p>
        </w:tc>
      </w:tr>
      <w:tr w:rsidR="000C789E" w:rsidRPr="000C789E" w14:paraId="329EE87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E14DB7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1134D36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13.5%</w:t>
            </w:r>
          </w:p>
        </w:tc>
      </w:tr>
      <w:tr w:rsidR="000C789E" w:rsidRPr="000C789E" w14:paraId="4660E7C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48F31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2AA2E61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21.7%</w:t>
            </w:r>
          </w:p>
        </w:tc>
      </w:tr>
      <w:tr w:rsidR="000C789E" w:rsidRPr="000C789E" w14:paraId="2A6A0EA1"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EA9843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0" w:type="auto"/>
            <w:hideMark/>
          </w:tcPr>
          <w:p w14:paraId="1841ABD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96BC37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C000D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w:t>
            </w:r>
          </w:p>
        </w:tc>
        <w:tc>
          <w:tcPr>
            <w:tcW w:w="0" w:type="auto"/>
            <w:shd w:val="clear" w:color="auto" w:fill="auto"/>
            <w:hideMark/>
          </w:tcPr>
          <w:p w14:paraId="7DEC32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34.0%</w:t>
            </w:r>
          </w:p>
        </w:tc>
      </w:tr>
      <w:tr w:rsidR="000C789E" w:rsidRPr="000C789E" w14:paraId="071D7C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636536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Yes</w:t>
            </w:r>
          </w:p>
        </w:tc>
        <w:tc>
          <w:tcPr>
            <w:tcW w:w="0" w:type="auto"/>
            <w:hideMark/>
          </w:tcPr>
          <w:p w14:paraId="4D2B09A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66.0%</w:t>
            </w:r>
          </w:p>
        </w:tc>
      </w:tr>
      <w:tr w:rsidR="000C789E" w:rsidRPr="000C789E" w14:paraId="0C7E9EEB"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4E20E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 contraceptive use</w:t>
            </w:r>
          </w:p>
        </w:tc>
        <w:tc>
          <w:tcPr>
            <w:tcW w:w="0" w:type="auto"/>
            <w:shd w:val="clear" w:color="auto" w:fill="auto"/>
            <w:hideMark/>
          </w:tcPr>
          <w:p w14:paraId="7D504B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8F44A5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0A357B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using any method</w:t>
            </w:r>
          </w:p>
        </w:tc>
        <w:tc>
          <w:tcPr>
            <w:tcW w:w="0" w:type="auto"/>
            <w:hideMark/>
          </w:tcPr>
          <w:p w14:paraId="4569DA9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79.9%</w:t>
            </w:r>
          </w:p>
        </w:tc>
      </w:tr>
      <w:tr w:rsidR="000C789E" w:rsidRPr="000C789E" w14:paraId="2BC3D5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D4EA3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Traditional/folkloric method</w:t>
            </w:r>
          </w:p>
        </w:tc>
        <w:tc>
          <w:tcPr>
            <w:tcW w:w="0" w:type="auto"/>
            <w:shd w:val="clear" w:color="auto" w:fill="auto"/>
            <w:hideMark/>
          </w:tcPr>
          <w:p w14:paraId="692AD89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4.7%</w:t>
            </w:r>
          </w:p>
        </w:tc>
      </w:tr>
      <w:tr w:rsidR="000C789E" w:rsidRPr="000C789E" w14:paraId="2AF4CA9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2E9FA6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Modern method</w:t>
            </w:r>
          </w:p>
        </w:tc>
        <w:tc>
          <w:tcPr>
            <w:tcW w:w="0" w:type="auto"/>
            <w:hideMark/>
          </w:tcPr>
          <w:p w14:paraId="353770F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15.5%</w:t>
            </w:r>
          </w:p>
        </w:tc>
      </w:tr>
    </w:tbl>
    <w:p w14:paraId="0C0D7C38" w14:textId="77777777" w:rsidR="000C789E" w:rsidRPr="000C789E" w:rsidRDefault="000C789E" w:rsidP="000C789E">
      <w:pPr>
        <w:pStyle w:val="Body"/>
        <w:spacing w:after="0"/>
        <w:rPr>
          <w:rFonts w:ascii="Arial" w:hAnsi="Arial" w:cs="Arial"/>
          <w:lang w:val="en-GB"/>
        </w:rPr>
      </w:pPr>
    </w:p>
    <w:p w14:paraId="7C6336FF" w14:textId="33BD846B" w:rsidR="000C789E" w:rsidRPr="000C789E" w:rsidRDefault="000C789E" w:rsidP="000C789E">
      <w:pPr>
        <w:pStyle w:val="Body"/>
        <w:spacing w:after="0"/>
        <w:rPr>
          <w:rFonts w:ascii="Arial" w:hAnsi="Arial" w:cs="Arial"/>
          <w:lang w:val="en-GB"/>
        </w:rPr>
      </w:pPr>
      <w:r>
        <w:rPr>
          <w:rFonts w:ascii="Arial" w:hAnsi="Arial" w:cs="Arial"/>
          <w:b/>
          <w:bCs/>
          <w:i/>
          <w:iCs/>
          <w:lang w:val="en-GB"/>
        </w:rPr>
        <w:t xml:space="preserve">3.2 </w:t>
      </w:r>
      <w:r w:rsidRPr="000C789E">
        <w:rPr>
          <w:rFonts w:ascii="Arial" w:hAnsi="Arial" w:cs="Arial"/>
          <w:b/>
          <w:bCs/>
          <w:i/>
          <w:iCs/>
          <w:lang w:val="en-GB"/>
        </w:rPr>
        <w:t>Bivariate analysis</w:t>
      </w:r>
    </w:p>
    <w:p w14:paraId="0541DFDB"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2. Bivariate distribution of current contraceptive-use category by explanatory variables</w:t>
      </w:r>
    </w:p>
    <w:tbl>
      <w:tblPr>
        <w:tblStyle w:val="TabelDaftar6Berwarna"/>
        <w:tblW w:w="0" w:type="auto"/>
        <w:tblLook w:val="04A0" w:firstRow="1" w:lastRow="0" w:firstColumn="1" w:lastColumn="0" w:noHBand="0" w:noVBand="1"/>
      </w:tblPr>
      <w:tblGrid>
        <w:gridCol w:w="2300"/>
        <w:gridCol w:w="1444"/>
        <w:gridCol w:w="775"/>
        <w:gridCol w:w="1916"/>
        <w:gridCol w:w="935"/>
        <w:gridCol w:w="838"/>
      </w:tblGrid>
      <w:tr w:rsidR="000C789E" w:rsidRPr="000C789E" w14:paraId="03B1A7FF" w14:textId="77777777" w:rsidTr="000C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359AE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6284F25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Category</w:t>
            </w:r>
          </w:p>
        </w:tc>
        <w:tc>
          <w:tcPr>
            <w:tcW w:w="0" w:type="auto"/>
            <w:hideMark/>
          </w:tcPr>
          <w:p w14:paraId="21523D64"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Not using (%)</w:t>
            </w:r>
          </w:p>
        </w:tc>
        <w:tc>
          <w:tcPr>
            <w:tcW w:w="0" w:type="auto"/>
            <w:hideMark/>
          </w:tcPr>
          <w:p w14:paraId="6B09DEDF"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Traditional/folkloric (%)</w:t>
            </w:r>
          </w:p>
        </w:tc>
        <w:tc>
          <w:tcPr>
            <w:tcW w:w="0" w:type="auto"/>
            <w:hideMark/>
          </w:tcPr>
          <w:p w14:paraId="74B7FE08"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Modern (%)</w:t>
            </w:r>
          </w:p>
        </w:tc>
        <w:tc>
          <w:tcPr>
            <w:tcW w:w="0" w:type="auto"/>
            <w:hideMark/>
          </w:tcPr>
          <w:p w14:paraId="51995DD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63747D8C"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869F8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0" w:type="auto"/>
            <w:shd w:val="clear" w:color="auto" w:fill="auto"/>
            <w:hideMark/>
          </w:tcPr>
          <w:p w14:paraId="34A2D93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 education</w:t>
            </w:r>
          </w:p>
        </w:tc>
        <w:tc>
          <w:tcPr>
            <w:tcW w:w="0" w:type="auto"/>
            <w:shd w:val="clear" w:color="auto" w:fill="auto"/>
            <w:hideMark/>
          </w:tcPr>
          <w:p w14:paraId="667488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91.3</w:t>
            </w:r>
          </w:p>
        </w:tc>
        <w:tc>
          <w:tcPr>
            <w:tcW w:w="0" w:type="auto"/>
            <w:shd w:val="clear" w:color="auto" w:fill="auto"/>
            <w:hideMark/>
          </w:tcPr>
          <w:p w14:paraId="1FA3595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c>
          <w:tcPr>
            <w:tcW w:w="0" w:type="auto"/>
            <w:shd w:val="clear" w:color="auto" w:fill="auto"/>
            <w:hideMark/>
          </w:tcPr>
          <w:p w14:paraId="58A7A6A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0" w:type="auto"/>
            <w:shd w:val="clear" w:color="auto" w:fill="auto"/>
            <w:hideMark/>
          </w:tcPr>
          <w:p w14:paraId="32B1A0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1AA83A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0701401A"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604C98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Primary</w:t>
            </w:r>
          </w:p>
        </w:tc>
        <w:tc>
          <w:tcPr>
            <w:tcW w:w="0" w:type="auto"/>
            <w:hideMark/>
          </w:tcPr>
          <w:p w14:paraId="10B561E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78.2</w:t>
            </w:r>
          </w:p>
        </w:tc>
        <w:tc>
          <w:tcPr>
            <w:tcW w:w="0" w:type="auto"/>
            <w:hideMark/>
          </w:tcPr>
          <w:p w14:paraId="197A4E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w:t>
            </w:r>
          </w:p>
        </w:tc>
        <w:tc>
          <w:tcPr>
            <w:tcW w:w="0" w:type="auto"/>
            <w:hideMark/>
          </w:tcPr>
          <w:p w14:paraId="04259EA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17.1</w:t>
            </w:r>
          </w:p>
        </w:tc>
        <w:tc>
          <w:tcPr>
            <w:tcW w:w="0" w:type="auto"/>
            <w:hideMark/>
          </w:tcPr>
          <w:p w14:paraId="3243E4B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61B5E04"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8A17A1"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0DB9538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Secondary</w:t>
            </w:r>
          </w:p>
        </w:tc>
        <w:tc>
          <w:tcPr>
            <w:tcW w:w="0" w:type="auto"/>
            <w:shd w:val="clear" w:color="auto" w:fill="auto"/>
            <w:hideMark/>
          </w:tcPr>
          <w:p w14:paraId="19C64C4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c>
          <w:tcPr>
            <w:tcW w:w="0" w:type="auto"/>
            <w:shd w:val="clear" w:color="auto" w:fill="auto"/>
            <w:hideMark/>
          </w:tcPr>
          <w:p w14:paraId="6769A27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w:t>
            </w:r>
          </w:p>
        </w:tc>
        <w:tc>
          <w:tcPr>
            <w:tcW w:w="0" w:type="auto"/>
            <w:shd w:val="clear" w:color="auto" w:fill="auto"/>
            <w:hideMark/>
          </w:tcPr>
          <w:p w14:paraId="5A8A016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24.6</w:t>
            </w:r>
          </w:p>
        </w:tc>
        <w:tc>
          <w:tcPr>
            <w:tcW w:w="0" w:type="auto"/>
            <w:shd w:val="clear" w:color="auto" w:fill="auto"/>
            <w:hideMark/>
          </w:tcPr>
          <w:p w14:paraId="7B6393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2B0D1C1"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2F299E4"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4006A2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Higher</w:t>
            </w:r>
          </w:p>
        </w:tc>
        <w:tc>
          <w:tcPr>
            <w:tcW w:w="0" w:type="auto"/>
            <w:hideMark/>
          </w:tcPr>
          <w:p w14:paraId="59A396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55.1</w:t>
            </w:r>
          </w:p>
        </w:tc>
        <w:tc>
          <w:tcPr>
            <w:tcW w:w="0" w:type="auto"/>
            <w:hideMark/>
          </w:tcPr>
          <w:p w14:paraId="73E053A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13.4</w:t>
            </w:r>
          </w:p>
        </w:tc>
        <w:tc>
          <w:tcPr>
            <w:tcW w:w="0" w:type="auto"/>
            <w:hideMark/>
          </w:tcPr>
          <w:p w14:paraId="7FF75CE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31.5</w:t>
            </w:r>
          </w:p>
        </w:tc>
        <w:tc>
          <w:tcPr>
            <w:tcW w:w="0" w:type="auto"/>
            <w:hideMark/>
          </w:tcPr>
          <w:p w14:paraId="4FB30AC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9939F3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6B96B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0" w:type="auto"/>
            <w:shd w:val="clear" w:color="auto" w:fill="auto"/>
            <w:hideMark/>
          </w:tcPr>
          <w:p w14:paraId="5E815D1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Poorest</w:t>
            </w:r>
          </w:p>
        </w:tc>
        <w:tc>
          <w:tcPr>
            <w:tcW w:w="0" w:type="auto"/>
            <w:shd w:val="clear" w:color="auto" w:fill="auto"/>
            <w:hideMark/>
          </w:tcPr>
          <w:p w14:paraId="23DC41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93.7</w:t>
            </w:r>
          </w:p>
        </w:tc>
        <w:tc>
          <w:tcPr>
            <w:tcW w:w="0" w:type="auto"/>
            <w:shd w:val="clear" w:color="auto" w:fill="auto"/>
            <w:hideMark/>
          </w:tcPr>
          <w:p w14:paraId="53D31DC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w:t>
            </w:r>
          </w:p>
        </w:tc>
        <w:tc>
          <w:tcPr>
            <w:tcW w:w="0" w:type="auto"/>
            <w:shd w:val="clear" w:color="auto" w:fill="auto"/>
            <w:hideMark/>
          </w:tcPr>
          <w:p w14:paraId="652AD3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w:t>
            </w:r>
          </w:p>
        </w:tc>
        <w:tc>
          <w:tcPr>
            <w:tcW w:w="0" w:type="auto"/>
            <w:shd w:val="clear" w:color="auto" w:fill="auto"/>
            <w:hideMark/>
          </w:tcPr>
          <w:p w14:paraId="3707995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2A36B9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F4FC251"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61DE864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Poorer</w:t>
            </w:r>
          </w:p>
        </w:tc>
        <w:tc>
          <w:tcPr>
            <w:tcW w:w="0" w:type="auto"/>
            <w:hideMark/>
          </w:tcPr>
          <w:p w14:paraId="30D123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89.4</w:t>
            </w:r>
          </w:p>
        </w:tc>
        <w:tc>
          <w:tcPr>
            <w:tcW w:w="0" w:type="auto"/>
            <w:hideMark/>
          </w:tcPr>
          <w:p w14:paraId="624EFF4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w:t>
            </w:r>
          </w:p>
        </w:tc>
        <w:tc>
          <w:tcPr>
            <w:tcW w:w="0" w:type="auto"/>
            <w:hideMark/>
          </w:tcPr>
          <w:p w14:paraId="0BA3C2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w:t>
            </w:r>
          </w:p>
        </w:tc>
        <w:tc>
          <w:tcPr>
            <w:tcW w:w="0" w:type="auto"/>
            <w:hideMark/>
          </w:tcPr>
          <w:p w14:paraId="24649B3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0CFDA5B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644FB0"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2D51CAC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Middle</w:t>
            </w:r>
          </w:p>
        </w:tc>
        <w:tc>
          <w:tcPr>
            <w:tcW w:w="0" w:type="auto"/>
            <w:shd w:val="clear" w:color="auto" w:fill="auto"/>
            <w:hideMark/>
          </w:tcPr>
          <w:p w14:paraId="35DC5A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79.6</w:t>
            </w:r>
          </w:p>
        </w:tc>
        <w:tc>
          <w:tcPr>
            <w:tcW w:w="0" w:type="auto"/>
            <w:shd w:val="clear" w:color="auto" w:fill="auto"/>
            <w:hideMark/>
          </w:tcPr>
          <w:p w14:paraId="618F95C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4.4</w:t>
            </w:r>
          </w:p>
        </w:tc>
        <w:tc>
          <w:tcPr>
            <w:tcW w:w="0" w:type="auto"/>
            <w:shd w:val="clear" w:color="auto" w:fill="auto"/>
            <w:hideMark/>
          </w:tcPr>
          <w:p w14:paraId="5C71176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16.0</w:t>
            </w:r>
          </w:p>
        </w:tc>
        <w:tc>
          <w:tcPr>
            <w:tcW w:w="0" w:type="auto"/>
            <w:shd w:val="clear" w:color="auto" w:fill="auto"/>
            <w:hideMark/>
          </w:tcPr>
          <w:p w14:paraId="799CBCA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2F18018"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9CB118D"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E6D57A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Richer</w:t>
            </w:r>
          </w:p>
        </w:tc>
        <w:tc>
          <w:tcPr>
            <w:tcW w:w="0" w:type="auto"/>
            <w:hideMark/>
          </w:tcPr>
          <w:p w14:paraId="43C80D8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69.3</w:t>
            </w:r>
          </w:p>
        </w:tc>
        <w:tc>
          <w:tcPr>
            <w:tcW w:w="0" w:type="auto"/>
            <w:hideMark/>
          </w:tcPr>
          <w:p w14:paraId="6CBB39D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w:t>
            </w:r>
          </w:p>
        </w:tc>
        <w:tc>
          <w:tcPr>
            <w:tcW w:w="0" w:type="auto"/>
            <w:hideMark/>
          </w:tcPr>
          <w:p w14:paraId="65A628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24.0</w:t>
            </w:r>
          </w:p>
        </w:tc>
        <w:tc>
          <w:tcPr>
            <w:tcW w:w="0" w:type="auto"/>
            <w:hideMark/>
          </w:tcPr>
          <w:p w14:paraId="3265B5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85BA19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CBC4D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754BB88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Richest</w:t>
            </w:r>
          </w:p>
        </w:tc>
        <w:tc>
          <w:tcPr>
            <w:tcW w:w="0" w:type="auto"/>
            <w:shd w:val="clear" w:color="auto" w:fill="auto"/>
            <w:hideMark/>
          </w:tcPr>
          <w:p w14:paraId="74F257D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57.4</w:t>
            </w:r>
          </w:p>
        </w:tc>
        <w:tc>
          <w:tcPr>
            <w:tcW w:w="0" w:type="auto"/>
            <w:shd w:val="clear" w:color="auto" w:fill="auto"/>
            <w:hideMark/>
          </w:tcPr>
          <w:p w14:paraId="1020B12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12.5</w:t>
            </w:r>
          </w:p>
        </w:tc>
        <w:tc>
          <w:tcPr>
            <w:tcW w:w="0" w:type="auto"/>
            <w:shd w:val="clear" w:color="auto" w:fill="auto"/>
            <w:hideMark/>
          </w:tcPr>
          <w:p w14:paraId="51388A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30.1</w:t>
            </w:r>
          </w:p>
        </w:tc>
        <w:tc>
          <w:tcPr>
            <w:tcW w:w="0" w:type="auto"/>
            <w:shd w:val="clear" w:color="auto" w:fill="auto"/>
            <w:hideMark/>
          </w:tcPr>
          <w:p w14:paraId="01230A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819319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E524B2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0" w:type="auto"/>
            <w:hideMark/>
          </w:tcPr>
          <w:p w14:paraId="26194EA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Urban</w:t>
            </w:r>
          </w:p>
        </w:tc>
        <w:tc>
          <w:tcPr>
            <w:tcW w:w="0" w:type="auto"/>
            <w:hideMark/>
          </w:tcPr>
          <w:p w14:paraId="33EAA3A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70.1</w:t>
            </w:r>
          </w:p>
        </w:tc>
        <w:tc>
          <w:tcPr>
            <w:tcW w:w="0" w:type="auto"/>
            <w:hideMark/>
          </w:tcPr>
          <w:p w14:paraId="4B94E8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0" w:type="auto"/>
            <w:hideMark/>
          </w:tcPr>
          <w:p w14:paraId="2AA3993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0" w:type="auto"/>
            <w:hideMark/>
          </w:tcPr>
          <w:p w14:paraId="613ACEB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420A44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90A2B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6CBFCC3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Rural</w:t>
            </w:r>
          </w:p>
        </w:tc>
        <w:tc>
          <w:tcPr>
            <w:tcW w:w="0" w:type="auto"/>
            <w:shd w:val="clear" w:color="auto" w:fill="auto"/>
            <w:hideMark/>
          </w:tcPr>
          <w:p w14:paraId="1509D2C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86.4</w:t>
            </w:r>
          </w:p>
        </w:tc>
        <w:tc>
          <w:tcPr>
            <w:tcW w:w="0" w:type="auto"/>
            <w:shd w:val="clear" w:color="auto" w:fill="auto"/>
            <w:hideMark/>
          </w:tcPr>
          <w:p w14:paraId="34E8587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2.9</w:t>
            </w:r>
          </w:p>
        </w:tc>
        <w:tc>
          <w:tcPr>
            <w:tcW w:w="0" w:type="auto"/>
            <w:shd w:val="clear" w:color="auto" w:fill="auto"/>
            <w:hideMark/>
          </w:tcPr>
          <w:p w14:paraId="50959E5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0" w:type="auto"/>
            <w:shd w:val="clear" w:color="auto" w:fill="auto"/>
            <w:hideMark/>
          </w:tcPr>
          <w:p w14:paraId="16E8981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6027EFD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34BB29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0" w:type="auto"/>
            <w:hideMark/>
          </w:tcPr>
          <w:p w14:paraId="2A0EAFC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Islam</w:t>
            </w:r>
          </w:p>
        </w:tc>
        <w:tc>
          <w:tcPr>
            <w:tcW w:w="0" w:type="auto"/>
            <w:hideMark/>
          </w:tcPr>
          <w:p w14:paraId="107B5C1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86.9</w:t>
            </w:r>
          </w:p>
        </w:tc>
        <w:tc>
          <w:tcPr>
            <w:tcW w:w="0" w:type="auto"/>
            <w:hideMark/>
          </w:tcPr>
          <w:p w14:paraId="6788813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0" w:type="auto"/>
            <w:hideMark/>
          </w:tcPr>
          <w:p w14:paraId="7AD146C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11.1</w:t>
            </w:r>
          </w:p>
        </w:tc>
        <w:tc>
          <w:tcPr>
            <w:tcW w:w="0" w:type="auto"/>
            <w:hideMark/>
          </w:tcPr>
          <w:p w14:paraId="49947A6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2B87F0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282C8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B41C7D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Catholic</w:t>
            </w:r>
          </w:p>
        </w:tc>
        <w:tc>
          <w:tcPr>
            <w:tcW w:w="0" w:type="auto"/>
            <w:shd w:val="clear" w:color="auto" w:fill="auto"/>
            <w:hideMark/>
          </w:tcPr>
          <w:p w14:paraId="059D040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66.8</w:t>
            </w:r>
          </w:p>
        </w:tc>
        <w:tc>
          <w:tcPr>
            <w:tcW w:w="0" w:type="auto"/>
            <w:shd w:val="clear" w:color="auto" w:fill="auto"/>
            <w:hideMark/>
          </w:tcPr>
          <w:p w14:paraId="73B0A13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0" w:type="auto"/>
            <w:shd w:val="clear" w:color="auto" w:fill="auto"/>
            <w:hideMark/>
          </w:tcPr>
          <w:p w14:paraId="5A24990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0" w:type="auto"/>
            <w:shd w:val="clear" w:color="auto" w:fill="auto"/>
            <w:hideMark/>
          </w:tcPr>
          <w:p w14:paraId="4910C09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3ADBD7A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1AECF44D"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0F64E48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Other Christian</w:t>
            </w:r>
          </w:p>
        </w:tc>
        <w:tc>
          <w:tcPr>
            <w:tcW w:w="0" w:type="auto"/>
            <w:hideMark/>
          </w:tcPr>
          <w:p w14:paraId="2C9FA5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64.7</w:t>
            </w:r>
          </w:p>
        </w:tc>
        <w:tc>
          <w:tcPr>
            <w:tcW w:w="0" w:type="auto"/>
            <w:hideMark/>
          </w:tcPr>
          <w:p w14:paraId="038F6CB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10.0</w:t>
            </w:r>
          </w:p>
        </w:tc>
        <w:tc>
          <w:tcPr>
            <w:tcW w:w="0" w:type="auto"/>
            <w:hideMark/>
          </w:tcPr>
          <w:p w14:paraId="3049532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25.3</w:t>
            </w:r>
          </w:p>
        </w:tc>
        <w:tc>
          <w:tcPr>
            <w:tcW w:w="0" w:type="auto"/>
            <w:hideMark/>
          </w:tcPr>
          <w:p w14:paraId="080820B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B53651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EC42D0"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68CBDAA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Traditionalist</w:t>
            </w:r>
          </w:p>
        </w:tc>
        <w:tc>
          <w:tcPr>
            <w:tcW w:w="0" w:type="auto"/>
            <w:shd w:val="clear" w:color="auto" w:fill="auto"/>
            <w:hideMark/>
          </w:tcPr>
          <w:p w14:paraId="6F9163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81.9</w:t>
            </w:r>
          </w:p>
        </w:tc>
        <w:tc>
          <w:tcPr>
            <w:tcW w:w="0" w:type="auto"/>
            <w:shd w:val="clear" w:color="auto" w:fill="auto"/>
            <w:hideMark/>
          </w:tcPr>
          <w:p w14:paraId="37A171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3.5</w:t>
            </w:r>
          </w:p>
        </w:tc>
        <w:tc>
          <w:tcPr>
            <w:tcW w:w="0" w:type="auto"/>
            <w:shd w:val="clear" w:color="auto" w:fill="auto"/>
            <w:hideMark/>
          </w:tcPr>
          <w:p w14:paraId="47852D5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c>
          <w:tcPr>
            <w:tcW w:w="0" w:type="auto"/>
            <w:shd w:val="clear" w:color="auto" w:fill="auto"/>
            <w:hideMark/>
          </w:tcPr>
          <w:p w14:paraId="5B28E7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748326C6"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95A2DD2"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39CC4E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Other</w:t>
            </w:r>
          </w:p>
        </w:tc>
        <w:tc>
          <w:tcPr>
            <w:tcW w:w="0" w:type="auto"/>
            <w:hideMark/>
          </w:tcPr>
          <w:p w14:paraId="603AB62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59.3</w:t>
            </w:r>
          </w:p>
        </w:tc>
        <w:tc>
          <w:tcPr>
            <w:tcW w:w="0" w:type="auto"/>
            <w:hideMark/>
          </w:tcPr>
          <w:p w14:paraId="476B91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w:t>
            </w:r>
          </w:p>
        </w:tc>
        <w:tc>
          <w:tcPr>
            <w:tcW w:w="0" w:type="auto"/>
            <w:hideMark/>
          </w:tcPr>
          <w:p w14:paraId="04B2E0B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7.2</w:t>
            </w:r>
          </w:p>
        </w:tc>
        <w:tc>
          <w:tcPr>
            <w:tcW w:w="0" w:type="auto"/>
            <w:hideMark/>
          </w:tcPr>
          <w:p w14:paraId="5D64865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5A9068D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737256"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0" w:type="auto"/>
            <w:shd w:val="clear" w:color="auto" w:fill="auto"/>
            <w:hideMark/>
          </w:tcPr>
          <w:p w14:paraId="75F6498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Married</w:t>
            </w:r>
          </w:p>
        </w:tc>
        <w:tc>
          <w:tcPr>
            <w:tcW w:w="0" w:type="auto"/>
            <w:shd w:val="clear" w:color="auto" w:fill="auto"/>
            <w:hideMark/>
          </w:tcPr>
          <w:p w14:paraId="047066D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79.8</w:t>
            </w:r>
          </w:p>
        </w:tc>
        <w:tc>
          <w:tcPr>
            <w:tcW w:w="0" w:type="auto"/>
            <w:shd w:val="clear" w:color="auto" w:fill="auto"/>
            <w:hideMark/>
          </w:tcPr>
          <w:p w14:paraId="6725033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4.6</w:t>
            </w:r>
          </w:p>
        </w:tc>
        <w:tc>
          <w:tcPr>
            <w:tcW w:w="0" w:type="auto"/>
            <w:shd w:val="clear" w:color="auto" w:fill="auto"/>
            <w:hideMark/>
          </w:tcPr>
          <w:p w14:paraId="11F9440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w:t>
            </w:r>
          </w:p>
        </w:tc>
        <w:tc>
          <w:tcPr>
            <w:tcW w:w="0" w:type="auto"/>
            <w:shd w:val="clear" w:color="auto" w:fill="auto"/>
            <w:hideMark/>
          </w:tcPr>
          <w:p w14:paraId="22B37B5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C599A7E"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111DF15"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5A81B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Living with partner</w:t>
            </w:r>
          </w:p>
        </w:tc>
        <w:tc>
          <w:tcPr>
            <w:tcW w:w="0" w:type="auto"/>
            <w:hideMark/>
          </w:tcPr>
          <w:p w14:paraId="2D367C1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67.2</w:t>
            </w:r>
          </w:p>
        </w:tc>
        <w:tc>
          <w:tcPr>
            <w:tcW w:w="0" w:type="auto"/>
            <w:hideMark/>
          </w:tcPr>
          <w:p w14:paraId="1E4366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9.0</w:t>
            </w:r>
          </w:p>
        </w:tc>
        <w:tc>
          <w:tcPr>
            <w:tcW w:w="0" w:type="auto"/>
            <w:hideMark/>
          </w:tcPr>
          <w:p w14:paraId="1AB4CFA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23.8</w:t>
            </w:r>
          </w:p>
        </w:tc>
        <w:tc>
          <w:tcPr>
            <w:tcW w:w="0" w:type="auto"/>
            <w:hideMark/>
          </w:tcPr>
          <w:p w14:paraId="258F0FB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01F8774F"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88BF86"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D2832F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Never in union</w:t>
            </w:r>
          </w:p>
        </w:tc>
        <w:tc>
          <w:tcPr>
            <w:tcW w:w="0" w:type="auto"/>
            <w:shd w:val="clear" w:color="auto" w:fill="auto"/>
            <w:hideMark/>
          </w:tcPr>
          <w:p w14:paraId="6A3761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77.3</w:t>
            </w:r>
          </w:p>
        </w:tc>
        <w:tc>
          <w:tcPr>
            <w:tcW w:w="0" w:type="auto"/>
            <w:shd w:val="clear" w:color="auto" w:fill="auto"/>
            <w:hideMark/>
          </w:tcPr>
          <w:p w14:paraId="69ADFBE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w:t>
            </w:r>
          </w:p>
        </w:tc>
        <w:tc>
          <w:tcPr>
            <w:tcW w:w="0" w:type="auto"/>
            <w:shd w:val="clear" w:color="auto" w:fill="auto"/>
            <w:hideMark/>
          </w:tcPr>
          <w:p w14:paraId="52A5E87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16.5</w:t>
            </w:r>
          </w:p>
        </w:tc>
        <w:tc>
          <w:tcPr>
            <w:tcW w:w="0" w:type="auto"/>
            <w:shd w:val="clear" w:color="auto" w:fill="auto"/>
            <w:hideMark/>
          </w:tcPr>
          <w:p w14:paraId="41D420B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CB7B49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405CF37"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DEB4F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Widowed</w:t>
            </w:r>
          </w:p>
        </w:tc>
        <w:tc>
          <w:tcPr>
            <w:tcW w:w="0" w:type="auto"/>
            <w:hideMark/>
          </w:tcPr>
          <w:p w14:paraId="275D1A8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89.0</w:t>
            </w:r>
          </w:p>
        </w:tc>
        <w:tc>
          <w:tcPr>
            <w:tcW w:w="0" w:type="auto"/>
            <w:hideMark/>
          </w:tcPr>
          <w:p w14:paraId="39D0B0F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w:t>
            </w:r>
          </w:p>
        </w:tc>
        <w:tc>
          <w:tcPr>
            <w:tcW w:w="0" w:type="auto"/>
            <w:hideMark/>
          </w:tcPr>
          <w:p w14:paraId="16211B5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w:t>
            </w:r>
          </w:p>
        </w:tc>
        <w:tc>
          <w:tcPr>
            <w:tcW w:w="0" w:type="auto"/>
            <w:hideMark/>
          </w:tcPr>
          <w:p w14:paraId="0F21BF6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57DF35F6"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98FD12"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E3176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Divorced</w:t>
            </w:r>
          </w:p>
        </w:tc>
        <w:tc>
          <w:tcPr>
            <w:tcW w:w="0" w:type="auto"/>
            <w:shd w:val="clear" w:color="auto" w:fill="auto"/>
            <w:hideMark/>
          </w:tcPr>
          <w:p w14:paraId="2A8ABA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93.1</w:t>
            </w:r>
          </w:p>
        </w:tc>
        <w:tc>
          <w:tcPr>
            <w:tcW w:w="0" w:type="auto"/>
            <w:shd w:val="clear" w:color="auto" w:fill="auto"/>
            <w:hideMark/>
          </w:tcPr>
          <w:p w14:paraId="272B0C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w:t>
            </w:r>
          </w:p>
        </w:tc>
        <w:tc>
          <w:tcPr>
            <w:tcW w:w="0" w:type="auto"/>
            <w:shd w:val="clear" w:color="auto" w:fill="auto"/>
            <w:hideMark/>
          </w:tcPr>
          <w:p w14:paraId="397A20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w:t>
            </w:r>
          </w:p>
        </w:tc>
        <w:tc>
          <w:tcPr>
            <w:tcW w:w="0" w:type="auto"/>
            <w:shd w:val="clear" w:color="auto" w:fill="auto"/>
            <w:hideMark/>
          </w:tcPr>
          <w:p w14:paraId="1D36BC3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89D867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926101C"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3444D1A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Separated</w:t>
            </w:r>
          </w:p>
        </w:tc>
        <w:tc>
          <w:tcPr>
            <w:tcW w:w="0" w:type="auto"/>
            <w:hideMark/>
          </w:tcPr>
          <w:p w14:paraId="4F2C829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78.6</w:t>
            </w:r>
          </w:p>
        </w:tc>
        <w:tc>
          <w:tcPr>
            <w:tcW w:w="0" w:type="auto"/>
            <w:hideMark/>
          </w:tcPr>
          <w:p w14:paraId="799B6D5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w:t>
            </w:r>
          </w:p>
        </w:tc>
        <w:tc>
          <w:tcPr>
            <w:tcW w:w="0" w:type="auto"/>
            <w:hideMark/>
          </w:tcPr>
          <w:p w14:paraId="5ABDA3A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17.7</w:t>
            </w:r>
          </w:p>
        </w:tc>
        <w:tc>
          <w:tcPr>
            <w:tcW w:w="0" w:type="auto"/>
            <w:hideMark/>
          </w:tcPr>
          <w:p w14:paraId="383D09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2090E88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3B3301"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 newspaper/magazine</w:t>
            </w:r>
          </w:p>
        </w:tc>
        <w:tc>
          <w:tcPr>
            <w:tcW w:w="0" w:type="auto"/>
            <w:shd w:val="clear" w:color="auto" w:fill="auto"/>
            <w:hideMark/>
          </w:tcPr>
          <w:p w14:paraId="70208FA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shd w:val="clear" w:color="auto" w:fill="auto"/>
            <w:hideMark/>
          </w:tcPr>
          <w:p w14:paraId="2C3478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81.3</w:t>
            </w:r>
          </w:p>
        </w:tc>
        <w:tc>
          <w:tcPr>
            <w:tcW w:w="0" w:type="auto"/>
            <w:shd w:val="clear" w:color="auto" w:fill="auto"/>
            <w:hideMark/>
          </w:tcPr>
          <w:p w14:paraId="7410D6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4.1</w:t>
            </w:r>
          </w:p>
        </w:tc>
        <w:tc>
          <w:tcPr>
            <w:tcW w:w="0" w:type="auto"/>
            <w:shd w:val="clear" w:color="auto" w:fill="auto"/>
            <w:hideMark/>
          </w:tcPr>
          <w:p w14:paraId="44FEC66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14.6</w:t>
            </w:r>
          </w:p>
        </w:tc>
        <w:tc>
          <w:tcPr>
            <w:tcW w:w="0" w:type="auto"/>
            <w:shd w:val="clear" w:color="auto" w:fill="auto"/>
            <w:hideMark/>
          </w:tcPr>
          <w:p w14:paraId="7D0E16E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080EB99"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234F913"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544480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hideMark/>
          </w:tcPr>
          <w:p w14:paraId="578C5E1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58.0</w:t>
            </w:r>
          </w:p>
        </w:tc>
        <w:tc>
          <w:tcPr>
            <w:tcW w:w="0" w:type="auto"/>
            <w:hideMark/>
          </w:tcPr>
          <w:p w14:paraId="3F030DB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12.8</w:t>
            </w:r>
          </w:p>
        </w:tc>
        <w:tc>
          <w:tcPr>
            <w:tcW w:w="0" w:type="auto"/>
            <w:hideMark/>
          </w:tcPr>
          <w:p w14:paraId="73332D5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29.2</w:t>
            </w:r>
          </w:p>
        </w:tc>
        <w:tc>
          <w:tcPr>
            <w:tcW w:w="0" w:type="auto"/>
            <w:hideMark/>
          </w:tcPr>
          <w:p w14:paraId="0D5FD52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22F0D0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DB096C"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A0560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shd w:val="clear" w:color="auto" w:fill="auto"/>
            <w:hideMark/>
          </w:tcPr>
          <w:p w14:paraId="1B655FF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61.1</w:t>
            </w:r>
          </w:p>
        </w:tc>
        <w:tc>
          <w:tcPr>
            <w:tcW w:w="0" w:type="auto"/>
            <w:shd w:val="clear" w:color="auto" w:fill="auto"/>
            <w:hideMark/>
          </w:tcPr>
          <w:p w14:paraId="1B201D3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11.5</w:t>
            </w:r>
          </w:p>
        </w:tc>
        <w:tc>
          <w:tcPr>
            <w:tcW w:w="0" w:type="auto"/>
            <w:shd w:val="clear" w:color="auto" w:fill="auto"/>
            <w:hideMark/>
          </w:tcPr>
          <w:p w14:paraId="3A0E8D1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27.5</w:t>
            </w:r>
          </w:p>
        </w:tc>
        <w:tc>
          <w:tcPr>
            <w:tcW w:w="0" w:type="auto"/>
            <w:shd w:val="clear" w:color="auto" w:fill="auto"/>
            <w:hideMark/>
          </w:tcPr>
          <w:p w14:paraId="5B46B2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6976C5F7"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2133F0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0" w:type="auto"/>
            <w:hideMark/>
          </w:tcPr>
          <w:p w14:paraId="5765AA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hideMark/>
          </w:tcPr>
          <w:p w14:paraId="724E1B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87.4</w:t>
            </w:r>
          </w:p>
        </w:tc>
        <w:tc>
          <w:tcPr>
            <w:tcW w:w="0" w:type="auto"/>
            <w:hideMark/>
          </w:tcPr>
          <w:p w14:paraId="397F03C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w:t>
            </w:r>
          </w:p>
        </w:tc>
        <w:tc>
          <w:tcPr>
            <w:tcW w:w="0" w:type="auto"/>
            <w:hideMark/>
          </w:tcPr>
          <w:p w14:paraId="58BFF75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10.1</w:t>
            </w:r>
          </w:p>
        </w:tc>
        <w:tc>
          <w:tcPr>
            <w:tcW w:w="0" w:type="auto"/>
            <w:hideMark/>
          </w:tcPr>
          <w:p w14:paraId="578020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6B33F29"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9573BE"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C85FFC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shd w:val="clear" w:color="auto" w:fill="auto"/>
            <w:hideMark/>
          </w:tcPr>
          <w:p w14:paraId="1BB2B1F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70.9</w:t>
            </w:r>
          </w:p>
        </w:tc>
        <w:tc>
          <w:tcPr>
            <w:tcW w:w="0" w:type="auto"/>
            <w:shd w:val="clear" w:color="auto" w:fill="auto"/>
            <w:hideMark/>
          </w:tcPr>
          <w:p w14:paraId="316212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7.6</w:t>
            </w:r>
          </w:p>
        </w:tc>
        <w:tc>
          <w:tcPr>
            <w:tcW w:w="0" w:type="auto"/>
            <w:shd w:val="clear" w:color="auto" w:fill="auto"/>
            <w:hideMark/>
          </w:tcPr>
          <w:p w14:paraId="1A6A5E5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21.5</w:t>
            </w:r>
          </w:p>
        </w:tc>
        <w:tc>
          <w:tcPr>
            <w:tcW w:w="0" w:type="auto"/>
            <w:shd w:val="clear" w:color="auto" w:fill="auto"/>
            <w:hideMark/>
          </w:tcPr>
          <w:p w14:paraId="7DB292B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895C2E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58AE939"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1D222E0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hideMark/>
          </w:tcPr>
          <w:p w14:paraId="434CF28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70.2</w:t>
            </w:r>
          </w:p>
        </w:tc>
        <w:tc>
          <w:tcPr>
            <w:tcW w:w="0" w:type="auto"/>
            <w:hideMark/>
          </w:tcPr>
          <w:p w14:paraId="7A01D88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7.1</w:t>
            </w:r>
          </w:p>
        </w:tc>
        <w:tc>
          <w:tcPr>
            <w:tcW w:w="0" w:type="auto"/>
            <w:hideMark/>
          </w:tcPr>
          <w:p w14:paraId="33DD5E1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22.6</w:t>
            </w:r>
          </w:p>
        </w:tc>
        <w:tc>
          <w:tcPr>
            <w:tcW w:w="0" w:type="auto"/>
            <w:hideMark/>
          </w:tcPr>
          <w:p w14:paraId="4E6F22C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2B36442C"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63AC0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 television</w:t>
            </w:r>
          </w:p>
        </w:tc>
        <w:tc>
          <w:tcPr>
            <w:tcW w:w="0" w:type="auto"/>
            <w:shd w:val="clear" w:color="auto" w:fill="auto"/>
            <w:hideMark/>
          </w:tcPr>
          <w:p w14:paraId="3ECB6FA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shd w:val="clear" w:color="auto" w:fill="auto"/>
            <w:hideMark/>
          </w:tcPr>
          <w:p w14:paraId="1D86E46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88.2</w:t>
            </w:r>
          </w:p>
        </w:tc>
        <w:tc>
          <w:tcPr>
            <w:tcW w:w="0" w:type="auto"/>
            <w:shd w:val="clear" w:color="auto" w:fill="auto"/>
            <w:hideMark/>
          </w:tcPr>
          <w:p w14:paraId="5AF45C7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w:t>
            </w:r>
          </w:p>
        </w:tc>
        <w:tc>
          <w:tcPr>
            <w:tcW w:w="0" w:type="auto"/>
            <w:shd w:val="clear" w:color="auto" w:fill="auto"/>
            <w:hideMark/>
          </w:tcPr>
          <w:p w14:paraId="6B8C2B6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0" w:type="auto"/>
            <w:shd w:val="clear" w:color="auto" w:fill="auto"/>
            <w:hideMark/>
          </w:tcPr>
          <w:p w14:paraId="7B69F7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F211C4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BE21F3A"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0CD4EC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hideMark/>
          </w:tcPr>
          <w:p w14:paraId="5F89A02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67.9</w:t>
            </w:r>
          </w:p>
        </w:tc>
        <w:tc>
          <w:tcPr>
            <w:tcW w:w="0" w:type="auto"/>
            <w:hideMark/>
          </w:tcPr>
          <w:p w14:paraId="3DD23EE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w:t>
            </w:r>
          </w:p>
        </w:tc>
        <w:tc>
          <w:tcPr>
            <w:tcW w:w="0" w:type="auto"/>
            <w:hideMark/>
          </w:tcPr>
          <w:p w14:paraId="45C30C7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24.3</w:t>
            </w:r>
          </w:p>
        </w:tc>
        <w:tc>
          <w:tcPr>
            <w:tcW w:w="0" w:type="auto"/>
            <w:hideMark/>
          </w:tcPr>
          <w:p w14:paraId="66C2ED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DF0EB7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45F37C"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A9A97E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shd w:val="clear" w:color="auto" w:fill="auto"/>
            <w:hideMark/>
          </w:tcPr>
          <w:p w14:paraId="77C2CAD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62.3</w:t>
            </w:r>
          </w:p>
        </w:tc>
        <w:tc>
          <w:tcPr>
            <w:tcW w:w="0" w:type="auto"/>
            <w:shd w:val="clear" w:color="auto" w:fill="auto"/>
            <w:hideMark/>
          </w:tcPr>
          <w:p w14:paraId="06ED7ED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9.5</w:t>
            </w:r>
          </w:p>
        </w:tc>
        <w:tc>
          <w:tcPr>
            <w:tcW w:w="0" w:type="auto"/>
            <w:shd w:val="clear" w:color="auto" w:fill="auto"/>
            <w:hideMark/>
          </w:tcPr>
          <w:p w14:paraId="6027D00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28.3</w:t>
            </w:r>
          </w:p>
        </w:tc>
        <w:tc>
          <w:tcPr>
            <w:tcW w:w="0" w:type="auto"/>
            <w:shd w:val="clear" w:color="auto" w:fill="auto"/>
            <w:hideMark/>
          </w:tcPr>
          <w:p w14:paraId="72637E4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328CE8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E864DE8"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0" w:type="auto"/>
            <w:hideMark/>
          </w:tcPr>
          <w:p w14:paraId="1167AC1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w:t>
            </w:r>
          </w:p>
        </w:tc>
        <w:tc>
          <w:tcPr>
            <w:tcW w:w="0" w:type="auto"/>
            <w:hideMark/>
          </w:tcPr>
          <w:p w14:paraId="51422DB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88.6</w:t>
            </w:r>
          </w:p>
        </w:tc>
        <w:tc>
          <w:tcPr>
            <w:tcW w:w="0" w:type="auto"/>
            <w:hideMark/>
          </w:tcPr>
          <w:p w14:paraId="72E0E89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0" w:type="auto"/>
            <w:hideMark/>
          </w:tcPr>
          <w:p w14:paraId="39481FF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0" w:type="auto"/>
            <w:hideMark/>
          </w:tcPr>
          <w:p w14:paraId="1EFFB75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AD9817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872585"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EB746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Yes</w:t>
            </w:r>
          </w:p>
        </w:tc>
        <w:tc>
          <w:tcPr>
            <w:tcW w:w="0" w:type="auto"/>
            <w:shd w:val="clear" w:color="auto" w:fill="auto"/>
            <w:hideMark/>
          </w:tcPr>
          <w:p w14:paraId="38154E5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75.3</w:t>
            </w:r>
          </w:p>
        </w:tc>
        <w:tc>
          <w:tcPr>
            <w:tcW w:w="0" w:type="auto"/>
            <w:shd w:val="clear" w:color="auto" w:fill="auto"/>
            <w:hideMark/>
          </w:tcPr>
          <w:p w14:paraId="246A2BE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6.0</w:t>
            </w:r>
          </w:p>
        </w:tc>
        <w:tc>
          <w:tcPr>
            <w:tcW w:w="0" w:type="auto"/>
            <w:shd w:val="clear" w:color="auto" w:fill="auto"/>
            <w:hideMark/>
          </w:tcPr>
          <w:p w14:paraId="18240D4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18.6</w:t>
            </w:r>
          </w:p>
        </w:tc>
        <w:tc>
          <w:tcPr>
            <w:tcW w:w="0" w:type="auto"/>
            <w:shd w:val="clear" w:color="auto" w:fill="auto"/>
            <w:hideMark/>
          </w:tcPr>
          <w:p w14:paraId="3A1DF8A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548F87D" w14:textId="77777777" w:rsidR="000C789E" w:rsidRPr="000C789E" w:rsidRDefault="000C789E" w:rsidP="000C789E">
      <w:pPr>
        <w:pStyle w:val="Body"/>
        <w:spacing w:after="0"/>
        <w:rPr>
          <w:rFonts w:ascii="Arial" w:hAnsi="Arial" w:cs="Arial"/>
          <w:lang w:val="en-GB"/>
        </w:rPr>
      </w:pPr>
    </w:p>
    <w:p w14:paraId="0B71C514" w14:textId="2740087B" w:rsidR="000C789E" w:rsidRPr="000C789E" w:rsidRDefault="000C789E" w:rsidP="000C789E">
      <w:pPr>
        <w:pStyle w:val="Body"/>
        <w:spacing w:after="0"/>
        <w:rPr>
          <w:rFonts w:ascii="Arial" w:hAnsi="Arial" w:cs="Arial"/>
          <w:lang w:val="en-GB"/>
        </w:rPr>
      </w:pPr>
      <w:r>
        <w:rPr>
          <w:rFonts w:ascii="Arial" w:hAnsi="Arial" w:cs="Arial"/>
          <w:b/>
          <w:bCs/>
          <w:i/>
          <w:iCs/>
          <w:lang w:val="en-GB"/>
        </w:rPr>
        <w:t xml:space="preserve">3.3 </w:t>
      </w:r>
      <w:r w:rsidRPr="000C789E">
        <w:rPr>
          <w:rFonts w:ascii="Arial" w:hAnsi="Arial" w:cs="Arial"/>
          <w:b/>
          <w:bCs/>
          <w:i/>
          <w:iCs/>
          <w:lang w:val="en-GB"/>
        </w:rPr>
        <w:t>Rao-Scott chi square</w:t>
      </w:r>
    </w:p>
    <w:p w14:paraId="26A258DF" w14:textId="1582058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3:</w:t>
      </w:r>
      <w:r w:rsidRPr="000C789E">
        <w:rPr>
          <w:rFonts w:ascii="Arial" w:hAnsi="Arial" w:cs="Arial"/>
          <w:b/>
          <w:bCs/>
          <w:lang w:val="en-GB"/>
        </w:rPr>
        <w:t xml:space="preserve"> Survey-adjusted Rao–Scott chi-square test for association between current contraceptive-use category and categorical predictors</w:t>
      </w:r>
    </w:p>
    <w:tbl>
      <w:tblPr>
        <w:tblStyle w:val="TabelDaftar6Berwarna"/>
        <w:tblW w:w="9058" w:type="dxa"/>
        <w:tblLook w:val="04A0" w:firstRow="1" w:lastRow="0" w:firstColumn="1" w:lastColumn="0" w:noHBand="0" w:noVBand="1"/>
      </w:tblPr>
      <w:tblGrid>
        <w:gridCol w:w="3207"/>
        <w:gridCol w:w="2022"/>
        <w:gridCol w:w="923"/>
        <w:gridCol w:w="1578"/>
        <w:gridCol w:w="1328"/>
      </w:tblGrid>
      <w:tr w:rsidR="000C789E" w:rsidRPr="000C789E" w14:paraId="7747B15B"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83D3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3191A83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Rao–Scott F</w:t>
            </w:r>
          </w:p>
        </w:tc>
        <w:tc>
          <w:tcPr>
            <w:tcW w:w="0" w:type="auto"/>
            <w:hideMark/>
          </w:tcPr>
          <w:p w14:paraId="3BEF577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df1</w:t>
            </w:r>
          </w:p>
        </w:tc>
        <w:tc>
          <w:tcPr>
            <w:tcW w:w="0" w:type="auto"/>
            <w:hideMark/>
          </w:tcPr>
          <w:p w14:paraId="67FC4CDF"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df2</w:t>
            </w:r>
          </w:p>
        </w:tc>
        <w:tc>
          <w:tcPr>
            <w:tcW w:w="0" w:type="auto"/>
            <w:hideMark/>
          </w:tcPr>
          <w:p w14:paraId="551DE78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0A7BB23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6BDA4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Education</w:t>
            </w:r>
          </w:p>
        </w:tc>
        <w:tc>
          <w:tcPr>
            <w:tcW w:w="0" w:type="auto"/>
            <w:shd w:val="clear" w:color="auto" w:fill="auto"/>
            <w:hideMark/>
          </w:tcPr>
          <w:p w14:paraId="08A2D20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212.13</w:t>
            </w:r>
          </w:p>
        </w:tc>
        <w:tc>
          <w:tcPr>
            <w:tcW w:w="0" w:type="auto"/>
            <w:shd w:val="clear" w:color="auto" w:fill="auto"/>
            <w:hideMark/>
          </w:tcPr>
          <w:p w14:paraId="6961364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c>
          <w:tcPr>
            <w:tcW w:w="0" w:type="auto"/>
            <w:shd w:val="clear" w:color="auto" w:fill="auto"/>
            <w:hideMark/>
          </w:tcPr>
          <w:p w14:paraId="516B4D4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6527.45</w:t>
            </w:r>
          </w:p>
        </w:tc>
        <w:tc>
          <w:tcPr>
            <w:tcW w:w="0" w:type="auto"/>
            <w:shd w:val="clear" w:color="auto" w:fill="auto"/>
            <w:hideMark/>
          </w:tcPr>
          <w:p w14:paraId="1C808BB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C4AB61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66F875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0" w:type="auto"/>
            <w:hideMark/>
          </w:tcPr>
          <w:p w14:paraId="3FA825B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152.87</w:t>
            </w:r>
          </w:p>
        </w:tc>
        <w:tc>
          <w:tcPr>
            <w:tcW w:w="0" w:type="auto"/>
            <w:hideMark/>
          </w:tcPr>
          <w:p w14:paraId="30BCBDA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7.34</w:t>
            </w:r>
          </w:p>
        </w:tc>
        <w:tc>
          <w:tcPr>
            <w:tcW w:w="0" w:type="auto"/>
            <w:hideMark/>
          </w:tcPr>
          <w:p w14:paraId="53C431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9565.74</w:t>
            </w:r>
          </w:p>
        </w:tc>
        <w:tc>
          <w:tcPr>
            <w:tcW w:w="0" w:type="auto"/>
            <w:hideMark/>
          </w:tcPr>
          <w:p w14:paraId="28B3297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390E42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384D7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Place of residence</w:t>
            </w:r>
          </w:p>
        </w:tc>
        <w:tc>
          <w:tcPr>
            <w:tcW w:w="0" w:type="auto"/>
            <w:shd w:val="clear" w:color="auto" w:fill="auto"/>
            <w:hideMark/>
          </w:tcPr>
          <w:p w14:paraId="6001E35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164.10</w:t>
            </w:r>
          </w:p>
        </w:tc>
        <w:tc>
          <w:tcPr>
            <w:tcW w:w="0" w:type="auto"/>
            <w:shd w:val="clear" w:color="auto" w:fill="auto"/>
            <w:hideMark/>
          </w:tcPr>
          <w:p w14:paraId="437C6C0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1.73</w:t>
            </w:r>
          </w:p>
        </w:tc>
        <w:tc>
          <w:tcPr>
            <w:tcW w:w="0" w:type="auto"/>
            <w:shd w:val="clear" w:color="auto" w:fill="auto"/>
            <w:hideMark/>
          </w:tcPr>
          <w:p w14:paraId="174860E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2253.47</w:t>
            </w:r>
          </w:p>
        </w:tc>
        <w:tc>
          <w:tcPr>
            <w:tcW w:w="0" w:type="auto"/>
            <w:shd w:val="clear" w:color="auto" w:fill="auto"/>
            <w:hideMark/>
          </w:tcPr>
          <w:p w14:paraId="4EBAE93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E6A08C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88C8B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0" w:type="auto"/>
            <w:hideMark/>
          </w:tcPr>
          <w:p w14:paraId="62E29C1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127.91</w:t>
            </w:r>
          </w:p>
        </w:tc>
        <w:tc>
          <w:tcPr>
            <w:tcW w:w="0" w:type="auto"/>
            <w:hideMark/>
          </w:tcPr>
          <w:p w14:paraId="2A8BB10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5.92</w:t>
            </w:r>
          </w:p>
        </w:tc>
        <w:tc>
          <w:tcPr>
            <w:tcW w:w="0" w:type="auto"/>
            <w:hideMark/>
          </w:tcPr>
          <w:p w14:paraId="4C13C8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7714.65</w:t>
            </w:r>
          </w:p>
        </w:tc>
        <w:tc>
          <w:tcPr>
            <w:tcW w:w="0" w:type="auto"/>
            <w:hideMark/>
          </w:tcPr>
          <w:p w14:paraId="2E0AC66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AEACD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E080D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0" w:type="auto"/>
            <w:shd w:val="clear" w:color="auto" w:fill="auto"/>
            <w:hideMark/>
          </w:tcPr>
          <w:p w14:paraId="63BB35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13.43</w:t>
            </w:r>
          </w:p>
        </w:tc>
        <w:tc>
          <w:tcPr>
            <w:tcW w:w="0" w:type="auto"/>
            <w:shd w:val="clear" w:color="auto" w:fill="auto"/>
            <w:hideMark/>
          </w:tcPr>
          <w:p w14:paraId="200561F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8.65</w:t>
            </w:r>
          </w:p>
        </w:tc>
        <w:tc>
          <w:tcPr>
            <w:tcW w:w="0" w:type="auto"/>
            <w:shd w:val="clear" w:color="auto" w:fill="auto"/>
            <w:hideMark/>
          </w:tcPr>
          <w:p w14:paraId="098D14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11278.59</w:t>
            </w:r>
          </w:p>
        </w:tc>
        <w:tc>
          <w:tcPr>
            <w:tcW w:w="0" w:type="auto"/>
            <w:shd w:val="clear" w:color="auto" w:fill="auto"/>
            <w:hideMark/>
          </w:tcPr>
          <w:p w14:paraId="0456956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0D0BBE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02AA4A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Newspaper exposure</w:t>
            </w:r>
          </w:p>
        </w:tc>
        <w:tc>
          <w:tcPr>
            <w:tcW w:w="0" w:type="auto"/>
            <w:hideMark/>
          </w:tcPr>
          <w:p w14:paraId="6EFC6D7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96.81</w:t>
            </w:r>
          </w:p>
        </w:tc>
        <w:tc>
          <w:tcPr>
            <w:tcW w:w="0" w:type="auto"/>
            <w:hideMark/>
          </w:tcPr>
          <w:p w14:paraId="650163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3.78</w:t>
            </w:r>
          </w:p>
        </w:tc>
        <w:tc>
          <w:tcPr>
            <w:tcW w:w="0" w:type="auto"/>
            <w:hideMark/>
          </w:tcPr>
          <w:p w14:paraId="014583B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4927.20</w:t>
            </w:r>
          </w:p>
        </w:tc>
        <w:tc>
          <w:tcPr>
            <w:tcW w:w="0" w:type="auto"/>
            <w:hideMark/>
          </w:tcPr>
          <w:p w14:paraId="62DA03C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18CB4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C51F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Radio exposure</w:t>
            </w:r>
          </w:p>
        </w:tc>
        <w:tc>
          <w:tcPr>
            <w:tcW w:w="0" w:type="auto"/>
            <w:shd w:val="clear" w:color="auto" w:fill="auto"/>
            <w:hideMark/>
          </w:tcPr>
          <w:p w14:paraId="1F47EDC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137.98</w:t>
            </w:r>
          </w:p>
        </w:tc>
        <w:tc>
          <w:tcPr>
            <w:tcW w:w="0" w:type="auto"/>
            <w:shd w:val="clear" w:color="auto" w:fill="auto"/>
            <w:hideMark/>
          </w:tcPr>
          <w:p w14:paraId="257A05B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3.69</w:t>
            </w:r>
          </w:p>
        </w:tc>
        <w:tc>
          <w:tcPr>
            <w:tcW w:w="0" w:type="auto"/>
            <w:shd w:val="clear" w:color="auto" w:fill="auto"/>
            <w:hideMark/>
          </w:tcPr>
          <w:p w14:paraId="553A4B8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4811.30</w:t>
            </w:r>
          </w:p>
        </w:tc>
        <w:tc>
          <w:tcPr>
            <w:tcW w:w="0" w:type="auto"/>
            <w:shd w:val="clear" w:color="auto" w:fill="auto"/>
            <w:hideMark/>
          </w:tcPr>
          <w:p w14:paraId="3870FC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9B0481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DE41D8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Television exposure</w:t>
            </w:r>
          </w:p>
        </w:tc>
        <w:tc>
          <w:tcPr>
            <w:tcW w:w="0" w:type="auto"/>
            <w:hideMark/>
          </w:tcPr>
          <w:p w14:paraId="634DB6D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258.33</w:t>
            </w:r>
          </w:p>
        </w:tc>
        <w:tc>
          <w:tcPr>
            <w:tcW w:w="0" w:type="auto"/>
            <w:hideMark/>
          </w:tcPr>
          <w:p w14:paraId="376BED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3.67</w:t>
            </w:r>
          </w:p>
        </w:tc>
        <w:tc>
          <w:tcPr>
            <w:tcW w:w="0" w:type="auto"/>
            <w:hideMark/>
          </w:tcPr>
          <w:p w14:paraId="428B1AE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4785.98</w:t>
            </w:r>
          </w:p>
        </w:tc>
        <w:tc>
          <w:tcPr>
            <w:tcW w:w="0" w:type="auto"/>
            <w:hideMark/>
          </w:tcPr>
          <w:p w14:paraId="6D94348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E51599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CA1F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0" w:type="auto"/>
            <w:shd w:val="clear" w:color="auto" w:fill="auto"/>
            <w:hideMark/>
          </w:tcPr>
          <w:p w14:paraId="271706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132.50</w:t>
            </w:r>
          </w:p>
        </w:tc>
        <w:tc>
          <w:tcPr>
            <w:tcW w:w="0" w:type="auto"/>
            <w:shd w:val="clear" w:color="auto" w:fill="auto"/>
            <w:hideMark/>
          </w:tcPr>
          <w:p w14:paraId="396ACE5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1.87</w:t>
            </w:r>
          </w:p>
        </w:tc>
        <w:tc>
          <w:tcPr>
            <w:tcW w:w="0" w:type="auto"/>
            <w:shd w:val="clear" w:color="auto" w:fill="auto"/>
            <w:hideMark/>
          </w:tcPr>
          <w:p w14:paraId="517AAA3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2442.13</w:t>
            </w:r>
          </w:p>
        </w:tc>
        <w:tc>
          <w:tcPr>
            <w:tcW w:w="0" w:type="auto"/>
            <w:shd w:val="clear" w:color="auto" w:fill="auto"/>
            <w:hideMark/>
          </w:tcPr>
          <w:p w14:paraId="69E1965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61E651AA" w14:textId="786E782F" w:rsidR="000C789E" w:rsidRPr="000C789E" w:rsidRDefault="000C789E" w:rsidP="000C789E">
      <w:pPr>
        <w:pStyle w:val="Body"/>
        <w:spacing w:after="0"/>
        <w:rPr>
          <w:rFonts w:ascii="Arial" w:hAnsi="Arial" w:cs="Arial"/>
          <w:b/>
          <w:bCs/>
          <w:lang w:val="en-GB"/>
        </w:rPr>
      </w:pPr>
      <w:r w:rsidRPr="000C789E">
        <w:rPr>
          <w:rFonts w:ascii="Arial" w:hAnsi="Arial" w:cs="Arial"/>
          <w:b/>
          <w:bCs/>
          <w:lang w:val="en-GB"/>
        </w:rPr>
        <w:t>3.5 Multinomial logistic regression</w:t>
      </w:r>
    </w:p>
    <w:p w14:paraId="5BD7CADC" w14:textId="7B42E99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4:</w:t>
      </w:r>
      <w:r w:rsidRPr="000C789E">
        <w:rPr>
          <w:rFonts w:ascii="Arial" w:hAnsi="Arial" w:cs="Arial"/>
          <w:b/>
          <w:bCs/>
          <w:lang w:val="en-GB"/>
        </w:rPr>
        <w:t xml:space="preserve"> Multinomial logistic regression of determinants of current contraceptive use among women of reproductive age</w:t>
      </w:r>
    </w:p>
    <w:tbl>
      <w:tblPr>
        <w:tblStyle w:val="TabelDaftar6Berwarna"/>
        <w:tblW w:w="8460" w:type="dxa"/>
        <w:tblLook w:val="04A0" w:firstRow="1" w:lastRow="0" w:firstColumn="1" w:lastColumn="0" w:noHBand="0" w:noVBand="1"/>
      </w:tblPr>
      <w:tblGrid>
        <w:gridCol w:w="2316"/>
        <w:gridCol w:w="2094"/>
        <w:gridCol w:w="990"/>
        <w:gridCol w:w="2160"/>
        <w:gridCol w:w="900"/>
      </w:tblGrid>
      <w:tr w:rsidR="000C789E" w:rsidRPr="000C789E" w14:paraId="0E9B1967" w14:textId="77777777" w:rsidTr="000C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8E4D8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Predictor</w:t>
            </w:r>
          </w:p>
        </w:tc>
        <w:tc>
          <w:tcPr>
            <w:tcW w:w="2094" w:type="dxa"/>
            <w:hideMark/>
          </w:tcPr>
          <w:p w14:paraId="6E41650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Traditional/folkloric vs not using aRRR (95% CI)</w:t>
            </w:r>
          </w:p>
        </w:tc>
        <w:tc>
          <w:tcPr>
            <w:tcW w:w="990" w:type="dxa"/>
            <w:hideMark/>
          </w:tcPr>
          <w:p w14:paraId="5DCD725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c>
          <w:tcPr>
            <w:tcW w:w="2160" w:type="dxa"/>
            <w:hideMark/>
          </w:tcPr>
          <w:p w14:paraId="2DA967C7"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Modern vs not using aRRR (95% CI)</w:t>
            </w:r>
          </w:p>
        </w:tc>
        <w:tc>
          <w:tcPr>
            <w:tcW w:w="900" w:type="dxa"/>
            <w:hideMark/>
          </w:tcPr>
          <w:p w14:paraId="56FEF8C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7B860F4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2A4A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w:t>
            </w:r>
          </w:p>
        </w:tc>
        <w:tc>
          <w:tcPr>
            <w:tcW w:w="2094" w:type="dxa"/>
            <w:shd w:val="clear" w:color="auto" w:fill="auto"/>
            <w:hideMark/>
          </w:tcPr>
          <w:p w14:paraId="44865D2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90" w:type="dxa"/>
            <w:shd w:val="clear" w:color="auto" w:fill="auto"/>
            <w:hideMark/>
          </w:tcPr>
          <w:p w14:paraId="71B0271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0DD85E3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00" w:type="dxa"/>
            <w:shd w:val="clear" w:color="auto" w:fill="auto"/>
            <w:hideMark/>
          </w:tcPr>
          <w:p w14:paraId="40A456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20B3169"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1051FD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w:t>
            </w:r>
          </w:p>
        </w:tc>
        <w:tc>
          <w:tcPr>
            <w:tcW w:w="2094" w:type="dxa"/>
            <w:hideMark/>
          </w:tcPr>
          <w:p w14:paraId="1CA3372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1.07 (1.06–1.09)</w:t>
            </w:r>
          </w:p>
        </w:tc>
        <w:tc>
          <w:tcPr>
            <w:tcW w:w="990" w:type="dxa"/>
            <w:hideMark/>
          </w:tcPr>
          <w:p w14:paraId="3C868D0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10DE486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1.06 (1.05–1.07)</w:t>
            </w:r>
          </w:p>
        </w:tc>
        <w:tc>
          <w:tcPr>
            <w:tcW w:w="900" w:type="dxa"/>
            <w:hideMark/>
          </w:tcPr>
          <w:p w14:paraId="3A8C43A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46AC7DB"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734C4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Education</w:t>
            </w:r>
          </w:p>
        </w:tc>
        <w:tc>
          <w:tcPr>
            <w:tcW w:w="2094" w:type="dxa"/>
            <w:shd w:val="clear" w:color="auto" w:fill="auto"/>
            <w:hideMark/>
          </w:tcPr>
          <w:p w14:paraId="4C42366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232DFBF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3626FCF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0C3038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925E31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F81D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 vs none</w:t>
            </w:r>
          </w:p>
        </w:tc>
        <w:tc>
          <w:tcPr>
            <w:tcW w:w="2094" w:type="dxa"/>
            <w:hideMark/>
          </w:tcPr>
          <w:p w14:paraId="23CBA74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1.84 (1.63–2.07)</w:t>
            </w:r>
          </w:p>
        </w:tc>
        <w:tc>
          <w:tcPr>
            <w:tcW w:w="990" w:type="dxa"/>
            <w:hideMark/>
          </w:tcPr>
          <w:p w14:paraId="56DD68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06F7F29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 (1.44–1.62)</w:t>
            </w:r>
          </w:p>
        </w:tc>
        <w:tc>
          <w:tcPr>
            <w:tcW w:w="900" w:type="dxa"/>
            <w:hideMark/>
          </w:tcPr>
          <w:p w14:paraId="7122A52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34ACDB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86C0C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 vs none</w:t>
            </w:r>
          </w:p>
        </w:tc>
        <w:tc>
          <w:tcPr>
            <w:tcW w:w="2094" w:type="dxa"/>
            <w:shd w:val="clear" w:color="auto" w:fill="auto"/>
            <w:hideMark/>
          </w:tcPr>
          <w:p w14:paraId="559D71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2.39 (2.13–2.68)</w:t>
            </w:r>
          </w:p>
        </w:tc>
        <w:tc>
          <w:tcPr>
            <w:tcW w:w="990" w:type="dxa"/>
            <w:shd w:val="clear" w:color="auto" w:fill="auto"/>
            <w:hideMark/>
          </w:tcPr>
          <w:p w14:paraId="140C772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D4349B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1.80 (1.70–1.91)</w:t>
            </w:r>
          </w:p>
        </w:tc>
        <w:tc>
          <w:tcPr>
            <w:tcW w:w="900" w:type="dxa"/>
            <w:shd w:val="clear" w:color="auto" w:fill="auto"/>
            <w:hideMark/>
          </w:tcPr>
          <w:p w14:paraId="5970B1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AB6894B"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7C1C2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 vs none</w:t>
            </w:r>
          </w:p>
        </w:tc>
        <w:tc>
          <w:tcPr>
            <w:tcW w:w="2094" w:type="dxa"/>
            <w:hideMark/>
          </w:tcPr>
          <w:p w14:paraId="5F5B724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 (2.93–3.83)</w:t>
            </w:r>
          </w:p>
        </w:tc>
        <w:tc>
          <w:tcPr>
            <w:tcW w:w="990" w:type="dxa"/>
            <w:hideMark/>
          </w:tcPr>
          <w:p w14:paraId="523C5AB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70713CE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2.15 (1.99–2.32)</w:t>
            </w:r>
          </w:p>
        </w:tc>
        <w:tc>
          <w:tcPr>
            <w:tcW w:w="900" w:type="dxa"/>
            <w:hideMark/>
          </w:tcPr>
          <w:p w14:paraId="43395D2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83C392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BDAE9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2094" w:type="dxa"/>
            <w:shd w:val="clear" w:color="auto" w:fill="auto"/>
            <w:hideMark/>
          </w:tcPr>
          <w:p w14:paraId="62E0382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ED7848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3D038C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C432D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17334D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969C8A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 vs poorest</w:t>
            </w:r>
          </w:p>
        </w:tc>
        <w:tc>
          <w:tcPr>
            <w:tcW w:w="2094" w:type="dxa"/>
            <w:hideMark/>
          </w:tcPr>
          <w:p w14:paraId="7A4300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1.96 (1.65–2.32)</w:t>
            </w:r>
          </w:p>
        </w:tc>
        <w:tc>
          <w:tcPr>
            <w:tcW w:w="990" w:type="dxa"/>
            <w:hideMark/>
          </w:tcPr>
          <w:p w14:paraId="7785DEF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65C806D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1.30 (1.21–1.39)</w:t>
            </w:r>
          </w:p>
        </w:tc>
        <w:tc>
          <w:tcPr>
            <w:tcW w:w="900" w:type="dxa"/>
            <w:hideMark/>
          </w:tcPr>
          <w:p w14:paraId="45BB67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A1E0DF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BE2A9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 vs poorest</w:t>
            </w:r>
          </w:p>
        </w:tc>
        <w:tc>
          <w:tcPr>
            <w:tcW w:w="2094" w:type="dxa"/>
            <w:shd w:val="clear" w:color="auto" w:fill="auto"/>
            <w:hideMark/>
          </w:tcPr>
          <w:p w14:paraId="4974B59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3.29 (2.80–3.87)</w:t>
            </w:r>
          </w:p>
        </w:tc>
        <w:tc>
          <w:tcPr>
            <w:tcW w:w="990" w:type="dxa"/>
            <w:shd w:val="clear" w:color="auto" w:fill="auto"/>
            <w:hideMark/>
          </w:tcPr>
          <w:p w14:paraId="1D66B6A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0878D30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1.72 (1.60–1.84)</w:t>
            </w:r>
          </w:p>
        </w:tc>
        <w:tc>
          <w:tcPr>
            <w:tcW w:w="900" w:type="dxa"/>
            <w:shd w:val="clear" w:color="auto" w:fill="auto"/>
            <w:hideMark/>
          </w:tcPr>
          <w:p w14:paraId="1E4437D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439E44"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E0A89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 vs poorest</w:t>
            </w:r>
          </w:p>
        </w:tc>
        <w:tc>
          <w:tcPr>
            <w:tcW w:w="2094" w:type="dxa"/>
            <w:hideMark/>
          </w:tcPr>
          <w:p w14:paraId="6550C6F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4.64 (3.92–5.49)</w:t>
            </w:r>
          </w:p>
        </w:tc>
        <w:tc>
          <w:tcPr>
            <w:tcW w:w="990" w:type="dxa"/>
            <w:hideMark/>
          </w:tcPr>
          <w:p w14:paraId="66ED6A4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3D14599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2.07 (1.92–2.24)</w:t>
            </w:r>
          </w:p>
        </w:tc>
        <w:tc>
          <w:tcPr>
            <w:tcW w:w="900" w:type="dxa"/>
            <w:hideMark/>
          </w:tcPr>
          <w:p w14:paraId="50BD466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F7269A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1B41F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 vs poorest</w:t>
            </w:r>
          </w:p>
        </w:tc>
        <w:tc>
          <w:tcPr>
            <w:tcW w:w="2094" w:type="dxa"/>
            <w:shd w:val="clear" w:color="auto" w:fill="auto"/>
            <w:hideMark/>
          </w:tcPr>
          <w:p w14:paraId="21BD669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6.58 (5.51–7.86)</w:t>
            </w:r>
          </w:p>
        </w:tc>
        <w:tc>
          <w:tcPr>
            <w:tcW w:w="990" w:type="dxa"/>
            <w:shd w:val="clear" w:color="auto" w:fill="auto"/>
            <w:hideMark/>
          </w:tcPr>
          <w:p w14:paraId="7A1641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42C928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2.41 (2.21–2.62)</w:t>
            </w:r>
          </w:p>
        </w:tc>
        <w:tc>
          <w:tcPr>
            <w:tcW w:w="900" w:type="dxa"/>
            <w:shd w:val="clear" w:color="auto" w:fill="auto"/>
            <w:hideMark/>
          </w:tcPr>
          <w:p w14:paraId="3A17D5D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531FEF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34AE98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Residence</w:t>
            </w:r>
          </w:p>
        </w:tc>
        <w:tc>
          <w:tcPr>
            <w:tcW w:w="2094" w:type="dxa"/>
            <w:hideMark/>
          </w:tcPr>
          <w:p w14:paraId="0BEDC80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3C202C5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395186A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7A7A35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5AEC4C4"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0E688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 vs urban</w:t>
            </w:r>
          </w:p>
        </w:tc>
        <w:tc>
          <w:tcPr>
            <w:tcW w:w="2094" w:type="dxa"/>
            <w:shd w:val="clear" w:color="auto" w:fill="auto"/>
            <w:hideMark/>
          </w:tcPr>
          <w:p w14:paraId="05CDAC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(0.89–1.01)</w:t>
            </w:r>
          </w:p>
        </w:tc>
        <w:tc>
          <w:tcPr>
            <w:tcW w:w="990" w:type="dxa"/>
            <w:shd w:val="clear" w:color="auto" w:fill="auto"/>
            <w:hideMark/>
          </w:tcPr>
          <w:p w14:paraId="3E5FD56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0.119</w:t>
            </w:r>
          </w:p>
        </w:tc>
        <w:tc>
          <w:tcPr>
            <w:tcW w:w="2160" w:type="dxa"/>
            <w:shd w:val="clear" w:color="auto" w:fill="auto"/>
            <w:hideMark/>
          </w:tcPr>
          <w:p w14:paraId="7D8B035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0.90 (0.86–0.94)</w:t>
            </w:r>
          </w:p>
        </w:tc>
        <w:tc>
          <w:tcPr>
            <w:tcW w:w="900" w:type="dxa"/>
            <w:shd w:val="clear" w:color="auto" w:fill="auto"/>
            <w:hideMark/>
          </w:tcPr>
          <w:p w14:paraId="590C3DE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36595B5"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CBF7F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2094" w:type="dxa"/>
            <w:hideMark/>
          </w:tcPr>
          <w:p w14:paraId="399890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2CE11C1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52FE97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C0EEB4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650319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2D05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 vs Islam</w:t>
            </w:r>
          </w:p>
        </w:tc>
        <w:tc>
          <w:tcPr>
            <w:tcW w:w="2094" w:type="dxa"/>
            <w:shd w:val="clear" w:color="auto" w:fill="auto"/>
            <w:hideMark/>
          </w:tcPr>
          <w:p w14:paraId="6929100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4.04 (3.66–4.46)</w:t>
            </w:r>
          </w:p>
        </w:tc>
        <w:tc>
          <w:tcPr>
            <w:tcW w:w="990" w:type="dxa"/>
            <w:shd w:val="clear" w:color="auto" w:fill="auto"/>
            <w:hideMark/>
          </w:tcPr>
          <w:p w14:paraId="6757EF9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38F966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1.62 (1.52–1.73)</w:t>
            </w:r>
          </w:p>
        </w:tc>
        <w:tc>
          <w:tcPr>
            <w:tcW w:w="900" w:type="dxa"/>
            <w:shd w:val="clear" w:color="auto" w:fill="auto"/>
            <w:hideMark/>
          </w:tcPr>
          <w:p w14:paraId="2688B9E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5998944"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D8AB4C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Other Christian vs Islam</w:t>
            </w:r>
          </w:p>
        </w:tc>
        <w:tc>
          <w:tcPr>
            <w:tcW w:w="2094" w:type="dxa"/>
            <w:hideMark/>
          </w:tcPr>
          <w:p w14:paraId="3D4566F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3.30 (3.04–3.58)</w:t>
            </w:r>
          </w:p>
        </w:tc>
        <w:tc>
          <w:tcPr>
            <w:tcW w:w="990" w:type="dxa"/>
            <w:hideMark/>
          </w:tcPr>
          <w:p w14:paraId="2A8B1E0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360C547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1.59 (1.52–1.66)</w:t>
            </w:r>
          </w:p>
        </w:tc>
        <w:tc>
          <w:tcPr>
            <w:tcW w:w="900" w:type="dxa"/>
            <w:hideMark/>
          </w:tcPr>
          <w:p w14:paraId="1210B2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B88D2A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33B9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 vs Islam</w:t>
            </w:r>
          </w:p>
        </w:tc>
        <w:tc>
          <w:tcPr>
            <w:tcW w:w="2094" w:type="dxa"/>
            <w:shd w:val="clear" w:color="auto" w:fill="auto"/>
            <w:hideMark/>
          </w:tcPr>
          <w:p w14:paraId="71695EC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3.46 (2.39–5.02)</w:t>
            </w:r>
          </w:p>
        </w:tc>
        <w:tc>
          <w:tcPr>
            <w:tcW w:w="990" w:type="dxa"/>
            <w:shd w:val="clear" w:color="auto" w:fill="auto"/>
            <w:hideMark/>
          </w:tcPr>
          <w:p w14:paraId="7266C1D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6B26B6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 (1.25–1.95)</w:t>
            </w:r>
          </w:p>
        </w:tc>
        <w:tc>
          <w:tcPr>
            <w:tcW w:w="900" w:type="dxa"/>
            <w:shd w:val="clear" w:color="auto" w:fill="auto"/>
            <w:hideMark/>
          </w:tcPr>
          <w:p w14:paraId="47329B9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D530B66"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B05BA0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 religion vs Islam</w:t>
            </w:r>
          </w:p>
        </w:tc>
        <w:tc>
          <w:tcPr>
            <w:tcW w:w="2094" w:type="dxa"/>
            <w:hideMark/>
          </w:tcPr>
          <w:p w14:paraId="35BEF12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13.76 (5.85–32.41)</w:t>
            </w:r>
          </w:p>
        </w:tc>
        <w:tc>
          <w:tcPr>
            <w:tcW w:w="990" w:type="dxa"/>
            <w:hideMark/>
          </w:tcPr>
          <w:p w14:paraId="7936C8C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45C233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0.83 (0.24–2.86)</w:t>
            </w:r>
          </w:p>
        </w:tc>
        <w:tc>
          <w:tcPr>
            <w:tcW w:w="900" w:type="dxa"/>
            <w:hideMark/>
          </w:tcPr>
          <w:p w14:paraId="46412C7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0.772</w:t>
            </w:r>
          </w:p>
        </w:tc>
      </w:tr>
      <w:tr w:rsidR="000C789E" w:rsidRPr="000C789E" w14:paraId="5E9BD3DB"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E916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2094" w:type="dxa"/>
            <w:shd w:val="clear" w:color="auto" w:fill="auto"/>
            <w:hideMark/>
          </w:tcPr>
          <w:p w14:paraId="5A1CB30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1A0C02D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59D66F1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26F9B0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3826DDC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1B1B50C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 vs married</w:t>
            </w:r>
          </w:p>
        </w:tc>
        <w:tc>
          <w:tcPr>
            <w:tcW w:w="2094" w:type="dxa"/>
            <w:hideMark/>
          </w:tcPr>
          <w:p w14:paraId="01F5A7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(0.75–0.96)</w:t>
            </w:r>
          </w:p>
        </w:tc>
        <w:tc>
          <w:tcPr>
            <w:tcW w:w="990" w:type="dxa"/>
            <w:hideMark/>
          </w:tcPr>
          <w:p w14:paraId="482A735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0.009</w:t>
            </w:r>
          </w:p>
        </w:tc>
        <w:tc>
          <w:tcPr>
            <w:tcW w:w="2160" w:type="dxa"/>
            <w:hideMark/>
          </w:tcPr>
          <w:p w14:paraId="1F98A32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(0.87–1.03)</w:t>
            </w:r>
          </w:p>
        </w:tc>
        <w:tc>
          <w:tcPr>
            <w:tcW w:w="900" w:type="dxa"/>
            <w:hideMark/>
          </w:tcPr>
          <w:p w14:paraId="3DB732D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0.174</w:t>
            </w:r>
          </w:p>
        </w:tc>
      </w:tr>
      <w:tr w:rsidR="000C789E" w:rsidRPr="000C789E" w14:paraId="3412D0A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176D3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 vs married</w:t>
            </w:r>
          </w:p>
        </w:tc>
        <w:tc>
          <w:tcPr>
            <w:tcW w:w="2094" w:type="dxa"/>
            <w:shd w:val="clear" w:color="auto" w:fill="auto"/>
            <w:hideMark/>
          </w:tcPr>
          <w:p w14:paraId="0BC6BBB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0.55 (0.43–0.71)</w:t>
            </w:r>
          </w:p>
        </w:tc>
        <w:tc>
          <w:tcPr>
            <w:tcW w:w="990" w:type="dxa"/>
            <w:shd w:val="clear" w:color="auto" w:fill="auto"/>
            <w:hideMark/>
          </w:tcPr>
          <w:p w14:paraId="621C2D4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6E02CA4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0.61 (0.52–0.72)</w:t>
            </w:r>
          </w:p>
        </w:tc>
        <w:tc>
          <w:tcPr>
            <w:tcW w:w="900" w:type="dxa"/>
            <w:shd w:val="clear" w:color="auto" w:fill="auto"/>
            <w:hideMark/>
          </w:tcPr>
          <w:p w14:paraId="7C17B1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1445A1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0DB8FF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 vs married</w:t>
            </w:r>
          </w:p>
        </w:tc>
        <w:tc>
          <w:tcPr>
            <w:tcW w:w="2094" w:type="dxa"/>
            <w:hideMark/>
          </w:tcPr>
          <w:p w14:paraId="122F46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0.31 (0.25–0.37)</w:t>
            </w:r>
          </w:p>
        </w:tc>
        <w:tc>
          <w:tcPr>
            <w:tcW w:w="990" w:type="dxa"/>
            <w:hideMark/>
          </w:tcPr>
          <w:p w14:paraId="3AB3970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16B5934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0.32 (0.28–0.36)</w:t>
            </w:r>
          </w:p>
        </w:tc>
        <w:tc>
          <w:tcPr>
            <w:tcW w:w="900" w:type="dxa"/>
            <w:hideMark/>
          </w:tcPr>
          <w:p w14:paraId="4EE0CDC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11B06F7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3FE5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 vs married</w:t>
            </w:r>
          </w:p>
        </w:tc>
        <w:tc>
          <w:tcPr>
            <w:tcW w:w="2094" w:type="dxa"/>
            <w:shd w:val="clear" w:color="auto" w:fill="auto"/>
            <w:hideMark/>
          </w:tcPr>
          <w:p w14:paraId="6C6039C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0.17 (0.10–0.30)</w:t>
            </w:r>
          </w:p>
        </w:tc>
        <w:tc>
          <w:tcPr>
            <w:tcW w:w="990" w:type="dxa"/>
            <w:shd w:val="clear" w:color="auto" w:fill="auto"/>
            <w:hideMark/>
          </w:tcPr>
          <w:p w14:paraId="4295394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71C2EBE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0.36 (0.29–0.45)</w:t>
            </w:r>
          </w:p>
        </w:tc>
        <w:tc>
          <w:tcPr>
            <w:tcW w:w="900" w:type="dxa"/>
            <w:shd w:val="clear" w:color="auto" w:fill="auto"/>
            <w:hideMark/>
          </w:tcPr>
          <w:p w14:paraId="5DE0BC9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4726B9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8AFC91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 vs married</w:t>
            </w:r>
          </w:p>
        </w:tc>
        <w:tc>
          <w:tcPr>
            <w:tcW w:w="2094" w:type="dxa"/>
            <w:hideMark/>
          </w:tcPr>
          <w:p w14:paraId="4AC27A6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0.34 (0.26–0.43)</w:t>
            </w:r>
          </w:p>
        </w:tc>
        <w:tc>
          <w:tcPr>
            <w:tcW w:w="990" w:type="dxa"/>
            <w:hideMark/>
          </w:tcPr>
          <w:p w14:paraId="21DEB5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77EDB6F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0.58 (0.51–0.66)</w:t>
            </w:r>
          </w:p>
        </w:tc>
        <w:tc>
          <w:tcPr>
            <w:tcW w:w="900" w:type="dxa"/>
            <w:hideMark/>
          </w:tcPr>
          <w:p w14:paraId="7592311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3FA0AF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9756A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Reads newspaper/magazine</w:t>
            </w:r>
          </w:p>
        </w:tc>
        <w:tc>
          <w:tcPr>
            <w:tcW w:w="2094" w:type="dxa"/>
            <w:shd w:val="clear" w:color="auto" w:fill="auto"/>
            <w:hideMark/>
          </w:tcPr>
          <w:p w14:paraId="2CE41EB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67BD2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1747B89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358254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FF33F2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0A8274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hideMark/>
          </w:tcPr>
          <w:p w14:paraId="49ABE36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1.15 (1.05–1.27)</w:t>
            </w:r>
          </w:p>
        </w:tc>
        <w:tc>
          <w:tcPr>
            <w:tcW w:w="990" w:type="dxa"/>
            <w:hideMark/>
          </w:tcPr>
          <w:p w14:paraId="623FD2D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0.004</w:t>
            </w:r>
          </w:p>
        </w:tc>
        <w:tc>
          <w:tcPr>
            <w:tcW w:w="2160" w:type="dxa"/>
            <w:hideMark/>
          </w:tcPr>
          <w:p w14:paraId="458855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0.94 (0.88–1.02)</w:t>
            </w:r>
          </w:p>
        </w:tc>
        <w:tc>
          <w:tcPr>
            <w:tcW w:w="900" w:type="dxa"/>
            <w:hideMark/>
          </w:tcPr>
          <w:p w14:paraId="1A47CF9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0.124</w:t>
            </w:r>
          </w:p>
        </w:tc>
      </w:tr>
      <w:tr w:rsidR="000C789E" w:rsidRPr="000C789E" w14:paraId="64AA7AE1"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CB761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shd w:val="clear" w:color="auto" w:fill="auto"/>
            <w:hideMark/>
          </w:tcPr>
          <w:p w14:paraId="357E3AE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(0.83–1.08)</w:t>
            </w:r>
          </w:p>
        </w:tc>
        <w:tc>
          <w:tcPr>
            <w:tcW w:w="990" w:type="dxa"/>
            <w:shd w:val="clear" w:color="auto" w:fill="auto"/>
            <w:hideMark/>
          </w:tcPr>
          <w:p w14:paraId="46A694F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0.408</w:t>
            </w:r>
          </w:p>
        </w:tc>
        <w:tc>
          <w:tcPr>
            <w:tcW w:w="2160" w:type="dxa"/>
            <w:shd w:val="clear" w:color="auto" w:fill="auto"/>
            <w:hideMark/>
          </w:tcPr>
          <w:p w14:paraId="7FAED5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(0.77–0.93)</w:t>
            </w:r>
          </w:p>
        </w:tc>
        <w:tc>
          <w:tcPr>
            <w:tcW w:w="900" w:type="dxa"/>
            <w:shd w:val="clear" w:color="auto" w:fill="auto"/>
            <w:hideMark/>
          </w:tcPr>
          <w:p w14:paraId="714AFBC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AEE3B2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B38E55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Listens to radio</w:t>
            </w:r>
          </w:p>
        </w:tc>
        <w:tc>
          <w:tcPr>
            <w:tcW w:w="2094" w:type="dxa"/>
            <w:hideMark/>
          </w:tcPr>
          <w:p w14:paraId="50C4735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1B896D9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023E921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577AB2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68C88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614B2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shd w:val="clear" w:color="auto" w:fill="auto"/>
            <w:hideMark/>
          </w:tcPr>
          <w:p w14:paraId="1F8CB8D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1.36 (1.26–1.47)</w:t>
            </w:r>
          </w:p>
        </w:tc>
        <w:tc>
          <w:tcPr>
            <w:tcW w:w="990" w:type="dxa"/>
            <w:shd w:val="clear" w:color="auto" w:fill="auto"/>
            <w:hideMark/>
          </w:tcPr>
          <w:p w14:paraId="749ACC6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71A007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(1.20–1.32)</w:t>
            </w:r>
          </w:p>
        </w:tc>
        <w:tc>
          <w:tcPr>
            <w:tcW w:w="900" w:type="dxa"/>
            <w:shd w:val="clear" w:color="auto" w:fill="auto"/>
            <w:hideMark/>
          </w:tcPr>
          <w:p w14:paraId="234A88A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4EB37A5"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7E1D1C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hideMark/>
          </w:tcPr>
          <w:p w14:paraId="6D39F7D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1.51 (1.40–1.63)</w:t>
            </w:r>
          </w:p>
        </w:tc>
        <w:tc>
          <w:tcPr>
            <w:tcW w:w="990" w:type="dxa"/>
            <w:hideMark/>
          </w:tcPr>
          <w:p w14:paraId="63E5DB8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0424B8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1.42 (1.35–1.48)</w:t>
            </w:r>
          </w:p>
        </w:tc>
        <w:tc>
          <w:tcPr>
            <w:tcW w:w="900" w:type="dxa"/>
            <w:hideMark/>
          </w:tcPr>
          <w:p w14:paraId="0FC7894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15BF35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C2ABA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Watches television</w:t>
            </w:r>
          </w:p>
        </w:tc>
        <w:tc>
          <w:tcPr>
            <w:tcW w:w="2094" w:type="dxa"/>
            <w:shd w:val="clear" w:color="auto" w:fill="auto"/>
            <w:hideMark/>
          </w:tcPr>
          <w:p w14:paraId="0D3F0E8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71D8FE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5425C37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7C7A6E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D6925E1"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F934C9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hideMark/>
          </w:tcPr>
          <w:p w14:paraId="60EEEE1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(0.87–1.04)</w:t>
            </w:r>
          </w:p>
        </w:tc>
        <w:tc>
          <w:tcPr>
            <w:tcW w:w="990" w:type="dxa"/>
            <w:hideMark/>
          </w:tcPr>
          <w:p w14:paraId="4931A88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0.300</w:t>
            </w:r>
          </w:p>
        </w:tc>
        <w:tc>
          <w:tcPr>
            <w:tcW w:w="2160" w:type="dxa"/>
            <w:hideMark/>
          </w:tcPr>
          <w:p w14:paraId="111AFC4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1.23 (1.16–1.30)</w:t>
            </w:r>
          </w:p>
        </w:tc>
        <w:tc>
          <w:tcPr>
            <w:tcW w:w="900" w:type="dxa"/>
            <w:hideMark/>
          </w:tcPr>
          <w:p w14:paraId="534D740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1748E6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DF13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shd w:val="clear" w:color="auto" w:fill="auto"/>
            <w:hideMark/>
          </w:tcPr>
          <w:p w14:paraId="7A07DBB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(0.78–0.93)</w:t>
            </w:r>
          </w:p>
        </w:tc>
        <w:tc>
          <w:tcPr>
            <w:tcW w:w="990" w:type="dxa"/>
            <w:shd w:val="clear" w:color="auto" w:fill="auto"/>
            <w:hideMark/>
          </w:tcPr>
          <w:p w14:paraId="1A83F9E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5417F7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(1.20–1.33)</w:t>
            </w:r>
          </w:p>
        </w:tc>
        <w:tc>
          <w:tcPr>
            <w:tcW w:w="900" w:type="dxa"/>
            <w:shd w:val="clear" w:color="auto" w:fill="auto"/>
            <w:hideMark/>
          </w:tcPr>
          <w:p w14:paraId="3673544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F47F2F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F877C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2094" w:type="dxa"/>
            <w:hideMark/>
          </w:tcPr>
          <w:p w14:paraId="3BBD433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66C907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4932786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04196E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A1CF219"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3FD02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Yes vs no</w:t>
            </w:r>
          </w:p>
        </w:tc>
        <w:tc>
          <w:tcPr>
            <w:tcW w:w="2094" w:type="dxa"/>
            <w:shd w:val="clear" w:color="auto" w:fill="auto"/>
            <w:hideMark/>
          </w:tcPr>
          <w:p w14:paraId="392168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1.66 (1.53–1.81)</w:t>
            </w:r>
          </w:p>
        </w:tc>
        <w:tc>
          <w:tcPr>
            <w:tcW w:w="990" w:type="dxa"/>
            <w:shd w:val="clear" w:color="auto" w:fill="auto"/>
            <w:hideMark/>
          </w:tcPr>
          <w:p w14:paraId="51BC358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C5EB3E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1.47 (1.40–1.53)</w:t>
            </w:r>
          </w:p>
        </w:tc>
        <w:tc>
          <w:tcPr>
            <w:tcW w:w="900" w:type="dxa"/>
            <w:shd w:val="clear" w:color="auto" w:fill="auto"/>
            <w:hideMark/>
          </w:tcPr>
          <w:p w14:paraId="18290E7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4380A77C" w14:textId="77777777" w:rsidR="000C789E" w:rsidRPr="000C789E" w:rsidRDefault="000C789E" w:rsidP="000C789E">
      <w:pPr>
        <w:pStyle w:val="Body"/>
        <w:spacing w:after="0"/>
        <w:rPr>
          <w:rFonts w:ascii="Arial" w:hAnsi="Arial" w:cs="Arial"/>
          <w:lang w:val="en-GB"/>
        </w:rPr>
      </w:pPr>
    </w:p>
    <w:p w14:paraId="39A62A5F" w14:textId="01F2E9F5" w:rsidR="000C789E" w:rsidRPr="000C789E" w:rsidRDefault="000C789E" w:rsidP="000C789E">
      <w:pPr>
        <w:pStyle w:val="Body"/>
        <w:spacing w:after="0"/>
        <w:rPr>
          <w:rFonts w:ascii="Arial" w:hAnsi="Arial" w:cs="Arial"/>
          <w:lang w:val="en-GB"/>
        </w:rPr>
      </w:pPr>
      <w:commentRangeStart w:id="5"/>
      <w:r>
        <w:rPr>
          <w:rFonts w:ascii="Arial" w:hAnsi="Arial" w:cs="Arial"/>
          <w:b/>
          <w:bCs/>
          <w:i/>
          <w:iCs/>
          <w:lang w:val="en-GB"/>
        </w:rPr>
        <w:t xml:space="preserve">3.6 </w:t>
      </w:r>
      <w:r w:rsidRPr="000C789E">
        <w:rPr>
          <w:rFonts w:ascii="Arial" w:hAnsi="Arial" w:cs="Arial"/>
          <w:b/>
          <w:bCs/>
          <w:i/>
          <w:iCs/>
          <w:lang w:val="en-GB"/>
        </w:rPr>
        <w:t>Discussion</w:t>
      </w:r>
      <w:commentRangeEnd w:id="5"/>
      <w:r w:rsidR="001A727F">
        <w:rPr>
          <w:rStyle w:val="ReferensiKomentar"/>
          <w:rFonts w:ascii="Times New Roman" w:hAnsi="Times New Roman"/>
          <w:lang w:val="nb-NO" w:eastAsia="nb-NO"/>
        </w:rPr>
        <w:commentReference w:id="5"/>
      </w:r>
    </w:p>
    <w:p w14:paraId="3E3B770D" w14:textId="791A4578" w:rsidR="000C789E" w:rsidRPr="000C789E" w:rsidRDefault="000C789E" w:rsidP="00960522">
      <w:pPr>
        <w:pStyle w:val="Body"/>
        <w:spacing w:before="240" w:after="0"/>
        <w:rPr>
          <w:rFonts w:ascii="Arial" w:hAnsi="Arial" w:cs="Arial"/>
          <w:lang w:val="en-GB"/>
        </w:rPr>
      </w:pPr>
      <w:r w:rsidRPr="000C789E">
        <w:rPr>
          <w:rFonts w:ascii="Arial" w:hAnsi="Arial" w:cs="Arial"/>
          <w:lang w:val="en-GB"/>
        </w:rPr>
        <w:t>A total of 104,557 women of reproductive age were included in the analysis. The respondents had a weighted mean age of 36.0 ± 7.7 years and a weighted mean parity of 5.6 ± 2.7 children. Half of the respondents (50.1%) had no formal education, while 26.7% had secondary education, 14.5% had primary education, and 8.6% had higher education. By wealth status, 23.5% belonged to the poorest quintile, 22.5% to the poorer quintile, 20.6% to the middle quintile, 18.3% to the richer quintile, and 15.1% to the richest quintile. Most respondents lived in rural areas (59.8%), were Muslim (67.3%), and were currently married (89.8%). In addition, 66.0% were currently working. Media exposure was generally low for newspapers, with 93.5% reporting no newspaper or magazine exposure, while 55.3% reported no radio exposure and 64.8% reported no television exposure.</w:t>
      </w:r>
    </w:p>
    <w:p w14:paraId="0A5301A5"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Weighted prevalence estimates showed that 79.9% of women were not using any contraceptive method, 4.7% were using a traditional/folkloric method, and 15.5% were using a modern contraceptive method.</w:t>
      </w:r>
    </w:p>
    <w:p w14:paraId="2D72DB34"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Bivariate cross-tabulations showed that current contraceptive-use category varied significantly across all explanatory variables. The strongest gradients were observed for education, household wealth, place of residence, religion, media exposure, and current working status.</w:t>
      </w:r>
    </w:p>
    <w:p w14:paraId="2A501F93"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There was a clear educational gradient in contraceptive use. Modern contraceptive use increased from 7.4% among women with no education to 17.1% among those with primary education, 24.6% among those with secondary education, and 31.5% among those with higher education. Similarly, non-use declined steadily from 91.3% among women with no education to 55.1% among women with higher education.</w:t>
      </w:r>
    </w:p>
    <w:p w14:paraId="5ED82164"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A similar pattern was found for wealth. Modern contraceptive use rose from 5.5% among women in the poorest quintile to 30.1% among women in the richest quintile, while non-use fell from 93.7% to 57.4% across the same wealth categories.</w:t>
      </w:r>
    </w:p>
    <w:p w14:paraId="07091BF6" w14:textId="4751020E"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Place of residence was also strongly associated with contraceptive behaviour. Women living in urban areas had a much higher prevalence of modern contraceptive use (22.5%) than those in rural areas (10.8%), while non-use was higher in rural areas (86.4%) than in urban areas </w:t>
      </w:r>
      <w:r w:rsidRPr="000C789E">
        <w:rPr>
          <w:rFonts w:ascii="Arial" w:hAnsi="Arial" w:cs="Arial"/>
          <w:lang w:val="en-GB"/>
        </w:rPr>
        <w:lastRenderedPageBreak/>
        <w:t>(70.1%).</w:t>
      </w:r>
      <w:r w:rsidR="00960522">
        <w:rPr>
          <w:rFonts w:ascii="Arial" w:hAnsi="Arial" w:cs="Arial"/>
          <w:lang w:val="en-GB"/>
        </w:rPr>
        <w:t xml:space="preserve"> </w:t>
      </w:r>
      <w:r w:rsidRPr="000C789E">
        <w:rPr>
          <w:rFonts w:ascii="Arial" w:hAnsi="Arial" w:cs="Arial"/>
          <w:lang w:val="en-GB"/>
        </w:rPr>
        <w:t>Religious differences were evident. Modern contraceptive use was 25.3% among other Christian women and 22.5% among Catholic women, compared with 11.1% among Muslim women. Traditional/folkloric method use was particularly high among respondents in the “other religion” category (33.5%), although this group represented a very small proportion of the sample.</w:t>
      </w:r>
      <w:r w:rsidR="00960522">
        <w:rPr>
          <w:rFonts w:ascii="Arial" w:hAnsi="Arial" w:cs="Arial"/>
          <w:lang w:val="en-GB"/>
        </w:rPr>
        <w:t xml:space="preserve"> </w:t>
      </w:r>
      <w:r w:rsidRPr="000C789E">
        <w:rPr>
          <w:rFonts w:ascii="Arial" w:hAnsi="Arial" w:cs="Arial"/>
          <w:lang w:val="en-GB"/>
        </w:rPr>
        <w:t>Marital status was significantly associated with contraceptive-use category. Women living with a partner had the highest proportion of modern contraceptive use (23.8%), while widowed women (7.8%) and divorced women (5.5%) had lower modern-method use. Among married women, 15.6% were using a modern method.</w:t>
      </w:r>
      <w:r w:rsidR="00960522">
        <w:rPr>
          <w:rFonts w:ascii="Arial" w:hAnsi="Arial" w:cs="Arial"/>
          <w:lang w:val="en-GB"/>
        </w:rPr>
        <w:t xml:space="preserve"> </w:t>
      </w:r>
      <w:r w:rsidRPr="000C789E">
        <w:rPr>
          <w:rFonts w:ascii="Arial" w:hAnsi="Arial" w:cs="Arial"/>
          <w:lang w:val="en-GB"/>
        </w:rPr>
        <w:t>Media exposure showed a positive relationship with contraceptive use. Modern contraceptive use was higher among women exposed to newspapers, radio, and television than among women with no exposure. For example, modern-method use was 29.2% among women who read newspapers less than once a week, compared with 14.6% among those who did not read newspapers at all. Likewise, modern contraceptive use was 22.6% among women who listened to the radio at least once a week, compared with 10.1% among those with no radio exposure, and 28.3% among women who watched television at least once a week, compared with 9.4% among those with no television exposure.</w:t>
      </w:r>
      <w:r w:rsidR="00960522">
        <w:rPr>
          <w:rFonts w:ascii="Arial" w:hAnsi="Arial" w:cs="Arial"/>
          <w:lang w:val="en-GB"/>
        </w:rPr>
        <w:t xml:space="preserve"> </w:t>
      </w:r>
      <w:r w:rsidRPr="000C789E">
        <w:rPr>
          <w:rFonts w:ascii="Arial" w:hAnsi="Arial" w:cs="Arial"/>
          <w:lang w:val="en-GB"/>
        </w:rPr>
        <w:t>Employment status was also associated with contraceptive behaviour. Modern contraceptive use was 18.6% among women who were currently working, compared with 9.4% among those not working. Non-use was correspondingly higher among women who were not currently working (88.6%) than among those who were working (75.3%).</w:t>
      </w:r>
    </w:p>
    <w:p w14:paraId="03826C7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Overall, the bivariate analysis indicates that contraceptive use was socially patterned, with higher uptake of modern methods among women who were more educated, wealthier, urban, Christian, more exposed to mass media, and currently employed.</w:t>
      </w:r>
    </w:p>
    <w:p w14:paraId="3D86ABCB" w14:textId="64ED62A3"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Survey-adjusted Rao–Scott chi-square tests indicated that current contraceptive-use category differed significantly across all categorical explanatory variables. Significant associations were found for educational level </w:t>
      </w:r>
      <m:oMath>
        <m:r>
          <m:rPr>
            <m:sty m:val="p"/>
          </m:rPr>
          <w:rPr>
            <w:rFonts w:ascii="Cambria Math" w:hAnsi="Cambria Math" w:cs="Arial"/>
            <w:lang w:val="en-GB"/>
          </w:rPr>
          <m:t>F(5.01,6527.45)=212.13,p&lt;0.001</m:t>
        </m:r>
      </m:oMath>
      <w:r w:rsidRPr="000C789E">
        <w:rPr>
          <w:rFonts w:ascii="Arial" w:hAnsi="Arial" w:cs="Arial"/>
          <w:lang w:val="en-GB"/>
        </w:rPr>
        <w:t xml:space="preserve">, household wealth quintile </w:t>
      </w:r>
      <m:oMath>
        <m:r>
          <m:rPr>
            <m:sty m:val="p"/>
          </m:rPr>
          <w:rPr>
            <w:rFonts w:ascii="Cambria Math" w:hAnsi="Cambria Math" w:cs="Arial"/>
            <w:lang w:val="en-GB"/>
          </w:rPr>
          <m:t>F(7.34,9565.74)=152.87,p&lt;0.001</m:t>
        </m:r>
      </m:oMath>
      <w:r w:rsidRPr="000C789E">
        <w:rPr>
          <w:rFonts w:ascii="Arial" w:hAnsi="Arial" w:cs="Arial"/>
          <w:lang w:val="en-GB"/>
        </w:rPr>
        <w:t xml:space="preserve">, place of residence </w:t>
      </w:r>
      <m:oMath>
        <m:r>
          <m:rPr>
            <m:sty m:val="p"/>
          </m:rPr>
          <w:rPr>
            <w:rFonts w:ascii="Cambria Math" w:hAnsi="Cambria Math" w:cs="Arial"/>
            <w:lang w:val="en-GB"/>
          </w:rPr>
          <m:t>F(1.73,2253.47)=164.10,p&lt;0.001</m:t>
        </m:r>
      </m:oMath>
      <w:r w:rsidRPr="000C789E">
        <w:rPr>
          <w:rFonts w:ascii="Arial" w:hAnsi="Arial" w:cs="Arial"/>
          <w:lang w:val="en-GB"/>
        </w:rPr>
        <w:t xml:space="preserve">, religion </w:t>
      </w:r>
      <m:oMath>
        <m:r>
          <m:rPr>
            <m:sty m:val="p"/>
          </m:rPr>
          <w:rPr>
            <w:rFonts w:ascii="Cambria Math" w:hAnsi="Cambria Math" w:cs="Arial"/>
            <w:lang w:val="en-GB"/>
          </w:rPr>
          <m:t>F(5.92,7714.65)=127.91,p&lt;0.001</m:t>
        </m:r>
      </m:oMath>
      <w:r w:rsidRPr="000C789E">
        <w:rPr>
          <w:rFonts w:ascii="Arial" w:hAnsi="Arial" w:cs="Arial"/>
          <w:lang w:val="en-GB"/>
        </w:rPr>
        <w:t xml:space="preserve">, marital status </w:t>
      </w:r>
      <m:oMath>
        <m:r>
          <m:rPr>
            <m:sty m:val="p"/>
          </m:rPr>
          <w:rPr>
            <w:rFonts w:ascii="Cambria Math" w:hAnsi="Cambria Math" w:cs="Arial"/>
            <w:lang w:val="en-GB"/>
          </w:rPr>
          <m:t>F(8.65,11278.59)=13.43,p&lt;0.001</m:t>
        </m:r>
      </m:oMath>
      <w:r w:rsidRPr="000C789E">
        <w:rPr>
          <w:rFonts w:ascii="Arial" w:hAnsi="Arial" w:cs="Arial"/>
          <w:lang w:val="en-GB"/>
        </w:rPr>
        <w:t xml:space="preserve">, frequency of reading newspapers/magazines </w:t>
      </w:r>
      <m:oMath>
        <m:r>
          <m:rPr>
            <m:sty m:val="p"/>
          </m:rPr>
          <w:rPr>
            <w:rFonts w:ascii="Cambria Math" w:hAnsi="Cambria Math" w:cs="Arial"/>
            <w:lang w:val="en-GB"/>
          </w:rPr>
          <m:t>F(3.78,4927.20)=96.81,p&lt;0.001</m:t>
        </m:r>
      </m:oMath>
      <w:r w:rsidRPr="000C789E">
        <w:rPr>
          <w:rFonts w:ascii="Arial" w:hAnsi="Arial" w:cs="Arial"/>
          <w:lang w:val="en-GB"/>
        </w:rPr>
        <w:t xml:space="preserve">, frequency of listening to radio </w:t>
      </w:r>
      <m:oMath>
        <m:r>
          <m:rPr>
            <m:sty m:val="p"/>
          </m:rPr>
          <w:rPr>
            <w:rFonts w:ascii="Cambria Math" w:hAnsi="Cambria Math" w:cs="Arial"/>
            <w:lang w:val="en-GB"/>
          </w:rPr>
          <m:t>F(3.69,4811.30)=137.98,p&lt;0.001</m:t>
        </m:r>
      </m:oMath>
      <w:r w:rsidRPr="000C789E">
        <w:rPr>
          <w:rFonts w:ascii="Arial" w:hAnsi="Arial" w:cs="Arial"/>
          <w:lang w:val="en-GB"/>
        </w:rPr>
        <w:t xml:space="preserve">, frequency of watching television </w:t>
      </w:r>
      <m:oMath>
        <m:r>
          <m:rPr>
            <m:sty m:val="p"/>
          </m:rPr>
          <w:rPr>
            <w:rFonts w:ascii="Cambria Math" w:hAnsi="Cambria Math" w:cs="Arial"/>
            <w:lang w:val="en-GB"/>
          </w:rPr>
          <m:t>F(3.67,4785.98)=258.33,p&lt;0.001</m:t>
        </m:r>
      </m:oMath>
      <w:r w:rsidRPr="000C789E">
        <w:rPr>
          <w:rFonts w:ascii="Arial" w:hAnsi="Arial" w:cs="Arial"/>
          <w:lang w:val="en-GB"/>
        </w:rPr>
        <w:t xml:space="preserve">, and current working status </w:t>
      </w:r>
      <m:oMath>
        <m:r>
          <m:rPr>
            <m:sty m:val="p"/>
          </m:rPr>
          <w:rPr>
            <w:rFonts w:ascii="Cambria Math" w:hAnsi="Cambria Math" w:cs="Arial"/>
            <w:lang w:val="en-GB"/>
          </w:rPr>
          <m:t>F(1.87,2442.13)=132.50,p&lt;0.001</m:t>
        </m:r>
      </m:oMath>
      <w:r w:rsidRPr="000C789E">
        <w:rPr>
          <w:rFonts w:ascii="Arial" w:hAnsi="Arial" w:cs="Arial"/>
          <w:lang w:val="en-GB"/>
        </w:rPr>
        <w:t xml:space="preserve">. These findings indicate that contraceptive behaviour was significantly patterned by respondents’ socioeconomic characteristics, religion, media exposure, and employment status. </w:t>
      </w:r>
    </w:p>
    <w:p w14:paraId="32BD1AAA" w14:textId="0DDAB7DF" w:rsidR="000C789E" w:rsidRPr="000C789E" w:rsidRDefault="000C789E" w:rsidP="000C789E">
      <w:pPr>
        <w:pStyle w:val="Body"/>
        <w:spacing w:after="0"/>
        <w:rPr>
          <w:rFonts w:ascii="Arial" w:hAnsi="Arial" w:cs="Arial"/>
          <w:lang w:val="en-GB"/>
        </w:rPr>
      </w:pPr>
      <w:r w:rsidRPr="000C789E">
        <w:rPr>
          <w:rFonts w:ascii="Arial" w:hAnsi="Arial" w:cs="Arial"/>
          <w:lang w:val="en-GB"/>
        </w:rPr>
        <w:t>A multinomial logistic regression model was fitted with non-use of contraception as the reference outcome. The model assessed the association between contraceptive-use category and age, education, household wealth, place of residence, religion, marital status, parity, media exposure, and current working status. The overall model was statistically significant (likelihood ratio test p &lt; 0.001) and showed acceptable explanatory power (Pseudo R² = 0.120; log-likelihood = -58,994).</w:t>
      </w:r>
    </w:p>
    <w:p w14:paraId="1BB4C50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Compared with women with no education, women with primary, secondary, and higher education had significantly higher relative risks of using a traditional/folkloric method rather than not using contraception. The magnitude of association increased with educational attainment, with the highest relative risk observed among women with higher education (aRRR = 3.35; 95% CI: 2.93–3.83).</w:t>
      </w:r>
    </w:p>
    <w:p w14:paraId="00F6514B"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A strong wealth gradient was also observed. Relative to women in the poorest wealth quintile, those in the poorer, middle, richer, and richest quintiles were significantly more likely to use traditional methods, with women in the richest quintile having the highest relative risk (aRRR = 6.58; 95% CI: 5.51–7.86).</w:t>
      </w:r>
    </w:p>
    <w:p w14:paraId="049957E2"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Age was inversely associated with traditional-method use, while total children ever born was positively associated with it. Religion was an important determinant: compared with Muslim women, Catholic women, other Christian women, and traditionalists were significantly more likely to use traditional/folkloric methods. Women who were never in union, widowed, divorced, or separated had significantly lower relative risks of traditional-method use than married </w:t>
      </w:r>
      <w:r w:rsidRPr="000C789E">
        <w:rPr>
          <w:rFonts w:ascii="Arial" w:hAnsi="Arial" w:cs="Arial"/>
          <w:lang w:val="en-GB"/>
        </w:rPr>
        <w:lastRenderedPageBreak/>
        <w:t>women. Radio exposure and current employment were positively associated with traditional-method use, whereas frequent television exposure was associated with lower relative risk.</w:t>
      </w:r>
    </w:p>
    <w:p w14:paraId="09CD1DF9"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3.4 Determinants of modern contraceptive use</w:t>
      </w:r>
    </w:p>
    <w:p w14:paraId="1D038028"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Education was also strongly associated with modern contraceptive use. Compared with women with no education, those with primary, secondary, and higher education had significantly higher relative risks of using a modern method rather than no method. Women with higher education had more than twice the relative risk of modern-method use (aRRR = 2.15; 95% CI: 1.99–2.32).</w:t>
      </w:r>
    </w:p>
    <w:p w14:paraId="2A58368F"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Household wealth showed a clear dose-response pattern for modern-method use. Compared with women in the poorest quintile, those in the richest quintile had more than twice the relative risk of modern contraceptive use (aRRR = 2.41; 95% CI: 2.21–2.62).</w:t>
      </w:r>
    </w:p>
    <w:p w14:paraId="1531E89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Each additional child ever born increased the relative risk of modern-method use by 6%. Rural residence was associated with lower modern contraceptive use (aRRR = 0.90; 95% CI: 0.86–0.94), indicating a geographic disparity in uptake of modern methods. Compared with Muslim women, Catholic women, other Christian women, and traditionalists were significantly more likely to use modern methods. Women who were never in union, widowed, divorced, or separated were less likely than married women to use modern contraception. Radio exposure, television exposure, and current employment were all positively associated with modern-method use.</w:t>
      </w:r>
    </w:p>
    <w:p w14:paraId="52A481D8" w14:textId="77777777" w:rsidR="00E053D0" w:rsidRDefault="00E053D0" w:rsidP="00441B6F">
      <w:pPr>
        <w:pStyle w:val="Body"/>
        <w:spacing w:after="0"/>
        <w:rPr>
          <w:rFonts w:ascii="Arial" w:hAnsi="Arial" w:cs="Arial"/>
        </w:rPr>
      </w:pPr>
    </w:p>
    <w:p w14:paraId="458CF1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105F92" w14:textId="77777777" w:rsidR="00790ADA" w:rsidRPr="00FB3A86" w:rsidRDefault="00790ADA" w:rsidP="00441B6F">
      <w:pPr>
        <w:pStyle w:val="ConcHead"/>
        <w:spacing w:after="0"/>
        <w:jc w:val="both"/>
        <w:rPr>
          <w:rFonts w:ascii="Arial" w:hAnsi="Arial" w:cs="Arial"/>
        </w:rPr>
      </w:pPr>
    </w:p>
    <w:p w14:paraId="61E4110B" w14:textId="77777777" w:rsidR="00960522" w:rsidRPr="00960522" w:rsidRDefault="00960522" w:rsidP="00960522">
      <w:pPr>
        <w:pStyle w:val="Body"/>
        <w:spacing w:after="0"/>
        <w:rPr>
          <w:rFonts w:ascii="Arial" w:hAnsi="Arial" w:cs="Arial"/>
          <w:lang w:val="en-GB"/>
        </w:rPr>
      </w:pPr>
      <w:r w:rsidRPr="00960522">
        <w:rPr>
          <w:rFonts w:ascii="Arial" w:hAnsi="Arial" w:cs="Arial"/>
          <w:lang w:val="en-GB"/>
        </w:rPr>
        <w:t>Current contraceptive use among women of reproductive age in Nigeria remains low, with non-use still predominant. Contraceptive behaviour was significantly associated with education, household wealth, parity, religion, media exposure, employment status, and place of residence. Modern contraceptive use was lower among rural women, indicating persistent geographic and socioeconomic inequalities in access to effective family-planning methods. These findings suggest that both structural disadvantage and unequal access to information and services continue to shape contraceptive uptake in Nigeria.</w:t>
      </w:r>
    </w:p>
    <w:p w14:paraId="056EAFFC" w14:textId="32C2B072" w:rsidR="00960522" w:rsidRPr="00960522" w:rsidRDefault="005157E4" w:rsidP="00960522">
      <w:pPr>
        <w:pStyle w:val="Body"/>
        <w:spacing w:after="0"/>
        <w:rPr>
          <w:rFonts w:ascii="Arial" w:hAnsi="Arial" w:cs="Arial"/>
          <w:b/>
          <w:bCs/>
          <w:i/>
          <w:iCs/>
          <w:lang w:val="en-GB"/>
        </w:rPr>
      </w:pPr>
      <w:r w:rsidRPr="005157E4">
        <w:rPr>
          <w:rFonts w:ascii="Arial" w:hAnsi="Arial" w:cs="Arial"/>
          <w:b/>
          <w:bCs/>
          <w:i/>
          <w:iCs/>
          <w:lang w:val="en-GB"/>
        </w:rPr>
        <w:t xml:space="preserve">4.1 </w:t>
      </w:r>
      <w:r w:rsidR="00960522" w:rsidRPr="00960522">
        <w:rPr>
          <w:rFonts w:ascii="Arial" w:hAnsi="Arial" w:cs="Arial"/>
          <w:b/>
          <w:bCs/>
          <w:i/>
          <w:iCs/>
          <w:lang w:val="en-GB"/>
        </w:rPr>
        <w:t>Recommendations</w:t>
      </w:r>
    </w:p>
    <w:p w14:paraId="026219FD" w14:textId="77777777" w:rsidR="00960522" w:rsidRPr="00960522" w:rsidRDefault="00960522" w:rsidP="00960522">
      <w:pPr>
        <w:pStyle w:val="Body"/>
        <w:spacing w:after="0"/>
        <w:rPr>
          <w:rFonts w:ascii="Arial" w:hAnsi="Arial" w:cs="Arial"/>
          <w:lang w:val="en-GB"/>
        </w:rPr>
      </w:pPr>
      <w:r w:rsidRPr="00960522">
        <w:rPr>
          <w:rFonts w:ascii="Arial" w:hAnsi="Arial" w:cs="Arial"/>
          <w:lang w:val="en-GB"/>
        </w:rPr>
        <w:t>Family-planning interventions should prioritize women who are poorer, less educated, rural, and less exposed to mass media. Expanding access to modern contraceptive services in underserved rural areas, strengthening media-based family-planning communication, and promoting female education and economic empowerment may improve uptake. Community- and faith-sensitive approaches should also be integrated into programme design to improve acceptability and reach. Further research should apply fully survey-adjusted multinomial models and explore community- and service-level factors influencing contraceptive behaviour.</w:t>
      </w:r>
    </w:p>
    <w:p w14:paraId="05FB2BB0" w14:textId="77777777" w:rsidR="00790ADA" w:rsidRPr="00FB3A86" w:rsidRDefault="00790ADA" w:rsidP="00441B6F">
      <w:pPr>
        <w:pStyle w:val="Body"/>
        <w:spacing w:after="0"/>
        <w:rPr>
          <w:rFonts w:ascii="Arial" w:hAnsi="Arial" w:cs="Arial"/>
        </w:rPr>
      </w:pPr>
    </w:p>
    <w:p w14:paraId="1F5DCEA6" w14:textId="77777777" w:rsidR="005F4DAC" w:rsidRDefault="005F4DAC" w:rsidP="005F4DAC">
      <w:pPr>
        <w:pStyle w:val="ReferHead"/>
        <w:spacing w:after="0"/>
        <w:jc w:val="both"/>
        <w:rPr>
          <w:rFonts w:ascii="Arial" w:hAnsi="Arial" w:cs="Arial"/>
          <w:b w:val="0"/>
          <w:caps w:val="0"/>
          <w:sz w:val="20"/>
        </w:rPr>
      </w:pPr>
    </w:p>
    <w:p w14:paraId="714BFC89" w14:textId="1317A992" w:rsidR="00B01FCD" w:rsidRDefault="00B01FCD" w:rsidP="00441B6F">
      <w:pPr>
        <w:pStyle w:val="ReferHead"/>
        <w:spacing w:after="0"/>
        <w:jc w:val="both"/>
        <w:rPr>
          <w:rFonts w:ascii="Arial" w:hAnsi="Arial" w:cs="Arial"/>
        </w:rPr>
      </w:pPr>
      <w:commentRangeStart w:id="6"/>
      <w:r w:rsidRPr="00FB3A86">
        <w:rPr>
          <w:rFonts w:ascii="Arial" w:hAnsi="Arial" w:cs="Arial"/>
        </w:rPr>
        <w:t>References</w:t>
      </w:r>
      <w:commentRangeEnd w:id="6"/>
      <w:r w:rsidR="001A727F">
        <w:rPr>
          <w:rStyle w:val="ReferensiKomentar"/>
          <w:rFonts w:ascii="Times New Roman" w:hAnsi="Times New Roman"/>
          <w:b w:val="0"/>
          <w:caps w:val="0"/>
          <w:lang w:val="nb-NO" w:eastAsia="nb-NO"/>
        </w:rPr>
        <w:commentReference w:id="6"/>
      </w:r>
    </w:p>
    <w:p w14:paraId="0B23F99A" w14:textId="77777777" w:rsidR="00790ADA" w:rsidRPr="00FB3A86" w:rsidRDefault="00790ADA" w:rsidP="00441B6F">
      <w:pPr>
        <w:pStyle w:val="ReferHead"/>
        <w:spacing w:after="0"/>
        <w:jc w:val="both"/>
        <w:rPr>
          <w:rFonts w:ascii="Arial" w:hAnsi="Arial" w:cs="Arial"/>
        </w:rPr>
      </w:pPr>
    </w:p>
    <w:p w14:paraId="3498D02C" w14:textId="77777777" w:rsidR="005157E4" w:rsidRPr="005157E4" w:rsidRDefault="005157E4" w:rsidP="005157E4">
      <w:pPr>
        <w:pStyle w:val="Body"/>
        <w:spacing w:after="0"/>
        <w:rPr>
          <w:lang w:val="en-GB"/>
        </w:rPr>
      </w:pPr>
      <w:r w:rsidRPr="005157E4">
        <w:rPr>
          <w:lang w:val="en-GB"/>
        </w:rPr>
        <w:t xml:space="preserve">Abubakar, I. B., &amp; Abubakar, H. B. (2024). </w:t>
      </w:r>
      <w:r w:rsidRPr="005157E4">
        <w:rPr>
          <w:i/>
          <w:iCs/>
          <w:lang w:val="en-GB"/>
        </w:rPr>
        <w:t>Nigerian women’s modern contraceptive use: Evidence from NDHS 2018</w:t>
      </w:r>
      <w:r w:rsidRPr="005157E4">
        <w:rPr>
          <w:lang w:val="en-GB"/>
        </w:rPr>
        <w:t>. Reproduction and Fertility, 5(2), e230063.</w:t>
      </w:r>
    </w:p>
    <w:p w14:paraId="6576FF6C" w14:textId="77777777" w:rsidR="005157E4" w:rsidRPr="005157E4" w:rsidRDefault="005157E4" w:rsidP="005157E4">
      <w:pPr>
        <w:pStyle w:val="Body"/>
        <w:spacing w:after="0"/>
        <w:rPr>
          <w:lang w:val="en-GB"/>
        </w:rPr>
      </w:pPr>
      <w:r w:rsidRPr="005157E4">
        <w:rPr>
          <w:lang w:val="en-GB"/>
        </w:rPr>
        <w:t xml:space="preserve">Ayo-Bello, O., &amp; Quinn-Walker, N. (2025). </w:t>
      </w:r>
      <w:r w:rsidRPr="005157E4">
        <w:rPr>
          <w:i/>
          <w:iCs/>
          <w:lang w:val="en-GB"/>
        </w:rPr>
        <w:t>Factors associated with modern contraceptives use in Nigerian women: A systematic review of quantitative studies</w:t>
      </w:r>
      <w:r w:rsidRPr="005157E4">
        <w:rPr>
          <w:lang w:val="en-GB"/>
        </w:rPr>
        <w:t>. Discover Public Health, 22, 300.</w:t>
      </w:r>
    </w:p>
    <w:p w14:paraId="2131D177" w14:textId="77777777" w:rsidR="005157E4" w:rsidRPr="005157E4" w:rsidRDefault="005157E4" w:rsidP="005157E4">
      <w:pPr>
        <w:pStyle w:val="Body"/>
        <w:spacing w:after="0"/>
        <w:rPr>
          <w:lang w:val="en-GB"/>
        </w:rPr>
      </w:pPr>
      <w:r w:rsidRPr="005157E4">
        <w:rPr>
          <w:lang w:val="en-GB"/>
        </w:rPr>
        <w:t xml:space="preserve">Bolarinwa, O. A. (2024). </w:t>
      </w:r>
      <w:r w:rsidRPr="005157E4">
        <w:rPr>
          <w:i/>
          <w:iCs/>
          <w:lang w:val="en-GB"/>
        </w:rPr>
        <w:t>Inequality gaps in modern contraceptive use and associated factors among women of reproductive age in Nigeria between 2003 and 2018</w:t>
      </w:r>
      <w:r w:rsidRPr="005157E4">
        <w:rPr>
          <w:lang w:val="en-GB"/>
        </w:rPr>
        <w:t>. BMC Women’s Health, 24, 317.</w:t>
      </w:r>
    </w:p>
    <w:p w14:paraId="0F3D860B" w14:textId="77777777" w:rsidR="005157E4" w:rsidRPr="005157E4" w:rsidRDefault="005157E4" w:rsidP="005157E4">
      <w:pPr>
        <w:pStyle w:val="Body"/>
        <w:spacing w:after="0"/>
        <w:rPr>
          <w:lang w:val="en-GB"/>
        </w:rPr>
      </w:pPr>
      <w:r w:rsidRPr="005157E4">
        <w:rPr>
          <w:lang w:val="en-GB"/>
        </w:rPr>
        <w:t xml:space="preserve">Bolarinwa, O. A., Tessema, Z. T., Frimpong, J. B., Seidu, A.-A., &amp; Ahinkorah, B. O. (2021). </w:t>
      </w:r>
      <w:r w:rsidRPr="005157E4">
        <w:rPr>
          <w:i/>
          <w:iCs/>
          <w:lang w:val="en-GB"/>
        </w:rPr>
        <w:t>Spatial distribution and factors associated with modern contraceptive use among women of reproductive age in Nigeria: A multilevel analysis</w:t>
      </w:r>
      <w:r w:rsidRPr="005157E4">
        <w:rPr>
          <w:lang w:val="en-GB"/>
        </w:rPr>
        <w:t>. PLOS ONE, 16(12), e0258844.</w:t>
      </w:r>
    </w:p>
    <w:p w14:paraId="464C163C" w14:textId="77777777" w:rsidR="005157E4" w:rsidRPr="005157E4" w:rsidRDefault="005157E4" w:rsidP="005157E4">
      <w:pPr>
        <w:pStyle w:val="Body"/>
        <w:spacing w:after="0"/>
        <w:rPr>
          <w:lang w:val="en-GB"/>
        </w:rPr>
      </w:pPr>
      <w:r w:rsidRPr="005157E4">
        <w:rPr>
          <w:lang w:val="en-GB"/>
        </w:rPr>
        <w:lastRenderedPageBreak/>
        <w:t xml:space="preserve">Federal Ministry of Health and Social Welfare of Nigeria, National Population Commission (NPC) [Nigeria], &amp; ICF. (2024). </w:t>
      </w:r>
      <w:r w:rsidRPr="005157E4">
        <w:rPr>
          <w:i/>
          <w:iCs/>
          <w:lang w:val="en-GB"/>
        </w:rPr>
        <w:t>Nigeria Demographic and Health Survey 2023–24: Key Indicators Report</w:t>
      </w:r>
      <w:r w:rsidRPr="005157E4">
        <w:rPr>
          <w:lang w:val="en-GB"/>
        </w:rPr>
        <w:t>. Abuja, Nigeria, and Rockville, Maryland, USA: NPC and ICF.</w:t>
      </w:r>
    </w:p>
    <w:p w14:paraId="6FFDC526" w14:textId="77777777" w:rsidR="005157E4" w:rsidRPr="005157E4" w:rsidRDefault="005157E4" w:rsidP="005157E4">
      <w:pPr>
        <w:pStyle w:val="Body"/>
        <w:spacing w:after="0"/>
        <w:rPr>
          <w:lang w:val="en-GB"/>
        </w:rPr>
      </w:pPr>
      <w:r w:rsidRPr="005157E4">
        <w:rPr>
          <w:lang w:val="en-GB"/>
        </w:rPr>
        <w:t xml:space="preserve">Mandal, M., Calhoun, L. M., McGuire, C., &amp; Speizer, I. S. (2022). </w:t>
      </w:r>
      <w:r w:rsidRPr="005157E4">
        <w:rPr>
          <w:i/>
          <w:iCs/>
          <w:lang w:val="en-GB"/>
        </w:rPr>
        <w:t>Using structural equation modeling to examine the influence of family planning social norms on modern contraceptive use in Nigeria</w:t>
      </w:r>
      <w:r w:rsidRPr="005157E4">
        <w:rPr>
          <w:lang w:val="en-GB"/>
        </w:rPr>
        <w:t>. Frontiers in Sociology, 7, 866254.</w:t>
      </w:r>
    </w:p>
    <w:p w14:paraId="75813C56" w14:textId="77777777" w:rsidR="005157E4" w:rsidRPr="005157E4" w:rsidRDefault="005157E4" w:rsidP="005157E4">
      <w:pPr>
        <w:pStyle w:val="Body"/>
        <w:spacing w:after="0"/>
        <w:rPr>
          <w:lang w:val="en-GB"/>
        </w:rPr>
      </w:pPr>
      <w:r w:rsidRPr="005157E4">
        <w:rPr>
          <w:lang w:val="en-GB"/>
        </w:rPr>
        <w:t xml:space="preserve">National Population Commission (NPC) [Nigeria], &amp; ICF. (2019). </w:t>
      </w:r>
      <w:r w:rsidRPr="005157E4">
        <w:rPr>
          <w:i/>
          <w:iCs/>
          <w:lang w:val="en-GB"/>
        </w:rPr>
        <w:t>2018 Nigeria DHS Key Findings</w:t>
      </w:r>
      <w:r w:rsidRPr="005157E4">
        <w:rPr>
          <w:lang w:val="en-GB"/>
        </w:rPr>
        <w:t>. Abuja, Nigeria, and Rockville, Maryland, USA: NPC and ICF.</w:t>
      </w:r>
    </w:p>
    <w:p w14:paraId="79F4A10E" w14:textId="77777777" w:rsidR="005157E4" w:rsidRPr="005157E4" w:rsidRDefault="005157E4" w:rsidP="005157E4">
      <w:pPr>
        <w:pStyle w:val="Body"/>
        <w:spacing w:after="0"/>
        <w:rPr>
          <w:lang w:val="en-GB"/>
        </w:rPr>
      </w:pPr>
      <w:r w:rsidRPr="005157E4">
        <w:rPr>
          <w:lang w:val="en-GB"/>
        </w:rPr>
        <w:t xml:space="preserve">Sanni, O. F., Sanni, A. E., Onyeagwaibe, C. I., Ahamuefula, T., &amp; Akeju, O. P. (2025). </w:t>
      </w:r>
      <w:r w:rsidRPr="005157E4">
        <w:rPr>
          <w:i/>
          <w:iCs/>
          <w:lang w:val="en-GB"/>
        </w:rPr>
        <w:t>A comparative analysis of factors associated with modern contraceptive use among youth in Northern and Southern Nigeria: A cross-sectional population-based survey (2011–2021)</w:t>
      </w:r>
      <w:r w:rsidRPr="005157E4">
        <w:rPr>
          <w:lang w:val="en-GB"/>
        </w:rPr>
        <w:t>. PLOS Global Public Health, 5(6), e0004685.</w:t>
      </w:r>
    </w:p>
    <w:p w14:paraId="38D392FE" w14:textId="77777777" w:rsidR="005157E4" w:rsidRPr="005157E4" w:rsidRDefault="005157E4" w:rsidP="005157E4">
      <w:pPr>
        <w:pStyle w:val="Body"/>
        <w:spacing w:after="0"/>
        <w:rPr>
          <w:lang w:val="en-GB"/>
        </w:rPr>
      </w:pPr>
      <w:r w:rsidRPr="005157E4">
        <w:rPr>
          <w:lang w:val="en-GB"/>
        </w:rPr>
        <w:t xml:space="preserve">World Health Organization. (2025). </w:t>
      </w:r>
      <w:r w:rsidRPr="005157E4">
        <w:rPr>
          <w:i/>
          <w:iCs/>
          <w:lang w:val="en-GB"/>
        </w:rPr>
        <w:t>Family planning/contraception methods</w:t>
      </w:r>
      <w:r w:rsidRPr="005157E4">
        <w:rPr>
          <w:lang w:val="en-GB"/>
        </w:rPr>
        <w:t>.</w:t>
      </w:r>
    </w:p>
    <w:p w14:paraId="74BCD4B7" w14:textId="77777777" w:rsidR="00B01FCD" w:rsidRPr="00FB3A86" w:rsidRDefault="00B01FCD" w:rsidP="005157E4">
      <w:pPr>
        <w:pStyle w:val="Body"/>
        <w:spacing w:after="0"/>
        <w:rPr>
          <w:rFonts w:ascii="Arial" w:hAnsi="Arial" w:cs="Arial"/>
          <w:b/>
        </w:rPr>
      </w:pPr>
    </w:p>
    <w:sectPr w:rsidR="00B01FCD" w:rsidRPr="00FB3A86" w:rsidSect="00346F0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6-04-01T09:30:00Z" w:initials="MOU">
    <w:p w14:paraId="33356608" w14:textId="60AA19CD" w:rsidR="00486439" w:rsidRDefault="00486439">
      <w:pPr>
        <w:pStyle w:val="TeksKomentar"/>
      </w:pPr>
      <w:r>
        <w:rPr>
          <w:rStyle w:val="ReferensiKomentar"/>
        </w:rPr>
        <w:annotationRef/>
      </w:r>
      <w:r w:rsidRPr="00486439">
        <w:t>relative risk ratio is only for cohort studies, whereas in this manuscript the research is cross-sectional</w:t>
      </w:r>
    </w:p>
  </w:comment>
  <w:comment w:id="1" w:author="Microsoft Office User" w:date="2026-04-03T10:08:00Z" w:initials="MOU">
    <w:p w14:paraId="3237765E" w14:textId="77777777" w:rsidR="001F6570" w:rsidRDefault="001F6570" w:rsidP="001F6570">
      <w:pPr>
        <w:pStyle w:val="TeksKomentar"/>
      </w:pPr>
      <w:r>
        <w:rPr>
          <w:rStyle w:val="ReferensiKomentar"/>
        </w:rPr>
        <w:annotationRef/>
      </w:r>
      <w:r>
        <w:t>There is no operational definition of the research variables yet.</w:t>
      </w:r>
    </w:p>
    <w:p w14:paraId="34251960" w14:textId="77777777" w:rsidR="001F6570" w:rsidRDefault="001F6570" w:rsidP="001F6570">
      <w:pPr>
        <w:pStyle w:val="TeksKomentar"/>
      </w:pPr>
      <w:r>
        <w:t>The data source should be detailed with the questionnaire number.</w:t>
      </w:r>
    </w:p>
    <w:p w14:paraId="6237F2EB" w14:textId="48E0FB5A" w:rsidR="00913641" w:rsidRDefault="00913641" w:rsidP="001F6570">
      <w:pPr>
        <w:pStyle w:val="TeksKomentar"/>
      </w:pPr>
      <w:r>
        <w:t>E</w:t>
      </w:r>
      <w:r w:rsidRPr="00913641">
        <w:t>xplain in the methodology of weighted complex survey data analysis</w:t>
      </w:r>
    </w:p>
  </w:comment>
  <w:comment w:id="2" w:author="Microsoft Office User" w:date="2026-04-03T10:22:00Z" w:initials="MOU">
    <w:p w14:paraId="735062D5" w14:textId="5C0AFBFF" w:rsidR="00D9721C" w:rsidRDefault="00D9721C">
      <w:pPr>
        <w:pStyle w:val="TeksKomentar"/>
      </w:pPr>
      <w:r>
        <w:rPr>
          <w:rStyle w:val="ReferensiKomentar"/>
        </w:rPr>
        <w:annotationRef/>
      </w:r>
      <w:r w:rsidRPr="00D9721C">
        <w:t>It is better to explain this test in detail and specifically</w:t>
      </w:r>
    </w:p>
  </w:comment>
  <w:comment w:id="3" w:author="Microsoft Office User" w:date="2026-04-03T10:14:00Z" w:initials="MOU">
    <w:p w14:paraId="53F25D09" w14:textId="77777777" w:rsidR="001F6570" w:rsidRDefault="001F6570">
      <w:pPr>
        <w:pStyle w:val="TeksKomentar"/>
      </w:pPr>
      <w:r>
        <w:rPr>
          <w:rStyle w:val="ReferensiKomentar"/>
        </w:rPr>
        <w:annotationRef/>
      </w:r>
      <w:r w:rsidRPr="001F6570">
        <w:t>Aligning numbers should use right alignment so that units are with units, tens with tens and so on.</w:t>
      </w:r>
    </w:p>
    <w:p w14:paraId="444420EA" w14:textId="77777777" w:rsidR="001F6570" w:rsidRDefault="001F6570">
      <w:pPr>
        <w:pStyle w:val="TeksKomentar"/>
      </w:pPr>
    </w:p>
    <w:p w14:paraId="7F762252" w14:textId="3A4E06FB" w:rsidR="001F6570" w:rsidRDefault="001F6570">
      <w:pPr>
        <w:pStyle w:val="TeksKomentar"/>
      </w:pPr>
      <w:r>
        <w:t>All number of the results</w:t>
      </w:r>
    </w:p>
  </w:comment>
  <w:comment w:id="4" w:author="Microsoft Office User" w:date="2026-04-03T10:13:00Z" w:initials="MOU">
    <w:p w14:paraId="2A7E326E" w14:textId="66C3C554" w:rsidR="001F6570" w:rsidRDefault="001F6570">
      <w:pPr>
        <w:pStyle w:val="TeksKomentar"/>
      </w:pPr>
      <w:r>
        <w:rPr>
          <w:rStyle w:val="ReferensiKomentar"/>
        </w:rPr>
        <w:annotationRef/>
      </w:r>
      <w:r w:rsidRPr="001F6570">
        <w:t>Aligning numbers should use right alignment so that units are with units, tens with tens and so on.</w:t>
      </w:r>
    </w:p>
  </w:comment>
  <w:comment w:id="5" w:author="Microsoft Office User" w:date="2026-04-03T10:20:00Z" w:initials="MOU">
    <w:p w14:paraId="742E1885" w14:textId="366EF196" w:rsidR="001A727F" w:rsidRDefault="001A727F">
      <w:pPr>
        <w:pStyle w:val="TeksKomentar"/>
      </w:pPr>
      <w:r>
        <w:rPr>
          <w:rStyle w:val="ReferensiKomentar"/>
        </w:rPr>
        <w:annotationRef/>
      </w:r>
      <w:r w:rsidRPr="001A727F">
        <w:t>The discussion content is not sharp and in-depth. The discussion content is too statistical, even though there is enough in the results section.</w:t>
      </w:r>
    </w:p>
  </w:comment>
  <w:comment w:id="6" w:author="Microsoft Office User" w:date="2026-04-03T10:18:00Z" w:initials="MOU">
    <w:p w14:paraId="4D3881D6" w14:textId="5A867B1E" w:rsidR="001A727F" w:rsidRDefault="001A727F">
      <w:pPr>
        <w:pStyle w:val="TeksKomentar"/>
      </w:pPr>
      <w:r>
        <w:rPr>
          <w:rStyle w:val="ReferensiKomentar"/>
        </w:rPr>
        <w:annotationRef/>
      </w:r>
      <w:r w:rsidRPr="001A727F">
        <w:t>the reference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56608" w15:done="0"/>
  <w15:commentEx w15:paraId="6237F2EB" w15:done="0"/>
  <w15:commentEx w15:paraId="735062D5" w15:done="0"/>
  <w15:commentEx w15:paraId="7F762252" w15:done="0"/>
  <w15:commentEx w15:paraId="2A7E326E" w15:done="0"/>
  <w15:commentEx w15:paraId="742E1885" w15:done="0"/>
  <w15:commentEx w15:paraId="4D388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7644A" w16cex:dateUtc="2026-04-01T01:30:00Z"/>
  <w16cex:commentExtensible w16cex:durableId="2D7A1027" w16cex:dateUtc="2026-04-03T02:08:00Z"/>
  <w16cex:commentExtensible w16cex:durableId="2D7A137A" w16cex:dateUtc="2026-04-03T02:22:00Z"/>
  <w16cex:commentExtensible w16cex:durableId="2D7A1188" w16cex:dateUtc="2026-04-03T02:14:00Z"/>
  <w16cex:commentExtensible w16cex:durableId="2D7A1141" w16cex:dateUtc="2026-04-03T02:13:00Z"/>
  <w16cex:commentExtensible w16cex:durableId="2D7A12D7" w16cex:dateUtc="2026-04-03T02:20:00Z"/>
  <w16cex:commentExtensible w16cex:durableId="2D7A126C" w16cex:dateUtc="2026-04-03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56608" w16cid:durableId="2D77644A"/>
  <w16cid:commentId w16cid:paraId="6237F2EB" w16cid:durableId="2D7A1027"/>
  <w16cid:commentId w16cid:paraId="735062D5" w16cid:durableId="2D7A137A"/>
  <w16cid:commentId w16cid:paraId="7F762252" w16cid:durableId="2D7A1188"/>
  <w16cid:commentId w16cid:paraId="2A7E326E" w16cid:durableId="2D7A1141"/>
  <w16cid:commentId w16cid:paraId="742E1885" w16cid:durableId="2D7A12D7"/>
  <w16cid:commentId w16cid:paraId="4D3881D6" w16cid:durableId="2D7A1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3F8F" w14:textId="77777777" w:rsidR="008144D0" w:rsidRDefault="008144D0" w:rsidP="00C37E61">
      <w:r>
        <w:separator/>
      </w:r>
    </w:p>
  </w:endnote>
  <w:endnote w:type="continuationSeparator" w:id="0">
    <w:p w14:paraId="59220523" w14:textId="77777777" w:rsidR="008144D0" w:rsidRDefault="008144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3EAD" w14:textId="77777777" w:rsidR="00346F0B" w:rsidRDefault="0034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D4CC" w14:textId="77777777" w:rsidR="00346F0B" w:rsidRDefault="0034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8BAF" w14:textId="77777777" w:rsidR="009E048A" w:rsidRDefault="009E048A">
    <w:pPr>
      <w:pStyle w:val="Footer"/>
      <w:rPr>
        <w:rFonts w:ascii="Arial" w:hAnsi="Arial" w:cs="Arial"/>
        <w:sz w:val="16"/>
      </w:rPr>
    </w:pPr>
  </w:p>
  <w:p w14:paraId="37C9949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561A6E" w14:textId="77777777" w:rsidR="009E048A" w:rsidRDefault="009E048A">
    <w:pPr>
      <w:pStyle w:val="Footer"/>
      <w:rPr>
        <w:rFonts w:ascii="Arial" w:hAnsi="Arial" w:cs="Arial"/>
        <w:sz w:val="16"/>
      </w:rPr>
    </w:pPr>
  </w:p>
  <w:p w14:paraId="4140C2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E2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2C6B" w14:textId="77777777" w:rsidR="008144D0" w:rsidRDefault="008144D0" w:rsidP="00C37E61">
      <w:r>
        <w:separator/>
      </w:r>
    </w:p>
  </w:footnote>
  <w:footnote w:type="continuationSeparator" w:id="0">
    <w:p w14:paraId="14BA886F" w14:textId="77777777" w:rsidR="008144D0" w:rsidRDefault="008144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4524" w14:textId="156C0C73" w:rsidR="00346F0B" w:rsidRDefault="008144D0">
    <w:pPr>
      <w:pStyle w:val="Header"/>
    </w:pPr>
    <w:r>
      <w:rPr>
        <w:noProof/>
      </w:rPr>
      <w:pict w14:anchorId="541AE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6"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3D8A" w14:textId="65961B04" w:rsidR="00346F0B" w:rsidRDefault="008144D0">
    <w:pPr>
      <w:pStyle w:val="Header"/>
    </w:pPr>
    <w:r>
      <w:rPr>
        <w:noProof/>
      </w:rPr>
      <w:pict w14:anchorId="117E2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7"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6345" w14:textId="0D544291" w:rsidR="00296529" w:rsidRPr="00296529" w:rsidRDefault="008144D0" w:rsidP="00296529">
    <w:pPr>
      <w:ind w:left="2160"/>
      <w:jc w:val="center"/>
      <w:rPr>
        <w:rFonts w:ascii="Times New Roman" w:eastAsia="Calibri" w:hAnsi="Times New Roman"/>
        <w:i/>
        <w:sz w:val="18"/>
        <w:szCs w:val="22"/>
      </w:rPr>
    </w:pPr>
    <w:r>
      <w:rPr>
        <w:noProof/>
      </w:rPr>
      <w:pict w14:anchorId="61014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5"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2B913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2364A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900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E9CB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2414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BF0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E25C" w14:textId="6B809B25" w:rsidR="00346F0B" w:rsidRDefault="008144D0">
    <w:pPr>
      <w:pStyle w:val="Header"/>
    </w:pPr>
    <w:r>
      <w:rPr>
        <w:noProof/>
      </w:rPr>
      <w:pict w14:anchorId="6CD39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9"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70E7" w14:textId="7D90EBC1" w:rsidR="00346F0B" w:rsidRDefault="008144D0">
    <w:pPr>
      <w:pStyle w:val="Header"/>
    </w:pPr>
    <w:r>
      <w:rPr>
        <w:noProof/>
      </w:rPr>
      <w:pict w14:anchorId="32AFA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20"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507A" w14:textId="27181106" w:rsidR="00346F0B" w:rsidRDefault="008144D0">
    <w:pPr>
      <w:pStyle w:val="Header"/>
    </w:pPr>
    <w:r>
      <w:rPr>
        <w:noProof/>
      </w:rPr>
      <w:pict w14:anchorId="59A3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8"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2C7CAD"/>
    <w:multiLevelType w:val="multilevel"/>
    <w:tmpl w:val="AA3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EF4493"/>
    <w:multiLevelType w:val="multilevel"/>
    <w:tmpl w:val="0FF0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090735"/>
    <w:multiLevelType w:val="multilevel"/>
    <w:tmpl w:val="64D6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51305"/>
    <w:multiLevelType w:val="multilevel"/>
    <w:tmpl w:val="AE7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41CF5"/>
    <w:multiLevelType w:val="multilevel"/>
    <w:tmpl w:val="282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B24CA"/>
    <w:multiLevelType w:val="multilevel"/>
    <w:tmpl w:val="3E18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01F1F70"/>
    <w:multiLevelType w:val="multilevel"/>
    <w:tmpl w:val="6D3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1C671AE"/>
    <w:multiLevelType w:val="multilevel"/>
    <w:tmpl w:val="EED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B0187"/>
    <w:multiLevelType w:val="multilevel"/>
    <w:tmpl w:val="858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0514B1"/>
    <w:multiLevelType w:val="multilevel"/>
    <w:tmpl w:val="09A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CFD7A52"/>
    <w:multiLevelType w:val="multilevel"/>
    <w:tmpl w:val="BC4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33CEE"/>
    <w:multiLevelType w:val="multilevel"/>
    <w:tmpl w:val="8BE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8"/>
  </w:num>
  <w:num w:numId="9">
    <w:abstractNumId w:val="36"/>
  </w:num>
  <w:num w:numId="10">
    <w:abstractNumId w:val="2"/>
  </w:num>
  <w:num w:numId="11">
    <w:abstractNumId w:val="28"/>
  </w:num>
  <w:num w:numId="12">
    <w:abstractNumId w:val="3"/>
  </w:num>
  <w:num w:numId="13">
    <w:abstractNumId w:val="26"/>
  </w:num>
  <w:num w:numId="14">
    <w:abstractNumId w:val="10"/>
  </w:num>
  <w:num w:numId="15">
    <w:abstractNumId w:val="32"/>
  </w:num>
  <w:num w:numId="16">
    <w:abstractNumId w:val="5"/>
  </w:num>
  <w:num w:numId="17">
    <w:abstractNumId w:val="33"/>
  </w:num>
  <w:num w:numId="18">
    <w:abstractNumId w:val="20"/>
  </w:num>
  <w:num w:numId="19">
    <w:abstractNumId w:val="40"/>
  </w:num>
  <w:num w:numId="20">
    <w:abstractNumId w:val="17"/>
  </w:num>
  <w:num w:numId="21">
    <w:abstractNumId w:val="14"/>
  </w:num>
  <w:num w:numId="22">
    <w:abstractNumId w:val="19"/>
  </w:num>
  <w:num w:numId="23">
    <w:abstractNumId w:val="30"/>
  </w:num>
  <w:num w:numId="24">
    <w:abstractNumId w:val="37"/>
  </w:num>
  <w:num w:numId="25">
    <w:abstractNumId w:val="4"/>
  </w:num>
  <w:num w:numId="26">
    <w:abstractNumId w:val="24"/>
  </w:num>
  <w:num w:numId="27">
    <w:abstractNumId w:val="31"/>
  </w:num>
  <w:num w:numId="28">
    <w:abstractNumId w:val="38"/>
  </w:num>
  <w:num w:numId="29">
    <w:abstractNumId w:val="35"/>
  </w:num>
  <w:num w:numId="30">
    <w:abstractNumId w:val="15"/>
  </w:num>
  <w:num w:numId="31">
    <w:abstractNumId w:val="27"/>
  </w:num>
  <w:num w:numId="32">
    <w:abstractNumId w:val="12"/>
  </w:num>
  <w:num w:numId="33">
    <w:abstractNumId w:val="16"/>
  </w:num>
  <w:num w:numId="34">
    <w:abstractNumId w:val="9"/>
  </w:num>
  <w:num w:numId="35">
    <w:abstractNumId w:val="25"/>
  </w:num>
  <w:num w:numId="36">
    <w:abstractNumId w:val="21"/>
  </w:num>
  <w:num w:numId="37">
    <w:abstractNumId w:val="29"/>
  </w:num>
  <w:num w:numId="38">
    <w:abstractNumId w:val="39"/>
  </w:num>
  <w:num w:numId="39">
    <w:abstractNumId w:val="23"/>
  </w:num>
  <w:num w:numId="40">
    <w:abstractNumId w:val="13"/>
  </w:num>
  <w:num w:numId="41">
    <w:abstractNumId w:val="6"/>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789E"/>
    <w:rsid w:val="000D689F"/>
    <w:rsid w:val="000E7B7B"/>
    <w:rsid w:val="000E7D62"/>
    <w:rsid w:val="000F086C"/>
    <w:rsid w:val="00103357"/>
    <w:rsid w:val="00123C9F"/>
    <w:rsid w:val="00125495"/>
    <w:rsid w:val="00126190"/>
    <w:rsid w:val="00130F17"/>
    <w:rsid w:val="001320BF"/>
    <w:rsid w:val="00163BC4"/>
    <w:rsid w:val="00191062"/>
    <w:rsid w:val="00192B72"/>
    <w:rsid w:val="001A29D8"/>
    <w:rsid w:val="001A5CAA"/>
    <w:rsid w:val="001A727F"/>
    <w:rsid w:val="001B0427"/>
    <w:rsid w:val="001D3A51"/>
    <w:rsid w:val="001E10D2"/>
    <w:rsid w:val="001E25B4"/>
    <w:rsid w:val="001E44FE"/>
    <w:rsid w:val="001F6570"/>
    <w:rsid w:val="00200595"/>
    <w:rsid w:val="00204835"/>
    <w:rsid w:val="00231920"/>
    <w:rsid w:val="0023195C"/>
    <w:rsid w:val="0024282C"/>
    <w:rsid w:val="002460DC"/>
    <w:rsid w:val="00250985"/>
    <w:rsid w:val="002556F6"/>
    <w:rsid w:val="002626F5"/>
    <w:rsid w:val="00283105"/>
    <w:rsid w:val="00284C4C"/>
    <w:rsid w:val="00287E68"/>
    <w:rsid w:val="00296529"/>
    <w:rsid w:val="002A3BB9"/>
    <w:rsid w:val="002B27FB"/>
    <w:rsid w:val="002B685A"/>
    <w:rsid w:val="002C57D2"/>
    <w:rsid w:val="002D1678"/>
    <w:rsid w:val="002E0D56"/>
    <w:rsid w:val="00315186"/>
    <w:rsid w:val="0032154D"/>
    <w:rsid w:val="0033343E"/>
    <w:rsid w:val="00346F0B"/>
    <w:rsid w:val="00350D51"/>
    <w:rsid w:val="003512C2"/>
    <w:rsid w:val="00371FB6"/>
    <w:rsid w:val="003763C1"/>
    <w:rsid w:val="00376BBE"/>
    <w:rsid w:val="00385E33"/>
    <w:rsid w:val="0039224F"/>
    <w:rsid w:val="003A43A4"/>
    <w:rsid w:val="003A49BD"/>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439"/>
    <w:rsid w:val="004D305E"/>
    <w:rsid w:val="004D4277"/>
    <w:rsid w:val="00502516"/>
    <w:rsid w:val="00505F06"/>
    <w:rsid w:val="00506828"/>
    <w:rsid w:val="005157E4"/>
    <w:rsid w:val="0053056E"/>
    <w:rsid w:val="00554FDA"/>
    <w:rsid w:val="005C784C"/>
    <w:rsid w:val="005D17F6"/>
    <w:rsid w:val="005E5539"/>
    <w:rsid w:val="005F4DAC"/>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2A9"/>
    <w:rsid w:val="006D30FF"/>
    <w:rsid w:val="006D6940"/>
    <w:rsid w:val="006F11EC"/>
    <w:rsid w:val="0070082C"/>
    <w:rsid w:val="007369E6"/>
    <w:rsid w:val="00746E59"/>
    <w:rsid w:val="00754C9A"/>
    <w:rsid w:val="0075599A"/>
    <w:rsid w:val="00761D52"/>
    <w:rsid w:val="0077749E"/>
    <w:rsid w:val="00790ADA"/>
    <w:rsid w:val="007D2288"/>
    <w:rsid w:val="007E088F"/>
    <w:rsid w:val="007F28C9"/>
    <w:rsid w:val="007F7B32"/>
    <w:rsid w:val="00804BC2"/>
    <w:rsid w:val="0081431A"/>
    <w:rsid w:val="008144D0"/>
    <w:rsid w:val="0083216F"/>
    <w:rsid w:val="00860000"/>
    <w:rsid w:val="00863BD3"/>
    <w:rsid w:val="008641ED"/>
    <w:rsid w:val="00866D66"/>
    <w:rsid w:val="008671C6"/>
    <w:rsid w:val="00875803"/>
    <w:rsid w:val="008B459E"/>
    <w:rsid w:val="008C6FDB"/>
    <w:rsid w:val="008E13AE"/>
    <w:rsid w:val="008E1506"/>
    <w:rsid w:val="008E710C"/>
    <w:rsid w:val="008F69D6"/>
    <w:rsid w:val="00902823"/>
    <w:rsid w:val="00913641"/>
    <w:rsid w:val="00915CA6"/>
    <w:rsid w:val="00927834"/>
    <w:rsid w:val="009500A6"/>
    <w:rsid w:val="00957C18"/>
    <w:rsid w:val="00960522"/>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DDC"/>
    <w:rsid w:val="00AB703F"/>
    <w:rsid w:val="00AC6BB8"/>
    <w:rsid w:val="00AE008F"/>
    <w:rsid w:val="00B01FCD"/>
    <w:rsid w:val="00B1776C"/>
    <w:rsid w:val="00B52583"/>
    <w:rsid w:val="00B52896"/>
    <w:rsid w:val="00B95236"/>
    <w:rsid w:val="00B96BD9"/>
    <w:rsid w:val="00BA1B01"/>
    <w:rsid w:val="00BA2641"/>
    <w:rsid w:val="00BB37AA"/>
    <w:rsid w:val="00BC00DC"/>
    <w:rsid w:val="00BC53A0"/>
    <w:rsid w:val="00BE149E"/>
    <w:rsid w:val="00BE62AD"/>
    <w:rsid w:val="00BF121F"/>
    <w:rsid w:val="00BF1F80"/>
    <w:rsid w:val="00C073B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7435"/>
    <w:rsid w:val="00D74CB0"/>
    <w:rsid w:val="00D8295D"/>
    <w:rsid w:val="00D85D04"/>
    <w:rsid w:val="00D9721C"/>
    <w:rsid w:val="00DC2A65"/>
    <w:rsid w:val="00DD36D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F81"/>
    <w:rsid w:val="00FB3A86"/>
    <w:rsid w:val="00FD36C8"/>
    <w:rsid w:val="00FD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BB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link w:val="Judul1KAR"/>
    <w:uiPriority w:val="9"/>
    <w:qFormat/>
    <w:rsid w:val="00423789"/>
    <w:pPr>
      <w:keepNext/>
      <w:spacing w:before="240" w:after="60"/>
      <w:outlineLvl w:val="0"/>
    </w:pPr>
    <w:rPr>
      <w:rFonts w:ascii="Arial" w:hAnsi="Arial"/>
      <w:b/>
      <w:kern w:val="28"/>
      <w:sz w:val="28"/>
    </w:rPr>
  </w:style>
  <w:style w:type="paragraph" w:styleId="Judul2">
    <w:name w:val="heading 2"/>
    <w:basedOn w:val="Normal"/>
    <w:next w:val="Normal"/>
    <w:link w:val="Judul2KAR"/>
    <w:uiPriority w:val="9"/>
    <w:unhideWhenUsed/>
    <w:qFormat/>
    <w:rsid w:val="00BC00D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Judul3">
    <w:name w:val="heading 3"/>
    <w:basedOn w:val="Normal"/>
    <w:next w:val="Normal"/>
    <w:link w:val="Judul3KAR"/>
    <w:uiPriority w:val="9"/>
    <w:unhideWhenUsed/>
    <w:qFormat/>
    <w:rsid w:val="00BC00D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paragraph" w:styleId="Judul4">
    <w:name w:val="heading 4"/>
    <w:basedOn w:val="Normal"/>
    <w:next w:val="Normal"/>
    <w:link w:val="Judul4KAR"/>
    <w:uiPriority w:val="9"/>
    <w:unhideWhenUsed/>
    <w:qFormat/>
    <w:rsid w:val="00BC00D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14:ligatures w14:val="standardContextual"/>
    </w:rPr>
  </w:style>
  <w:style w:type="paragraph" w:styleId="Judul5">
    <w:name w:val="heading 5"/>
    <w:basedOn w:val="Normal"/>
    <w:next w:val="Normal"/>
    <w:link w:val="Judul5KAR"/>
    <w:uiPriority w:val="9"/>
    <w:semiHidden/>
    <w:unhideWhenUsed/>
    <w:qFormat/>
    <w:rsid w:val="00BC00D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14:ligatures w14:val="standardContextual"/>
    </w:rPr>
  </w:style>
  <w:style w:type="paragraph" w:styleId="Judul6">
    <w:name w:val="heading 6"/>
    <w:basedOn w:val="Normal"/>
    <w:next w:val="Normal"/>
    <w:link w:val="Judul6KAR"/>
    <w:uiPriority w:val="9"/>
    <w:semiHidden/>
    <w:unhideWhenUsed/>
    <w:qFormat/>
    <w:rsid w:val="00BC00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Judul7">
    <w:name w:val="heading 7"/>
    <w:basedOn w:val="Normal"/>
    <w:next w:val="Normal"/>
    <w:link w:val="Judul7KAR"/>
    <w:uiPriority w:val="9"/>
    <w:semiHidden/>
    <w:unhideWhenUsed/>
    <w:qFormat/>
    <w:rsid w:val="00BC00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Judul8">
    <w:name w:val="heading 8"/>
    <w:basedOn w:val="Normal"/>
    <w:next w:val="Normal"/>
    <w:link w:val="Judul8KAR"/>
    <w:uiPriority w:val="9"/>
    <w:semiHidden/>
    <w:unhideWhenUsed/>
    <w:qFormat/>
    <w:rsid w:val="00BC00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Judul9">
    <w:name w:val="heading 9"/>
    <w:basedOn w:val="Normal"/>
    <w:next w:val="Normal"/>
    <w:link w:val="Judul9KAR"/>
    <w:uiPriority w:val="9"/>
    <w:semiHidden/>
    <w:unhideWhenUsed/>
    <w:qFormat/>
    <w:rsid w:val="00BC00D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link w:val="JudulK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uiPriority w:val="99"/>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styleId="SebutanYangBelumTerselesaikan">
    <w:name w:val="Unresolved Mention"/>
    <w:basedOn w:val="FontParagrafDefault"/>
    <w:uiPriority w:val="99"/>
    <w:semiHidden/>
    <w:unhideWhenUsed/>
    <w:rsid w:val="00287E68"/>
    <w:rPr>
      <w:color w:val="605E5C"/>
      <w:shd w:val="clear" w:color="auto" w:fill="E1DFDD"/>
    </w:rPr>
  </w:style>
  <w:style w:type="character" w:customStyle="1" w:styleId="Judul2KAR">
    <w:name w:val="Judul 2 KAR"/>
    <w:basedOn w:val="FontParagrafDefault"/>
    <w:link w:val="Judul2"/>
    <w:uiPriority w:val="9"/>
    <w:rsid w:val="00BC00DC"/>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Judul3KAR">
    <w:name w:val="Judul 3 KAR"/>
    <w:basedOn w:val="FontParagrafDefault"/>
    <w:link w:val="Judul3"/>
    <w:uiPriority w:val="9"/>
    <w:rsid w:val="00BC00DC"/>
    <w:rPr>
      <w:rFonts w:asciiTheme="minorHAnsi" w:eastAsiaTheme="majorEastAsia" w:hAnsiTheme="minorHAnsi" w:cstheme="majorBidi"/>
      <w:color w:val="365F91" w:themeColor="accent1" w:themeShade="BF"/>
      <w:kern w:val="2"/>
      <w:sz w:val="28"/>
      <w:szCs w:val="28"/>
      <w:lang w:val="en-GB"/>
      <w14:ligatures w14:val="standardContextual"/>
    </w:rPr>
  </w:style>
  <w:style w:type="character" w:customStyle="1" w:styleId="Judul4KAR">
    <w:name w:val="Judul 4 KAR"/>
    <w:basedOn w:val="FontParagrafDefault"/>
    <w:link w:val="Judul4"/>
    <w:uiPriority w:val="9"/>
    <w:rsid w:val="00BC00DC"/>
    <w:rPr>
      <w:rFonts w:asciiTheme="minorHAnsi" w:eastAsiaTheme="majorEastAsia" w:hAnsiTheme="minorHAnsi" w:cstheme="majorBidi"/>
      <w:i/>
      <w:iCs/>
      <w:color w:val="365F91" w:themeColor="accent1" w:themeShade="BF"/>
      <w:kern w:val="2"/>
      <w:sz w:val="24"/>
      <w:szCs w:val="24"/>
      <w:lang w:val="en-GB"/>
      <w14:ligatures w14:val="standardContextual"/>
    </w:rPr>
  </w:style>
  <w:style w:type="character" w:customStyle="1" w:styleId="Judul5KAR">
    <w:name w:val="Judul 5 KAR"/>
    <w:basedOn w:val="FontParagrafDefault"/>
    <w:link w:val="Judul5"/>
    <w:uiPriority w:val="9"/>
    <w:semiHidden/>
    <w:rsid w:val="00BC00DC"/>
    <w:rPr>
      <w:rFonts w:asciiTheme="minorHAnsi" w:eastAsiaTheme="majorEastAsia" w:hAnsiTheme="minorHAnsi" w:cstheme="majorBidi"/>
      <w:color w:val="365F91" w:themeColor="accent1" w:themeShade="BF"/>
      <w:kern w:val="2"/>
      <w:sz w:val="24"/>
      <w:szCs w:val="24"/>
      <w:lang w:val="en-GB"/>
      <w14:ligatures w14:val="standardContextual"/>
    </w:rPr>
  </w:style>
  <w:style w:type="character" w:customStyle="1" w:styleId="Judul6KAR">
    <w:name w:val="Judul 6 KAR"/>
    <w:basedOn w:val="FontParagrafDefault"/>
    <w:link w:val="Judul6"/>
    <w:uiPriority w:val="9"/>
    <w:semiHidden/>
    <w:rsid w:val="00BC00DC"/>
    <w:rPr>
      <w:rFonts w:asciiTheme="minorHAnsi" w:eastAsiaTheme="majorEastAsia" w:hAnsiTheme="minorHAnsi" w:cstheme="majorBidi"/>
      <w:i/>
      <w:iCs/>
      <w:color w:val="595959" w:themeColor="text1" w:themeTint="A6"/>
      <w:kern w:val="2"/>
      <w:sz w:val="24"/>
      <w:szCs w:val="24"/>
      <w:lang w:val="en-GB"/>
      <w14:ligatures w14:val="standardContextual"/>
    </w:rPr>
  </w:style>
  <w:style w:type="character" w:customStyle="1" w:styleId="Judul7KAR">
    <w:name w:val="Judul 7 KAR"/>
    <w:basedOn w:val="FontParagrafDefault"/>
    <w:link w:val="Judul7"/>
    <w:uiPriority w:val="9"/>
    <w:semiHidden/>
    <w:rsid w:val="00BC00DC"/>
    <w:rPr>
      <w:rFonts w:asciiTheme="minorHAnsi" w:eastAsiaTheme="majorEastAsia" w:hAnsiTheme="minorHAnsi" w:cstheme="majorBidi"/>
      <w:color w:val="595959" w:themeColor="text1" w:themeTint="A6"/>
      <w:kern w:val="2"/>
      <w:sz w:val="24"/>
      <w:szCs w:val="24"/>
      <w:lang w:val="en-GB"/>
      <w14:ligatures w14:val="standardContextual"/>
    </w:rPr>
  </w:style>
  <w:style w:type="character" w:customStyle="1" w:styleId="Judul8KAR">
    <w:name w:val="Judul 8 KAR"/>
    <w:basedOn w:val="FontParagrafDefault"/>
    <w:link w:val="Judul8"/>
    <w:uiPriority w:val="9"/>
    <w:semiHidden/>
    <w:rsid w:val="00BC00DC"/>
    <w:rPr>
      <w:rFonts w:asciiTheme="minorHAnsi" w:eastAsiaTheme="majorEastAsia" w:hAnsiTheme="minorHAnsi" w:cstheme="majorBidi"/>
      <w:i/>
      <w:iCs/>
      <w:color w:val="272727" w:themeColor="text1" w:themeTint="D8"/>
      <w:kern w:val="2"/>
      <w:sz w:val="24"/>
      <w:szCs w:val="24"/>
      <w:lang w:val="en-GB"/>
      <w14:ligatures w14:val="standardContextual"/>
    </w:rPr>
  </w:style>
  <w:style w:type="character" w:customStyle="1" w:styleId="Judul9KAR">
    <w:name w:val="Judul 9 KAR"/>
    <w:basedOn w:val="FontParagrafDefault"/>
    <w:link w:val="Judul9"/>
    <w:uiPriority w:val="9"/>
    <w:semiHidden/>
    <w:rsid w:val="00BC00DC"/>
    <w:rPr>
      <w:rFonts w:asciiTheme="minorHAnsi" w:eastAsiaTheme="majorEastAsia" w:hAnsiTheme="minorHAnsi" w:cstheme="majorBidi"/>
      <w:color w:val="272727" w:themeColor="text1" w:themeTint="D8"/>
      <w:kern w:val="2"/>
      <w:sz w:val="24"/>
      <w:szCs w:val="24"/>
      <w:lang w:val="en-GB"/>
      <w14:ligatures w14:val="standardContextual"/>
    </w:rPr>
  </w:style>
  <w:style w:type="character" w:customStyle="1" w:styleId="Judul1KAR">
    <w:name w:val="Judul 1 KAR"/>
    <w:basedOn w:val="FontParagrafDefault"/>
    <w:link w:val="Judul1"/>
    <w:uiPriority w:val="9"/>
    <w:rsid w:val="00BC00DC"/>
    <w:rPr>
      <w:rFonts w:ascii="Arial" w:hAnsi="Arial"/>
      <w:b/>
      <w:kern w:val="28"/>
      <w:sz w:val="28"/>
    </w:rPr>
  </w:style>
  <w:style w:type="character" w:customStyle="1" w:styleId="JudulKAR">
    <w:name w:val="Judul KAR"/>
    <w:basedOn w:val="FontParagrafDefault"/>
    <w:link w:val="Judul"/>
    <w:uiPriority w:val="10"/>
    <w:rsid w:val="00BC00DC"/>
    <w:rPr>
      <w:rFonts w:ascii="Helvetica" w:hAnsi="Helvetica"/>
      <w:b/>
      <w:kern w:val="28"/>
      <w:sz w:val="36"/>
    </w:rPr>
  </w:style>
  <w:style w:type="paragraph" w:styleId="Subjudul">
    <w:name w:val="Subtitle"/>
    <w:basedOn w:val="Normal"/>
    <w:next w:val="Normal"/>
    <w:link w:val="SubjudulKAR"/>
    <w:uiPriority w:val="11"/>
    <w:qFormat/>
    <w:rsid w:val="00BC0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judulKAR">
    <w:name w:val="Subjudul KAR"/>
    <w:basedOn w:val="FontParagrafDefault"/>
    <w:link w:val="Subjudul"/>
    <w:uiPriority w:val="11"/>
    <w:rsid w:val="00BC00DC"/>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Kutipan">
    <w:name w:val="Quote"/>
    <w:basedOn w:val="Normal"/>
    <w:next w:val="Normal"/>
    <w:link w:val="KutipanKAR"/>
    <w:uiPriority w:val="29"/>
    <w:qFormat/>
    <w:rsid w:val="00BC00D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KutipanKAR">
    <w:name w:val="Kutipan KAR"/>
    <w:basedOn w:val="FontParagrafDefault"/>
    <w:link w:val="Kutipan"/>
    <w:uiPriority w:val="29"/>
    <w:rsid w:val="00BC00DC"/>
    <w:rPr>
      <w:rFonts w:asciiTheme="minorHAnsi" w:eastAsiaTheme="minorHAnsi" w:hAnsiTheme="minorHAnsi" w:cstheme="minorBidi"/>
      <w:i/>
      <w:iCs/>
      <w:color w:val="404040" w:themeColor="text1" w:themeTint="BF"/>
      <w:kern w:val="2"/>
      <w:sz w:val="24"/>
      <w:szCs w:val="24"/>
      <w:lang w:val="en-GB"/>
      <w14:ligatures w14:val="standardContextual"/>
    </w:rPr>
  </w:style>
  <w:style w:type="paragraph" w:styleId="DaftarParagraf">
    <w:name w:val="List Paragraph"/>
    <w:basedOn w:val="Normal"/>
    <w:uiPriority w:val="34"/>
    <w:qFormat/>
    <w:rsid w:val="00BC00DC"/>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PenekananKeras">
    <w:name w:val="Intense Emphasis"/>
    <w:basedOn w:val="FontParagrafDefault"/>
    <w:uiPriority w:val="21"/>
    <w:qFormat/>
    <w:rsid w:val="00BC00DC"/>
    <w:rPr>
      <w:i/>
      <w:iCs/>
      <w:color w:val="365F91" w:themeColor="accent1" w:themeShade="BF"/>
    </w:rPr>
  </w:style>
  <w:style w:type="paragraph" w:styleId="KutipanyangSering">
    <w:name w:val="Intense Quote"/>
    <w:basedOn w:val="Normal"/>
    <w:next w:val="Normal"/>
    <w:link w:val="KutipanyangSeringKAR"/>
    <w:uiPriority w:val="30"/>
    <w:qFormat/>
    <w:rsid w:val="00BC00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customStyle="1" w:styleId="KutipanyangSeringKAR">
    <w:name w:val="Kutipan yang Sering KAR"/>
    <w:basedOn w:val="FontParagrafDefault"/>
    <w:link w:val="KutipanyangSering"/>
    <w:uiPriority w:val="30"/>
    <w:rsid w:val="00BC00DC"/>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styleId="ReferensiyangSering">
    <w:name w:val="Intense Reference"/>
    <w:basedOn w:val="FontParagrafDefault"/>
    <w:uiPriority w:val="32"/>
    <w:qFormat/>
    <w:rsid w:val="00BC00DC"/>
    <w:rPr>
      <w:b/>
      <w:bCs/>
      <w:smallCaps/>
      <w:color w:val="365F91" w:themeColor="accent1" w:themeShade="BF"/>
      <w:spacing w:val="5"/>
    </w:rPr>
  </w:style>
  <w:style w:type="paragraph" w:customStyle="1" w:styleId="msonormal0">
    <w:name w:val="msonormal"/>
    <w:basedOn w:val="Normal"/>
    <w:rsid w:val="00BC00DC"/>
    <w:pPr>
      <w:spacing w:before="100" w:beforeAutospacing="1" w:after="100" w:afterAutospacing="1"/>
    </w:pPr>
    <w:rPr>
      <w:rFonts w:ascii="Times New Roman" w:hAnsi="Times New Roman"/>
      <w:sz w:val="24"/>
      <w:szCs w:val="24"/>
      <w:lang w:val="en-GB" w:eastAsia="en-GB"/>
    </w:rPr>
  </w:style>
  <w:style w:type="paragraph" w:styleId="NormalWeb">
    <w:name w:val="Normal (Web)"/>
    <w:basedOn w:val="Normal"/>
    <w:uiPriority w:val="99"/>
    <w:semiHidden/>
    <w:unhideWhenUsed/>
    <w:rsid w:val="00BC00DC"/>
    <w:pPr>
      <w:spacing w:before="100" w:beforeAutospacing="1" w:after="100" w:afterAutospacing="1"/>
    </w:pPr>
    <w:rPr>
      <w:rFonts w:ascii="Times New Roman" w:hAnsi="Times New Roman"/>
      <w:sz w:val="24"/>
      <w:szCs w:val="24"/>
      <w:lang w:val="en-GB" w:eastAsia="en-GB"/>
    </w:rPr>
  </w:style>
  <w:style w:type="character" w:customStyle="1" w:styleId="katex">
    <w:name w:val="katex"/>
    <w:basedOn w:val="FontParagrafDefault"/>
    <w:rsid w:val="00BC00DC"/>
  </w:style>
  <w:style w:type="character" w:customStyle="1" w:styleId="katex-mathml">
    <w:name w:val="katex-mathml"/>
    <w:basedOn w:val="FontParagrafDefault"/>
    <w:rsid w:val="00BC00DC"/>
  </w:style>
  <w:style w:type="character" w:customStyle="1" w:styleId="katex-html">
    <w:name w:val="katex-html"/>
    <w:basedOn w:val="FontParagrafDefault"/>
    <w:rsid w:val="00BC00DC"/>
  </w:style>
  <w:style w:type="character" w:customStyle="1" w:styleId="base">
    <w:name w:val="base"/>
    <w:basedOn w:val="FontParagrafDefault"/>
    <w:rsid w:val="00BC00DC"/>
  </w:style>
  <w:style w:type="character" w:customStyle="1" w:styleId="strut">
    <w:name w:val="strut"/>
    <w:basedOn w:val="FontParagrafDefault"/>
    <w:rsid w:val="00BC00DC"/>
  </w:style>
  <w:style w:type="character" w:customStyle="1" w:styleId="mord">
    <w:name w:val="mord"/>
    <w:basedOn w:val="FontParagrafDefault"/>
    <w:rsid w:val="00BC00DC"/>
  </w:style>
  <w:style w:type="character" w:customStyle="1" w:styleId="msupsub">
    <w:name w:val="msupsub"/>
    <w:basedOn w:val="FontParagrafDefault"/>
    <w:rsid w:val="00BC00DC"/>
  </w:style>
  <w:style w:type="character" w:customStyle="1" w:styleId="vlist-t">
    <w:name w:val="vlist-t"/>
    <w:basedOn w:val="FontParagrafDefault"/>
    <w:rsid w:val="00BC00DC"/>
  </w:style>
  <w:style w:type="character" w:customStyle="1" w:styleId="vlist-r">
    <w:name w:val="vlist-r"/>
    <w:basedOn w:val="FontParagrafDefault"/>
    <w:rsid w:val="00BC00DC"/>
  </w:style>
  <w:style w:type="character" w:customStyle="1" w:styleId="vlist">
    <w:name w:val="vlist"/>
    <w:basedOn w:val="FontParagrafDefault"/>
    <w:rsid w:val="00BC00DC"/>
  </w:style>
  <w:style w:type="character" w:customStyle="1" w:styleId="pstrut">
    <w:name w:val="pstrut"/>
    <w:basedOn w:val="FontParagrafDefault"/>
    <w:rsid w:val="00BC00DC"/>
  </w:style>
  <w:style w:type="character" w:customStyle="1" w:styleId="sizing">
    <w:name w:val="sizing"/>
    <w:basedOn w:val="FontParagrafDefault"/>
    <w:rsid w:val="00BC00DC"/>
  </w:style>
  <w:style w:type="character" w:customStyle="1" w:styleId="vlist-s">
    <w:name w:val="vlist-s"/>
    <w:basedOn w:val="FontParagrafDefault"/>
    <w:rsid w:val="00BC00DC"/>
  </w:style>
  <w:style w:type="character" w:customStyle="1" w:styleId="katex-display">
    <w:name w:val="katex-display"/>
    <w:basedOn w:val="FontParagrafDefault"/>
    <w:rsid w:val="00BC00DC"/>
  </w:style>
  <w:style w:type="character" w:customStyle="1" w:styleId="mspace">
    <w:name w:val="mspace"/>
    <w:basedOn w:val="FontParagrafDefault"/>
    <w:rsid w:val="00BC00DC"/>
  </w:style>
  <w:style w:type="character" w:customStyle="1" w:styleId="mrel">
    <w:name w:val="mrel"/>
    <w:basedOn w:val="FontParagrafDefault"/>
    <w:rsid w:val="00BC00DC"/>
  </w:style>
  <w:style w:type="character" w:customStyle="1" w:styleId="minner">
    <w:name w:val="minner"/>
    <w:basedOn w:val="FontParagrafDefault"/>
    <w:rsid w:val="00BC00DC"/>
  </w:style>
  <w:style w:type="character" w:customStyle="1" w:styleId="mopen">
    <w:name w:val="mopen"/>
    <w:basedOn w:val="FontParagrafDefault"/>
    <w:rsid w:val="00BC00DC"/>
  </w:style>
  <w:style w:type="character" w:customStyle="1" w:styleId="delimsizing">
    <w:name w:val="delimsizing"/>
    <w:basedOn w:val="FontParagrafDefault"/>
    <w:rsid w:val="00BC00DC"/>
  </w:style>
  <w:style w:type="character" w:customStyle="1" w:styleId="delimsizinginner">
    <w:name w:val="delimsizinginner"/>
    <w:basedOn w:val="FontParagrafDefault"/>
    <w:rsid w:val="00BC00DC"/>
  </w:style>
  <w:style w:type="character" w:customStyle="1" w:styleId="mtable">
    <w:name w:val="mtable"/>
    <w:basedOn w:val="FontParagrafDefault"/>
    <w:rsid w:val="00BC00DC"/>
  </w:style>
  <w:style w:type="character" w:customStyle="1" w:styleId="col-align-l">
    <w:name w:val="col-align-l"/>
    <w:basedOn w:val="FontParagrafDefault"/>
    <w:rsid w:val="00BC00DC"/>
  </w:style>
  <w:style w:type="character" w:customStyle="1" w:styleId="mpunct">
    <w:name w:val="mpunct"/>
    <w:basedOn w:val="FontParagrafDefault"/>
    <w:rsid w:val="00BC00DC"/>
  </w:style>
  <w:style w:type="character" w:customStyle="1" w:styleId="arraycolsep">
    <w:name w:val="arraycolsep"/>
    <w:basedOn w:val="FontParagrafDefault"/>
    <w:rsid w:val="00BC00DC"/>
  </w:style>
  <w:style w:type="character" w:customStyle="1" w:styleId="mclose">
    <w:name w:val="mclose"/>
    <w:basedOn w:val="FontParagrafDefault"/>
    <w:rsid w:val="00BC00DC"/>
  </w:style>
  <w:style w:type="character" w:styleId="Kuat">
    <w:name w:val="Strong"/>
    <w:basedOn w:val="FontParagrafDefault"/>
    <w:uiPriority w:val="22"/>
    <w:qFormat/>
    <w:rsid w:val="00BC00DC"/>
    <w:rPr>
      <w:b/>
      <w:bCs/>
    </w:rPr>
  </w:style>
  <w:style w:type="character" w:customStyle="1" w:styleId="mbin">
    <w:name w:val="mbin"/>
    <w:basedOn w:val="FontParagrafDefault"/>
    <w:rsid w:val="00BC00DC"/>
  </w:style>
  <w:style w:type="character" w:customStyle="1" w:styleId="mop">
    <w:name w:val="mop"/>
    <w:basedOn w:val="FontParagrafDefault"/>
    <w:rsid w:val="00BC00DC"/>
  </w:style>
  <w:style w:type="character" w:customStyle="1" w:styleId="mfrac">
    <w:name w:val="mfrac"/>
    <w:basedOn w:val="FontParagrafDefault"/>
    <w:rsid w:val="00BC00DC"/>
  </w:style>
  <w:style w:type="character" w:customStyle="1" w:styleId="frac-line">
    <w:name w:val="frac-line"/>
    <w:basedOn w:val="FontParagrafDefault"/>
    <w:rsid w:val="00BC00DC"/>
  </w:style>
  <w:style w:type="character" w:styleId="KodeHTML">
    <w:name w:val="HTML Code"/>
    <w:basedOn w:val="FontParagrafDefault"/>
    <w:uiPriority w:val="99"/>
    <w:semiHidden/>
    <w:unhideWhenUsed/>
    <w:rsid w:val="00BC00DC"/>
    <w:rPr>
      <w:rFonts w:ascii="Courier New" w:eastAsia="Times New Roman" w:hAnsi="Courier New" w:cs="Courier New"/>
      <w:sz w:val="20"/>
      <w:szCs w:val="20"/>
    </w:rPr>
  </w:style>
  <w:style w:type="table" w:styleId="TabelDaftar6Berwarna">
    <w:name w:val="List Table 6 Colorful"/>
    <w:basedOn w:val="TabelNormal"/>
    <w:uiPriority w:val="51"/>
    <w:rsid w:val="00BC00DC"/>
    <w:rPr>
      <w:rFonts w:asciiTheme="minorHAnsi" w:eastAsiaTheme="minorHAnsi" w:hAnsiTheme="minorHAnsi" w:cstheme="minorBidi"/>
      <w:color w:val="000000" w:themeColor="text1"/>
      <w:kern w:val="2"/>
      <w:sz w:val="24"/>
      <w:szCs w:val="24"/>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jekKomentar">
    <w:name w:val="annotation subject"/>
    <w:basedOn w:val="TeksKomentar"/>
    <w:next w:val="TeksKomentar"/>
    <w:link w:val="SubjekKomentarKAR"/>
    <w:semiHidden/>
    <w:unhideWhenUsed/>
    <w:rsid w:val="00486439"/>
    <w:rPr>
      <w:rFonts w:ascii="Helvetica" w:hAnsi="Helvetica"/>
      <w:b/>
      <w:bCs/>
      <w:lang w:val="en-US" w:eastAsia="en-US"/>
    </w:rPr>
  </w:style>
  <w:style w:type="character" w:customStyle="1" w:styleId="SubjekKomentarKAR">
    <w:name w:val="Subjek Komentar KAR"/>
    <w:basedOn w:val="TeksKomentarKAR"/>
    <w:link w:val="SubjekKomentar"/>
    <w:semiHidden/>
    <w:rsid w:val="0048643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BB61-0187-4658-B52C-EB323340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TotalTime>
  <Pages>11</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6</cp:revision>
  <cp:lastPrinted>1999-07-06T11:00:00Z</cp:lastPrinted>
  <dcterms:created xsi:type="dcterms:W3CDTF">2026-04-03T02:15:00Z</dcterms:created>
  <dcterms:modified xsi:type="dcterms:W3CDTF">2026-04-03T02:57:00Z</dcterms:modified>
</cp:coreProperties>
</file>