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12ACC" w14:textId="77777777" w:rsidR="00724B58" w:rsidRPr="00586DF6" w:rsidRDefault="00724B58" w:rsidP="00724B58">
      <w:pPr>
        <w:spacing w:line="240" w:lineRule="auto"/>
        <w:jc w:val="center"/>
        <w:rPr>
          <w:rFonts w:ascii="Times New Roman" w:eastAsia="Times New Roman" w:hAnsi="Times New Roman" w:cs="Times New Roman"/>
          <w:b/>
          <w:bCs/>
          <w:i/>
          <w:iCs/>
          <w:color w:val="000000" w:themeColor="text1"/>
          <w:sz w:val="36"/>
          <w:szCs w:val="36"/>
          <w:u w:val="single"/>
          <w:lang w:val="en-US" w:eastAsia="en-IN"/>
        </w:rPr>
      </w:pPr>
      <w:r w:rsidRPr="00586DF6">
        <w:rPr>
          <w:rFonts w:ascii="Times New Roman" w:eastAsia="Times New Roman" w:hAnsi="Times New Roman" w:cs="Times New Roman"/>
          <w:b/>
          <w:bCs/>
          <w:i/>
          <w:iCs/>
          <w:color w:val="000000" w:themeColor="text1"/>
          <w:sz w:val="36"/>
          <w:szCs w:val="36"/>
          <w:u w:val="single"/>
          <w:lang w:val="en-US" w:eastAsia="en-IN"/>
        </w:rPr>
        <w:t>Original Research Article</w:t>
      </w:r>
    </w:p>
    <w:p w14:paraId="07758FDC" w14:textId="1E006ED8" w:rsidR="003D39F6" w:rsidRPr="00586DF6" w:rsidRDefault="003D39F6" w:rsidP="009F7C81">
      <w:pPr>
        <w:spacing w:line="240" w:lineRule="auto"/>
        <w:jc w:val="center"/>
        <w:rPr>
          <w:rFonts w:ascii="Times New Roman" w:eastAsia="Times New Roman" w:hAnsi="Times New Roman" w:cs="Times New Roman"/>
          <w:b/>
          <w:color w:val="000000" w:themeColor="text1"/>
          <w:sz w:val="36"/>
          <w:szCs w:val="36"/>
          <w:lang w:eastAsia="en-IN"/>
        </w:rPr>
      </w:pPr>
      <w:r w:rsidRPr="00586DF6">
        <w:rPr>
          <w:rFonts w:ascii="Times New Roman" w:eastAsia="Times New Roman" w:hAnsi="Times New Roman" w:cs="Times New Roman"/>
          <w:b/>
          <w:color w:val="000000" w:themeColor="text1"/>
          <w:sz w:val="36"/>
          <w:szCs w:val="36"/>
          <w:lang w:eastAsia="en-IN"/>
        </w:rPr>
        <w:t xml:space="preserve">Rural-Urban Disparity in Child Sex Ratio </w:t>
      </w:r>
      <w:r w:rsidR="00A07DBE" w:rsidRPr="00586DF6">
        <w:rPr>
          <w:rFonts w:ascii="Times New Roman" w:eastAsia="Times New Roman" w:hAnsi="Times New Roman" w:cs="Times New Roman"/>
          <w:b/>
          <w:color w:val="000000" w:themeColor="text1"/>
          <w:sz w:val="36"/>
          <w:szCs w:val="36"/>
          <w:lang w:eastAsia="en-IN"/>
        </w:rPr>
        <w:t>of Punjab: A Spatio-Temporal Investigation</w:t>
      </w:r>
    </w:p>
    <w:p w14:paraId="5924A2BA" w14:textId="77777777" w:rsidR="0063718F" w:rsidRDefault="0063718F" w:rsidP="0063718F">
      <w:pPr>
        <w:spacing w:after="0"/>
        <w:ind w:left="540" w:right="350" w:firstLine="720"/>
        <w:jc w:val="center"/>
        <w:rPr>
          <w:rFonts w:ascii="TimesNewRomanPSMT" w:hAnsi="TimesNewRomanPSMT" w:cs="TimesNewRomanPSMT"/>
          <w:i/>
          <w:iCs/>
          <w:color w:val="0070C0"/>
          <w:sz w:val="28"/>
          <w:szCs w:val="28"/>
        </w:rPr>
      </w:pPr>
      <w:r w:rsidRPr="00612A3D">
        <w:rPr>
          <w:rFonts w:ascii="TimesNewRomanPSMT" w:hAnsi="TimesNewRomanPSMT" w:cs="TimesNewRomanPSMT"/>
          <w:i/>
          <w:iCs/>
          <w:color w:val="0070C0"/>
          <w:sz w:val="28"/>
          <w:szCs w:val="28"/>
        </w:rPr>
        <w:t xml:space="preserve">To see the </w:t>
      </w:r>
      <w:r>
        <w:rPr>
          <w:rFonts w:ascii="TimesNewRomanPSMT" w:hAnsi="TimesNewRomanPSMT" w:cs="TimesNewRomanPSMT"/>
          <w:i/>
          <w:iCs/>
          <w:color w:val="0070C0"/>
          <w:sz w:val="28"/>
          <w:szCs w:val="28"/>
        </w:rPr>
        <w:t xml:space="preserve">reviewer’s </w:t>
      </w:r>
      <w:r w:rsidRPr="00612A3D">
        <w:rPr>
          <w:rFonts w:ascii="TimesNewRomanPSMT" w:hAnsi="TimesNewRomanPSMT" w:cs="TimesNewRomanPSMT"/>
          <w:i/>
          <w:iCs/>
          <w:color w:val="0070C0"/>
          <w:sz w:val="28"/>
          <w:szCs w:val="28"/>
        </w:rPr>
        <w:t xml:space="preserve">comments, </w:t>
      </w:r>
    </w:p>
    <w:p w14:paraId="56F40BD9" w14:textId="7EB0A130" w:rsidR="0063718F" w:rsidRPr="00612A3D" w:rsidRDefault="0063718F" w:rsidP="0063718F">
      <w:pPr>
        <w:spacing w:after="0"/>
        <w:ind w:left="540" w:right="350" w:firstLine="720"/>
        <w:jc w:val="center"/>
        <w:rPr>
          <w:rFonts w:ascii="Trebuchet MS" w:hAnsi="Trebuchet MS"/>
          <w:color w:val="0070C0"/>
          <w:spacing w:val="-6"/>
          <w:szCs w:val="24"/>
        </w:rPr>
      </w:pPr>
      <w:r w:rsidRPr="00612A3D">
        <w:rPr>
          <w:rFonts w:ascii="TimesNewRomanPSMT" w:hAnsi="TimesNewRomanPSMT" w:cs="TimesNewRomanPSMT"/>
          <w:i/>
          <w:iCs/>
          <w:color w:val="0070C0"/>
          <w:sz w:val="28"/>
          <w:szCs w:val="28"/>
        </w:rPr>
        <w:t>go to Review tab -&gt; Show Comments</w:t>
      </w:r>
    </w:p>
    <w:p w14:paraId="2BE666A7" w14:textId="1B464D1C" w:rsidR="00A81391" w:rsidRPr="00586DF6" w:rsidRDefault="00A81391" w:rsidP="001859A2">
      <w:pPr>
        <w:spacing w:after="0" w:line="360" w:lineRule="auto"/>
        <w:jc w:val="both"/>
        <w:rPr>
          <w:rFonts w:ascii="Times New Roman" w:eastAsia="Times New Roman" w:hAnsi="Times New Roman" w:cs="Times New Roman"/>
          <w:b/>
          <w:color w:val="000000" w:themeColor="text1"/>
          <w:sz w:val="28"/>
          <w:szCs w:val="28"/>
          <w:lang w:eastAsia="en-IN"/>
        </w:rPr>
      </w:pPr>
      <w:r w:rsidRPr="00586DF6">
        <w:rPr>
          <w:rFonts w:ascii="Times New Roman" w:eastAsia="Times New Roman" w:hAnsi="Times New Roman" w:cs="Times New Roman"/>
          <w:b/>
          <w:color w:val="000000" w:themeColor="text1"/>
          <w:sz w:val="28"/>
          <w:szCs w:val="28"/>
          <w:lang w:eastAsia="en-IN"/>
        </w:rPr>
        <w:t>Abstract</w:t>
      </w:r>
    </w:p>
    <w:p w14:paraId="35E2B02F" w14:textId="6CAEEAA2" w:rsidR="00A0097C" w:rsidRPr="0004593E" w:rsidRDefault="005D7E0C" w:rsidP="009F7C81">
      <w:pPr>
        <w:spacing w:line="240" w:lineRule="auto"/>
        <w:jc w:val="both"/>
        <w:rPr>
          <w:rFonts w:ascii="Times New Roman" w:hAnsi="Times New Roman"/>
          <w:color w:val="0070C0"/>
          <w:sz w:val="24"/>
          <w:szCs w:val="24"/>
          <w:lang w:val="en-US"/>
        </w:rPr>
      </w:pPr>
      <w:r w:rsidRPr="00586DF6">
        <w:rPr>
          <w:rFonts w:ascii="Times New Roman" w:hAnsi="Times New Roman"/>
          <w:sz w:val="24"/>
          <w:szCs w:val="24"/>
        </w:rPr>
        <w:t>The present study seeks to analyse rural</w:t>
      </w:r>
      <w:r w:rsidR="005D02AE" w:rsidRPr="00586DF6">
        <w:rPr>
          <w:rFonts w:ascii="Times New Roman" w:hAnsi="Times New Roman"/>
          <w:sz w:val="24"/>
          <w:szCs w:val="24"/>
        </w:rPr>
        <w:t>-</w:t>
      </w:r>
      <w:r w:rsidRPr="00586DF6">
        <w:rPr>
          <w:rFonts w:ascii="Times New Roman" w:hAnsi="Times New Roman"/>
          <w:sz w:val="24"/>
          <w:szCs w:val="24"/>
        </w:rPr>
        <w:t>urban disparities in the child sex ratio in Punjab, along with their spatial and regional variations. For this purpose, Census data from 1991, 2001, and 2011 have been used. Tehsils taken as the primary units of analysis. The study also aims to identify the factors responsible to these rural-urban differences in the child sex ratio</w:t>
      </w:r>
      <w:r w:rsidRPr="0004593E">
        <w:rPr>
          <w:rFonts w:ascii="Times New Roman" w:hAnsi="Times New Roman"/>
          <w:sz w:val="24"/>
          <w:szCs w:val="24"/>
        </w:rPr>
        <w:t>.</w:t>
      </w:r>
      <w:r w:rsidRPr="0004593E">
        <w:rPr>
          <w:rFonts w:ascii="Times New Roman" w:hAnsi="Times New Roman"/>
          <w:sz w:val="24"/>
          <w:szCs w:val="24"/>
          <w:lang w:val="en-US"/>
        </w:rPr>
        <w:t xml:space="preserve"> </w:t>
      </w:r>
      <w:r w:rsidR="00A0097C" w:rsidRPr="0004593E">
        <w:rPr>
          <w:rFonts w:ascii="Times New Roman" w:hAnsi="Times New Roman"/>
          <w:sz w:val="24"/>
          <w:szCs w:val="24"/>
          <w:lang w:val="en-US"/>
        </w:rPr>
        <w:t xml:space="preserve">It has been found that the </w:t>
      </w:r>
      <w:r w:rsidR="00A0097C" w:rsidRPr="0004593E">
        <w:rPr>
          <w:rFonts w:ascii="Times New Roman" w:hAnsi="Times New Roman" w:cs="Times New Roman"/>
          <w:sz w:val="24"/>
          <w:szCs w:val="24"/>
        </w:rPr>
        <w:t xml:space="preserve">almost all areas in the foothill zone of the Himalayas exhibits relatively high rural-urban disparities in child sex ratio in 2001. In 2011, </w:t>
      </w:r>
      <w:r w:rsidR="00A0097C" w:rsidRPr="0004593E">
        <w:rPr>
          <w:rFonts w:ascii="Times New Roman" w:hAnsi="Times New Roman" w:cs="Times New Roman"/>
          <w:bCs/>
          <w:sz w:val="24"/>
          <w:szCs w:val="24"/>
        </w:rPr>
        <w:t xml:space="preserve">the southern and eastern fringes of </w:t>
      </w:r>
      <w:r w:rsidR="00A0097C" w:rsidRPr="0004593E">
        <w:rPr>
          <w:rFonts w:ascii="Times New Roman" w:hAnsi="Times New Roman" w:cs="Times New Roman"/>
          <w:bCs/>
          <w:i/>
          <w:iCs/>
          <w:sz w:val="24"/>
          <w:szCs w:val="24"/>
        </w:rPr>
        <w:t>Malwa</w:t>
      </w:r>
      <w:r w:rsidR="00A0097C" w:rsidRPr="0004593E">
        <w:rPr>
          <w:rFonts w:ascii="Times New Roman" w:hAnsi="Times New Roman" w:cs="Times New Roman"/>
          <w:bCs/>
          <w:sz w:val="24"/>
          <w:szCs w:val="24"/>
        </w:rPr>
        <w:t xml:space="preserve">, parts of north-eastern </w:t>
      </w:r>
      <w:r w:rsidR="00A0097C" w:rsidRPr="0004593E">
        <w:rPr>
          <w:rFonts w:ascii="Times New Roman" w:hAnsi="Times New Roman" w:cs="Times New Roman"/>
          <w:bCs/>
          <w:i/>
          <w:iCs/>
          <w:sz w:val="24"/>
          <w:szCs w:val="24"/>
        </w:rPr>
        <w:t>Doaba,</w:t>
      </w:r>
      <w:r w:rsidR="00A0097C" w:rsidRPr="0004593E">
        <w:rPr>
          <w:rFonts w:ascii="Times New Roman" w:hAnsi="Times New Roman" w:cs="Times New Roman"/>
          <w:bCs/>
          <w:sz w:val="24"/>
          <w:szCs w:val="24"/>
        </w:rPr>
        <w:t xml:space="preserve"> and </w:t>
      </w:r>
      <w:r w:rsidR="00A0097C" w:rsidRPr="0004593E">
        <w:rPr>
          <w:rFonts w:ascii="Times New Roman" w:hAnsi="Times New Roman" w:cs="Times New Roman"/>
          <w:bCs/>
          <w:i/>
          <w:iCs/>
          <w:sz w:val="24"/>
          <w:szCs w:val="24"/>
        </w:rPr>
        <w:t>Majha</w:t>
      </w:r>
      <w:r w:rsidR="00A0097C" w:rsidRPr="0004593E">
        <w:rPr>
          <w:rFonts w:ascii="Times New Roman" w:hAnsi="Times New Roman" w:cs="Times New Roman"/>
          <w:bCs/>
          <w:sz w:val="24"/>
          <w:szCs w:val="24"/>
        </w:rPr>
        <w:t xml:space="preserve"> reported relatively high rural-urban disparity in child sex ratio. </w:t>
      </w:r>
      <w:commentRangeStart w:id="0"/>
      <w:r w:rsidR="007F6A12" w:rsidRPr="0004593E">
        <w:rPr>
          <w:rFonts w:ascii="Times New Roman" w:hAnsi="Times New Roman" w:cs="Times New Roman"/>
          <w:color w:val="0070C0"/>
          <w:sz w:val="24"/>
          <w:szCs w:val="24"/>
        </w:rPr>
        <w:t>The study also indicates that relatively low child sex ratio was spatially spread from urban to rural areas of the state.</w:t>
      </w:r>
      <w:commentRangeEnd w:id="0"/>
      <w:r w:rsidR="0004593E" w:rsidRPr="0004593E">
        <w:rPr>
          <w:rStyle w:val="CommentReference"/>
          <w:color w:val="0070C0"/>
        </w:rPr>
        <w:commentReference w:id="0"/>
      </w:r>
    </w:p>
    <w:p w14:paraId="0793215A" w14:textId="156BFFA5" w:rsidR="007F6A12" w:rsidRPr="00586DF6" w:rsidRDefault="007F6A12" w:rsidP="009F7C81">
      <w:pPr>
        <w:spacing w:before="240" w:line="240" w:lineRule="auto"/>
        <w:jc w:val="both"/>
        <w:rPr>
          <w:rFonts w:ascii="Times New Roman" w:hAnsi="Times New Roman"/>
          <w:sz w:val="24"/>
          <w:szCs w:val="24"/>
          <w:lang w:val="en-US"/>
        </w:rPr>
      </w:pPr>
      <w:r w:rsidRPr="00586DF6">
        <w:rPr>
          <w:rFonts w:ascii="Times New Roman" w:hAnsi="Times New Roman"/>
          <w:b/>
          <w:bCs/>
          <w:sz w:val="24"/>
          <w:szCs w:val="24"/>
          <w:lang w:val="en-US"/>
        </w:rPr>
        <w:t xml:space="preserve">Keywords: </w:t>
      </w:r>
      <w:r w:rsidRPr="00586DF6">
        <w:rPr>
          <w:rFonts w:ascii="Times New Roman" w:hAnsi="Times New Roman"/>
          <w:sz w:val="24"/>
          <w:szCs w:val="24"/>
          <w:lang w:val="en-US"/>
        </w:rPr>
        <w:t>Rural-urban disparity, spatial and regional variations, spatially spread.</w:t>
      </w:r>
    </w:p>
    <w:p w14:paraId="04DDA2F0" w14:textId="01F159C5" w:rsidR="007F6A12" w:rsidRPr="00586DF6" w:rsidRDefault="007F6A12" w:rsidP="007F6A12">
      <w:pPr>
        <w:spacing w:before="240" w:line="360" w:lineRule="auto"/>
        <w:jc w:val="both"/>
        <w:rPr>
          <w:rFonts w:ascii="Times New Roman" w:hAnsi="Times New Roman"/>
          <w:b/>
          <w:bCs/>
          <w:sz w:val="28"/>
          <w:szCs w:val="28"/>
          <w:lang w:val="en-US"/>
        </w:rPr>
      </w:pPr>
      <w:r w:rsidRPr="00586DF6">
        <w:rPr>
          <w:rFonts w:ascii="Times New Roman" w:hAnsi="Times New Roman"/>
          <w:b/>
          <w:bCs/>
          <w:sz w:val="28"/>
          <w:szCs w:val="28"/>
          <w:lang w:val="en-US"/>
        </w:rPr>
        <w:t>1. Introduction</w:t>
      </w:r>
    </w:p>
    <w:p w14:paraId="2827D649" w14:textId="33E23189" w:rsidR="002B3EBE" w:rsidRPr="00586DF6" w:rsidRDefault="002B3EBE" w:rsidP="009F7C81">
      <w:pPr>
        <w:spacing w:line="240" w:lineRule="auto"/>
        <w:jc w:val="both"/>
        <w:rPr>
          <w:rFonts w:ascii="Times New Roman" w:eastAsia="Times New Roman" w:hAnsi="Times New Roman" w:cs="Times New Roman"/>
          <w:bCs/>
          <w:color w:val="000000" w:themeColor="text1"/>
          <w:sz w:val="24"/>
          <w:szCs w:val="24"/>
          <w:lang w:eastAsia="en-IN"/>
        </w:rPr>
      </w:pPr>
      <w:commentRangeStart w:id="1"/>
      <w:commentRangeStart w:id="2"/>
      <w:r w:rsidRPr="0004593E">
        <w:rPr>
          <w:rFonts w:ascii="Times New Roman" w:eastAsia="Times New Roman" w:hAnsi="Times New Roman" w:cs="Times New Roman"/>
          <w:bCs/>
          <w:color w:val="0070C0"/>
          <w:sz w:val="24"/>
          <w:szCs w:val="24"/>
          <w:lang w:eastAsia="en-IN"/>
        </w:rPr>
        <w:t xml:space="preserve">The problem of an unbalanced child sex ratio is especially serious in South Asian countries. Amartya Sen (1990), in his well-known study </w:t>
      </w:r>
      <w:r w:rsidRPr="0004593E">
        <w:rPr>
          <w:rFonts w:ascii="Times New Roman" w:eastAsia="Times New Roman" w:hAnsi="Times New Roman" w:cs="Times New Roman"/>
          <w:bCs/>
          <w:i/>
          <w:iCs/>
          <w:color w:val="0070C0"/>
          <w:sz w:val="24"/>
          <w:szCs w:val="24"/>
          <w:lang w:eastAsia="en-IN"/>
        </w:rPr>
        <w:t>“100 Million Missing Women,”</w:t>
      </w:r>
      <w:r w:rsidRPr="0004593E">
        <w:rPr>
          <w:rFonts w:ascii="Times New Roman" w:eastAsia="Times New Roman" w:hAnsi="Times New Roman" w:cs="Times New Roman"/>
          <w:bCs/>
          <w:color w:val="0070C0"/>
          <w:sz w:val="24"/>
          <w:szCs w:val="24"/>
          <w:lang w:eastAsia="en-IN"/>
        </w:rPr>
        <w:t xml:space="preserve"> pointed out the sharp drop in the child sex ratio due to gender discrimination. South Asia has long faced gender inequality, particularly between boys and girls. </w:t>
      </w:r>
      <w:commentRangeEnd w:id="1"/>
      <w:r w:rsidR="0018270D" w:rsidRPr="0004593E">
        <w:rPr>
          <w:rStyle w:val="CommentReference"/>
          <w:color w:val="0070C0"/>
        </w:rPr>
        <w:commentReference w:id="1"/>
      </w:r>
      <w:commentRangeEnd w:id="2"/>
      <w:r w:rsidR="0004593E" w:rsidRPr="0004593E">
        <w:rPr>
          <w:rStyle w:val="CommentReference"/>
          <w:color w:val="0070C0"/>
        </w:rPr>
        <w:commentReference w:id="2"/>
      </w:r>
      <w:r w:rsidRPr="00586DF6">
        <w:rPr>
          <w:rFonts w:ascii="Times New Roman" w:eastAsia="Times New Roman" w:hAnsi="Times New Roman" w:cs="Times New Roman"/>
          <w:bCs/>
          <w:color w:val="000000" w:themeColor="text1"/>
          <w:sz w:val="24"/>
          <w:szCs w:val="24"/>
          <w:lang w:eastAsia="en-IN"/>
        </w:rPr>
        <w:t>Even though women’s overall welfare has improved, the child sex ratio keeps falling, showing that deep-rooted inequality remains (Larsen and Hatti, 2008). In India, the declining child sex ratio is a major concern for demographers and scholars, as it brings serious social, economic, cultural, and demographic effects (WHO, 2011).</w:t>
      </w:r>
    </w:p>
    <w:p w14:paraId="1B546A9D" w14:textId="77777777" w:rsidR="002B3EBE" w:rsidRPr="00586DF6" w:rsidRDefault="002B3EBE" w:rsidP="009F7C81">
      <w:pPr>
        <w:spacing w:line="240" w:lineRule="auto"/>
        <w:ind w:firstLine="720"/>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The Organisation for Economic Co-operation and Development (2018) notes that many Asian countries have made strong progress in education, urban growth, and economic development. Still, gender discrimination against girls is very high, especially in China and India. These countries have deep-rooted patriarchal systems, family structures, and male-dominated societies (Callen and Kee, 1981; Guilmoto and Oliveau, 2007). Because of this, women’s status has not improved much, even with overall development.</w:t>
      </w:r>
    </w:p>
    <w:p w14:paraId="108AD670" w14:textId="77777777" w:rsidR="002B3EBE" w:rsidRPr="00586DF6" w:rsidRDefault="002B3EBE" w:rsidP="009F7C81">
      <w:pPr>
        <w:spacing w:line="240" w:lineRule="auto"/>
        <w:ind w:firstLine="720"/>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 xml:space="preserve">Punjab, a state in north-western India, shows this problem clearly with its low child sex ratio. The 2011 Census reported Punjab’s child sex ratio as 846, down from 901 in 1961, showing how serious the issue is. While there was some improvement from 798 in 2001 to 846 in 2011, the number is still much lower than in the past. </w:t>
      </w:r>
      <w:commentRangeStart w:id="3"/>
      <w:r w:rsidRPr="0004593E">
        <w:rPr>
          <w:rFonts w:ascii="Times New Roman" w:eastAsia="Times New Roman" w:hAnsi="Times New Roman" w:cs="Times New Roman"/>
          <w:bCs/>
          <w:color w:val="0070C0"/>
          <w:sz w:val="24"/>
          <w:szCs w:val="24"/>
          <w:lang w:eastAsia="en-IN"/>
        </w:rPr>
        <w:t xml:space="preserve">These trends run counter to what demographic transition theory would predict. </w:t>
      </w:r>
      <w:commentRangeEnd w:id="3"/>
      <w:r w:rsidR="0004593E" w:rsidRPr="0004593E">
        <w:rPr>
          <w:rStyle w:val="CommentReference"/>
          <w:color w:val="0070C0"/>
        </w:rPr>
        <w:commentReference w:id="3"/>
      </w:r>
      <w:r w:rsidRPr="00586DF6">
        <w:rPr>
          <w:rFonts w:ascii="Times New Roman" w:eastAsia="Times New Roman" w:hAnsi="Times New Roman" w:cs="Times New Roman"/>
          <w:bCs/>
          <w:color w:val="000000" w:themeColor="text1"/>
          <w:sz w:val="24"/>
          <w:szCs w:val="24"/>
          <w:lang w:eastAsia="en-IN"/>
        </w:rPr>
        <w:t>The uneven ratio is mainly due to practices like female infanticide and foeticide, often made easier by technologies such as amniocentesis and ultrasound. Population control policies and stronger patriarchal systems have also increased the preference for sons (Mies, 2014). As prosperity has grown, sex-selection technologies have become more available (Kaur, 2015). Son preference, sex-selective abortions, and other social and economic factors also cause differences in the child sex ratio across the state.</w:t>
      </w:r>
    </w:p>
    <w:p w14:paraId="39515284" w14:textId="77777777" w:rsidR="002B3EBE" w:rsidRPr="00586DF6" w:rsidRDefault="002B3EBE" w:rsidP="009F7C81">
      <w:pPr>
        <w:spacing w:line="240" w:lineRule="auto"/>
        <w:ind w:firstLine="720"/>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lastRenderedPageBreak/>
        <w:t xml:space="preserve">The widespread misuse of pre-conception and prenatal diagnostic methods has put girls at serious risk, making them almost an endangered group in Punjab (Department of Health and Family Welfare, Government of Punjab, 2007). New reproductive technologies have made the gender gap even wider. Punjab was one of the first states to use these technologies, and </w:t>
      </w:r>
      <w:commentRangeStart w:id="4"/>
      <w:r w:rsidRPr="0004593E">
        <w:rPr>
          <w:rFonts w:ascii="Times New Roman" w:eastAsia="Times New Roman" w:hAnsi="Times New Roman" w:cs="Times New Roman"/>
          <w:bCs/>
          <w:color w:val="0070C0"/>
          <w:sz w:val="24"/>
          <w:szCs w:val="24"/>
          <w:lang w:eastAsia="en-IN"/>
        </w:rPr>
        <w:t>ads</w:t>
      </w:r>
      <w:commentRangeEnd w:id="4"/>
      <w:r w:rsidR="0004593E" w:rsidRPr="0004593E">
        <w:rPr>
          <w:rStyle w:val="CommentReference"/>
          <w:color w:val="0070C0"/>
        </w:rPr>
        <w:commentReference w:id="4"/>
      </w:r>
      <w:r w:rsidRPr="0004593E">
        <w:rPr>
          <w:rFonts w:ascii="Times New Roman" w:eastAsia="Times New Roman" w:hAnsi="Times New Roman" w:cs="Times New Roman"/>
          <w:bCs/>
          <w:color w:val="0070C0"/>
          <w:sz w:val="24"/>
          <w:szCs w:val="24"/>
          <w:lang w:eastAsia="en-IN"/>
        </w:rPr>
        <w:t xml:space="preserve"> </w:t>
      </w:r>
      <w:r w:rsidRPr="00586DF6">
        <w:rPr>
          <w:rFonts w:ascii="Times New Roman" w:eastAsia="Times New Roman" w:hAnsi="Times New Roman" w:cs="Times New Roman"/>
          <w:bCs/>
          <w:color w:val="000000" w:themeColor="text1"/>
          <w:sz w:val="24"/>
          <w:szCs w:val="24"/>
          <w:lang w:eastAsia="en-IN"/>
        </w:rPr>
        <w:t>for sex-selective abortions became common in Delhi and Punjab in the late 1970s and early 1980s (Patel, 2007). The first ultrasound clinic in the state opened in the late 1970s (Purewal, 2010), and soon many more clinics appeared, especially in cities. These practices not only violate the basic right to life for girls but also lead to an unbalanced sex ratio, creating long-term problems for sustainable development (Gupta and Li, 1999; Cai and Lavely, 2003; Banister, 2004). The ongoing patriarchal mindset and strong preference for sons keep driving the use of these technologies, so there are always fewer girls than boys in the state.</w:t>
      </w:r>
    </w:p>
    <w:p w14:paraId="2469DDB1" w14:textId="0A864590" w:rsidR="002B3EBE" w:rsidRPr="00586DF6" w:rsidRDefault="002B3EBE" w:rsidP="009F7C81">
      <w:pPr>
        <w:spacing w:line="240" w:lineRule="auto"/>
        <w:ind w:firstLine="720"/>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 xml:space="preserve">Both rural and urban areas in Punjab show a strong preference for sons. The child sex ratio varies by region and between rural and urban areas. The 2011 Census shows that about 37.48 percent of people live in </w:t>
      </w:r>
      <w:commentRangeStart w:id="5"/>
      <w:r w:rsidRPr="0004593E">
        <w:rPr>
          <w:rFonts w:ascii="Times New Roman" w:eastAsia="Times New Roman" w:hAnsi="Times New Roman" w:cs="Times New Roman"/>
          <w:bCs/>
          <w:color w:val="0070C0"/>
          <w:sz w:val="24"/>
          <w:szCs w:val="24"/>
          <w:lang w:eastAsia="en-IN"/>
        </w:rPr>
        <w:t>cities</w:t>
      </w:r>
      <w:r w:rsidRPr="00586DF6">
        <w:rPr>
          <w:rFonts w:ascii="Times New Roman" w:eastAsia="Times New Roman" w:hAnsi="Times New Roman" w:cs="Times New Roman"/>
          <w:bCs/>
          <w:color w:val="000000" w:themeColor="text1"/>
          <w:sz w:val="24"/>
          <w:szCs w:val="24"/>
          <w:lang w:eastAsia="en-IN"/>
        </w:rPr>
        <w:t xml:space="preserve">, while 62.52 percent live in </w:t>
      </w:r>
      <w:r w:rsidRPr="0004593E">
        <w:rPr>
          <w:rFonts w:ascii="Times New Roman" w:eastAsia="Times New Roman" w:hAnsi="Times New Roman" w:cs="Times New Roman"/>
          <w:bCs/>
          <w:color w:val="0070C0"/>
          <w:sz w:val="24"/>
          <w:szCs w:val="24"/>
          <w:lang w:eastAsia="en-IN"/>
        </w:rPr>
        <w:t>villages</w:t>
      </w:r>
      <w:commentRangeEnd w:id="5"/>
      <w:r w:rsidR="0004593E" w:rsidRPr="0004593E">
        <w:rPr>
          <w:rStyle w:val="CommentReference"/>
          <w:color w:val="0070C0"/>
        </w:rPr>
        <w:commentReference w:id="5"/>
      </w:r>
      <w:r w:rsidRPr="00586DF6">
        <w:rPr>
          <w:rFonts w:ascii="Times New Roman" w:eastAsia="Times New Roman" w:hAnsi="Times New Roman" w:cs="Times New Roman"/>
          <w:bCs/>
          <w:color w:val="000000" w:themeColor="text1"/>
          <w:sz w:val="24"/>
          <w:szCs w:val="24"/>
          <w:lang w:eastAsia="en-IN"/>
        </w:rPr>
        <w:t>. Rural Punjab had 844 girls per 1,000 boys, while urban areas had a slightly higher ratio of 852 girls per 1,000 boys. These differences are shaped by social, cultural, economic, and political factors. As a result, girls remain marginalized across the state. It is important to understand the rural-urban gap in the child sex ratio in Punjab. These differences are not just numbers; they reflect deeper social, cultural, and economic forces that shape gender outcomes.</w:t>
      </w:r>
    </w:p>
    <w:p w14:paraId="7163C9F2" w14:textId="1619DB65" w:rsidR="002B3EBE" w:rsidRPr="00586DF6" w:rsidRDefault="007F6A12" w:rsidP="002B3EBE">
      <w:pPr>
        <w:spacing w:line="360" w:lineRule="auto"/>
        <w:jc w:val="both"/>
        <w:rPr>
          <w:rFonts w:ascii="Times New Roman" w:eastAsia="Times New Roman" w:hAnsi="Times New Roman" w:cs="Times New Roman"/>
          <w:b/>
          <w:color w:val="000000" w:themeColor="text1"/>
          <w:sz w:val="28"/>
          <w:szCs w:val="28"/>
          <w:lang w:eastAsia="en-IN"/>
        </w:rPr>
      </w:pPr>
      <w:r w:rsidRPr="00586DF6">
        <w:rPr>
          <w:rFonts w:ascii="Times New Roman" w:eastAsia="Times New Roman" w:hAnsi="Times New Roman" w:cs="Times New Roman"/>
          <w:b/>
          <w:bCs/>
          <w:color w:val="000000" w:themeColor="text1"/>
          <w:sz w:val="28"/>
          <w:szCs w:val="28"/>
          <w:lang w:eastAsia="en-IN"/>
        </w:rPr>
        <w:t xml:space="preserve">2. </w:t>
      </w:r>
      <w:r w:rsidR="002B3EBE" w:rsidRPr="00586DF6">
        <w:rPr>
          <w:rFonts w:ascii="Times New Roman" w:eastAsia="Times New Roman" w:hAnsi="Times New Roman" w:cs="Times New Roman"/>
          <w:b/>
          <w:bCs/>
          <w:color w:val="000000" w:themeColor="text1"/>
          <w:sz w:val="28"/>
          <w:szCs w:val="28"/>
          <w:lang w:eastAsia="en-IN"/>
        </w:rPr>
        <w:t>Objectives</w:t>
      </w:r>
    </w:p>
    <w:p w14:paraId="29133233" w14:textId="77777777" w:rsidR="002B3EBE" w:rsidRPr="00586DF6" w:rsidRDefault="002B3EBE" w:rsidP="009F7C81">
      <w:pPr>
        <w:pStyle w:val="ListParagraph"/>
        <w:numPr>
          <w:ilvl w:val="0"/>
          <w:numId w:val="4"/>
        </w:numPr>
        <w:spacing w:before="240" w:line="240" w:lineRule="auto"/>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To examine the scenario of the child sex ratio of the last few decades in both rural and urban areas of Punjab.</w:t>
      </w:r>
    </w:p>
    <w:p w14:paraId="4118DC9E" w14:textId="77777777" w:rsidR="002B3EBE" w:rsidRPr="00586DF6" w:rsidRDefault="002B3EBE" w:rsidP="009F7C81">
      <w:pPr>
        <w:pStyle w:val="ListParagraph"/>
        <w:numPr>
          <w:ilvl w:val="0"/>
          <w:numId w:val="4"/>
        </w:numPr>
        <w:spacing w:before="240" w:line="240" w:lineRule="auto"/>
        <w:jc w:val="both"/>
        <w:rPr>
          <w:rFonts w:ascii="Times New Roman" w:eastAsia="Times New Roman" w:hAnsi="Times New Roman" w:cs="Times New Roman"/>
          <w:bCs/>
          <w:color w:val="000000" w:themeColor="text1"/>
          <w:sz w:val="24"/>
          <w:szCs w:val="24"/>
          <w:lang w:eastAsia="en-IN"/>
        </w:rPr>
      </w:pPr>
      <w:commentRangeStart w:id="6"/>
      <w:r w:rsidRPr="00586DF6">
        <w:rPr>
          <w:rFonts w:ascii="Times New Roman" w:eastAsia="Times New Roman" w:hAnsi="Times New Roman" w:cs="Times New Roman"/>
          <w:bCs/>
          <w:color w:val="000000" w:themeColor="text1"/>
          <w:sz w:val="24"/>
          <w:szCs w:val="24"/>
          <w:lang w:eastAsia="en-IN"/>
        </w:rPr>
        <w:t>To analyse the spatial as well as regional variations in the child sex ratio across rural and urban Punjab.</w:t>
      </w:r>
    </w:p>
    <w:p w14:paraId="2B85A6A2" w14:textId="6D6D2C74" w:rsidR="00943D6E" w:rsidRPr="003F714F" w:rsidRDefault="00943D6E" w:rsidP="009F7C81">
      <w:pPr>
        <w:pStyle w:val="ListParagraph"/>
        <w:numPr>
          <w:ilvl w:val="0"/>
          <w:numId w:val="4"/>
        </w:numPr>
        <w:spacing w:before="240" w:line="240" w:lineRule="auto"/>
        <w:jc w:val="both"/>
        <w:rPr>
          <w:rFonts w:ascii="Times New Roman" w:eastAsia="Times New Roman" w:hAnsi="Times New Roman" w:cs="Times New Roman"/>
          <w:bCs/>
          <w:color w:val="FF0000"/>
          <w:sz w:val="24"/>
          <w:szCs w:val="24"/>
          <w:lang w:eastAsia="en-IN"/>
        </w:rPr>
      </w:pPr>
      <w:r w:rsidRPr="003F714F">
        <w:rPr>
          <w:rFonts w:ascii="Times New Roman" w:eastAsia="Times New Roman" w:hAnsi="Times New Roman" w:cs="Times New Roman"/>
          <w:bCs/>
          <w:color w:val="FF0000"/>
          <w:sz w:val="24"/>
          <w:szCs w:val="24"/>
          <w:lang w:eastAsia="en-IN"/>
        </w:rPr>
        <w:t xml:space="preserve">To access the spatial spread of child sex ratio in both rural and urban areas during study period. </w:t>
      </w:r>
      <w:commentRangeEnd w:id="6"/>
      <w:r w:rsidR="00C30D49">
        <w:rPr>
          <w:rStyle w:val="CommentReference"/>
        </w:rPr>
        <w:commentReference w:id="6"/>
      </w:r>
    </w:p>
    <w:p w14:paraId="7F6CD864" w14:textId="001DE889" w:rsidR="002B3EBE" w:rsidRPr="00586DF6" w:rsidRDefault="002B3EBE" w:rsidP="009F7C81">
      <w:pPr>
        <w:pStyle w:val="ListParagraph"/>
        <w:numPr>
          <w:ilvl w:val="0"/>
          <w:numId w:val="4"/>
        </w:numPr>
        <w:spacing w:before="240" w:line="240" w:lineRule="auto"/>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To identify the underlying socio-economic, cultural, and demographic factors responsible for rural-urban disparity in child sex ratio.</w:t>
      </w:r>
    </w:p>
    <w:p w14:paraId="0DB6610D" w14:textId="35A7646F" w:rsidR="002B3EBE" w:rsidRPr="00586DF6" w:rsidRDefault="007F6A12" w:rsidP="002B3EBE">
      <w:pPr>
        <w:spacing w:line="360" w:lineRule="auto"/>
        <w:jc w:val="both"/>
        <w:rPr>
          <w:rFonts w:ascii="Times New Roman" w:eastAsia="Times New Roman" w:hAnsi="Times New Roman" w:cs="Times New Roman"/>
          <w:b/>
          <w:color w:val="000000" w:themeColor="text1"/>
          <w:sz w:val="28"/>
          <w:szCs w:val="28"/>
          <w:lang w:eastAsia="en-IN"/>
        </w:rPr>
      </w:pPr>
      <w:r w:rsidRPr="00586DF6">
        <w:rPr>
          <w:rFonts w:ascii="Times New Roman" w:eastAsia="Times New Roman" w:hAnsi="Times New Roman" w:cs="Times New Roman"/>
          <w:b/>
          <w:bCs/>
          <w:color w:val="000000" w:themeColor="text1"/>
          <w:sz w:val="28"/>
          <w:szCs w:val="28"/>
          <w:lang w:eastAsia="en-IN"/>
        </w:rPr>
        <w:t xml:space="preserve">3. </w:t>
      </w:r>
      <w:commentRangeStart w:id="7"/>
      <w:r w:rsidR="002B3EBE" w:rsidRPr="00586DF6">
        <w:rPr>
          <w:rFonts w:ascii="Times New Roman" w:eastAsia="Times New Roman" w:hAnsi="Times New Roman" w:cs="Times New Roman"/>
          <w:b/>
          <w:bCs/>
          <w:color w:val="000000" w:themeColor="text1"/>
          <w:sz w:val="28"/>
          <w:szCs w:val="28"/>
          <w:lang w:eastAsia="en-IN"/>
        </w:rPr>
        <w:t>Research Methodology</w:t>
      </w:r>
      <w:commentRangeEnd w:id="7"/>
      <w:r w:rsidR="00992CF6">
        <w:rPr>
          <w:rStyle w:val="CommentReference"/>
        </w:rPr>
        <w:commentReference w:id="7"/>
      </w:r>
    </w:p>
    <w:p w14:paraId="3B21DA77" w14:textId="0964F1F6" w:rsidR="002B3EBE" w:rsidRPr="00586DF6" w:rsidRDefault="002B3EBE" w:rsidP="009F7C81">
      <w:pPr>
        <w:spacing w:line="240" w:lineRule="auto"/>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 xml:space="preserve">The study is primarily based on secondary data collected from the Census of India. Tehsil has been considered as the spatial unit of analysis. </w:t>
      </w:r>
      <w:r w:rsidRPr="00992CF6">
        <w:rPr>
          <w:rFonts w:ascii="Times New Roman" w:eastAsia="Times New Roman" w:hAnsi="Times New Roman" w:cs="Times New Roman"/>
          <w:bCs/>
          <w:color w:val="0070C0"/>
          <w:sz w:val="24"/>
          <w:szCs w:val="24"/>
          <w:lang w:eastAsia="en-IN"/>
        </w:rPr>
        <w:t xml:space="preserve">Tehsils have been made comparable </w:t>
      </w:r>
      <w:r w:rsidRPr="00586DF6">
        <w:rPr>
          <w:rFonts w:ascii="Times New Roman" w:eastAsia="Times New Roman" w:hAnsi="Times New Roman" w:cs="Times New Roman"/>
          <w:bCs/>
          <w:color w:val="000000" w:themeColor="text1"/>
          <w:sz w:val="24"/>
          <w:szCs w:val="24"/>
          <w:lang w:eastAsia="en-IN"/>
        </w:rPr>
        <w:t>by adjusting the data of the 1991 and 2001 Censuses with the 2011 Census. Choropleth maps have been prepared to examine and illustrate the spatial patterns of rural-urban differentials of the child sex ratio.</w:t>
      </w:r>
    </w:p>
    <w:p w14:paraId="0DAB268E" w14:textId="680AEDAC" w:rsidR="007F6A12" w:rsidRPr="00586DF6" w:rsidRDefault="007F6A12" w:rsidP="007A2DC0">
      <w:pPr>
        <w:spacing w:line="360" w:lineRule="auto"/>
        <w:jc w:val="both"/>
        <w:rPr>
          <w:rFonts w:ascii="Times New Roman" w:hAnsi="Times New Roman" w:cs="Times New Roman"/>
          <w:b/>
          <w:bCs/>
          <w:color w:val="000000" w:themeColor="text1"/>
          <w:sz w:val="28"/>
          <w:szCs w:val="28"/>
        </w:rPr>
      </w:pPr>
      <w:r w:rsidRPr="00586DF6">
        <w:rPr>
          <w:rFonts w:ascii="Times New Roman" w:hAnsi="Times New Roman" w:cs="Times New Roman"/>
          <w:b/>
          <w:bCs/>
          <w:color w:val="000000" w:themeColor="text1"/>
          <w:sz w:val="28"/>
          <w:szCs w:val="28"/>
        </w:rPr>
        <w:t>4. Results and Discussion</w:t>
      </w:r>
    </w:p>
    <w:p w14:paraId="21937296" w14:textId="10447B3F" w:rsidR="00A07DBE" w:rsidRPr="00586DF6" w:rsidRDefault="007F6A12" w:rsidP="007A2DC0">
      <w:pPr>
        <w:spacing w:line="360" w:lineRule="auto"/>
        <w:jc w:val="both"/>
        <w:rPr>
          <w:rFonts w:ascii="Times New Roman" w:hAnsi="Times New Roman" w:cs="Times New Roman"/>
          <w:b/>
          <w:bCs/>
          <w:color w:val="000000" w:themeColor="text1"/>
          <w:sz w:val="28"/>
          <w:szCs w:val="28"/>
        </w:rPr>
      </w:pPr>
      <w:r w:rsidRPr="00586DF6">
        <w:rPr>
          <w:rFonts w:ascii="Times New Roman" w:hAnsi="Times New Roman" w:cs="Times New Roman"/>
          <w:b/>
          <w:bCs/>
          <w:color w:val="000000" w:themeColor="text1"/>
          <w:sz w:val="28"/>
          <w:szCs w:val="28"/>
        </w:rPr>
        <w:t xml:space="preserve">4.1. </w:t>
      </w:r>
      <w:r w:rsidR="00A07DBE" w:rsidRPr="00586DF6">
        <w:rPr>
          <w:rFonts w:ascii="Times New Roman" w:hAnsi="Times New Roman" w:cs="Times New Roman"/>
          <w:b/>
          <w:bCs/>
          <w:color w:val="000000" w:themeColor="text1"/>
          <w:sz w:val="28"/>
          <w:szCs w:val="28"/>
        </w:rPr>
        <w:t>Rural-Urban Disparity in Child Sex Ratio: 1991-2011</w:t>
      </w:r>
    </w:p>
    <w:p w14:paraId="2FC3FAE0" w14:textId="77777777" w:rsidR="002B3EBE" w:rsidRPr="00586DF6" w:rsidRDefault="002B3EBE" w:rsidP="009F7C81">
      <w:pPr>
        <w:spacing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India as a whole recorded 13 points of disparity in the rural-urban child sex ratio in 1991. A decade later, in 2001, the rural-urban disparity in India’s child sex ratio increased to 31 points. But in 2011, the rural-urban disparity in India’s child sex ratio dropped to 18 points. On the other hand, in the case of Punjab, the rural-urban disparity in the child sex ratio was 12 points </w:t>
      </w:r>
      <w:r w:rsidRPr="00586DF6">
        <w:rPr>
          <w:rFonts w:ascii="Times New Roman" w:hAnsi="Times New Roman" w:cs="Times New Roman"/>
          <w:color w:val="000000" w:themeColor="text1"/>
          <w:sz w:val="24"/>
          <w:szCs w:val="24"/>
        </w:rPr>
        <w:lastRenderedPageBreak/>
        <w:t>in 1991, 3 points in 2001, and 8 points in 2011, which was always lower than the national average during this period.</w:t>
      </w:r>
    </w:p>
    <w:p w14:paraId="0C7C3726" w14:textId="77777777" w:rsidR="002B3EBE" w:rsidRPr="00992CF6" w:rsidRDefault="002B3EBE" w:rsidP="009F7C81">
      <w:pPr>
        <w:spacing w:line="240" w:lineRule="auto"/>
        <w:jc w:val="both"/>
        <w:rPr>
          <w:rFonts w:ascii="Times New Roman" w:hAnsi="Times New Roman" w:cs="Times New Roman"/>
          <w:color w:val="0070C0"/>
          <w:sz w:val="24"/>
          <w:szCs w:val="24"/>
        </w:rPr>
      </w:pPr>
      <w:commentRangeStart w:id="8"/>
      <w:r w:rsidRPr="00992CF6">
        <w:rPr>
          <w:rFonts w:ascii="Times New Roman" w:hAnsi="Times New Roman" w:cs="Times New Roman"/>
          <w:color w:val="0070C0"/>
          <w:sz w:val="24"/>
          <w:szCs w:val="24"/>
        </w:rPr>
        <w:t>         It is worthwhile to mention here that there was no rural-urban disparity in the child sex ratio recorded in Gurdaspur and Batala tehsils in 1991. However, in 2001, not a single tehsil reported rural-urban disparity in this regard during this period. In 2011, there was no rural-urban disparity in the child sex ratio recorded in two tehsils of the state, namely, Amloh and Patran (Table 1).</w:t>
      </w:r>
      <w:commentRangeEnd w:id="8"/>
      <w:r w:rsidR="003F714F" w:rsidRPr="00992CF6">
        <w:rPr>
          <w:rStyle w:val="CommentReference"/>
          <w:color w:val="0070C0"/>
        </w:rPr>
        <w:commentReference w:id="8"/>
      </w:r>
    </w:p>
    <w:p w14:paraId="145C6321" w14:textId="77777777" w:rsidR="002B3EBE" w:rsidRPr="00586DF6" w:rsidRDefault="002B3EBE" w:rsidP="009F7C81">
      <w:pPr>
        <w:spacing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On the basis of rural-urban disparity in child sex ratio during the study period, the state can be classified into the following three categories:</w:t>
      </w:r>
    </w:p>
    <w:p w14:paraId="5559D7AA" w14:textId="77777777" w:rsidR="002B3EBE" w:rsidRPr="00586DF6" w:rsidRDefault="002B3EBE" w:rsidP="009F7C81">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Areas with relatively high rural-urban disparity in child sex ratio (above 20 points);</w:t>
      </w:r>
    </w:p>
    <w:p w14:paraId="6A913CD0" w14:textId="77777777" w:rsidR="002B3EBE" w:rsidRPr="00586DF6" w:rsidRDefault="002B3EBE" w:rsidP="009F7C81">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Areas with moderate rural-urban disparity in child sex ratio (between 10-20 points);</w:t>
      </w:r>
    </w:p>
    <w:p w14:paraId="1FDF44B7" w14:textId="28B95F7E" w:rsidR="002B3EBE" w:rsidRPr="00586DF6" w:rsidRDefault="002B3EBE" w:rsidP="009F7C81">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Areas with relatively low rural-urban disparity in child sex ratio (below 10 points).</w:t>
      </w:r>
    </w:p>
    <w:p w14:paraId="535BD980" w14:textId="2EA1B1C5" w:rsidR="002B3EBE" w:rsidRPr="00586DF6" w:rsidRDefault="002B3EBE" w:rsidP="009F7C81">
      <w:pPr>
        <w:spacing w:before="240" w:line="240" w:lineRule="auto"/>
        <w:jc w:val="both"/>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I. Areas with relatively high rural-urban disparity in child sex ratio (above 20 points):</w:t>
      </w:r>
    </w:p>
    <w:p w14:paraId="05B3E61C" w14:textId="77777777" w:rsidR="002B3EBE" w:rsidRPr="00586DF6" w:rsidRDefault="002B3EBE" w:rsidP="009F7C81">
      <w:pPr>
        <w:spacing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In 1991, out of all the seventy-seven tehsils of Punjab, forty-two tehsils reported relatively high rural-urban disparity in child sex ratio. The highest disparity (181 points) in this regard was observed in Dhar Kalan tehsil, followed by Jalalabad (109 points), Lehra (84 points), Khamanon (75 points), and Mukerian (71 points). About fifty-eight percent of the tehsils of </w:t>
      </w:r>
      <w:r w:rsidRPr="00586DF6">
        <w:rPr>
          <w:rFonts w:ascii="Times New Roman" w:hAnsi="Times New Roman" w:cs="Times New Roman"/>
          <w:i/>
          <w:iCs/>
          <w:color w:val="000000" w:themeColor="text1"/>
          <w:sz w:val="24"/>
          <w:szCs w:val="24"/>
        </w:rPr>
        <w:t>Majha</w:t>
      </w:r>
      <w:r w:rsidRPr="00586DF6">
        <w:rPr>
          <w:rFonts w:ascii="Times New Roman" w:hAnsi="Times New Roman" w:cs="Times New Roman"/>
          <w:color w:val="000000" w:themeColor="text1"/>
          <w:sz w:val="24"/>
          <w:szCs w:val="24"/>
        </w:rPr>
        <w:t xml:space="preserve">, fifty-four percent of </w:t>
      </w:r>
      <w:r w:rsidRPr="00586DF6">
        <w:rPr>
          <w:rFonts w:ascii="Times New Roman" w:hAnsi="Times New Roman" w:cs="Times New Roman"/>
          <w:i/>
          <w:iCs/>
          <w:color w:val="000000" w:themeColor="text1"/>
          <w:sz w:val="24"/>
          <w:szCs w:val="24"/>
        </w:rPr>
        <w:t>Malwa,</w:t>
      </w:r>
      <w:r w:rsidRPr="00586DF6">
        <w:rPr>
          <w:rFonts w:ascii="Times New Roman" w:hAnsi="Times New Roman" w:cs="Times New Roman"/>
          <w:color w:val="000000" w:themeColor="text1"/>
          <w:sz w:val="24"/>
          <w:szCs w:val="24"/>
        </w:rPr>
        <w:t xml:space="preserve"> and fifty-three percent of </w:t>
      </w:r>
      <w:r w:rsidRPr="00586DF6">
        <w:rPr>
          <w:rFonts w:ascii="Times New Roman" w:hAnsi="Times New Roman" w:cs="Times New Roman"/>
          <w:i/>
          <w:iCs/>
          <w:color w:val="000000" w:themeColor="text1"/>
          <w:sz w:val="24"/>
          <w:szCs w:val="24"/>
        </w:rPr>
        <w:t xml:space="preserve">Doaba </w:t>
      </w:r>
      <w:r w:rsidRPr="00586DF6">
        <w:rPr>
          <w:rFonts w:ascii="Times New Roman" w:hAnsi="Times New Roman" w:cs="Times New Roman"/>
          <w:color w:val="000000" w:themeColor="text1"/>
          <w:sz w:val="24"/>
          <w:szCs w:val="24"/>
        </w:rPr>
        <w:t>belonged to this category. Tehsils that recorded relatively high rural-urban disparity in child sex ratio were found scattered across the study area (Map 1).</w:t>
      </w:r>
    </w:p>
    <w:p w14:paraId="1C4A34B9" w14:textId="77777777" w:rsidR="007F6A12" w:rsidRPr="00AB620C" w:rsidRDefault="002B3EBE" w:rsidP="009F7C81">
      <w:pPr>
        <w:spacing w:line="240" w:lineRule="auto"/>
        <w:jc w:val="both"/>
        <w:rPr>
          <w:rFonts w:ascii="Times New Roman" w:hAnsi="Times New Roman" w:cs="Times New Roman"/>
          <w:color w:val="0070C0"/>
          <w:sz w:val="24"/>
          <w:szCs w:val="24"/>
        </w:rPr>
      </w:pPr>
      <w:r w:rsidRPr="00586DF6">
        <w:rPr>
          <w:rFonts w:ascii="Times New Roman" w:hAnsi="Times New Roman" w:cs="Times New Roman"/>
          <w:color w:val="000000" w:themeColor="text1"/>
          <w:sz w:val="24"/>
          <w:szCs w:val="24"/>
        </w:rPr>
        <w:t xml:space="preserve">In 2001, about sixty-two percent of the state's tehsils emerged with relatively high rural-urban disparity in the child sex ratio. Baba Bakala tehsil reported the highest rural-urban disparity (95 points) in this regard, followed by Dhar Kalan (93 points), Dera Bassi (73 points), Ludhiana West (72 points), and Nihal Singhwala (67 points). About seventy-five percent of the tehsils of </w:t>
      </w:r>
      <w:r w:rsidRPr="00586DF6">
        <w:rPr>
          <w:rFonts w:ascii="Times New Roman" w:hAnsi="Times New Roman" w:cs="Times New Roman"/>
          <w:i/>
          <w:iCs/>
          <w:color w:val="000000" w:themeColor="text1"/>
          <w:sz w:val="24"/>
          <w:szCs w:val="24"/>
        </w:rPr>
        <w:t>Majha</w:t>
      </w:r>
      <w:r w:rsidRPr="00586DF6">
        <w:rPr>
          <w:rFonts w:ascii="Times New Roman" w:hAnsi="Times New Roman" w:cs="Times New Roman"/>
          <w:color w:val="000000" w:themeColor="text1"/>
          <w:sz w:val="24"/>
          <w:szCs w:val="24"/>
        </w:rPr>
        <w:t xml:space="preserve">, sixty percent of </w:t>
      </w:r>
      <w:r w:rsidRPr="00586DF6">
        <w:rPr>
          <w:rFonts w:ascii="Times New Roman" w:hAnsi="Times New Roman" w:cs="Times New Roman"/>
          <w:i/>
          <w:iCs/>
          <w:color w:val="000000" w:themeColor="text1"/>
          <w:sz w:val="24"/>
          <w:szCs w:val="24"/>
        </w:rPr>
        <w:t>Doaba,</w:t>
      </w:r>
      <w:r w:rsidRPr="00586DF6">
        <w:rPr>
          <w:rFonts w:ascii="Times New Roman" w:hAnsi="Times New Roman" w:cs="Times New Roman"/>
          <w:color w:val="000000" w:themeColor="text1"/>
          <w:sz w:val="24"/>
          <w:szCs w:val="24"/>
        </w:rPr>
        <w:t xml:space="preserve"> and sixty percent of </w:t>
      </w:r>
      <w:r w:rsidRPr="00586DF6">
        <w:rPr>
          <w:rFonts w:ascii="Times New Roman" w:hAnsi="Times New Roman" w:cs="Times New Roman"/>
          <w:i/>
          <w:iCs/>
          <w:color w:val="000000" w:themeColor="text1"/>
          <w:sz w:val="24"/>
          <w:szCs w:val="24"/>
        </w:rPr>
        <w:t>Malwa</w:t>
      </w:r>
      <w:r w:rsidRPr="00586DF6">
        <w:rPr>
          <w:rFonts w:ascii="Times New Roman" w:hAnsi="Times New Roman" w:cs="Times New Roman"/>
          <w:color w:val="000000" w:themeColor="text1"/>
          <w:sz w:val="24"/>
          <w:szCs w:val="24"/>
        </w:rPr>
        <w:t xml:space="preserve"> recorded relatively high rural-urban disparity in child sex ratio. </w:t>
      </w:r>
      <w:commentRangeStart w:id="9"/>
      <w:r w:rsidRPr="00AB620C">
        <w:rPr>
          <w:rFonts w:ascii="Times New Roman" w:hAnsi="Times New Roman" w:cs="Times New Roman"/>
          <w:color w:val="0070C0"/>
          <w:sz w:val="24"/>
          <w:szCs w:val="24"/>
        </w:rPr>
        <w:t xml:space="preserve">It is worth noting that almost all areas in the </w:t>
      </w:r>
      <w:r w:rsidR="007F6A12" w:rsidRPr="00AB620C">
        <w:rPr>
          <w:rFonts w:ascii="Times New Roman" w:hAnsi="Times New Roman" w:cs="Times New Roman"/>
          <w:color w:val="0070C0"/>
          <w:sz w:val="24"/>
          <w:szCs w:val="24"/>
        </w:rPr>
        <w:t>foothill zone of the Himalayas exhibits relatively high rural-urban disparities in child sex ratio (Map 2).</w:t>
      </w:r>
      <w:commentRangeEnd w:id="9"/>
      <w:r w:rsidR="00977DDF" w:rsidRPr="00AB620C">
        <w:rPr>
          <w:rStyle w:val="CommentReference"/>
          <w:color w:val="0070C0"/>
        </w:rPr>
        <w:commentReference w:id="9"/>
      </w:r>
    </w:p>
    <w:p w14:paraId="65D560DE" w14:textId="77777777" w:rsidR="007F6A12" w:rsidRPr="00586DF6" w:rsidRDefault="007F6A12" w:rsidP="009F7C81">
      <w:pPr>
        <w:spacing w:line="240" w:lineRule="auto"/>
        <w:ind w:firstLine="720"/>
        <w:jc w:val="both"/>
        <w:rPr>
          <w:rFonts w:ascii="Times New Roman" w:hAnsi="Times New Roman" w:cs="Times New Roman"/>
          <w:bCs/>
          <w:sz w:val="24"/>
          <w:szCs w:val="24"/>
        </w:rPr>
      </w:pPr>
      <w:r w:rsidRPr="00586DF6">
        <w:rPr>
          <w:rFonts w:ascii="Times New Roman" w:hAnsi="Times New Roman" w:cs="Times New Roman"/>
          <w:bCs/>
          <w:sz w:val="24"/>
          <w:szCs w:val="24"/>
        </w:rPr>
        <w:t xml:space="preserve">In 2011, about forty-seven percent of the tehsils of the state recorded relatively high rural-urban disparity in child sex ratio (Table 1). Out of these, Nihal Singhwala recorded a high rural-urban disparity (120 points), followed by Malerkotla (84 points), Khamanon (67 points), Anandpur Sahib (65 points), Khanna (51 points), Dasua (51 points), Fazilka (49 points), Rupnagar (45 points), Gidderbaha (44 points), and Fatehgarh Sahib (43 points). About fifty-three percent of the tehsils of </w:t>
      </w:r>
      <w:r w:rsidRPr="00586DF6">
        <w:rPr>
          <w:rFonts w:ascii="Times New Roman" w:hAnsi="Times New Roman" w:cs="Times New Roman"/>
          <w:bCs/>
          <w:i/>
          <w:iCs/>
          <w:sz w:val="24"/>
          <w:szCs w:val="24"/>
        </w:rPr>
        <w:t>Doaba</w:t>
      </w:r>
      <w:r w:rsidRPr="00586DF6">
        <w:rPr>
          <w:rFonts w:ascii="Times New Roman" w:hAnsi="Times New Roman" w:cs="Times New Roman"/>
          <w:bCs/>
          <w:sz w:val="24"/>
          <w:szCs w:val="24"/>
        </w:rPr>
        <w:t xml:space="preserve">, forty-eight percent of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and thirty-three percent of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lie in this category. In this way, the southern and eastern fringes of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parts of north-eastern </w:t>
      </w:r>
      <w:r w:rsidRPr="00586DF6">
        <w:rPr>
          <w:rFonts w:ascii="Times New Roman" w:hAnsi="Times New Roman" w:cs="Times New Roman"/>
          <w:bCs/>
          <w:i/>
          <w:iCs/>
          <w:sz w:val="24"/>
          <w:szCs w:val="24"/>
        </w:rPr>
        <w:t>Doaba,</w:t>
      </w:r>
      <w:r w:rsidRPr="00586DF6">
        <w:rPr>
          <w:rFonts w:ascii="Times New Roman" w:hAnsi="Times New Roman" w:cs="Times New Roman"/>
          <w:bCs/>
          <w:sz w:val="24"/>
          <w:szCs w:val="24"/>
        </w:rPr>
        <w:t xml:space="preserve"> and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fall in this category (Map 3). </w:t>
      </w:r>
    </w:p>
    <w:p w14:paraId="5C9BA518" w14:textId="51897CB9" w:rsidR="009F7C81" w:rsidRPr="00586DF6" w:rsidRDefault="001859A2" w:rsidP="00EF7CF3">
      <w:pPr>
        <w:spacing w:line="240" w:lineRule="auto"/>
        <w:ind w:firstLine="720"/>
        <w:jc w:val="both"/>
        <w:rPr>
          <w:rFonts w:ascii="Times New Roman" w:hAnsi="Times New Roman" w:cs="Times New Roman"/>
          <w:bCs/>
          <w:sz w:val="24"/>
          <w:szCs w:val="24"/>
        </w:rPr>
      </w:pPr>
      <w:r w:rsidRPr="00586DF6">
        <w:rPr>
          <w:rFonts w:ascii="Times New Roman" w:hAnsi="Times New Roman" w:cs="Times New Roman"/>
          <w:bCs/>
          <w:sz w:val="24"/>
          <w:szCs w:val="24"/>
        </w:rPr>
        <w:t>Mainly, socio-cultural and economic factors are responsible for widening this rural-urban gap in the child sex ratio. Relatively low educational levels among rural females are one of the leading factors behind this disparity. Due to their low levels of education, females in rural areas have relatively low awareness about their rights. They also considered the girl child as a ‘liability’. Generally, they follow the patriarchal norms, which are male-dominated due to their limited exposure to education. Consequently, due to prevailing patriarchal norms, the</w:t>
      </w:r>
    </w:p>
    <w:p w14:paraId="584CC713" w14:textId="3163CC26" w:rsidR="00A07DBE" w:rsidRPr="00586DF6" w:rsidRDefault="00A07DBE" w:rsidP="009F7C81">
      <w:pPr>
        <w:pStyle w:val="ListParagraph"/>
        <w:spacing w:before="240" w:line="240" w:lineRule="auto"/>
        <w:ind w:left="0"/>
        <w:jc w:val="cente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Table 1</w:t>
      </w:r>
    </w:p>
    <w:p w14:paraId="147DFD25" w14:textId="77777777" w:rsidR="00A07DBE" w:rsidRPr="00586DF6" w:rsidRDefault="00A07DBE" w:rsidP="009F7C81">
      <w:pPr>
        <w:spacing w:line="240" w:lineRule="auto"/>
        <w:jc w:val="cente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Rural-Urban Disparity in Child Sex Ratio of Punjab: 1991-2011</w:t>
      </w:r>
    </w:p>
    <w:tbl>
      <w:tblPr>
        <w:tblStyle w:val="TableGrid"/>
        <w:tblpPr w:leftFromText="180" w:rightFromText="180" w:vertAnchor="page" w:horzAnchor="margin" w:tblpX="274" w:tblpY="2497"/>
        <w:tblW w:w="8503" w:type="dxa"/>
        <w:tblLayout w:type="fixed"/>
        <w:tblLook w:val="04A0" w:firstRow="1" w:lastRow="0" w:firstColumn="1" w:lastColumn="0" w:noHBand="0" w:noVBand="1"/>
      </w:tblPr>
      <w:tblGrid>
        <w:gridCol w:w="531"/>
        <w:gridCol w:w="1590"/>
        <w:gridCol w:w="1994"/>
        <w:gridCol w:w="1571"/>
        <w:gridCol w:w="1564"/>
        <w:gridCol w:w="1253"/>
      </w:tblGrid>
      <w:tr w:rsidR="00A07DBE" w:rsidRPr="00586DF6" w14:paraId="5E16389B" w14:textId="77777777" w:rsidTr="007E171C">
        <w:trPr>
          <w:trHeight w:val="695"/>
        </w:trPr>
        <w:tc>
          <w:tcPr>
            <w:tcW w:w="531" w:type="dxa"/>
          </w:tcPr>
          <w:p w14:paraId="406534BB"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lastRenderedPageBreak/>
              <w:t>Sr.</w:t>
            </w:r>
          </w:p>
        </w:tc>
        <w:tc>
          <w:tcPr>
            <w:tcW w:w="1590" w:type="dxa"/>
          </w:tcPr>
          <w:p w14:paraId="05A4BDEF"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District/State</w:t>
            </w:r>
          </w:p>
        </w:tc>
        <w:tc>
          <w:tcPr>
            <w:tcW w:w="1993" w:type="dxa"/>
          </w:tcPr>
          <w:p w14:paraId="1C171EB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Tehsils</w:t>
            </w:r>
          </w:p>
        </w:tc>
        <w:tc>
          <w:tcPr>
            <w:tcW w:w="1571" w:type="dxa"/>
          </w:tcPr>
          <w:p w14:paraId="3E012DDD"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1991</w:t>
            </w:r>
          </w:p>
        </w:tc>
        <w:tc>
          <w:tcPr>
            <w:tcW w:w="1564" w:type="dxa"/>
          </w:tcPr>
          <w:p w14:paraId="4E494EA7"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2001</w:t>
            </w:r>
          </w:p>
        </w:tc>
        <w:tc>
          <w:tcPr>
            <w:tcW w:w="1253" w:type="dxa"/>
          </w:tcPr>
          <w:p w14:paraId="6D5B2E90"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2011</w:t>
            </w:r>
          </w:p>
        </w:tc>
      </w:tr>
      <w:tr w:rsidR="00A07DBE" w:rsidRPr="00586DF6" w14:paraId="4520959D" w14:textId="77777777" w:rsidTr="007E171C">
        <w:trPr>
          <w:trHeight w:val="296"/>
        </w:trPr>
        <w:tc>
          <w:tcPr>
            <w:tcW w:w="531" w:type="dxa"/>
          </w:tcPr>
          <w:p w14:paraId="15867A8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w:t>
            </w:r>
          </w:p>
        </w:tc>
        <w:tc>
          <w:tcPr>
            <w:tcW w:w="1590" w:type="dxa"/>
          </w:tcPr>
          <w:p w14:paraId="6317A6A5"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Amritsar</w:t>
            </w:r>
          </w:p>
        </w:tc>
        <w:tc>
          <w:tcPr>
            <w:tcW w:w="1993" w:type="dxa"/>
          </w:tcPr>
          <w:p w14:paraId="1D60EFB8"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Ajnala</w:t>
            </w:r>
          </w:p>
        </w:tc>
        <w:tc>
          <w:tcPr>
            <w:tcW w:w="1571" w:type="dxa"/>
          </w:tcPr>
          <w:p w14:paraId="2AD92F46"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57</w:t>
            </w:r>
          </w:p>
        </w:tc>
        <w:tc>
          <w:tcPr>
            <w:tcW w:w="1564" w:type="dxa"/>
          </w:tcPr>
          <w:p w14:paraId="68F76A9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8</w:t>
            </w:r>
          </w:p>
        </w:tc>
        <w:tc>
          <w:tcPr>
            <w:tcW w:w="1253" w:type="dxa"/>
          </w:tcPr>
          <w:p w14:paraId="76C02A38"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8</w:t>
            </w:r>
          </w:p>
        </w:tc>
      </w:tr>
      <w:tr w:rsidR="00A07DBE" w:rsidRPr="00586DF6" w14:paraId="0241226D" w14:textId="77777777" w:rsidTr="007E171C">
        <w:trPr>
          <w:trHeight w:val="304"/>
        </w:trPr>
        <w:tc>
          <w:tcPr>
            <w:tcW w:w="531" w:type="dxa"/>
            <w:vMerge w:val="restart"/>
          </w:tcPr>
          <w:p w14:paraId="0E1877D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5BBA116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C397867"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  Amritsar -I  </w:t>
            </w:r>
          </w:p>
        </w:tc>
        <w:tc>
          <w:tcPr>
            <w:tcW w:w="1571" w:type="dxa"/>
          </w:tcPr>
          <w:p w14:paraId="13CCC9C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51</w:t>
            </w:r>
          </w:p>
        </w:tc>
        <w:tc>
          <w:tcPr>
            <w:tcW w:w="1564" w:type="dxa"/>
          </w:tcPr>
          <w:p w14:paraId="3266BB21"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12</w:t>
            </w:r>
          </w:p>
        </w:tc>
        <w:tc>
          <w:tcPr>
            <w:tcW w:w="1253" w:type="dxa"/>
          </w:tcPr>
          <w:p w14:paraId="2A25ABE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10</w:t>
            </w:r>
          </w:p>
        </w:tc>
      </w:tr>
      <w:tr w:rsidR="00A07DBE" w:rsidRPr="00586DF6" w14:paraId="6B141878" w14:textId="77777777" w:rsidTr="007E171C">
        <w:trPr>
          <w:trHeight w:val="304"/>
        </w:trPr>
        <w:tc>
          <w:tcPr>
            <w:tcW w:w="531" w:type="dxa"/>
            <w:vMerge/>
          </w:tcPr>
          <w:p w14:paraId="17D2711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7F492964"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34C5CE5A"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Amritsar- II</w:t>
            </w:r>
          </w:p>
        </w:tc>
        <w:tc>
          <w:tcPr>
            <w:tcW w:w="1571" w:type="dxa"/>
          </w:tcPr>
          <w:p w14:paraId="238A114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c>
          <w:tcPr>
            <w:tcW w:w="1564" w:type="dxa"/>
          </w:tcPr>
          <w:p w14:paraId="02C5048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21</w:t>
            </w:r>
          </w:p>
        </w:tc>
        <w:tc>
          <w:tcPr>
            <w:tcW w:w="1253" w:type="dxa"/>
          </w:tcPr>
          <w:p w14:paraId="5B4B193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w:t>
            </w:r>
          </w:p>
        </w:tc>
      </w:tr>
      <w:tr w:rsidR="00A07DBE" w:rsidRPr="00586DF6" w14:paraId="49C7AC2C" w14:textId="77777777" w:rsidTr="007E171C">
        <w:trPr>
          <w:trHeight w:val="304"/>
        </w:trPr>
        <w:tc>
          <w:tcPr>
            <w:tcW w:w="531" w:type="dxa"/>
            <w:vMerge/>
          </w:tcPr>
          <w:p w14:paraId="7CFBA63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5D25225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74A335A6"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(iv)  Baba Bakala</w:t>
            </w:r>
          </w:p>
        </w:tc>
        <w:tc>
          <w:tcPr>
            <w:tcW w:w="1571" w:type="dxa"/>
          </w:tcPr>
          <w:p w14:paraId="344E1D8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c>
          <w:tcPr>
            <w:tcW w:w="1564" w:type="dxa"/>
          </w:tcPr>
          <w:p w14:paraId="33CFF0E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95</w:t>
            </w:r>
          </w:p>
        </w:tc>
        <w:tc>
          <w:tcPr>
            <w:tcW w:w="1253" w:type="dxa"/>
          </w:tcPr>
          <w:p w14:paraId="4B59A97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r>
      <w:tr w:rsidR="00A07DBE" w:rsidRPr="00586DF6" w14:paraId="36349737" w14:textId="77777777" w:rsidTr="007E171C">
        <w:trPr>
          <w:trHeight w:val="296"/>
        </w:trPr>
        <w:tc>
          <w:tcPr>
            <w:tcW w:w="531" w:type="dxa"/>
          </w:tcPr>
          <w:p w14:paraId="0C2501AF"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w:t>
            </w:r>
          </w:p>
        </w:tc>
        <w:tc>
          <w:tcPr>
            <w:tcW w:w="1590" w:type="dxa"/>
          </w:tcPr>
          <w:p w14:paraId="02BE470F"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Barnala</w:t>
            </w:r>
          </w:p>
        </w:tc>
        <w:tc>
          <w:tcPr>
            <w:tcW w:w="1993" w:type="dxa"/>
          </w:tcPr>
          <w:p w14:paraId="58B8AB91"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Barnala</w:t>
            </w:r>
          </w:p>
        </w:tc>
        <w:tc>
          <w:tcPr>
            <w:tcW w:w="1571" w:type="dxa"/>
          </w:tcPr>
          <w:p w14:paraId="3F9ABE75"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21</w:t>
            </w:r>
          </w:p>
        </w:tc>
        <w:tc>
          <w:tcPr>
            <w:tcW w:w="1564" w:type="dxa"/>
          </w:tcPr>
          <w:p w14:paraId="2E8964B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w:t>
            </w:r>
          </w:p>
        </w:tc>
        <w:tc>
          <w:tcPr>
            <w:tcW w:w="1253" w:type="dxa"/>
          </w:tcPr>
          <w:p w14:paraId="67EACFD9"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10</w:t>
            </w:r>
          </w:p>
        </w:tc>
      </w:tr>
      <w:tr w:rsidR="00A07DBE" w:rsidRPr="00586DF6" w14:paraId="19BC30D4" w14:textId="77777777" w:rsidTr="007E171C">
        <w:trPr>
          <w:trHeight w:val="304"/>
        </w:trPr>
        <w:tc>
          <w:tcPr>
            <w:tcW w:w="531" w:type="dxa"/>
          </w:tcPr>
          <w:p w14:paraId="1A99FB97"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tcPr>
          <w:p w14:paraId="205584D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BD5A2F8"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Tapa</w:t>
            </w:r>
          </w:p>
        </w:tc>
        <w:tc>
          <w:tcPr>
            <w:tcW w:w="1571" w:type="dxa"/>
          </w:tcPr>
          <w:p w14:paraId="1DD9B16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c>
          <w:tcPr>
            <w:tcW w:w="1564" w:type="dxa"/>
          </w:tcPr>
          <w:p w14:paraId="43787851"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40</w:t>
            </w:r>
          </w:p>
        </w:tc>
        <w:tc>
          <w:tcPr>
            <w:tcW w:w="1253" w:type="dxa"/>
          </w:tcPr>
          <w:p w14:paraId="7FAC8D7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w:t>
            </w:r>
          </w:p>
        </w:tc>
      </w:tr>
      <w:tr w:rsidR="00A07DBE" w:rsidRPr="00586DF6" w14:paraId="08962987" w14:textId="77777777" w:rsidTr="007E171C">
        <w:trPr>
          <w:trHeight w:val="296"/>
        </w:trPr>
        <w:tc>
          <w:tcPr>
            <w:tcW w:w="531" w:type="dxa"/>
          </w:tcPr>
          <w:p w14:paraId="63A9EEC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w:t>
            </w:r>
          </w:p>
        </w:tc>
        <w:tc>
          <w:tcPr>
            <w:tcW w:w="1590" w:type="dxa"/>
          </w:tcPr>
          <w:p w14:paraId="093A7096"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Bathinda</w:t>
            </w:r>
          </w:p>
        </w:tc>
        <w:tc>
          <w:tcPr>
            <w:tcW w:w="1993" w:type="dxa"/>
          </w:tcPr>
          <w:p w14:paraId="21FDDC9F"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Rampura Phul</w:t>
            </w:r>
          </w:p>
        </w:tc>
        <w:tc>
          <w:tcPr>
            <w:tcW w:w="1571" w:type="dxa"/>
          </w:tcPr>
          <w:p w14:paraId="23058718"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13</w:t>
            </w:r>
          </w:p>
        </w:tc>
        <w:tc>
          <w:tcPr>
            <w:tcW w:w="1564" w:type="dxa"/>
          </w:tcPr>
          <w:p w14:paraId="261C7A90"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16</w:t>
            </w:r>
          </w:p>
        </w:tc>
        <w:tc>
          <w:tcPr>
            <w:tcW w:w="1253" w:type="dxa"/>
          </w:tcPr>
          <w:p w14:paraId="2D96ADCC"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19</w:t>
            </w:r>
          </w:p>
        </w:tc>
      </w:tr>
      <w:tr w:rsidR="00A07DBE" w:rsidRPr="00586DF6" w14:paraId="01A1987D" w14:textId="77777777" w:rsidTr="007E171C">
        <w:trPr>
          <w:trHeight w:val="312"/>
        </w:trPr>
        <w:tc>
          <w:tcPr>
            <w:tcW w:w="531" w:type="dxa"/>
            <w:vMerge w:val="restart"/>
          </w:tcPr>
          <w:p w14:paraId="03C3DF49"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0C59B2B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6828C222"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Bathinda</w:t>
            </w:r>
          </w:p>
        </w:tc>
        <w:tc>
          <w:tcPr>
            <w:tcW w:w="1571" w:type="dxa"/>
          </w:tcPr>
          <w:p w14:paraId="7EAC750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23</w:t>
            </w:r>
          </w:p>
        </w:tc>
        <w:tc>
          <w:tcPr>
            <w:tcW w:w="1564" w:type="dxa"/>
          </w:tcPr>
          <w:p w14:paraId="3912963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46</w:t>
            </w:r>
          </w:p>
        </w:tc>
        <w:tc>
          <w:tcPr>
            <w:tcW w:w="1253" w:type="dxa"/>
          </w:tcPr>
          <w:p w14:paraId="19197B7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w:t>
            </w:r>
          </w:p>
        </w:tc>
      </w:tr>
      <w:tr w:rsidR="00A07DBE" w:rsidRPr="00586DF6" w14:paraId="4B46A7AE" w14:textId="77777777" w:rsidTr="007E171C">
        <w:trPr>
          <w:trHeight w:val="312"/>
        </w:trPr>
        <w:tc>
          <w:tcPr>
            <w:tcW w:w="531" w:type="dxa"/>
            <w:vMerge/>
          </w:tcPr>
          <w:p w14:paraId="2F639F3F"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1BE0F15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1F9706C3"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Talwandi Sabo</w:t>
            </w:r>
          </w:p>
        </w:tc>
        <w:tc>
          <w:tcPr>
            <w:tcW w:w="1571" w:type="dxa"/>
          </w:tcPr>
          <w:p w14:paraId="7FEB1D7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26</w:t>
            </w:r>
          </w:p>
        </w:tc>
        <w:tc>
          <w:tcPr>
            <w:tcW w:w="1564" w:type="dxa"/>
          </w:tcPr>
          <w:p w14:paraId="79D7919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w:t>
            </w:r>
          </w:p>
        </w:tc>
        <w:tc>
          <w:tcPr>
            <w:tcW w:w="1253" w:type="dxa"/>
          </w:tcPr>
          <w:p w14:paraId="5DF997F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r>
      <w:tr w:rsidR="00A07DBE" w:rsidRPr="00586DF6" w14:paraId="7D661CCE" w14:textId="77777777" w:rsidTr="007E171C">
        <w:trPr>
          <w:trHeight w:val="296"/>
        </w:trPr>
        <w:tc>
          <w:tcPr>
            <w:tcW w:w="531" w:type="dxa"/>
          </w:tcPr>
          <w:p w14:paraId="709BA1B7"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w:t>
            </w:r>
          </w:p>
        </w:tc>
        <w:tc>
          <w:tcPr>
            <w:tcW w:w="1590" w:type="dxa"/>
          </w:tcPr>
          <w:p w14:paraId="1D97CBB7"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Faridkot</w:t>
            </w:r>
          </w:p>
        </w:tc>
        <w:tc>
          <w:tcPr>
            <w:tcW w:w="1993" w:type="dxa"/>
          </w:tcPr>
          <w:p w14:paraId="636EE40D"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Faridkot</w:t>
            </w:r>
          </w:p>
        </w:tc>
        <w:tc>
          <w:tcPr>
            <w:tcW w:w="1571" w:type="dxa"/>
          </w:tcPr>
          <w:p w14:paraId="302FA5E2"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8</w:t>
            </w:r>
          </w:p>
        </w:tc>
        <w:tc>
          <w:tcPr>
            <w:tcW w:w="1564" w:type="dxa"/>
          </w:tcPr>
          <w:p w14:paraId="2EFB9CCE"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23</w:t>
            </w:r>
          </w:p>
        </w:tc>
        <w:tc>
          <w:tcPr>
            <w:tcW w:w="1253" w:type="dxa"/>
          </w:tcPr>
          <w:p w14:paraId="05BB4C2D"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11</w:t>
            </w:r>
          </w:p>
        </w:tc>
      </w:tr>
      <w:tr w:rsidR="00A07DBE" w:rsidRPr="00586DF6" w14:paraId="0B1F0B3A" w14:textId="77777777" w:rsidTr="007E171C">
        <w:trPr>
          <w:trHeight w:val="312"/>
        </w:trPr>
        <w:tc>
          <w:tcPr>
            <w:tcW w:w="531" w:type="dxa"/>
          </w:tcPr>
          <w:p w14:paraId="516C0F7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tcPr>
          <w:p w14:paraId="3999E8D3"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6085C104"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Jaitu</w:t>
            </w:r>
          </w:p>
        </w:tc>
        <w:tc>
          <w:tcPr>
            <w:tcW w:w="1571" w:type="dxa"/>
          </w:tcPr>
          <w:p w14:paraId="064A928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w:t>
            </w:r>
          </w:p>
        </w:tc>
        <w:tc>
          <w:tcPr>
            <w:tcW w:w="1564" w:type="dxa"/>
          </w:tcPr>
          <w:p w14:paraId="75E49B0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39</w:t>
            </w:r>
          </w:p>
        </w:tc>
        <w:tc>
          <w:tcPr>
            <w:tcW w:w="1253" w:type="dxa"/>
          </w:tcPr>
          <w:p w14:paraId="5E1C9F7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w:t>
            </w:r>
          </w:p>
        </w:tc>
      </w:tr>
      <w:tr w:rsidR="00A07DBE" w:rsidRPr="00586DF6" w14:paraId="64CBC5B4" w14:textId="77777777" w:rsidTr="007E171C">
        <w:trPr>
          <w:trHeight w:val="296"/>
        </w:trPr>
        <w:tc>
          <w:tcPr>
            <w:tcW w:w="531" w:type="dxa"/>
          </w:tcPr>
          <w:p w14:paraId="40FE65DE"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w:t>
            </w:r>
          </w:p>
        </w:tc>
        <w:tc>
          <w:tcPr>
            <w:tcW w:w="1590" w:type="dxa"/>
          </w:tcPr>
          <w:p w14:paraId="7A96DF85"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Fatehgarh Sahib</w:t>
            </w:r>
          </w:p>
        </w:tc>
        <w:tc>
          <w:tcPr>
            <w:tcW w:w="1993" w:type="dxa"/>
            <w:vAlign w:val="center"/>
          </w:tcPr>
          <w:p w14:paraId="0909E469"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Bassi Pathana</w:t>
            </w:r>
          </w:p>
        </w:tc>
        <w:tc>
          <w:tcPr>
            <w:tcW w:w="1571" w:type="dxa"/>
            <w:vAlign w:val="center"/>
          </w:tcPr>
          <w:p w14:paraId="5B8C439E"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10</w:t>
            </w:r>
          </w:p>
        </w:tc>
        <w:tc>
          <w:tcPr>
            <w:tcW w:w="1564" w:type="dxa"/>
            <w:vAlign w:val="center"/>
          </w:tcPr>
          <w:p w14:paraId="2F0AFC6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15</w:t>
            </w:r>
          </w:p>
        </w:tc>
        <w:tc>
          <w:tcPr>
            <w:tcW w:w="1253" w:type="dxa"/>
            <w:vAlign w:val="center"/>
          </w:tcPr>
          <w:p w14:paraId="538307B6"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18</w:t>
            </w:r>
          </w:p>
        </w:tc>
      </w:tr>
      <w:tr w:rsidR="00A07DBE" w:rsidRPr="00586DF6" w14:paraId="6D56B2CE" w14:textId="77777777" w:rsidTr="007E171C">
        <w:trPr>
          <w:trHeight w:val="304"/>
        </w:trPr>
        <w:tc>
          <w:tcPr>
            <w:tcW w:w="531" w:type="dxa"/>
            <w:vMerge w:val="restart"/>
          </w:tcPr>
          <w:p w14:paraId="786C7C8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74F15333"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6911D2EC"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Fatehgarh Sahib</w:t>
            </w:r>
          </w:p>
        </w:tc>
        <w:tc>
          <w:tcPr>
            <w:tcW w:w="1571" w:type="dxa"/>
          </w:tcPr>
          <w:p w14:paraId="6BD58A4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22</w:t>
            </w:r>
          </w:p>
        </w:tc>
        <w:tc>
          <w:tcPr>
            <w:tcW w:w="1564" w:type="dxa"/>
          </w:tcPr>
          <w:p w14:paraId="7A26271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46</w:t>
            </w:r>
          </w:p>
        </w:tc>
        <w:tc>
          <w:tcPr>
            <w:tcW w:w="1253" w:type="dxa"/>
          </w:tcPr>
          <w:p w14:paraId="24B5CBC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43</w:t>
            </w:r>
          </w:p>
        </w:tc>
      </w:tr>
      <w:tr w:rsidR="00A07DBE" w:rsidRPr="00586DF6" w14:paraId="039CB611" w14:textId="77777777" w:rsidTr="007E171C">
        <w:trPr>
          <w:trHeight w:val="304"/>
        </w:trPr>
        <w:tc>
          <w:tcPr>
            <w:tcW w:w="531" w:type="dxa"/>
            <w:vMerge/>
          </w:tcPr>
          <w:p w14:paraId="3216872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54C39B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784DF032"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Amloh</w:t>
            </w:r>
          </w:p>
        </w:tc>
        <w:tc>
          <w:tcPr>
            <w:tcW w:w="1571" w:type="dxa"/>
          </w:tcPr>
          <w:p w14:paraId="6104B78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c>
          <w:tcPr>
            <w:tcW w:w="1564" w:type="dxa"/>
          </w:tcPr>
          <w:p w14:paraId="0D00CE1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37</w:t>
            </w:r>
          </w:p>
        </w:tc>
        <w:tc>
          <w:tcPr>
            <w:tcW w:w="1253" w:type="dxa"/>
          </w:tcPr>
          <w:p w14:paraId="72F0313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0</w:t>
            </w:r>
          </w:p>
        </w:tc>
      </w:tr>
      <w:tr w:rsidR="00A07DBE" w:rsidRPr="00586DF6" w14:paraId="204B00C6" w14:textId="77777777" w:rsidTr="007E171C">
        <w:trPr>
          <w:trHeight w:val="304"/>
        </w:trPr>
        <w:tc>
          <w:tcPr>
            <w:tcW w:w="531" w:type="dxa"/>
            <w:vMerge/>
          </w:tcPr>
          <w:p w14:paraId="2E016EBD"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080203D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505AAF1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(iv) Khamanon</w:t>
            </w:r>
          </w:p>
        </w:tc>
        <w:tc>
          <w:tcPr>
            <w:tcW w:w="1571" w:type="dxa"/>
          </w:tcPr>
          <w:p w14:paraId="41FAF61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75</w:t>
            </w:r>
          </w:p>
        </w:tc>
        <w:tc>
          <w:tcPr>
            <w:tcW w:w="1564" w:type="dxa"/>
          </w:tcPr>
          <w:p w14:paraId="53BFC52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36</w:t>
            </w:r>
          </w:p>
        </w:tc>
        <w:tc>
          <w:tcPr>
            <w:tcW w:w="1253" w:type="dxa"/>
          </w:tcPr>
          <w:p w14:paraId="7EFBE34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67</w:t>
            </w:r>
          </w:p>
        </w:tc>
      </w:tr>
      <w:tr w:rsidR="00A07DBE" w:rsidRPr="00586DF6" w14:paraId="62E67A56" w14:textId="77777777" w:rsidTr="007E171C">
        <w:trPr>
          <w:trHeight w:val="296"/>
        </w:trPr>
        <w:tc>
          <w:tcPr>
            <w:tcW w:w="531" w:type="dxa"/>
          </w:tcPr>
          <w:p w14:paraId="786967A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w:t>
            </w:r>
          </w:p>
        </w:tc>
        <w:tc>
          <w:tcPr>
            <w:tcW w:w="1590" w:type="dxa"/>
          </w:tcPr>
          <w:p w14:paraId="7EBA1C39"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Firozpur</w:t>
            </w:r>
          </w:p>
        </w:tc>
        <w:tc>
          <w:tcPr>
            <w:tcW w:w="1993" w:type="dxa"/>
          </w:tcPr>
          <w:p w14:paraId="44D9BD81"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Zira</w:t>
            </w:r>
          </w:p>
        </w:tc>
        <w:tc>
          <w:tcPr>
            <w:tcW w:w="1571" w:type="dxa"/>
          </w:tcPr>
          <w:p w14:paraId="7047CF02"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13</w:t>
            </w:r>
          </w:p>
        </w:tc>
        <w:tc>
          <w:tcPr>
            <w:tcW w:w="1564" w:type="dxa"/>
          </w:tcPr>
          <w:p w14:paraId="0DDD751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10</w:t>
            </w:r>
          </w:p>
        </w:tc>
        <w:tc>
          <w:tcPr>
            <w:tcW w:w="1253" w:type="dxa"/>
          </w:tcPr>
          <w:p w14:paraId="03E0D20A"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w:t>
            </w:r>
          </w:p>
        </w:tc>
      </w:tr>
      <w:tr w:rsidR="00A07DBE" w:rsidRPr="00586DF6" w14:paraId="4832F66B" w14:textId="77777777" w:rsidTr="007E171C">
        <w:trPr>
          <w:trHeight w:val="304"/>
        </w:trPr>
        <w:tc>
          <w:tcPr>
            <w:tcW w:w="531" w:type="dxa"/>
            <w:vMerge w:val="restart"/>
          </w:tcPr>
          <w:p w14:paraId="3EF011A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1AE125E8"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4A77F5A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Firozpur</w:t>
            </w:r>
          </w:p>
        </w:tc>
        <w:tc>
          <w:tcPr>
            <w:tcW w:w="1571" w:type="dxa"/>
          </w:tcPr>
          <w:p w14:paraId="771795E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26</w:t>
            </w:r>
          </w:p>
        </w:tc>
        <w:tc>
          <w:tcPr>
            <w:tcW w:w="1564" w:type="dxa"/>
          </w:tcPr>
          <w:p w14:paraId="5EDEAC6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w:t>
            </w:r>
          </w:p>
        </w:tc>
        <w:tc>
          <w:tcPr>
            <w:tcW w:w="1253" w:type="dxa"/>
          </w:tcPr>
          <w:p w14:paraId="1F883A5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w:t>
            </w:r>
          </w:p>
        </w:tc>
      </w:tr>
      <w:tr w:rsidR="00A07DBE" w:rsidRPr="00586DF6" w14:paraId="4AA85420" w14:textId="77777777" w:rsidTr="007E171C">
        <w:trPr>
          <w:trHeight w:val="304"/>
        </w:trPr>
        <w:tc>
          <w:tcPr>
            <w:tcW w:w="531" w:type="dxa"/>
            <w:vMerge/>
          </w:tcPr>
          <w:p w14:paraId="66244667"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18ADCDF7"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5EC32976"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(iii) Jalalabad </w:t>
            </w:r>
          </w:p>
        </w:tc>
        <w:tc>
          <w:tcPr>
            <w:tcW w:w="1571" w:type="dxa"/>
          </w:tcPr>
          <w:p w14:paraId="001A7E9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109</w:t>
            </w:r>
          </w:p>
        </w:tc>
        <w:tc>
          <w:tcPr>
            <w:tcW w:w="1564" w:type="dxa"/>
          </w:tcPr>
          <w:p w14:paraId="13764D5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49</w:t>
            </w:r>
          </w:p>
        </w:tc>
        <w:tc>
          <w:tcPr>
            <w:tcW w:w="1253" w:type="dxa"/>
          </w:tcPr>
          <w:p w14:paraId="3C81626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15</w:t>
            </w:r>
          </w:p>
        </w:tc>
      </w:tr>
      <w:tr w:rsidR="00A07DBE" w:rsidRPr="00586DF6" w14:paraId="6FF94980" w14:textId="77777777" w:rsidTr="007E171C">
        <w:trPr>
          <w:trHeight w:val="304"/>
        </w:trPr>
        <w:tc>
          <w:tcPr>
            <w:tcW w:w="531" w:type="dxa"/>
            <w:vMerge/>
          </w:tcPr>
          <w:p w14:paraId="36B02BB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1F89C80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3CB5F08"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(iv) Fazilka</w:t>
            </w:r>
          </w:p>
        </w:tc>
        <w:tc>
          <w:tcPr>
            <w:tcW w:w="1571" w:type="dxa"/>
          </w:tcPr>
          <w:p w14:paraId="2C09690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22</w:t>
            </w:r>
          </w:p>
        </w:tc>
        <w:tc>
          <w:tcPr>
            <w:tcW w:w="1564" w:type="dxa"/>
          </w:tcPr>
          <w:p w14:paraId="000E46E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w:t>
            </w:r>
          </w:p>
        </w:tc>
        <w:tc>
          <w:tcPr>
            <w:tcW w:w="1253" w:type="dxa"/>
          </w:tcPr>
          <w:p w14:paraId="3EC3935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49</w:t>
            </w:r>
          </w:p>
        </w:tc>
      </w:tr>
      <w:tr w:rsidR="00A07DBE" w:rsidRPr="00586DF6" w14:paraId="26BDD301" w14:textId="77777777" w:rsidTr="007E171C">
        <w:trPr>
          <w:trHeight w:val="304"/>
        </w:trPr>
        <w:tc>
          <w:tcPr>
            <w:tcW w:w="531" w:type="dxa"/>
            <w:vMerge/>
          </w:tcPr>
          <w:p w14:paraId="49859E7F"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61E56AA"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74EF7A24"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(v)  Abohar </w:t>
            </w:r>
          </w:p>
        </w:tc>
        <w:tc>
          <w:tcPr>
            <w:tcW w:w="1571" w:type="dxa"/>
          </w:tcPr>
          <w:p w14:paraId="222DB4B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16</w:t>
            </w:r>
          </w:p>
        </w:tc>
        <w:tc>
          <w:tcPr>
            <w:tcW w:w="1564" w:type="dxa"/>
          </w:tcPr>
          <w:p w14:paraId="4E7B5B4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w:t>
            </w:r>
          </w:p>
        </w:tc>
        <w:tc>
          <w:tcPr>
            <w:tcW w:w="1253" w:type="dxa"/>
          </w:tcPr>
          <w:p w14:paraId="6D6A6BF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16</w:t>
            </w:r>
          </w:p>
        </w:tc>
      </w:tr>
      <w:tr w:rsidR="00A07DBE" w:rsidRPr="00586DF6" w14:paraId="7B3E69A8" w14:textId="77777777" w:rsidTr="007E171C">
        <w:trPr>
          <w:trHeight w:val="304"/>
        </w:trPr>
        <w:tc>
          <w:tcPr>
            <w:tcW w:w="531" w:type="dxa"/>
          </w:tcPr>
          <w:p w14:paraId="5B549E36"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w:t>
            </w:r>
          </w:p>
        </w:tc>
        <w:tc>
          <w:tcPr>
            <w:tcW w:w="1590" w:type="dxa"/>
          </w:tcPr>
          <w:p w14:paraId="58465715"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Gurdaspur</w:t>
            </w:r>
          </w:p>
        </w:tc>
        <w:tc>
          <w:tcPr>
            <w:tcW w:w="1993" w:type="dxa"/>
          </w:tcPr>
          <w:p w14:paraId="1D8795D3"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Dhar Kalan</w:t>
            </w:r>
          </w:p>
        </w:tc>
        <w:tc>
          <w:tcPr>
            <w:tcW w:w="1571" w:type="dxa"/>
          </w:tcPr>
          <w:p w14:paraId="758B8748"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181</w:t>
            </w:r>
          </w:p>
        </w:tc>
        <w:tc>
          <w:tcPr>
            <w:tcW w:w="1564" w:type="dxa"/>
          </w:tcPr>
          <w:p w14:paraId="04D1C7E0"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93</w:t>
            </w:r>
          </w:p>
        </w:tc>
        <w:tc>
          <w:tcPr>
            <w:tcW w:w="1253" w:type="dxa"/>
          </w:tcPr>
          <w:p w14:paraId="7EED9372"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25</w:t>
            </w:r>
          </w:p>
        </w:tc>
      </w:tr>
      <w:tr w:rsidR="00A07DBE" w:rsidRPr="00586DF6" w14:paraId="6B970609" w14:textId="77777777" w:rsidTr="007E171C">
        <w:trPr>
          <w:trHeight w:val="304"/>
        </w:trPr>
        <w:tc>
          <w:tcPr>
            <w:tcW w:w="531" w:type="dxa"/>
            <w:vMerge w:val="restart"/>
          </w:tcPr>
          <w:p w14:paraId="24684BF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50362468"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481F8B0A"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  Pathankot       </w:t>
            </w:r>
          </w:p>
        </w:tc>
        <w:tc>
          <w:tcPr>
            <w:tcW w:w="1571" w:type="dxa"/>
          </w:tcPr>
          <w:p w14:paraId="7D25CFA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29</w:t>
            </w:r>
          </w:p>
        </w:tc>
        <w:tc>
          <w:tcPr>
            <w:tcW w:w="1564" w:type="dxa"/>
          </w:tcPr>
          <w:p w14:paraId="2E9B3AE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51</w:t>
            </w:r>
          </w:p>
        </w:tc>
        <w:tc>
          <w:tcPr>
            <w:tcW w:w="1253" w:type="dxa"/>
          </w:tcPr>
          <w:p w14:paraId="142F09C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18</w:t>
            </w:r>
          </w:p>
        </w:tc>
      </w:tr>
      <w:tr w:rsidR="00A07DBE" w:rsidRPr="00586DF6" w14:paraId="434C74EB" w14:textId="77777777" w:rsidTr="007E171C">
        <w:trPr>
          <w:trHeight w:val="304"/>
        </w:trPr>
        <w:tc>
          <w:tcPr>
            <w:tcW w:w="531" w:type="dxa"/>
            <w:vMerge/>
          </w:tcPr>
          <w:p w14:paraId="1BCF72F2"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0079622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4BB6C9B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(iii) Gurdaspur </w:t>
            </w:r>
          </w:p>
        </w:tc>
        <w:tc>
          <w:tcPr>
            <w:tcW w:w="1571" w:type="dxa"/>
          </w:tcPr>
          <w:p w14:paraId="3E64FB4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0</w:t>
            </w:r>
          </w:p>
        </w:tc>
        <w:tc>
          <w:tcPr>
            <w:tcW w:w="1564" w:type="dxa"/>
          </w:tcPr>
          <w:p w14:paraId="4309700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25</w:t>
            </w:r>
          </w:p>
        </w:tc>
        <w:tc>
          <w:tcPr>
            <w:tcW w:w="1253" w:type="dxa"/>
          </w:tcPr>
          <w:p w14:paraId="5C1C433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13</w:t>
            </w:r>
          </w:p>
        </w:tc>
      </w:tr>
      <w:tr w:rsidR="00A07DBE" w:rsidRPr="00586DF6" w14:paraId="5C2247DE" w14:textId="77777777" w:rsidTr="007E171C">
        <w:trPr>
          <w:trHeight w:val="304"/>
        </w:trPr>
        <w:tc>
          <w:tcPr>
            <w:tcW w:w="531" w:type="dxa"/>
            <w:vMerge/>
          </w:tcPr>
          <w:p w14:paraId="672E3B94"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73B07F4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55105AFA"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(iv) Batala </w:t>
            </w:r>
          </w:p>
        </w:tc>
        <w:tc>
          <w:tcPr>
            <w:tcW w:w="1571" w:type="dxa"/>
          </w:tcPr>
          <w:p w14:paraId="6F7F170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0</w:t>
            </w:r>
          </w:p>
        </w:tc>
        <w:tc>
          <w:tcPr>
            <w:tcW w:w="1564" w:type="dxa"/>
          </w:tcPr>
          <w:p w14:paraId="79A3BBE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26</w:t>
            </w:r>
          </w:p>
        </w:tc>
        <w:tc>
          <w:tcPr>
            <w:tcW w:w="1253" w:type="dxa"/>
          </w:tcPr>
          <w:p w14:paraId="196BEAF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32</w:t>
            </w:r>
          </w:p>
        </w:tc>
      </w:tr>
      <w:tr w:rsidR="00A07DBE" w:rsidRPr="00586DF6" w14:paraId="2CF79716" w14:textId="77777777" w:rsidTr="007E171C">
        <w:trPr>
          <w:trHeight w:val="304"/>
        </w:trPr>
        <w:tc>
          <w:tcPr>
            <w:tcW w:w="531" w:type="dxa"/>
            <w:vMerge/>
          </w:tcPr>
          <w:p w14:paraId="2A2C01B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7549A84F"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25CAC3B4"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(v)  Dera Baba Nanak  </w:t>
            </w:r>
          </w:p>
        </w:tc>
        <w:tc>
          <w:tcPr>
            <w:tcW w:w="1571" w:type="dxa"/>
          </w:tcPr>
          <w:p w14:paraId="6EC2A48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24</w:t>
            </w:r>
          </w:p>
        </w:tc>
        <w:tc>
          <w:tcPr>
            <w:tcW w:w="1564" w:type="dxa"/>
          </w:tcPr>
          <w:p w14:paraId="3C2EF4E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31</w:t>
            </w:r>
          </w:p>
        </w:tc>
        <w:tc>
          <w:tcPr>
            <w:tcW w:w="1253" w:type="dxa"/>
          </w:tcPr>
          <w:p w14:paraId="707754A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29</w:t>
            </w:r>
          </w:p>
        </w:tc>
      </w:tr>
      <w:tr w:rsidR="00A07DBE" w:rsidRPr="00586DF6" w14:paraId="55BDFD9F" w14:textId="77777777" w:rsidTr="007E171C">
        <w:trPr>
          <w:trHeight w:val="296"/>
        </w:trPr>
        <w:tc>
          <w:tcPr>
            <w:tcW w:w="531" w:type="dxa"/>
          </w:tcPr>
          <w:p w14:paraId="316BE9C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w:t>
            </w:r>
          </w:p>
        </w:tc>
        <w:tc>
          <w:tcPr>
            <w:tcW w:w="1590" w:type="dxa"/>
          </w:tcPr>
          <w:p w14:paraId="13F364E3"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Hoshiarpur</w:t>
            </w:r>
          </w:p>
        </w:tc>
        <w:tc>
          <w:tcPr>
            <w:tcW w:w="1993" w:type="dxa"/>
          </w:tcPr>
          <w:p w14:paraId="7B720EC9"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Dasua</w:t>
            </w:r>
          </w:p>
        </w:tc>
        <w:tc>
          <w:tcPr>
            <w:tcW w:w="1571" w:type="dxa"/>
          </w:tcPr>
          <w:p w14:paraId="61AE294E"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34</w:t>
            </w:r>
          </w:p>
        </w:tc>
        <w:tc>
          <w:tcPr>
            <w:tcW w:w="1564" w:type="dxa"/>
          </w:tcPr>
          <w:p w14:paraId="717391F0"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36</w:t>
            </w:r>
          </w:p>
        </w:tc>
        <w:tc>
          <w:tcPr>
            <w:tcW w:w="1253" w:type="dxa"/>
          </w:tcPr>
          <w:p w14:paraId="79B2A702"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51</w:t>
            </w:r>
          </w:p>
        </w:tc>
      </w:tr>
      <w:tr w:rsidR="00A07DBE" w:rsidRPr="00586DF6" w14:paraId="6805BAFA" w14:textId="77777777" w:rsidTr="007E171C">
        <w:trPr>
          <w:trHeight w:val="304"/>
        </w:trPr>
        <w:tc>
          <w:tcPr>
            <w:tcW w:w="531" w:type="dxa"/>
            <w:vMerge w:val="restart"/>
          </w:tcPr>
          <w:p w14:paraId="74B7AD6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45833C4D"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56AD3CB3"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  Mukerian </w:t>
            </w:r>
          </w:p>
        </w:tc>
        <w:tc>
          <w:tcPr>
            <w:tcW w:w="1571" w:type="dxa"/>
          </w:tcPr>
          <w:p w14:paraId="4EFE79F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71</w:t>
            </w:r>
          </w:p>
        </w:tc>
        <w:tc>
          <w:tcPr>
            <w:tcW w:w="1564" w:type="dxa"/>
          </w:tcPr>
          <w:p w14:paraId="139ACC6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34</w:t>
            </w:r>
          </w:p>
        </w:tc>
        <w:tc>
          <w:tcPr>
            <w:tcW w:w="1253" w:type="dxa"/>
          </w:tcPr>
          <w:p w14:paraId="349F8D8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35</w:t>
            </w:r>
          </w:p>
        </w:tc>
      </w:tr>
      <w:tr w:rsidR="00A07DBE" w:rsidRPr="00586DF6" w14:paraId="118FCEFD" w14:textId="77777777" w:rsidTr="007E171C">
        <w:trPr>
          <w:trHeight w:val="304"/>
        </w:trPr>
        <w:tc>
          <w:tcPr>
            <w:tcW w:w="531" w:type="dxa"/>
            <w:vMerge/>
          </w:tcPr>
          <w:p w14:paraId="3EE2EC7A"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296CE2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E6E783F"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(iii) Hoshiarpur </w:t>
            </w:r>
          </w:p>
        </w:tc>
        <w:tc>
          <w:tcPr>
            <w:tcW w:w="1571" w:type="dxa"/>
          </w:tcPr>
          <w:p w14:paraId="3F07BB7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10</w:t>
            </w:r>
          </w:p>
        </w:tc>
        <w:tc>
          <w:tcPr>
            <w:tcW w:w="1564" w:type="dxa"/>
          </w:tcPr>
          <w:p w14:paraId="26AF8F0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c>
          <w:tcPr>
            <w:tcW w:w="1253" w:type="dxa"/>
          </w:tcPr>
          <w:p w14:paraId="380E243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15</w:t>
            </w:r>
          </w:p>
        </w:tc>
      </w:tr>
      <w:tr w:rsidR="00A07DBE" w:rsidRPr="00586DF6" w14:paraId="0A6E87C8" w14:textId="77777777" w:rsidTr="007E171C">
        <w:trPr>
          <w:trHeight w:val="304"/>
        </w:trPr>
        <w:tc>
          <w:tcPr>
            <w:tcW w:w="531" w:type="dxa"/>
            <w:vMerge/>
          </w:tcPr>
          <w:p w14:paraId="55046932"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544803A"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4FF7FB7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(iv) Garhshankar</w:t>
            </w:r>
          </w:p>
        </w:tc>
        <w:tc>
          <w:tcPr>
            <w:tcW w:w="1571" w:type="dxa"/>
          </w:tcPr>
          <w:p w14:paraId="777738F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c>
          <w:tcPr>
            <w:tcW w:w="1564" w:type="dxa"/>
          </w:tcPr>
          <w:p w14:paraId="33D0ED5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46</w:t>
            </w:r>
          </w:p>
        </w:tc>
        <w:tc>
          <w:tcPr>
            <w:tcW w:w="1253" w:type="dxa"/>
          </w:tcPr>
          <w:p w14:paraId="712DF07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r>
      <w:tr w:rsidR="00A07DBE" w:rsidRPr="00586DF6" w14:paraId="36B298C7" w14:textId="77777777" w:rsidTr="007E171C">
        <w:trPr>
          <w:trHeight w:val="296"/>
        </w:trPr>
        <w:tc>
          <w:tcPr>
            <w:tcW w:w="531" w:type="dxa"/>
          </w:tcPr>
          <w:p w14:paraId="4D5BBE06"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w:t>
            </w:r>
          </w:p>
        </w:tc>
        <w:tc>
          <w:tcPr>
            <w:tcW w:w="1590" w:type="dxa"/>
          </w:tcPr>
          <w:p w14:paraId="5395D920"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Jalandhar</w:t>
            </w:r>
          </w:p>
        </w:tc>
        <w:tc>
          <w:tcPr>
            <w:tcW w:w="1993" w:type="dxa"/>
          </w:tcPr>
          <w:p w14:paraId="36B77E83"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Shahkot</w:t>
            </w:r>
          </w:p>
        </w:tc>
        <w:tc>
          <w:tcPr>
            <w:tcW w:w="1571" w:type="dxa"/>
          </w:tcPr>
          <w:p w14:paraId="387D31EB"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26</w:t>
            </w:r>
          </w:p>
        </w:tc>
        <w:tc>
          <w:tcPr>
            <w:tcW w:w="1564" w:type="dxa"/>
          </w:tcPr>
          <w:p w14:paraId="35F0E567"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41</w:t>
            </w:r>
          </w:p>
        </w:tc>
        <w:tc>
          <w:tcPr>
            <w:tcW w:w="1253" w:type="dxa"/>
          </w:tcPr>
          <w:p w14:paraId="759D82D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31</w:t>
            </w:r>
          </w:p>
        </w:tc>
      </w:tr>
      <w:tr w:rsidR="00A07DBE" w:rsidRPr="00586DF6" w14:paraId="49535065" w14:textId="77777777" w:rsidTr="007E171C">
        <w:trPr>
          <w:trHeight w:val="304"/>
        </w:trPr>
        <w:tc>
          <w:tcPr>
            <w:tcW w:w="531" w:type="dxa"/>
            <w:vMerge w:val="restart"/>
          </w:tcPr>
          <w:p w14:paraId="7C9BD63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0175161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3DCD5E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Nakodar</w:t>
            </w:r>
          </w:p>
        </w:tc>
        <w:tc>
          <w:tcPr>
            <w:tcW w:w="1571" w:type="dxa"/>
          </w:tcPr>
          <w:p w14:paraId="4A06FA8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25</w:t>
            </w:r>
          </w:p>
        </w:tc>
        <w:tc>
          <w:tcPr>
            <w:tcW w:w="1564" w:type="dxa"/>
          </w:tcPr>
          <w:p w14:paraId="08C6CD5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w:t>
            </w:r>
          </w:p>
        </w:tc>
        <w:tc>
          <w:tcPr>
            <w:tcW w:w="1253" w:type="dxa"/>
          </w:tcPr>
          <w:p w14:paraId="4DBF921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19</w:t>
            </w:r>
          </w:p>
        </w:tc>
      </w:tr>
      <w:tr w:rsidR="00A07DBE" w:rsidRPr="00586DF6" w14:paraId="07828C30" w14:textId="77777777" w:rsidTr="007E171C">
        <w:trPr>
          <w:trHeight w:val="304"/>
        </w:trPr>
        <w:tc>
          <w:tcPr>
            <w:tcW w:w="531" w:type="dxa"/>
            <w:vMerge/>
          </w:tcPr>
          <w:p w14:paraId="1C4011B4"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60F3E627"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7D1561D"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Phillaur</w:t>
            </w:r>
          </w:p>
        </w:tc>
        <w:tc>
          <w:tcPr>
            <w:tcW w:w="1571" w:type="dxa"/>
          </w:tcPr>
          <w:p w14:paraId="04E1584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w:t>
            </w:r>
          </w:p>
        </w:tc>
        <w:tc>
          <w:tcPr>
            <w:tcW w:w="1564" w:type="dxa"/>
          </w:tcPr>
          <w:p w14:paraId="54034E3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27</w:t>
            </w:r>
          </w:p>
        </w:tc>
        <w:tc>
          <w:tcPr>
            <w:tcW w:w="1253" w:type="dxa"/>
          </w:tcPr>
          <w:p w14:paraId="1DDB777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13</w:t>
            </w:r>
          </w:p>
        </w:tc>
      </w:tr>
      <w:tr w:rsidR="00A07DBE" w:rsidRPr="00586DF6" w14:paraId="65326E1A" w14:textId="77777777" w:rsidTr="007E171C">
        <w:trPr>
          <w:trHeight w:val="304"/>
        </w:trPr>
        <w:tc>
          <w:tcPr>
            <w:tcW w:w="531" w:type="dxa"/>
            <w:vMerge/>
          </w:tcPr>
          <w:p w14:paraId="3648C842"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1375602"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62EB4FE2"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(iv) Jalandhar - I</w:t>
            </w:r>
          </w:p>
        </w:tc>
        <w:tc>
          <w:tcPr>
            <w:tcW w:w="1571" w:type="dxa"/>
          </w:tcPr>
          <w:p w14:paraId="7864840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21</w:t>
            </w:r>
          </w:p>
        </w:tc>
        <w:tc>
          <w:tcPr>
            <w:tcW w:w="1564" w:type="dxa"/>
          </w:tcPr>
          <w:p w14:paraId="432A65E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c>
          <w:tcPr>
            <w:tcW w:w="1253" w:type="dxa"/>
          </w:tcPr>
          <w:p w14:paraId="4C94028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r>
      <w:tr w:rsidR="00A07DBE" w:rsidRPr="00586DF6" w14:paraId="39FC498A" w14:textId="77777777" w:rsidTr="007E171C">
        <w:trPr>
          <w:trHeight w:val="304"/>
        </w:trPr>
        <w:tc>
          <w:tcPr>
            <w:tcW w:w="531" w:type="dxa"/>
            <w:vMerge/>
          </w:tcPr>
          <w:p w14:paraId="5AB6D2F4"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2C7CFF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368294E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(v)  Jalandhar - II</w:t>
            </w:r>
          </w:p>
        </w:tc>
        <w:tc>
          <w:tcPr>
            <w:tcW w:w="1571" w:type="dxa"/>
          </w:tcPr>
          <w:p w14:paraId="4A96DE5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11</w:t>
            </w:r>
          </w:p>
        </w:tc>
        <w:tc>
          <w:tcPr>
            <w:tcW w:w="1564" w:type="dxa"/>
          </w:tcPr>
          <w:p w14:paraId="18DBD46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w:t>
            </w:r>
          </w:p>
        </w:tc>
        <w:tc>
          <w:tcPr>
            <w:tcW w:w="1253" w:type="dxa"/>
          </w:tcPr>
          <w:p w14:paraId="4470E48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42</w:t>
            </w:r>
          </w:p>
        </w:tc>
      </w:tr>
      <w:tr w:rsidR="00A07DBE" w:rsidRPr="00586DF6" w14:paraId="26BEAE83" w14:textId="77777777" w:rsidTr="007E171C">
        <w:trPr>
          <w:trHeight w:val="304"/>
        </w:trPr>
        <w:tc>
          <w:tcPr>
            <w:tcW w:w="531" w:type="dxa"/>
          </w:tcPr>
          <w:p w14:paraId="1E9E10F2"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10</w:t>
            </w:r>
          </w:p>
        </w:tc>
        <w:tc>
          <w:tcPr>
            <w:tcW w:w="1590" w:type="dxa"/>
          </w:tcPr>
          <w:p w14:paraId="30FCD747"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Kapurthala</w:t>
            </w:r>
          </w:p>
        </w:tc>
        <w:tc>
          <w:tcPr>
            <w:tcW w:w="1993" w:type="dxa"/>
          </w:tcPr>
          <w:p w14:paraId="6EDB7D95"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Bhulath</w:t>
            </w:r>
          </w:p>
        </w:tc>
        <w:tc>
          <w:tcPr>
            <w:tcW w:w="1571" w:type="dxa"/>
          </w:tcPr>
          <w:p w14:paraId="756D9F35"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15</w:t>
            </w:r>
          </w:p>
        </w:tc>
        <w:tc>
          <w:tcPr>
            <w:tcW w:w="1564" w:type="dxa"/>
          </w:tcPr>
          <w:p w14:paraId="0981AB9E"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33</w:t>
            </w:r>
          </w:p>
        </w:tc>
        <w:tc>
          <w:tcPr>
            <w:tcW w:w="1253" w:type="dxa"/>
          </w:tcPr>
          <w:p w14:paraId="4EA18D83"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19</w:t>
            </w:r>
          </w:p>
        </w:tc>
      </w:tr>
      <w:tr w:rsidR="00A07DBE" w:rsidRPr="00586DF6" w14:paraId="763B1205" w14:textId="77777777" w:rsidTr="007E171C">
        <w:trPr>
          <w:trHeight w:val="304"/>
        </w:trPr>
        <w:tc>
          <w:tcPr>
            <w:tcW w:w="531" w:type="dxa"/>
            <w:vMerge w:val="restart"/>
          </w:tcPr>
          <w:p w14:paraId="7C399BD9"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491CBFE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6EF9F1E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Kapurthala</w:t>
            </w:r>
          </w:p>
        </w:tc>
        <w:tc>
          <w:tcPr>
            <w:tcW w:w="1571" w:type="dxa"/>
          </w:tcPr>
          <w:p w14:paraId="05C1281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21</w:t>
            </w:r>
          </w:p>
        </w:tc>
        <w:tc>
          <w:tcPr>
            <w:tcW w:w="1564" w:type="dxa"/>
          </w:tcPr>
          <w:p w14:paraId="5E2BF52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w:t>
            </w:r>
          </w:p>
        </w:tc>
        <w:tc>
          <w:tcPr>
            <w:tcW w:w="1253" w:type="dxa"/>
          </w:tcPr>
          <w:p w14:paraId="57691AE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42</w:t>
            </w:r>
          </w:p>
        </w:tc>
      </w:tr>
      <w:tr w:rsidR="00A07DBE" w:rsidRPr="00586DF6" w14:paraId="36F01245" w14:textId="77777777" w:rsidTr="007E171C">
        <w:trPr>
          <w:trHeight w:val="304"/>
        </w:trPr>
        <w:tc>
          <w:tcPr>
            <w:tcW w:w="531" w:type="dxa"/>
            <w:vMerge/>
          </w:tcPr>
          <w:p w14:paraId="532F49C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582ED3E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17831E2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(iii) Sultanpur Lodhi </w:t>
            </w:r>
          </w:p>
        </w:tc>
        <w:tc>
          <w:tcPr>
            <w:tcW w:w="1571" w:type="dxa"/>
          </w:tcPr>
          <w:p w14:paraId="1C27A51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20</w:t>
            </w:r>
          </w:p>
        </w:tc>
        <w:tc>
          <w:tcPr>
            <w:tcW w:w="1564" w:type="dxa"/>
          </w:tcPr>
          <w:p w14:paraId="37F539A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w:t>
            </w:r>
          </w:p>
        </w:tc>
        <w:tc>
          <w:tcPr>
            <w:tcW w:w="1253" w:type="dxa"/>
          </w:tcPr>
          <w:p w14:paraId="55B25EE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17</w:t>
            </w:r>
          </w:p>
        </w:tc>
      </w:tr>
      <w:tr w:rsidR="00A07DBE" w:rsidRPr="00586DF6" w14:paraId="30813BB1" w14:textId="77777777" w:rsidTr="007E171C">
        <w:trPr>
          <w:trHeight w:val="304"/>
        </w:trPr>
        <w:tc>
          <w:tcPr>
            <w:tcW w:w="531" w:type="dxa"/>
            <w:vMerge/>
          </w:tcPr>
          <w:p w14:paraId="32F9C40C"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2E2D82D"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438C0BB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(iv) Phagwara </w:t>
            </w:r>
          </w:p>
        </w:tc>
        <w:tc>
          <w:tcPr>
            <w:tcW w:w="1571" w:type="dxa"/>
          </w:tcPr>
          <w:p w14:paraId="6EA95AD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12</w:t>
            </w:r>
          </w:p>
        </w:tc>
        <w:tc>
          <w:tcPr>
            <w:tcW w:w="1564" w:type="dxa"/>
          </w:tcPr>
          <w:p w14:paraId="720FE11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24</w:t>
            </w:r>
          </w:p>
        </w:tc>
        <w:tc>
          <w:tcPr>
            <w:tcW w:w="1253" w:type="dxa"/>
          </w:tcPr>
          <w:p w14:paraId="663C407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w:t>
            </w:r>
          </w:p>
        </w:tc>
      </w:tr>
      <w:tr w:rsidR="00A07DBE" w:rsidRPr="00586DF6" w14:paraId="67C83DF9" w14:textId="77777777" w:rsidTr="007E171C">
        <w:trPr>
          <w:trHeight w:val="296"/>
        </w:trPr>
        <w:tc>
          <w:tcPr>
            <w:tcW w:w="531" w:type="dxa"/>
          </w:tcPr>
          <w:p w14:paraId="68DBCCD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lastRenderedPageBreak/>
              <w:t>11</w:t>
            </w:r>
          </w:p>
        </w:tc>
        <w:tc>
          <w:tcPr>
            <w:tcW w:w="1590" w:type="dxa"/>
          </w:tcPr>
          <w:p w14:paraId="534D4DC2"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Ludhiana</w:t>
            </w:r>
          </w:p>
        </w:tc>
        <w:tc>
          <w:tcPr>
            <w:tcW w:w="1993" w:type="dxa"/>
          </w:tcPr>
          <w:p w14:paraId="57ACF187"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Samrala</w:t>
            </w:r>
          </w:p>
        </w:tc>
        <w:tc>
          <w:tcPr>
            <w:tcW w:w="1571" w:type="dxa"/>
          </w:tcPr>
          <w:p w14:paraId="20BAB105"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26</w:t>
            </w:r>
          </w:p>
        </w:tc>
        <w:tc>
          <w:tcPr>
            <w:tcW w:w="1564" w:type="dxa"/>
          </w:tcPr>
          <w:p w14:paraId="3525D2A7"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30</w:t>
            </w:r>
          </w:p>
        </w:tc>
        <w:tc>
          <w:tcPr>
            <w:tcW w:w="1253" w:type="dxa"/>
          </w:tcPr>
          <w:p w14:paraId="070F0F3D"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w:t>
            </w:r>
          </w:p>
        </w:tc>
      </w:tr>
      <w:tr w:rsidR="00A07DBE" w:rsidRPr="00586DF6" w14:paraId="0B9051A6" w14:textId="77777777" w:rsidTr="007E171C">
        <w:trPr>
          <w:trHeight w:val="304"/>
        </w:trPr>
        <w:tc>
          <w:tcPr>
            <w:tcW w:w="531" w:type="dxa"/>
            <w:vMerge w:val="restart"/>
          </w:tcPr>
          <w:p w14:paraId="07FE56BF"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4352965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525E1684"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Khanna</w:t>
            </w:r>
          </w:p>
        </w:tc>
        <w:tc>
          <w:tcPr>
            <w:tcW w:w="1571" w:type="dxa"/>
          </w:tcPr>
          <w:p w14:paraId="7E92A56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w:t>
            </w:r>
          </w:p>
        </w:tc>
        <w:tc>
          <w:tcPr>
            <w:tcW w:w="1564" w:type="dxa"/>
          </w:tcPr>
          <w:p w14:paraId="5AE096B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38</w:t>
            </w:r>
          </w:p>
        </w:tc>
        <w:tc>
          <w:tcPr>
            <w:tcW w:w="1253" w:type="dxa"/>
          </w:tcPr>
          <w:p w14:paraId="7502E82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51</w:t>
            </w:r>
          </w:p>
        </w:tc>
      </w:tr>
      <w:tr w:rsidR="00A07DBE" w:rsidRPr="00586DF6" w14:paraId="06647F83" w14:textId="77777777" w:rsidTr="007E171C">
        <w:trPr>
          <w:trHeight w:val="304"/>
        </w:trPr>
        <w:tc>
          <w:tcPr>
            <w:tcW w:w="531" w:type="dxa"/>
            <w:vMerge/>
          </w:tcPr>
          <w:p w14:paraId="3A98F2FF"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18AEE22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825B607"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Payal</w:t>
            </w:r>
          </w:p>
        </w:tc>
        <w:tc>
          <w:tcPr>
            <w:tcW w:w="1571" w:type="dxa"/>
          </w:tcPr>
          <w:p w14:paraId="29C4DA3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31</w:t>
            </w:r>
          </w:p>
        </w:tc>
        <w:tc>
          <w:tcPr>
            <w:tcW w:w="1564" w:type="dxa"/>
          </w:tcPr>
          <w:p w14:paraId="7FF39E1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16</w:t>
            </w:r>
          </w:p>
        </w:tc>
        <w:tc>
          <w:tcPr>
            <w:tcW w:w="1253" w:type="dxa"/>
          </w:tcPr>
          <w:p w14:paraId="4004776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23</w:t>
            </w:r>
          </w:p>
        </w:tc>
      </w:tr>
      <w:tr w:rsidR="00A07DBE" w:rsidRPr="00586DF6" w14:paraId="0A03782A" w14:textId="77777777" w:rsidTr="007E171C">
        <w:trPr>
          <w:trHeight w:val="304"/>
        </w:trPr>
        <w:tc>
          <w:tcPr>
            <w:tcW w:w="531" w:type="dxa"/>
            <w:vMerge/>
          </w:tcPr>
          <w:p w14:paraId="587C6BB4"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83CAB3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A801F44"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(iv)  Ludhiana (East)</w:t>
            </w:r>
          </w:p>
        </w:tc>
        <w:tc>
          <w:tcPr>
            <w:tcW w:w="1571" w:type="dxa"/>
          </w:tcPr>
          <w:p w14:paraId="703C2A7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24</w:t>
            </w:r>
          </w:p>
        </w:tc>
        <w:tc>
          <w:tcPr>
            <w:tcW w:w="1564" w:type="dxa"/>
          </w:tcPr>
          <w:p w14:paraId="4F365BB1"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10</w:t>
            </w:r>
          </w:p>
        </w:tc>
        <w:tc>
          <w:tcPr>
            <w:tcW w:w="1253" w:type="dxa"/>
          </w:tcPr>
          <w:p w14:paraId="7368795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r>
      <w:tr w:rsidR="00A07DBE" w:rsidRPr="00586DF6" w14:paraId="07869EE2" w14:textId="77777777" w:rsidTr="007E171C">
        <w:trPr>
          <w:trHeight w:val="304"/>
        </w:trPr>
        <w:tc>
          <w:tcPr>
            <w:tcW w:w="531" w:type="dxa"/>
            <w:vMerge/>
          </w:tcPr>
          <w:p w14:paraId="4225A56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947E29F"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15CDC50E"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(v)   Ludhiana (West)</w:t>
            </w:r>
          </w:p>
        </w:tc>
        <w:tc>
          <w:tcPr>
            <w:tcW w:w="1571" w:type="dxa"/>
          </w:tcPr>
          <w:p w14:paraId="120D750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w:t>
            </w:r>
          </w:p>
        </w:tc>
        <w:tc>
          <w:tcPr>
            <w:tcW w:w="1564" w:type="dxa"/>
          </w:tcPr>
          <w:p w14:paraId="294EE68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72</w:t>
            </w:r>
          </w:p>
        </w:tc>
        <w:tc>
          <w:tcPr>
            <w:tcW w:w="1253" w:type="dxa"/>
          </w:tcPr>
          <w:p w14:paraId="52EDCAB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32</w:t>
            </w:r>
          </w:p>
        </w:tc>
      </w:tr>
      <w:tr w:rsidR="00A07DBE" w:rsidRPr="00586DF6" w14:paraId="5F362DD2" w14:textId="77777777" w:rsidTr="007E171C">
        <w:trPr>
          <w:trHeight w:val="304"/>
        </w:trPr>
        <w:tc>
          <w:tcPr>
            <w:tcW w:w="531" w:type="dxa"/>
            <w:vMerge/>
          </w:tcPr>
          <w:p w14:paraId="5289F3C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11592109"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23551BA8"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(vi)  Raikot</w:t>
            </w:r>
          </w:p>
        </w:tc>
        <w:tc>
          <w:tcPr>
            <w:tcW w:w="1571" w:type="dxa"/>
          </w:tcPr>
          <w:p w14:paraId="1312B72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15</w:t>
            </w:r>
          </w:p>
        </w:tc>
        <w:tc>
          <w:tcPr>
            <w:tcW w:w="1564" w:type="dxa"/>
          </w:tcPr>
          <w:p w14:paraId="500912B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27</w:t>
            </w:r>
          </w:p>
        </w:tc>
        <w:tc>
          <w:tcPr>
            <w:tcW w:w="1253" w:type="dxa"/>
          </w:tcPr>
          <w:p w14:paraId="071F84C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32</w:t>
            </w:r>
          </w:p>
        </w:tc>
      </w:tr>
      <w:tr w:rsidR="00A07DBE" w:rsidRPr="00586DF6" w14:paraId="2D8B23C9" w14:textId="77777777" w:rsidTr="007E171C">
        <w:trPr>
          <w:trHeight w:val="304"/>
        </w:trPr>
        <w:tc>
          <w:tcPr>
            <w:tcW w:w="531" w:type="dxa"/>
            <w:vMerge/>
          </w:tcPr>
          <w:p w14:paraId="3C88B578"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63A690D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80E5BB3"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(vii) Jagraon</w:t>
            </w:r>
          </w:p>
        </w:tc>
        <w:tc>
          <w:tcPr>
            <w:tcW w:w="1571" w:type="dxa"/>
          </w:tcPr>
          <w:p w14:paraId="29E0973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19</w:t>
            </w:r>
          </w:p>
        </w:tc>
        <w:tc>
          <w:tcPr>
            <w:tcW w:w="1564" w:type="dxa"/>
          </w:tcPr>
          <w:p w14:paraId="2816649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w:t>
            </w:r>
          </w:p>
        </w:tc>
        <w:tc>
          <w:tcPr>
            <w:tcW w:w="1253" w:type="dxa"/>
          </w:tcPr>
          <w:p w14:paraId="7E1CAFA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22</w:t>
            </w:r>
          </w:p>
        </w:tc>
      </w:tr>
      <w:tr w:rsidR="00A07DBE" w:rsidRPr="00586DF6" w14:paraId="37401F3F" w14:textId="77777777" w:rsidTr="007E171C">
        <w:trPr>
          <w:trHeight w:val="304"/>
        </w:trPr>
        <w:tc>
          <w:tcPr>
            <w:tcW w:w="531" w:type="dxa"/>
          </w:tcPr>
          <w:p w14:paraId="4DE89D93"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12</w:t>
            </w:r>
          </w:p>
        </w:tc>
        <w:tc>
          <w:tcPr>
            <w:tcW w:w="1590" w:type="dxa"/>
          </w:tcPr>
          <w:p w14:paraId="6FF1FC26"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Mansa</w:t>
            </w:r>
          </w:p>
        </w:tc>
        <w:tc>
          <w:tcPr>
            <w:tcW w:w="1993" w:type="dxa"/>
          </w:tcPr>
          <w:p w14:paraId="31631F4A"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Sardulgarh</w:t>
            </w:r>
          </w:p>
        </w:tc>
        <w:tc>
          <w:tcPr>
            <w:tcW w:w="1571" w:type="dxa"/>
          </w:tcPr>
          <w:p w14:paraId="42B4197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50</w:t>
            </w:r>
          </w:p>
        </w:tc>
        <w:tc>
          <w:tcPr>
            <w:tcW w:w="1564" w:type="dxa"/>
          </w:tcPr>
          <w:p w14:paraId="1242FF25"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59</w:t>
            </w:r>
          </w:p>
        </w:tc>
        <w:tc>
          <w:tcPr>
            <w:tcW w:w="1253" w:type="dxa"/>
          </w:tcPr>
          <w:p w14:paraId="2F42F866"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14</w:t>
            </w:r>
          </w:p>
        </w:tc>
      </w:tr>
      <w:tr w:rsidR="00A07DBE" w:rsidRPr="00586DF6" w14:paraId="22496C92" w14:textId="77777777" w:rsidTr="007E171C">
        <w:trPr>
          <w:trHeight w:val="304"/>
        </w:trPr>
        <w:tc>
          <w:tcPr>
            <w:tcW w:w="531" w:type="dxa"/>
            <w:vMerge w:val="restart"/>
          </w:tcPr>
          <w:p w14:paraId="31FB849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191A3A0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1E30AF4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Budhlada</w:t>
            </w:r>
          </w:p>
        </w:tc>
        <w:tc>
          <w:tcPr>
            <w:tcW w:w="1571" w:type="dxa"/>
          </w:tcPr>
          <w:p w14:paraId="4CC0177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55</w:t>
            </w:r>
          </w:p>
        </w:tc>
        <w:tc>
          <w:tcPr>
            <w:tcW w:w="1564" w:type="dxa"/>
          </w:tcPr>
          <w:p w14:paraId="0052368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w:t>
            </w:r>
          </w:p>
        </w:tc>
        <w:tc>
          <w:tcPr>
            <w:tcW w:w="1253" w:type="dxa"/>
          </w:tcPr>
          <w:p w14:paraId="6D02DF9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29</w:t>
            </w:r>
          </w:p>
        </w:tc>
      </w:tr>
      <w:tr w:rsidR="00A07DBE" w:rsidRPr="00586DF6" w14:paraId="7AC86668" w14:textId="77777777" w:rsidTr="007E171C">
        <w:trPr>
          <w:trHeight w:val="304"/>
        </w:trPr>
        <w:tc>
          <w:tcPr>
            <w:tcW w:w="531" w:type="dxa"/>
            <w:vMerge/>
          </w:tcPr>
          <w:p w14:paraId="75D6D98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4E631A1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4AED5B8B"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Mansa</w:t>
            </w:r>
          </w:p>
        </w:tc>
        <w:tc>
          <w:tcPr>
            <w:tcW w:w="1571" w:type="dxa"/>
          </w:tcPr>
          <w:p w14:paraId="0EDDC641"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50</w:t>
            </w:r>
          </w:p>
        </w:tc>
        <w:tc>
          <w:tcPr>
            <w:tcW w:w="1564" w:type="dxa"/>
          </w:tcPr>
          <w:p w14:paraId="6D0B6E8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18</w:t>
            </w:r>
          </w:p>
        </w:tc>
        <w:tc>
          <w:tcPr>
            <w:tcW w:w="1253" w:type="dxa"/>
          </w:tcPr>
          <w:p w14:paraId="6A9BEC6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24</w:t>
            </w:r>
          </w:p>
        </w:tc>
      </w:tr>
      <w:tr w:rsidR="00A07DBE" w:rsidRPr="00586DF6" w14:paraId="25AA5206" w14:textId="77777777" w:rsidTr="007E171C">
        <w:trPr>
          <w:trHeight w:val="304"/>
        </w:trPr>
        <w:tc>
          <w:tcPr>
            <w:tcW w:w="531" w:type="dxa"/>
          </w:tcPr>
          <w:p w14:paraId="750D98D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13</w:t>
            </w:r>
          </w:p>
        </w:tc>
        <w:tc>
          <w:tcPr>
            <w:tcW w:w="1590" w:type="dxa"/>
          </w:tcPr>
          <w:p w14:paraId="25AC7FA4"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Moga</w:t>
            </w:r>
          </w:p>
        </w:tc>
        <w:tc>
          <w:tcPr>
            <w:tcW w:w="1993" w:type="dxa"/>
          </w:tcPr>
          <w:p w14:paraId="65A977D7"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Nihal Singhwala</w:t>
            </w:r>
          </w:p>
        </w:tc>
        <w:tc>
          <w:tcPr>
            <w:tcW w:w="1571" w:type="dxa"/>
          </w:tcPr>
          <w:p w14:paraId="316754F7"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47</w:t>
            </w:r>
          </w:p>
        </w:tc>
        <w:tc>
          <w:tcPr>
            <w:tcW w:w="1564" w:type="dxa"/>
          </w:tcPr>
          <w:p w14:paraId="643343B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67</w:t>
            </w:r>
          </w:p>
        </w:tc>
        <w:tc>
          <w:tcPr>
            <w:tcW w:w="1253" w:type="dxa"/>
          </w:tcPr>
          <w:p w14:paraId="1DBAE32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120</w:t>
            </w:r>
          </w:p>
        </w:tc>
      </w:tr>
      <w:tr w:rsidR="00A07DBE" w:rsidRPr="00586DF6" w14:paraId="3E31C3C0" w14:textId="77777777" w:rsidTr="007E171C">
        <w:trPr>
          <w:trHeight w:val="304"/>
        </w:trPr>
        <w:tc>
          <w:tcPr>
            <w:tcW w:w="531" w:type="dxa"/>
            <w:vMerge w:val="restart"/>
          </w:tcPr>
          <w:p w14:paraId="121982C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77B9E008"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30D47C68"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Bagha Purana</w:t>
            </w:r>
          </w:p>
        </w:tc>
        <w:tc>
          <w:tcPr>
            <w:tcW w:w="1571" w:type="dxa"/>
          </w:tcPr>
          <w:p w14:paraId="62B5720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60</w:t>
            </w:r>
          </w:p>
        </w:tc>
        <w:tc>
          <w:tcPr>
            <w:tcW w:w="1564" w:type="dxa"/>
          </w:tcPr>
          <w:p w14:paraId="65E464F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30</w:t>
            </w:r>
          </w:p>
        </w:tc>
        <w:tc>
          <w:tcPr>
            <w:tcW w:w="1253" w:type="dxa"/>
          </w:tcPr>
          <w:p w14:paraId="06030DB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r>
      <w:tr w:rsidR="00A07DBE" w:rsidRPr="00586DF6" w14:paraId="13266B45" w14:textId="77777777" w:rsidTr="007E171C">
        <w:trPr>
          <w:trHeight w:val="304"/>
        </w:trPr>
        <w:tc>
          <w:tcPr>
            <w:tcW w:w="531" w:type="dxa"/>
            <w:vMerge/>
          </w:tcPr>
          <w:p w14:paraId="162F8547"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818B72E"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2738370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Moga</w:t>
            </w:r>
          </w:p>
        </w:tc>
        <w:tc>
          <w:tcPr>
            <w:tcW w:w="1571" w:type="dxa"/>
          </w:tcPr>
          <w:p w14:paraId="32A2EC4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11</w:t>
            </w:r>
          </w:p>
        </w:tc>
        <w:tc>
          <w:tcPr>
            <w:tcW w:w="1564" w:type="dxa"/>
          </w:tcPr>
          <w:p w14:paraId="2F4FC54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21</w:t>
            </w:r>
          </w:p>
        </w:tc>
        <w:tc>
          <w:tcPr>
            <w:tcW w:w="1253" w:type="dxa"/>
          </w:tcPr>
          <w:p w14:paraId="2250DC7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w:t>
            </w:r>
          </w:p>
        </w:tc>
      </w:tr>
      <w:tr w:rsidR="00A07DBE" w:rsidRPr="00586DF6" w14:paraId="2FE47F05" w14:textId="77777777" w:rsidTr="007E171C">
        <w:trPr>
          <w:trHeight w:val="304"/>
        </w:trPr>
        <w:tc>
          <w:tcPr>
            <w:tcW w:w="531" w:type="dxa"/>
          </w:tcPr>
          <w:p w14:paraId="43EDE5B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c>
          <w:tcPr>
            <w:tcW w:w="1590" w:type="dxa"/>
          </w:tcPr>
          <w:p w14:paraId="1892B1C4"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Patiala</w:t>
            </w:r>
          </w:p>
        </w:tc>
        <w:tc>
          <w:tcPr>
            <w:tcW w:w="1993" w:type="dxa"/>
          </w:tcPr>
          <w:p w14:paraId="4EBA7196"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Samana</w:t>
            </w:r>
          </w:p>
        </w:tc>
        <w:tc>
          <w:tcPr>
            <w:tcW w:w="1571" w:type="dxa"/>
          </w:tcPr>
          <w:p w14:paraId="61A468F9"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30</w:t>
            </w:r>
          </w:p>
        </w:tc>
        <w:tc>
          <w:tcPr>
            <w:tcW w:w="1564" w:type="dxa"/>
          </w:tcPr>
          <w:p w14:paraId="7B5BFE5B"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40</w:t>
            </w:r>
          </w:p>
        </w:tc>
        <w:tc>
          <w:tcPr>
            <w:tcW w:w="1253" w:type="dxa"/>
          </w:tcPr>
          <w:p w14:paraId="1339EA76"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38</w:t>
            </w:r>
          </w:p>
        </w:tc>
      </w:tr>
      <w:tr w:rsidR="00A07DBE" w:rsidRPr="00586DF6" w14:paraId="725D30D2" w14:textId="77777777" w:rsidTr="007E171C">
        <w:trPr>
          <w:trHeight w:val="304"/>
        </w:trPr>
        <w:tc>
          <w:tcPr>
            <w:tcW w:w="531" w:type="dxa"/>
            <w:vMerge w:val="restart"/>
          </w:tcPr>
          <w:p w14:paraId="6BE9A799"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7DCF8F0A"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1EAF799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Patran</w:t>
            </w:r>
          </w:p>
        </w:tc>
        <w:tc>
          <w:tcPr>
            <w:tcW w:w="1571" w:type="dxa"/>
          </w:tcPr>
          <w:p w14:paraId="4CD801D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37</w:t>
            </w:r>
          </w:p>
        </w:tc>
        <w:tc>
          <w:tcPr>
            <w:tcW w:w="1564" w:type="dxa"/>
          </w:tcPr>
          <w:p w14:paraId="15CBCEE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30</w:t>
            </w:r>
          </w:p>
        </w:tc>
        <w:tc>
          <w:tcPr>
            <w:tcW w:w="1253" w:type="dxa"/>
          </w:tcPr>
          <w:p w14:paraId="46CE45E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0</w:t>
            </w:r>
          </w:p>
        </w:tc>
      </w:tr>
      <w:tr w:rsidR="00A07DBE" w:rsidRPr="00586DF6" w14:paraId="3966C852" w14:textId="77777777" w:rsidTr="007E171C">
        <w:trPr>
          <w:trHeight w:val="304"/>
        </w:trPr>
        <w:tc>
          <w:tcPr>
            <w:tcW w:w="531" w:type="dxa"/>
            <w:vMerge/>
          </w:tcPr>
          <w:p w14:paraId="7C26CA1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7722F00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125F0E2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Nabha</w:t>
            </w:r>
          </w:p>
        </w:tc>
        <w:tc>
          <w:tcPr>
            <w:tcW w:w="1571" w:type="dxa"/>
          </w:tcPr>
          <w:p w14:paraId="63AE4D9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w:t>
            </w:r>
          </w:p>
        </w:tc>
        <w:tc>
          <w:tcPr>
            <w:tcW w:w="1564" w:type="dxa"/>
          </w:tcPr>
          <w:p w14:paraId="30E2D9B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53</w:t>
            </w:r>
          </w:p>
        </w:tc>
        <w:tc>
          <w:tcPr>
            <w:tcW w:w="1253" w:type="dxa"/>
          </w:tcPr>
          <w:p w14:paraId="09C72F1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17</w:t>
            </w:r>
          </w:p>
        </w:tc>
      </w:tr>
      <w:tr w:rsidR="00A07DBE" w:rsidRPr="00586DF6" w14:paraId="209F1DA0" w14:textId="77777777" w:rsidTr="007E171C">
        <w:trPr>
          <w:trHeight w:val="304"/>
        </w:trPr>
        <w:tc>
          <w:tcPr>
            <w:tcW w:w="531" w:type="dxa"/>
            <w:vMerge/>
          </w:tcPr>
          <w:p w14:paraId="371FBD6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57B189B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50FDB40F"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(iv) Patiala</w:t>
            </w:r>
          </w:p>
        </w:tc>
        <w:tc>
          <w:tcPr>
            <w:tcW w:w="1571" w:type="dxa"/>
          </w:tcPr>
          <w:p w14:paraId="2FF1773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w:t>
            </w:r>
          </w:p>
        </w:tc>
        <w:tc>
          <w:tcPr>
            <w:tcW w:w="1564" w:type="dxa"/>
          </w:tcPr>
          <w:p w14:paraId="5D777C0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w:t>
            </w:r>
          </w:p>
        </w:tc>
        <w:tc>
          <w:tcPr>
            <w:tcW w:w="1253" w:type="dxa"/>
          </w:tcPr>
          <w:p w14:paraId="4BDE0CD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34</w:t>
            </w:r>
          </w:p>
        </w:tc>
      </w:tr>
      <w:tr w:rsidR="00A07DBE" w:rsidRPr="00586DF6" w14:paraId="234DC2B1" w14:textId="77777777" w:rsidTr="007E171C">
        <w:trPr>
          <w:trHeight w:val="304"/>
        </w:trPr>
        <w:tc>
          <w:tcPr>
            <w:tcW w:w="531" w:type="dxa"/>
            <w:vMerge/>
          </w:tcPr>
          <w:p w14:paraId="1340393A"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1E01F18"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2E1597F6"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(v)  Rajpura</w:t>
            </w:r>
          </w:p>
        </w:tc>
        <w:tc>
          <w:tcPr>
            <w:tcW w:w="1571" w:type="dxa"/>
          </w:tcPr>
          <w:p w14:paraId="0D7393B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23</w:t>
            </w:r>
          </w:p>
        </w:tc>
        <w:tc>
          <w:tcPr>
            <w:tcW w:w="1564" w:type="dxa"/>
          </w:tcPr>
          <w:p w14:paraId="25F64A5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52</w:t>
            </w:r>
          </w:p>
        </w:tc>
        <w:tc>
          <w:tcPr>
            <w:tcW w:w="1253" w:type="dxa"/>
          </w:tcPr>
          <w:p w14:paraId="748EBF4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11</w:t>
            </w:r>
          </w:p>
        </w:tc>
      </w:tr>
      <w:tr w:rsidR="00A07DBE" w:rsidRPr="00586DF6" w14:paraId="648F346F" w14:textId="77777777" w:rsidTr="007E171C">
        <w:trPr>
          <w:trHeight w:val="296"/>
        </w:trPr>
        <w:tc>
          <w:tcPr>
            <w:tcW w:w="531" w:type="dxa"/>
          </w:tcPr>
          <w:p w14:paraId="7932D258"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15</w:t>
            </w:r>
          </w:p>
        </w:tc>
        <w:tc>
          <w:tcPr>
            <w:tcW w:w="1590" w:type="dxa"/>
          </w:tcPr>
          <w:p w14:paraId="2DBC7634"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Rupnagar</w:t>
            </w:r>
          </w:p>
        </w:tc>
        <w:tc>
          <w:tcPr>
            <w:tcW w:w="1993" w:type="dxa"/>
          </w:tcPr>
          <w:p w14:paraId="320F62A9"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 xml:space="preserve">(i)   Anandpur Sahib </w:t>
            </w:r>
          </w:p>
        </w:tc>
        <w:tc>
          <w:tcPr>
            <w:tcW w:w="1571" w:type="dxa"/>
          </w:tcPr>
          <w:p w14:paraId="1348C8F6"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59</w:t>
            </w:r>
          </w:p>
        </w:tc>
        <w:tc>
          <w:tcPr>
            <w:tcW w:w="1564" w:type="dxa"/>
          </w:tcPr>
          <w:p w14:paraId="6A52377E"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18</w:t>
            </w:r>
          </w:p>
        </w:tc>
        <w:tc>
          <w:tcPr>
            <w:tcW w:w="1253" w:type="dxa"/>
          </w:tcPr>
          <w:p w14:paraId="6F27CA77"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65</w:t>
            </w:r>
          </w:p>
        </w:tc>
      </w:tr>
      <w:tr w:rsidR="00A07DBE" w:rsidRPr="00586DF6" w14:paraId="0AECB5BF" w14:textId="77777777" w:rsidTr="007E171C">
        <w:trPr>
          <w:trHeight w:val="304"/>
        </w:trPr>
        <w:tc>
          <w:tcPr>
            <w:tcW w:w="531" w:type="dxa"/>
            <w:vMerge w:val="restart"/>
          </w:tcPr>
          <w:p w14:paraId="64DB743E"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52075A4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7F1EEA8B"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Nangal</w:t>
            </w:r>
          </w:p>
        </w:tc>
        <w:tc>
          <w:tcPr>
            <w:tcW w:w="1571" w:type="dxa"/>
          </w:tcPr>
          <w:p w14:paraId="6018E2C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25</w:t>
            </w:r>
          </w:p>
        </w:tc>
        <w:tc>
          <w:tcPr>
            <w:tcW w:w="1564" w:type="dxa"/>
          </w:tcPr>
          <w:p w14:paraId="35C02DE1"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43</w:t>
            </w:r>
          </w:p>
        </w:tc>
        <w:tc>
          <w:tcPr>
            <w:tcW w:w="1253" w:type="dxa"/>
          </w:tcPr>
          <w:p w14:paraId="28ACDED1"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17</w:t>
            </w:r>
          </w:p>
        </w:tc>
      </w:tr>
      <w:tr w:rsidR="00A07DBE" w:rsidRPr="00586DF6" w14:paraId="77CADDB8" w14:textId="77777777" w:rsidTr="007E171C">
        <w:trPr>
          <w:trHeight w:val="304"/>
        </w:trPr>
        <w:tc>
          <w:tcPr>
            <w:tcW w:w="531" w:type="dxa"/>
            <w:vMerge/>
          </w:tcPr>
          <w:p w14:paraId="36050E3E"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7B0040A7"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53BD4898"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Rupnagar</w:t>
            </w:r>
          </w:p>
        </w:tc>
        <w:tc>
          <w:tcPr>
            <w:tcW w:w="1571" w:type="dxa"/>
          </w:tcPr>
          <w:p w14:paraId="1F96C7D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w:t>
            </w:r>
          </w:p>
        </w:tc>
        <w:tc>
          <w:tcPr>
            <w:tcW w:w="1564" w:type="dxa"/>
          </w:tcPr>
          <w:p w14:paraId="767E183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45</w:t>
            </w:r>
          </w:p>
        </w:tc>
        <w:tc>
          <w:tcPr>
            <w:tcW w:w="1253" w:type="dxa"/>
          </w:tcPr>
          <w:p w14:paraId="5E72DE6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45</w:t>
            </w:r>
          </w:p>
        </w:tc>
      </w:tr>
      <w:tr w:rsidR="00A07DBE" w:rsidRPr="00586DF6" w14:paraId="525D85B4" w14:textId="77777777" w:rsidTr="007E171C">
        <w:trPr>
          <w:trHeight w:val="304"/>
        </w:trPr>
        <w:tc>
          <w:tcPr>
            <w:tcW w:w="531" w:type="dxa"/>
            <w:vMerge/>
          </w:tcPr>
          <w:p w14:paraId="3CA8E6E9"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6AF5748"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7FB42870"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(iv) Chamkaur Sahib </w:t>
            </w:r>
          </w:p>
        </w:tc>
        <w:tc>
          <w:tcPr>
            <w:tcW w:w="1571" w:type="dxa"/>
          </w:tcPr>
          <w:p w14:paraId="3D80553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w:t>
            </w:r>
          </w:p>
        </w:tc>
        <w:tc>
          <w:tcPr>
            <w:tcW w:w="1564" w:type="dxa"/>
          </w:tcPr>
          <w:p w14:paraId="7F52C51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54</w:t>
            </w:r>
          </w:p>
        </w:tc>
        <w:tc>
          <w:tcPr>
            <w:tcW w:w="1253" w:type="dxa"/>
          </w:tcPr>
          <w:p w14:paraId="255F416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w:t>
            </w:r>
          </w:p>
        </w:tc>
      </w:tr>
      <w:tr w:rsidR="00A07DBE" w:rsidRPr="00586DF6" w14:paraId="6BF09AFF" w14:textId="77777777" w:rsidTr="007E171C">
        <w:trPr>
          <w:trHeight w:val="296"/>
        </w:trPr>
        <w:tc>
          <w:tcPr>
            <w:tcW w:w="531" w:type="dxa"/>
          </w:tcPr>
          <w:p w14:paraId="68DF307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16</w:t>
            </w:r>
          </w:p>
        </w:tc>
        <w:tc>
          <w:tcPr>
            <w:tcW w:w="1590" w:type="dxa"/>
          </w:tcPr>
          <w:p w14:paraId="55524806"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S.A.S Nagar</w:t>
            </w:r>
          </w:p>
        </w:tc>
        <w:tc>
          <w:tcPr>
            <w:tcW w:w="1993" w:type="dxa"/>
          </w:tcPr>
          <w:p w14:paraId="50A1FA60"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Kharar</w:t>
            </w:r>
          </w:p>
        </w:tc>
        <w:tc>
          <w:tcPr>
            <w:tcW w:w="1571" w:type="dxa"/>
          </w:tcPr>
          <w:p w14:paraId="710F19CD"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w:t>
            </w:r>
          </w:p>
        </w:tc>
        <w:tc>
          <w:tcPr>
            <w:tcW w:w="1564" w:type="dxa"/>
          </w:tcPr>
          <w:p w14:paraId="6B5DC103"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26</w:t>
            </w:r>
          </w:p>
        </w:tc>
        <w:tc>
          <w:tcPr>
            <w:tcW w:w="1253" w:type="dxa"/>
          </w:tcPr>
          <w:p w14:paraId="06C26D87"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34</w:t>
            </w:r>
          </w:p>
        </w:tc>
      </w:tr>
      <w:tr w:rsidR="00A07DBE" w:rsidRPr="00586DF6" w14:paraId="4AB57C23" w14:textId="77777777" w:rsidTr="007E171C">
        <w:trPr>
          <w:trHeight w:val="304"/>
        </w:trPr>
        <w:tc>
          <w:tcPr>
            <w:tcW w:w="531" w:type="dxa"/>
            <w:vMerge w:val="restart"/>
          </w:tcPr>
          <w:p w14:paraId="0877295E"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5E7AB105"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23E5FDA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S.A.S Nagar (Mohali)</w:t>
            </w:r>
          </w:p>
        </w:tc>
        <w:tc>
          <w:tcPr>
            <w:tcW w:w="1571" w:type="dxa"/>
            <w:vAlign w:val="center"/>
          </w:tcPr>
          <w:p w14:paraId="4941050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26</w:t>
            </w:r>
          </w:p>
        </w:tc>
        <w:tc>
          <w:tcPr>
            <w:tcW w:w="1564" w:type="dxa"/>
            <w:vAlign w:val="center"/>
          </w:tcPr>
          <w:p w14:paraId="5E69AB3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w:t>
            </w:r>
          </w:p>
        </w:tc>
        <w:tc>
          <w:tcPr>
            <w:tcW w:w="1253" w:type="dxa"/>
            <w:vAlign w:val="center"/>
          </w:tcPr>
          <w:p w14:paraId="16DA2B2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36</w:t>
            </w:r>
          </w:p>
        </w:tc>
      </w:tr>
      <w:tr w:rsidR="00A07DBE" w:rsidRPr="00586DF6" w14:paraId="6C7B39D0" w14:textId="77777777" w:rsidTr="007E171C">
        <w:trPr>
          <w:trHeight w:val="304"/>
        </w:trPr>
        <w:tc>
          <w:tcPr>
            <w:tcW w:w="531" w:type="dxa"/>
            <w:vMerge/>
          </w:tcPr>
          <w:p w14:paraId="2F681AD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47D97E12"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7DC65094"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Dera Bassi</w:t>
            </w:r>
          </w:p>
        </w:tc>
        <w:tc>
          <w:tcPr>
            <w:tcW w:w="1571" w:type="dxa"/>
          </w:tcPr>
          <w:p w14:paraId="3C0E280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55</w:t>
            </w:r>
          </w:p>
        </w:tc>
        <w:tc>
          <w:tcPr>
            <w:tcW w:w="1564" w:type="dxa"/>
          </w:tcPr>
          <w:p w14:paraId="0621EAD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73</w:t>
            </w:r>
          </w:p>
        </w:tc>
        <w:tc>
          <w:tcPr>
            <w:tcW w:w="1253" w:type="dxa"/>
          </w:tcPr>
          <w:p w14:paraId="5E39DA5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39</w:t>
            </w:r>
          </w:p>
        </w:tc>
      </w:tr>
      <w:tr w:rsidR="00A07DBE" w:rsidRPr="00586DF6" w14:paraId="007FD7C9" w14:textId="77777777" w:rsidTr="007E171C">
        <w:trPr>
          <w:trHeight w:val="296"/>
        </w:trPr>
        <w:tc>
          <w:tcPr>
            <w:tcW w:w="531" w:type="dxa"/>
          </w:tcPr>
          <w:p w14:paraId="4E65CF7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17</w:t>
            </w:r>
          </w:p>
        </w:tc>
        <w:tc>
          <w:tcPr>
            <w:tcW w:w="1590" w:type="dxa"/>
          </w:tcPr>
          <w:p w14:paraId="32D48EC0"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Sangrur</w:t>
            </w:r>
          </w:p>
        </w:tc>
        <w:tc>
          <w:tcPr>
            <w:tcW w:w="1993" w:type="dxa"/>
          </w:tcPr>
          <w:p w14:paraId="1F752E06"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Malerkotla</w:t>
            </w:r>
          </w:p>
        </w:tc>
        <w:tc>
          <w:tcPr>
            <w:tcW w:w="1571" w:type="dxa"/>
          </w:tcPr>
          <w:p w14:paraId="6D736096"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8</w:t>
            </w:r>
          </w:p>
        </w:tc>
        <w:tc>
          <w:tcPr>
            <w:tcW w:w="1564" w:type="dxa"/>
          </w:tcPr>
          <w:p w14:paraId="7E4D5479"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49</w:t>
            </w:r>
          </w:p>
        </w:tc>
        <w:tc>
          <w:tcPr>
            <w:tcW w:w="1253" w:type="dxa"/>
          </w:tcPr>
          <w:p w14:paraId="77AE9B1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84</w:t>
            </w:r>
          </w:p>
        </w:tc>
      </w:tr>
      <w:tr w:rsidR="00A07DBE" w:rsidRPr="00586DF6" w14:paraId="70E526A9" w14:textId="77777777" w:rsidTr="007E171C">
        <w:trPr>
          <w:trHeight w:val="304"/>
        </w:trPr>
        <w:tc>
          <w:tcPr>
            <w:tcW w:w="531" w:type="dxa"/>
            <w:vMerge w:val="restart"/>
          </w:tcPr>
          <w:p w14:paraId="4385F03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045C6E28"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68FAB81D"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Dhuri</w:t>
            </w:r>
          </w:p>
        </w:tc>
        <w:tc>
          <w:tcPr>
            <w:tcW w:w="1571" w:type="dxa"/>
          </w:tcPr>
          <w:p w14:paraId="75762A9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w:t>
            </w:r>
          </w:p>
        </w:tc>
        <w:tc>
          <w:tcPr>
            <w:tcW w:w="1564" w:type="dxa"/>
          </w:tcPr>
          <w:p w14:paraId="514CDEF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56</w:t>
            </w:r>
          </w:p>
        </w:tc>
        <w:tc>
          <w:tcPr>
            <w:tcW w:w="1253" w:type="dxa"/>
          </w:tcPr>
          <w:p w14:paraId="0D116F3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w:t>
            </w:r>
          </w:p>
        </w:tc>
      </w:tr>
      <w:tr w:rsidR="00A07DBE" w:rsidRPr="00586DF6" w14:paraId="7F922F7F" w14:textId="77777777" w:rsidTr="007E171C">
        <w:trPr>
          <w:trHeight w:val="304"/>
        </w:trPr>
        <w:tc>
          <w:tcPr>
            <w:tcW w:w="531" w:type="dxa"/>
            <w:vMerge/>
          </w:tcPr>
          <w:p w14:paraId="220927BE"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544671B9"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2D85ADE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Sangrur</w:t>
            </w:r>
          </w:p>
        </w:tc>
        <w:tc>
          <w:tcPr>
            <w:tcW w:w="1571" w:type="dxa"/>
          </w:tcPr>
          <w:p w14:paraId="7C6D861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42</w:t>
            </w:r>
          </w:p>
        </w:tc>
        <w:tc>
          <w:tcPr>
            <w:tcW w:w="1564" w:type="dxa"/>
          </w:tcPr>
          <w:p w14:paraId="10BE981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25</w:t>
            </w:r>
          </w:p>
        </w:tc>
        <w:tc>
          <w:tcPr>
            <w:tcW w:w="1253" w:type="dxa"/>
          </w:tcPr>
          <w:p w14:paraId="7ADCB17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18</w:t>
            </w:r>
          </w:p>
        </w:tc>
      </w:tr>
      <w:tr w:rsidR="00A07DBE" w:rsidRPr="00586DF6" w14:paraId="2EB1157C" w14:textId="77777777" w:rsidTr="007E171C">
        <w:trPr>
          <w:trHeight w:val="304"/>
        </w:trPr>
        <w:tc>
          <w:tcPr>
            <w:tcW w:w="531" w:type="dxa"/>
            <w:vMerge/>
          </w:tcPr>
          <w:p w14:paraId="26351DBD"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5EC2A636"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6C6F5B8D"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(iv) Sunam</w:t>
            </w:r>
          </w:p>
        </w:tc>
        <w:tc>
          <w:tcPr>
            <w:tcW w:w="1571" w:type="dxa"/>
          </w:tcPr>
          <w:p w14:paraId="07182CA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15</w:t>
            </w:r>
          </w:p>
        </w:tc>
        <w:tc>
          <w:tcPr>
            <w:tcW w:w="1564" w:type="dxa"/>
          </w:tcPr>
          <w:p w14:paraId="4576DDD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16</w:t>
            </w:r>
          </w:p>
        </w:tc>
        <w:tc>
          <w:tcPr>
            <w:tcW w:w="1253" w:type="dxa"/>
          </w:tcPr>
          <w:p w14:paraId="7C283CC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22</w:t>
            </w:r>
          </w:p>
        </w:tc>
      </w:tr>
      <w:tr w:rsidR="00A07DBE" w:rsidRPr="00586DF6" w14:paraId="5E27C8DD" w14:textId="77777777" w:rsidTr="007E171C">
        <w:trPr>
          <w:trHeight w:val="304"/>
        </w:trPr>
        <w:tc>
          <w:tcPr>
            <w:tcW w:w="531" w:type="dxa"/>
            <w:vMerge/>
          </w:tcPr>
          <w:p w14:paraId="5A91F283"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C117BD5"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35C877F7"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(v)  Lehra</w:t>
            </w:r>
          </w:p>
        </w:tc>
        <w:tc>
          <w:tcPr>
            <w:tcW w:w="1571" w:type="dxa"/>
          </w:tcPr>
          <w:p w14:paraId="66AF138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84</w:t>
            </w:r>
          </w:p>
        </w:tc>
        <w:tc>
          <w:tcPr>
            <w:tcW w:w="1564" w:type="dxa"/>
          </w:tcPr>
          <w:p w14:paraId="658DD36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21</w:t>
            </w:r>
          </w:p>
        </w:tc>
        <w:tc>
          <w:tcPr>
            <w:tcW w:w="1253" w:type="dxa"/>
          </w:tcPr>
          <w:p w14:paraId="0CF2EAD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12</w:t>
            </w:r>
          </w:p>
        </w:tc>
      </w:tr>
      <w:tr w:rsidR="00A07DBE" w:rsidRPr="00586DF6" w14:paraId="6106A94E" w14:textId="77777777" w:rsidTr="007E171C">
        <w:trPr>
          <w:trHeight w:val="304"/>
        </w:trPr>
        <w:tc>
          <w:tcPr>
            <w:tcW w:w="531" w:type="dxa"/>
            <w:vMerge/>
          </w:tcPr>
          <w:p w14:paraId="3751BE2C"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55F96970"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5C4EC427"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(vi) Moonak</w:t>
            </w:r>
          </w:p>
        </w:tc>
        <w:tc>
          <w:tcPr>
            <w:tcW w:w="1571" w:type="dxa"/>
          </w:tcPr>
          <w:p w14:paraId="54C7FD8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c>
          <w:tcPr>
            <w:tcW w:w="1564" w:type="dxa"/>
          </w:tcPr>
          <w:p w14:paraId="175643C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12</w:t>
            </w:r>
          </w:p>
        </w:tc>
        <w:tc>
          <w:tcPr>
            <w:tcW w:w="1253" w:type="dxa"/>
          </w:tcPr>
          <w:p w14:paraId="6373801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22</w:t>
            </w:r>
          </w:p>
        </w:tc>
      </w:tr>
      <w:tr w:rsidR="00A07DBE" w:rsidRPr="00586DF6" w14:paraId="52AC875E" w14:textId="77777777" w:rsidTr="007E171C">
        <w:trPr>
          <w:trHeight w:val="304"/>
        </w:trPr>
        <w:tc>
          <w:tcPr>
            <w:tcW w:w="531" w:type="dxa"/>
          </w:tcPr>
          <w:p w14:paraId="579A0E32"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18</w:t>
            </w:r>
          </w:p>
        </w:tc>
        <w:tc>
          <w:tcPr>
            <w:tcW w:w="1590" w:type="dxa"/>
          </w:tcPr>
          <w:p w14:paraId="4C1F6D7A"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 xml:space="preserve">S.B.S Nagar </w:t>
            </w:r>
          </w:p>
        </w:tc>
        <w:tc>
          <w:tcPr>
            <w:tcW w:w="1993" w:type="dxa"/>
          </w:tcPr>
          <w:p w14:paraId="6CB7CEF0"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Nawanshahr</w:t>
            </w:r>
          </w:p>
        </w:tc>
        <w:tc>
          <w:tcPr>
            <w:tcW w:w="1571" w:type="dxa"/>
          </w:tcPr>
          <w:p w14:paraId="628AC36C"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15</w:t>
            </w:r>
          </w:p>
        </w:tc>
        <w:tc>
          <w:tcPr>
            <w:tcW w:w="1564" w:type="dxa"/>
          </w:tcPr>
          <w:p w14:paraId="0077F85B"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w:t>
            </w:r>
          </w:p>
        </w:tc>
        <w:tc>
          <w:tcPr>
            <w:tcW w:w="1253" w:type="dxa"/>
          </w:tcPr>
          <w:p w14:paraId="157F60AD"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16</w:t>
            </w:r>
          </w:p>
        </w:tc>
      </w:tr>
      <w:tr w:rsidR="00A07DBE" w:rsidRPr="00586DF6" w14:paraId="0DFC3673" w14:textId="77777777" w:rsidTr="007E171C">
        <w:trPr>
          <w:trHeight w:val="304"/>
        </w:trPr>
        <w:tc>
          <w:tcPr>
            <w:tcW w:w="531" w:type="dxa"/>
          </w:tcPr>
          <w:p w14:paraId="3FD2012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tcPr>
          <w:p w14:paraId="7683B2DF"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35721690"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Balachaur</w:t>
            </w:r>
          </w:p>
        </w:tc>
        <w:tc>
          <w:tcPr>
            <w:tcW w:w="1571" w:type="dxa"/>
          </w:tcPr>
          <w:p w14:paraId="74D86E6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37</w:t>
            </w:r>
          </w:p>
        </w:tc>
        <w:tc>
          <w:tcPr>
            <w:tcW w:w="1564" w:type="dxa"/>
          </w:tcPr>
          <w:p w14:paraId="2E1021F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15</w:t>
            </w:r>
          </w:p>
        </w:tc>
        <w:tc>
          <w:tcPr>
            <w:tcW w:w="1253" w:type="dxa"/>
          </w:tcPr>
          <w:p w14:paraId="3BF3AB3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38</w:t>
            </w:r>
          </w:p>
        </w:tc>
      </w:tr>
      <w:tr w:rsidR="00A07DBE" w:rsidRPr="00586DF6" w14:paraId="683D1A04" w14:textId="77777777" w:rsidTr="007E171C">
        <w:trPr>
          <w:trHeight w:val="296"/>
        </w:trPr>
        <w:tc>
          <w:tcPr>
            <w:tcW w:w="531" w:type="dxa"/>
          </w:tcPr>
          <w:p w14:paraId="1FC1889C"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19</w:t>
            </w:r>
          </w:p>
        </w:tc>
        <w:tc>
          <w:tcPr>
            <w:tcW w:w="1590" w:type="dxa"/>
          </w:tcPr>
          <w:p w14:paraId="5EA2904D"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Muktsar</w:t>
            </w:r>
          </w:p>
        </w:tc>
        <w:tc>
          <w:tcPr>
            <w:tcW w:w="1993" w:type="dxa"/>
          </w:tcPr>
          <w:p w14:paraId="1D86CCB1"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Malout</w:t>
            </w:r>
          </w:p>
        </w:tc>
        <w:tc>
          <w:tcPr>
            <w:tcW w:w="1571" w:type="dxa"/>
          </w:tcPr>
          <w:p w14:paraId="5767594C"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40</w:t>
            </w:r>
          </w:p>
        </w:tc>
        <w:tc>
          <w:tcPr>
            <w:tcW w:w="1564" w:type="dxa"/>
          </w:tcPr>
          <w:p w14:paraId="32D99EE3"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w:t>
            </w:r>
          </w:p>
        </w:tc>
        <w:tc>
          <w:tcPr>
            <w:tcW w:w="1253" w:type="dxa"/>
          </w:tcPr>
          <w:p w14:paraId="61B141FB"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26</w:t>
            </w:r>
          </w:p>
        </w:tc>
      </w:tr>
      <w:tr w:rsidR="00A07DBE" w:rsidRPr="00586DF6" w14:paraId="2E0C7590" w14:textId="77777777" w:rsidTr="007E171C">
        <w:trPr>
          <w:trHeight w:val="312"/>
        </w:trPr>
        <w:tc>
          <w:tcPr>
            <w:tcW w:w="531" w:type="dxa"/>
            <w:vMerge w:val="restart"/>
          </w:tcPr>
          <w:p w14:paraId="0B1BF182"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4A0CCAD6"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67CE5FF0"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Gidderbaha</w:t>
            </w:r>
          </w:p>
        </w:tc>
        <w:tc>
          <w:tcPr>
            <w:tcW w:w="1571" w:type="dxa"/>
          </w:tcPr>
          <w:p w14:paraId="73435F1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w:t>
            </w:r>
          </w:p>
        </w:tc>
        <w:tc>
          <w:tcPr>
            <w:tcW w:w="1564" w:type="dxa"/>
          </w:tcPr>
          <w:p w14:paraId="7AA4CF1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w:t>
            </w:r>
          </w:p>
        </w:tc>
        <w:tc>
          <w:tcPr>
            <w:tcW w:w="1253" w:type="dxa"/>
          </w:tcPr>
          <w:p w14:paraId="1FA8E95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44</w:t>
            </w:r>
          </w:p>
        </w:tc>
      </w:tr>
      <w:tr w:rsidR="00A07DBE" w:rsidRPr="00586DF6" w14:paraId="16A45423" w14:textId="77777777" w:rsidTr="007E171C">
        <w:trPr>
          <w:trHeight w:val="312"/>
        </w:trPr>
        <w:tc>
          <w:tcPr>
            <w:tcW w:w="531" w:type="dxa"/>
            <w:vMerge/>
          </w:tcPr>
          <w:p w14:paraId="2F06EFAD"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8259BEF"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15DC02BC"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Muktsar</w:t>
            </w:r>
          </w:p>
        </w:tc>
        <w:tc>
          <w:tcPr>
            <w:tcW w:w="1571" w:type="dxa"/>
          </w:tcPr>
          <w:p w14:paraId="346190C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24</w:t>
            </w:r>
          </w:p>
        </w:tc>
        <w:tc>
          <w:tcPr>
            <w:tcW w:w="1564" w:type="dxa"/>
          </w:tcPr>
          <w:p w14:paraId="1DFC221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33</w:t>
            </w:r>
          </w:p>
        </w:tc>
        <w:tc>
          <w:tcPr>
            <w:tcW w:w="1253" w:type="dxa"/>
          </w:tcPr>
          <w:p w14:paraId="6CB5D47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w:t>
            </w:r>
          </w:p>
        </w:tc>
      </w:tr>
      <w:tr w:rsidR="00A07DBE" w:rsidRPr="00586DF6" w14:paraId="7520964F" w14:textId="77777777" w:rsidTr="007E171C">
        <w:trPr>
          <w:trHeight w:val="304"/>
        </w:trPr>
        <w:tc>
          <w:tcPr>
            <w:tcW w:w="531" w:type="dxa"/>
          </w:tcPr>
          <w:p w14:paraId="393C8F1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20</w:t>
            </w:r>
          </w:p>
        </w:tc>
        <w:tc>
          <w:tcPr>
            <w:tcW w:w="1590" w:type="dxa"/>
          </w:tcPr>
          <w:p w14:paraId="63495C89"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Tarn Taran</w:t>
            </w:r>
          </w:p>
        </w:tc>
        <w:tc>
          <w:tcPr>
            <w:tcW w:w="1993" w:type="dxa"/>
          </w:tcPr>
          <w:p w14:paraId="106FDA0D"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 xml:space="preserve">(i)   Patti </w:t>
            </w:r>
          </w:p>
        </w:tc>
        <w:tc>
          <w:tcPr>
            <w:tcW w:w="1571" w:type="dxa"/>
          </w:tcPr>
          <w:p w14:paraId="2E0CD5E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34</w:t>
            </w:r>
          </w:p>
        </w:tc>
        <w:tc>
          <w:tcPr>
            <w:tcW w:w="1564" w:type="dxa"/>
          </w:tcPr>
          <w:p w14:paraId="3D75D235"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22</w:t>
            </w:r>
          </w:p>
        </w:tc>
        <w:tc>
          <w:tcPr>
            <w:tcW w:w="1253" w:type="dxa"/>
          </w:tcPr>
          <w:p w14:paraId="6C0E214E"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14</w:t>
            </w:r>
          </w:p>
        </w:tc>
      </w:tr>
      <w:tr w:rsidR="00A07DBE" w:rsidRPr="00586DF6" w14:paraId="4F4C73FE" w14:textId="77777777" w:rsidTr="007E171C">
        <w:trPr>
          <w:trHeight w:val="304"/>
        </w:trPr>
        <w:tc>
          <w:tcPr>
            <w:tcW w:w="531" w:type="dxa"/>
            <w:vMerge w:val="restart"/>
          </w:tcPr>
          <w:p w14:paraId="7E3340F8"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590" w:type="dxa"/>
            <w:vMerge w:val="restart"/>
          </w:tcPr>
          <w:p w14:paraId="0F505612"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18029A47"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Tarn Taran</w:t>
            </w:r>
          </w:p>
        </w:tc>
        <w:tc>
          <w:tcPr>
            <w:tcW w:w="1571" w:type="dxa"/>
          </w:tcPr>
          <w:p w14:paraId="36E54FF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w:t>
            </w:r>
          </w:p>
        </w:tc>
        <w:tc>
          <w:tcPr>
            <w:tcW w:w="1564" w:type="dxa"/>
          </w:tcPr>
          <w:p w14:paraId="1638823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30</w:t>
            </w:r>
          </w:p>
        </w:tc>
        <w:tc>
          <w:tcPr>
            <w:tcW w:w="1253" w:type="dxa"/>
          </w:tcPr>
          <w:p w14:paraId="10E8D55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20</w:t>
            </w:r>
          </w:p>
        </w:tc>
      </w:tr>
      <w:tr w:rsidR="00A07DBE" w:rsidRPr="00586DF6" w14:paraId="7A0CC8AE" w14:textId="77777777" w:rsidTr="007E171C">
        <w:trPr>
          <w:trHeight w:val="312"/>
        </w:trPr>
        <w:tc>
          <w:tcPr>
            <w:tcW w:w="531" w:type="dxa"/>
            <w:vMerge/>
          </w:tcPr>
          <w:p w14:paraId="430AC2DF"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590" w:type="dxa"/>
            <w:vMerge/>
          </w:tcPr>
          <w:p w14:paraId="0EE2B88F"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2ACF0DBB"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Khadur Sahib</w:t>
            </w:r>
          </w:p>
        </w:tc>
        <w:tc>
          <w:tcPr>
            <w:tcW w:w="1571" w:type="dxa"/>
          </w:tcPr>
          <w:p w14:paraId="644E993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A.R*</w:t>
            </w:r>
          </w:p>
        </w:tc>
        <w:tc>
          <w:tcPr>
            <w:tcW w:w="1564" w:type="dxa"/>
          </w:tcPr>
          <w:p w14:paraId="3658F4D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A.R*</w:t>
            </w:r>
          </w:p>
        </w:tc>
        <w:tc>
          <w:tcPr>
            <w:tcW w:w="1253" w:type="dxa"/>
          </w:tcPr>
          <w:p w14:paraId="0DB529A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A.R*</w:t>
            </w:r>
          </w:p>
        </w:tc>
      </w:tr>
      <w:tr w:rsidR="00A07DBE" w:rsidRPr="00586DF6" w14:paraId="00AF9BF1" w14:textId="77777777" w:rsidTr="007E171C">
        <w:trPr>
          <w:trHeight w:val="304"/>
        </w:trPr>
        <w:tc>
          <w:tcPr>
            <w:tcW w:w="4115" w:type="dxa"/>
            <w:gridSpan w:val="3"/>
          </w:tcPr>
          <w:p w14:paraId="577BBE8F"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 xml:space="preserve">             PUNJAB</w:t>
            </w:r>
          </w:p>
        </w:tc>
        <w:tc>
          <w:tcPr>
            <w:tcW w:w="1571" w:type="dxa"/>
          </w:tcPr>
          <w:p w14:paraId="414A5DD3"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12</w:t>
            </w:r>
          </w:p>
        </w:tc>
        <w:tc>
          <w:tcPr>
            <w:tcW w:w="1564" w:type="dxa"/>
          </w:tcPr>
          <w:p w14:paraId="5CFE346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3</w:t>
            </w:r>
          </w:p>
        </w:tc>
        <w:tc>
          <w:tcPr>
            <w:tcW w:w="1253" w:type="dxa"/>
          </w:tcPr>
          <w:p w14:paraId="1F2C4714"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8</w:t>
            </w:r>
          </w:p>
        </w:tc>
      </w:tr>
      <w:tr w:rsidR="00A07DBE" w:rsidRPr="00586DF6" w14:paraId="64A5EC5C" w14:textId="77777777" w:rsidTr="007E171C">
        <w:trPr>
          <w:trHeight w:val="304"/>
        </w:trPr>
        <w:tc>
          <w:tcPr>
            <w:tcW w:w="4115" w:type="dxa"/>
            <w:gridSpan w:val="3"/>
          </w:tcPr>
          <w:p w14:paraId="6BFE1F93"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 xml:space="preserve">               INDIA</w:t>
            </w:r>
          </w:p>
        </w:tc>
        <w:tc>
          <w:tcPr>
            <w:tcW w:w="1571" w:type="dxa"/>
          </w:tcPr>
          <w:p w14:paraId="0F0E3EF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13</w:t>
            </w:r>
          </w:p>
        </w:tc>
        <w:tc>
          <w:tcPr>
            <w:tcW w:w="1564" w:type="dxa"/>
          </w:tcPr>
          <w:p w14:paraId="30936D9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31</w:t>
            </w:r>
          </w:p>
        </w:tc>
        <w:tc>
          <w:tcPr>
            <w:tcW w:w="1253" w:type="dxa"/>
          </w:tcPr>
          <w:p w14:paraId="22DF1E9B"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18</w:t>
            </w:r>
          </w:p>
        </w:tc>
      </w:tr>
    </w:tbl>
    <w:p w14:paraId="4C696D46" w14:textId="77777777" w:rsidR="00A07DBE" w:rsidRPr="00586DF6" w:rsidRDefault="00A07DBE" w:rsidP="00A07DBE">
      <w:pPr>
        <w:spacing w:after="0"/>
        <w:ind w:left="-1077"/>
        <w:rPr>
          <w:rFonts w:ascii="Times New Roman" w:hAnsi="Times New Roman" w:cs="Times New Roman"/>
          <w:i/>
          <w:iCs/>
          <w:color w:val="000000" w:themeColor="text1"/>
          <w:sz w:val="20"/>
          <w:szCs w:val="20"/>
        </w:rPr>
      </w:pPr>
      <w:r w:rsidRPr="00586DF6">
        <w:rPr>
          <w:rFonts w:ascii="Times New Roman" w:hAnsi="Times New Roman" w:cs="Times New Roman"/>
          <w:b/>
          <w:bCs/>
          <w:color w:val="000000" w:themeColor="text1"/>
        </w:rPr>
        <w:t xml:space="preserve">                         </w:t>
      </w:r>
      <w:r w:rsidRPr="00586DF6">
        <w:rPr>
          <w:rFonts w:ascii="Times New Roman" w:hAnsi="Times New Roman" w:cs="Times New Roman"/>
          <w:b/>
          <w:bCs/>
          <w:color w:val="000000" w:themeColor="text1"/>
          <w:sz w:val="20"/>
          <w:szCs w:val="20"/>
        </w:rPr>
        <w:t xml:space="preserve">Source: </w:t>
      </w:r>
      <w:r w:rsidRPr="00586DF6">
        <w:rPr>
          <w:rFonts w:ascii="Times New Roman" w:hAnsi="Times New Roman" w:cs="Times New Roman"/>
          <w:i/>
          <w:iCs/>
          <w:color w:val="000000" w:themeColor="text1"/>
          <w:sz w:val="20"/>
          <w:szCs w:val="20"/>
        </w:rPr>
        <w:t>District Census Handbooks of Punjab, 1991, 2001 and 2011.</w:t>
      </w:r>
    </w:p>
    <w:p w14:paraId="0391E6D5" w14:textId="77777777" w:rsidR="00A07DBE" w:rsidRPr="00586DF6" w:rsidRDefault="00A07DBE" w:rsidP="00A07DBE">
      <w:pPr>
        <w:spacing w:after="0"/>
        <w:ind w:left="-1077"/>
        <w:rPr>
          <w:rFonts w:ascii="Times New Roman" w:hAnsi="Times New Roman" w:cs="Times New Roman"/>
          <w:color w:val="000000" w:themeColor="text1"/>
          <w:sz w:val="20"/>
          <w:szCs w:val="20"/>
        </w:rPr>
      </w:pPr>
      <w:r w:rsidRPr="00586DF6">
        <w:rPr>
          <w:rFonts w:ascii="Times New Roman" w:hAnsi="Times New Roman" w:cs="Times New Roman"/>
          <w:b/>
          <w:bCs/>
          <w:color w:val="000000" w:themeColor="text1"/>
          <w:sz w:val="20"/>
          <w:szCs w:val="20"/>
        </w:rPr>
        <w:t xml:space="preserve">                           A.R*</w:t>
      </w:r>
      <w:r w:rsidRPr="00586DF6">
        <w:rPr>
          <w:rFonts w:ascii="Times New Roman" w:hAnsi="Times New Roman" w:cs="Times New Roman"/>
          <w:color w:val="000000" w:themeColor="text1"/>
          <w:sz w:val="24"/>
          <w:szCs w:val="24"/>
        </w:rPr>
        <w:t xml:space="preserve"> </w:t>
      </w:r>
      <w:r w:rsidRPr="00586DF6">
        <w:rPr>
          <w:rFonts w:ascii="Times New Roman" w:hAnsi="Times New Roman" w:cs="Times New Roman"/>
          <w:color w:val="000000" w:themeColor="text1"/>
          <w:sz w:val="20"/>
          <w:szCs w:val="20"/>
        </w:rPr>
        <w:t>stands for All Rural.</w:t>
      </w:r>
    </w:p>
    <w:p w14:paraId="0F512909" w14:textId="77777777" w:rsidR="00A07DBE" w:rsidRPr="00586DF6" w:rsidRDefault="00A07DBE" w:rsidP="00A07DBE">
      <w:pPr>
        <w:spacing w:line="360" w:lineRule="auto"/>
        <w:jc w:val="center"/>
        <w:rPr>
          <w:noProof/>
          <w:color w:val="000000" w:themeColor="text1"/>
        </w:rPr>
      </w:pPr>
    </w:p>
    <w:p w14:paraId="37A005D4" w14:textId="04C2AE7B" w:rsidR="00A07DBE" w:rsidRPr="00586DF6" w:rsidRDefault="00A07DBE" w:rsidP="00A07DBE">
      <w:pPr>
        <w:spacing w:line="360" w:lineRule="auto"/>
        <w:jc w:val="center"/>
        <w:rPr>
          <w:rFonts w:ascii="Times New Roman" w:hAnsi="Times New Roman" w:cs="Times New Roman"/>
          <w:b/>
          <w:bCs/>
          <w:color w:val="000000" w:themeColor="text1"/>
          <w:sz w:val="28"/>
          <w:szCs w:val="28"/>
        </w:rPr>
      </w:pPr>
      <w:r w:rsidRPr="00586DF6">
        <w:rPr>
          <w:noProof/>
        </w:rPr>
        <w:lastRenderedPageBreak/>
        <w:drawing>
          <wp:anchor distT="0" distB="0" distL="114300" distR="114300" simplePos="0" relativeHeight="251659264" behindDoc="0" locked="0" layoutInCell="1" allowOverlap="1" wp14:anchorId="67FDB11C" wp14:editId="5E4C7A19">
            <wp:simplePos x="0" y="0"/>
            <wp:positionH relativeFrom="margin">
              <wp:align>left</wp:align>
            </wp:positionH>
            <wp:positionV relativeFrom="paragraph">
              <wp:posOffset>493737</wp:posOffset>
            </wp:positionV>
            <wp:extent cx="5730875" cy="7258050"/>
            <wp:effectExtent l="19050" t="19050" r="22225" b="19050"/>
            <wp:wrapThrough wrapText="bothSides">
              <wp:wrapPolygon edited="0">
                <wp:start x="-72" y="-57"/>
                <wp:lineTo x="-72" y="21600"/>
                <wp:lineTo x="21612" y="21600"/>
                <wp:lineTo x="21612" y="-57"/>
                <wp:lineTo x="-72" y="-57"/>
              </wp:wrapPolygon>
            </wp:wrapThrough>
            <wp:docPr id="2439785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1509" cy="727151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86DF6">
        <w:rPr>
          <w:rFonts w:ascii="Times New Roman" w:hAnsi="Times New Roman" w:cs="Times New Roman"/>
          <w:b/>
          <w:bCs/>
          <w:color w:val="000000" w:themeColor="text1"/>
          <w:sz w:val="28"/>
          <w:szCs w:val="28"/>
        </w:rPr>
        <w:t>Map 1</w:t>
      </w:r>
    </w:p>
    <w:p w14:paraId="110C5B67" w14:textId="77777777" w:rsidR="00A07DBE" w:rsidRPr="00586DF6" w:rsidRDefault="00A07DBE" w:rsidP="00A07DBE">
      <w:pPr>
        <w:spacing w:line="360" w:lineRule="auto"/>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 xml:space="preserve">Source: </w:t>
      </w:r>
      <w:r w:rsidRPr="00586DF6">
        <w:rPr>
          <w:rFonts w:ascii="Times New Roman" w:hAnsi="Times New Roman" w:cs="Times New Roman"/>
          <w:i/>
          <w:iCs/>
          <w:color w:val="000000" w:themeColor="text1"/>
          <w:sz w:val="24"/>
          <w:szCs w:val="24"/>
        </w:rPr>
        <w:t>District Census Handbooks of Punjab, 1991.</w:t>
      </w:r>
    </w:p>
    <w:p w14:paraId="221B398A" w14:textId="77777777" w:rsidR="00A07DBE" w:rsidRPr="00586DF6" w:rsidRDefault="00A07DBE" w:rsidP="00A07DBE">
      <w:pPr>
        <w:spacing w:line="360" w:lineRule="auto"/>
        <w:jc w:val="center"/>
        <w:rPr>
          <w:noProof/>
          <w:color w:val="000000" w:themeColor="text1"/>
        </w:rPr>
      </w:pPr>
    </w:p>
    <w:p w14:paraId="097B22AD" w14:textId="4EA513F3" w:rsidR="00A07DBE" w:rsidRPr="00586DF6" w:rsidRDefault="00A07DBE" w:rsidP="00A07DBE">
      <w:pPr>
        <w:spacing w:line="360" w:lineRule="auto"/>
        <w:jc w:val="center"/>
        <w:rPr>
          <w:rFonts w:ascii="Times New Roman" w:hAnsi="Times New Roman" w:cs="Times New Roman"/>
          <w:b/>
          <w:bCs/>
          <w:color w:val="000000" w:themeColor="text1"/>
          <w:sz w:val="28"/>
          <w:szCs w:val="28"/>
        </w:rPr>
      </w:pPr>
      <w:r w:rsidRPr="00586DF6">
        <w:rPr>
          <w:noProof/>
        </w:rPr>
        <w:lastRenderedPageBreak/>
        <w:drawing>
          <wp:anchor distT="0" distB="0" distL="114300" distR="114300" simplePos="0" relativeHeight="251660288" behindDoc="0" locked="0" layoutInCell="1" allowOverlap="1" wp14:anchorId="7ABB048D" wp14:editId="4983BF3E">
            <wp:simplePos x="0" y="0"/>
            <wp:positionH relativeFrom="margin">
              <wp:align>left</wp:align>
            </wp:positionH>
            <wp:positionV relativeFrom="paragraph">
              <wp:posOffset>493737</wp:posOffset>
            </wp:positionV>
            <wp:extent cx="5730875" cy="7265670"/>
            <wp:effectExtent l="19050" t="19050" r="22225" b="11430"/>
            <wp:wrapThrough wrapText="bothSides">
              <wp:wrapPolygon edited="0">
                <wp:start x="-72" y="-57"/>
                <wp:lineTo x="-72" y="21577"/>
                <wp:lineTo x="21612" y="21577"/>
                <wp:lineTo x="21612" y="-57"/>
                <wp:lineTo x="-72" y="-57"/>
              </wp:wrapPolygon>
            </wp:wrapThrough>
            <wp:docPr id="12628538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8913" cy="727586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86DF6">
        <w:rPr>
          <w:rFonts w:ascii="Times New Roman" w:hAnsi="Times New Roman" w:cs="Times New Roman"/>
          <w:b/>
          <w:bCs/>
          <w:color w:val="000000" w:themeColor="text1"/>
          <w:sz w:val="28"/>
          <w:szCs w:val="28"/>
        </w:rPr>
        <w:t>Map 2</w:t>
      </w:r>
    </w:p>
    <w:p w14:paraId="53EDFB85" w14:textId="77777777" w:rsidR="00A07DBE" w:rsidRPr="00586DF6" w:rsidRDefault="00A07DBE" w:rsidP="00A07DBE">
      <w:pPr>
        <w:spacing w:after="0"/>
        <w:rPr>
          <w:rFonts w:ascii="Times New Roman" w:hAnsi="Times New Roman" w:cs="Times New Roman"/>
          <w:i/>
          <w:iCs/>
          <w:color w:val="000000" w:themeColor="text1"/>
          <w:sz w:val="24"/>
          <w:szCs w:val="24"/>
        </w:rPr>
      </w:pPr>
      <w:r w:rsidRPr="00586DF6">
        <w:rPr>
          <w:rFonts w:ascii="Times New Roman" w:hAnsi="Times New Roman" w:cs="Times New Roman"/>
          <w:b/>
          <w:bCs/>
          <w:color w:val="000000" w:themeColor="text1"/>
          <w:sz w:val="24"/>
          <w:szCs w:val="24"/>
        </w:rPr>
        <w:t>Source:</w:t>
      </w:r>
      <w:r w:rsidRPr="00586DF6">
        <w:rPr>
          <w:rFonts w:ascii="Times New Roman" w:hAnsi="Times New Roman" w:cs="Times New Roman"/>
          <w:i/>
          <w:iCs/>
          <w:color w:val="000000" w:themeColor="text1"/>
          <w:sz w:val="24"/>
          <w:szCs w:val="24"/>
        </w:rPr>
        <w:t xml:space="preserve"> District Census Handbooks of Punjab, 2001.</w:t>
      </w:r>
    </w:p>
    <w:p w14:paraId="6BD711C1" w14:textId="77777777" w:rsidR="00A07DBE" w:rsidRPr="00586DF6" w:rsidRDefault="00A07DBE" w:rsidP="00A07DBE">
      <w:pPr>
        <w:rPr>
          <w:rFonts w:ascii="Times New Roman" w:hAnsi="Times New Roman" w:cs="Times New Roman"/>
          <w:color w:val="000000" w:themeColor="text1"/>
          <w:sz w:val="28"/>
          <w:szCs w:val="28"/>
        </w:rPr>
      </w:pPr>
    </w:p>
    <w:p w14:paraId="34D0FD4B" w14:textId="7D7D2F37" w:rsidR="00A07DBE" w:rsidRPr="00586DF6" w:rsidRDefault="00A07DBE" w:rsidP="00A07DBE">
      <w:pPr>
        <w:spacing w:line="360" w:lineRule="auto"/>
        <w:jc w:val="center"/>
        <w:rPr>
          <w:rFonts w:ascii="Times New Roman" w:hAnsi="Times New Roman" w:cs="Times New Roman"/>
          <w:b/>
          <w:bCs/>
          <w:color w:val="000000" w:themeColor="text1"/>
          <w:sz w:val="28"/>
          <w:szCs w:val="28"/>
        </w:rPr>
      </w:pPr>
      <w:r w:rsidRPr="00586DF6">
        <w:rPr>
          <w:noProof/>
        </w:rPr>
        <w:lastRenderedPageBreak/>
        <w:drawing>
          <wp:anchor distT="0" distB="0" distL="114300" distR="114300" simplePos="0" relativeHeight="251661312" behindDoc="0" locked="0" layoutInCell="1" allowOverlap="1" wp14:anchorId="6E95B1FC" wp14:editId="1F0B3B48">
            <wp:simplePos x="0" y="0"/>
            <wp:positionH relativeFrom="margin">
              <wp:align>left</wp:align>
            </wp:positionH>
            <wp:positionV relativeFrom="paragraph">
              <wp:posOffset>499598</wp:posOffset>
            </wp:positionV>
            <wp:extent cx="5730875" cy="7250430"/>
            <wp:effectExtent l="19050" t="19050" r="22225" b="26670"/>
            <wp:wrapThrough wrapText="bothSides">
              <wp:wrapPolygon edited="0">
                <wp:start x="-72" y="-57"/>
                <wp:lineTo x="-72" y="21623"/>
                <wp:lineTo x="21612" y="21623"/>
                <wp:lineTo x="21612" y="-57"/>
                <wp:lineTo x="-72" y="-57"/>
              </wp:wrapPolygon>
            </wp:wrapThrough>
            <wp:docPr id="10182751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2754" cy="727762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86DF6">
        <w:rPr>
          <w:rFonts w:ascii="Times New Roman" w:hAnsi="Times New Roman" w:cs="Times New Roman"/>
          <w:b/>
          <w:bCs/>
          <w:color w:val="000000" w:themeColor="text1"/>
          <w:sz w:val="28"/>
          <w:szCs w:val="28"/>
        </w:rPr>
        <w:t>Map 3</w:t>
      </w:r>
    </w:p>
    <w:p w14:paraId="5091FA8A" w14:textId="77777777" w:rsidR="00A07DBE" w:rsidRPr="00586DF6" w:rsidRDefault="00A07DBE" w:rsidP="00A07DBE">
      <w:pPr>
        <w:spacing w:after="0"/>
        <w:rPr>
          <w:rFonts w:ascii="Times New Roman" w:hAnsi="Times New Roman" w:cs="Times New Roman"/>
          <w:i/>
          <w:iCs/>
          <w:color w:val="000000" w:themeColor="text1"/>
          <w:sz w:val="24"/>
          <w:szCs w:val="24"/>
        </w:rPr>
      </w:pPr>
      <w:r w:rsidRPr="00586DF6">
        <w:rPr>
          <w:rFonts w:ascii="Times New Roman" w:hAnsi="Times New Roman" w:cs="Times New Roman"/>
          <w:b/>
          <w:bCs/>
          <w:color w:val="000000" w:themeColor="text1"/>
          <w:sz w:val="24"/>
          <w:szCs w:val="24"/>
        </w:rPr>
        <w:t xml:space="preserve">Source: </w:t>
      </w:r>
      <w:r w:rsidRPr="00586DF6">
        <w:rPr>
          <w:rFonts w:ascii="Times New Roman" w:hAnsi="Times New Roman" w:cs="Times New Roman"/>
          <w:i/>
          <w:iCs/>
          <w:color w:val="000000" w:themeColor="text1"/>
          <w:sz w:val="24"/>
          <w:szCs w:val="24"/>
        </w:rPr>
        <w:t>District Census Handbooks of Punjab, 2011.</w:t>
      </w:r>
    </w:p>
    <w:p w14:paraId="0B45673D" w14:textId="77777777" w:rsidR="00A07DBE" w:rsidRPr="00586DF6" w:rsidRDefault="00A07DBE" w:rsidP="00A07DBE">
      <w:pPr>
        <w:rPr>
          <w:rFonts w:ascii="Times New Roman" w:hAnsi="Times New Roman" w:cs="Times New Roman"/>
          <w:color w:val="000000" w:themeColor="text1"/>
          <w:sz w:val="28"/>
          <w:szCs w:val="28"/>
        </w:rPr>
      </w:pPr>
    </w:p>
    <w:p w14:paraId="2D990711" w14:textId="77777777" w:rsidR="0030490F" w:rsidRPr="00586DF6" w:rsidRDefault="0030490F">
      <w:pPr>
        <w:rPr>
          <w:bCs/>
          <w:sz w:val="28"/>
          <w:szCs w:val="28"/>
        </w:rPr>
      </w:pPr>
    </w:p>
    <w:p w14:paraId="00E80FCA" w14:textId="2282AB09" w:rsidR="002B3EBE" w:rsidRPr="00586DF6" w:rsidRDefault="002B3EBE" w:rsidP="00EF7CF3">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lastRenderedPageBreak/>
        <w:t xml:space="preserve">disparity in the rural-urban child sex ratio has increased. Another interesting finding is that a relatively high rural-urban disparity was observed in most areas located far from their district headquarters. The restrictions on rural females’ mobility from their homes are also responsible for lower awareness of their rights. Whereas relatively high levels of awareness among the urban females awaken them to their rights. Consequently, it contributes to this disparity index. </w:t>
      </w:r>
    </w:p>
    <w:p w14:paraId="61B26078"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8"/>
          <w:szCs w:val="28"/>
        </w:rPr>
        <w:t>         </w:t>
      </w:r>
      <w:r w:rsidRPr="00586DF6">
        <w:rPr>
          <w:rFonts w:ascii="Times New Roman" w:hAnsi="Times New Roman" w:cs="Times New Roman"/>
          <w:bCs/>
          <w:sz w:val="24"/>
          <w:szCs w:val="24"/>
        </w:rPr>
        <w:t xml:space="preserve">It has also been observed that sex-selective abortions are practiced in rural areas. Over time, several sex determination centres were established, even in the state's rural areas. In this context, a joint team of the Haryana Health Department and Speed Network, Chandigarh, nabbed a gang that has been involved in conducting illegal gender determination tests by installing ultrasound centres at unknown rural localities in Sangrur, Ludhiana, Patiala, and Mansa districts of the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belt (The Tribune, September 23, 2020). Thus, the rapid mushrooming of sex determination centres and their easy availability even in rural areas is also responsible for high rural-urban disparity.</w:t>
      </w:r>
    </w:p>
    <w:p w14:paraId="132BBC41"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In addition, the midwives (</w:t>
      </w:r>
      <w:r w:rsidRPr="00586DF6">
        <w:rPr>
          <w:rFonts w:ascii="Times New Roman" w:hAnsi="Times New Roman" w:cs="Times New Roman"/>
          <w:bCs/>
          <w:i/>
          <w:iCs/>
          <w:sz w:val="24"/>
          <w:szCs w:val="24"/>
        </w:rPr>
        <w:t>dais</w:t>
      </w:r>
      <w:r w:rsidRPr="00586DF6">
        <w:rPr>
          <w:rFonts w:ascii="Times New Roman" w:hAnsi="Times New Roman" w:cs="Times New Roman"/>
          <w:bCs/>
          <w:sz w:val="24"/>
          <w:szCs w:val="24"/>
        </w:rPr>
        <w:t xml:space="preserve">) of the rural areas discreetly performed the act of killing the female infants at the village level by performing traditional methods, e.g., they stifle the girl child with a pillow or with a cloth, drop a few sleeping pills, and bury them alive in sealed mud pots (Aravamudan, 2007). These local methods, which are performed by </w:t>
      </w:r>
      <w:r w:rsidRPr="00586DF6">
        <w:rPr>
          <w:rFonts w:ascii="Times New Roman" w:hAnsi="Times New Roman" w:cs="Times New Roman"/>
          <w:bCs/>
          <w:i/>
          <w:iCs/>
          <w:sz w:val="24"/>
          <w:szCs w:val="24"/>
        </w:rPr>
        <w:t>dais</w:t>
      </w:r>
      <w:r w:rsidRPr="00586DF6">
        <w:rPr>
          <w:rFonts w:ascii="Times New Roman" w:hAnsi="Times New Roman" w:cs="Times New Roman"/>
          <w:bCs/>
          <w:sz w:val="24"/>
          <w:szCs w:val="24"/>
        </w:rPr>
        <w:t xml:space="preserve"> (midwives) to neglect the girl child in remote areas, ultimately contribute to this disparity index.</w:t>
      </w:r>
    </w:p>
    <w:p w14:paraId="0FE1D4B2" w14:textId="299938C9"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On the other hand, urban areas have a high concentration of private hospitals, diagnostic centres, and ultrasound clinics. This easy availability of medical technology makes it more convenient to determine the sex of the foetus, despite legal restrictions. As a result, sex-selective abortions tend to be more prevalent in cities compared to rural areas. Moreover, urban households generally have higher incomes and purchasing power. This enables families to afford expensive diagnostic tests and procedures related to sex selection. Economic prosperity, rather than eliminating gender bias, sometimes facilitates its perpetuation through technology. It ultimately leads to rural-urban disparity in the child sex ratio.</w:t>
      </w:r>
    </w:p>
    <w:p w14:paraId="65A9644A"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Besides, urban families of the study area tend to prefer fewer children due to higher living costs, career priorities, and changing lifestyles. When family size is limited (often one or two children), the pressure to have at least one son increases. This leads to deliberate planning and, in some cases, sex-selective practices to ensure a male child. Additionally, urban populations are generally more aware of reproductive health and medical options. However, this awareness does not always translate into gender equality. Instead, knowledge is sometimes misused to make informed but biased reproductive choices. Consequently, skewed sex ratios have been found in urban settings.</w:t>
      </w:r>
    </w:p>
    <w:p w14:paraId="2E794A7E" w14:textId="77777777" w:rsidR="002B3EBE" w:rsidRPr="00586DF6" w:rsidRDefault="002B3EBE" w:rsidP="002B3EBE">
      <w:pPr>
        <w:spacing w:line="360" w:lineRule="auto"/>
        <w:jc w:val="both"/>
        <w:rPr>
          <w:rFonts w:ascii="Times New Roman" w:hAnsi="Times New Roman" w:cs="Times New Roman"/>
          <w:bCs/>
          <w:sz w:val="24"/>
          <w:szCs w:val="24"/>
        </w:rPr>
      </w:pPr>
      <w:r w:rsidRPr="00586DF6">
        <w:rPr>
          <w:rFonts w:ascii="Times New Roman" w:hAnsi="Times New Roman" w:cs="Times New Roman"/>
          <w:b/>
          <w:bCs/>
          <w:sz w:val="24"/>
          <w:szCs w:val="24"/>
        </w:rPr>
        <w:t>II. Areas with moderate rural-urban disparity in child sex ratio (between 10-20 points):</w:t>
      </w:r>
    </w:p>
    <w:p w14:paraId="7E2B94EB"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xml:space="preserve">About twenty-three percent of the tehsils had shown moderate rural-urban disparity in child sex ratio in 1991. Out of these, about forty-eight percent of the tehsils were from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and twenty-six percent from </w:t>
      </w:r>
      <w:r w:rsidRPr="00586DF6">
        <w:rPr>
          <w:rFonts w:ascii="Times New Roman" w:hAnsi="Times New Roman" w:cs="Times New Roman"/>
          <w:bCs/>
          <w:i/>
          <w:iCs/>
          <w:sz w:val="24"/>
          <w:szCs w:val="24"/>
        </w:rPr>
        <w:t>Doaba</w:t>
      </w:r>
      <w:r w:rsidRPr="00586DF6">
        <w:rPr>
          <w:rFonts w:ascii="Times New Roman" w:hAnsi="Times New Roman" w:cs="Times New Roman"/>
          <w:bCs/>
          <w:sz w:val="24"/>
          <w:szCs w:val="24"/>
        </w:rPr>
        <w:t xml:space="preserve">. Surprisingly, only one tehsil of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belonged to this category (Table 1). Sultanpur Lodhi tehsil was at the top in this regard.</w:t>
      </w:r>
    </w:p>
    <w:p w14:paraId="68FCF0B5"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xml:space="preserve">         In 2001, after one decade, only 11 tehsils recorded moderate rural-urban disparity in child sex ratio. Among these, Mansa and Anandpur Sahib were at the highest position in this respect with 18 points each. About eighteen percent of the tehsils of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reported moderate rural-urban disparity in child sex ratio. Only one tehsil each from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and </w:t>
      </w:r>
      <w:r w:rsidRPr="00586DF6">
        <w:rPr>
          <w:rFonts w:ascii="Times New Roman" w:hAnsi="Times New Roman" w:cs="Times New Roman"/>
          <w:bCs/>
          <w:i/>
          <w:iCs/>
          <w:sz w:val="24"/>
          <w:szCs w:val="24"/>
        </w:rPr>
        <w:t>Doaba</w:t>
      </w:r>
      <w:r w:rsidRPr="00586DF6">
        <w:rPr>
          <w:rFonts w:ascii="Times New Roman" w:hAnsi="Times New Roman" w:cs="Times New Roman"/>
          <w:bCs/>
          <w:sz w:val="24"/>
          <w:szCs w:val="24"/>
        </w:rPr>
        <w:t xml:space="preserve"> had reported in this regard.     </w:t>
      </w:r>
    </w:p>
    <w:p w14:paraId="4AAB3AFA"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lastRenderedPageBreak/>
        <w:t xml:space="preserve">         In 2011, almost one-third of the state's tehsils reported moderate rural-urban disparity. The top position in this regard was occupied by Tarn Taran tehsil with 20 points, followed by Nakodar, Bhulath, Rampura Phul, Bassi Pathana, Pathankot, Nangal, Nabha and Sultanpur Lodhi. About forty-two percent of the tehsils of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forty percent of </w:t>
      </w:r>
      <w:r w:rsidRPr="00586DF6">
        <w:rPr>
          <w:rFonts w:ascii="Times New Roman" w:hAnsi="Times New Roman" w:cs="Times New Roman"/>
          <w:bCs/>
          <w:i/>
          <w:iCs/>
          <w:sz w:val="24"/>
          <w:szCs w:val="24"/>
        </w:rPr>
        <w:t>Doaba</w:t>
      </w:r>
      <w:r w:rsidRPr="00586DF6">
        <w:rPr>
          <w:rFonts w:ascii="Times New Roman" w:hAnsi="Times New Roman" w:cs="Times New Roman"/>
          <w:bCs/>
          <w:sz w:val="24"/>
          <w:szCs w:val="24"/>
        </w:rPr>
        <w:t xml:space="preserve"> and twenty-eight percent of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emerged with moderate rural-urban disparity in child sex ratio (Table 1).</w:t>
      </w:r>
    </w:p>
    <w:p w14:paraId="26025FE4" w14:textId="77777777" w:rsidR="002B3EBE" w:rsidRPr="00586DF6" w:rsidRDefault="002B3EBE" w:rsidP="002B3EBE">
      <w:pPr>
        <w:spacing w:line="360" w:lineRule="auto"/>
        <w:jc w:val="both"/>
        <w:rPr>
          <w:rFonts w:ascii="Times New Roman" w:hAnsi="Times New Roman" w:cs="Times New Roman"/>
          <w:bCs/>
          <w:sz w:val="24"/>
          <w:szCs w:val="24"/>
        </w:rPr>
      </w:pPr>
      <w:r w:rsidRPr="00586DF6">
        <w:rPr>
          <w:rFonts w:ascii="Times New Roman" w:hAnsi="Times New Roman" w:cs="Times New Roman"/>
          <w:b/>
          <w:bCs/>
          <w:sz w:val="24"/>
          <w:szCs w:val="24"/>
        </w:rPr>
        <w:t>III. Areas with relatively low rural-urban disparity in child sex ratio (below 10 points):</w:t>
      </w:r>
    </w:p>
    <w:p w14:paraId="442563DA"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xml:space="preserve">Among the state's total tehsils, sixteen showed relatively low rural-urban disparity in the child sex ratio in 1991. Dhuri tehsil recorded the lowest rural-urban disparity in the state, closely followed by Gidderbaha, Kharar and Phillaur. About twenty-five percent of the tehsils in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and twenty-four percent in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registered relatively low rural-urban disparity in child sex ratio. Only one tehsil of Doaba was found in the same category (Map 1). </w:t>
      </w:r>
    </w:p>
    <w:p w14:paraId="69747A9C"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xml:space="preserve">         During 1991-2001, seventeen tehsils in the study area reported relatively low rural-urban disparity in child sex ratio. About thirty-three percent of </w:t>
      </w:r>
      <w:r w:rsidRPr="00586DF6">
        <w:rPr>
          <w:rFonts w:ascii="Times New Roman" w:hAnsi="Times New Roman" w:cs="Times New Roman"/>
          <w:bCs/>
          <w:i/>
          <w:iCs/>
          <w:sz w:val="24"/>
          <w:szCs w:val="24"/>
        </w:rPr>
        <w:t xml:space="preserve">Doaba </w:t>
      </w:r>
      <w:r w:rsidRPr="00586DF6">
        <w:rPr>
          <w:rFonts w:ascii="Times New Roman" w:hAnsi="Times New Roman" w:cs="Times New Roman"/>
          <w:bCs/>
          <w:sz w:val="24"/>
          <w:szCs w:val="24"/>
        </w:rPr>
        <w:t xml:space="preserve">and twenty-two percent of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showed relatively low rural-urban disparity in child sex ratio during this decade. On the other hand, only one tehsil in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falls into this category. In 2001, the lowest rural-urban disparity in the child sex ratio was observed in the Kapurthala, Sultanpur Lodhi, and Jagraon tehsils (Table 1).</w:t>
      </w:r>
    </w:p>
    <w:p w14:paraId="34909966"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xml:space="preserve">         In 2011, after 20 years, about nineteen percent of the state's tehsils had relatively low rural-urban disparity in the child sex ratio. Among these, Amritsar-II and Dhuri tehsils recorded the lowest rural-urban disparity in child sex ratio in the state, followed by Bathinda, Zira, Samrala, Muktsar, Jaitu and Phagwara. In this category, twenty-four percent of the tehsils of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showed relatively low rural-urban disparity in this regard. However, only two tehsils in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and one in </w:t>
      </w:r>
      <w:r w:rsidRPr="00586DF6">
        <w:rPr>
          <w:rFonts w:ascii="Times New Roman" w:hAnsi="Times New Roman" w:cs="Times New Roman"/>
          <w:bCs/>
          <w:i/>
          <w:iCs/>
          <w:sz w:val="24"/>
          <w:szCs w:val="24"/>
        </w:rPr>
        <w:t>Doaba</w:t>
      </w:r>
      <w:r w:rsidRPr="00586DF6">
        <w:rPr>
          <w:rFonts w:ascii="Times New Roman" w:hAnsi="Times New Roman" w:cs="Times New Roman"/>
          <w:bCs/>
          <w:sz w:val="24"/>
          <w:szCs w:val="24"/>
        </w:rPr>
        <w:t xml:space="preserve"> reported relatively low rural-urban disparity in the child sex ratio (Table 1). </w:t>
      </w:r>
    </w:p>
    <w:p w14:paraId="2A59B905" w14:textId="3FC7A1BB" w:rsidR="002B3EBE" w:rsidRPr="00586DF6" w:rsidRDefault="002B3EBE" w:rsidP="009F7C81">
      <w:pPr>
        <w:spacing w:before="240" w:line="240" w:lineRule="auto"/>
        <w:jc w:val="both"/>
        <w:rPr>
          <w:rFonts w:ascii="Times New Roman" w:hAnsi="Times New Roman" w:cs="Times New Roman"/>
          <w:bCs/>
          <w:sz w:val="24"/>
          <w:szCs w:val="24"/>
        </w:rPr>
      </w:pPr>
      <w:commentRangeStart w:id="10"/>
      <w:r w:rsidRPr="00E737D6">
        <w:rPr>
          <w:rFonts w:ascii="Times New Roman" w:hAnsi="Times New Roman" w:cs="Times New Roman"/>
          <w:bCs/>
          <w:color w:val="0070C0"/>
          <w:sz w:val="24"/>
          <w:szCs w:val="24"/>
        </w:rPr>
        <w:t>         The data reveals some interesting findings that the maximum number of tehsils in the state, which recorded relatively high rural-urban disparity (above 20 points) also recorded relatively low child sex ratio in the rural areas. It has also been observed that the large number of tehsils with relatively low rural-urban disparity (below 10 points) also recorded a low child sex ratio in both the rural and urban areas.</w:t>
      </w:r>
      <w:commentRangeEnd w:id="10"/>
      <w:r w:rsidR="00977DDF" w:rsidRPr="00E737D6">
        <w:rPr>
          <w:rStyle w:val="CommentReference"/>
          <w:color w:val="0070C0"/>
        </w:rPr>
        <w:commentReference w:id="10"/>
      </w:r>
      <w:r w:rsidRPr="00E737D6">
        <w:rPr>
          <w:rFonts w:ascii="Times New Roman" w:hAnsi="Times New Roman" w:cs="Times New Roman"/>
          <w:bCs/>
          <w:color w:val="0070C0"/>
          <w:sz w:val="24"/>
          <w:szCs w:val="24"/>
        </w:rPr>
        <w:t xml:space="preserve"> </w:t>
      </w:r>
      <w:r w:rsidRPr="00586DF6">
        <w:rPr>
          <w:rFonts w:ascii="Times New Roman" w:hAnsi="Times New Roman" w:cs="Times New Roman"/>
          <w:bCs/>
          <w:sz w:val="24"/>
          <w:szCs w:val="24"/>
        </w:rPr>
        <w:t xml:space="preserve">It is notable that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and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had always recorded low rural-urban disparity in child sex ratio as compared to </w:t>
      </w:r>
      <w:r w:rsidRPr="00586DF6">
        <w:rPr>
          <w:rFonts w:ascii="Times New Roman" w:hAnsi="Times New Roman" w:cs="Times New Roman"/>
          <w:bCs/>
          <w:i/>
          <w:iCs/>
          <w:sz w:val="24"/>
          <w:szCs w:val="24"/>
        </w:rPr>
        <w:t>Doaba,</w:t>
      </w:r>
      <w:r w:rsidRPr="00586DF6">
        <w:rPr>
          <w:rFonts w:ascii="Times New Roman" w:hAnsi="Times New Roman" w:cs="Times New Roman"/>
          <w:bCs/>
          <w:sz w:val="24"/>
          <w:szCs w:val="24"/>
        </w:rPr>
        <w:t xml:space="preserve"> except in 2001 (Map 1, 2 and 3).   </w:t>
      </w:r>
    </w:p>
    <w:p w14:paraId="108CB985" w14:textId="261C189B" w:rsidR="00865ED3" w:rsidRPr="00586DF6" w:rsidRDefault="007F6A12" w:rsidP="009F7C81">
      <w:pPr>
        <w:autoSpaceDE w:val="0"/>
        <w:autoSpaceDN w:val="0"/>
        <w:adjustRightInd w:val="0"/>
        <w:spacing w:before="240" w:line="360" w:lineRule="auto"/>
        <w:jc w:val="both"/>
        <w:rPr>
          <w:rFonts w:ascii="Times New Roman" w:hAnsi="Times New Roman" w:cs="Times New Roman"/>
          <w:b/>
          <w:bCs/>
          <w:color w:val="000000" w:themeColor="text1"/>
          <w:sz w:val="28"/>
          <w:szCs w:val="28"/>
        </w:rPr>
      </w:pPr>
      <w:r w:rsidRPr="00586DF6">
        <w:rPr>
          <w:rFonts w:ascii="Times New Roman" w:hAnsi="Times New Roman" w:cs="Times New Roman"/>
          <w:b/>
          <w:bCs/>
          <w:color w:val="000000" w:themeColor="text1"/>
          <w:sz w:val="28"/>
          <w:szCs w:val="28"/>
        </w:rPr>
        <w:t xml:space="preserve">4.2. </w:t>
      </w:r>
      <w:r w:rsidR="00DA0108" w:rsidRPr="00586DF6">
        <w:rPr>
          <w:rFonts w:ascii="Times New Roman" w:hAnsi="Times New Roman" w:cs="Times New Roman"/>
          <w:b/>
          <w:bCs/>
          <w:color w:val="000000" w:themeColor="text1"/>
          <w:sz w:val="28"/>
          <w:szCs w:val="28"/>
        </w:rPr>
        <w:t xml:space="preserve">Spatial Spread of Relatively Low Child Sex Ratio (Below 850) in </w:t>
      </w:r>
      <w:r w:rsidR="00865ED3" w:rsidRPr="00586DF6">
        <w:rPr>
          <w:rFonts w:ascii="Times New Roman" w:hAnsi="Times New Roman" w:cs="Times New Roman"/>
          <w:b/>
          <w:bCs/>
          <w:color w:val="000000" w:themeColor="text1"/>
          <w:sz w:val="28"/>
          <w:szCs w:val="28"/>
        </w:rPr>
        <w:t xml:space="preserve">Rural and Urban </w:t>
      </w:r>
      <w:r w:rsidR="00DA0108" w:rsidRPr="00586DF6">
        <w:rPr>
          <w:rFonts w:ascii="Times New Roman" w:hAnsi="Times New Roman" w:cs="Times New Roman"/>
          <w:b/>
          <w:bCs/>
          <w:color w:val="000000" w:themeColor="text1"/>
          <w:sz w:val="28"/>
          <w:szCs w:val="28"/>
        </w:rPr>
        <w:t xml:space="preserve">Punjab </w:t>
      </w:r>
    </w:p>
    <w:p w14:paraId="13677A1C" w14:textId="77777777" w:rsidR="00EF7CF3" w:rsidRPr="00586DF6" w:rsidRDefault="00865ED3" w:rsidP="00EF7CF3">
      <w:pPr>
        <w:autoSpaceDE w:val="0"/>
        <w:autoSpaceDN w:val="0"/>
        <w:adjustRightInd w:val="0"/>
        <w:spacing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The data indicates that relatively low child sex ratio spread spatially at fast pace from 1991 to 2011 in rural and urban areas of Punjab. The process of spread also helps to understand the </w:t>
      </w:r>
      <w:r w:rsidR="00EF7CF3" w:rsidRPr="00586DF6">
        <w:rPr>
          <w:rFonts w:ascii="Times New Roman" w:hAnsi="Times New Roman" w:cs="Times New Roman"/>
          <w:color w:val="000000" w:themeColor="text1"/>
          <w:sz w:val="24"/>
          <w:szCs w:val="24"/>
        </w:rPr>
        <w:t xml:space="preserve">dispersal of cultural traits and technology from one area to another. It also affected the child sex ratio of different parts of the state. </w:t>
      </w:r>
    </w:p>
    <w:p w14:paraId="4A026921" w14:textId="2026FB9F" w:rsidR="00EF7CF3" w:rsidRPr="00586DF6" w:rsidRDefault="00EF7CF3" w:rsidP="00EF7CF3">
      <w:pPr>
        <w:autoSpaceDE w:val="0"/>
        <w:autoSpaceDN w:val="0"/>
        <w:adjustRightInd w:val="0"/>
        <w:spacing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ab/>
      </w:r>
      <w:r w:rsidRPr="00586DF6">
        <w:rPr>
          <w:color w:val="000000" w:themeColor="text1"/>
        </w:rPr>
        <w:t xml:space="preserve">In case of rural Punjab, only one tehsil namely, Bhulath registered relatively low child sex ratio in 1991. In spite of official claims regarding improvement in female status in the state the situation has become more worse. The proportion of girl child had sharply declined. In 2001, all the tehsils of rural Punjab except one tehsil found relatively low child sex ratio (Map 4 (b)). But a </w:t>
      </w:r>
    </w:p>
    <w:p w14:paraId="649825E0" w14:textId="2327D426" w:rsidR="009F7C81" w:rsidRPr="00586DF6" w:rsidRDefault="009F7C81" w:rsidP="009F7C81">
      <w:pPr>
        <w:autoSpaceDE w:val="0"/>
        <w:autoSpaceDN w:val="0"/>
        <w:adjustRightInd w:val="0"/>
        <w:spacing w:line="360" w:lineRule="auto"/>
        <w:jc w:val="cente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lastRenderedPageBreak/>
        <w:t>Map 4</w:t>
      </w:r>
    </w:p>
    <w:tbl>
      <w:tblPr>
        <w:tblStyle w:val="TableGrid"/>
        <w:tblpPr w:leftFromText="180" w:rightFromText="180" w:vertAnchor="page" w:horzAnchor="margin" w:tblpY="1793"/>
        <w:tblW w:w="8773" w:type="dxa"/>
        <w:tblLook w:val="04A0" w:firstRow="1" w:lastRow="0" w:firstColumn="1" w:lastColumn="0" w:noHBand="0" w:noVBand="1"/>
      </w:tblPr>
      <w:tblGrid>
        <w:gridCol w:w="4325"/>
        <w:gridCol w:w="4448"/>
      </w:tblGrid>
      <w:tr w:rsidR="009F7C81" w:rsidRPr="00586DF6" w14:paraId="0CEF4106" w14:textId="77777777" w:rsidTr="0078653E">
        <w:trPr>
          <w:trHeight w:val="819"/>
        </w:trPr>
        <w:tc>
          <w:tcPr>
            <w:tcW w:w="8773" w:type="dxa"/>
            <w:gridSpan w:val="2"/>
          </w:tcPr>
          <w:p w14:paraId="3BF1F22B" w14:textId="77777777" w:rsidR="009F7C81" w:rsidRPr="00586DF6" w:rsidRDefault="009F7C81" w:rsidP="0078653E">
            <w:pPr>
              <w:autoSpaceDE w:val="0"/>
              <w:autoSpaceDN w:val="0"/>
              <w:adjustRightInd w:val="0"/>
              <w:spacing w:before="240" w:after="0"/>
              <w:jc w:val="center"/>
              <w:rPr>
                <w:rFonts w:ascii="Times New Roman" w:hAnsi="Times New Roman" w:cs="Times New Roman"/>
                <w:b/>
                <w:bCs/>
                <w:color w:val="000000" w:themeColor="text1"/>
                <w:sz w:val="36"/>
                <w:szCs w:val="36"/>
              </w:rPr>
            </w:pPr>
            <w:r w:rsidRPr="00586DF6">
              <w:rPr>
                <w:rFonts w:ascii="Times New Roman" w:hAnsi="Times New Roman" w:cs="Times New Roman"/>
                <w:b/>
                <w:bCs/>
                <w:color w:val="000000" w:themeColor="text1"/>
                <w:sz w:val="36"/>
                <w:szCs w:val="36"/>
              </w:rPr>
              <w:t>Spatial Spread of Relatively Low Child Sex Ratio in Rural Punjab: 1991-2011</w:t>
            </w:r>
          </w:p>
          <w:p w14:paraId="4BE435C2" w14:textId="77777777" w:rsidR="009F7C81" w:rsidRPr="00586DF6" w:rsidRDefault="009F7C81" w:rsidP="0078653E">
            <w:pPr>
              <w:autoSpaceDE w:val="0"/>
              <w:autoSpaceDN w:val="0"/>
              <w:adjustRightInd w:val="0"/>
              <w:spacing w:after="0"/>
              <w:jc w:val="center"/>
              <w:rPr>
                <w:rFonts w:ascii="Times New Roman" w:hAnsi="Times New Roman" w:cs="Times New Roman"/>
                <w:color w:val="000000" w:themeColor="text1"/>
                <w:sz w:val="36"/>
                <w:szCs w:val="36"/>
              </w:rPr>
            </w:pPr>
            <w:r w:rsidRPr="00586DF6">
              <w:rPr>
                <w:rFonts w:ascii="Times New Roman" w:hAnsi="Times New Roman" w:cs="Times New Roman"/>
                <w:color w:val="000000" w:themeColor="text1"/>
                <w:sz w:val="28"/>
                <w:szCs w:val="28"/>
              </w:rPr>
              <w:t>(Data by Tehsils)</w:t>
            </w:r>
          </w:p>
        </w:tc>
      </w:tr>
      <w:tr w:rsidR="009F7C81" w:rsidRPr="00586DF6" w14:paraId="3B2D218A" w14:textId="77777777" w:rsidTr="0078653E">
        <w:trPr>
          <w:trHeight w:val="5404"/>
        </w:trPr>
        <w:tc>
          <w:tcPr>
            <w:tcW w:w="4325" w:type="dxa"/>
          </w:tcPr>
          <w:p w14:paraId="519E4C16" w14:textId="77777777" w:rsidR="009F7C81" w:rsidRPr="00586DF6" w:rsidRDefault="009F7C81" w:rsidP="0078653E">
            <w:pPr>
              <w:rPr>
                <w:color w:val="000000" w:themeColor="text1"/>
                <w:sz w:val="20"/>
                <w:szCs w:val="20"/>
              </w:rPr>
            </w:pPr>
            <w:r w:rsidRPr="00586DF6">
              <w:rPr>
                <w:rFonts w:ascii="Times New Roman" w:hAnsi="Times New Roman" w:cs="Times New Roman"/>
                <w:b/>
                <w:bCs/>
                <w:color w:val="000000" w:themeColor="text1"/>
                <w:sz w:val="24"/>
                <w:szCs w:val="24"/>
              </w:rPr>
              <w:t xml:space="preserve">a)                      </w:t>
            </w:r>
            <w:r w:rsidRPr="00586DF6">
              <w:rPr>
                <w:color w:val="000000" w:themeColor="text1"/>
                <w:sz w:val="20"/>
                <w:szCs w:val="20"/>
              </w:rPr>
              <w:t xml:space="preserve">                                              </w:t>
            </w:r>
            <w:r w:rsidRPr="00586DF6">
              <w:rPr>
                <w:rFonts w:ascii="Times New Roman" w:hAnsi="Times New Roman" w:cs="Times New Roman"/>
                <w:b/>
                <w:bCs/>
                <w:color w:val="000000" w:themeColor="text1"/>
                <w:sz w:val="24"/>
                <w:szCs w:val="24"/>
              </w:rPr>
              <w:t xml:space="preserve">1991 </w:t>
            </w:r>
            <w:r w:rsidRPr="00586DF6">
              <w:rPr>
                <w:color w:val="000000" w:themeColor="text1"/>
                <w:sz w:val="20"/>
                <w:szCs w:val="20"/>
              </w:rPr>
              <w:t xml:space="preserve">                                   </w:t>
            </w:r>
          </w:p>
          <w:p w14:paraId="40D9B7B7" w14:textId="77777777" w:rsidR="009F7C81" w:rsidRPr="00586DF6" w:rsidRDefault="009F7C81" w:rsidP="0078653E">
            <w:pPr>
              <w:rPr>
                <w:rFonts w:ascii="Times New Roman" w:hAnsi="Times New Roman" w:cs="Times New Roman"/>
                <w:color w:val="000000" w:themeColor="text1"/>
                <w:sz w:val="36"/>
                <w:szCs w:val="36"/>
              </w:rPr>
            </w:pPr>
            <w:r w:rsidRPr="00586DF6">
              <w:rPr>
                <w:color w:val="000000" w:themeColor="text1"/>
              </w:rPr>
              <w:object w:dxaOrig="2512" w:dyaOrig="4320" w14:anchorId="6A96CE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2pt;height:221.9pt" o:ole="">
                  <v:imagedata r:id="rId14" o:title=""/>
                </v:shape>
                <o:OLEObject Type="Embed" ProgID="PBrush" ShapeID="_x0000_i1025" DrawAspect="Content" ObjectID="_1835699431" r:id="rId15"/>
              </w:object>
            </w:r>
          </w:p>
        </w:tc>
        <w:tc>
          <w:tcPr>
            <w:tcW w:w="4448" w:type="dxa"/>
          </w:tcPr>
          <w:p w14:paraId="7B69CB82" w14:textId="77777777" w:rsidR="009F7C81" w:rsidRPr="00586DF6" w:rsidRDefault="009F7C81" w:rsidP="0078653E">
            <w:pP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b)                                                          2001</w:t>
            </w:r>
          </w:p>
          <w:p w14:paraId="24B126E0" w14:textId="77777777" w:rsidR="009F7C81" w:rsidRPr="00586DF6" w:rsidRDefault="009F7C81" w:rsidP="0078653E">
            <w:pPr>
              <w:rPr>
                <w:color w:val="000000" w:themeColor="text1"/>
              </w:rPr>
            </w:pPr>
            <w:r w:rsidRPr="00586DF6">
              <w:rPr>
                <w:color w:val="000000" w:themeColor="text1"/>
              </w:rPr>
              <w:object w:dxaOrig="2896" w:dyaOrig="4320" w14:anchorId="367B466E">
                <v:shape id="_x0000_i1026" type="#_x0000_t75" style="width:209.55pt;height:221.9pt" o:ole="">
                  <v:imagedata r:id="rId16" o:title=""/>
                </v:shape>
                <o:OLEObject Type="Embed" ProgID="PBrush" ShapeID="_x0000_i1026" DrawAspect="Content" ObjectID="_1835699432" r:id="rId17"/>
              </w:object>
            </w:r>
          </w:p>
        </w:tc>
      </w:tr>
      <w:tr w:rsidR="009F7C81" w:rsidRPr="00586DF6" w14:paraId="4E195DAC" w14:textId="77777777" w:rsidTr="0078653E">
        <w:trPr>
          <w:trHeight w:val="5171"/>
        </w:trPr>
        <w:tc>
          <w:tcPr>
            <w:tcW w:w="4325" w:type="dxa"/>
          </w:tcPr>
          <w:p w14:paraId="4D6C6D85" w14:textId="77777777" w:rsidR="009F7C81" w:rsidRPr="00586DF6" w:rsidRDefault="009F7C81" w:rsidP="0078653E">
            <w:pP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c)                                                         2011</w:t>
            </w:r>
          </w:p>
          <w:p w14:paraId="53B25E9B" w14:textId="77777777" w:rsidR="009F7C81" w:rsidRPr="00586DF6" w:rsidRDefault="009F7C81" w:rsidP="0078653E">
            <w:pPr>
              <w:rPr>
                <w:rFonts w:ascii="Times New Roman" w:hAnsi="Times New Roman" w:cs="Times New Roman"/>
                <w:color w:val="000000" w:themeColor="text1"/>
                <w:sz w:val="36"/>
                <w:szCs w:val="36"/>
              </w:rPr>
            </w:pPr>
            <w:r w:rsidRPr="00586DF6">
              <w:rPr>
                <w:color w:val="000000" w:themeColor="text1"/>
              </w:rPr>
              <w:object w:dxaOrig="2898" w:dyaOrig="4320" w14:anchorId="3249C154">
                <v:shape id="_x0000_i1027" type="#_x0000_t75" style="width:204.2pt;height:221.9pt" o:ole="">
                  <v:imagedata r:id="rId18" o:title=""/>
                </v:shape>
                <o:OLEObject Type="Embed" ProgID="PBrush" ShapeID="_x0000_i1027" DrawAspect="Content" ObjectID="_1835699433" r:id="rId19"/>
              </w:object>
            </w:r>
          </w:p>
        </w:tc>
        <w:tc>
          <w:tcPr>
            <w:tcW w:w="4448" w:type="dxa"/>
          </w:tcPr>
          <w:p w14:paraId="7CE45199" w14:textId="77777777" w:rsidR="009F7C81" w:rsidRPr="00586DF6" w:rsidRDefault="009F7C81" w:rsidP="0078653E">
            <w:pPr>
              <w:rPr>
                <w:rFonts w:ascii="Times New Roman" w:hAnsi="Times New Roman" w:cs="Times New Roman"/>
                <w:color w:val="000000" w:themeColor="text1"/>
                <w:sz w:val="36"/>
                <w:szCs w:val="36"/>
              </w:rPr>
            </w:pPr>
          </w:p>
          <w:p w14:paraId="5E1B4CFF" w14:textId="77777777" w:rsidR="009F7C81" w:rsidRPr="00586DF6" w:rsidRDefault="009F7C81" w:rsidP="0078653E">
            <w:pPr>
              <w:rPr>
                <w:rFonts w:ascii="Times New Roman" w:hAnsi="Times New Roman" w:cs="Times New Roman"/>
                <w:color w:val="000000" w:themeColor="text1"/>
                <w:sz w:val="36"/>
                <w:szCs w:val="36"/>
              </w:rPr>
            </w:pPr>
          </w:p>
          <w:p w14:paraId="5865BA90" w14:textId="77777777" w:rsidR="009F7C81" w:rsidRPr="00586DF6" w:rsidRDefault="009F7C81" w:rsidP="0078653E">
            <w:pPr>
              <w:rPr>
                <w:color w:val="000000" w:themeColor="text1"/>
              </w:rPr>
            </w:pPr>
            <w:r w:rsidRPr="00586DF6">
              <w:rPr>
                <w:color w:val="000000" w:themeColor="text1"/>
              </w:rPr>
              <w:t xml:space="preserve">             </w:t>
            </w:r>
            <w:r w:rsidRPr="00586DF6">
              <w:rPr>
                <w:color w:val="000000" w:themeColor="text1"/>
              </w:rPr>
              <w:object w:dxaOrig="12876" w:dyaOrig="3036" w14:anchorId="528A8569">
                <v:shape id="_x0000_i1028" type="#_x0000_t75" style="width:174.65pt;height:47.8pt" o:ole="">
                  <v:imagedata r:id="rId20" o:title=""/>
                </v:shape>
                <o:OLEObject Type="Embed" ProgID="PBrush" ShapeID="_x0000_i1028" DrawAspect="Content" ObjectID="_1835699434" r:id="rId21"/>
              </w:object>
            </w:r>
          </w:p>
          <w:p w14:paraId="51B2FDAE" w14:textId="77777777" w:rsidR="009F7C81" w:rsidRPr="00586DF6" w:rsidRDefault="009F7C81" w:rsidP="0078653E">
            <w:pPr>
              <w:rPr>
                <w:rFonts w:ascii="Times New Roman" w:hAnsi="Times New Roman" w:cs="Times New Roman"/>
                <w:color w:val="000000" w:themeColor="text1"/>
                <w:sz w:val="36"/>
                <w:szCs w:val="36"/>
              </w:rPr>
            </w:pPr>
          </w:p>
          <w:p w14:paraId="5ABACE1B" w14:textId="77777777" w:rsidR="009F7C81" w:rsidRPr="00586DF6" w:rsidRDefault="009F7C81" w:rsidP="0078653E">
            <w:pPr>
              <w:rPr>
                <w:color w:val="000000" w:themeColor="text1"/>
              </w:rPr>
            </w:pPr>
            <w:r w:rsidRPr="00586DF6">
              <w:rPr>
                <w:rFonts w:ascii="Times New Roman" w:hAnsi="Times New Roman" w:cs="Times New Roman"/>
                <w:b/>
                <w:bCs/>
                <w:noProof/>
                <w:color w:val="000000" w:themeColor="text1"/>
                <w:sz w:val="24"/>
                <w:szCs w:val="24"/>
              </w:rPr>
              <w:drawing>
                <wp:anchor distT="0" distB="0" distL="114300" distR="114300" simplePos="0" relativeHeight="251669504" behindDoc="0" locked="0" layoutInCell="1" allowOverlap="1" wp14:anchorId="0C7C72DF" wp14:editId="49367718">
                  <wp:simplePos x="0" y="0"/>
                  <wp:positionH relativeFrom="column">
                    <wp:posOffset>952500</wp:posOffset>
                  </wp:positionH>
                  <wp:positionV relativeFrom="paragraph">
                    <wp:posOffset>27940</wp:posOffset>
                  </wp:positionV>
                  <wp:extent cx="807720" cy="596900"/>
                  <wp:effectExtent l="0" t="0" r="0" b="0"/>
                  <wp:wrapThrough wrapText="bothSides">
                    <wp:wrapPolygon edited="0">
                      <wp:start x="0" y="0"/>
                      <wp:lineTo x="0" y="20681"/>
                      <wp:lineTo x="20887" y="20681"/>
                      <wp:lineTo x="20887" y="0"/>
                      <wp:lineTo x="0" y="0"/>
                    </wp:wrapPolygon>
                  </wp:wrapThrough>
                  <wp:docPr id="20666744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7720"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1D01A" w14:textId="77777777" w:rsidR="009F7C81" w:rsidRPr="00586DF6" w:rsidRDefault="009F7C81" w:rsidP="0078653E">
            <w:pPr>
              <w:ind w:firstLine="720"/>
              <w:rPr>
                <w:rFonts w:ascii="Times New Roman" w:hAnsi="Times New Roman" w:cs="Times New Roman"/>
                <w:color w:val="000000" w:themeColor="text1"/>
                <w:sz w:val="36"/>
                <w:szCs w:val="36"/>
              </w:rPr>
            </w:pPr>
            <w:r w:rsidRPr="00586DF6">
              <w:rPr>
                <w:color w:val="000000" w:themeColor="text1"/>
              </w:rPr>
              <w:t xml:space="preserve">                           </w:t>
            </w:r>
          </w:p>
        </w:tc>
      </w:tr>
    </w:tbl>
    <w:p w14:paraId="3E2B5C5C" w14:textId="77777777" w:rsidR="009F7C81" w:rsidRPr="00586DF6" w:rsidRDefault="009F7C81" w:rsidP="009F7C81">
      <w:pPr>
        <w:spacing w:after="0"/>
        <w:rPr>
          <w:rFonts w:ascii="Times New Roman" w:hAnsi="Times New Roman" w:cs="Times New Roman"/>
          <w:i/>
          <w:iCs/>
          <w:color w:val="000000" w:themeColor="text1"/>
          <w:sz w:val="24"/>
          <w:szCs w:val="24"/>
        </w:rPr>
      </w:pPr>
      <w:r w:rsidRPr="00586DF6">
        <w:rPr>
          <w:rFonts w:ascii="Times New Roman" w:hAnsi="Times New Roman" w:cs="Times New Roman"/>
          <w:b/>
          <w:bCs/>
          <w:color w:val="000000" w:themeColor="text1"/>
          <w:sz w:val="24"/>
          <w:szCs w:val="24"/>
        </w:rPr>
        <w:t xml:space="preserve">Source: </w:t>
      </w:r>
      <w:r w:rsidRPr="00586DF6">
        <w:rPr>
          <w:rFonts w:ascii="Times New Roman" w:hAnsi="Times New Roman" w:cs="Times New Roman"/>
          <w:i/>
          <w:iCs/>
          <w:color w:val="000000" w:themeColor="text1"/>
          <w:sz w:val="24"/>
          <w:szCs w:val="24"/>
        </w:rPr>
        <w:t>District Census Handbooks of Punjab, 1991, 2001 and 2011.</w:t>
      </w:r>
    </w:p>
    <w:p w14:paraId="20831D33" w14:textId="77777777" w:rsidR="009F7C81" w:rsidRPr="00586DF6" w:rsidRDefault="009F7C81" w:rsidP="009F7C81">
      <w:pPr>
        <w:autoSpaceDE w:val="0"/>
        <w:autoSpaceDN w:val="0"/>
        <w:adjustRightInd w:val="0"/>
        <w:spacing w:line="360" w:lineRule="auto"/>
        <w:jc w:val="center"/>
        <w:rPr>
          <w:rFonts w:ascii="Times New Roman" w:hAnsi="Times New Roman" w:cs="Times New Roman"/>
          <w:b/>
          <w:bCs/>
          <w:color w:val="000000" w:themeColor="text1"/>
          <w:sz w:val="24"/>
          <w:szCs w:val="24"/>
        </w:rPr>
      </w:pPr>
    </w:p>
    <w:p w14:paraId="6103F6F5" w14:textId="77777777" w:rsidR="009F7C81" w:rsidRPr="00586DF6" w:rsidRDefault="009F7C81" w:rsidP="009F7C81">
      <w:pPr>
        <w:autoSpaceDE w:val="0"/>
        <w:autoSpaceDN w:val="0"/>
        <w:adjustRightInd w:val="0"/>
        <w:spacing w:line="360" w:lineRule="auto"/>
        <w:jc w:val="center"/>
        <w:rPr>
          <w:rFonts w:ascii="Times New Roman" w:hAnsi="Times New Roman" w:cs="Times New Roman"/>
          <w:b/>
          <w:bCs/>
          <w:color w:val="000000" w:themeColor="text1"/>
          <w:sz w:val="24"/>
          <w:szCs w:val="24"/>
        </w:rPr>
      </w:pPr>
    </w:p>
    <w:p w14:paraId="7025EF24" w14:textId="77777777" w:rsidR="009F7C81" w:rsidRPr="00586DF6" w:rsidRDefault="009F7C81" w:rsidP="009F7C81">
      <w:pPr>
        <w:autoSpaceDE w:val="0"/>
        <w:autoSpaceDN w:val="0"/>
        <w:adjustRightInd w:val="0"/>
        <w:spacing w:line="360" w:lineRule="auto"/>
        <w:jc w:val="cente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lastRenderedPageBreak/>
        <w:t>Map 5</w:t>
      </w:r>
    </w:p>
    <w:tbl>
      <w:tblPr>
        <w:tblStyle w:val="TableGrid"/>
        <w:tblpPr w:leftFromText="180" w:rightFromText="180" w:vertAnchor="page" w:horzAnchor="margin" w:tblpY="1793"/>
        <w:tblW w:w="8834" w:type="dxa"/>
        <w:tblLook w:val="04A0" w:firstRow="1" w:lastRow="0" w:firstColumn="1" w:lastColumn="0" w:noHBand="0" w:noVBand="1"/>
      </w:tblPr>
      <w:tblGrid>
        <w:gridCol w:w="4305"/>
        <w:gridCol w:w="4537"/>
      </w:tblGrid>
      <w:tr w:rsidR="009F7C81" w:rsidRPr="00586DF6" w14:paraId="32C2A673" w14:textId="77777777" w:rsidTr="0078653E">
        <w:trPr>
          <w:trHeight w:val="756"/>
        </w:trPr>
        <w:tc>
          <w:tcPr>
            <w:tcW w:w="8834" w:type="dxa"/>
            <w:gridSpan w:val="2"/>
          </w:tcPr>
          <w:p w14:paraId="7A54259F" w14:textId="77777777" w:rsidR="009F7C81" w:rsidRPr="00586DF6" w:rsidRDefault="009F7C81" w:rsidP="0078653E">
            <w:pPr>
              <w:autoSpaceDE w:val="0"/>
              <w:autoSpaceDN w:val="0"/>
              <w:adjustRightInd w:val="0"/>
              <w:spacing w:before="240" w:after="0"/>
              <w:jc w:val="center"/>
              <w:rPr>
                <w:rFonts w:ascii="Times New Roman" w:hAnsi="Times New Roman" w:cs="Times New Roman"/>
                <w:b/>
                <w:bCs/>
                <w:color w:val="000000" w:themeColor="text1"/>
                <w:sz w:val="36"/>
                <w:szCs w:val="36"/>
              </w:rPr>
            </w:pPr>
            <w:r w:rsidRPr="00586DF6">
              <w:rPr>
                <w:rFonts w:ascii="Times New Roman" w:hAnsi="Times New Roman" w:cs="Times New Roman"/>
                <w:b/>
                <w:bCs/>
                <w:color w:val="000000" w:themeColor="text1"/>
                <w:sz w:val="36"/>
                <w:szCs w:val="36"/>
              </w:rPr>
              <w:t>Spatial Spread of Relatively Low Child Sex Ratio in Urban Punjab: 1991-2011</w:t>
            </w:r>
          </w:p>
          <w:p w14:paraId="0934342F" w14:textId="77777777" w:rsidR="009F7C81" w:rsidRPr="00586DF6" w:rsidRDefault="009F7C81" w:rsidP="0078653E">
            <w:pPr>
              <w:autoSpaceDE w:val="0"/>
              <w:autoSpaceDN w:val="0"/>
              <w:adjustRightInd w:val="0"/>
              <w:spacing w:after="0"/>
              <w:jc w:val="center"/>
              <w:rPr>
                <w:rFonts w:ascii="Times New Roman" w:hAnsi="Times New Roman" w:cs="Times New Roman"/>
                <w:color w:val="000000" w:themeColor="text1"/>
                <w:sz w:val="36"/>
                <w:szCs w:val="36"/>
              </w:rPr>
            </w:pPr>
            <w:r w:rsidRPr="00586DF6">
              <w:rPr>
                <w:rFonts w:ascii="Times New Roman" w:hAnsi="Times New Roman" w:cs="Times New Roman"/>
                <w:color w:val="000000" w:themeColor="text1"/>
                <w:sz w:val="28"/>
                <w:szCs w:val="28"/>
              </w:rPr>
              <w:t>(Data by Tehsils)</w:t>
            </w:r>
          </w:p>
        </w:tc>
      </w:tr>
      <w:tr w:rsidR="009F7C81" w:rsidRPr="00586DF6" w14:paraId="36CDFE91" w14:textId="77777777" w:rsidTr="0078653E">
        <w:trPr>
          <w:trHeight w:val="4983"/>
        </w:trPr>
        <w:tc>
          <w:tcPr>
            <w:tcW w:w="4297" w:type="dxa"/>
          </w:tcPr>
          <w:p w14:paraId="7078462B" w14:textId="77777777" w:rsidR="009F7C81" w:rsidRPr="00586DF6" w:rsidRDefault="009F7C81" w:rsidP="0078653E">
            <w:pPr>
              <w:rPr>
                <w:color w:val="000000" w:themeColor="text1"/>
                <w:sz w:val="20"/>
                <w:szCs w:val="20"/>
              </w:rPr>
            </w:pPr>
            <w:r w:rsidRPr="00586DF6">
              <w:rPr>
                <w:rFonts w:ascii="Times New Roman" w:hAnsi="Times New Roman" w:cs="Times New Roman"/>
                <w:b/>
                <w:bCs/>
                <w:color w:val="000000" w:themeColor="text1"/>
                <w:sz w:val="24"/>
                <w:szCs w:val="24"/>
              </w:rPr>
              <w:t xml:space="preserve">a)                      </w:t>
            </w:r>
            <w:r w:rsidRPr="00586DF6">
              <w:rPr>
                <w:color w:val="000000" w:themeColor="text1"/>
                <w:sz w:val="20"/>
                <w:szCs w:val="20"/>
              </w:rPr>
              <w:t xml:space="preserve">                                              </w:t>
            </w:r>
            <w:r w:rsidRPr="00586DF6">
              <w:rPr>
                <w:rFonts w:ascii="Times New Roman" w:hAnsi="Times New Roman" w:cs="Times New Roman"/>
                <w:b/>
                <w:bCs/>
                <w:color w:val="000000" w:themeColor="text1"/>
                <w:sz w:val="24"/>
                <w:szCs w:val="24"/>
              </w:rPr>
              <w:t xml:space="preserve">1991 </w:t>
            </w:r>
            <w:r w:rsidRPr="00586DF6">
              <w:rPr>
                <w:color w:val="000000" w:themeColor="text1"/>
                <w:sz w:val="20"/>
                <w:szCs w:val="20"/>
              </w:rPr>
              <w:t xml:space="preserve">                                   </w:t>
            </w:r>
          </w:p>
          <w:p w14:paraId="5128C8E5" w14:textId="77777777" w:rsidR="009F7C81" w:rsidRPr="00586DF6" w:rsidRDefault="009F7C81" w:rsidP="0078653E">
            <w:pPr>
              <w:rPr>
                <w:rFonts w:ascii="Times New Roman" w:hAnsi="Times New Roman" w:cs="Times New Roman"/>
                <w:color w:val="000000" w:themeColor="text1"/>
                <w:sz w:val="36"/>
                <w:szCs w:val="36"/>
              </w:rPr>
            </w:pPr>
            <w:r w:rsidRPr="00586DF6">
              <w:rPr>
                <w:color w:val="000000" w:themeColor="text1"/>
              </w:rPr>
              <w:object w:dxaOrig="3097" w:dyaOrig="4320" w14:anchorId="272CFB71">
                <v:shape id="_x0000_i1029" type="#_x0000_t75" style="width:204.45pt;height:227.55pt" o:ole="">
                  <v:imagedata r:id="rId23" o:title=""/>
                </v:shape>
                <o:OLEObject Type="Embed" ProgID="PBrush" ShapeID="_x0000_i1029" DrawAspect="Content" ObjectID="_1835699435" r:id="rId24"/>
              </w:object>
            </w:r>
          </w:p>
        </w:tc>
        <w:tc>
          <w:tcPr>
            <w:tcW w:w="4537" w:type="dxa"/>
          </w:tcPr>
          <w:p w14:paraId="24AFDAFA" w14:textId="77777777" w:rsidR="009F7C81" w:rsidRPr="00586DF6" w:rsidRDefault="009F7C81" w:rsidP="0078653E">
            <w:pP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b)                                                            2001</w:t>
            </w:r>
          </w:p>
          <w:p w14:paraId="09705DE0" w14:textId="77777777" w:rsidR="009F7C81" w:rsidRPr="00586DF6" w:rsidRDefault="009F7C81" w:rsidP="0078653E">
            <w:pPr>
              <w:rPr>
                <w:rFonts w:ascii="Times New Roman" w:hAnsi="Times New Roman" w:cs="Times New Roman"/>
                <w:color w:val="000000" w:themeColor="text1"/>
                <w:sz w:val="24"/>
                <w:szCs w:val="24"/>
              </w:rPr>
            </w:pPr>
            <w:r w:rsidRPr="00586DF6">
              <w:rPr>
                <w:color w:val="000000" w:themeColor="text1"/>
                <w:sz w:val="24"/>
                <w:szCs w:val="24"/>
              </w:rPr>
              <w:object w:dxaOrig="3170" w:dyaOrig="4320" w14:anchorId="03B6DFEB">
                <v:shape id="_x0000_i1030" type="#_x0000_t75" style="width:3in;height:227.55pt" o:ole="">
                  <v:imagedata r:id="rId25" o:title=""/>
                </v:shape>
                <o:OLEObject Type="Embed" ProgID="PBrush" ShapeID="_x0000_i1030" DrawAspect="Content" ObjectID="_1835699436" r:id="rId26"/>
              </w:object>
            </w:r>
          </w:p>
        </w:tc>
      </w:tr>
      <w:tr w:rsidR="009F7C81" w:rsidRPr="00586DF6" w14:paraId="441E4A33" w14:textId="77777777" w:rsidTr="0078653E">
        <w:trPr>
          <w:trHeight w:val="4768"/>
        </w:trPr>
        <w:tc>
          <w:tcPr>
            <w:tcW w:w="4297" w:type="dxa"/>
          </w:tcPr>
          <w:p w14:paraId="17ABD041" w14:textId="77777777" w:rsidR="009F7C81" w:rsidRPr="00586DF6" w:rsidRDefault="009F7C81" w:rsidP="0078653E">
            <w:pP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c)                                                        2011</w:t>
            </w:r>
          </w:p>
          <w:p w14:paraId="3560FD58" w14:textId="77777777" w:rsidR="009F7C81" w:rsidRPr="00586DF6" w:rsidRDefault="009F7C81" w:rsidP="0078653E">
            <w:pPr>
              <w:rPr>
                <w:rFonts w:ascii="Times New Roman" w:hAnsi="Times New Roman" w:cs="Times New Roman"/>
                <w:color w:val="000000" w:themeColor="text1"/>
                <w:sz w:val="36"/>
                <w:szCs w:val="36"/>
              </w:rPr>
            </w:pPr>
            <w:r w:rsidRPr="00586DF6">
              <w:rPr>
                <w:noProof/>
                <w:color w:val="000000" w:themeColor="text1"/>
              </w:rPr>
              <w:drawing>
                <wp:inline distT="0" distB="0" distL="0" distR="0" wp14:anchorId="12924E4A" wp14:editId="11D21738">
                  <wp:extent cx="2590800" cy="2895600"/>
                  <wp:effectExtent l="0" t="0" r="0" b="0"/>
                  <wp:docPr id="2117567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0" cy="2895600"/>
                          </a:xfrm>
                          <a:prstGeom prst="rect">
                            <a:avLst/>
                          </a:prstGeom>
                          <a:noFill/>
                          <a:ln>
                            <a:noFill/>
                          </a:ln>
                        </pic:spPr>
                      </pic:pic>
                    </a:graphicData>
                  </a:graphic>
                </wp:inline>
              </w:drawing>
            </w:r>
          </w:p>
        </w:tc>
        <w:tc>
          <w:tcPr>
            <w:tcW w:w="4537" w:type="dxa"/>
          </w:tcPr>
          <w:p w14:paraId="64E3E77E" w14:textId="77777777" w:rsidR="009F7C81" w:rsidRPr="00586DF6" w:rsidRDefault="009F7C81" w:rsidP="0078653E">
            <w:pPr>
              <w:rPr>
                <w:rFonts w:ascii="Times New Roman" w:hAnsi="Times New Roman" w:cs="Times New Roman"/>
                <w:color w:val="000000" w:themeColor="text1"/>
                <w:sz w:val="36"/>
                <w:szCs w:val="36"/>
              </w:rPr>
            </w:pPr>
          </w:p>
          <w:p w14:paraId="1634B467" w14:textId="77777777" w:rsidR="009F7C81" w:rsidRPr="00586DF6" w:rsidRDefault="009F7C81" w:rsidP="0078653E">
            <w:pPr>
              <w:rPr>
                <w:rFonts w:ascii="Times New Roman" w:hAnsi="Times New Roman" w:cs="Times New Roman"/>
                <w:color w:val="000000" w:themeColor="text1"/>
                <w:sz w:val="36"/>
                <w:szCs w:val="36"/>
              </w:rPr>
            </w:pPr>
          </w:p>
          <w:p w14:paraId="7EF98EE8" w14:textId="77777777" w:rsidR="009F7C81" w:rsidRPr="00586DF6" w:rsidRDefault="009F7C81" w:rsidP="0078653E">
            <w:pPr>
              <w:rPr>
                <w:color w:val="000000" w:themeColor="text1"/>
              </w:rPr>
            </w:pPr>
            <w:r w:rsidRPr="00586DF6">
              <w:rPr>
                <w:color w:val="000000" w:themeColor="text1"/>
              </w:rPr>
              <w:t xml:space="preserve">             </w:t>
            </w:r>
            <w:r w:rsidRPr="00586DF6">
              <w:rPr>
                <w:color w:val="000000" w:themeColor="text1"/>
              </w:rPr>
              <w:object w:dxaOrig="12876" w:dyaOrig="3036" w14:anchorId="19B8E0E3">
                <v:shape id="_x0000_i1031" type="#_x0000_t75" style="width:174.45pt;height:48pt" o:ole="">
                  <v:imagedata r:id="rId20" o:title=""/>
                </v:shape>
                <o:OLEObject Type="Embed" ProgID="PBrush" ShapeID="_x0000_i1031" DrawAspect="Content" ObjectID="_1835699437" r:id="rId28"/>
              </w:object>
            </w:r>
          </w:p>
          <w:p w14:paraId="46EC6306" w14:textId="77777777" w:rsidR="009F7C81" w:rsidRPr="00586DF6" w:rsidRDefault="009F7C81" w:rsidP="0078653E">
            <w:pPr>
              <w:rPr>
                <w:color w:val="000000" w:themeColor="text1"/>
              </w:rPr>
            </w:pPr>
          </w:p>
          <w:p w14:paraId="759FCA0C" w14:textId="77777777" w:rsidR="009F7C81" w:rsidRPr="00586DF6" w:rsidRDefault="009F7C81" w:rsidP="0078653E">
            <w:pPr>
              <w:rPr>
                <w:color w:val="000000" w:themeColor="text1"/>
              </w:rPr>
            </w:pPr>
            <w:r w:rsidRPr="00586DF6">
              <w:rPr>
                <w:rFonts w:ascii="Times New Roman" w:hAnsi="Times New Roman" w:cs="Times New Roman"/>
                <w:b/>
                <w:bCs/>
                <w:noProof/>
                <w:color w:val="000000" w:themeColor="text1"/>
                <w:sz w:val="24"/>
                <w:szCs w:val="24"/>
              </w:rPr>
              <w:drawing>
                <wp:anchor distT="0" distB="0" distL="114300" distR="114300" simplePos="0" relativeHeight="251670528" behindDoc="0" locked="0" layoutInCell="1" allowOverlap="1" wp14:anchorId="43D18ADF" wp14:editId="473B4E45">
                  <wp:simplePos x="0" y="0"/>
                  <wp:positionH relativeFrom="column">
                    <wp:posOffset>915670</wp:posOffset>
                  </wp:positionH>
                  <wp:positionV relativeFrom="paragraph">
                    <wp:posOffset>126365</wp:posOffset>
                  </wp:positionV>
                  <wp:extent cx="822960" cy="596900"/>
                  <wp:effectExtent l="0" t="0" r="0" b="0"/>
                  <wp:wrapThrough wrapText="bothSides">
                    <wp:wrapPolygon edited="0">
                      <wp:start x="0" y="0"/>
                      <wp:lineTo x="0" y="20681"/>
                      <wp:lineTo x="21000" y="20681"/>
                      <wp:lineTo x="21000" y="0"/>
                      <wp:lineTo x="0" y="0"/>
                    </wp:wrapPolygon>
                  </wp:wrapThrough>
                  <wp:docPr id="199471396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2960"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72BA5" w14:textId="77777777" w:rsidR="009F7C81" w:rsidRPr="00586DF6" w:rsidRDefault="009F7C81" w:rsidP="0078653E">
            <w:pPr>
              <w:ind w:firstLine="720"/>
              <w:rPr>
                <w:rFonts w:ascii="Times New Roman" w:hAnsi="Times New Roman" w:cs="Times New Roman"/>
                <w:color w:val="000000" w:themeColor="text1"/>
                <w:sz w:val="36"/>
                <w:szCs w:val="36"/>
              </w:rPr>
            </w:pPr>
            <w:r w:rsidRPr="00586DF6">
              <w:rPr>
                <w:color w:val="000000" w:themeColor="text1"/>
              </w:rPr>
              <w:t xml:space="preserve">                      </w:t>
            </w:r>
          </w:p>
          <w:p w14:paraId="29F20108" w14:textId="77777777" w:rsidR="009F7C81" w:rsidRPr="00586DF6" w:rsidRDefault="009F7C81" w:rsidP="0078653E">
            <w:pPr>
              <w:ind w:firstLine="720"/>
              <w:rPr>
                <w:rFonts w:ascii="Times New Roman" w:hAnsi="Times New Roman" w:cs="Times New Roman"/>
                <w:color w:val="000000" w:themeColor="text1"/>
                <w:sz w:val="36"/>
                <w:szCs w:val="36"/>
              </w:rPr>
            </w:pPr>
            <w:r w:rsidRPr="00586DF6">
              <w:rPr>
                <w:color w:val="000000" w:themeColor="text1"/>
              </w:rPr>
              <w:t xml:space="preserve">       </w:t>
            </w:r>
          </w:p>
        </w:tc>
      </w:tr>
    </w:tbl>
    <w:p w14:paraId="59116C81" w14:textId="77777777" w:rsidR="009F7C81" w:rsidRPr="00586DF6" w:rsidRDefault="009F7C81" w:rsidP="009F7C81">
      <w:pPr>
        <w:spacing w:after="0"/>
        <w:rPr>
          <w:rFonts w:ascii="Times New Roman" w:hAnsi="Times New Roman" w:cs="Times New Roman"/>
          <w:i/>
          <w:iCs/>
          <w:color w:val="000000" w:themeColor="text1"/>
          <w:sz w:val="24"/>
          <w:szCs w:val="24"/>
        </w:rPr>
      </w:pPr>
      <w:r w:rsidRPr="00586DF6">
        <w:rPr>
          <w:rFonts w:ascii="Times New Roman" w:hAnsi="Times New Roman" w:cs="Times New Roman"/>
          <w:b/>
          <w:bCs/>
          <w:color w:val="000000" w:themeColor="text1"/>
          <w:sz w:val="24"/>
          <w:szCs w:val="24"/>
        </w:rPr>
        <w:t xml:space="preserve">Source: </w:t>
      </w:r>
      <w:r w:rsidRPr="00586DF6">
        <w:rPr>
          <w:rFonts w:ascii="Times New Roman" w:hAnsi="Times New Roman" w:cs="Times New Roman"/>
          <w:i/>
          <w:iCs/>
          <w:color w:val="000000" w:themeColor="text1"/>
          <w:sz w:val="24"/>
          <w:szCs w:val="24"/>
        </w:rPr>
        <w:t>District Census Handbook of Punjab, 1991, 2001 and 2011.</w:t>
      </w:r>
    </w:p>
    <w:p w14:paraId="1C410219" w14:textId="77777777" w:rsidR="009F7C81" w:rsidRPr="00586DF6" w:rsidRDefault="009F7C81" w:rsidP="009F7C81">
      <w:pPr>
        <w:autoSpaceDE w:val="0"/>
        <w:autoSpaceDN w:val="0"/>
        <w:adjustRightInd w:val="0"/>
        <w:spacing w:line="240" w:lineRule="auto"/>
        <w:jc w:val="both"/>
        <w:rPr>
          <w:rFonts w:ascii="Times New Roman" w:hAnsi="Times New Roman" w:cs="Times New Roman"/>
          <w:color w:val="000000" w:themeColor="text1"/>
          <w:sz w:val="24"/>
          <w:szCs w:val="24"/>
        </w:rPr>
      </w:pPr>
    </w:p>
    <w:p w14:paraId="68BF1ACA" w14:textId="77777777" w:rsidR="009F7C81" w:rsidRPr="00586DF6" w:rsidRDefault="009F7C81" w:rsidP="009F7C81">
      <w:pPr>
        <w:autoSpaceDE w:val="0"/>
        <w:autoSpaceDN w:val="0"/>
        <w:adjustRightInd w:val="0"/>
        <w:spacing w:line="240" w:lineRule="auto"/>
        <w:jc w:val="both"/>
        <w:rPr>
          <w:rFonts w:ascii="Times New Roman" w:hAnsi="Times New Roman" w:cs="Times New Roman"/>
          <w:color w:val="000000" w:themeColor="text1"/>
          <w:sz w:val="24"/>
          <w:szCs w:val="24"/>
        </w:rPr>
      </w:pPr>
    </w:p>
    <w:p w14:paraId="19AA268B" w14:textId="1954933D" w:rsidR="00865ED3" w:rsidRPr="00586DF6" w:rsidRDefault="00865ED3" w:rsidP="009F7C81">
      <w:pPr>
        <w:pStyle w:val="NormalWeb"/>
        <w:spacing w:before="0" w:beforeAutospacing="0" w:after="240" w:afterAutospacing="0"/>
        <w:jc w:val="both"/>
        <w:rPr>
          <w:color w:val="000000" w:themeColor="text1"/>
        </w:rPr>
      </w:pPr>
      <w:r w:rsidRPr="00586DF6">
        <w:rPr>
          <w:color w:val="000000" w:themeColor="text1"/>
        </w:rPr>
        <w:lastRenderedPageBreak/>
        <w:t>decade later in 2011, the situation of child sex ratio among the rural areas had improved somewhat. Forty-four tehsils of the study area reported relatively low rural child sex ratio in 2011. </w:t>
      </w:r>
      <w:r w:rsidRPr="00586DF6">
        <w:rPr>
          <w:rStyle w:val="Emphasis"/>
          <w:rFonts w:eastAsiaTheme="majorEastAsia"/>
          <w:color w:val="000000" w:themeColor="text1"/>
        </w:rPr>
        <w:t>Majha</w:t>
      </w:r>
      <w:r w:rsidRPr="00586DF6">
        <w:rPr>
          <w:color w:val="000000" w:themeColor="text1"/>
        </w:rPr>
        <w:t xml:space="preserve"> emerged as the most unfortunate region wherein all the tehsils were in the lowest child sex ratio category (Map </w:t>
      </w:r>
      <w:r w:rsidR="001F28C7" w:rsidRPr="00586DF6">
        <w:rPr>
          <w:color w:val="000000" w:themeColor="text1"/>
        </w:rPr>
        <w:t xml:space="preserve">4 </w:t>
      </w:r>
      <w:r w:rsidRPr="00586DF6">
        <w:rPr>
          <w:color w:val="000000" w:themeColor="text1"/>
        </w:rPr>
        <w:t>(c)). On the other hand, about fifty-eight percent tehsils of </w:t>
      </w:r>
      <w:r w:rsidRPr="00586DF6">
        <w:rPr>
          <w:rStyle w:val="Emphasis"/>
          <w:rFonts w:eastAsiaTheme="majorEastAsia"/>
          <w:color w:val="000000" w:themeColor="text1"/>
        </w:rPr>
        <w:t>Malwa</w:t>
      </w:r>
      <w:r w:rsidRPr="00586DF6">
        <w:rPr>
          <w:color w:val="000000" w:themeColor="text1"/>
        </w:rPr>
        <w:t> and twenty percent of </w:t>
      </w:r>
      <w:r w:rsidRPr="00586DF6">
        <w:rPr>
          <w:rStyle w:val="Emphasis"/>
          <w:rFonts w:eastAsiaTheme="majorEastAsia"/>
          <w:color w:val="000000" w:themeColor="text1"/>
        </w:rPr>
        <w:t>Doaba</w:t>
      </w:r>
      <w:r w:rsidRPr="00586DF6">
        <w:rPr>
          <w:color w:val="000000" w:themeColor="text1"/>
        </w:rPr>
        <w:t xml:space="preserve"> registered improvement in this regard. Moreover, almost all the areas along the international border with Pakistan and inter-state border with Haryana had shown relatively low rural child sex ratio. The northern, north-western, southern and south-eastern areas of the state experienced relatively high spread of low rural child sex ratio (Map </w:t>
      </w:r>
      <w:r w:rsidR="001F28C7" w:rsidRPr="00586DF6">
        <w:rPr>
          <w:color w:val="000000" w:themeColor="text1"/>
        </w:rPr>
        <w:t>4</w:t>
      </w:r>
      <w:r w:rsidRPr="00586DF6">
        <w:rPr>
          <w:color w:val="000000" w:themeColor="text1"/>
        </w:rPr>
        <w:t>).</w:t>
      </w:r>
    </w:p>
    <w:p w14:paraId="3B9CCBA2" w14:textId="38F0B196" w:rsidR="001F28C7" w:rsidRPr="00586DF6" w:rsidRDefault="001F28C7" w:rsidP="009F7C81">
      <w:pPr>
        <w:pStyle w:val="NormalWeb"/>
        <w:spacing w:before="0" w:beforeAutospacing="0" w:after="240" w:afterAutospacing="0"/>
        <w:jc w:val="both"/>
        <w:rPr>
          <w:color w:val="000000" w:themeColor="text1"/>
          <w:sz w:val="22"/>
          <w:szCs w:val="22"/>
        </w:rPr>
      </w:pPr>
      <w:r w:rsidRPr="00586DF6">
        <w:rPr>
          <w:color w:val="000000" w:themeColor="text1"/>
        </w:rPr>
        <w:tab/>
        <w:t xml:space="preserve">In urban Punjab, twenty-two tehsils recorded relatively low child sex ratio in 1991. The highest spread of relatively low urban child sex ratio was reported in </w:t>
      </w:r>
      <w:r w:rsidRPr="00586DF6">
        <w:rPr>
          <w:i/>
          <w:iCs/>
          <w:color w:val="000000" w:themeColor="text1"/>
        </w:rPr>
        <w:t>Majha</w:t>
      </w:r>
      <w:r w:rsidRPr="00586DF6">
        <w:rPr>
          <w:color w:val="000000" w:themeColor="text1"/>
        </w:rPr>
        <w:t xml:space="preserve"> followed by </w:t>
      </w:r>
      <w:r w:rsidRPr="00586DF6">
        <w:rPr>
          <w:i/>
          <w:iCs/>
          <w:color w:val="000000" w:themeColor="text1"/>
        </w:rPr>
        <w:t>Malwa</w:t>
      </w:r>
      <w:r w:rsidRPr="00586DF6">
        <w:rPr>
          <w:color w:val="000000" w:themeColor="text1"/>
        </w:rPr>
        <w:t xml:space="preserve"> and </w:t>
      </w:r>
      <w:r w:rsidRPr="00586DF6">
        <w:rPr>
          <w:i/>
          <w:iCs/>
          <w:color w:val="000000" w:themeColor="text1"/>
        </w:rPr>
        <w:t>Doaba</w:t>
      </w:r>
      <w:r w:rsidRPr="00586DF6">
        <w:rPr>
          <w:color w:val="000000" w:themeColor="text1"/>
        </w:rPr>
        <w:t xml:space="preserve"> (Map 5 (a)). </w:t>
      </w:r>
      <w:r w:rsidRPr="00E737D6">
        <w:rPr>
          <w:color w:val="0070C0"/>
        </w:rPr>
        <w:t xml:space="preserve">A decade later in 2001, relatively low child sex ratio among the urban areas had been witnessed in ninety-one percent tehsils of the state. </w:t>
      </w:r>
      <w:r w:rsidRPr="00586DF6">
        <w:rPr>
          <w:color w:val="000000" w:themeColor="text1"/>
        </w:rPr>
        <w:t xml:space="preserve">Major role in this regard was played by </w:t>
      </w:r>
      <w:r w:rsidRPr="00586DF6">
        <w:rPr>
          <w:i/>
          <w:iCs/>
          <w:color w:val="000000" w:themeColor="text1"/>
        </w:rPr>
        <w:t>Malwa</w:t>
      </w:r>
      <w:r w:rsidRPr="00586DF6">
        <w:rPr>
          <w:color w:val="000000" w:themeColor="text1"/>
        </w:rPr>
        <w:t xml:space="preserve"> followed by </w:t>
      </w:r>
      <w:r w:rsidRPr="00586DF6">
        <w:rPr>
          <w:i/>
          <w:iCs/>
          <w:color w:val="000000" w:themeColor="text1"/>
        </w:rPr>
        <w:t>Doaba</w:t>
      </w:r>
      <w:r w:rsidRPr="00586DF6">
        <w:rPr>
          <w:color w:val="000000" w:themeColor="text1"/>
        </w:rPr>
        <w:t xml:space="preserve"> and </w:t>
      </w:r>
      <w:r w:rsidRPr="00586DF6">
        <w:rPr>
          <w:i/>
          <w:iCs/>
          <w:color w:val="000000" w:themeColor="text1"/>
        </w:rPr>
        <w:t xml:space="preserve">Majha </w:t>
      </w:r>
      <w:r w:rsidRPr="00586DF6">
        <w:rPr>
          <w:color w:val="000000" w:themeColor="text1"/>
        </w:rPr>
        <w:t>(Map 5 (b)). After twenty years in 2011, fifty-two percent tehsils of the study area had come under relatively low urban child sex ratio category. During these two decades, relatively low urban child sex ratio had spatially spread from north to south and west to east of the state (Map 5). About eighty-three percent tehsils of </w:t>
      </w:r>
      <w:r w:rsidRPr="00586DF6">
        <w:rPr>
          <w:rStyle w:val="Emphasis"/>
          <w:rFonts w:eastAsiaTheme="majorEastAsia"/>
          <w:color w:val="000000" w:themeColor="text1"/>
        </w:rPr>
        <w:t>Majha</w:t>
      </w:r>
      <w:r w:rsidRPr="00586DF6">
        <w:rPr>
          <w:color w:val="000000" w:themeColor="text1"/>
        </w:rPr>
        <w:t>, more than fifty percent tehsils of </w:t>
      </w:r>
      <w:r w:rsidRPr="00586DF6">
        <w:rPr>
          <w:rStyle w:val="Emphasis"/>
          <w:rFonts w:eastAsiaTheme="majorEastAsia"/>
          <w:color w:val="000000" w:themeColor="text1"/>
        </w:rPr>
        <w:t>Malwa</w:t>
      </w:r>
      <w:r w:rsidRPr="00586DF6">
        <w:rPr>
          <w:color w:val="000000" w:themeColor="text1"/>
        </w:rPr>
        <w:t> and one-third tehsils of </w:t>
      </w:r>
      <w:r w:rsidRPr="00586DF6">
        <w:rPr>
          <w:rStyle w:val="Emphasis"/>
          <w:rFonts w:eastAsiaTheme="majorEastAsia"/>
          <w:color w:val="000000" w:themeColor="text1"/>
        </w:rPr>
        <w:t>Doaba </w:t>
      </w:r>
      <w:r w:rsidRPr="00586DF6">
        <w:rPr>
          <w:color w:val="000000" w:themeColor="text1"/>
        </w:rPr>
        <w:t>emerged with relatively low urban child sex ratio even after two decades.</w:t>
      </w:r>
    </w:p>
    <w:p w14:paraId="212F25F6" w14:textId="77777777" w:rsidR="001F28C7" w:rsidRPr="00586DF6" w:rsidRDefault="001F28C7" w:rsidP="009F7C81">
      <w:pPr>
        <w:pStyle w:val="NormalWeb"/>
        <w:spacing w:before="0" w:beforeAutospacing="0" w:after="240" w:afterAutospacing="0"/>
        <w:jc w:val="both"/>
        <w:rPr>
          <w:color w:val="000000" w:themeColor="text1"/>
        </w:rPr>
      </w:pPr>
      <w:r w:rsidRPr="00586DF6">
        <w:rPr>
          <w:color w:val="000000" w:themeColor="text1"/>
        </w:rPr>
        <w:tab/>
      </w:r>
      <w:r w:rsidRPr="00E737D6">
        <w:rPr>
          <w:color w:val="0070C0"/>
        </w:rPr>
        <w:t xml:space="preserve">All those tehsils recorded relatively low child sex ratio, where there was low urban child sex ratio in 1991. </w:t>
      </w:r>
      <w:r w:rsidRPr="00586DF6">
        <w:rPr>
          <w:color w:val="000000" w:themeColor="text1"/>
        </w:rPr>
        <w:t>Thus, it shows that the rural areas of the state were catching up the trends of low child sex ratio of the urban areas. The study indicates that relatively low child sex ratio spread from urban to rural areas of the state</w:t>
      </w:r>
      <w:r w:rsidRPr="002B7363">
        <w:rPr>
          <w:color w:val="FF0000"/>
        </w:rPr>
        <w:t xml:space="preserve">. </w:t>
      </w:r>
      <w:commentRangeStart w:id="11"/>
      <w:r w:rsidRPr="00E737D6">
        <w:rPr>
          <w:color w:val="0070C0"/>
        </w:rPr>
        <w:t xml:space="preserve">It has been observed that malpractice of female foeticide was responsible for the deterioration of urban as well as rural child sex ratio. </w:t>
      </w:r>
      <w:commentRangeEnd w:id="11"/>
      <w:r w:rsidR="00E737D6">
        <w:rPr>
          <w:rStyle w:val="CommentReference"/>
          <w:rFonts w:asciiTheme="minorHAnsi" w:eastAsiaTheme="minorHAnsi" w:hAnsiTheme="minorHAnsi" w:cstheme="minorBidi"/>
          <w:lang w:eastAsia="en-US"/>
        </w:rPr>
        <w:commentReference w:id="11"/>
      </w:r>
      <w:r w:rsidRPr="00586DF6">
        <w:rPr>
          <w:color w:val="000000" w:themeColor="text1"/>
        </w:rPr>
        <w:t xml:space="preserve">The prevalence of strong patriarchal culture and availability of sex-selection techniques pushed the rural as well as the urban areas into worst condition in this regard. </w:t>
      </w:r>
    </w:p>
    <w:p w14:paraId="47C58B38" w14:textId="221DF54F" w:rsidR="001F28C7" w:rsidRPr="00586DF6" w:rsidRDefault="007D4BD2" w:rsidP="001F28C7">
      <w:pPr>
        <w:pStyle w:val="NormalWeb"/>
        <w:spacing w:before="0" w:beforeAutospacing="0" w:after="240" w:afterAutospacing="0" w:line="360" w:lineRule="auto"/>
        <w:jc w:val="both"/>
        <w:rPr>
          <w:b/>
          <w:bCs/>
          <w:color w:val="000000" w:themeColor="text1"/>
          <w:sz w:val="28"/>
          <w:szCs w:val="28"/>
        </w:rPr>
      </w:pPr>
      <w:r w:rsidRPr="00586DF6">
        <w:rPr>
          <w:b/>
          <w:bCs/>
          <w:color w:val="000000" w:themeColor="text1"/>
          <w:sz w:val="28"/>
          <w:szCs w:val="28"/>
        </w:rPr>
        <w:t xml:space="preserve">5. </w:t>
      </w:r>
      <w:r w:rsidR="007F2569" w:rsidRPr="00586DF6">
        <w:rPr>
          <w:b/>
          <w:bCs/>
          <w:color w:val="000000" w:themeColor="text1"/>
          <w:sz w:val="28"/>
          <w:szCs w:val="28"/>
        </w:rPr>
        <w:t xml:space="preserve">Conclusion </w:t>
      </w:r>
    </w:p>
    <w:p w14:paraId="269B1949" w14:textId="4CB0D055" w:rsidR="009F7C81" w:rsidRPr="00586DF6" w:rsidRDefault="00B64AF6" w:rsidP="001859A2">
      <w:pPr>
        <w:spacing w:before="24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The study shows that a clear rural-urban disparity in child sex ratio has been found in Punjab during 1991-2011. Spatial as well as regional variations have been </w:t>
      </w:r>
      <w:r w:rsidR="00A81391" w:rsidRPr="00586DF6">
        <w:rPr>
          <w:rFonts w:ascii="Times New Roman" w:hAnsi="Times New Roman" w:cs="Times New Roman"/>
          <w:color w:val="000000" w:themeColor="text1"/>
          <w:sz w:val="24"/>
          <w:szCs w:val="24"/>
        </w:rPr>
        <w:t xml:space="preserve">observed in this regard. </w:t>
      </w:r>
      <w:r w:rsidRPr="00586DF6">
        <w:rPr>
          <w:rFonts w:ascii="Times New Roman" w:hAnsi="Times New Roman" w:cs="Times New Roman"/>
          <w:color w:val="000000" w:themeColor="text1"/>
          <w:sz w:val="24"/>
          <w:szCs w:val="24"/>
        </w:rPr>
        <w:t xml:space="preserve">It has been noted that tehsils that recorded relatively high rural-urban disparity in child sex ratio in 1991 were found scattered across the study area. </w:t>
      </w:r>
      <w:commentRangeStart w:id="12"/>
      <w:r w:rsidRPr="00934CDA">
        <w:rPr>
          <w:rFonts w:ascii="Times New Roman" w:hAnsi="Times New Roman" w:cs="Times New Roman"/>
          <w:color w:val="0070C0"/>
          <w:sz w:val="24"/>
          <w:szCs w:val="24"/>
        </w:rPr>
        <w:t xml:space="preserve">Another important finding is that almost all areas in the foothill zone of the Himalayas exhibits relatively high rural-urban disparities in child sex ratio in 2001. In 2011, </w:t>
      </w:r>
      <w:r w:rsidRPr="00934CDA">
        <w:rPr>
          <w:rFonts w:ascii="Times New Roman" w:hAnsi="Times New Roman" w:cs="Times New Roman"/>
          <w:bCs/>
          <w:color w:val="0070C0"/>
          <w:sz w:val="24"/>
          <w:szCs w:val="24"/>
        </w:rPr>
        <w:t xml:space="preserve">the southern and eastern fringes of </w:t>
      </w:r>
      <w:r w:rsidRPr="00934CDA">
        <w:rPr>
          <w:rFonts w:ascii="Times New Roman" w:hAnsi="Times New Roman" w:cs="Times New Roman"/>
          <w:bCs/>
          <w:i/>
          <w:iCs/>
          <w:color w:val="0070C0"/>
          <w:sz w:val="24"/>
          <w:szCs w:val="24"/>
        </w:rPr>
        <w:t>Malwa</w:t>
      </w:r>
      <w:r w:rsidRPr="00934CDA">
        <w:rPr>
          <w:rFonts w:ascii="Times New Roman" w:hAnsi="Times New Roman" w:cs="Times New Roman"/>
          <w:bCs/>
          <w:color w:val="0070C0"/>
          <w:sz w:val="24"/>
          <w:szCs w:val="24"/>
        </w:rPr>
        <w:t xml:space="preserve">, parts of north-eastern </w:t>
      </w:r>
      <w:r w:rsidRPr="00934CDA">
        <w:rPr>
          <w:rFonts w:ascii="Times New Roman" w:hAnsi="Times New Roman" w:cs="Times New Roman"/>
          <w:bCs/>
          <w:i/>
          <w:iCs/>
          <w:color w:val="0070C0"/>
          <w:sz w:val="24"/>
          <w:szCs w:val="24"/>
        </w:rPr>
        <w:t>Doaba,</w:t>
      </w:r>
      <w:r w:rsidRPr="00934CDA">
        <w:rPr>
          <w:rFonts w:ascii="Times New Roman" w:hAnsi="Times New Roman" w:cs="Times New Roman"/>
          <w:bCs/>
          <w:color w:val="0070C0"/>
          <w:sz w:val="24"/>
          <w:szCs w:val="24"/>
        </w:rPr>
        <w:t xml:space="preserve"> and </w:t>
      </w:r>
      <w:r w:rsidRPr="00934CDA">
        <w:rPr>
          <w:rFonts w:ascii="Times New Roman" w:hAnsi="Times New Roman" w:cs="Times New Roman"/>
          <w:bCs/>
          <w:i/>
          <w:iCs/>
          <w:color w:val="0070C0"/>
          <w:sz w:val="24"/>
          <w:szCs w:val="24"/>
        </w:rPr>
        <w:t>Majha</w:t>
      </w:r>
      <w:r w:rsidRPr="00934CDA">
        <w:rPr>
          <w:rFonts w:ascii="Times New Roman" w:hAnsi="Times New Roman" w:cs="Times New Roman"/>
          <w:bCs/>
          <w:color w:val="0070C0"/>
          <w:sz w:val="24"/>
          <w:szCs w:val="24"/>
        </w:rPr>
        <w:t xml:space="preserve"> </w:t>
      </w:r>
      <w:r w:rsidR="00A81391" w:rsidRPr="00934CDA">
        <w:rPr>
          <w:rFonts w:ascii="Times New Roman" w:hAnsi="Times New Roman" w:cs="Times New Roman"/>
          <w:bCs/>
          <w:color w:val="0070C0"/>
          <w:sz w:val="24"/>
          <w:szCs w:val="24"/>
        </w:rPr>
        <w:t xml:space="preserve">reported relatively high rural-urban disparity in child sex ratio. </w:t>
      </w:r>
      <w:commentRangeEnd w:id="12"/>
      <w:r w:rsidR="00286B1B" w:rsidRPr="00934CDA">
        <w:rPr>
          <w:rStyle w:val="CommentReference"/>
          <w:color w:val="0070C0"/>
        </w:rPr>
        <w:commentReference w:id="12"/>
      </w:r>
      <w:r w:rsidR="00A81391" w:rsidRPr="00586DF6">
        <w:rPr>
          <w:rFonts w:ascii="Times New Roman" w:hAnsi="Times New Roman" w:cs="Times New Roman"/>
          <w:bCs/>
          <w:sz w:val="24"/>
          <w:szCs w:val="24"/>
        </w:rPr>
        <w:t xml:space="preserve">The study reveals that many socio-cultural and economic factors are responsible for widening this rural-urban gap in the child sex ratio. It has also been found that </w:t>
      </w:r>
      <w:r w:rsidR="00A81391" w:rsidRPr="00586DF6">
        <w:rPr>
          <w:rFonts w:ascii="Times New Roman" w:hAnsi="Times New Roman" w:cs="Times New Roman"/>
          <w:color w:val="000000" w:themeColor="text1"/>
          <w:sz w:val="24"/>
          <w:szCs w:val="24"/>
        </w:rPr>
        <w:t>relatively low child sex ratio (below 850 female children per thousand male children) spread spatially at fast pace from 1991 to 2011 in rural and urban areas of Punjab. The study indicates that relatively low child sex ratio spread from urban to rural areas of the state.</w:t>
      </w:r>
      <w:r w:rsidR="00A81391" w:rsidRPr="00586DF6">
        <w:rPr>
          <w:color w:val="000000" w:themeColor="text1"/>
          <w:sz w:val="24"/>
          <w:szCs w:val="24"/>
        </w:rPr>
        <w:t xml:space="preserve"> </w:t>
      </w:r>
      <w:r w:rsidR="00A81391" w:rsidRPr="00586DF6">
        <w:rPr>
          <w:rFonts w:ascii="Times New Roman" w:hAnsi="Times New Roman" w:cs="Times New Roman"/>
          <w:color w:val="000000" w:themeColor="text1"/>
          <w:sz w:val="24"/>
          <w:szCs w:val="24"/>
        </w:rPr>
        <w:t xml:space="preserve">It has been noted that the rural areas of the state were catching up the trends of low child sex ratio of the urban areas during 1991-2011. </w:t>
      </w:r>
    </w:p>
    <w:p w14:paraId="309C4882" w14:textId="77777777" w:rsidR="00EF7CF3" w:rsidRPr="00934CDA" w:rsidRDefault="00EF7CF3" w:rsidP="001859A2">
      <w:pPr>
        <w:spacing w:before="240" w:line="240" w:lineRule="auto"/>
        <w:jc w:val="both"/>
        <w:rPr>
          <w:rFonts w:ascii="Times New Roman" w:hAnsi="Times New Roman" w:cs="Times New Roman"/>
          <w:b/>
          <w:bCs/>
          <w:color w:val="0070C0"/>
          <w:sz w:val="28"/>
          <w:szCs w:val="28"/>
        </w:rPr>
      </w:pPr>
    </w:p>
    <w:p w14:paraId="0643071C" w14:textId="77777777" w:rsidR="00EF7CF3" w:rsidRPr="00586DF6" w:rsidRDefault="00EF7CF3" w:rsidP="001859A2">
      <w:pPr>
        <w:spacing w:before="240" w:line="240" w:lineRule="auto"/>
        <w:jc w:val="both"/>
        <w:rPr>
          <w:rFonts w:ascii="Times New Roman" w:hAnsi="Times New Roman" w:cs="Times New Roman"/>
          <w:b/>
          <w:bCs/>
          <w:color w:val="000000" w:themeColor="text1"/>
          <w:sz w:val="28"/>
          <w:szCs w:val="28"/>
        </w:rPr>
      </w:pPr>
    </w:p>
    <w:p w14:paraId="133D5488" w14:textId="77777777" w:rsidR="00EF7CF3" w:rsidRPr="00586DF6" w:rsidRDefault="00EF7CF3" w:rsidP="001859A2">
      <w:pPr>
        <w:spacing w:before="240" w:line="240" w:lineRule="auto"/>
        <w:jc w:val="both"/>
        <w:rPr>
          <w:rFonts w:ascii="Times New Roman" w:hAnsi="Times New Roman" w:cs="Times New Roman"/>
          <w:b/>
          <w:bCs/>
          <w:color w:val="000000" w:themeColor="text1"/>
          <w:sz w:val="28"/>
          <w:szCs w:val="28"/>
        </w:rPr>
      </w:pPr>
    </w:p>
    <w:p w14:paraId="62280FC2" w14:textId="54747870" w:rsidR="009F7C81" w:rsidRPr="00586DF6" w:rsidRDefault="007D4BD2" w:rsidP="001859A2">
      <w:pPr>
        <w:spacing w:before="240" w:line="240" w:lineRule="auto"/>
        <w:jc w:val="both"/>
        <w:rPr>
          <w:rFonts w:ascii="Times New Roman" w:hAnsi="Times New Roman" w:cs="Times New Roman"/>
          <w:b/>
          <w:bCs/>
          <w:color w:val="000000" w:themeColor="text1"/>
          <w:sz w:val="28"/>
          <w:szCs w:val="28"/>
        </w:rPr>
      </w:pPr>
      <w:r w:rsidRPr="00586DF6">
        <w:rPr>
          <w:rFonts w:ascii="Times New Roman" w:hAnsi="Times New Roman" w:cs="Times New Roman"/>
          <w:b/>
          <w:bCs/>
          <w:color w:val="000000" w:themeColor="text1"/>
          <w:sz w:val="28"/>
          <w:szCs w:val="28"/>
        </w:rPr>
        <w:lastRenderedPageBreak/>
        <w:t>References</w:t>
      </w:r>
    </w:p>
    <w:p w14:paraId="40B4A512" w14:textId="77777777" w:rsidR="001859A2" w:rsidRPr="00586DF6" w:rsidRDefault="001859A2" w:rsidP="001859A2">
      <w:pPr>
        <w:spacing w:before="240" w:line="240" w:lineRule="auto"/>
        <w:jc w:val="both"/>
        <w:rPr>
          <w:rFonts w:ascii="Times New Roman" w:hAnsi="Times New Roman" w:cs="Times New Roman"/>
          <w:noProof/>
          <w:color w:val="000000" w:themeColor="text1"/>
          <w:sz w:val="24"/>
          <w:szCs w:val="24"/>
        </w:rPr>
      </w:pPr>
      <w:r w:rsidRPr="00586DF6">
        <w:rPr>
          <w:rFonts w:ascii="Times New Roman" w:hAnsi="Times New Roman" w:cs="Times New Roman"/>
          <w:noProof/>
          <w:color w:val="000000" w:themeColor="text1"/>
          <w:sz w:val="24"/>
          <w:szCs w:val="24"/>
        </w:rPr>
        <w:t xml:space="preserve">Aravamudan, G. (2007). </w:t>
      </w:r>
      <w:r w:rsidRPr="00586DF6">
        <w:rPr>
          <w:rFonts w:ascii="Times New Roman" w:hAnsi="Times New Roman" w:cs="Times New Roman"/>
          <w:iCs/>
          <w:noProof/>
          <w:color w:val="000000" w:themeColor="text1"/>
          <w:sz w:val="24"/>
          <w:szCs w:val="24"/>
        </w:rPr>
        <w:t xml:space="preserve">Disappearing Daughters. Gurgaon, </w:t>
      </w:r>
      <w:r w:rsidRPr="00586DF6">
        <w:rPr>
          <w:rFonts w:ascii="Times New Roman" w:hAnsi="Times New Roman" w:cs="Times New Roman"/>
          <w:noProof/>
          <w:color w:val="000000" w:themeColor="text1"/>
          <w:sz w:val="24"/>
          <w:szCs w:val="24"/>
        </w:rPr>
        <w:t>Penguin Books.</w:t>
      </w:r>
    </w:p>
    <w:p w14:paraId="509C9049" w14:textId="77777777" w:rsidR="001859A2" w:rsidRPr="00586DF6" w:rsidRDefault="001859A2" w:rsidP="001859A2">
      <w:pPr>
        <w:autoSpaceDE w:val="0"/>
        <w:autoSpaceDN w:val="0"/>
        <w:adjustRightInd w:val="0"/>
        <w:spacing w:before="24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Banister, J. (2004). Shortage of Girls in China Today. </w:t>
      </w:r>
      <w:r w:rsidRPr="00586DF6">
        <w:rPr>
          <w:rFonts w:ascii="Times New Roman" w:hAnsi="Times New Roman" w:cs="Times New Roman"/>
          <w:i/>
          <w:iCs/>
          <w:color w:val="000000" w:themeColor="text1"/>
          <w:sz w:val="24"/>
          <w:szCs w:val="24"/>
        </w:rPr>
        <w:t>Journal of Population Research</w:t>
      </w:r>
      <w:r w:rsidRPr="00586DF6">
        <w:rPr>
          <w:rFonts w:ascii="Times New Roman" w:hAnsi="Times New Roman" w:cs="Times New Roman"/>
          <w:color w:val="000000" w:themeColor="text1"/>
          <w:sz w:val="24"/>
          <w:szCs w:val="24"/>
        </w:rPr>
        <w:t>, 21(1), 19-45.</w:t>
      </w:r>
    </w:p>
    <w:p w14:paraId="41C76713" w14:textId="77777777" w:rsidR="001859A2" w:rsidRPr="00586DF6" w:rsidRDefault="001859A2" w:rsidP="001859A2">
      <w:pPr>
        <w:autoSpaceDE w:val="0"/>
        <w:autoSpaceDN w:val="0"/>
        <w:adjustRightInd w:val="0"/>
        <w:spacing w:before="24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Cai, Y., &amp; Lavely, W. (2003). China’s missing girls: Numerical estimates and effects on population growth. </w:t>
      </w:r>
      <w:r w:rsidRPr="00586DF6">
        <w:rPr>
          <w:rFonts w:ascii="Times New Roman" w:hAnsi="Times New Roman" w:cs="Times New Roman"/>
          <w:i/>
          <w:iCs/>
          <w:color w:val="000000" w:themeColor="text1"/>
          <w:sz w:val="24"/>
          <w:szCs w:val="24"/>
        </w:rPr>
        <w:t>The China Review</w:t>
      </w:r>
      <w:r w:rsidRPr="00586DF6">
        <w:rPr>
          <w:rFonts w:ascii="Times New Roman" w:hAnsi="Times New Roman" w:cs="Times New Roman"/>
          <w:color w:val="000000" w:themeColor="text1"/>
          <w:sz w:val="24"/>
          <w:szCs w:val="24"/>
        </w:rPr>
        <w:t>, 2(3), 13-29.</w:t>
      </w:r>
    </w:p>
    <w:p w14:paraId="454004FA" w14:textId="77777777" w:rsidR="001859A2" w:rsidRPr="00586DF6" w:rsidRDefault="001859A2" w:rsidP="001859A2">
      <w:pPr>
        <w:pStyle w:val="BodyText"/>
        <w:spacing w:before="240" w:after="160"/>
        <w:ind w:left="0" w:right="258"/>
        <w:rPr>
          <w:color w:val="000000" w:themeColor="text1"/>
          <w:lang w:val="en-IN"/>
        </w:rPr>
      </w:pPr>
      <w:r w:rsidRPr="00586DF6">
        <w:rPr>
          <w:color w:val="000000" w:themeColor="text1"/>
          <w:lang w:val="en-IN"/>
        </w:rPr>
        <w:t xml:space="preserve">Callen, V. J., &amp; Kee, P. G. (1981). Sons and Daughters? Cross-Cultural Comparisons of the Sex Preference of Australia, Greek, Italian, Malay, Chinese and Indian Parents in Australia and Malaysia. </w:t>
      </w:r>
      <w:r w:rsidRPr="00586DF6">
        <w:rPr>
          <w:i/>
          <w:iCs/>
          <w:color w:val="000000" w:themeColor="text1"/>
          <w:lang w:val="en-IN"/>
        </w:rPr>
        <w:t>Population and Environment</w:t>
      </w:r>
      <w:r w:rsidRPr="00586DF6">
        <w:rPr>
          <w:color w:val="000000" w:themeColor="text1"/>
          <w:lang w:val="en-IN"/>
        </w:rPr>
        <w:t>, 4(2), 97-108.</w:t>
      </w:r>
    </w:p>
    <w:p w14:paraId="76BA79FF" w14:textId="77777777" w:rsidR="001859A2" w:rsidRPr="00586DF6" w:rsidRDefault="001859A2" w:rsidP="001859A2">
      <w:pPr>
        <w:autoSpaceDE w:val="0"/>
        <w:autoSpaceDN w:val="0"/>
        <w:adjustRightInd w:val="0"/>
        <w:spacing w:before="240" w:after="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Department of Health and Family Welfare, Government of Punjab. (2007). Combating Female Foeticide: A Perspective Plan. Chandigarh, Institute for Development and Communication.</w:t>
      </w:r>
    </w:p>
    <w:p w14:paraId="1F4C506C" w14:textId="77777777" w:rsidR="001859A2" w:rsidRPr="00586DF6" w:rsidRDefault="001859A2" w:rsidP="001859A2">
      <w:pPr>
        <w:pStyle w:val="BodyText"/>
        <w:spacing w:before="240" w:after="160"/>
        <w:ind w:left="0" w:right="258"/>
        <w:rPr>
          <w:noProof/>
          <w:color w:val="000000" w:themeColor="text1"/>
        </w:rPr>
      </w:pPr>
      <w:r w:rsidRPr="00586DF6">
        <w:rPr>
          <w:noProof/>
          <w:color w:val="000000" w:themeColor="text1"/>
        </w:rPr>
        <w:t xml:space="preserve">Guilmoto, C. Z., &amp; Oliveau, S. (2007). Sex Ratio Imbalances Among Childern At Micro-Level: China and India Compared. New York, </w:t>
      </w:r>
      <w:r w:rsidRPr="00586DF6">
        <w:rPr>
          <w:iCs/>
          <w:noProof/>
          <w:color w:val="000000" w:themeColor="text1"/>
        </w:rPr>
        <w:t>Population Association of America 2007 Annual Meeting Proceedings,</w:t>
      </w:r>
      <w:r w:rsidRPr="00586DF6">
        <w:rPr>
          <w:noProof/>
          <w:color w:val="000000" w:themeColor="text1"/>
        </w:rPr>
        <w:t xml:space="preserve"> 1-18.</w:t>
      </w:r>
    </w:p>
    <w:p w14:paraId="0866754D" w14:textId="77777777" w:rsidR="001859A2" w:rsidRPr="00586DF6" w:rsidRDefault="001859A2" w:rsidP="001859A2">
      <w:pPr>
        <w:pStyle w:val="BodyText"/>
        <w:spacing w:before="240" w:after="160"/>
        <w:ind w:left="0" w:right="258"/>
        <w:rPr>
          <w:color w:val="000000" w:themeColor="text1"/>
          <w:lang w:val="en-IN"/>
        </w:rPr>
      </w:pPr>
      <w:r w:rsidRPr="00586DF6">
        <w:rPr>
          <w:color w:val="000000" w:themeColor="text1"/>
          <w:lang w:val="en-IN"/>
        </w:rPr>
        <w:t xml:space="preserve">Gupta, M. D., &amp; Li, S. (1999). Gender bias in China, South Korea and India 1920-1990: The effects of war, famine, and fertility decline. </w:t>
      </w:r>
      <w:r w:rsidRPr="00586DF6">
        <w:rPr>
          <w:i/>
          <w:iCs/>
          <w:color w:val="000000" w:themeColor="text1"/>
          <w:lang w:val="en-IN"/>
        </w:rPr>
        <w:t>Development and Change</w:t>
      </w:r>
      <w:r w:rsidRPr="00586DF6">
        <w:rPr>
          <w:color w:val="000000" w:themeColor="text1"/>
          <w:lang w:val="en-IN"/>
        </w:rPr>
        <w:t>, 30(3), 619-652.</w:t>
      </w:r>
    </w:p>
    <w:p w14:paraId="781F9AC1" w14:textId="77777777" w:rsidR="001859A2" w:rsidRPr="00586DF6" w:rsidRDefault="001859A2" w:rsidP="001859A2">
      <w:pPr>
        <w:spacing w:line="240" w:lineRule="auto"/>
        <w:jc w:val="both"/>
        <w:rPr>
          <w:rFonts w:ascii="Times New Roman" w:hAnsi="Times New Roman" w:cs="Times New Roman"/>
          <w:noProof/>
          <w:color w:val="000000" w:themeColor="text1"/>
          <w:sz w:val="24"/>
          <w:szCs w:val="24"/>
        </w:rPr>
      </w:pPr>
      <w:r w:rsidRPr="00586DF6">
        <w:rPr>
          <w:rFonts w:ascii="Times New Roman" w:hAnsi="Times New Roman" w:cs="Times New Roman"/>
          <w:noProof/>
          <w:color w:val="000000" w:themeColor="text1"/>
          <w:sz w:val="24"/>
          <w:szCs w:val="24"/>
        </w:rPr>
        <w:t xml:space="preserve">Kaur, B. (2015). Sex Ratio of Scheduled Caste population in Punjab: 2011. </w:t>
      </w:r>
      <w:r w:rsidRPr="00586DF6">
        <w:rPr>
          <w:rFonts w:ascii="Times New Roman" w:hAnsi="Times New Roman" w:cs="Times New Roman"/>
          <w:i/>
          <w:noProof/>
          <w:color w:val="000000" w:themeColor="text1"/>
          <w:sz w:val="24"/>
          <w:szCs w:val="24"/>
        </w:rPr>
        <w:t>Population Geography</w:t>
      </w:r>
      <w:r w:rsidRPr="00586DF6">
        <w:rPr>
          <w:rFonts w:ascii="Times New Roman" w:hAnsi="Times New Roman" w:cs="Times New Roman"/>
          <w:iCs/>
          <w:noProof/>
          <w:color w:val="000000" w:themeColor="text1"/>
          <w:sz w:val="24"/>
          <w:szCs w:val="24"/>
        </w:rPr>
        <w:t>, 37</w:t>
      </w:r>
      <w:r w:rsidRPr="00586DF6">
        <w:rPr>
          <w:rFonts w:ascii="Times New Roman" w:hAnsi="Times New Roman" w:cs="Times New Roman"/>
          <w:noProof/>
          <w:color w:val="000000" w:themeColor="text1"/>
          <w:sz w:val="24"/>
          <w:szCs w:val="24"/>
        </w:rPr>
        <w:t>(1&amp;2), 73-86.</w:t>
      </w:r>
    </w:p>
    <w:p w14:paraId="3885D489" w14:textId="77777777" w:rsidR="001859A2" w:rsidRPr="00586DF6" w:rsidRDefault="001859A2" w:rsidP="001859A2">
      <w:pPr>
        <w:spacing w:before="240" w:line="240" w:lineRule="auto"/>
        <w:ind w:right="-144"/>
        <w:jc w:val="both"/>
        <w:rPr>
          <w:rFonts w:ascii="Times New Roman" w:hAnsi="Times New Roman" w:cs="Times New Roman"/>
          <w:noProof/>
          <w:color w:val="000000" w:themeColor="text1"/>
          <w:sz w:val="24"/>
          <w:szCs w:val="24"/>
        </w:rPr>
      </w:pPr>
      <w:r w:rsidRPr="00586DF6">
        <w:rPr>
          <w:rFonts w:ascii="Times New Roman" w:hAnsi="Times New Roman" w:cs="Times New Roman"/>
          <w:noProof/>
          <w:color w:val="000000" w:themeColor="text1"/>
          <w:sz w:val="24"/>
          <w:szCs w:val="24"/>
        </w:rPr>
        <w:t xml:space="preserve">Larson, M., &amp; Hatti, N. (2008). Intergenerational Interests, Uncertainty and Discrimination - I: Conceptualising the Process of Declining Child Sex Ratios in India. </w:t>
      </w:r>
      <w:r w:rsidRPr="00586DF6">
        <w:rPr>
          <w:rFonts w:ascii="Times New Roman" w:hAnsi="Times New Roman" w:cs="Times New Roman"/>
          <w:i/>
          <w:noProof/>
          <w:color w:val="000000" w:themeColor="text1"/>
          <w:sz w:val="24"/>
          <w:szCs w:val="24"/>
        </w:rPr>
        <w:t>Sociological Bullentin,</w:t>
      </w:r>
      <w:r w:rsidRPr="00586DF6">
        <w:rPr>
          <w:rFonts w:ascii="Times New Roman" w:hAnsi="Times New Roman" w:cs="Times New Roman"/>
          <w:iCs/>
          <w:noProof/>
          <w:color w:val="000000" w:themeColor="text1"/>
          <w:sz w:val="24"/>
          <w:szCs w:val="24"/>
        </w:rPr>
        <w:t xml:space="preserve"> 57</w:t>
      </w:r>
      <w:r w:rsidRPr="00586DF6">
        <w:rPr>
          <w:rFonts w:ascii="Times New Roman" w:hAnsi="Times New Roman" w:cs="Times New Roman"/>
          <w:noProof/>
          <w:color w:val="000000" w:themeColor="text1"/>
          <w:sz w:val="24"/>
          <w:szCs w:val="24"/>
        </w:rPr>
        <w:t xml:space="preserve">(1), 82-96. </w:t>
      </w:r>
    </w:p>
    <w:p w14:paraId="4B5F244A" w14:textId="77777777" w:rsidR="001859A2" w:rsidRPr="00586DF6" w:rsidRDefault="001859A2" w:rsidP="001859A2">
      <w:pPr>
        <w:pStyle w:val="BodyText"/>
        <w:spacing w:before="240" w:after="160"/>
        <w:ind w:left="0" w:right="258"/>
        <w:rPr>
          <w:noProof/>
          <w:color w:val="000000" w:themeColor="text1"/>
        </w:rPr>
      </w:pPr>
      <w:r w:rsidRPr="00586DF6">
        <w:rPr>
          <w:noProof/>
          <w:color w:val="000000" w:themeColor="text1"/>
        </w:rPr>
        <w:t xml:space="preserve">Mies, M. (2014). </w:t>
      </w:r>
      <w:r w:rsidRPr="00586DF6">
        <w:rPr>
          <w:iCs/>
          <w:noProof/>
          <w:color w:val="000000" w:themeColor="text1"/>
        </w:rPr>
        <w:t>Patriarchy and Accumulation on the world scale: Women in the International division of Labour.</w:t>
      </w:r>
      <w:r w:rsidRPr="00586DF6">
        <w:rPr>
          <w:noProof/>
          <w:color w:val="000000" w:themeColor="text1"/>
        </w:rPr>
        <w:t xml:space="preserve"> London, Zed Books. </w:t>
      </w:r>
    </w:p>
    <w:p w14:paraId="77824D1A" w14:textId="77777777" w:rsidR="001859A2" w:rsidRPr="00586DF6" w:rsidRDefault="001859A2" w:rsidP="001859A2">
      <w:pPr>
        <w:pStyle w:val="BodyText"/>
        <w:spacing w:before="240" w:after="240"/>
        <w:ind w:left="0" w:right="256"/>
        <w:rPr>
          <w:color w:val="000000" w:themeColor="text1"/>
          <w:lang w:val="en-IN"/>
        </w:rPr>
      </w:pPr>
      <w:r w:rsidRPr="00586DF6">
        <w:rPr>
          <w:color w:val="000000" w:themeColor="text1"/>
          <w:lang w:val="en-IN"/>
        </w:rPr>
        <w:t>Organisation for Economic Co-operation and Development (OECD). (2018). Economic Policy Reforms Interim Report, Paris, OECD Publishing.</w:t>
      </w:r>
    </w:p>
    <w:p w14:paraId="5CD4D2CF" w14:textId="77777777" w:rsidR="001859A2" w:rsidRPr="00586DF6" w:rsidRDefault="001859A2" w:rsidP="001859A2">
      <w:pPr>
        <w:autoSpaceDE w:val="0"/>
        <w:autoSpaceDN w:val="0"/>
        <w:adjustRightInd w:val="0"/>
        <w:spacing w:before="240" w:after="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Patel, T. (ed.). (2007). Sex-Selective Abortion in India: Gender, Society and New Reproductive Technologies. New Delhi, Sage Publications. </w:t>
      </w:r>
    </w:p>
    <w:p w14:paraId="02DD9E27" w14:textId="77777777" w:rsidR="001859A2" w:rsidRPr="00586DF6" w:rsidRDefault="001859A2" w:rsidP="001859A2">
      <w:pPr>
        <w:autoSpaceDE w:val="0"/>
        <w:autoSpaceDN w:val="0"/>
        <w:adjustRightInd w:val="0"/>
        <w:spacing w:before="240" w:after="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Purewal, N. K. (2010). Son Preference: Sex Selection, Gender and Culture in South Asia. New York, Berg Publication.</w:t>
      </w:r>
    </w:p>
    <w:p w14:paraId="696D181D" w14:textId="0B08F65E" w:rsidR="001859A2" w:rsidRPr="00A572D1" w:rsidRDefault="009F7C81" w:rsidP="001859A2">
      <w:pPr>
        <w:spacing w:before="240" w:line="240" w:lineRule="auto"/>
        <w:ind w:right="-144"/>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World Health Organisation. (2011). Preventing Gender-Biased Sex Selection. Geneva, Switzerland, W.H.O. Retrieved on 21, 01, 2020, from </w:t>
      </w:r>
      <w:hyperlink r:id="rId29" w:history="1">
        <w:r w:rsidRPr="00586DF6">
          <w:rPr>
            <w:rStyle w:val="Hyperlink"/>
            <w:rFonts w:ascii="Times New Roman" w:hAnsi="Times New Roman" w:cs="Times New Roman"/>
            <w:color w:val="000000" w:themeColor="text1"/>
            <w:sz w:val="24"/>
            <w:szCs w:val="24"/>
          </w:rPr>
          <w:t>https://apps.who.int/iris/bitstream/handle/10665/44577/9789241501460_eng.pdf;jsessionid=7130A85B7C475D75FB370420C2B1204F?sequence=1</w:t>
        </w:r>
      </w:hyperlink>
      <w:r w:rsidRPr="00586DF6">
        <w:rPr>
          <w:rFonts w:ascii="Times New Roman" w:hAnsi="Times New Roman" w:cs="Times New Roman"/>
          <w:color w:val="000000" w:themeColor="text1"/>
          <w:sz w:val="24"/>
          <w:szCs w:val="24"/>
        </w:rPr>
        <w:t>.</w:t>
      </w:r>
    </w:p>
    <w:sectPr w:rsidR="001859A2" w:rsidRPr="00A572D1">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enthamizh veena veena" w:date="2026-03-22T14:46:00Z" w:initials="svv">
    <w:p w14:paraId="5FD9136C" w14:textId="77777777" w:rsidR="0004593E" w:rsidRDefault="0004593E" w:rsidP="00AF2865">
      <w:pPr>
        <w:pStyle w:val="CommentText"/>
      </w:pPr>
      <w:r>
        <w:rPr>
          <w:rStyle w:val="CommentReference"/>
        </w:rPr>
        <w:annotationRef/>
      </w:r>
      <w:r>
        <w:t xml:space="preserve">The sentence lacks clarity and should be rephrased for better understanding. </w:t>
      </w:r>
    </w:p>
  </w:comment>
  <w:comment w:id="1" w:author="senthamizh veena veena" w:date="2026-03-22T12:50:00Z" w:initials="svv">
    <w:p w14:paraId="130F6CE9" w14:textId="77777777" w:rsidR="00AB620C" w:rsidRDefault="0018270D" w:rsidP="00F8167B">
      <w:pPr>
        <w:pStyle w:val="CommentText"/>
      </w:pPr>
      <w:r>
        <w:rPr>
          <w:rStyle w:val="CommentReference"/>
        </w:rPr>
        <w:annotationRef/>
      </w:r>
      <w:r w:rsidR="00AB620C">
        <w:t>The sentence is unclear due to ambiguous wording. Please rephrase it to improve clarity.</w:t>
      </w:r>
    </w:p>
  </w:comment>
  <w:comment w:id="2" w:author="senthamizh veena veena" w:date="2026-03-22T14:47:00Z" w:initials="svv">
    <w:p w14:paraId="6C725BAE" w14:textId="1B9B0075" w:rsidR="00AB620C" w:rsidRDefault="0004593E" w:rsidP="000B08E4">
      <w:pPr>
        <w:pStyle w:val="CommentText"/>
      </w:pPr>
      <w:r>
        <w:rPr>
          <w:rStyle w:val="CommentReference"/>
        </w:rPr>
        <w:annotationRef/>
      </w:r>
      <w:r w:rsidR="00AB620C">
        <w:t>Replace the words boys and girls.</w:t>
      </w:r>
    </w:p>
  </w:comment>
  <w:comment w:id="3" w:author="senthamizh veena veena" w:date="2026-03-22T14:51:00Z" w:initials="svv">
    <w:p w14:paraId="442AAA57" w14:textId="04EC8B71" w:rsidR="00122A09" w:rsidRDefault="0004593E" w:rsidP="003A62A3">
      <w:pPr>
        <w:pStyle w:val="CommentText"/>
      </w:pPr>
      <w:r>
        <w:rPr>
          <w:rStyle w:val="CommentReference"/>
        </w:rPr>
        <w:annotationRef/>
      </w:r>
      <w:r w:rsidR="00122A09">
        <w:rPr>
          <w:color w:val="0F1115"/>
        </w:rPr>
        <w:t>This sentence is unclear.</w:t>
      </w:r>
      <w:r w:rsidR="00122A09">
        <w:t xml:space="preserve"> </w:t>
      </w:r>
      <w:r w:rsidR="00122A09">
        <w:rPr>
          <w:color w:val="0F1115"/>
        </w:rPr>
        <w:t>It should be either elaborated or removed.</w:t>
      </w:r>
      <w:r w:rsidR="00122A09">
        <w:t xml:space="preserve"> </w:t>
      </w:r>
    </w:p>
  </w:comment>
  <w:comment w:id="4" w:author="senthamizh veena veena" w:date="2026-03-22T14:48:00Z" w:initials="svv">
    <w:p w14:paraId="61054B43" w14:textId="00C68890" w:rsidR="0004593E" w:rsidRDefault="0004593E" w:rsidP="00D839EB">
      <w:pPr>
        <w:pStyle w:val="CommentText"/>
      </w:pPr>
      <w:r>
        <w:rPr>
          <w:rStyle w:val="CommentReference"/>
        </w:rPr>
        <w:annotationRef/>
      </w:r>
      <w:r>
        <w:t>Replace "ads" with "advertisements"</w:t>
      </w:r>
    </w:p>
  </w:comment>
  <w:comment w:id="5" w:author="senthamizh veena veena" w:date="2026-03-22T14:49:00Z" w:initials="svv">
    <w:p w14:paraId="6A0B2335" w14:textId="77777777" w:rsidR="0004593E" w:rsidRDefault="0004593E" w:rsidP="00194AB1">
      <w:pPr>
        <w:pStyle w:val="CommentText"/>
      </w:pPr>
      <w:r>
        <w:rPr>
          <w:rStyle w:val="CommentReference"/>
        </w:rPr>
        <w:annotationRef/>
      </w:r>
      <w:r>
        <w:t>Replace cities and villages with urban and rural areas</w:t>
      </w:r>
    </w:p>
  </w:comment>
  <w:comment w:id="6" w:author="senthamizh veena veena" w:date="2026-03-22T14:58:00Z" w:initials="svv">
    <w:p w14:paraId="1F6DCDF2" w14:textId="77777777" w:rsidR="00C30D49" w:rsidRDefault="00C30D49" w:rsidP="004C6964">
      <w:pPr>
        <w:pStyle w:val="CommentText"/>
      </w:pPr>
      <w:r>
        <w:rPr>
          <w:rStyle w:val="CommentReference"/>
        </w:rPr>
        <w:annotationRef/>
      </w:r>
      <w:r>
        <w:t xml:space="preserve">The objectives are relevant but exhibit conceptual overlap, particularly between Objectives 2 and 3, both of which address spatial aspects of the child sex ratio. The distinction between “spatial variation” and “spatial spread” is not clearly articulated. It is recommended to either merge these objectives or clearly differentiate them. </w:t>
      </w:r>
    </w:p>
  </w:comment>
  <w:comment w:id="7" w:author="senthamizh veena veena" w:date="2026-03-22T15:08:00Z" w:initials="svv">
    <w:p w14:paraId="45F0F515" w14:textId="77777777" w:rsidR="00AB620C" w:rsidRDefault="00992CF6" w:rsidP="006C1E45">
      <w:pPr>
        <w:pStyle w:val="CommentText"/>
      </w:pPr>
      <w:r>
        <w:rPr>
          <w:rStyle w:val="CommentReference"/>
        </w:rPr>
        <w:annotationRef/>
      </w:r>
      <w:r w:rsidR="00AB620C">
        <w:rPr>
          <w:color w:val="0F1115"/>
        </w:rPr>
        <w:t>the methodology section is very brief. It says tehsils were "made comparable" across censuses but does not explain how this was done.</w:t>
      </w:r>
      <w:r w:rsidR="00AB620C">
        <w:t xml:space="preserve"> </w:t>
      </w:r>
      <w:r w:rsidR="00AB620C">
        <w:rPr>
          <w:color w:val="0F1115"/>
        </w:rPr>
        <w:t>M</w:t>
      </w:r>
      <w:r w:rsidR="00AB620C">
        <w:t>ore details on analytical techniques and limitations of secondary data would improve rigor.</w:t>
      </w:r>
    </w:p>
  </w:comment>
  <w:comment w:id="8" w:author="senthamizh veena veena" w:date="2026-03-22T12:56:00Z" w:initials="svv">
    <w:p w14:paraId="2CB34F22" w14:textId="77777777" w:rsidR="00AB620C" w:rsidRDefault="003F714F" w:rsidP="004371FE">
      <w:pPr>
        <w:pStyle w:val="CommentText"/>
      </w:pPr>
      <w:r>
        <w:rPr>
          <w:rStyle w:val="CommentReference"/>
        </w:rPr>
        <w:annotationRef/>
      </w:r>
      <w:r w:rsidR="00AB620C">
        <w:t xml:space="preserve">Lacks clarity. Simplify the structure and clarify the intended meaning. </w:t>
      </w:r>
    </w:p>
  </w:comment>
  <w:comment w:id="9" w:author="senthamizh veena veena" w:date="2026-03-22T12:57:00Z" w:initials="svv">
    <w:p w14:paraId="49915E2E" w14:textId="1A676339" w:rsidR="006D36D6" w:rsidRDefault="00977DDF" w:rsidP="00CF2D6B">
      <w:pPr>
        <w:pStyle w:val="CommentText"/>
      </w:pPr>
      <w:r>
        <w:rPr>
          <w:rStyle w:val="CommentReference"/>
        </w:rPr>
        <w:annotationRef/>
      </w:r>
      <w:r w:rsidR="006D36D6">
        <w:rPr>
          <w:color w:val="0F1115"/>
        </w:rPr>
        <w:t>The discussion section is largely descriptive of the factors. A stronger discussion would explicitly link the spatial findings (e.g., why the foothill zone or the </w:t>
      </w:r>
      <w:r w:rsidR="006D36D6">
        <w:t>Malwa</w:t>
      </w:r>
      <w:r w:rsidR="006D36D6">
        <w:rPr>
          <w:color w:val="0F1115"/>
        </w:rPr>
        <w:t> fringes show high disparity) to specific arguments made in the cited literature.</w:t>
      </w:r>
      <w:r w:rsidR="006D36D6">
        <w:t xml:space="preserve"> </w:t>
      </w:r>
    </w:p>
  </w:comment>
  <w:comment w:id="10" w:author="senthamizh veena veena" w:date="2026-03-22T13:05:00Z" w:initials="svv">
    <w:p w14:paraId="10FDEDB7" w14:textId="77777777" w:rsidR="00E737D6" w:rsidRDefault="00977DDF" w:rsidP="00B60188">
      <w:pPr>
        <w:pStyle w:val="CommentText"/>
      </w:pPr>
      <w:r>
        <w:rPr>
          <w:rStyle w:val="CommentReference"/>
        </w:rPr>
        <w:annotationRef/>
      </w:r>
      <w:r w:rsidR="00E737D6">
        <w:t xml:space="preserve">The sentence is unclear due to ambiguous wording. Please rephrase it to improve clarity. </w:t>
      </w:r>
    </w:p>
  </w:comment>
  <w:comment w:id="11" w:author="senthamizh veena veena" w:date="2026-03-22T15:22:00Z" w:initials="svv">
    <w:p w14:paraId="06ED6970" w14:textId="77777777" w:rsidR="00E737D6" w:rsidRDefault="00E737D6" w:rsidP="00354DAC">
      <w:pPr>
        <w:pStyle w:val="CommentText"/>
      </w:pPr>
      <w:r>
        <w:rPr>
          <w:rStyle w:val="CommentReference"/>
        </w:rPr>
        <w:annotationRef/>
      </w:r>
      <w:r>
        <w:t xml:space="preserve">The highlighted sentences lacks clarity and should be rephrased for better understanding </w:t>
      </w:r>
    </w:p>
  </w:comment>
  <w:comment w:id="12" w:author="senthamizh veena veena" w:date="2026-03-22T15:28:00Z" w:initials="svv">
    <w:p w14:paraId="6E729E90" w14:textId="77777777" w:rsidR="00286B1B" w:rsidRDefault="00286B1B" w:rsidP="00757D37">
      <w:pPr>
        <w:pStyle w:val="CommentText"/>
      </w:pPr>
      <w:r>
        <w:rPr>
          <w:rStyle w:val="CommentReference"/>
        </w:rPr>
        <w:annotationRef/>
      </w:r>
      <w:r>
        <w:rPr>
          <w:color w:val="0F1115"/>
        </w:rPr>
        <w:t>The authors present these spatial patterns as important findings but didn't explain </w:t>
      </w:r>
      <w:r>
        <w:rPr>
          <w:b/>
          <w:bCs/>
        </w:rPr>
        <w:t>why</w:t>
      </w:r>
      <w:r>
        <w:rPr>
          <w:b/>
          <w:bCs/>
          <w:color w:val="0F1115"/>
        </w:rPr>
        <w:t> </w:t>
      </w:r>
      <w:r>
        <w:rPr>
          <w:color w:val="0F1115"/>
        </w:rPr>
        <w:t xml:space="preserve">these specific regions exhibited such disparities. The author has to connect these observations to any existing literature or provide plausible reasons for the observed patterns. </w:t>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D9136C" w15:done="0"/>
  <w15:commentEx w15:paraId="130F6CE9" w15:done="0"/>
  <w15:commentEx w15:paraId="6C725BAE" w15:paraIdParent="130F6CE9" w15:done="0"/>
  <w15:commentEx w15:paraId="442AAA57" w15:done="0"/>
  <w15:commentEx w15:paraId="61054B43" w15:done="0"/>
  <w15:commentEx w15:paraId="6A0B2335" w15:done="0"/>
  <w15:commentEx w15:paraId="1F6DCDF2" w15:done="0"/>
  <w15:commentEx w15:paraId="45F0F515" w15:done="0"/>
  <w15:commentEx w15:paraId="2CB34F22" w15:done="0"/>
  <w15:commentEx w15:paraId="49915E2E" w15:done="0"/>
  <w15:commentEx w15:paraId="10FDEDB7" w15:done="0"/>
  <w15:commentEx w15:paraId="06ED6970" w15:done="0"/>
  <w15:commentEx w15:paraId="6E729E9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6A7F33" w16cex:dateUtc="2026-03-22T09:16:00Z"/>
  <w16cex:commentExtensible w16cex:durableId="2D6A6418" w16cex:dateUtc="2026-03-22T07:20:00Z"/>
  <w16cex:commentExtensible w16cex:durableId="2D6A7F9C" w16cex:dateUtc="2026-03-22T09:17:00Z"/>
  <w16cex:commentExtensible w16cex:durableId="2D6A8075" w16cex:dateUtc="2026-03-22T09:21:00Z"/>
  <w16cex:commentExtensible w16cex:durableId="2D6A7FC6" w16cex:dateUtc="2026-03-22T09:18:00Z"/>
  <w16cex:commentExtensible w16cex:durableId="2D6A8011" w16cex:dateUtc="2026-03-22T09:19:00Z"/>
  <w16cex:commentExtensible w16cex:durableId="2D6A8205" w16cex:dateUtc="2026-03-22T09:28:00Z"/>
  <w16cex:commentExtensible w16cex:durableId="2D6A8486" w16cex:dateUtc="2026-03-22T09:38:00Z"/>
  <w16cex:commentExtensible w16cex:durableId="2D6A657C" w16cex:dateUtc="2026-03-22T07:26:00Z"/>
  <w16cex:commentExtensible w16cex:durableId="2D6A65C5" w16cex:dateUtc="2026-03-22T07:27:00Z"/>
  <w16cex:commentExtensible w16cex:durableId="2D6A678A" w16cex:dateUtc="2026-03-22T07:35:00Z"/>
  <w16cex:commentExtensible w16cex:durableId="2D6A87CB" w16cex:dateUtc="2026-03-22T09:52:00Z"/>
  <w16cex:commentExtensible w16cex:durableId="2D6A8934" w16cex:dateUtc="2026-03-22T09: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D9136C" w16cid:durableId="2D6A7F33"/>
  <w16cid:commentId w16cid:paraId="130F6CE9" w16cid:durableId="2D6A6418"/>
  <w16cid:commentId w16cid:paraId="6C725BAE" w16cid:durableId="2D6A7F9C"/>
  <w16cid:commentId w16cid:paraId="442AAA57" w16cid:durableId="2D6A8075"/>
  <w16cid:commentId w16cid:paraId="61054B43" w16cid:durableId="2D6A7FC6"/>
  <w16cid:commentId w16cid:paraId="6A0B2335" w16cid:durableId="2D6A8011"/>
  <w16cid:commentId w16cid:paraId="1F6DCDF2" w16cid:durableId="2D6A8205"/>
  <w16cid:commentId w16cid:paraId="45F0F515" w16cid:durableId="2D6A8486"/>
  <w16cid:commentId w16cid:paraId="2CB34F22" w16cid:durableId="2D6A657C"/>
  <w16cid:commentId w16cid:paraId="49915E2E" w16cid:durableId="2D6A65C5"/>
  <w16cid:commentId w16cid:paraId="10FDEDB7" w16cid:durableId="2D6A678A"/>
  <w16cid:commentId w16cid:paraId="06ED6970" w16cid:durableId="2D6A87CB"/>
  <w16cid:commentId w16cid:paraId="6E729E90" w16cid:durableId="2D6A893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4DF89" w14:textId="77777777" w:rsidR="002A4FEF" w:rsidRDefault="002A4FEF" w:rsidP="000C6E07">
      <w:pPr>
        <w:spacing w:after="0" w:line="240" w:lineRule="auto"/>
      </w:pPr>
      <w:r>
        <w:separator/>
      </w:r>
    </w:p>
  </w:endnote>
  <w:endnote w:type="continuationSeparator" w:id="0">
    <w:p w14:paraId="69FF3690" w14:textId="77777777" w:rsidR="002A4FEF" w:rsidRDefault="002A4FEF" w:rsidP="000C6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ptos Display"/>
    <w:charset w:val="00"/>
    <w:family w:val="swiss"/>
    <w:pitch w:val="variable"/>
    <w:sig w:usb0="20000287" w:usb1="00000003" w:usb2="00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2B77D" w14:textId="77777777" w:rsidR="00DE44AA" w:rsidRDefault="00DE44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9240705"/>
      <w:docPartObj>
        <w:docPartGallery w:val="Page Numbers (Bottom of Page)"/>
        <w:docPartUnique/>
      </w:docPartObj>
    </w:sdtPr>
    <w:sdtEndPr>
      <w:rPr>
        <w:noProof/>
      </w:rPr>
    </w:sdtEndPr>
    <w:sdtContent>
      <w:p w14:paraId="7D06FDE2" w14:textId="2FE0FA0B" w:rsidR="000C6E07" w:rsidRDefault="000C6E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2F6A05" w14:textId="77777777" w:rsidR="000C6E07" w:rsidRDefault="000C6E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067A7" w14:textId="77777777" w:rsidR="00DE44AA" w:rsidRDefault="00DE44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95EAE" w14:textId="77777777" w:rsidR="002A4FEF" w:rsidRDefault="002A4FEF" w:rsidP="000C6E07">
      <w:pPr>
        <w:spacing w:after="0" w:line="240" w:lineRule="auto"/>
      </w:pPr>
      <w:r>
        <w:separator/>
      </w:r>
    </w:p>
  </w:footnote>
  <w:footnote w:type="continuationSeparator" w:id="0">
    <w:p w14:paraId="3D6CEED0" w14:textId="77777777" w:rsidR="002A4FEF" w:rsidRDefault="002A4FEF" w:rsidP="000C6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4FF06" w14:textId="651A68C3" w:rsidR="00DE44AA" w:rsidRDefault="002A4FEF">
    <w:pPr>
      <w:pStyle w:val="Header"/>
    </w:pPr>
    <w:r>
      <w:rPr>
        <w:noProof/>
      </w:rPr>
      <w:pict w14:anchorId="316E0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580360"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9C6BD" w14:textId="20E1DAAF" w:rsidR="00DE44AA" w:rsidRDefault="002A4FEF">
    <w:pPr>
      <w:pStyle w:val="Header"/>
    </w:pPr>
    <w:r>
      <w:rPr>
        <w:noProof/>
      </w:rPr>
      <w:pict w14:anchorId="204F64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580361"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BD36B" w14:textId="0C4A8A9D" w:rsidR="00DE44AA" w:rsidRDefault="002A4FEF">
    <w:pPr>
      <w:pStyle w:val="Header"/>
    </w:pPr>
    <w:r>
      <w:rPr>
        <w:noProof/>
      </w:rPr>
      <w:pict w14:anchorId="2DF788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580359"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70269"/>
    <w:multiLevelType w:val="hybridMultilevel"/>
    <w:tmpl w:val="276CE85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6C19F3"/>
    <w:multiLevelType w:val="hybridMultilevel"/>
    <w:tmpl w:val="F6EC658A"/>
    <w:lvl w:ilvl="0" w:tplc="7B40EB6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4AC46F7"/>
    <w:multiLevelType w:val="multilevel"/>
    <w:tmpl w:val="239458DE"/>
    <w:lvl w:ilvl="0">
      <w:start w:val="1"/>
      <w:numFmt w:val="upperRoman"/>
      <w:lvlText w:val="%1."/>
      <w:lvlJc w:val="right"/>
      <w:pPr>
        <w:ind w:left="720" w:hanging="360"/>
      </w:pPr>
    </w:lvl>
    <w:lvl w:ilvl="1">
      <w:start w:val="3"/>
      <w:numFmt w:val="decimal"/>
      <w:isLgl/>
      <w:lvlText w:val="%1.%2"/>
      <w:lvlJc w:val="left"/>
      <w:pPr>
        <w:ind w:left="1248" w:hanging="888"/>
      </w:pPr>
      <w:rPr>
        <w:rFonts w:hint="default"/>
      </w:rPr>
    </w:lvl>
    <w:lvl w:ilvl="2">
      <w:start w:val="1"/>
      <w:numFmt w:val="decimal"/>
      <w:isLgl/>
      <w:lvlText w:val="%1.%2.%3"/>
      <w:lvlJc w:val="left"/>
      <w:pPr>
        <w:ind w:left="1248" w:hanging="88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14A3D72"/>
    <w:multiLevelType w:val="hybridMultilevel"/>
    <w:tmpl w:val="F356E7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C447B5D"/>
    <w:multiLevelType w:val="hybridMultilevel"/>
    <w:tmpl w:val="00DA0E5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5E75627"/>
    <w:multiLevelType w:val="multilevel"/>
    <w:tmpl w:val="D4EAB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ACC553B"/>
    <w:multiLevelType w:val="hybridMultilevel"/>
    <w:tmpl w:val="9A7C099E"/>
    <w:lvl w:ilvl="0" w:tplc="5104908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B590E4B"/>
    <w:multiLevelType w:val="hybridMultilevel"/>
    <w:tmpl w:val="C5E689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FD47933"/>
    <w:multiLevelType w:val="hybridMultilevel"/>
    <w:tmpl w:val="BEEE663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0B10AC0"/>
    <w:multiLevelType w:val="multilevel"/>
    <w:tmpl w:val="16C84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D365BD7"/>
    <w:multiLevelType w:val="hybridMultilevel"/>
    <w:tmpl w:val="5A4C8FF6"/>
    <w:lvl w:ilvl="0" w:tplc="26D4E5E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81248596">
    <w:abstractNumId w:val="2"/>
  </w:num>
  <w:num w:numId="2" w16cid:durableId="993532130">
    <w:abstractNumId w:val="8"/>
  </w:num>
  <w:num w:numId="3" w16cid:durableId="1228035766">
    <w:abstractNumId w:val="9"/>
  </w:num>
  <w:num w:numId="4" w16cid:durableId="1148204637">
    <w:abstractNumId w:val="4"/>
  </w:num>
  <w:num w:numId="5" w16cid:durableId="1666781192">
    <w:abstractNumId w:val="5"/>
  </w:num>
  <w:num w:numId="6" w16cid:durableId="396326203">
    <w:abstractNumId w:val="10"/>
  </w:num>
  <w:num w:numId="7" w16cid:durableId="1697778687">
    <w:abstractNumId w:val="6"/>
  </w:num>
  <w:num w:numId="8" w16cid:durableId="1706783623">
    <w:abstractNumId w:val="1"/>
  </w:num>
  <w:num w:numId="9" w16cid:durableId="1995525695">
    <w:abstractNumId w:val="0"/>
  </w:num>
  <w:num w:numId="10" w16cid:durableId="1733652689">
    <w:abstractNumId w:val="7"/>
  </w:num>
  <w:num w:numId="11" w16cid:durableId="82910517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nthamizh veena veena">
    <w15:presenceInfo w15:providerId="Windows Live" w15:userId="6ab04af5f18e5a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535"/>
    <w:rsid w:val="00040A06"/>
    <w:rsid w:val="0004593E"/>
    <w:rsid w:val="000C6E07"/>
    <w:rsid w:val="0010009A"/>
    <w:rsid w:val="00100329"/>
    <w:rsid w:val="00122A09"/>
    <w:rsid w:val="00151AC6"/>
    <w:rsid w:val="0018270D"/>
    <w:rsid w:val="001859A2"/>
    <w:rsid w:val="001A1603"/>
    <w:rsid w:val="001F28C7"/>
    <w:rsid w:val="00264230"/>
    <w:rsid w:val="00286B1B"/>
    <w:rsid w:val="002A4FEF"/>
    <w:rsid w:val="002B3EBE"/>
    <w:rsid w:val="002B7363"/>
    <w:rsid w:val="0030490F"/>
    <w:rsid w:val="003D39F6"/>
    <w:rsid w:val="003F714F"/>
    <w:rsid w:val="004A048F"/>
    <w:rsid w:val="00520CA3"/>
    <w:rsid w:val="00586DF6"/>
    <w:rsid w:val="005B5A11"/>
    <w:rsid w:val="005C7DC3"/>
    <w:rsid w:val="005D02AE"/>
    <w:rsid w:val="005D7E0C"/>
    <w:rsid w:val="0063718F"/>
    <w:rsid w:val="006D36D6"/>
    <w:rsid w:val="006F6600"/>
    <w:rsid w:val="00724B58"/>
    <w:rsid w:val="007314B0"/>
    <w:rsid w:val="007A2DC0"/>
    <w:rsid w:val="007D4BD2"/>
    <w:rsid w:val="007E65CD"/>
    <w:rsid w:val="007F2569"/>
    <w:rsid w:val="007F6A12"/>
    <w:rsid w:val="008534CD"/>
    <w:rsid w:val="00855132"/>
    <w:rsid w:val="00865ED3"/>
    <w:rsid w:val="00932472"/>
    <w:rsid w:val="00934CDA"/>
    <w:rsid w:val="00943D6E"/>
    <w:rsid w:val="0096232D"/>
    <w:rsid w:val="00977DDF"/>
    <w:rsid w:val="00992CF6"/>
    <w:rsid w:val="00994B21"/>
    <w:rsid w:val="009F7C81"/>
    <w:rsid w:val="00A0097C"/>
    <w:rsid w:val="00A07DBE"/>
    <w:rsid w:val="00A401AE"/>
    <w:rsid w:val="00A572D1"/>
    <w:rsid w:val="00A658A9"/>
    <w:rsid w:val="00A806E0"/>
    <w:rsid w:val="00A81391"/>
    <w:rsid w:val="00AA22DD"/>
    <w:rsid w:val="00AB620C"/>
    <w:rsid w:val="00AE7760"/>
    <w:rsid w:val="00B03535"/>
    <w:rsid w:val="00B64AF6"/>
    <w:rsid w:val="00B94432"/>
    <w:rsid w:val="00C123D2"/>
    <w:rsid w:val="00C30D49"/>
    <w:rsid w:val="00C408D9"/>
    <w:rsid w:val="00CE0A0E"/>
    <w:rsid w:val="00DA0108"/>
    <w:rsid w:val="00DB4378"/>
    <w:rsid w:val="00DD61B6"/>
    <w:rsid w:val="00DE44AA"/>
    <w:rsid w:val="00E17493"/>
    <w:rsid w:val="00E737D6"/>
    <w:rsid w:val="00EB2E8D"/>
    <w:rsid w:val="00EF7CF3"/>
    <w:rsid w:val="00FA421E"/>
    <w:rsid w:val="00FD759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DD907"/>
  <w15:chartTrackingRefBased/>
  <w15:docId w15:val="{9DABCA9F-9D6B-4032-90EF-2F11BF66F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CF3"/>
    <w:pPr>
      <w:spacing w:after="200" w:line="276" w:lineRule="auto"/>
    </w:pPr>
    <w:rPr>
      <w:kern w:val="0"/>
      <w14:ligatures w14:val="none"/>
    </w:rPr>
  </w:style>
  <w:style w:type="paragraph" w:styleId="Heading1">
    <w:name w:val="heading 1"/>
    <w:basedOn w:val="Normal"/>
    <w:next w:val="Normal"/>
    <w:link w:val="Heading1Char"/>
    <w:uiPriority w:val="9"/>
    <w:qFormat/>
    <w:rsid w:val="00B035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35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35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35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35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35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35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35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35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5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35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35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35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35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35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35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35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3535"/>
    <w:rPr>
      <w:rFonts w:eastAsiaTheme="majorEastAsia" w:cstheme="majorBidi"/>
      <w:color w:val="272727" w:themeColor="text1" w:themeTint="D8"/>
    </w:rPr>
  </w:style>
  <w:style w:type="paragraph" w:styleId="Title">
    <w:name w:val="Title"/>
    <w:basedOn w:val="Normal"/>
    <w:next w:val="Normal"/>
    <w:link w:val="TitleChar"/>
    <w:uiPriority w:val="10"/>
    <w:qFormat/>
    <w:rsid w:val="00B035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35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35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35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3535"/>
    <w:pPr>
      <w:spacing w:before="160"/>
      <w:jc w:val="center"/>
    </w:pPr>
    <w:rPr>
      <w:i/>
      <w:iCs/>
      <w:color w:val="404040" w:themeColor="text1" w:themeTint="BF"/>
    </w:rPr>
  </w:style>
  <w:style w:type="character" w:customStyle="1" w:styleId="QuoteChar">
    <w:name w:val="Quote Char"/>
    <w:basedOn w:val="DefaultParagraphFont"/>
    <w:link w:val="Quote"/>
    <w:uiPriority w:val="29"/>
    <w:rsid w:val="00B03535"/>
    <w:rPr>
      <w:i/>
      <w:iCs/>
      <w:color w:val="404040" w:themeColor="text1" w:themeTint="BF"/>
    </w:rPr>
  </w:style>
  <w:style w:type="paragraph" w:styleId="ListParagraph">
    <w:name w:val="List Paragraph"/>
    <w:basedOn w:val="Normal"/>
    <w:uiPriority w:val="1"/>
    <w:qFormat/>
    <w:rsid w:val="00B03535"/>
    <w:pPr>
      <w:ind w:left="720"/>
      <w:contextualSpacing/>
    </w:pPr>
  </w:style>
  <w:style w:type="character" w:styleId="IntenseEmphasis">
    <w:name w:val="Intense Emphasis"/>
    <w:basedOn w:val="DefaultParagraphFont"/>
    <w:uiPriority w:val="21"/>
    <w:qFormat/>
    <w:rsid w:val="00B03535"/>
    <w:rPr>
      <w:i/>
      <w:iCs/>
      <w:color w:val="0F4761" w:themeColor="accent1" w:themeShade="BF"/>
    </w:rPr>
  </w:style>
  <w:style w:type="paragraph" w:styleId="IntenseQuote">
    <w:name w:val="Intense Quote"/>
    <w:basedOn w:val="Normal"/>
    <w:next w:val="Normal"/>
    <w:link w:val="IntenseQuoteChar"/>
    <w:uiPriority w:val="30"/>
    <w:qFormat/>
    <w:rsid w:val="00B035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3535"/>
    <w:rPr>
      <w:i/>
      <w:iCs/>
      <w:color w:val="0F4761" w:themeColor="accent1" w:themeShade="BF"/>
    </w:rPr>
  </w:style>
  <w:style w:type="character" w:styleId="IntenseReference">
    <w:name w:val="Intense Reference"/>
    <w:basedOn w:val="DefaultParagraphFont"/>
    <w:uiPriority w:val="32"/>
    <w:qFormat/>
    <w:rsid w:val="00B03535"/>
    <w:rPr>
      <w:b/>
      <w:bCs/>
      <w:smallCaps/>
      <w:color w:val="0F4761" w:themeColor="accent1" w:themeShade="BF"/>
      <w:spacing w:val="5"/>
    </w:rPr>
  </w:style>
  <w:style w:type="paragraph" w:styleId="NormalWeb">
    <w:name w:val="Normal (Web)"/>
    <w:basedOn w:val="Normal"/>
    <w:uiPriority w:val="99"/>
    <w:unhideWhenUsed/>
    <w:rsid w:val="00E17493"/>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A07D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07DBE"/>
    <w:rPr>
      <w:i/>
      <w:iCs/>
    </w:rPr>
  </w:style>
  <w:style w:type="character" w:styleId="Hyperlink">
    <w:name w:val="Hyperlink"/>
    <w:basedOn w:val="DefaultParagraphFont"/>
    <w:uiPriority w:val="99"/>
    <w:unhideWhenUsed/>
    <w:rsid w:val="00B94432"/>
    <w:rPr>
      <w:color w:val="467886" w:themeColor="hyperlink"/>
      <w:u w:val="single"/>
    </w:rPr>
  </w:style>
  <w:style w:type="character" w:styleId="UnresolvedMention">
    <w:name w:val="Unresolved Mention"/>
    <w:basedOn w:val="DefaultParagraphFont"/>
    <w:uiPriority w:val="99"/>
    <w:semiHidden/>
    <w:unhideWhenUsed/>
    <w:rsid w:val="00B94432"/>
    <w:rPr>
      <w:color w:val="605E5C"/>
      <w:shd w:val="clear" w:color="auto" w:fill="E1DFDD"/>
    </w:rPr>
  </w:style>
  <w:style w:type="paragraph" w:styleId="BodyText">
    <w:name w:val="Body Text"/>
    <w:basedOn w:val="Normal"/>
    <w:link w:val="BodyTextChar"/>
    <w:uiPriority w:val="1"/>
    <w:unhideWhenUsed/>
    <w:qFormat/>
    <w:rsid w:val="00C408D9"/>
    <w:pPr>
      <w:widowControl w:val="0"/>
      <w:autoSpaceDE w:val="0"/>
      <w:autoSpaceDN w:val="0"/>
      <w:spacing w:before="200" w:after="0" w:line="240" w:lineRule="auto"/>
      <w:ind w:left="100"/>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C408D9"/>
    <w:rPr>
      <w:rFonts w:ascii="Times New Roman" w:eastAsia="Times New Roman" w:hAnsi="Times New Roman" w:cs="Times New Roman"/>
      <w:kern w:val="0"/>
      <w:sz w:val="24"/>
      <w:szCs w:val="24"/>
      <w:lang w:val="en-US"/>
      <w14:ligatures w14:val="none"/>
    </w:rPr>
  </w:style>
  <w:style w:type="paragraph" w:styleId="Header">
    <w:name w:val="header"/>
    <w:basedOn w:val="Normal"/>
    <w:link w:val="HeaderChar"/>
    <w:uiPriority w:val="99"/>
    <w:unhideWhenUsed/>
    <w:rsid w:val="000C6E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6E07"/>
    <w:rPr>
      <w:kern w:val="0"/>
      <w14:ligatures w14:val="none"/>
    </w:rPr>
  </w:style>
  <w:style w:type="paragraph" w:styleId="Footer">
    <w:name w:val="footer"/>
    <w:basedOn w:val="Normal"/>
    <w:link w:val="FooterChar"/>
    <w:uiPriority w:val="99"/>
    <w:unhideWhenUsed/>
    <w:rsid w:val="000C6E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6E07"/>
    <w:rPr>
      <w:kern w:val="0"/>
      <w14:ligatures w14:val="none"/>
    </w:rPr>
  </w:style>
  <w:style w:type="character" w:styleId="CommentReference">
    <w:name w:val="annotation reference"/>
    <w:basedOn w:val="DefaultParagraphFont"/>
    <w:uiPriority w:val="99"/>
    <w:semiHidden/>
    <w:unhideWhenUsed/>
    <w:rsid w:val="0018270D"/>
    <w:rPr>
      <w:sz w:val="16"/>
      <w:szCs w:val="16"/>
    </w:rPr>
  </w:style>
  <w:style w:type="paragraph" w:styleId="CommentText">
    <w:name w:val="annotation text"/>
    <w:basedOn w:val="Normal"/>
    <w:link w:val="CommentTextChar"/>
    <w:uiPriority w:val="99"/>
    <w:unhideWhenUsed/>
    <w:rsid w:val="0018270D"/>
    <w:pPr>
      <w:spacing w:line="240" w:lineRule="auto"/>
    </w:pPr>
    <w:rPr>
      <w:sz w:val="20"/>
      <w:szCs w:val="20"/>
    </w:rPr>
  </w:style>
  <w:style w:type="character" w:customStyle="1" w:styleId="CommentTextChar">
    <w:name w:val="Comment Text Char"/>
    <w:basedOn w:val="DefaultParagraphFont"/>
    <w:link w:val="CommentText"/>
    <w:uiPriority w:val="99"/>
    <w:rsid w:val="0018270D"/>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8270D"/>
    <w:rPr>
      <w:b/>
      <w:bCs/>
    </w:rPr>
  </w:style>
  <w:style w:type="character" w:customStyle="1" w:styleId="CommentSubjectChar">
    <w:name w:val="Comment Subject Char"/>
    <w:basedOn w:val="CommentTextChar"/>
    <w:link w:val="CommentSubject"/>
    <w:uiPriority w:val="99"/>
    <w:semiHidden/>
    <w:rsid w:val="0018270D"/>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oleObject" Target="embeddings/oleObject6.bin"/><Relationship Id="rId21" Type="http://schemas.openxmlformats.org/officeDocument/2006/relationships/oleObject" Target="embeddings/oleObject4.bin"/><Relationship Id="rId34"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apps.who.int/iris/bitstream/handle/10665/44577/9789241501460_eng.pdf;jsessionid=7130A85B7C475D75FB370420C2B1204F?sequence=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oleObject" Target="embeddings/oleObject5.bin"/><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9.png"/><Relationship Id="rId28" Type="http://schemas.openxmlformats.org/officeDocument/2006/relationships/oleObject" Target="embeddings/oleObject7.bin"/><Relationship Id="rId36"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oleObject" Target="embeddings/oleObject3.bin"/><Relationship Id="rId31"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eader" Target="header1.xml"/><Relationship Id="rId35" Type="http://schemas.openxmlformats.org/officeDocument/2006/relationships/footer" Target="footer3.xml"/><Relationship Id="rId8" Type="http://schemas.microsoft.com/office/2011/relationships/commentsExtended" Target="commentsExtended.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379</TotalTime>
  <Pages>14</Pages>
  <Words>4031</Words>
  <Characters>22983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harpreet bhupal</dc:creator>
  <cp:keywords/>
  <dc:description/>
  <cp:lastModifiedBy>senthamizh veena veena</cp:lastModifiedBy>
  <cp:revision>35</cp:revision>
  <dcterms:created xsi:type="dcterms:W3CDTF">2026-03-17T16:30:00Z</dcterms:created>
  <dcterms:modified xsi:type="dcterms:W3CDTF">2026-03-22T10:12:00Z</dcterms:modified>
</cp:coreProperties>
</file>