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D441" w14:textId="77777777" w:rsidR="00075897" w:rsidRPr="00773352" w:rsidRDefault="006C6247" w:rsidP="00B429C6">
      <w:pPr>
        <w:jc w:val="center"/>
        <w:rPr>
          <w:rFonts w:ascii="Times New Roman" w:hAnsi="Times New Roman" w:cs="Times New Roman"/>
          <w:b/>
          <w:sz w:val="24"/>
          <w:szCs w:val="24"/>
        </w:rPr>
      </w:pPr>
      <w:r w:rsidRPr="00773352">
        <w:rPr>
          <w:rFonts w:ascii="Times New Roman" w:hAnsi="Times New Roman" w:cs="Times New Roman"/>
          <w:b/>
          <w:sz w:val="24"/>
          <w:szCs w:val="24"/>
        </w:rPr>
        <w:t>Effect</w:t>
      </w:r>
      <w:r w:rsidR="00784F7C" w:rsidRPr="00773352">
        <w:rPr>
          <w:rFonts w:ascii="Times New Roman" w:hAnsi="Times New Roman" w:cs="Times New Roman"/>
          <w:b/>
          <w:sz w:val="24"/>
          <w:szCs w:val="24"/>
        </w:rPr>
        <w:t xml:space="preserve"> of Carbon </w:t>
      </w:r>
      <w:r w:rsidR="00075897" w:rsidRPr="00773352">
        <w:rPr>
          <w:rFonts w:ascii="Times New Roman" w:hAnsi="Times New Roman" w:cs="Times New Roman"/>
          <w:b/>
          <w:sz w:val="24"/>
          <w:szCs w:val="24"/>
        </w:rPr>
        <w:t xml:space="preserve">to </w:t>
      </w:r>
      <w:r w:rsidR="00784F7C" w:rsidRPr="00773352">
        <w:rPr>
          <w:rFonts w:ascii="Times New Roman" w:hAnsi="Times New Roman" w:cs="Times New Roman"/>
          <w:b/>
          <w:sz w:val="24"/>
          <w:szCs w:val="24"/>
        </w:rPr>
        <w:t>Nitrogen</w:t>
      </w:r>
      <w:r w:rsidR="00075897" w:rsidRPr="00773352">
        <w:rPr>
          <w:rFonts w:ascii="Times New Roman" w:hAnsi="Times New Roman" w:cs="Times New Roman"/>
          <w:b/>
          <w:sz w:val="24"/>
          <w:szCs w:val="24"/>
        </w:rPr>
        <w:t xml:space="preserve">(C/N) </w:t>
      </w:r>
      <w:r w:rsidR="00784F7C" w:rsidRPr="00773352">
        <w:rPr>
          <w:rFonts w:ascii="Times New Roman" w:hAnsi="Times New Roman" w:cs="Times New Roman"/>
          <w:b/>
          <w:sz w:val="24"/>
          <w:szCs w:val="24"/>
        </w:rPr>
        <w:t>Ratio</w:t>
      </w:r>
      <w:r w:rsidRPr="00773352">
        <w:rPr>
          <w:rFonts w:ascii="Times New Roman" w:hAnsi="Times New Roman" w:cs="Times New Roman"/>
          <w:b/>
          <w:sz w:val="24"/>
          <w:szCs w:val="24"/>
        </w:rPr>
        <w:t xml:space="preserve"> Manip</w:t>
      </w:r>
      <w:r w:rsidR="002C6A47" w:rsidRPr="00773352">
        <w:rPr>
          <w:rFonts w:ascii="Times New Roman" w:hAnsi="Times New Roman" w:cs="Times New Roman"/>
          <w:b/>
          <w:sz w:val="24"/>
          <w:szCs w:val="24"/>
        </w:rPr>
        <w:t>ulation on the Growth Performance</w:t>
      </w:r>
      <w:r w:rsidRPr="00773352">
        <w:rPr>
          <w:rFonts w:ascii="Times New Roman" w:hAnsi="Times New Roman" w:cs="Times New Roman"/>
          <w:b/>
          <w:sz w:val="24"/>
          <w:szCs w:val="24"/>
        </w:rPr>
        <w:t xml:space="preserve">, Nutrient Utilization and Body Composition </w:t>
      </w:r>
      <w:r w:rsidR="00075897" w:rsidRPr="00773352">
        <w:rPr>
          <w:rFonts w:ascii="Times New Roman" w:hAnsi="Times New Roman" w:cs="Times New Roman"/>
          <w:b/>
          <w:sz w:val="24"/>
          <w:szCs w:val="24"/>
        </w:rPr>
        <w:t xml:space="preserve">of </w:t>
      </w:r>
      <w:r w:rsidR="00075897" w:rsidRPr="00773352">
        <w:rPr>
          <w:rFonts w:ascii="Times New Roman" w:hAnsi="Times New Roman" w:cs="Times New Roman"/>
          <w:b/>
          <w:i/>
          <w:iCs/>
          <w:sz w:val="24"/>
          <w:szCs w:val="24"/>
        </w:rPr>
        <w:t>Claria</w:t>
      </w:r>
      <w:r w:rsidR="000176B7" w:rsidRPr="00773352">
        <w:rPr>
          <w:rFonts w:ascii="Times New Roman" w:hAnsi="Times New Roman" w:cs="Times New Roman"/>
          <w:b/>
          <w:i/>
          <w:iCs/>
          <w:sz w:val="24"/>
          <w:szCs w:val="24"/>
        </w:rPr>
        <w:t>s</w:t>
      </w:r>
      <w:r w:rsidR="00075897" w:rsidRPr="00773352">
        <w:rPr>
          <w:rFonts w:ascii="Times New Roman" w:hAnsi="Times New Roman" w:cs="Times New Roman"/>
          <w:b/>
          <w:i/>
          <w:iCs/>
          <w:sz w:val="24"/>
          <w:szCs w:val="24"/>
        </w:rPr>
        <w:t xml:space="preserve"> gariepinus </w:t>
      </w:r>
      <w:r w:rsidR="00075897" w:rsidRPr="00773352">
        <w:rPr>
          <w:rFonts w:ascii="Times New Roman" w:hAnsi="Times New Roman" w:cs="Times New Roman"/>
          <w:b/>
          <w:sz w:val="24"/>
          <w:szCs w:val="24"/>
        </w:rPr>
        <w:t xml:space="preserve">in a </w:t>
      </w:r>
      <w:r w:rsidR="00784F7C" w:rsidRPr="00773352">
        <w:rPr>
          <w:rFonts w:ascii="Times New Roman" w:hAnsi="Times New Roman" w:cs="Times New Roman"/>
          <w:b/>
          <w:sz w:val="24"/>
          <w:szCs w:val="24"/>
        </w:rPr>
        <w:t>Biofloc Technology System</w:t>
      </w:r>
    </w:p>
    <w:p w14:paraId="52DFADF5" w14:textId="77777777" w:rsidR="00EE2770" w:rsidRDefault="00EE2770" w:rsidP="00784F7C">
      <w:pPr>
        <w:jc w:val="center"/>
        <w:rPr>
          <w:rFonts w:ascii="Times New Roman" w:hAnsi="Times New Roman" w:cs="Times New Roman"/>
          <w:b/>
          <w:bCs/>
          <w:sz w:val="24"/>
          <w:szCs w:val="24"/>
          <w:vertAlign w:val="superscript"/>
        </w:rPr>
      </w:pPr>
    </w:p>
    <w:p w14:paraId="6A218304" w14:textId="77777777" w:rsidR="00784F7C" w:rsidRPr="00773352" w:rsidRDefault="00784F7C" w:rsidP="00784F7C">
      <w:pPr>
        <w:jc w:val="center"/>
        <w:rPr>
          <w:rFonts w:ascii="Times New Roman" w:hAnsi="Times New Roman" w:cs="Times New Roman"/>
          <w:b/>
          <w:sz w:val="24"/>
          <w:szCs w:val="24"/>
        </w:rPr>
      </w:pPr>
      <w:commentRangeStart w:id="0"/>
      <w:r w:rsidRPr="00773352">
        <w:rPr>
          <w:rFonts w:ascii="Times New Roman" w:hAnsi="Times New Roman" w:cs="Times New Roman"/>
          <w:b/>
          <w:sz w:val="24"/>
          <w:szCs w:val="24"/>
        </w:rPr>
        <w:t>Abstract</w:t>
      </w:r>
      <w:commentRangeEnd w:id="0"/>
      <w:r w:rsidR="00B01FE1">
        <w:rPr>
          <w:rStyle w:val="CommentReference"/>
        </w:rPr>
        <w:commentReference w:id="0"/>
      </w:r>
    </w:p>
    <w:p w14:paraId="22AC29B0" w14:textId="77777777" w:rsidR="000176B7" w:rsidRPr="00773352" w:rsidRDefault="000176B7" w:rsidP="000176B7">
      <w:pPr>
        <w:spacing w:line="240" w:lineRule="auto"/>
        <w:jc w:val="both"/>
        <w:rPr>
          <w:rStyle w:val="Emphasis"/>
          <w:rFonts w:ascii="Times New Roman" w:hAnsi="Times New Roman" w:cs="Times New Roman"/>
          <w:sz w:val="24"/>
          <w:szCs w:val="24"/>
        </w:rPr>
      </w:pPr>
      <w:r w:rsidRPr="00773352">
        <w:rPr>
          <w:rFonts w:ascii="Times New Roman" w:hAnsi="Times New Roman" w:cs="Times New Roman"/>
          <w:sz w:val="24"/>
          <w:szCs w:val="24"/>
        </w:rPr>
        <w:t>A 10-week outdoor culture study was done to evaluate the effects of varying C/N ratios on growth performance, nutrient utili</w:t>
      </w:r>
      <w:r w:rsidR="001F6E29" w:rsidRPr="00773352">
        <w:rPr>
          <w:rFonts w:ascii="Times New Roman" w:hAnsi="Times New Roman" w:cs="Times New Roman"/>
          <w:sz w:val="24"/>
          <w:szCs w:val="24"/>
        </w:rPr>
        <w:t>zation and body composition of A</w:t>
      </w:r>
      <w:r w:rsidRPr="00773352">
        <w:rPr>
          <w:rFonts w:ascii="Times New Roman" w:hAnsi="Times New Roman" w:cs="Times New Roman"/>
          <w:sz w:val="24"/>
          <w:szCs w:val="24"/>
        </w:rPr>
        <w:t>frican</w:t>
      </w:r>
      <w:r w:rsidR="001F6E29" w:rsidRPr="00773352">
        <w:rPr>
          <w:rFonts w:ascii="Times New Roman" w:hAnsi="Times New Roman" w:cs="Times New Roman"/>
          <w:sz w:val="24"/>
          <w:szCs w:val="24"/>
        </w:rPr>
        <w:t xml:space="preserve"> C</w:t>
      </w:r>
      <w:r w:rsidRPr="00773352">
        <w:rPr>
          <w:rFonts w:ascii="Times New Roman" w:hAnsi="Times New Roman" w:cs="Times New Roman"/>
          <w:sz w:val="24"/>
          <w:szCs w:val="24"/>
        </w:rPr>
        <w:t xml:space="preserve">atfish </w:t>
      </w:r>
      <w:hyperlink r:id="rId11" w:tooltip="Learn more about Heteropneustes fossilis from ScienceDirect's AI-generated Topic Pages" w:history="1">
        <w:r w:rsidRPr="00773352">
          <w:rPr>
            <w:rStyle w:val="Hyperlink"/>
            <w:rFonts w:ascii="Times New Roman" w:hAnsi="Times New Roman" w:cs="Times New Roman"/>
            <w:i/>
            <w:iCs/>
            <w:color w:val="auto"/>
            <w:sz w:val="24"/>
            <w:szCs w:val="24"/>
          </w:rPr>
          <w:t>Clarias</w:t>
        </w:r>
      </w:hyperlink>
      <w:r w:rsidRPr="00773352">
        <w:rPr>
          <w:rStyle w:val="Emphasis"/>
          <w:rFonts w:ascii="Times New Roman" w:hAnsi="Times New Roman" w:cs="Times New Roman"/>
          <w:sz w:val="24"/>
          <w:szCs w:val="24"/>
        </w:rPr>
        <w:t xml:space="preserve"> gariepinus</w:t>
      </w:r>
      <w:r w:rsidRPr="00773352">
        <w:rPr>
          <w:rFonts w:ascii="Times New Roman" w:hAnsi="Times New Roman" w:cs="Times New Roman"/>
          <w:sz w:val="24"/>
          <w:szCs w:val="24"/>
        </w:rPr>
        <w:t xml:space="preserve"> cultured in Biofloc system. Biofloc-based tanks with three</w:t>
      </w:r>
      <w:r w:rsidR="001F6E29" w:rsidRPr="00773352">
        <w:rPr>
          <w:rFonts w:ascii="Times New Roman" w:hAnsi="Times New Roman" w:cs="Times New Roman"/>
          <w:sz w:val="24"/>
          <w:szCs w:val="24"/>
        </w:rPr>
        <w:t xml:space="preserve"> levels of C/N ratio (10, 15, 20</w:t>
      </w:r>
      <w:r w:rsidRPr="00773352">
        <w:rPr>
          <w:rFonts w:ascii="Times New Roman" w:hAnsi="Times New Roman" w:cs="Times New Roman"/>
          <w:sz w:val="24"/>
          <w:szCs w:val="24"/>
        </w:rPr>
        <w:t xml:space="preserve">) via the addition of wheat bran and freshwater tanks operated with the facility of water exchange and without the addition of carbon source referred to as 'Control' (C). Fish were stocked in 12 experimental plastic tanks with 100 L water capacity and fed a commercial diet containing 40 % crude protein. The water quality parameters (EC, pH, temperature, total ammonia nitrogen, nitrite nitrogen, dissolved oxygen, and total dissolved solids) were monitored throughout the experiment. There was no significant </w:t>
      </w:r>
      <w:commentRangeStart w:id="1"/>
      <w:r w:rsidRPr="00B01FE1">
        <w:rPr>
          <w:rFonts w:ascii="Times New Roman" w:hAnsi="Times New Roman" w:cs="Times New Roman"/>
          <w:sz w:val="24"/>
          <w:szCs w:val="24"/>
          <w:highlight w:val="yellow"/>
        </w:rPr>
        <w:t>(P &gt; 0.05)</w:t>
      </w:r>
      <w:commentRangeEnd w:id="1"/>
      <w:r w:rsidR="00B01FE1" w:rsidRPr="00B01FE1">
        <w:rPr>
          <w:rStyle w:val="CommentReference"/>
          <w:highlight w:val="yellow"/>
        </w:rPr>
        <w:commentReference w:id="1"/>
      </w:r>
      <w:r w:rsidRPr="00773352">
        <w:rPr>
          <w:rFonts w:ascii="Times New Roman" w:hAnsi="Times New Roman" w:cs="Times New Roman"/>
          <w:sz w:val="24"/>
          <w:szCs w:val="24"/>
        </w:rPr>
        <w:t xml:space="preserve"> difference among the treatments in the case of EC, TDS and temperature. The pH, total ammonia nitrogen, and DO shows significant differences. </w:t>
      </w:r>
      <w:r w:rsidRPr="00773352">
        <w:rPr>
          <w:rStyle w:val="Strong"/>
          <w:rFonts w:ascii="Times New Roman" w:hAnsi="Times New Roman" w:cs="Times New Roman"/>
          <w:b w:val="0"/>
          <w:sz w:val="24"/>
          <w:szCs w:val="24"/>
        </w:rPr>
        <w:t>Survival rate</w:t>
      </w:r>
      <w:r w:rsidRPr="00773352">
        <w:rPr>
          <w:rFonts w:ascii="Times New Roman" w:hAnsi="Times New Roman" w:cs="Times New Roman"/>
          <w:sz w:val="24"/>
          <w:szCs w:val="24"/>
        </w:rPr>
        <w:t xml:space="preserve"> improved with increasing C:N ratio up to 15:1 (83.33 ± 1.22%), followed by a slight decline at 20:1 (80.00 ± 2.89%). </w:t>
      </w:r>
      <w:r w:rsidRPr="00773352">
        <w:rPr>
          <w:rStyle w:val="Strong"/>
          <w:rFonts w:ascii="Times New Roman" w:hAnsi="Times New Roman" w:cs="Times New Roman"/>
          <w:b w:val="0"/>
          <w:sz w:val="24"/>
          <w:szCs w:val="24"/>
        </w:rPr>
        <w:t>Final mean weight</w:t>
      </w:r>
      <w:r w:rsidRPr="00773352">
        <w:rPr>
          <w:rStyle w:val="Strong"/>
          <w:rFonts w:ascii="Times New Roman" w:hAnsi="Times New Roman" w:cs="Times New Roman"/>
          <w:sz w:val="24"/>
          <w:szCs w:val="24"/>
        </w:rPr>
        <w:t xml:space="preserve"> </w:t>
      </w:r>
      <w:r w:rsidRPr="00773352">
        <w:rPr>
          <w:rStyle w:val="Strong"/>
          <w:rFonts w:ascii="Times New Roman" w:hAnsi="Times New Roman" w:cs="Times New Roman"/>
          <w:b w:val="0"/>
          <w:sz w:val="24"/>
          <w:szCs w:val="24"/>
        </w:rPr>
        <w:t>(FMW)</w:t>
      </w:r>
      <w:r w:rsidRPr="00773352">
        <w:rPr>
          <w:rFonts w:ascii="Times New Roman" w:hAnsi="Times New Roman" w:cs="Times New Roman"/>
          <w:sz w:val="24"/>
          <w:szCs w:val="24"/>
        </w:rPr>
        <w:t xml:space="preserve"> and </w:t>
      </w:r>
      <w:r w:rsidRPr="00773352">
        <w:rPr>
          <w:rStyle w:val="Strong"/>
          <w:rFonts w:ascii="Times New Roman" w:hAnsi="Times New Roman" w:cs="Times New Roman"/>
          <w:b w:val="0"/>
          <w:sz w:val="24"/>
          <w:szCs w:val="24"/>
        </w:rPr>
        <w:t>mean weight gain (MWG)</w:t>
      </w:r>
      <w:r w:rsidRPr="00773352">
        <w:rPr>
          <w:rFonts w:ascii="Times New Roman" w:hAnsi="Times New Roman" w:cs="Times New Roman"/>
          <w:sz w:val="24"/>
          <w:szCs w:val="24"/>
        </w:rPr>
        <w:t xml:space="preserve"> increased significantly </w:t>
      </w:r>
      <w:r w:rsidRPr="00B01FE1">
        <w:rPr>
          <w:rFonts w:ascii="Times New Roman" w:hAnsi="Times New Roman" w:cs="Times New Roman"/>
          <w:sz w:val="24"/>
          <w:szCs w:val="24"/>
          <w:highlight w:val="yellow"/>
        </w:rPr>
        <w:t>(p &lt; 0.05)</w:t>
      </w:r>
      <w:r w:rsidRPr="00773352">
        <w:rPr>
          <w:rFonts w:ascii="Times New Roman" w:hAnsi="Times New Roman" w:cs="Times New Roman"/>
          <w:sz w:val="24"/>
          <w:szCs w:val="24"/>
        </w:rPr>
        <w:t xml:space="preserve"> from 41.80 ± 0.69 g (control) to 52.73 ± 1.15 g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15, but declined slightly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20 (43.80 ± 0.64 g). </w:t>
      </w:r>
      <w:r w:rsidRPr="00773352">
        <w:rPr>
          <w:rStyle w:val="Strong"/>
          <w:rFonts w:ascii="Times New Roman" w:hAnsi="Times New Roman" w:cs="Times New Roman"/>
          <w:b w:val="0"/>
          <w:sz w:val="24"/>
          <w:szCs w:val="24"/>
        </w:rPr>
        <w:t>Feed conversion ratio (FCR)</w:t>
      </w:r>
      <w:r w:rsidRPr="00773352">
        <w:rPr>
          <w:rFonts w:ascii="Times New Roman" w:hAnsi="Times New Roman" w:cs="Times New Roman"/>
          <w:sz w:val="24"/>
          <w:szCs w:val="24"/>
        </w:rPr>
        <w:t xml:space="preserve"> improved markedly from 2.08 ± 0.05 (control) to 1.26 ± 0.12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15, demonstrating better feed utilization due to microbial protein supplementation and nutrient recycling. </w:t>
      </w:r>
      <w:commentRangeStart w:id="2"/>
      <w:r w:rsidRPr="00773352">
        <w:rPr>
          <w:rStyle w:val="Strong"/>
          <w:rFonts w:ascii="Times New Roman" w:hAnsi="Times New Roman" w:cs="Times New Roman"/>
          <w:b w:val="0"/>
          <w:sz w:val="24"/>
          <w:szCs w:val="24"/>
        </w:rPr>
        <w:t>Protein efficiency ratio</w:t>
      </w:r>
      <w:r w:rsidRPr="00773352">
        <w:rPr>
          <w:rStyle w:val="Strong"/>
          <w:rFonts w:ascii="Times New Roman" w:hAnsi="Times New Roman" w:cs="Times New Roman"/>
          <w:sz w:val="24"/>
          <w:szCs w:val="24"/>
        </w:rPr>
        <w:t xml:space="preserve"> </w:t>
      </w:r>
      <w:r w:rsidRPr="00773352">
        <w:rPr>
          <w:rStyle w:val="Strong"/>
          <w:rFonts w:ascii="Times New Roman" w:hAnsi="Times New Roman" w:cs="Times New Roman"/>
          <w:b w:val="0"/>
          <w:sz w:val="24"/>
          <w:szCs w:val="24"/>
        </w:rPr>
        <w:t>(PER)</w:t>
      </w:r>
      <w:r w:rsidRPr="00773352">
        <w:rPr>
          <w:rFonts w:ascii="Times New Roman" w:hAnsi="Times New Roman" w:cs="Times New Roman"/>
          <w:b/>
          <w:sz w:val="24"/>
          <w:szCs w:val="24"/>
        </w:rPr>
        <w:t xml:space="preserve"> </w:t>
      </w:r>
      <w:r w:rsidRPr="00773352">
        <w:rPr>
          <w:rFonts w:ascii="Times New Roman" w:hAnsi="Times New Roman" w:cs="Times New Roman"/>
          <w:sz w:val="24"/>
          <w:szCs w:val="24"/>
        </w:rPr>
        <w:t>and</w:t>
      </w:r>
      <w:r w:rsidRPr="00773352">
        <w:rPr>
          <w:rFonts w:ascii="Times New Roman" w:hAnsi="Times New Roman" w:cs="Times New Roman"/>
          <w:b/>
          <w:sz w:val="24"/>
          <w:szCs w:val="24"/>
        </w:rPr>
        <w:t xml:space="preserve"> </w:t>
      </w:r>
      <w:r w:rsidRPr="00773352">
        <w:rPr>
          <w:rStyle w:val="Strong"/>
          <w:rFonts w:ascii="Times New Roman" w:hAnsi="Times New Roman" w:cs="Times New Roman"/>
          <w:b w:val="0"/>
          <w:sz w:val="24"/>
          <w:szCs w:val="24"/>
        </w:rPr>
        <w:t>protein productive value (PPV)</w:t>
      </w:r>
      <w:r w:rsidRPr="00773352">
        <w:rPr>
          <w:rFonts w:ascii="Times New Roman" w:hAnsi="Times New Roman" w:cs="Times New Roman"/>
          <w:sz w:val="24"/>
          <w:szCs w:val="24"/>
        </w:rPr>
        <w:t xml:space="preserve"> were also significantly affected by C:N ratio, peaking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15 (PER = 17.65 ± 1.15; PPV = 33.85 ± 1.35%). </w:t>
      </w:r>
      <w:r w:rsidRPr="00773352">
        <w:rPr>
          <w:rStyle w:val="Strong"/>
          <w:rFonts w:ascii="Times New Roman" w:hAnsi="Times New Roman" w:cs="Times New Roman"/>
          <w:b w:val="0"/>
          <w:sz w:val="24"/>
          <w:szCs w:val="24"/>
        </w:rPr>
        <w:t>Protein efficiency ratio (PER)</w:t>
      </w:r>
      <w:r w:rsidRPr="00773352">
        <w:rPr>
          <w:rFonts w:ascii="Times New Roman" w:hAnsi="Times New Roman" w:cs="Times New Roman"/>
          <w:b/>
          <w:sz w:val="24"/>
          <w:szCs w:val="24"/>
        </w:rPr>
        <w:t xml:space="preserve"> </w:t>
      </w:r>
      <w:r w:rsidRPr="00773352">
        <w:rPr>
          <w:rFonts w:ascii="Times New Roman" w:hAnsi="Times New Roman" w:cs="Times New Roman"/>
          <w:sz w:val="24"/>
          <w:szCs w:val="24"/>
        </w:rPr>
        <w:t>and</w:t>
      </w:r>
      <w:r w:rsidRPr="00773352">
        <w:rPr>
          <w:rFonts w:ascii="Times New Roman" w:hAnsi="Times New Roman" w:cs="Times New Roman"/>
          <w:b/>
          <w:sz w:val="24"/>
          <w:szCs w:val="24"/>
        </w:rPr>
        <w:t xml:space="preserve"> </w:t>
      </w:r>
      <w:r w:rsidRPr="00773352">
        <w:rPr>
          <w:rStyle w:val="Strong"/>
          <w:rFonts w:ascii="Times New Roman" w:hAnsi="Times New Roman" w:cs="Times New Roman"/>
          <w:b w:val="0"/>
          <w:sz w:val="24"/>
          <w:szCs w:val="24"/>
        </w:rPr>
        <w:t>protein productive value (PPV)</w:t>
      </w:r>
      <w:r w:rsidRPr="00773352">
        <w:rPr>
          <w:rFonts w:ascii="Times New Roman" w:hAnsi="Times New Roman" w:cs="Times New Roman"/>
          <w:sz w:val="24"/>
          <w:szCs w:val="24"/>
        </w:rPr>
        <w:t xml:space="preserve"> were also significantly affected by C:N ratio, peaking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15 (PER = 17.65 ± 1.15; PPV = 33.85 ± 1.35%).</w:t>
      </w:r>
      <w:commentRangeEnd w:id="2"/>
      <w:r w:rsidR="00B01FE1">
        <w:rPr>
          <w:rStyle w:val="CommentReference"/>
        </w:rPr>
        <w:commentReference w:id="2"/>
      </w:r>
      <w:r w:rsidRPr="00773352">
        <w:rPr>
          <w:rFonts w:ascii="Times New Roman" w:hAnsi="Times New Roman" w:cs="Times New Roman"/>
          <w:sz w:val="24"/>
          <w:szCs w:val="24"/>
        </w:rPr>
        <w:t xml:space="preserve"> </w:t>
      </w:r>
      <w:r w:rsidRPr="00773352">
        <w:rPr>
          <w:rStyle w:val="Strong"/>
          <w:rFonts w:ascii="Times New Roman" w:hAnsi="Times New Roman" w:cs="Times New Roman"/>
          <w:b w:val="0"/>
          <w:sz w:val="24"/>
          <w:szCs w:val="24"/>
        </w:rPr>
        <w:t>Crude protein</w:t>
      </w:r>
      <w:r w:rsidRPr="00773352">
        <w:rPr>
          <w:rFonts w:ascii="Times New Roman" w:hAnsi="Times New Roman" w:cs="Times New Roman"/>
          <w:sz w:val="24"/>
          <w:szCs w:val="24"/>
        </w:rPr>
        <w:t xml:space="preserve"> increased significantly from 18.45 ± 1.23 % in the control to 27.60 ± 1.22 %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20. </w:t>
      </w:r>
      <w:r w:rsidRPr="00773352">
        <w:rPr>
          <w:rStyle w:val="Strong"/>
          <w:rFonts w:ascii="Times New Roman" w:hAnsi="Times New Roman" w:cs="Times New Roman"/>
          <w:b w:val="0"/>
          <w:sz w:val="24"/>
          <w:szCs w:val="24"/>
        </w:rPr>
        <w:t>Fat content</w:t>
      </w:r>
      <w:r w:rsidRPr="00773352">
        <w:rPr>
          <w:rFonts w:ascii="Times New Roman" w:hAnsi="Times New Roman" w:cs="Times New Roman"/>
          <w:sz w:val="24"/>
          <w:szCs w:val="24"/>
        </w:rPr>
        <w:t xml:space="preserve"> followed a similar pattern, rising from 3.24 ± 0.06 % (control) to 6.14 ± 0.44 % at </w:t>
      </w:r>
      <w:proofErr w:type="gramStart"/>
      <w:r w:rsidRPr="00773352">
        <w:rPr>
          <w:rFonts w:ascii="Times New Roman" w:hAnsi="Times New Roman" w:cs="Times New Roman"/>
          <w:sz w:val="24"/>
          <w:szCs w:val="24"/>
        </w:rPr>
        <w:t>C:N</w:t>
      </w:r>
      <w:proofErr w:type="gramEnd"/>
      <w:r w:rsidRPr="00773352">
        <w:rPr>
          <w:rFonts w:ascii="Times New Roman" w:hAnsi="Times New Roman" w:cs="Times New Roman"/>
          <w:sz w:val="24"/>
          <w:szCs w:val="24"/>
        </w:rPr>
        <w:t xml:space="preserve"> 20. However, the growth production and feed utilization results indicate that a C:N ratio of 15:1 in wheat bran–based biofloc systems provides the best performance</w:t>
      </w:r>
      <w:r w:rsidR="001F6E29" w:rsidRPr="00773352">
        <w:rPr>
          <w:rFonts w:ascii="Times New Roman" w:hAnsi="Times New Roman" w:cs="Times New Roman"/>
          <w:sz w:val="24"/>
          <w:szCs w:val="24"/>
        </w:rPr>
        <w:t xml:space="preserve"> thereby it is recommended for fish farmers</w:t>
      </w:r>
      <w:r w:rsidRPr="00773352">
        <w:rPr>
          <w:rFonts w:ascii="Times New Roman" w:hAnsi="Times New Roman" w:cs="Times New Roman"/>
          <w:sz w:val="24"/>
          <w:szCs w:val="24"/>
        </w:rPr>
        <w:t xml:space="preserve">. The proximate profiles reveal that moderate to high C:N ratios enhance nutrient deposition and metabolic efficiency in </w:t>
      </w:r>
      <w:r w:rsidRPr="00773352">
        <w:rPr>
          <w:rStyle w:val="Emphasis"/>
          <w:rFonts w:ascii="Times New Roman" w:hAnsi="Times New Roman" w:cs="Times New Roman"/>
          <w:sz w:val="24"/>
          <w:szCs w:val="24"/>
        </w:rPr>
        <w:t>C. gariepinus.</w:t>
      </w:r>
    </w:p>
    <w:p w14:paraId="41C81ABB" w14:textId="77777777" w:rsidR="000176B7" w:rsidRPr="00773352" w:rsidRDefault="000176B7" w:rsidP="000176B7">
      <w:pPr>
        <w:spacing w:line="240" w:lineRule="auto"/>
        <w:jc w:val="both"/>
        <w:rPr>
          <w:rFonts w:ascii="Times New Roman" w:hAnsi="Times New Roman" w:cs="Times New Roman"/>
          <w:b/>
          <w:sz w:val="24"/>
          <w:szCs w:val="24"/>
        </w:rPr>
      </w:pPr>
      <w:r w:rsidRPr="00773352">
        <w:rPr>
          <w:rStyle w:val="Emphasis"/>
          <w:rFonts w:ascii="Times New Roman" w:hAnsi="Times New Roman" w:cs="Times New Roman"/>
          <w:i w:val="0"/>
          <w:sz w:val="24"/>
          <w:szCs w:val="24"/>
        </w:rPr>
        <w:t>Keywords: Biofloc, Freshwater, Growth performance, Water exchange, Nutrient utilation.</w:t>
      </w:r>
    </w:p>
    <w:p w14:paraId="34B650F3" w14:textId="77777777" w:rsidR="0035224A" w:rsidRPr="00773352" w:rsidRDefault="00784F7C">
      <w:pPr>
        <w:rPr>
          <w:rFonts w:ascii="Times New Roman" w:hAnsi="Times New Roman" w:cs="Times New Roman"/>
          <w:b/>
          <w:sz w:val="24"/>
          <w:szCs w:val="24"/>
        </w:rPr>
      </w:pPr>
      <w:commentRangeStart w:id="3"/>
      <w:r w:rsidRPr="00773352">
        <w:rPr>
          <w:rFonts w:ascii="Times New Roman" w:hAnsi="Times New Roman" w:cs="Times New Roman"/>
          <w:b/>
          <w:sz w:val="24"/>
          <w:szCs w:val="24"/>
        </w:rPr>
        <w:t>Introduction</w:t>
      </w:r>
      <w:commentRangeEnd w:id="3"/>
      <w:r w:rsidR="0027291E">
        <w:rPr>
          <w:rStyle w:val="CommentReference"/>
        </w:rPr>
        <w:commentReference w:id="3"/>
      </w:r>
    </w:p>
    <w:p w14:paraId="514C4C06" w14:textId="77777777" w:rsidR="00F631FF"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Aquaculture is critical to the production of sustainable seafood, but its growth is challenged by land and water shortages, rising feed prices, and environmental concerns (Shourbela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2021). As a result, intensive or super-intensive operations have replaced conventional methods in the aquaculture industry across the world to overcome major difficulties and boost production capacity (Mohammadi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roofErr w:type="gramStart"/>
      <w:r w:rsidRPr="00773352">
        <w:rPr>
          <w:rFonts w:ascii="Times New Roman" w:hAnsi="Times New Roman" w:cs="Times New Roman"/>
          <w:sz w:val="24"/>
          <w:szCs w:val="24"/>
        </w:rPr>
        <w:t>).Fish</w:t>
      </w:r>
      <w:proofErr w:type="gramEnd"/>
      <w:r w:rsidRPr="00773352">
        <w:rPr>
          <w:rFonts w:ascii="Times New Roman" w:hAnsi="Times New Roman" w:cs="Times New Roman"/>
          <w:sz w:val="24"/>
          <w:szCs w:val="24"/>
        </w:rPr>
        <w:t xml:space="preserve"> is considered to be one of the most important sources of food globally. Fish provide a reasonable amount of protein for the world growing population (Godfray </w:t>
      </w:r>
      <w:r w:rsidRPr="00773352">
        <w:rPr>
          <w:rFonts w:ascii="Times New Roman" w:hAnsi="Times New Roman" w:cs="Times New Roman"/>
          <w:i/>
          <w:sz w:val="24"/>
          <w:szCs w:val="24"/>
        </w:rPr>
        <w:t>et al</w:t>
      </w:r>
      <w:r w:rsidRPr="00773352">
        <w:rPr>
          <w:rFonts w:ascii="Times New Roman" w:hAnsi="Times New Roman" w:cs="Times New Roman"/>
          <w:sz w:val="24"/>
          <w:szCs w:val="24"/>
        </w:rPr>
        <w:t>., 2010). For hunger to be completely eliminated in the future, int</w:t>
      </w:r>
      <w:r w:rsidR="00D63DEE" w:rsidRPr="00773352">
        <w:rPr>
          <w:rFonts w:ascii="Times New Roman" w:hAnsi="Times New Roman" w:cs="Times New Roman"/>
          <w:sz w:val="24"/>
          <w:szCs w:val="24"/>
        </w:rPr>
        <w:t>ensive aquaculture production must be</w:t>
      </w:r>
      <w:r w:rsidRPr="00773352">
        <w:rPr>
          <w:rFonts w:ascii="Times New Roman" w:hAnsi="Times New Roman" w:cs="Times New Roman"/>
          <w:sz w:val="24"/>
          <w:szCs w:val="24"/>
        </w:rPr>
        <w:t xml:space="preserve"> enhanced (FAO, 2016). Conventional farming requires regular water exchange, which contains a lot of aquaculture effluent that causes environment pollution and </w:t>
      </w:r>
      <w:r w:rsidRPr="00773352">
        <w:rPr>
          <w:rFonts w:ascii="Times New Roman" w:hAnsi="Times New Roman" w:cs="Times New Roman"/>
          <w:sz w:val="24"/>
          <w:szCs w:val="24"/>
        </w:rPr>
        <w:lastRenderedPageBreak/>
        <w:t>leading to unsustainable fish farming under condition of water shortage (Tidwell, 2012).</w:t>
      </w:r>
      <w:r w:rsidR="00D63DEE" w:rsidRPr="00773352">
        <w:rPr>
          <w:rFonts w:ascii="Times New Roman" w:hAnsi="Times New Roman" w:cs="Times New Roman"/>
          <w:sz w:val="24"/>
          <w:szCs w:val="24"/>
        </w:rPr>
        <w:t xml:space="preserve"> In this aspect, the "biofloc" system functions as a nutrient retention trap, lowering the expense of maintenance as well as providing dietary additives for marketable organisms being raised. This fast expansion of aquaculture has been termed the blue revolution as it contributes to human nutrition and food security (Rind </w:t>
      </w:r>
      <w:r w:rsidR="00D63DEE" w:rsidRPr="00773352">
        <w:rPr>
          <w:rFonts w:ascii="Times New Roman" w:hAnsi="Times New Roman" w:cs="Times New Roman"/>
          <w:i/>
          <w:sz w:val="24"/>
          <w:szCs w:val="24"/>
        </w:rPr>
        <w:t>et al</w:t>
      </w:r>
      <w:r w:rsidR="00D63DEE" w:rsidRPr="00773352">
        <w:rPr>
          <w:rFonts w:ascii="Times New Roman" w:hAnsi="Times New Roman" w:cs="Times New Roman"/>
          <w:sz w:val="24"/>
          <w:szCs w:val="24"/>
        </w:rPr>
        <w:t>., 2023).</w:t>
      </w:r>
    </w:p>
    <w:p w14:paraId="770D6289" w14:textId="77777777" w:rsidR="003C404C"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Biofloc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Biofloc technology systems include the activation of heterotrophic bacteria by addition of carbon source in the aquaculture ponds. The bacteria consume nitrogen and increase the bacterial population in presence of carbon nitrogen ratio starting from 10:1 (Avnimelech, 1999). </w:t>
      </w:r>
      <w:r w:rsidR="00D63DEE" w:rsidRPr="00773352">
        <w:rPr>
          <w:rFonts w:ascii="Times New Roman" w:hAnsi="Times New Roman" w:cs="Times New Roman"/>
          <w:sz w:val="24"/>
          <w:szCs w:val="24"/>
        </w:rPr>
        <w:t>The biofloc technique has sparked considerable attention in aquaculture due to its capacity to provide a sustainable and economically viable substitute for traditional aquaculture operations. The key idea behind this technique is to construct a nitrogen cycle by continually aerating the water and adding carbon sources with the purpose of maintaining the carbon-to- nitrogen ratio in an aquaculture system that has stagnant water and fostering the growth of heterotrophic microorganisms (Luo et al., 2020).</w:t>
      </w:r>
      <w:r w:rsidRPr="00773352">
        <w:rPr>
          <w:rFonts w:ascii="Times New Roman" w:hAnsi="Times New Roman" w:cs="Times New Roman"/>
          <w:sz w:val="24"/>
          <w:szCs w:val="24"/>
        </w:rPr>
        <w:t xml:space="preserve">Biofloc system has a great advantage having to be nearly zero water exchange system and has no stress on fish due to water exchange (Crab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2012; De Schryver </w:t>
      </w:r>
      <w:r w:rsidRPr="00773352">
        <w:rPr>
          <w:rFonts w:ascii="Times New Roman" w:hAnsi="Times New Roman" w:cs="Times New Roman"/>
          <w:i/>
          <w:sz w:val="24"/>
          <w:szCs w:val="24"/>
        </w:rPr>
        <w:t>et al</w:t>
      </w:r>
      <w:r w:rsidRPr="00773352">
        <w:rPr>
          <w:rFonts w:ascii="Times New Roman" w:hAnsi="Times New Roman" w:cs="Times New Roman"/>
          <w:sz w:val="24"/>
          <w:szCs w:val="24"/>
        </w:rPr>
        <w:t>., 2008; Nevejan et al., 2018).</w:t>
      </w:r>
    </w:p>
    <w:p w14:paraId="578A123C" w14:textId="77777777" w:rsidR="00D63DEE" w:rsidRPr="00773352" w:rsidRDefault="00D63DEE" w:rsidP="00FC07C5">
      <w:pPr>
        <w:spacing w:line="240" w:lineRule="auto"/>
        <w:jc w:val="both"/>
        <w:rPr>
          <w:rFonts w:ascii="Times New Roman" w:hAnsi="Times New Roman" w:cs="Times New Roman"/>
          <w:sz w:val="24"/>
          <w:szCs w:val="24"/>
        </w:rPr>
      </w:pPr>
      <w:commentRangeStart w:id="4"/>
      <w:r w:rsidRPr="00773352">
        <w:rPr>
          <w:rFonts w:ascii="Times New Roman" w:hAnsi="Times New Roman" w:cs="Times New Roman"/>
          <w:sz w:val="24"/>
          <w:szCs w:val="24"/>
        </w:rPr>
        <w:t xml:space="preserve">The carbon-nitrogen ratio (C/N) is crucial for optimal biofloc performance, as it minimizes nitrogen buildup and produces microbial communities (Minabi </w:t>
      </w:r>
      <w:r w:rsidRPr="00773352">
        <w:rPr>
          <w:rFonts w:ascii="Times New Roman" w:hAnsi="Times New Roman" w:cs="Times New Roman"/>
          <w:i/>
          <w:sz w:val="24"/>
          <w:szCs w:val="24"/>
        </w:rPr>
        <w:t>et al</w:t>
      </w:r>
      <w:r w:rsidRPr="00773352">
        <w:rPr>
          <w:rFonts w:ascii="Times New Roman" w:hAnsi="Times New Roman" w:cs="Times New Roman"/>
          <w:sz w:val="24"/>
          <w:szCs w:val="24"/>
        </w:rPr>
        <w:t>., 2020).</w:t>
      </w:r>
      <w:commentRangeEnd w:id="4"/>
      <w:r w:rsidR="009024EB">
        <w:rPr>
          <w:rStyle w:val="CommentReference"/>
        </w:rPr>
        <w:commentReference w:id="4"/>
      </w:r>
      <w:r w:rsidRPr="00773352">
        <w:rPr>
          <w:rFonts w:ascii="Times New Roman" w:hAnsi="Times New Roman" w:cs="Times New Roman"/>
          <w:sz w:val="24"/>
          <w:szCs w:val="24"/>
        </w:rPr>
        <w:t xml:space="preserve"> Increased C/N ratios in the culture system promote heterotrophic bacteria and natural products (Polysaccharides, microbial protein, lipids and enzymes) increasing oxygen demand and reducing pH levels. To control water quality and regulate suspended particles, it is common to use low-cost, locally accessible carbon sources to improve </w:t>
      </w:r>
      <w:commentRangeStart w:id="5"/>
      <w:r w:rsidRPr="00773352">
        <w:rPr>
          <w:rFonts w:ascii="Times New Roman" w:hAnsi="Times New Roman" w:cs="Times New Roman"/>
          <w:sz w:val="24"/>
          <w:szCs w:val="24"/>
        </w:rPr>
        <w:t>the C/N ratio above 10:1.</w:t>
      </w:r>
      <w:commentRangeEnd w:id="5"/>
      <w:r w:rsidR="009024EB">
        <w:rPr>
          <w:rStyle w:val="CommentReference"/>
        </w:rPr>
        <w:commentReference w:id="5"/>
      </w:r>
      <w:r w:rsidRPr="00773352">
        <w:rPr>
          <w:rFonts w:ascii="Times New Roman" w:hAnsi="Times New Roman" w:cs="Times New Roman"/>
          <w:sz w:val="24"/>
          <w:szCs w:val="24"/>
        </w:rPr>
        <w:t xml:space="preserve"> An external carbon source is required for the effective development of biofloc microorganisms, boosting bacterial biomass, and reducing waste nitrogenous metabolites. To lower settling rates and make carbonated organic matter more accessible, it should be soluble in water or in powdered form (Saha </w:t>
      </w:r>
      <w:r w:rsidRPr="00773352">
        <w:rPr>
          <w:rFonts w:ascii="Times New Roman" w:hAnsi="Times New Roman" w:cs="Times New Roman"/>
          <w:i/>
          <w:sz w:val="24"/>
          <w:szCs w:val="24"/>
        </w:rPr>
        <w:t>et al</w:t>
      </w:r>
      <w:r w:rsidRPr="00773352">
        <w:rPr>
          <w:rFonts w:ascii="Times New Roman" w:hAnsi="Times New Roman" w:cs="Times New Roman"/>
          <w:sz w:val="24"/>
          <w:szCs w:val="24"/>
        </w:rPr>
        <w:t>., 2022).</w:t>
      </w:r>
    </w:p>
    <w:p w14:paraId="66EA7A5C" w14:textId="77777777" w:rsidR="00D63DEE" w:rsidRPr="00773352"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To maintain a suitable C/N ratio and facilitate the proliferation of heterotrophic microorganisms, a suitable supply of carbohydrate sources must be provided. Biofloc technology is highly influenced by the availability and composition of this carbon source (Silva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2017). Common carbohydrates in aquaculture, such as glucose, acetate, starch, wheat, glycerol, and molasses, are often used in BF systems to promote floc formation (Ulloa Walker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Biofloc properties, including floc volume, biochemical compounds, and capacity to hold bioactive constituents, are influenced by the type of carbon source and their ratio, which in turn affects the productivity of farmed fish (Dilmi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14:paraId="4C651135" w14:textId="77777777"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Materials and Methods</w:t>
      </w:r>
    </w:p>
    <w:p w14:paraId="5C520CC6"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Study area</w:t>
      </w:r>
    </w:p>
    <w:p w14:paraId="52C0DEB2"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Gombe is a city in north eastern Nigeria State Capital and a Local Government Area. </w:t>
      </w:r>
      <w:commentRangeStart w:id="6"/>
      <w:r w:rsidRPr="00773352">
        <w:rPr>
          <w:rFonts w:ascii="Times New Roman" w:hAnsi="Times New Roman" w:cs="Times New Roman"/>
          <w:sz w:val="24"/>
          <w:szCs w:val="24"/>
        </w:rPr>
        <w:t>It is lo</w:t>
      </w:r>
      <w:r w:rsidR="00DB18DC" w:rsidRPr="00773352">
        <w:rPr>
          <w:rFonts w:ascii="Times New Roman" w:hAnsi="Times New Roman" w:cs="Times New Roman"/>
          <w:sz w:val="24"/>
          <w:szCs w:val="24"/>
        </w:rPr>
        <w:t>c</w:t>
      </w:r>
      <w:r w:rsidRPr="00773352">
        <w:rPr>
          <w:rFonts w:ascii="Times New Roman" w:hAnsi="Times New Roman" w:cs="Times New Roman"/>
          <w:sz w:val="24"/>
          <w:szCs w:val="24"/>
        </w:rPr>
        <w:t>ated between latitude 10</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 xml:space="preserve"> 17N and 11</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10E and longitude 10.283</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N and 11.16</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E.</w:t>
      </w:r>
      <w:commentRangeEnd w:id="6"/>
      <w:r w:rsidR="0027291E">
        <w:rPr>
          <w:rStyle w:val="CommentReference"/>
        </w:rPr>
        <w:commentReference w:id="6"/>
      </w:r>
      <w:r w:rsidRPr="00773352">
        <w:rPr>
          <w:rFonts w:ascii="Times New Roman" w:hAnsi="Times New Roman" w:cs="Times New Roman"/>
          <w:sz w:val="24"/>
          <w:szCs w:val="24"/>
        </w:rPr>
        <w:t xml:space="preserve"> The LGA has a total area of 52km</w:t>
      </w:r>
      <w:r w:rsidRPr="00773352">
        <w:rPr>
          <w:rFonts w:ascii="Times New Roman" w:hAnsi="Times New Roman" w:cs="Times New Roman"/>
          <w:sz w:val="24"/>
          <w:szCs w:val="24"/>
          <w:vertAlign w:val="superscript"/>
        </w:rPr>
        <w:t>2</w:t>
      </w:r>
      <w:r w:rsidRPr="00773352">
        <w:rPr>
          <w:rFonts w:ascii="Times New Roman" w:hAnsi="Times New Roman" w:cs="Times New Roman"/>
          <w:sz w:val="24"/>
          <w:szCs w:val="24"/>
        </w:rPr>
        <w:t>. It is th</w:t>
      </w:r>
      <w:r w:rsidR="00DB18DC" w:rsidRPr="00773352">
        <w:rPr>
          <w:rFonts w:ascii="Times New Roman" w:hAnsi="Times New Roman" w:cs="Times New Roman"/>
          <w:sz w:val="24"/>
          <w:szCs w:val="24"/>
        </w:rPr>
        <w:t>e capital city of Gombe State</w:t>
      </w:r>
      <w:r w:rsidRPr="00773352">
        <w:rPr>
          <w:rFonts w:ascii="Times New Roman" w:hAnsi="Times New Roman" w:cs="Times New Roman"/>
          <w:sz w:val="24"/>
          <w:szCs w:val="24"/>
        </w:rPr>
        <w:t xml:space="preserve"> has an estimated population of 268,000 (Population Census, 2006). The city is the headquarters of the Gombe Emirate, a traditional state that covers most of Gombe State (Gombe State Online Nigeria Daily, 2010). The research was conducted at the Biological Garden, Department of Biological Sciences, Gombe State University.</w:t>
      </w:r>
    </w:p>
    <w:p w14:paraId="4C2C398A"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b/>
          <w:bCs/>
          <w:sz w:val="24"/>
          <w:szCs w:val="24"/>
        </w:rPr>
      </w:pPr>
      <w:commentRangeStart w:id="7"/>
      <w:r w:rsidRPr="00773352">
        <w:rPr>
          <w:rFonts w:ascii="Times New Roman" w:hAnsi="Times New Roman" w:cs="Times New Roman"/>
          <w:b/>
          <w:bCs/>
          <w:sz w:val="24"/>
          <w:szCs w:val="24"/>
        </w:rPr>
        <w:t>Source of experimental animals, acclimation and tank preparation</w:t>
      </w:r>
      <w:commentRangeEnd w:id="7"/>
      <w:r w:rsidR="0027291E">
        <w:rPr>
          <w:rStyle w:val="CommentReference"/>
        </w:rPr>
        <w:commentReference w:id="7"/>
      </w:r>
    </w:p>
    <w:p w14:paraId="57A84C08" w14:textId="77777777" w:rsidR="00364BF6" w:rsidRPr="00773352" w:rsidRDefault="00364BF6" w:rsidP="00FC07C5">
      <w:pPr>
        <w:pStyle w:val="Default"/>
        <w:jc w:val="both"/>
      </w:pPr>
      <w:r w:rsidRPr="00773352">
        <w:t xml:space="preserve">A total of 600 </w:t>
      </w:r>
      <w:r w:rsidRPr="00773352">
        <w:rPr>
          <w:i/>
          <w:iCs/>
        </w:rPr>
        <w:t xml:space="preserve">C. gariepinus </w:t>
      </w:r>
      <w:r w:rsidRPr="00773352">
        <w:t xml:space="preserve">fingerlings were purchased from a commercial farm in Bauchi and transported to the Biological Garden in Gombe State University, Gombe. The fish were stocked </w:t>
      </w:r>
      <w:proofErr w:type="gramStart"/>
      <w:r w:rsidRPr="00773352">
        <w:t>in  2000</w:t>
      </w:r>
      <w:proofErr w:type="gramEnd"/>
      <w:r w:rsidRPr="00773352">
        <w:t xml:space="preserve"> L plastic tanks and acclimated for 14 days. The tank received a partial water exchange (approximately 30%) and the fish were fed twice daily to apparent satiation with commercial floating fish feeds (43% crude protein; 1.5 mm Ø). The relatively high protein diet was chosen based on the findings of Degani </w:t>
      </w:r>
      <w:r w:rsidRPr="00773352">
        <w:rPr>
          <w:i/>
          <w:iCs/>
        </w:rPr>
        <w:t>et al</w:t>
      </w:r>
      <w:r w:rsidRPr="00773352">
        <w:t xml:space="preserve">. (1989) showing better growth of </w:t>
      </w:r>
      <w:r w:rsidRPr="00773352">
        <w:rPr>
          <w:i/>
          <w:iCs/>
        </w:rPr>
        <w:t xml:space="preserve">C. gariepinus </w:t>
      </w:r>
      <w:r w:rsidRPr="00773352">
        <w:t xml:space="preserve">juveniles fed a diet with a crude protein level of 40% compared to those fed 25, 30 or 35% crude protein diets. </w:t>
      </w:r>
    </w:p>
    <w:p w14:paraId="6E79B422"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Prior to stocking the fish, 100 L of water was removed from a reservoir tank of 4000 L capacity containing between 600 and 650 of different tilapia species with average size of 400 g and fed once daily with commercial feed of 32% crude protein at 2% body weight (Star Feedmills Sdn. Bhd). The suspended solids were collected in plankton net (60 μm mesh size). This slurry was then added in equal amounts to each aquarium except that of the control two days prior to stocking of the fish to facilitate biofloc production. After 14 days of acclimation, the African catfish were sorted into similar sizes (mean weight of 5.06 g and mean total length of 8.65 cm) and then 20 fish were added to each of the </w:t>
      </w:r>
      <w:proofErr w:type="gramStart"/>
      <w:r w:rsidRPr="00773352">
        <w:rPr>
          <w:rFonts w:ascii="Times New Roman" w:hAnsi="Times New Roman" w:cs="Times New Roman"/>
          <w:sz w:val="24"/>
          <w:szCs w:val="24"/>
        </w:rPr>
        <w:t>12 plastic</w:t>
      </w:r>
      <w:proofErr w:type="gramEnd"/>
      <w:r w:rsidRPr="00773352">
        <w:rPr>
          <w:rFonts w:ascii="Times New Roman" w:hAnsi="Times New Roman" w:cs="Times New Roman"/>
          <w:sz w:val="24"/>
          <w:szCs w:val="24"/>
        </w:rPr>
        <w:t xml:space="preserve"> tank.</w:t>
      </w:r>
    </w:p>
    <w:p w14:paraId="4E006567" w14:textId="77777777" w:rsidR="00364BF6" w:rsidRPr="00773352" w:rsidRDefault="00364BF6" w:rsidP="00FC07C5">
      <w:pPr>
        <w:pStyle w:val="Default"/>
        <w:jc w:val="both"/>
      </w:pPr>
      <w:commentRangeStart w:id="8"/>
      <w:r w:rsidRPr="00773352">
        <w:rPr>
          <w:b/>
          <w:bCs/>
        </w:rPr>
        <w:t xml:space="preserve">Experimental Set-up </w:t>
      </w:r>
      <w:commentRangeEnd w:id="8"/>
      <w:r w:rsidR="0027291E">
        <w:rPr>
          <w:rStyle w:val="CommentReference"/>
          <w:rFonts w:asciiTheme="minorHAnsi" w:hAnsiTheme="minorHAnsi" w:cstheme="minorBidi"/>
          <w:color w:val="auto"/>
        </w:rPr>
        <w:commentReference w:id="8"/>
      </w:r>
    </w:p>
    <w:p w14:paraId="003EED60" w14:textId="77777777" w:rsidR="00DB18DC"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There </w:t>
      </w:r>
      <w:proofErr w:type="gramStart"/>
      <w:r w:rsidRPr="00773352">
        <w:rPr>
          <w:rFonts w:ascii="Times New Roman" w:hAnsi="Times New Roman" w:cs="Times New Roman"/>
          <w:sz w:val="24"/>
          <w:szCs w:val="24"/>
        </w:rPr>
        <w:t>were</w:t>
      </w:r>
      <w:proofErr w:type="gramEnd"/>
      <w:r w:rsidRPr="00773352">
        <w:rPr>
          <w:rFonts w:ascii="Times New Roman" w:hAnsi="Times New Roman" w:cs="Times New Roman"/>
          <w:sz w:val="24"/>
          <w:szCs w:val="24"/>
        </w:rPr>
        <w:t xml:space="preserve"> a total of four treatments, and each treatment was triplicated, yielding 60 fish per treatment. The plastic tanks were filled with 80 L of dechlorinated freshwater receiving rigorous aeration from three airstones, which was increased to four by the second week. The four treatments were allocated randomly, which consisted of </w:t>
      </w:r>
      <w:r w:rsidR="00DB18DC" w:rsidRPr="00773352">
        <w:rPr>
          <w:rFonts w:ascii="Times New Roman" w:hAnsi="Times New Roman" w:cs="Times New Roman"/>
          <w:sz w:val="24"/>
          <w:szCs w:val="24"/>
        </w:rPr>
        <w:t xml:space="preserve">different C/N ratio of </w:t>
      </w:r>
      <w:r w:rsidRPr="00773352">
        <w:rPr>
          <w:rFonts w:ascii="Times New Roman" w:hAnsi="Times New Roman" w:cs="Times New Roman"/>
          <w:sz w:val="24"/>
          <w:szCs w:val="24"/>
        </w:rPr>
        <w:t xml:space="preserve">wheat bran that acted as a carbon source to produce bioflocs, while a control treatment received no additional carbon input. </w:t>
      </w:r>
      <w:r w:rsidR="00DB18DC"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wheat bran was locally </w:t>
      </w:r>
      <w:proofErr w:type="gramStart"/>
      <w:r w:rsidRPr="00773352">
        <w:rPr>
          <w:rFonts w:ascii="Times New Roman" w:hAnsi="Times New Roman" w:cs="Times New Roman"/>
          <w:sz w:val="24"/>
          <w:szCs w:val="24"/>
        </w:rPr>
        <w:t>sourced,</w:t>
      </w:r>
      <w:proofErr w:type="gramEnd"/>
      <w:r w:rsidRPr="00773352">
        <w:rPr>
          <w:rFonts w:ascii="Times New Roman" w:hAnsi="Times New Roman" w:cs="Times New Roman"/>
          <w:sz w:val="24"/>
          <w:szCs w:val="24"/>
        </w:rPr>
        <w:t xml:space="preserve"> hammer milled to a fine powder and then collected after passing through a 425 μm sieve. </w:t>
      </w:r>
    </w:p>
    <w:p w14:paraId="09251DE5"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commentRangeStart w:id="9"/>
      <w:r w:rsidRPr="00773352">
        <w:rPr>
          <w:rFonts w:ascii="Times New Roman" w:hAnsi="Times New Roman" w:cs="Times New Roman"/>
          <w:b/>
          <w:sz w:val="24"/>
          <w:szCs w:val="24"/>
        </w:rPr>
        <w:t>Feeding of Fish</w:t>
      </w:r>
      <w:commentRangeEnd w:id="9"/>
      <w:r w:rsidR="00E845B0">
        <w:rPr>
          <w:rStyle w:val="CommentReference"/>
        </w:rPr>
        <w:commentReference w:id="9"/>
      </w:r>
    </w:p>
    <w:p w14:paraId="6FF89F80"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fingerlings were fed manually by broadcasting at 5% body weight in two equal rations daily, in the morning (09.00h) and evening (19.00h). </w:t>
      </w:r>
      <w:r w:rsidR="006C6247"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rations were adjusted weekly based on the sampled total weight of fish in each tank. After recording the amount of feed consumed (in the morning and afternoon), appropriate amounts of each carbon source were added 2 hrs after first feeding according to Ekasari </w:t>
      </w:r>
      <w:r w:rsidRPr="00773352">
        <w:rPr>
          <w:rFonts w:ascii="Times New Roman" w:hAnsi="Times New Roman" w:cs="Times New Roman"/>
          <w:i/>
          <w:iCs/>
          <w:sz w:val="24"/>
          <w:szCs w:val="24"/>
        </w:rPr>
        <w:t>et al</w:t>
      </w:r>
      <w:r w:rsidR="007E4591" w:rsidRPr="00773352">
        <w:rPr>
          <w:rFonts w:ascii="Times New Roman" w:hAnsi="Times New Roman" w:cs="Times New Roman"/>
          <w:sz w:val="24"/>
          <w:szCs w:val="24"/>
        </w:rPr>
        <w:t>. (2015</w:t>
      </w:r>
      <w:r w:rsidRPr="00773352">
        <w:rPr>
          <w:rFonts w:ascii="Times New Roman" w:hAnsi="Times New Roman" w:cs="Times New Roman"/>
          <w:sz w:val="24"/>
          <w:szCs w:val="24"/>
        </w:rPr>
        <w:t xml:space="preserve">) at </w:t>
      </w:r>
      <w:r w:rsidR="006C6247" w:rsidRPr="00773352">
        <w:rPr>
          <w:rFonts w:ascii="Times New Roman" w:hAnsi="Times New Roman" w:cs="Times New Roman"/>
          <w:sz w:val="24"/>
          <w:szCs w:val="24"/>
        </w:rPr>
        <w:t xml:space="preserve">different </w:t>
      </w:r>
      <w:r w:rsidRPr="00773352">
        <w:rPr>
          <w:rFonts w:ascii="Times New Roman" w:hAnsi="Times New Roman" w:cs="Times New Roman"/>
          <w:sz w:val="24"/>
          <w:szCs w:val="24"/>
        </w:rPr>
        <w:t xml:space="preserve">C/N ratio of </w:t>
      </w:r>
      <w:r w:rsidR="006C6247" w:rsidRPr="00773352">
        <w:rPr>
          <w:rFonts w:ascii="Times New Roman" w:hAnsi="Times New Roman" w:cs="Times New Roman"/>
          <w:sz w:val="24"/>
          <w:szCs w:val="24"/>
        </w:rPr>
        <w:t xml:space="preserve">10, </w:t>
      </w:r>
      <w:r w:rsidRPr="00773352">
        <w:rPr>
          <w:rFonts w:ascii="Times New Roman" w:hAnsi="Times New Roman" w:cs="Times New Roman"/>
          <w:sz w:val="24"/>
          <w:szCs w:val="24"/>
        </w:rPr>
        <w:t>15</w:t>
      </w:r>
      <w:r w:rsidR="006C6247" w:rsidRPr="00773352">
        <w:rPr>
          <w:rFonts w:ascii="Times New Roman" w:hAnsi="Times New Roman" w:cs="Times New Roman"/>
          <w:sz w:val="24"/>
          <w:szCs w:val="24"/>
        </w:rPr>
        <w:t xml:space="preserve"> and 20</w:t>
      </w:r>
      <w:r w:rsidRPr="00773352">
        <w:rPr>
          <w:rFonts w:ascii="Times New Roman" w:hAnsi="Times New Roman" w:cs="Times New Roman"/>
          <w:sz w:val="24"/>
          <w:szCs w:val="24"/>
        </w:rPr>
        <w:t xml:space="preserve">. This experiment was designed to be a zero water exchange system in the biofloc treatments, but in the control treatment approximately 60% of the water was exchanged every two days. The frequency was then increased to 60% each day beginning from the third week. In the biofloc treatments, water was only added to compensate for evaporation. The behavior of the fingerlings </w:t>
      </w:r>
      <w:proofErr w:type="gramStart"/>
      <w:r w:rsidRPr="00773352">
        <w:rPr>
          <w:rFonts w:ascii="Times New Roman" w:hAnsi="Times New Roman" w:cs="Times New Roman"/>
          <w:sz w:val="24"/>
          <w:szCs w:val="24"/>
        </w:rPr>
        <w:t>were</w:t>
      </w:r>
      <w:proofErr w:type="gramEnd"/>
      <w:r w:rsidRPr="00773352">
        <w:rPr>
          <w:rFonts w:ascii="Times New Roman" w:hAnsi="Times New Roman" w:cs="Times New Roman"/>
          <w:sz w:val="24"/>
          <w:szCs w:val="24"/>
        </w:rPr>
        <w:t xml:space="preserve"> observed during feeding.</w:t>
      </w:r>
    </w:p>
    <w:p w14:paraId="300BDA64" w14:textId="77777777"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Sampling of Fish</w:t>
      </w:r>
    </w:p>
    <w:p w14:paraId="51C6046C" w14:textId="77777777" w:rsidR="00364BF6" w:rsidRPr="00773352" w:rsidRDefault="00364BF6"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The lengths and weights of each fingerling in each tank were measured at the beginning of the experiment. Total and average lengths and weights per tank and per treatment were calculated and recorded as initial lengths and weights. Five fingerlings were sampled randomly from each tank weekly to determine the growth rate and review the feed rations. The fingerlings were quickly weighed and returned back into the tank, the average and total weights per tank and diet were calculated. At the end of the experiment, the final lengths and weights of all fish left in each tank were measured. Average and total weights were computed</w:t>
      </w:r>
      <w:r w:rsidR="00240C53" w:rsidRPr="00773352">
        <w:rPr>
          <w:rFonts w:ascii="Times New Roman" w:hAnsi="Times New Roman" w:cs="Times New Roman"/>
          <w:sz w:val="24"/>
          <w:szCs w:val="24"/>
        </w:rPr>
        <w:t>.</w:t>
      </w:r>
    </w:p>
    <w:p w14:paraId="34A471C3" w14:textId="77777777" w:rsidR="00240C53" w:rsidRPr="00773352" w:rsidRDefault="00240C53" w:rsidP="00FC07C5">
      <w:pPr>
        <w:pStyle w:val="Default"/>
        <w:jc w:val="both"/>
      </w:pPr>
      <w:r w:rsidRPr="00773352">
        <w:rPr>
          <w:b/>
          <w:bCs/>
        </w:rPr>
        <w:t xml:space="preserve">Measurement of the biofloc volume, wet weight and dry weight </w:t>
      </w:r>
    </w:p>
    <w:p w14:paraId="23AD071B" w14:textId="77777777"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volume of the bioflocs in each tank was estimated weekly, commencing at the end of the first week by using an Imhoff cone. Briefly, one litre of the culture water was collected and allowed to settle for 30 min. The biofloc volume in the cone was measured in mL L-1, and the clear water layer was later decanted and the bioflocs were collected with plankton net 60 </w:t>
      </w:r>
      <w:r w:rsidRPr="00773352">
        <w:rPr>
          <w:rFonts w:ascii="Times New Roman" w:hAnsi="Times New Roman" w:cs="Times New Roman"/>
          <w:sz w:val="24"/>
          <w:szCs w:val="24"/>
        </w:rPr>
        <w:t>m mesh size. After allowing the excess water to drain, the solid was weighed and recorded as wet weight in g L-1. The wet bioflocs were oven dried at 60°C for 48 hr and the dried bioflocs were cooled for 10 min in a desiccator and weighed as biofloc dry weight in g L-1.</w:t>
      </w:r>
    </w:p>
    <w:p w14:paraId="3FF6524D" w14:textId="77777777"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Determination of Growth and Nutrient Utilization of Fish</w:t>
      </w:r>
    </w:p>
    <w:p w14:paraId="67C0365A" w14:textId="77777777"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Growth and nutrient utilization parameters were computed for fingerlings in each treatment using the formulae in Kolawole and Ugwumba (2018) as follows:</w:t>
      </w:r>
    </w:p>
    <w:p w14:paraId="53F2077E"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Length Gain = FML – IML</w:t>
      </w:r>
    </w:p>
    <w:p w14:paraId="07163CBA"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FML is the final mean lemgth (cm/fish)</w:t>
      </w:r>
    </w:p>
    <w:p w14:paraId="7B2457C6"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IML is the initial mean length (cm/fish)</w:t>
      </w:r>
    </w:p>
    <w:p w14:paraId="3C484D94"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Weight Gain = FMW – IMW</w:t>
      </w:r>
    </w:p>
    <w:p w14:paraId="3CD4E9FA"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FMW is the final mean weight (g/fish)</w:t>
      </w:r>
    </w:p>
    <w:p w14:paraId="4F20F309"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IMW is the initial mean weight (g/fish)</w:t>
      </w:r>
    </w:p>
    <w:p w14:paraId="3E188A98"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Relative Growth Rate (RGR) % = </w:t>
      </w:r>
      <m:oMath>
        <m:f>
          <m:fPr>
            <m:ctrlPr>
              <w:rPr>
                <w:rFonts w:ascii="Cambria Math" w:hAnsi="Cambria Math" w:cs="Times New Roman"/>
                <w:i/>
                <w:sz w:val="24"/>
                <w:szCs w:val="24"/>
              </w:rPr>
            </m:ctrlPr>
          </m:fPr>
          <m:num>
            <m:r>
              <w:rPr>
                <w:rFonts w:ascii="Cambria Math" w:hAnsi="Cambria Math" w:cs="Times New Roman"/>
                <w:sz w:val="24"/>
                <w:szCs w:val="24"/>
              </w:rPr>
              <m:t>Wf-Wi</m:t>
            </m:r>
          </m:num>
          <m:den>
            <m:r>
              <w:rPr>
                <w:rFonts w:ascii="Cambria Math" w:hAnsi="Cambria Math" w:cs="Times New Roman"/>
                <w:sz w:val="24"/>
                <w:szCs w:val="24"/>
              </w:rPr>
              <m:t>Wi</m:t>
            </m:r>
          </m:den>
        </m:f>
      </m:oMath>
      <w:r w:rsidRPr="00773352">
        <w:rPr>
          <w:rFonts w:ascii="Times New Roman" w:eastAsiaTheme="minorEastAsia" w:hAnsi="Times New Roman" w:cs="Times New Roman"/>
          <w:sz w:val="24"/>
          <w:szCs w:val="24"/>
        </w:rPr>
        <w:t xml:space="preserve"> x 100</w:t>
      </w:r>
    </w:p>
    <w:p w14:paraId="4E89B964"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Wi is the initial weight of fish</w:t>
      </w:r>
    </w:p>
    <w:p w14:paraId="149A18CF"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Wf is the final weight of fish</w:t>
      </w:r>
    </w:p>
    <w:p w14:paraId="76B66AC1"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Specific Growth Rate (SGR) % = </w:t>
      </w:r>
      <m:oMath>
        <m:f>
          <m:fPr>
            <m:ctrlPr>
              <w:rPr>
                <w:rFonts w:ascii="Cambria Math" w:hAnsi="Cambria Math" w:cs="Times New Roman"/>
                <w:i/>
                <w:sz w:val="24"/>
                <w:szCs w:val="24"/>
              </w:rPr>
            </m:ctrlPr>
          </m:fPr>
          <m:num>
            <m:r>
              <w:rPr>
                <w:rFonts w:ascii="Cambria Math" w:hAnsi="Cambria Math" w:cs="Times New Roman"/>
                <w:sz w:val="24"/>
                <w:szCs w:val="24"/>
              </w:rPr>
              <m:t>logWf-logWi</m:t>
            </m:r>
          </m:num>
          <m:den>
            <m:r>
              <w:rPr>
                <w:rFonts w:ascii="Cambria Math" w:hAnsi="Cambria Math" w:cs="Times New Roman"/>
                <w:sz w:val="24"/>
                <w:szCs w:val="24"/>
              </w:rPr>
              <m:t>T</m:t>
            </m:r>
          </m:den>
        </m:f>
      </m:oMath>
      <w:r w:rsidRPr="00773352">
        <w:rPr>
          <w:rFonts w:ascii="Times New Roman" w:eastAsiaTheme="minorEastAsia" w:hAnsi="Times New Roman" w:cs="Times New Roman"/>
          <w:sz w:val="24"/>
          <w:szCs w:val="24"/>
        </w:rPr>
        <w:t xml:space="preserve"> x 100</w:t>
      </w:r>
    </w:p>
    <w:p w14:paraId="4F2A58BC"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logWi is the natural logarithm of initial weight of fish</w:t>
      </w:r>
    </w:p>
    <w:p w14:paraId="269B106C"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logWf is the natural logarithm of final weight of fish</w:t>
      </w:r>
    </w:p>
    <w:p w14:paraId="25D1B6D5"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T is the total number of days of experiment</w:t>
      </w:r>
    </w:p>
    <w:p w14:paraId="795FDAAC" w14:textId="456EC8FA"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 xml:space="preserve">Food Conversion Ratio (FCR) % = </w:t>
      </w:r>
      <m:oMath>
        <m:f>
          <m:fPr>
            <m:ctrlPr>
              <w:rPr>
                <w:rFonts w:ascii="Cambria Math" w:hAnsi="Cambria Math" w:cs="Times New Roman"/>
                <w:i/>
                <w:sz w:val="24"/>
                <w:szCs w:val="24"/>
              </w:rPr>
            </m:ctrlPr>
          </m:fPr>
          <m:num>
            <m:r>
              <w:rPr>
                <w:rFonts w:ascii="Cambria Math" w:hAnsi="Cambria Math" w:cs="Times New Roman"/>
                <w:sz w:val="24"/>
                <w:szCs w:val="24"/>
              </w:rPr>
              <m:t>Total food supplied (g)</m:t>
            </m:r>
          </m:num>
          <m:den>
            <m:r>
              <w:rPr>
                <w:rFonts w:ascii="Cambria Math" w:hAnsi="Cambria Math" w:cs="Times New Roman"/>
                <w:sz w:val="24"/>
                <w:szCs w:val="24"/>
              </w:rPr>
              <m:t>Total weight gain (g)</m:t>
            </m:r>
          </m:den>
        </m:f>
      </m:oMath>
      <w:r w:rsidR="00955A9E">
        <w:rPr>
          <w:rFonts w:ascii="Times New Roman" w:eastAsiaTheme="minorEastAsia" w:hAnsi="Times New Roman" w:cs="Times New Roman"/>
          <w:sz w:val="24"/>
          <w:szCs w:val="24"/>
        </w:rPr>
        <w:t xml:space="preserve"> x100</w:t>
      </w:r>
    </w:p>
    <w:p w14:paraId="6D54FBC2"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Intake = Food supplied (g) x % crude protein of feed</w:t>
      </w:r>
    </w:p>
    <w:p w14:paraId="704B244E"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 xml:space="preserve">Protein Efficiency Ratio (PER) %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Mean weight gain (g)</m:t>
            </m:r>
          </m:num>
          <m:den>
            <m:r>
              <m:rPr>
                <m:sty m:val="bi"/>
              </m:rPr>
              <w:rPr>
                <w:rFonts w:ascii="Cambria Math" w:hAnsi="Cambria Math" w:cs="Times New Roman"/>
                <w:sz w:val="24"/>
                <w:szCs w:val="24"/>
              </w:rPr>
              <m:t>Mean protein intake</m:t>
            </m:r>
          </m:den>
        </m:f>
      </m:oMath>
    </w:p>
    <w:p w14:paraId="0DBCB4A8" w14:textId="77777777" w:rsidR="0018573A"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The protein productive value of fish for each experimental diet was determined using the formulae in Mohammed et al., (2008) as follows;</w:t>
      </w:r>
    </w:p>
    <w:p w14:paraId="1B6B4F4D" w14:textId="77777777"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Productive Value (PPV) %</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)/PI} x 100</w:t>
      </w:r>
    </w:p>
    <w:p w14:paraId="7ECDEE46"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 xml:space="preserve"> is the initial body protein content (g)</w:t>
      </w:r>
    </w:p>
    <w:p w14:paraId="3D3AE133" w14:textId="77777777"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is final body protein content (g)</w:t>
      </w:r>
    </w:p>
    <w:p w14:paraId="16DE3F6A" w14:textId="77777777" w:rsidR="00240C53" w:rsidRPr="00773352" w:rsidRDefault="00240C53"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PI is protein intake (g)</w:t>
      </w:r>
    </w:p>
    <w:p w14:paraId="67338FD6" w14:textId="77777777" w:rsidR="00364BF6" w:rsidRPr="00773352" w:rsidRDefault="00364BF6" w:rsidP="00FC07C5">
      <w:pPr>
        <w:pStyle w:val="Default"/>
        <w:jc w:val="both"/>
      </w:pPr>
      <w:r w:rsidRPr="00773352">
        <w:rPr>
          <w:b/>
          <w:bCs/>
        </w:rPr>
        <w:t xml:space="preserve">Determination of selected water quality paramters </w:t>
      </w:r>
    </w:p>
    <w:p w14:paraId="4021E5C6" w14:textId="77777777"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The physic-chemical parameters that was determined troughout the experimental period were; Dissolved Oxygen (DO) and Temperature which was measured weekly using (DO meter), the pH which was determined using pH meter (AS218), ammonia which was measured using Handled Colorimeter Ammonia (MR H1708 Hanna Instrument) and nitrate was measured using Nitrate Portable Photometer (HANNA HI 96786. The results were presented weekly by finding the mean of</w:t>
      </w:r>
      <w:r w:rsidR="006C6247" w:rsidRPr="00773352">
        <w:rPr>
          <w:rFonts w:ascii="Times New Roman" w:hAnsi="Times New Roman" w:cs="Times New Roman"/>
          <w:sz w:val="24"/>
          <w:szCs w:val="24"/>
        </w:rPr>
        <w:t xml:space="preserve"> the two records for each week.</w:t>
      </w:r>
    </w:p>
    <w:p w14:paraId="6F78BF62" w14:textId="77777777"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Proximate analysis of Experimental Fish</w:t>
      </w:r>
    </w:p>
    <w:p w14:paraId="0653065F" w14:textId="77777777"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Proximate composition analysis provided essential information on the nutritional value of the fish by determining moisture, crude protein, lipid ash and nitrogen-free extract content. These components are crucial indicators of fish quality, shelf life </w:t>
      </w:r>
      <w:proofErr w:type="gramStart"/>
      <w:r w:rsidRPr="00773352">
        <w:rPr>
          <w:rFonts w:ascii="Times New Roman" w:hAnsi="Times New Roman" w:cs="Times New Roman"/>
          <w:sz w:val="24"/>
          <w:szCs w:val="24"/>
        </w:rPr>
        <w:t>an</w:t>
      </w:r>
      <w:proofErr w:type="gramEnd"/>
      <w:r w:rsidRPr="00773352">
        <w:rPr>
          <w:rFonts w:ascii="Times New Roman" w:hAnsi="Times New Roman" w:cs="Times New Roman"/>
          <w:sz w:val="24"/>
          <w:szCs w:val="24"/>
        </w:rPr>
        <w:t xml:space="preserve"> market value (Abbas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14:paraId="3A28100D" w14:textId="77777777" w:rsidR="006C6247" w:rsidRPr="00773352" w:rsidRDefault="006C6247" w:rsidP="00FC07C5">
      <w:pPr>
        <w:autoSpaceDE w:val="0"/>
        <w:autoSpaceDN w:val="0"/>
        <w:adjustRightInd w:val="0"/>
        <w:spacing w:after="0" w:line="240" w:lineRule="auto"/>
        <w:jc w:val="both"/>
        <w:rPr>
          <w:rFonts w:ascii="Times New Roman" w:hAnsi="Times New Roman" w:cs="Times New Roman"/>
          <w:b/>
          <w:sz w:val="24"/>
          <w:szCs w:val="24"/>
        </w:rPr>
      </w:pPr>
      <w:commentRangeStart w:id="10"/>
      <w:r w:rsidRPr="00773352">
        <w:rPr>
          <w:rFonts w:ascii="Times New Roman" w:hAnsi="Times New Roman" w:cs="Times New Roman"/>
          <w:b/>
          <w:sz w:val="24"/>
          <w:szCs w:val="24"/>
        </w:rPr>
        <w:t>Statistical Analysis</w:t>
      </w:r>
      <w:commentRangeEnd w:id="10"/>
      <w:r w:rsidR="00E845B0">
        <w:rPr>
          <w:rStyle w:val="CommentReference"/>
        </w:rPr>
        <w:commentReference w:id="10"/>
      </w:r>
    </w:p>
    <w:p w14:paraId="2DFC9CA3" w14:textId="77777777" w:rsidR="0018573A" w:rsidRPr="00773352" w:rsidRDefault="002C6A47"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All data were presented as mean ± standard error (SE). Homogeneity and normality of the data were tested prior the analysis and where necessary data are transformed as appropriate with either square root or logarithmic transformation. A one-way ANOVA was used to determine significant differences, and if found at p &lt; 0.05, Duncan’s multiple range test was used to identify the treatments with differences.</w:t>
      </w:r>
    </w:p>
    <w:p w14:paraId="4F11F1DB" w14:textId="77777777" w:rsidR="002C6A47" w:rsidRPr="00773352" w:rsidRDefault="002C6A47"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Results</w:t>
      </w:r>
    </w:p>
    <w:p w14:paraId="7E7833D3"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Water quality parameters of the biofloc water from different carbon sources</w:t>
      </w:r>
    </w:p>
    <w:p w14:paraId="64691A9D"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 xml:space="preserve">Water quality parameters were checked every week and the result is shown in Table 1. EC ranges </w:t>
      </w:r>
      <w:commentRangeStart w:id="11"/>
      <w:r w:rsidRPr="00773352">
        <w:rPr>
          <w:rFonts w:ascii="Times New Roman" w:hAnsi="Times New Roman" w:cs="Times New Roman"/>
          <w:bCs/>
          <w:sz w:val="24"/>
          <w:szCs w:val="24"/>
        </w:rPr>
        <w:t xml:space="preserve">from 850.67 – 950.67 </w:t>
      </w:r>
      <w:commentRangeEnd w:id="11"/>
      <w:r w:rsidR="00E845B0">
        <w:rPr>
          <w:rStyle w:val="CommentReference"/>
        </w:rPr>
        <w:commentReference w:id="11"/>
      </w:r>
      <w:r w:rsidRPr="00773352">
        <w:rPr>
          <w:rFonts w:ascii="Times New Roman" w:hAnsi="Times New Roman" w:cs="Times New Roman"/>
          <w:bCs/>
          <w:sz w:val="24"/>
          <w:szCs w:val="24"/>
        </w:rPr>
        <w:t>and there is no significant different. The DO ranges from 3</w:t>
      </w:r>
      <w:commentRangeStart w:id="12"/>
      <w:r w:rsidRPr="00773352">
        <w:rPr>
          <w:rFonts w:ascii="Times New Roman" w:hAnsi="Times New Roman" w:cs="Times New Roman"/>
          <w:bCs/>
          <w:sz w:val="24"/>
          <w:szCs w:val="24"/>
        </w:rPr>
        <w:t xml:space="preserve">.20 to 7.30 </w:t>
      </w:r>
      <w:commentRangeEnd w:id="12"/>
      <w:r w:rsidR="00493130">
        <w:rPr>
          <w:rStyle w:val="CommentReference"/>
        </w:rPr>
        <w:commentReference w:id="12"/>
      </w:r>
      <w:r w:rsidRPr="00773352">
        <w:rPr>
          <w:rFonts w:ascii="Times New Roman" w:hAnsi="Times New Roman" w:cs="Times New Roman"/>
          <w:bCs/>
          <w:sz w:val="24"/>
          <w:szCs w:val="24"/>
        </w:rPr>
        <w:t xml:space="preserve">and there are significant differences in the value recorded from different carbon sources. The temperature ranges for </w:t>
      </w:r>
      <w:commentRangeStart w:id="13"/>
      <w:r w:rsidRPr="00773352">
        <w:rPr>
          <w:rFonts w:ascii="Times New Roman" w:hAnsi="Times New Roman" w:cs="Times New Roman"/>
          <w:bCs/>
          <w:sz w:val="24"/>
          <w:szCs w:val="24"/>
        </w:rPr>
        <w:t>26.30 – 26.77</w:t>
      </w:r>
      <w:commentRangeEnd w:id="13"/>
      <w:r w:rsidR="00493130">
        <w:rPr>
          <w:rStyle w:val="CommentReference"/>
        </w:rPr>
        <w:commentReference w:id="13"/>
      </w:r>
      <w:r w:rsidRPr="00773352">
        <w:rPr>
          <w:rFonts w:ascii="Times New Roman" w:hAnsi="Times New Roman" w:cs="Times New Roman"/>
          <w:bCs/>
          <w:sz w:val="24"/>
          <w:szCs w:val="24"/>
        </w:rPr>
        <w:t xml:space="preserve"> and there is no significant different.</w:t>
      </w:r>
    </w:p>
    <w:p w14:paraId="2F2EE7B5"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Table 1: Mean (±SE) selected water quality parameters biofloc water using different carbon sources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1799"/>
        <w:gridCol w:w="1874"/>
        <w:gridCol w:w="1885"/>
        <w:gridCol w:w="1875"/>
      </w:tblGrid>
      <w:tr w:rsidR="0018573A" w:rsidRPr="00773352" w14:paraId="09A44B10" w14:textId="77777777" w:rsidTr="00075897">
        <w:tc>
          <w:tcPr>
            <w:tcW w:w="1998" w:type="dxa"/>
            <w:tcBorders>
              <w:bottom w:val="single" w:sz="4" w:space="0" w:color="auto"/>
            </w:tcBorders>
          </w:tcPr>
          <w:p w14:paraId="357BC918"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Parameters</w:t>
            </w:r>
          </w:p>
        </w:tc>
        <w:tc>
          <w:tcPr>
            <w:tcW w:w="1832" w:type="dxa"/>
            <w:tcBorders>
              <w:bottom w:val="single" w:sz="4" w:space="0" w:color="auto"/>
            </w:tcBorders>
          </w:tcPr>
          <w:p w14:paraId="68DE7C5A"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w:t>
            </w:r>
          </w:p>
        </w:tc>
        <w:tc>
          <w:tcPr>
            <w:tcW w:w="1915" w:type="dxa"/>
            <w:tcBorders>
              <w:bottom w:val="single" w:sz="4" w:space="0" w:color="auto"/>
            </w:tcBorders>
          </w:tcPr>
          <w:p w14:paraId="3A557258" w14:textId="77777777"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10</w:t>
            </w:r>
          </w:p>
        </w:tc>
        <w:tc>
          <w:tcPr>
            <w:tcW w:w="1915" w:type="dxa"/>
            <w:tcBorders>
              <w:bottom w:val="single" w:sz="4" w:space="0" w:color="auto"/>
            </w:tcBorders>
          </w:tcPr>
          <w:p w14:paraId="7B107826" w14:textId="77777777"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15</w:t>
            </w:r>
          </w:p>
        </w:tc>
        <w:tc>
          <w:tcPr>
            <w:tcW w:w="1916" w:type="dxa"/>
            <w:tcBorders>
              <w:bottom w:val="single" w:sz="4" w:space="0" w:color="auto"/>
            </w:tcBorders>
          </w:tcPr>
          <w:p w14:paraId="41DE565F" w14:textId="77777777"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20</w:t>
            </w:r>
          </w:p>
        </w:tc>
      </w:tr>
      <w:tr w:rsidR="0018573A" w:rsidRPr="00773352" w14:paraId="1322DE3C" w14:textId="77777777" w:rsidTr="00075897">
        <w:tc>
          <w:tcPr>
            <w:tcW w:w="1998" w:type="dxa"/>
            <w:tcBorders>
              <w:top w:val="single" w:sz="4" w:space="0" w:color="auto"/>
            </w:tcBorders>
          </w:tcPr>
          <w:p w14:paraId="7EE06266"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EC (u/S)</w:t>
            </w:r>
          </w:p>
        </w:tc>
        <w:tc>
          <w:tcPr>
            <w:tcW w:w="1832" w:type="dxa"/>
            <w:tcBorders>
              <w:top w:val="single" w:sz="4" w:space="0" w:color="auto"/>
            </w:tcBorders>
          </w:tcPr>
          <w:p w14:paraId="012BEF1A"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850.67±7.90</w:t>
            </w:r>
            <w:r w:rsidRPr="00773352">
              <w:rPr>
                <w:rFonts w:ascii="Times New Roman" w:hAnsi="Times New Roman" w:cs="Times New Roman"/>
                <w:sz w:val="24"/>
                <w:szCs w:val="24"/>
                <w:vertAlign w:val="superscript"/>
              </w:rPr>
              <w:t>a</w:t>
            </w:r>
          </w:p>
        </w:tc>
        <w:tc>
          <w:tcPr>
            <w:tcW w:w="1915" w:type="dxa"/>
            <w:tcBorders>
              <w:top w:val="single" w:sz="4" w:space="0" w:color="auto"/>
            </w:tcBorders>
          </w:tcPr>
          <w:p w14:paraId="0D80584B"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875.33±7.70</w:t>
            </w:r>
            <w:r w:rsidRPr="00773352">
              <w:rPr>
                <w:rFonts w:ascii="Times New Roman" w:hAnsi="Times New Roman" w:cs="Times New Roman"/>
                <w:sz w:val="24"/>
                <w:szCs w:val="24"/>
                <w:vertAlign w:val="superscript"/>
              </w:rPr>
              <w:t>a</w:t>
            </w:r>
          </w:p>
        </w:tc>
        <w:tc>
          <w:tcPr>
            <w:tcW w:w="1915" w:type="dxa"/>
            <w:tcBorders>
              <w:top w:val="single" w:sz="4" w:space="0" w:color="auto"/>
            </w:tcBorders>
          </w:tcPr>
          <w:p w14:paraId="0FC7F04B"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873.33±5.83</w:t>
            </w:r>
            <w:r w:rsidRPr="00773352">
              <w:rPr>
                <w:rFonts w:ascii="Times New Roman" w:hAnsi="Times New Roman" w:cs="Times New Roman"/>
                <w:sz w:val="24"/>
                <w:szCs w:val="24"/>
                <w:vertAlign w:val="superscript"/>
              </w:rPr>
              <w:t>a</w:t>
            </w:r>
          </w:p>
        </w:tc>
        <w:tc>
          <w:tcPr>
            <w:tcW w:w="1916" w:type="dxa"/>
            <w:tcBorders>
              <w:top w:val="single" w:sz="4" w:space="0" w:color="auto"/>
            </w:tcBorders>
          </w:tcPr>
          <w:p w14:paraId="045A3153"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950.67±6.09</w:t>
            </w:r>
            <w:r w:rsidRPr="00773352">
              <w:rPr>
                <w:rFonts w:ascii="Times New Roman" w:hAnsi="Times New Roman" w:cs="Times New Roman"/>
                <w:sz w:val="24"/>
                <w:szCs w:val="24"/>
                <w:vertAlign w:val="superscript"/>
              </w:rPr>
              <w:t>a</w:t>
            </w:r>
          </w:p>
        </w:tc>
      </w:tr>
      <w:tr w:rsidR="0018573A" w:rsidRPr="00773352" w14:paraId="735AC9E4" w14:textId="77777777" w:rsidTr="00075897">
        <w:tc>
          <w:tcPr>
            <w:tcW w:w="1998" w:type="dxa"/>
          </w:tcPr>
          <w:p w14:paraId="3BB471E9"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TDS (mg /L)</w:t>
            </w:r>
          </w:p>
        </w:tc>
        <w:tc>
          <w:tcPr>
            <w:tcW w:w="1832" w:type="dxa"/>
          </w:tcPr>
          <w:p w14:paraId="1482CC21"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433.00±6.53</w:t>
            </w:r>
            <w:r w:rsidRPr="00773352">
              <w:rPr>
                <w:rFonts w:ascii="Times New Roman" w:hAnsi="Times New Roman" w:cs="Times New Roman"/>
                <w:sz w:val="24"/>
                <w:szCs w:val="24"/>
                <w:vertAlign w:val="superscript"/>
              </w:rPr>
              <w:t>a</w:t>
            </w:r>
          </w:p>
        </w:tc>
        <w:tc>
          <w:tcPr>
            <w:tcW w:w="1915" w:type="dxa"/>
          </w:tcPr>
          <w:p w14:paraId="78DDCCED"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493.00±5.62</w:t>
            </w:r>
            <w:r w:rsidRPr="00773352">
              <w:rPr>
                <w:rFonts w:ascii="Times New Roman" w:hAnsi="Times New Roman" w:cs="Times New Roman"/>
                <w:sz w:val="24"/>
                <w:szCs w:val="24"/>
                <w:vertAlign w:val="superscript"/>
              </w:rPr>
              <w:t>a</w:t>
            </w:r>
          </w:p>
        </w:tc>
        <w:tc>
          <w:tcPr>
            <w:tcW w:w="1915" w:type="dxa"/>
          </w:tcPr>
          <w:p w14:paraId="700B901D"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439.33±6.48</w:t>
            </w:r>
            <w:r w:rsidRPr="00773352">
              <w:rPr>
                <w:rFonts w:ascii="Times New Roman" w:hAnsi="Times New Roman" w:cs="Times New Roman"/>
                <w:sz w:val="24"/>
                <w:szCs w:val="24"/>
                <w:vertAlign w:val="superscript"/>
              </w:rPr>
              <w:t>a</w:t>
            </w:r>
          </w:p>
        </w:tc>
        <w:tc>
          <w:tcPr>
            <w:tcW w:w="1916" w:type="dxa"/>
          </w:tcPr>
          <w:p w14:paraId="06A497A8"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461.00±5.11</w:t>
            </w:r>
            <w:r w:rsidRPr="00773352">
              <w:rPr>
                <w:rFonts w:ascii="Times New Roman" w:hAnsi="Times New Roman" w:cs="Times New Roman"/>
                <w:sz w:val="24"/>
                <w:szCs w:val="24"/>
                <w:vertAlign w:val="superscript"/>
              </w:rPr>
              <w:t>a</w:t>
            </w:r>
          </w:p>
        </w:tc>
      </w:tr>
      <w:tr w:rsidR="0018573A" w:rsidRPr="00773352" w14:paraId="0AB1148A" w14:textId="77777777" w:rsidTr="00075897">
        <w:tc>
          <w:tcPr>
            <w:tcW w:w="1998" w:type="dxa"/>
          </w:tcPr>
          <w:p w14:paraId="7D002310"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DO (mg/L)</w:t>
            </w:r>
          </w:p>
        </w:tc>
        <w:tc>
          <w:tcPr>
            <w:tcW w:w="1832" w:type="dxa"/>
          </w:tcPr>
          <w:p w14:paraId="094E2B1B"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7.30±0.24</w:t>
            </w:r>
            <w:r w:rsidRPr="00773352">
              <w:rPr>
                <w:rFonts w:ascii="Times New Roman" w:hAnsi="Times New Roman" w:cs="Times New Roman"/>
                <w:sz w:val="24"/>
                <w:szCs w:val="24"/>
                <w:vertAlign w:val="superscript"/>
              </w:rPr>
              <w:t>a</w:t>
            </w:r>
          </w:p>
        </w:tc>
        <w:tc>
          <w:tcPr>
            <w:tcW w:w="1915" w:type="dxa"/>
          </w:tcPr>
          <w:p w14:paraId="16D85BE4"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4.23±0.18b</w:t>
            </w:r>
            <w:r w:rsidRPr="00773352">
              <w:rPr>
                <w:rFonts w:ascii="Times New Roman" w:hAnsi="Times New Roman" w:cs="Times New Roman"/>
                <w:sz w:val="24"/>
                <w:szCs w:val="24"/>
                <w:vertAlign w:val="superscript"/>
              </w:rPr>
              <w:t>c</w:t>
            </w:r>
          </w:p>
        </w:tc>
        <w:tc>
          <w:tcPr>
            <w:tcW w:w="1915" w:type="dxa"/>
          </w:tcPr>
          <w:p w14:paraId="0549EC55"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3.20±0.85</w:t>
            </w:r>
            <w:r w:rsidRPr="00773352">
              <w:rPr>
                <w:rFonts w:ascii="Times New Roman" w:hAnsi="Times New Roman" w:cs="Times New Roman"/>
                <w:sz w:val="24"/>
                <w:szCs w:val="24"/>
                <w:vertAlign w:val="superscript"/>
              </w:rPr>
              <w:t>b</w:t>
            </w:r>
          </w:p>
        </w:tc>
        <w:tc>
          <w:tcPr>
            <w:tcW w:w="1916" w:type="dxa"/>
          </w:tcPr>
          <w:p w14:paraId="7FFC3CAF"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5.53±0.26</w:t>
            </w:r>
            <w:r w:rsidRPr="00773352">
              <w:rPr>
                <w:rFonts w:ascii="Times New Roman" w:hAnsi="Times New Roman" w:cs="Times New Roman"/>
                <w:sz w:val="24"/>
                <w:szCs w:val="24"/>
                <w:vertAlign w:val="superscript"/>
              </w:rPr>
              <w:t>c</w:t>
            </w:r>
          </w:p>
        </w:tc>
      </w:tr>
      <w:tr w:rsidR="0018573A" w:rsidRPr="00773352" w14:paraId="457270F2" w14:textId="77777777" w:rsidTr="00075897">
        <w:tc>
          <w:tcPr>
            <w:tcW w:w="1998" w:type="dxa"/>
          </w:tcPr>
          <w:p w14:paraId="466DBB7D"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Temp (</w:t>
            </w:r>
            <w:r w:rsidRPr="00773352">
              <w:rPr>
                <w:rFonts w:ascii="Times New Roman" w:hAnsi="Times New Roman" w:cs="Times New Roman"/>
                <w:sz w:val="24"/>
                <w:szCs w:val="24"/>
                <w:vertAlign w:val="superscript"/>
              </w:rPr>
              <w:t>0</w:t>
            </w:r>
            <w:r w:rsidRPr="00773352">
              <w:rPr>
                <w:rFonts w:ascii="Times New Roman" w:hAnsi="Times New Roman" w:cs="Times New Roman"/>
                <w:sz w:val="24"/>
                <w:szCs w:val="24"/>
              </w:rPr>
              <w:t>C)</w:t>
            </w:r>
          </w:p>
        </w:tc>
        <w:tc>
          <w:tcPr>
            <w:tcW w:w="1832" w:type="dxa"/>
          </w:tcPr>
          <w:p w14:paraId="7ABE7D94"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26.60±0.96</w:t>
            </w:r>
            <w:r w:rsidRPr="00773352">
              <w:rPr>
                <w:rFonts w:ascii="Times New Roman" w:hAnsi="Times New Roman" w:cs="Times New Roman"/>
                <w:sz w:val="24"/>
                <w:szCs w:val="24"/>
                <w:vertAlign w:val="superscript"/>
              </w:rPr>
              <w:t>a</w:t>
            </w:r>
          </w:p>
        </w:tc>
        <w:tc>
          <w:tcPr>
            <w:tcW w:w="1915" w:type="dxa"/>
          </w:tcPr>
          <w:p w14:paraId="78E4886E"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26.63±0.74</w:t>
            </w:r>
            <w:r w:rsidRPr="00773352">
              <w:rPr>
                <w:rFonts w:ascii="Times New Roman" w:hAnsi="Times New Roman" w:cs="Times New Roman"/>
                <w:sz w:val="24"/>
                <w:szCs w:val="24"/>
                <w:vertAlign w:val="superscript"/>
              </w:rPr>
              <w:t>a</w:t>
            </w:r>
          </w:p>
        </w:tc>
        <w:tc>
          <w:tcPr>
            <w:tcW w:w="1915" w:type="dxa"/>
          </w:tcPr>
          <w:p w14:paraId="7252D2ED"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26.77±1.02</w:t>
            </w:r>
            <w:r w:rsidRPr="00773352">
              <w:rPr>
                <w:rFonts w:ascii="Times New Roman" w:hAnsi="Times New Roman" w:cs="Times New Roman"/>
                <w:sz w:val="24"/>
                <w:szCs w:val="24"/>
                <w:vertAlign w:val="superscript"/>
              </w:rPr>
              <w:t>a</w:t>
            </w:r>
          </w:p>
        </w:tc>
        <w:tc>
          <w:tcPr>
            <w:tcW w:w="1916" w:type="dxa"/>
          </w:tcPr>
          <w:p w14:paraId="6E72CEBF"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26.30±0.80</w:t>
            </w:r>
            <w:r w:rsidRPr="00773352">
              <w:rPr>
                <w:rFonts w:ascii="Times New Roman" w:hAnsi="Times New Roman" w:cs="Times New Roman"/>
                <w:sz w:val="24"/>
                <w:szCs w:val="24"/>
                <w:vertAlign w:val="superscript"/>
              </w:rPr>
              <w:t>a</w:t>
            </w:r>
          </w:p>
        </w:tc>
      </w:tr>
      <w:tr w:rsidR="0018573A" w:rsidRPr="00773352" w14:paraId="585DED65" w14:textId="77777777" w:rsidTr="00075897">
        <w:tc>
          <w:tcPr>
            <w:tcW w:w="1998" w:type="dxa"/>
          </w:tcPr>
          <w:p w14:paraId="5263BB9F"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NO</w:t>
            </w:r>
            <w:r w:rsidRPr="00773352">
              <w:rPr>
                <w:rFonts w:ascii="Times New Roman" w:hAnsi="Times New Roman" w:cs="Times New Roman"/>
                <w:sz w:val="24"/>
                <w:szCs w:val="24"/>
                <w:vertAlign w:val="subscript"/>
              </w:rPr>
              <w:t>2</w:t>
            </w:r>
            <w:r w:rsidRPr="00773352">
              <w:rPr>
                <w:rFonts w:ascii="Times New Roman" w:hAnsi="Times New Roman" w:cs="Times New Roman"/>
                <w:sz w:val="24"/>
                <w:szCs w:val="24"/>
                <w:vertAlign w:val="superscript"/>
              </w:rPr>
              <w:t xml:space="preserve">_- </w:t>
            </w:r>
            <w:r w:rsidRPr="00773352">
              <w:rPr>
                <w:rFonts w:ascii="Times New Roman" w:hAnsi="Times New Roman" w:cs="Times New Roman"/>
                <w:sz w:val="24"/>
                <w:szCs w:val="24"/>
              </w:rPr>
              <w:t>(mg/L)</w:t>
            </w:r>
          </w:p>
        </w:tc>
        <w:tc>
          <w:tcPr>
            <w:tcW w:w="1832" w:type="dxa"/>
          </w:tcPr>
          <w:p w14:paraId="57219615"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0.25±0.17</w:t>
            </w:r>
            <w:r w:rsidRPr="00773352">
              <w:rPr>
                <w:rFonts w:ascii="Times New Roman" w:hAnsi="Times New Roman" w:cs="Times New Roman"/>
                <w:sz w:val="24"/>
                <w:szCs w:val="24"/>
                <w:vertAlign w:val="superscript"/>
              </w:rPr>
              <w:t>a</w:t>
            </w:r>
          </w:p>
        </w:tc>
        <w:tc>
          <w:tcPr>
            <w:tcW w:w="1915" w:type="dxa"/>
          </w:tcPr>
          <w:p w14:paraId="3E877CDE"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0.45±0.34</w:t>
            </w:r>
            <w:r w:rsidRPr="00773352">
              <w:rPr>
                <w:rFonts w:ascii="Times New Roman" w:hAnsi="Times New Roman" w:cs="Times New Roman"/>
                <w:sz w:val="24"/>
                <w:szCs w:val="24"/>
                <w:vertAlign w:val="superscript"/>
              </w:rPr>
              <w:t>a</w:t>
            </w:r>
          </w:p>
        </w:tc>
        <w:tc>
          <w:tcPr>
            <w:tcW w:w="1915" w:type="dxa"/>
          </w:tcPr>
          <w:p w14:paraId="6ECE374C"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0.52±0.41</w:t>
            </w:r>
            <w:r w:rsidRPr="00773352">
              <w:rPr>
                <w:rFonts w:ascii="Times New Roman" w:hAnsi="Times New Roman" w:cs="Times New Roman"/>
                <w:sz w:val="24"/>
                <w:szCs w:val="24"/>
                <w:vertAlign w:val="superscript"/>
              </w:rPr>
              <w:t>a</w:t>
            </w:r>
          </w:p>
        </w:tc>
        <w:tc>
          <w:tcPr>
            <w:tcW w:w="1916" w:type="dxa"/>
          </w:tcPr>
          <w:p w14:paraId="782C58F7"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0.40±0.18</w:t>
            </w:r>
            <w:r w:rsidRPr="00773352">
              <w:rPr>
                <w:rFonts w:ascii="Times New Roman" w:hAnsi="Times New Roman" w:cs="Times New Roman"/>
                <w:sz w:val="24"/>
                <w:szCs w:val="24"/>
                <w:vertAlign w:val="superscript"/>
              </w:rPr>
              <w:t>a</w:t>
            </w:r>
          </w:p>
        </w:tc>
      </w:tr>
      <w:tr w:rsidR="0018573A" w:rsidRPr="00773352" w14:paraId="038A779B" w14:textId="77777777" w:rsidTr="00075897">
        <w:tc>
          <w:tcPr>
            <w:tcW w:w="1998" w:type="dxa"/>
          </w:tcPr>
          <w:p w14:paraId="26692AA9"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pH</w:t>
            </w:r>
          </w:p>
        </w:tc>
        <w:tc>
          <w:tcPr>
            <w:tcW w:w="1832" w:type="dxa"/>
          </w:tcPr>
          <w:p w14:paraId="2B966F9C"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6.45±0.05</w:t>
            </w:r>
            <w:r w:rsidRPr="00773352">
              <w:rPr>
                <w:rFonts w:ascii="Times New Roman" w:hAnsi="Times New Roman" w:cs="Times New Roman"/>
                <w:sz w:val="24"/>
                <w:szCs w:val="24"/>
                <w:vertAlign w:val="superscript"/>
              </w:rPr>
              <w:t>a</w:t>
            </w:r>
          </w:p>
        </w:tc>
        <w:tc>
          <w:tcPr>
            <w:tcW w:w="1915" w:type="dxa"/>
          </w:tcPr>
          <w:p w14:paraId="454481D2"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6.61±0.07</w:t>
            </w:r>
            <w:r w:rsidRPr="00773352">
              <w:rPr>
                <w:rFonts w:ascii="Times New Roman" w:hAnsi="Times New Roman" w:cs="Times New Roman"/>
                <w:sz w:val="24"/>
                <w:szCs w:val="24"/>
                <w:vertAlign w:val="superscript"/>
              </w:rPr>
              <w:t>ab</w:t>
            </w:r>
          </w:p>
        </w:tc>
        <w:tc>
          <w:tcPr>
            <w:tcW w:w="1915" w:type="dxa"/>
          </w:tcPr>
          <w:p w14:paraId="7035406F"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6.56±0.06</w:t>
            </w:r>
            <w:r w:rsidRPr="00773352">
              <w:rPr>
                <w:rFonts w:ascii="Times New Roman" w:hAnsi="Times New Roman" w:cs="Times New Roman"/>
                <w:sz w:val="24"/>
                <w:szCs w:val="24"/>
                <w:vertAlign w:val="superscript"/>
              </w:rPr>
              <w:t>ab</w:t>
            </w:r>
          </w:p>
        </w:tc>
        <w:tc>
          <w:tcPr>
            <w:tcW w:w="1916" w:type="dxa"/>
          </w:tcPr>
          <w:p w14:paraId="45F5D8C9"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6.72±0.06</w:t>
            </w:r>
            <w:r w:rsidRPr="00773352">
              <w:rPr>
                <w:rFonts w:ascii="Times New Roman" w:hAnsi="Times New Roman" w:cs="Times New Roman"/>
                <w:sz w:val="24"/>
                <w:szCs w:val="24"/>
                <w:vertAlign w:val="superscript"/>
              </w:rPr>
              <w:t>c</w:t>
            </w:r>
          </w:p>
        </w:tc>
      </w:tr>
      <w:tr w:rsidR="0018573A" w:rsidRPr="00773352" w14:paraId="3AEEABD6" w14:textId="77777777" w:rsidTr="00075897">
        <w:tc>
          <w:tcPr>
            <w:tcW w:w="1998" w:type="dxa"/>
          </w:tcPr>
          <w:p w14:paraId="721B2DF4"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Ammonia (mg/L)</w:t>
            </w:r>
          </w:p>
        </w:tc>
        <w:tc>
          <w:tcPr>
            <w:tcW w:w="1832" w:type="dxa"/>
          </w:tcPr>
          <w:p w14:paraId="17BECFC5" w14:textId="77777777" w:rsidR="0018573A" w:rsidRPr="00773352" w:rsidRDefault="0018573A" w:rsidP="00FC07C5">
            <w:pPr>
              <w:autoSpaceDE w:val="0"/>
              <w:autoSpaceDN w:val="0"/>
              <w:adjustRightInd w:val="0"/>
              <w:jc w:val="both"/>
              <w:rPr>
                <w:rFonts w:ascii="Times New Roman" w:hAnsi="Times New Roman" w:cs="Times New Roman"/>
                <w:sz w:val="24"/>
                <w:szCs w:val="24"/>
              </w:rPr>
            </w:pPr>
            <w:commentRangeStart w:id="14"/>
            <w:r w:rsidRPr="00773352">
              <w:rPr>
                <w:rFonts w:ascii="Times New Roman" w:hAnsi="Times New Roman" w:cs="Times New Roman"/>
                <w:sz w:val="24"/>
                <w:szCs w:val="24"/>
              </w:rPr>
              <w:t>7.92±0.67</w:t>
            </w:r>
            <w:r w:rsidRPr="00773352">
              <w:rPr>
                <w:rFonts w:ascii="Times New Roman" w:hAnsi="Times New Roman" w:cs="Times New Roman"/>
                <w:sz w:val="24"/>
                <w:szCs w:val="24"/>
                <w:vertAlign w:val="superscript"/>
              </w:rPr>
              <w:t>a</w:t>
            </w:r>
          </w:p>
        </w:tc>
        <w:tc>
          <w:tcPr>
            <w:tcW w:w="1915" w:type="dxa"/>
          </w:tcPr>
          <w:p w14:paraId="0E358239"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9.54±0.13</w:t>
            </w:r>
            <w:r w:rsidRPr="00773352">
              <w:rPr>
                <w:rFonts w:ascii="Times New Roman" w:hAnsi="Times New Roman" w:cs="Times New Roman"/>
                <w:sz w:val="24"/>
                <w:szCs w:val="24"/>
                <w:vertAlign w:val="superscript"/>
              </w:rPr>
              <w:t>a</w:t>
            </w:r>
          </w:p>
        </w:tc>
        <w:tc>
          <w:tcPr>
            <w:tcW w:w="1915" w:type="dxa"/>
          </w:tcPr>
          <w:p w14:paraId="35D18D63"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9.40±0.26</w:t>
            </w:r>
            <w:r w:rsidRPr="00773352">
              <w:rPr>
                <w:rFonts w:ascii="Times New Roman" w:hAnsi="Times New Roman" w:cs="Times New Roman"/>
                <w:sz w:val="24"/>
                <w:szCs w:val="24"/>
                <w:vertAlign w:val="superscript"/>
              </w:rPr>
              <w:t>a</w:t>
            </w:r>
            <w:commentRangeEnd w:id="14"/>
            <w:r w:rsidR="00493130">
              <w:rPr>
                <w:rStyle w:val="CommentReference"/>
              </w:rPr>
              <w:commentReference w:id="14"/>
            </w:r>
          </w:p>
        </w:tc>
        <w:tc>
          <w:tcPr>
            <w:tcW w:w="1916" w:type="dxa"/>
          </w:tcPr>
          <w:p w14:paraId="4329F026" w14:textId="77777777"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6.45±3.12</w:t>
            </w:r>
            <w:r w:rsidRPr="00773352">
              <w:rPr>
                <w:rFonts w:ascii="Times New Roman" w:hAnsi="Times New Roman" w:cs="Times New Roman"/>
                <w:sz w:val="24"/>
                <w:szCs w:val="24"/>
                <w:vertAlign w:val="superscript"/>
              </w:rPr>
              <w:t>a</w:t>
            </w:r>
          </w:p>
        </w:tc>
      </w:tr>
    </w:tbl>
    <w:p w14:paraId="7142F5E6"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p>
    <w:p w14:paraId="30E06B7F"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Mean volume of biofloc water from different carbon sources</w:t>
      </w:r>
    </w:p>
    <w:p w14:paraId="2C88B331"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biofloc volume was measured weekly to determine the treatment that has the highest volume of biofloc</w:t>
      </w:r>
      <w:r w:rsidR="003E23D2" w:rsidRPr="00773352">
        <w:rPr>
          <w:rFonts w:ascii="Times New Roman" w:hAnsi="Times New Roman" w:cs="Times New Roman"/>
          <w:bCs/>
          <w:sz w:val="24"/>
          <w:szCs w:val="24"/>
        </w:rPr>
        <w:t xml:space="preserve"> Figure 1</w:t>
      </w:r>
      <w:r w:rsidRPr="00773352">
        <w:rPr>
          <w:rFonts w:ascii="Times New Roman" w:hAnsi="Times New Roman" w:cs="Times New Roman"/>
          <w:bCs/>
          <w:sz w:val="24"/>
          <w:szCs w:val="24"/>
        </w:rPr>
        <w:t>. There was flunctuation in the volume of the biofloc from all treatments in the first five weeks. However, from the sixth week, there was steady increase in the volume of the biofloc except the control.</w:t>
      </w:r>
    </w:p>
    <w:p w14:paraId="134F204B"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Growth Performance of E</w:t>
      </w:r>
      <w:r w:rsidR="007D79DE" w:rsidRPr="00773352">
        <w:rPr>
          <w:rFonts w:ascii="Times New Roman" w:hAnsi="Times New Roman" w:cs="Times New Roman"/>
          <w:b/>
          <w:bCs/>
          <w:sz w:val="24"/>
          <w:szCs w:val="24"/>
        </w:rPr>
        <w:t>x</w:t>
      </w:r>
      <w:r w:rsidRPr="00773352">
        <w:rPr>
          <w:rFonts w:ascii="Times New Roman" w:hAnsi="Times New Roman" w:cs="Times New Roman"/>
          <w:b/>
          <w:bCs/>
          <w:sz w:val="24"/>
          <w:szCs w:val="24"/>
        </w:rPr>
        <w:t>perimental Fish Cultured in different C/N ratio of wheat bran</w:t>
      </w:r>
    </w:p>
    <w:p w14:paraId="5D968748"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growth of the experimental fish culture in different carbon ratios of wheat bran showed a p</w:t>
      </w:r>
      <w:r w:rsidR="007D79DE" w:rsidRPr="00773352">
        <w:rPr>
          <w:rFonts w:ascii="Times New Roman" w:hAnsi="Times New Roman" w:cs="Times New Roman"/>
          <w:bCs/>
          <w:sz w:val="24"/>
          <w:szCs w:val="24"/>
        </w:rPr>
        <w:t>rogressive increase in</w:t>
      </w:r>
      <w:r w:rsidRPr="00773352">
        <w:rPr>
          <w:rFonts w:ascii="Times New Roman" w:hAnsi="Times New Roman" w:cs="Times New Roman"/>
          <w:bCs/>
          <w:sz w:val="24"/>
          <w:szCs w:val="24"/>
        </w:rPr>
        <w:t xml:space="preserve"> weight</w:t>
      </w:r>
      <w:r w:rsidR="007D79DE" w:rsidRPr="00773352">
        <w:rPr>
          <w:rFonts w:ascii="Times New Roman" w:hAnsi="Times New Roman" w:cs="Times New Roman"/>
          <w:bCs/>
          <w:sz w:val="24"/>
          <w:szCs w:val="24"/>
        </w:rPr>
        <w:t xml:space="preserve"> and length</w:t>
      </w:r>
      <w:r w:rsidRPr="00773352">
        <w:rPr>
          <w:rFonts w:ascii="Times New Roman" w:hAnsi="Times New Roman" w:cs="Times New Roman"/>
          <w:bCs/>
          <w:sz w:val="24"/>
          <w:szCs w:val="24"/>
        </w:rPr>
        <w:t xml:space="preserve"> throughout the period of experiment as illustrated in figure </w:t>
      </w:r>
      <w:r w:rsidR="007D79DE" w:rsidRPr="00773352">
        <w:rPr>
          <w:rFonts w:ascii="Times New Roman" w:hAnsi="Times New Roman" w:cs="Times New Roman"/>
          <w:bCs/>
          <w:sz w:val="24"/>
          <w:szCs w:val="24"/>
        </w:rPr>
        <w:t>2 and 3</w:t>
      </w:r>
      <w:r w:rsidRPr="00773352">
        <w:rPr>
          <w:rFonts w:ascii="Times New Roman" w:hAnsi="Times New Roman" w:cs="Times New Roman"/>
          <w:bCs/>
          <w:sz w:val="24"/>
          <w:szCs w:val="24"/>
        </w:rPr>
        <w:t>. The highest 47.65 g/fish and lowest 36.13 g/fish mean weight gain were recorded in fishes cultured in C/N 15 and control respectively. There was significant difference (p&lt;0.05) in the mean weight gain of fish cultured in control treatment and those cultured with different ratio of wheat bran carbon sources.</w:t>
      </w:r>
    </w:p>
    <w:p w14:paraId="72D0AB2C" w14:textId="77777777" w:rsidR="00C244A2" w:rsidRPr="00773352" w:rsidRDefault="00C244A2" w:rsidP="0018573A">
      <w:pPr>
        <w:autoSpaceDE w:val="0"/>
        <w:autoSpaceDN w:val="0"/>
        <w:adjustRightInd w:val="0"/>
        <w:spacing w:after="0" w:line="360" w:lineRule="auto"/>
        <w:jc w:val="both"/>
        <w:rPr>
          <w:rFonts w:ascii="Times New Roman" w:hAnsi="Times New Roman" w:cs="Times New Roman"/>
          <w:bCs/>
          <w:sz w:val="24"/>
          <w:szCs w:val="24"/>
        </w:rPr>
      </w:pPr>
      <w:r w:rsidRPr="00773352">
        <w:rPr>
          <w:rFonts w:ascii="Times New Roman" w:hAnsi="Times New Roman" w:cs="Times New Roman"/>
          <w:noProof/>
          <w:sz w:val="24"/>
          <w:szCs w:val="24"/>
        </w:rPr>
        <w:drawing>
          <wp:inline distT="0" distB="0" distL="0" distR="0" wp14:anchorId="6FCE81FC" wp14:editId="605D95F5">
            <wp:extent cx="5507665" cy="3423683"/>
            <wp:effectExtent l="0" t="0" r="1714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43A4E7" w14:textId="77777777" w:rsidR="003E23D2" w:rsidRPr="00773352" w:rsidRDefault="003E23D2" w:rsidP="0018573A">
      <w:pPr>
        <w:autoSpaceDE w:val="0"/>
        <w:autoSpaceDN w:val="0"/>
        <w:adjustRightInd w:val="0"/>
        <w:spacing w:after="0" w:line="360" w:lineRule="auto"/>
        <w:jc w:val="both"/>
        <w:rPr>
          <w:rFonts w:ascii="Times New Roman" w:hAnsi="Times New Roman" w:cs="Times New Roman"/>
          <w:bCs/>
          <w:sz w:val="24"/>
          <w:szCs w:val="24"/>
        </w:rPr>
      </w:pPr>
    </w:p>
    <w:p w14:paraId="201A1DBE" w14:textId="77777777" w:rsidR="003E23D2" w:rsidRPr="00773352" w:rsidRDefault="003E23D2"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1: Mean volume (mL L-1) of biofloc water collected from </w:t>
      </w:r>
      <w:proofErr w:type="gramStart"/>
      <w:r w:rsidRPr="00773352">
        <w:rPr>
          <w:rFonts w:ascii="Times New Roman" w:hAnsi="Times New Roman" w:cs="Times New Roman"/>
          <w:b/>
          <w:bCs/>
          <w:sz w:val="24"/>
          <w:szCs w:val="24"/>
        </w:rPr>
        <w:t xml:space="preserve">different  </w:t>
      </w:r>
      <w:r w:rsidR="00523C6E" w:rsidRPr="00773352">
        <w:rPr>
          <w:rFonts w:ascii="Times New Roman" w:hAnsi="Times New Roman" w:cs="Times New Roman"/>
          <w:b/>
          <w:bCs/>
          <w:sz w:val="24"/>
          <w:szCs w:val="24"/>
        </w:rPr>
        <w:t>C</w:t>
      </w:r>
      <w:proofErr w:type="gramEnd"/>
      <w:r w:rsidR="00523C6E" w:rsidRPr="00773352">
        <w:rPr>
          <w:rFonts w:ascii="Times New Roman" w:hAnsi="Times New Roman" w:cs="Times New Roman"/>
          <w:b/>
          <w:bCs/>
          <w:sz w:val="24"/>
          <w:szCs w:val="24"/>
        </w:rPr>
        <w:t xml:space="preserve">/N ratio </w:t>
      </w:r>
      <w:r w:rsidRPr="00773352">
        <w:rPr>
          <w:rFonts w:ascii="Times New Roman" w:hAnsi="Times New Roman" w:cs="Times New Roman"/>
          <w:b/>
          <w:bCs/>
          <w:sz w:val="24"/>
          <w:szCs w:val="24"/>
        </w:rPr>
        <w:t xml:space="preserve">for 10 weeks of the experimental period </w:t>
      </w:r>
    </w:p>
    <w:p w14:paraId="24F3C41D" w14:textId="77777777" w:rsidR="007D79DE" w:rsidRPr="00773352" w:rsidRDefault="000D445F"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drawing>
          <wp:inline distT="0" distB="0" distL="0" distR="0" wp14:anchorId="014ECA20" wp14:editId="46ACD33D">
            <wp:extent cx="5209953" cy="3923414"/>
            <wp:effectExtent l="0" t="0" r="1016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B747F4" w14:textId="77777777" w:rsidR="000D445F" w:rsidRPr="00773352" w:rsidRDefault="007D79DE"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2: </w:t>
      </w:r>
      <w:r w:rsidR="000D445F" w:rsidRPr="00773352">
        <w:rPr>
          <w:rFonts w:ascii="Times New Roman" w:hAnsi="Times New Roman" w:cs="Times New Roman"/>
          <w:b/>
          <w:bCs/>
          <w:sz w:val="24"/>
          <w:szCs w:val="24"/>
        </w:rPr>
        <w:t>Weekly Weight changes in the experimental fish from different C/N ratio</w:t>
      </w:r>
    </w:p>
    <w:p w14:paraId="3050370E" w14:textId="77777777" w:rsidR="007D79DE" w:rsidRPr="00773352" w:rsidRDefault="000D445F"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t xml:space="preserve"> </w:t>
      </w:r>
      <w:r w:rsidRPr="00773352">
        <w:rPr>
          <w:rFonts w:ascii="Times New Roman" w:hAnsi="Times New Roman" w:cs="Times New Roman"/>
          <w:noProof/>
          <w:sz w:val="24"/>
          <w:szCs w:val="24"/>
        </w:rPr>
        <w:drawing>
          <wp:inline distT="0" distB="0" distL="0" distR="0" wp14:anchorId="6F30AC0B" wp14:editId="394501FB">
            <wp:extent cx="5433237" cy="3242931"/>
            <wp:effectExtent l="0" t="0" r="1524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5CDEA5" w14:textId="77777777" w:rsidR="000D445F" w:rsidRPr="00773352" w:rsidRDefault="007D79DE" w:rsidP="0018573A">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w:t>
      </w:r>
      <w:r w:rsidR="00455387">
        <w:rPr>
          <w:rFonts w:ascii="Times New Roman" w:hAnsi="Times New Roman" w:cs="Times New Roman"/>
          <w:b/>
          <w:bCs/>
          <w:sz w:val="24"/>
          <w:szCs w:val="24"/>
        </w:rPr>
        <w:t>3</w:t>
      </w:r>
      <w:r w:rsidRPr="00773352">
        <w:rPr>
          <w:rFonts w:ascii="Times New Roman" w:hAnsi="Times New Roman" w:cs="Times New Roman"/>
          <w:b/>
          <w:bCs/>
          <w:sz w:val="24"/>
          <w:szCs w:val="24"/>
        </w:rPr>
        <w:t xml:space="preserve">: </w:t>
      </w:r>
      <w:r w:rsidR="000D445F" w:rsidRPr="00773352">
        <w:rPr>
          <w:rFonts w:ascii="Times New Roman" w:hAnsi="Times New Roman" w:cs="Times New Roman"/>
          <w:b/>
          <w:bCs/>
          <w:sz w:val="24"/>
          <w:szCs w:val="24"/>
        </w:rPr>
        <w:t xml:space="preserve">Weekly Length changes in the experimental fish from different C/N ratio </w:t>
      </w:r>
    </w:p>
    <w:p w14:paraId="55D60927" w14:textId="77777777" w:rsidR="000D445F" w:rsidRPr="00773352" w:rsidRDefault="000D445F" w:rsidP="0018573A">
      <w:pPr>
        <w:autoSpaceDE w:val="0"/>
        <w:autoSpaceDN w:val="0"/>
        <w:adjustRightInd w:val="0"/>
        <w:spacing w:after="0" w:line="360" w:lineRule="auto"/>
        <w:jc w:val="both"/>
        <w:rPr>
          <w:rFonts w:ascii="Times New Roman" w:hAnsi="Times New Roman" w:cs="Times New Roman"/>
          <w:b/>
          <w:bCs/>
          <w:sz w:val="24"/>
          <w:szCs w:val="24"/>
        </w:rPr>
      </w:pPr>
    </w:p>
    <w:p w14:paraId="0F29F344"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Nutrient Utilization of experimental fish cultured in different C/N ratio of wheat bran</w:t>
      </w:r>
    </w:p>
    <w:p w14:paraId="57661FDD" w14:textId="77777777" w:rsidR="0018573A" w:rsidRPr="00773352" w:rsidRDefault="0018573A"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bCs/>
          <w:sz w:val="24"/>
          <w:szCs w:val="24"/>
        </w:rPr>
        <w:t xml:space="preserve">Specific growth rate (SGR) and Relative growth rate (RGR) were highest in fishes from C/N 15 wheat bran ratio (1.44% and 910.94%) respectively. Lowest specific growth rate and relative growth rate was recorded with fishes from the control (1.24 </w:t>
      </w:r>
      <w:proofErr w:type="gramStart"/>
      <w:r w:rsidRPr="00773352">
        <w:rPr>
          <w:rFonts w:ascii="Times New Roman" w:hAnsi="Times New Roman" w:cs="Times New Roman"/>
          <w:bCs/>
          <w:sz w:val="24"/>
          <w:szCs w:val="24"/>
        </w:rPr>
        <w:t>and  703.85</w:t>
      </w:r>
      <w:proofErr w:type="gramEnd"/>
      <w:r w:rsidRPr="00773352">
        <w:rPr>
          <w:rFonts w:ascii="Times New Roman" w:hAnsi="Times New Roman" w:cs="Times New Roman"/>
          <w:bCs/>
          <w:sz w:val="24"/>
          <w:szCs w:val="24"/>
        </w:rPr>
        <w:t xml:space="preserve">%) respectively. </w:t>
      </w:r>
      <w:commentRangeStart w:id="15"/>
      <w:r w:rsidRPr="00773352">
        <w:rPr>
          <w:rFonts w:ascii="Times New Roman" w:hAnsi="Times New Roman" w:cs="Times New Roman"/>
          <w:bCs/>
          <w:sz w:val="24"/>
          <w:szCs w:val="24"/>
        </w:rPr>
        <w:t>The difference in SGR and RGR in all the treatment were significant</w:t>
      </w:r>
      <w:commentRangeEnd w:id="15"/>
      <w:r w:rsidR="00955A9E">
        <w:rPr>
          <w:rStyle w:val="CommentReference"/>
        </w:rPr>
        <w:commentReference w:id="15"/>
      </w:r>
      <w:r w:rsidRPr="00773352">
        <w:rPr>
          <w:rFonts w:ascii="Times New Roman" w:hAnsi="Times New Roman" w:cs="Times New Roman"/>
          <w:bCs/>
          <w:sz w:val="24"/>
          <w:szCs w:val="24"/>
        </w:rPr>
        <w:t>. Food Conversion Ratio (FCR) was highest in fish cultured in control (2.08) while C/N ratio 15 has the lowe</w:t>
      </w:r>
      <w:r w:rsidR="00E24A90" w:rsidRPr="00773352">
        <w:rPr>
          <w:rFonts w:ascii="Times New Roman" w:hAnsi="Times New Roman" w:cs="Times New Roman"/>
          <w:bCs/>
          <w:sz w:val="24"/>
          <w:szCs w:val="24"/>
        </w:rPr>
        <w:t>st FCR 1.26 (Table 2</w:t>
      </w:r>
      <w:r w:rsidRPr="00773352">
        <w:rPr>
          <w:rFonts w:ascii="Times New Roman" w:hAnsi="Times New Roman" w:cs="Times New Roman"/>
          <w:bCs/>
          <w:sz w:val="24"/>
          <w:szCs w:val="24"/>
        </w:rPr>
        <w:t xml:space="preserve">) and they were significantly different. Fish cultured in control has the highest protein intake (3.39) while the lowest value (2.20) was recorded in fish cultured in C/N 15 and the values </w:t>
      </w:r>
      <w:proofErr w:type="gramStart"/>
      <w:r w:rsidRPr="00773352">
        <w:rPr>
          <w:rFonts w:ascii="Times New Roman" w:hAnsi="Times New Roman" w:cs="Times New Roman"/>
          <w:bCs/>
          <w:sz w:val="24"/>
          <w:szCs w:val="24"/>
        </w:rPr>
        <w:t>were  not</w:t>
      </w:r>
      <w:proofErr w:type="gramEnd"/>
      <w:r w:rsidRPr="00773352">
        <w:rPr>
          <w:rFonts w:ascii="Times New Roman" w:hAnsi="Times New Roman" w:cs="Times New Roman"/>
          <w:bCs/>
          <w:sz w:val="24"/>
          <w:szCs w:val="24"/>
        </w:rPr>
        <w:t xml:space="preserve"> significantly different in all the C/N ration except control. Protein Efficiency Ratio was lowest (10.66) in fishes cultured in the control and highest (17.67) in fishes cultured in C/N 15 and the values were significantly different. </w:t>
      </w:r>
      <w:r w:rsidRPr="00773352">
        <w:rPr>
          <w:rFonts w:ascii="Times New Roman" w:hAnsi="Times New Roman" w:cs="Times New Roman"/>
          <w:sz w:val="24"/>
          <w:szCs w:val="24"/>
        </w:rPr>
        <w:t xml:space="preserve">The highest fish survival rate was observed in the C/N 15 ratio treatment (83.33%), which was significantly higher than C/N 20 </w:t>
      </w:r>
      <w:commentRangeStart w:id="16"/>
      <w:r w:rsidRPr="00955A9E">
        <w:rPr>
          <w:rFonts w:ascii="Times New Roman" w:hAnsi="Times New Roman" w:cs="Times New Roman"/>
          <w:sz w:val="24"/>
          <w:szCs w:val="24"/>
          <w:highlight w:val="yellow"/>
        </w:rPr>
        <w:t>(8.00%),</w:t>
      </w:r>
      <w:r w:rsidRPr="00773352">
        <w:rPr>
          <w:rFonts w:ascii="Times New Roman" w:hAnsi="Times New Roman" w:cs="Times New Roman"/>
          <w:sz w:val="24"/>
          <w:szCs w:val="24"/>
        </w:rPr>
        <w:t xml:space="preserve"> </w:t>
      </w:r>
      <w:commentRangeEnd w:id="16"/>
      <w:r w:rsidR="00955A9E">
        <w:rPr>
          <w:rStyle w:val="CommentReference"/>
        </w:rPr>
        <w:commentReference w:id="16"/>
      </w:r>
      <w:r w:rsidRPr="00773352">
        <w:rPr>
          <w:rFonts w:ascii="Times New Roman" w:hAnsi="Times New Roman" w:cs="Times New Roman"/>
          <w:sz w:val="24"/>
          <w:szCs w:val="24"/>
        </w:rPr>
        <w:t>or contr</w:t>
      </w:r>
      <w:r w:rsidR="006C4357" w:rsidRPr="00773352">
        <w:rPr>
          <w:rFonts w:ascii="Times New Roman" w:hAnsi="Times New Roman" w:cs="Times New Roman"/>
          <w:sz w:val="24"/>
          <w:szCs w:val="24"/>
        </w:rPr>
        <w:t>ol treatment (71.67%), (Table 2</w:t>
      </w:r>
      <w:r w:rsidRPr="00773352">
        <w:rPr>
          <w:rFonts w:ascii="Times New Roman" w:hAnsi="Times New Roman" w:cs="Times New Roman"/>
          <w:sz w:val="24"/>
          <w:szCs w:val="24"/>
        </w:rPr>
        <w:t>).</w:t>
      </w:r>
    </w:p>
    <w:p w14:paraId="03E148EA" w14:textId="77777777" w:rsidR="00FC07C5" w:rsidRDefault="00FC07C5" w:rsidP="00523C6E">
      <w:pPr>
        <w:rPr>
          <w:rFonts w:ascii="Times New Roman" w:hAnsi="Times New Roman" w:cs="Times New Roman"/>
          <w:sz w:val="24"/>
          <w:szCs w:val="24"/>
        </w:rPr>
      </w:pPr>
    </w:p>
    <w:p w14:paraId="74B6F47F" w14:textId="77777777" w:rsidR="00523C6E" w:rsidRPr="00FC07C5" w:rsidRDefault="00E24A90" w:rsidP="00523C6E">
      <w:pPr>
        <w:rPr>
          <w:rFonts w:ascii="Times New Roman" w:hAnsi="Times New Roman" w:cs="Times New Roman"/>
          <w:sz w:val="24"/>
          <w:szCs w:val="24"/>
        </w:rPr>
      </w:pPr>
      <w:r w:rsidRPr="00773352">
        <w:rPr>
          <w:rFonts w:ascii="Times New Roman" w:hAnsi="Times New Roman" w:cs="Times New Roman"/>
          <w:b/>
          <w:bCs/>
          <w:sz w:val="24"/>
          <w:szCs w:val="24"/>
        </w:rPr>
        <w:t>Table 2</w:t>
      </w:r>
      <w:r w:rsidR="00523C6E" w:rsidRPr="00773352">
        <w:rPr>
          <w:rFonts w:ascii="Times New Roman" w:hAnsi="Times New Roman" w:cs="Times New Roman"/>
          <w:b/>
          <w:bCs/>
          <w:sz w:val="24"/>
          <w:szCs w:val="24"/>
        </w:rPr>
        <w:t xml:space="preserve">: Mean (±SE) growth performance, survival and production parameters of </w:t>
      </w:r>
      <w:r w:rsidR="00523C6E" w:rsidRPr="00773352">
        <w:rPr>
          <w:rFonts w:ascii="Times New Roman" w:hAnsi="Times New Roman" w:cs="Times New Roman"/>
          <w:b/>
          <w:bCs/>
          <w:i/>
          <w:iCs/>
          <w:sz w:val="24"/>
          <w:szCs w:val="24"/>
        </w:rPr>
        <w:t xml:space="preserve">Clarias gariepinus </w:t>
      </w:r>
      <w:r w:rsidR="00523C6E" w:rsidRPr="00773352">
        <w:rPr>
          <w:rFonts w:ascii="Times New Roman" w:hAnsi="Times New Roman" w:cs="Times New Roman"/>
          <w:b/>
          <w:bCs/>
          <w:sz w:val="24"/>
          <w:szCs w:val="24"/>
        </w:rPr>
        <w:t>juveniles reared in wheat bran-based biofloc systems at increasing carbon/nitrogen ratios after ten weeks of experimental trial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2010"/>
        <w:gridCol w:w="1740"/>
        <w:gridCol w:w="1883"/>
        <w:gridCol w:w="1872"/>
      </w:tblGrid>
      <w:tr w:rsidR="00523C6E" w:rsidRPr="00773352" w14:paraId="568E0840" w14:textId="77777777" w:rsidTr="00493130">
        <w:tc>
          <w:tcPr>
            <w:tcW w:w="1908" w:type="dxa"/>
            <w:tcBorders>
              <w:bottom w:val="single" w:sz="4" w:space="0" w:color="auto"/>
            </w:tcBorders>
          </w:tcPr>
          <w:p w14:paraId="29CEB4E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Parameters</w:t>
            </w:r>
          </w:p>
        </w:tc>
        <w:tc>
          <w:tcPr>
            <w:tcW w:w="2070" w:type="dxa"/>
            <w:tcBorders>
              <w:bottom w:val="single" w:sz="4" w:space="0" w:color="auto"/>
            </w:tcBorders>
          </w:tcPr>
          <w:p w14:paraId="79FE089B"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767" w:type="dxa"/>
            <w:tcBorders>
              <w:bottom w:val="single" w:sz="4" w:space="0" w:color="auto"/>
            </w:tcBorders>
          </w:tcPr>
          <w:p w14:paraId="219D1F97"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C/N10</w:t>
            </w:r>
          </w:p>
        </w:tc>
        <w:tc>
          <w:tcPr>
            <w:tcW w:w="1915" w:type="dxa"/>
            <w:tcBorders>
              <w:bottom w:val="single" w:sz="4" w:space="0" w:color="auto"/>
            </w:tcBorders>
          </w:tcPr>
          <w:p w14:paraId="23D1B24F"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C/N15</w:t>
            </w:r>
          </w:p>
        </w:tc>
        <w:tc>
          <w:tcPr>
            <w:tcW w:w="1916" w:type="dxa"/>
            <w:tcBorders>
              <w:bottom w:val="single" w:sz="4" w:space="0" w:color="auto"/>
            </w:tcBorders>
          </w:tcPr>
          <w:p w14:paraId="3EB23AFE"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C/N20</w:t>
            </w:r>
          </w:p>
        </w:tc>
      </w:tr>
      <w:tr w:rsidR="00523C6E" w:rsidRPr="00773352" w14:paraId="76BAD019" w14:textId="77777777" w:rsidTr="00493130">
        <w:tc>
          <w:tcPr>
            <w:tcW w:w="1908" w:type="dxa"/>
            <w:tcBorders>
              <w:top w:val="single" w:sz="4" w:space="0" w:color="auto"/>
            </w:tcBorders>
          </w:tcPr>
          <w:p w14:paraId="21DF614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Duration (Days)</w:t>
            </w:r>
          </w:p>
        </w:tc>
        <w:tc>
          <w:tcPr>
            <w:tcW w:w="2070" w:type="dxa"/>
            <w:tcBorders>
              <w:top w:val="single" w:sz="4" w:space="0" w:color="auto"/>
            </w:tcBorders>
          </w:tcPr>
          <w:p w14:paraId="11A2EAE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767" w:type="dxa"/>
            <w:tcBorders>
              <w:top w:val="single" w:sz="4" w:space="0" w:color="auto"/>
            </w:tcBorders>
          </w:tcPr>
          <w:p w14:paraId="321B9104"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5" w:type="dxa"/>
            <w:tcBorders>
              <w:top w:val="single" w:sz="4" w:space="0" w:color="auto"/>
            </w:tcBorders>
          </w:tcPr>
          <w:p w14:paraId="66971726"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6" w:type="dxa"/>
            <w:tcBorders>
              <w:top w:val="single" w:sz="4" w:space="0" w:color="auto"/>
            </w:tcBorders>
          </w:tcPr>
          <w:p w14:paraId="4D5FFEB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r>
      <w:tr w:rsidR="00523C6E" w:rsidRPr="00773352" w14:paraId="39B0D733" w14:textId="77777777" w:rsidTr="00493130">
        <w:tc>
          <w:tcPr>
            <w:tcW w:w="1908" w:type="dxa"/>
          </w:tcPr>
          <w:p w14:paraId="77CE3C53"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Stocked</w:t>
            </w:r>
          </w:p>
        </w:tc>
        <w:tc>
          <w:tcPr>
            <w:tcW w:w="2070" w:type="dxa"/>
          </w:tcPr>
          <w:p w14:paraId="3DED3610"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767" w:type="dxa"/>
          </w:tcPr>
          <w:p w14:paraId="503FCBAB"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5" w:type="dxa"/>
          </w:tcPr>
          <w:p w14:paraId="3A754061"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6" w:type="dxa"/>
          </w:tcPr>
          <w:p w14:paraId="3F339A3C"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r>
      <w:tr w:rsidR="00523C6E" w:rsidRPr="00773352" w14:paraId="1D46051F" w14:textId="77777777" w:rsidTr="00493130">
        <w:tc>
          <w:tcPr>
            <w:tcW w:w="1908" w:type="dxa"/>
          </w:tcPr>
          <w:p w14:paraId="503C8C7A"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Left</w:t>
            </w:r>
          </w:p>
        </w:tc>
        <w:tc>
          <w:tcPr>
            <w:tcW w:w="2070" w:type="dxa"/>
          </w:tcPr>
          <w:p w14:paraId="3DE61311"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w:t>
            </w:r>
          </w:p>
        </w:tc>
        <w:tc>
          <w:tcPr>
            <w:tcW w:w="1767" w:type="dxa"/>
          </w:tcPr>
          <w:p w14:paraId="3E76387C"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45</w:t>
            </w:r>
          </w:p>
        </w:tc>
        <w:tc>
          <w:tcPr>
            <w:tcW w:w="1915" w:type="dxa"/>
          </w:tcPr>
          <w:p w14:paraId="5861C78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w:t>
            </w:r>
          </w:p>
        </w:tc>
        <w:tc>
          <w:tcPr>
            <w:tcW w:w="1916" w:type="dxa"/>
          </w:tcPr>
          <w:p w14:paraId="3A31A2F9"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w:t>
            </w:r>
          </w:p>
        </w:tc>
      </w:tr>
      <w:tr w:rsidR="00523C6E" w:rsidRPr="00773352" w14:paraId="6ECDDF41" w14:textId="77777777" w:rsidTr="00493130">
        <w:tc>
          <w:tcPr>
            <w:tcW w:w="1908" w:type="dxa"/>
          </w:tcPr>
          <w:p w14:paraId="223F47DC"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Survival rate</w:t>
            </w:r>
          </w:p>
        </w:tc>
        <w:tc>
          <w:tcPr>
            <w:tcW w:w="2070" w:type="dxa"/>
          </w:tcPr>
          <w:p w14:paraId="70B4955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71.67±0.87</w:t>
            </w:r>
            <w:r w:rsidRPr="00773352">
              <w:rPr>
                <w:rFonts w:ascii="Times New Roman" w:hAnsi="Times New Roman" w:cs="Times New Roman"/>
                <w:sz w:val="24"/>
                <w:szCs w:val="24"/>
                <w:vertAlign w:val="superscript"/>
              </w:rPr>
              <w:t>a</w:t>
            </w:r>
          </w:p>
        </w:tc>
        <w:tc>
          <w:tcPr>
            <w:tcW w:w="1767" w:type="dxa"/>
          </w:tcPr>
          <w:p w14:paraId="5AD22350"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75.00±1.53</w:t>
            </w:r>
            <w:r w:rsidRPr="00773352">
              <w:rPr>
                <w:rFonts w:ascii="Times New Roman" w:hAnsi="Times New Roman" w:cs="Times New Roman"/>
                <w:sz w:val="24"/>
                <w:szCs w:val="24"/>
                <w:vertAlign w:val="superscript"/>
              </w:rPr>
              <w:t>ab</w:t>
            </w:r>
          </w:p>
        </w:tc>
        <w:tc>
          <w:tcPr>
            <w:tcW w:w="1915" w:type="dxa"/>
          </w:tcPr>
          <w:p w14:paraId="4AA1A5E1"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83.33±1.22</w:t>
            </w:r>
            <w:r w:rsidRPr="00773352">
              <w:rPr>
                <w:rFonts w:ascii="Times New Roman" w:hAnsi="Times New Roman" w:cs="Times New Roman"/>
                <w:sz w:val="24"/>
                <w:szCs w:val="24"/>
                <w:vertAlign w:val="superscript"/>
              </w:rPr>
              <w:t>c</w:t>
            </w:r>
          </w:p>
        </w:tc>
        <w:tc>
          <w:tcPr>
            <w:tcW w:w="1916" w:type="dxa"/>
          </w:tcPr>
          <w:p w14:paraId="36657F35"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80.00±2.89</w:t>
            </w:r>
            <w:r w:rsidRPr="00773352">
              <w:rPr>
                <w:rFonts w:ascii="Times New Roman" w:hAnsi="Times New Roman" w:cs="Times New Roman"/>
                <w:sz w:val="24"/>
                <w:szCs w:val="24"/>
                <w:vertAlign w:val="superscript"/>
              </w:rPr>
              <w:t>bc</w:t>
            </w:r>
          </w:p>
        </w:tc>
      </w:tr>
      <w:tr w:rsidR="00523C6E" w:rsidRPr="00773352" w14:paraId="731A7A35" w14:textId="77777777" w:rsidTr="00493130">
        <w:tc>
          <w:tcPr>
            <w:tcW w:w="1908" w:type="dxa"/>
          </w:tcPr>
          <w:p w14:paraId="6AFAB9FF"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IML</w:t>
            </w:r>
          </w:p>
        </w:tc>
        <w:tc>
          <w:tcPr>
            <w:tcW w:w="2070" w:type="dxa"/>
          </w:tcPr>
          <w:p w14:paraId="2FBE4F5E"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5.13±0.52</w:t>
            </w:r>
            <w:r w:rsidRPr="00773352">
              <w:rPr>
                <w:rFonts w:ascii="Times New Roman" w:hAnsi="Times New Roman" w:cs="Times New Roman"/>
                <w:sz w:val="24"/>
                <w:szCs w:val="24"/>
                <w:vertAlign w:val="superscript"/>
              </w:rPr>
              <w:t>a</w:t>
            </w:r>
          </w:p>
        </w:tc>
        <w:tc>
          <w:tcPr>
            <w:tcW w:w="1767" w:type="dxa"/>
          </w:tcPr>
          <w:p w14:paraId="32F799F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5.10±0.61</w:t>
            </w:r>
            <w:r w:rsidRPr="00773352">
              <w:rPr>
                <w:rFonts w:ascii="Times New Roman" w:hAnsi="Times New Roman" w:cs="Times New Roman"/>
                <w:sz w:val="24"/>
                <w:szCs w:val="24"/>
                <w:vertAlign w:val="superscript"/>
              </w:rPr>
              <w:t>a</w:t>
            </w:r>
          </w:p>
        </w:tc>
        <w:tc>
          <w:tcPr>
            <w:tcW w:w="1915" w:type="dxa"/>
          </w:tcPr>
          <w:p w14:paraId="5FDBA519"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5.27±0.64</w:t>
            </w:r>
            <w:r w:rsidRPr="00773352">
              <w:rPr>
                <w:rFonts w:ascii="Times New Roman" w:hAnsi="Times New Roman" w:cs="Times New Roman"/>
                <w:sz w:val="24"/>
                <w:szCs w:val="24"/>
                <w:vertAlign w:val="superscript"/>
              </w:rPr>
              <w:t>a</w:t>
            </w:r>
          </w:p>
        </w:tc>
        <w:tc>
          <w:tcPr>
            <w:tcW w:w="1916" w:type="dxa"/>
          </w:tcPr>
          <w:p w14:paraId="0859ABA4"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4.60±0.12</w:t>
            </w:r>
            <w:r w:rsidRPr="00773352">
              <w:rPr>
                <w:rFonts w:ascii="Times New Roman" w:hAnsi="Times New Roman" w:cs="Times New Roman"/>
                <w:sz w:val="24"/>
                <w:szCs w:val="24"/>
                <w:vertAlign w:val="superscript"/>
              </w:rPr>
              <w:t>a</w:t>
            </w:r>
          </w:p>
        </w:tc>
      </w:tr>
      <w:tr w:rsidR="00523C6E" w:rsidRPr="00773352" w14:paraId="4196D42F" w14:textId="77777777" w:rsidTr="00493130">
        <w:tc>
          <w:tcPr>
            <w:tcW w:w="1908" w:type="dxa"/>
          </w:tcPr>
          <w:p w14:paraId="59CF35F8"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FML</w:t>
            </w:r>
          </w:p>
        </w:tc>
        <w:tc>
          <w:tcPr>
            <w:tcW w:w="2070" w:type="dxa"/>
          </w:tcPr>
          <w:p w14:paraId="7D56488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20.13±0.08</w:t>
            </w:r>
            <w:r w:rsidRPr="00773352">
              <w:rPr>
                <w:rFonts w:ascii="Times New Roman" w:hAnsi="Times New Roman" w:cs="Times New Roman"/>
                <w:sz w:val="24"/>
                <w:szCs w:val="24"/>
                <w:vertAlign w:val="superscript"/>
              </w:rPr>
              <w:t>a</w:t>
            </w:r>
          </w:p>
        </w:tc>
        <w:tc>
          <w:tcPr>
            <w:tcW w:w="1767" w:type="dxa"/>
          </w:tcPr>
          <w:p w14:paraId="72295049"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21.55±0.36</w:t>
            </w:r>
            <w:r w:rsidRPr="00773352">
              <w:rPr>
                <w:rFonts w:ascii="Times New Roman" w:hAnsi="Times New Roman" w:cs="Times New Roman"/>
                <w:sz w:val="24"/>
                <w:szCs w:val="24"/>
                <w:vertAlign w:val="superscript"/>
              </w:rPr>
              <w:t>ab</w:t>
            </w:r>
          </w:p>
        </w:tc>
        <w:tc>
          <w:tcPr>
            <w:tcW w:w="1915" w:type="dxa"/>
          </w:tcPr>
          <w:p w14:paraId="35F9FA6E"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22.60±0.91</w:t>
            </w:r>
            <w:r w:rsidRPr="00773352">
              <w:rPr>
                <w:rFonts w:ascii="Times New Roman" w:hAnsi="Times New Roman" w:cs="Times New Roman"/>
                <w:sz w:val="24"/>
                <w:szCs w:val="24"/>
                <w:vertAlign w:val="superscript"/>
              </w:rPr>
              <w:t>b</w:t>
            </w:r>
          </w:p>
        </w:tc>
        <w:tc>
          <w:tcPr>
            <w:tcW w:w="1916" w:type="dxa"/>
          </w:tcPr>
          <w:p w14:paraId="520915D1"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20.23±0.64</w:t>
            </w:r>
            <w:r w:rsidRPr="00773352">
              <w:rPr>
                <w:rFonts w:ascii="Times New Roman" w:hAnsi="Times New Roman" w:cs="Times New Roman"/>
                <w:sz w:val="24"/>
                <w:szCs w:val="24"/>
                <w:vertAlign w:val="superscript"/>
              </w:rPr>
              <w:t>a</w:t>
            </w:r>
          </w:p>
        </w:tc>
      </w:tr>
      <w:tr w:rsidR="00523C6E" w:rsidRPr="00773352" w14:paraId="44C696AD" w14:textId="77777777" w:rsidTr="00493130">
        <w:tc>
          <w:tcPr>
            <w:tcW w:w="1908" w:type="dxa"/>
          </w:tcPr>
          <w:p w14:paraId="5256E01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MLG</w:t>
            </w:r>
          </w:p>
        </w:tc>
        <w:tc>
          <w:tcPr>
            <w:tcW w:w="2070" w:type="dxa"/>
          </w:tcPr>
          <w:p w14:paraId="69DEF9F0"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14.93±0.64</w:t>
            </w:r>
            <w:r w:rsidRPr="00773352">
              <w:rPr>
                <w:rFonts w:ascii="Times New Roman" w:hAnsi="Times New Roman" w:cs="Times New Roman"/>
                <w:sz w:val="24"/>
                <w:szCs w:val="24"/>
                <w:vertAlign w:val="superscript"/>
              </w:rPr>
              <w:t>a</w:t>
            </w:r>
          </w:p>
        </w:tc>
        <w:tc>
          <w:tcPr>
            <w:tcW w:w="1767" w:type="dxa"/>
          </w:tcPr>
          <w:p w14:paraId="2A275F81"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16.73±0.76</w:t>
            </w:r>
            <w:r w:rsidRPr="00773352">
              <w:rPr>
                <w:rFonts w:ascii="Times New Roman" w:hAnsi="Times New Roman" w:cs="Times New Roman"/>
                <w:sz w:val="24"/>
                <w:szCs w:val="24"/>
                <w:vertAlign w:val="superscript"/>
              </w:rPr>
              <w:t>ab</w:t>
            </w:r>
          </w:p>
        </w:tc>
        <w:tc>
          <w:tcPr>
            <w:tcW w:w="1915" w:type="dxa"/>
          </w:tcPr>
          <w:p w14:paraId="4387A03E"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17.63±0.36</w:t>
            </w:r>
            <w:r w:rsidRPr="00773352">
              <w:rPr>
                <w:rFonts w:ascii="Times New Roman" w:hAnsi="Times New Roman" w:cs="Times New Roman"/>
                <w:sz w:val="24"/>
                <w:szCs w:val="24"/>
                <w:vertAlign w:val="superscript"/>
              </w:rPr>
              <w:t>b</w:t>
            </w:r>
          </w:p>
        </w:tc>
        <w:tc>
          <w:tcPr>
            <w:tcW w:w="1916" w:type="dxa"/>
          </w:tcPr>
          <w:p w14:paraId="451B563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15.42±0.41</w:t>
            </w:r>
            <w:r w:rsidRPr="00773352">
              <w:rPr>
                <w:rFonts w:ascii="Times New Roman" w:hAnsi="Times New Roman" w:cs="Times New Roman"/>
                <w:sz w:val="24"/>
                <w:szCs w:val="24"/>
                <w:vertAlign w:val="superscript"/>
              </w:rPr>
              <w:t>a</w:t>
            </w:r>
          </w:p>
        </w:tc>
      </w:tr>
      <w:tr w:rsidR="00523C6E" w:rsidRPr="00773352" w14:paraId="4B583FBC" w14:textId="77777777" w:rsidTr="00493130">
        <w:tc>
          <w:tcPr>
            <w:tcW w:w="1908" w:type="dxa"/>
          </w:tcPr>
          <w:p w14:paraId="118F54E0"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IMW</w:t>
            </w:r>
          </w:p>
        </w:tc>
        <w:tc>
          <w:tcPr>
            <w:tcW w:w="2070" w:type="dxa"/>
          </w:tcPr>
          <w:p w14:paraId="42B7C9AD"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5.67±0.64</w:t>
            </w:r>
            <w:r w:rsidRPr="00773352">
              <w:rPr>
                <w:rFonts w:ascii="Times New Roman" w:hAnsi="Times New Roman" w:cs="Times New Roman"/>
                <w:sz w:val="24"/>
                <w:szCs w:val="24"/>
                <w:vertAlign w:val="superscript"/>
              </w:rPr>
              <w:t>a</w:t>
            </w:r>
          </w:p>
        </w:tc>
        <w:tc>
          <w:tcPr>
            <w:tcW w:w="1767" w:type="dxa"/>
          </w:tcPr>
          <w:p w14:paraId="1FC0C37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5.55±0.61</w:t>
            </w:r>
            <w:r w:rsidRPr="00773352">
              <w:rPr>
                <w:rFonts w:ascii="Times New Roman" w:hAnsi="Times New Roman" w:cs="Times New Roman"/>
                <w:sz w:val="24"/>
                <w:szCs w:val="24"/>
                <w:vertAlign w:val="superscript"/>
              </w:rPr>
              <w:t>a</w:t>
            </w:r>
          </w:p>
        </w:tc>
        <w:tc>
          <w:tcPr>
            <w:tcW w:w="1915" w:type="dxa"/>
          </w:tcPr>
          <w:p w14:paraId="4116BED6"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5.08±0.58</w:t>
            </w:r>
            <w:r w:rsidRPr="00773352">
              <w:rPr>
                <w:rFonts w:ascii="Times New Roman" w:hAnsi="Times New Roman" w:cs="Times New Roman"/>
                <w:sz w:val="24"/>
                <w:szCs w:val="24"/>
                <w:vertAlign w:val="superscript"/>
              </w:rPr>
              <w:t>a</w:t>
            </w:r>
          </w:p>
        </w:tc>
        <w:tc>
          <w:tcPr>
            <w:tcW w:w="1916" w:type="dxa"/>
          </w:tcPr>
          <w:p w14:paraId="20A3EA1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4.87±0.58</w:t>
            </w:r>
            <w:r w:rsidRPr="00773352">
              <w:rPr>
                <w:rFonts w:ascii="Times New Roman" w:hAnsi="Times New Roman" w:cs="Times New Roman"/>
                <w:sz w:val="24"/>
                <w:szCs w:val="24"/>
                <w:vertAlign w:val="superscript"/>
              </w:rPr>
              <w:t>a</w:t>
            </w:r>
          </w:p>
        </w:tc>
      </w:tr>
      <w:tr w:rsidR="00523C6E" w:rsidRPr="00773352" w14:paraId="74506D51" w14:textId="77777777" w:rsidTr="00493130">
        <w:tc>
          <w:tcPr>
            <w:tcW w:w="1908" w:type="dxa"/>
          </w:tcPr>
          <w:p w14:paraId="1391DECD"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FMW</w:t>
            </w:r>
          </w:p>
        </w:tc>
        <w:tc>
          <w:tcPr>
            <w:tcW w:w="2070" w:type="dxa"/>
          </w:tcPr>
          <w:p w14:paraId="5E1D073B"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41.80±0.69</w:t>
            </w:r>
            <w:r w:rsidRPr="00773352">
              <w:rPr>
                <w:rFonts w:ascii="Times New Roman" w:hAnsi="Times New Roman" w:cs="Times New Roman"/>
                <w:sz w:val="24"/>
                <w:szCs w:val="24"/>
                <w:vertAlign w:val="superscript"/>
              </w:rPr>
              <w:t>a</w:t>
            </w:r>
          </w:p>
        </w:tc>
        <w:tc>
          <w:tcPr>
            <w:tcW w:w="1767" w:type="dxa"/>
          </w:tcPr>
          <w:p w14:paraId="1AAB5B7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44.20±1.27</w:t>
            </w:r>
            <w:r w:rsidRPr="00773352">
              <w:rPr>
                <w:rFonts w:ascii="Times New Roman" w:hAnsi="Times New Roman" w:cs="Times New Roman"/>
                <w:sz w:val="24"/>
                <w:szCs w:val="24"/>
                <w:vertAlign w:val="superscript"/>
              </w:rPr>
              <w:t>a</w:t>
            </w:r>
          </w:p>
        </w:tc>
        <w:tc>
          <w:tcPr>
            <w:tcW w:w="1915" w:type="dxa"/>
          </w:tcPr>
          <w:p w14:paraId="3ADFE54D"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52.73±1.15</w:t>
            </w:r>
            <w:r w:rsidRPr="00773352">
              <w:rPr>
                <w:rFonts w:ascii="Times New Roman" w:hAnsi="Times New Roman" w:cs="Times New Roman"/>
                <w:sz w:val="24"/>
                <w:szCs w:val="24"/>
                <w:vertAlign w:val="superscript"/>
              </w:rPr>
              <w:t>b</w:t>
            </w:r>
          </w:p>
        </w:tc>
        <w:tc>
          <w:tcPr>
            <w:tcW w:w="1916" w:type="dxa"/>
          </w:tcPr>
          <w:p w14:paraId="3A6CA05A"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43.80±0.64</w:t>
            </w:r>
            <w:r w:rsidRPr="00773352">
              <w:rPr>
                <w:rFonts w:ascii="Times New Roman" w:hAnsi="Times New Roman" w:cs="Times New Roman"/>
                <w:sz w:val="24"/>
                <w:szCs w:val="24"/>
                <w:vertAlign w:val="superscript"/>
              </w:rPr>
              <w:t>a</w:t>
            </w:r>
          </w:p>
        </w:tc>
      </w:tr>
      <w:tr w:rsidR="00523C6E" w:rsidRPr="00773352" w14:paraId="0CD37B80" w14:textId="77777777" w:rsidTr="00493130">
        <w:tc>
          <w:tcPr>
            <w:tcW w:w="1908" w:type="dxa"/>
          </w:tcPr>
          <w:p w14:paraId="4C7EA759"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MWG</w:t>
            </w:r>
          </w:p>
        </w:tc>
        <w:tc>
          <w:tcPr>
            <w:tcW w:w="2070" w:type="dxa"/>
          </w:tcPr>
          <w:p w14:paraId="31E6E2F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36.13±0.06</w:t>
            </w:r>
            <w:r w:rsidRPr="00773352">
              <w:rPr>
                <w:rFonts w:ascii="Times New Roman" w:hAnsi="Times New Roman" w:cs="Times New Roman"/>
                <w:sz w:val="24"/>
                <w:szCs w:val="24"/>
                <w:vertAlign w:val="superscript"/>
              </w:rPr>
              <w:t>a</w:t>
            </w:r>
          </w:p>
        </w:tc>
        <w:tc>
          <w:tcPr>
            <w:tcW w:w="1767" w:type="dxa"/>
          </w:tcPr>
          <w:p w14:paraId="019DEB36"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38.63±1.15</w:t>
            </w:r>
            <w:r w:rsidRPr="00773352">
              <w:rPr>
                <w:rFonts w:ascii="Times New Roman" w:hAnsi="Times New Roman" w:cs="Times New Roman"/>
                <w:sz w:val="24"/>
                <w:szCs w:val="24"/>
                <w:vertAlign w:val="superscript"/>
              </w:rPr>
              <w:t>a</w:t>
            </w:r>
          </w:p>
        </w:tc>
        <w:tc>
          <w:tcPr>
            <w:tcW w:w="1915" w:type="dxa"/>
          </w:tcPr>
          <w:p w14:paraId="2255230D"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47.65±1.28</w:t>
            </w:r>
            <w:r w:rsidRPr="00773352">
              <w:rPr>
                <w:rFonts w:ascii="Times New Roman" w:hAnsi="Times New Roman" w:cs="Times New Roman"/>
                <w:sz w:val="24"/>
                <w:szCs w:val="24"/>
                <w:vertAlign w:val="superscript"/>
              </w:rPr>
              <w:t>b</w:t>
            </w:r>
          </w:p>
        </w:tc>
        <w:tc>
          <w:tcPr>
            <w:tcW w:w="1916" w:type="dxa"/>
          </w:tcPr>
          <w:p w14:paraId="372E788D"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38.93±1.15</w:t>
            </w:r>
            <w:r w:rsidRPr="00773352">
              <w:rPr>
                <w:rFonts w:ascii="Times New Roman" w:hAnsi="Times New Roman" w:cs="Times New Roman"/>
                <w:sz w:val="24"/>
                <w:szCs w:val="24"/>
                <w:vertAlign w:val="superscript"/>
              </w:rPr>
              <w:t>a</w:t>
            </w:r>
          </w:p>
        </w:tc>
      </w:tr>
      <w:tr w:rsidR="00523C6E" w:rsidRPr="00773352" w14:paraId="6A7E75AF" w14:textId="77777777" w:rsidTr="00493130">
        <w:tc>
          <w:tcPr>
            <w:tcW w:w="1908" w:type="dxa"/>
          </w:tcPr>
          <w:p w14:paraId="2835973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RGR</w:t>
            </w:r>
          </w:p>
        </w:tc>
        <w:tc>
          <w:tcPr>
            <w:tcW w:w="2070" w:type="dxa"/>
          </w:tcPr>
          <w:p w14:paraId="2AF62DC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703.85±1.15</w:t>
            </w:r>
            <w:r w:rsidRPr="00773352">
              <w:rPr>
                <w:rFonts w:ascii="Times New Roman" w:hAnsi="Times New Roman" w:cs="Times New Roman"/>
                <w:sz w:val="24"/>
                <w:szCs w:val="24"/>
                <w:vertAlign w:val="superscript"/>
              </w:rPr>
              <w:t>a</w:t>
            </w:r>
          </w:p>
        </w:tc>
        <w:tc>
          <w:tcPr>
            <w:tcW w:w="1767" w:type="dxa"/>
          </w:tcPr>
          <w:p w14:paraId="4146481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766.67±0.64</w:t>
            </w:r>
            <w:r w:rsidRPr="00773352">
              <w:rPr>
                <w:rFonts w:ascii="Times New Roman" w:hAnsi="Times New Roman" w:cs="Times New Roman"/>
                <w:sz w:val="24"/>
                <w:szCs w:val="24"/>
                <w:vertAlign w:val="superscript"/>
              </w:rPr>
              <w:t>b</w:t>
            </w:r>
          </w:p>
        </w:tc>
        <w:tc>
          <w:tcPr>
            <w:tcW w:w="1915" w:type="dxa"/>
          </w:tcPr>
          <w:p w14:paraId="40486150"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910.94±0.58</w:t>
            </w:r>
            <w:r w:rsidRPr="00773352">
              <w:rPr>
                <w:rFonts w:ascii="Times New Roman" w:hAnsi="Times New Roman" w:cs="Times New Roman"/>
                <w:sz w:val="24"/>
                <w:szCs w:val="24"/>
                <w:vertAlign w:val="superscript"/>
              </w:rPr>
              <w:t>d</w:t>
            </w:r>
          </w:p>
        </w:tc>
        <w:tc>
          <w:tcPr>
            <w:tcW w:w="1916" w:type="dxa"/>
          </w:tcPr>
          <w:p w14:paraId="33CA146D"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830.43±1.15</w:t>
            </w:r>
            <w:r w:rsidRPr="00773352">
              <w:rPr>
                <w:rFonts w:ascii="Times New Roman" w:hAnsi="Times New Roman" w:cs="Times New Roman"/>
                <w:sz w:val="24"/>
                <w:szCs w:val="24"/>
                <w:vertAlign w:val="superscript"/>
              </w:rPr>
              <w:t>c</w:t>
            </w:r>
          </w:p>
        </w:tc>
      </w:tr>
      <w:tr w:rsidR="00523C6E" w:rsidRPr="00773352" w14:paraId="7598B2AF" w14:textId="77777777" w:rsidTr="00493130">
        <w:tc>
          <w:tcPr>
            <w:tcW w:w="1908" w:type="dxa"/>
          </w:tcPr>
          <w:p w14:paraId="10759D7C"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SGR</w:t>
            </w:r>
          </w:p>
        </w:tc>
        <w:tc>
          <w:tcPr>
            <w:tcW w:w="2070" w:type="dxa"/>
          </w:tcPr>
          <w:p w14:paraId="0B274889" w14:textId="77777777" w:rsidR="00523C6E" w:rsidRPr="00955A9E" w:rsidRDefault="00523C6E" w:rsidP="00075897">
            <w:pPr>
              <w:autoSpaceDE w:val="0"/>
              <w:autoSpaceDN w:val="0"/>
              <w:adjustRightInd w:val="0"/>
              <w:spacing w:line="360" w:lineRule="auto"/>
              <w:jc w:val="both"/>
              <w:rPr>
                <w:rFonts w:ascii="Times New Roman" w:hAnsi="Times New Roman" w:cs="Times New Roman"/>
                <w:sz w:val="24"/>
                <w:szCs w:val="24"/>
              </w:rPr>
            </w:pPr>
            <w:r w:rsidRPr="00955A9E">
              <w:rPr>
                <w:rFonts w:ascii="Times New Roman" w:hAnsi="Times New Roman" w:cs="Times New Roman"/>
                <w:sz w:val="24"/>
                <w:szCs w:val="24"/>
              </w:rPr>
              <w:t>1.24±0.07</w:t>
            </w:r>
            <w:r w:rsidRPr="00955A9E">
              <w:rPr>
                <w:rFonts w:ascii="Times New Roman" w:hAnsi="Times New Roman" w:cs="Times New Roman"/>
                <w:sz w:val="24"/>
                <w:szCs w:val="24"/>
                <w:vertAlign w:val="superscript"/>
              </w:rPr>
              <w:t>a</w:t>
            </w:r>
          </w:p>
        </w:tc>
        <w:tc>
          <w:tcPr>
            <w:tcW w:w="1767" w:type="dxa"/>
          </w:tcPr>
          <w:p w14:paraId="7D1662DE" w14:textId="77777777" w:rsidR="00523C6E" w:rsidRPr="00955A9E" w:rsidRDefault="00523C6E" w:rsidP="00075897">
            <w:pPr>
              <w:autoSpaceDE w:val="0"/>
              <w:autoSpaceDN w:val="0"/>
              <w:adjustRightInd w:val="0"/>
              <w:spacing w:line="360" w:lineRule="auto"/>
              <w:jc w:val="both"/>
              <w:rPr>
                <w:rFonts w:ascii="Times New Roman" w:hAnsi="Times New Roman" w:cs="Times New Roman"/>
                <w:sz w:val="24"/>
                <w:szCs w:val="24"/>
              </w:rPr>
            </w:pPr>
            <w:r w:rsidRPr="00955A9E">
              <w:rPr>
                <w:rFonts w:ascii="Times New Roman" w:hAnsi="Times New Roman" w:cs="Times New Roman"/>
                <w:sz w:val="24"/>
                <w:szCs w:val="24"/>
              </w:rPr>
              <w:t>1.29±0.64</w:t>
            </w:r>
            <w:r w:rsidRPr="00955A9E">
              <w:rPr>
                <w:rFonts w:ascii="Times New Roman" w:hAnsi="Times New Roman" w:cs="Times New Roman"/>
                <w:sz w:val="24"/>
                <w:szCs w:val="24"/>
                <w:vertAlign w:val="superscript"/>
              </w:rPr>
              <w:t>a</w:t>
            </w:r>
          </w:p>
        </w:tc>
        <w:tc>
          <w:tcPr>
            <w:tcW w:w="1915" w:type="dxa"/>
          </w:tcPr>
          <w:p w14:paraId="5EDBDA34" w14:textId="77777777" w:rsidR="00523C6E" w:rsidRPr="00955A9E" w:rsidRDefault="00523C6E" w:rsidP="00075897">
            <w:pPr>
              <w:autoSpaceDE w:val="0"/>
              <w:autoSpaceDN w:val="0"/>
              <w:adjustRightInd w:val="0"/>
              <w:spacing w:line="360" w:lineRule="auto"/>
              <w:jc w:val="both"/>
              <w:rPr>
                <w:rFonts w:ascii="Times New Roman" w:hAnsi="Times New Roman" w:cs="Times New Roman"/>
                <w:sz w:val="24"/>
                <w:szCs w:val="24"/>
              </w:rPr>
            </w:pPr>
            <w:r w:rsidRPr="00955A9E">
              <w:rPr>
                <w:rFonts w:ascii="Times New Roman" w:hAnsi="Times New Roman" w:cs="Times New Roman"/>
                <w:sz w:val="24"/>
                <w:szCs w:val="24"/>
              </w:rPr>
              <w:t>1.44±0.13</w:t>
            </w:r>
            <w:r w:rsidRPr="00955A9E">
              <w:rPr>
                <w:rFonts w:ascii="Times New Roman" w:hAnsi="Times New Roman" w:cs="Times New Roman"/>
                <w:sz w:val="24"/>
                <w:szCs w:val="24"/>
                <w:vertAlign w:val="superscript"/>
              </w:rPr>
              <w:t>a</w:t>
            </w:r>
          </w:p>
        </w:tc>
        <w:tc>
          <w:tcPr>
            <w:tcW w:w="1916" w:type="dxa"/>
          </w:tcPr>
          <w:p w14:paraId="334EEAF6" w14:textId="77777777" w:rsidR="00523C6E" w:rsidRPr="00955A9E" w:rsidRDefault="00523C6E" w:rsidP="00075897">
            <w:pPr>
              <w:autoSpaceDE w:val="0"/>
              <w:autoSpaceDN w:val="0"/>
              <w:adjustRightInd w:val="0"/>
              <w:spacing w:line="360" w:lineRule="auto"/>
              <w:jc w:val="both"/>
              <w:rPr>
                <w:rFonts w:ascii="Times New Roman" w:hAnsi="Times New Roman" w:cs="Times New Roman"/>
                <w:sz w:val="24"/>
                <w:szCs w:val="24"/>
              </w:rPr>
            </w:pPr>
            <w:r w:rsidRPr="00955A9E">
              <w:rPr>
                <w:rFonts w:ascii="Times New Roman" w:hAnsi="Times New Roman" w:cs="Times New Roman"/>
                <w:sz w:val="24"/>
                <w:szCs w:val="24"/>
              </w:rPr>
              <w:t>1.35±0.13</w:t>
            </w:r>
            <w:r w:rsidRPr="00955A9E">
              <w:rPr>
                <w:rFonts w:ascii="Times New Roman" w:hAnsi="Times New Roman" w:cs="Times New Roman"/>
                <w:sz w:val="24"/>
                <w:szCs w:val="24"/>
                <w:vertAlign w:val="superscript"/>
              </w:rPr>
              <w:t>a</w:t>
            </w:r>
          </w:p>
        </w:tc>
      </w:tr>
      <w:tr w:rsidR="00523C6E" w:rsidRPr="00773352" w14:paraId="68A6C85F" w14:textId="77777777" w:rsidTr="00493130">
        <w:tc>
          <w:tcPr>
            <w:tcW w:w="1908" w:type="dxa"/>
          </w:tcPr>
          <w:p w14:paraId="7E0BE32C"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FCR</w:t>
            </w:r>
          </w:p>
        </w:tc>
        <w:tc>
          <w:tcPr>
            <w:tcW w:w="2070" w:type="dxa"/>
          </w:tcPr>
          <w:p w14:paraId="29171C13"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2.08±0.05</w:t>
            </w:r>
            <w:r w:rsidRPr="00773352">
              <w:rPr>
                <w:rFonts w:ascii="Times New Roman" w:hAnsi="Times New Roman" w:cs="Times New Roman"/>
                <w:sz w:val="24"/>
                <w:szCs w:val="24"/>
                <w:vertAlign w:val="superscript"/>
              </w:rPr>
              <w:t>b</w:t>
            </w:r>
          </w:p>
        </w:tc>
        <w:tc>
          <w:tcPr>
            <w:tcW w:w="1767" w:type="dxa"/>
          </w:tcPr>
          <w:p w14:paraId="769CDFF0"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1.74±0.13</w:t>
            </w:r>
            <w:r w:rsidRPr="00773352">
              <w:rPr>
                <w:rFonts w:ascii="Times New Roman" w:hAnsi="Times New Roman" w:cs="Times New Roman"/>
                <w:sz w:val="24"/>
                <w:szCs w:val="24"/>
                <w:vertAlign w:val="superscript"/>
              </w:rPr>
              <w:t>ab</w:t>
            </w:r>
          </w:p>
        </w:tc>
        <w:tc>
          <w:tcPr>
            <w:tcW w:w="1915" w:type="dxa"/>
          </w:tcPr>
          <w:p w14:paraId="7B47EE9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1.26±0.12</w:t>
            </w:r>
            <w:r w:rsidRPr="00773352">
              <w:rPr>
                <w:rFonts w:ascii="Times New Roman" w:hAnsi="Times New Roman" w:cs="Times New Roman"/>
                <w:sz w:val="24"/>
                <w:szCs w:val="24"/>
                <w:vertAlign w:val="superscript"/>
              </w:rPr>
              <w:t>a</w:t>
            </w:r>
          </w:p>
        </w:tc>
        <w:tc>
          <w:tcPr>
            <w:tcW w:w="1916" w:type="dxa"/>
          </w:tcPr>
          <w:p w14:paraId="119A5475"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1.66±0.27</w:t>
            </w:r>
            <w:r w:rsidRPr="00773352">
              <w:rPr>
                <w:rFonts w:ascii="Times New Roman" w:hAnsi="Times New Roman" w:cs="Times New Roman"/>
                <w:sz w:val="24"/>
                <w:szCs w:val="24"/>
                <w:vertAlign w:val="superscript"/>
              </w:rPr>
              <w:t>ab</w:t>
            </w:r>
          </w:p>
        </w:tc>
      </w:tr>
      <w:tr w:rsidR="00523C6E" w:rsidRPr="00773352" w14:paraId="7A92C90E" w14:textId="77777777" w:rsidTr="00493130">
        <w:tc>
          <w:tcPr>
            <w:tcW w:w="1908" w:type="dxa"/>
          </w:tcPr>
          <w:p w14:paraId="6161C35F"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PI</w:t>
            </w:r>
          </w:p>
        </w:tc>
        <w:tc>
          <w:tcPr>
            <w:tcW w:w="2070" w:type="dxa"/>
          </w:tcPr>
          <w:p w14:paraId="7E90EBB3"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3.39±0.05</w:t>
            </w:r>
            <w:r w:rsidRPr="00773352">
              <w:rPr>
                <w:rFonts w:ascii="Times New Roman" w:hAnsi="Times New Roman" w:cs="Times New Roman"/>
                <w:sz w:val="24"/>
                <w:szCs w:val="24"/>
                <w:vertAlign w:val="superscript"/>
              </w:rPr>
              <w:t>b</w:t>
            </w:r>
          </w:p>
        </w:tc>
        <w:tc>
          <w:tcPr>
            <w:tcW w:w="1767" w:type="dxa"/>
          </w:tcPr>
          <w:p w14:paraId="18AF2A3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c>
          <w:tcPr>
            <w:tcW w:w="1915" w:type="dxa"/>
          </w:tcPr>
          <w:p w14:paraId="12F340F2"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2.20±0.14</w:t>
            </w:r>
            <w:r w:rsidRPr="00773352">
              <w:rPr>
                <w:rFonts w:ascii="Times New Roman" w:hAnsi="Times New Roman" w:cs="Times New Roman"/>
                <w:sz w:val="24"/>
                <w:szCs w:val="24"/>
                <w:vertAlign w:val="superscript"/>
              </w:rPr>
              <w:t>a</w:t>
            </w:r>
          </w:p>
        </w:tc>
        <w:tc>
          <w:tcPr>
            <w:tcW w:w="1916" w:type="dxa"/>
          </w:tcPr>
          <w:p w14:paraId="190F49E6"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2.91±0.12</w:t>
            </w:r>
            <w:r w:rsidRPr="00773352">
              <w:rPr>
                <w:rFonts w:ascii="Times New Roman" w:hAnsi="Times New Roman" w:cs="Times New Roman"/>
                <w:sz w:val="24"/>
                <w:szCs w:val="24"/>
                <w:vertAlign w:val="superscript"/>
              </w:rPr>
              <w:t>a</w:t>
            </w:r>
          </w:p>
        </w:tc>
      </w:tr>
      <w:tr w:rsidR="00523C6E" w:rsidRPr="00773352" w14:paraId="3FB3BCD2" w14:textId="77777777" w:rsidTr="00493130">
        <w:tc>
          <w:tcPr>
            <w:tcW w:w="1908" w:type="dxa"/>
          </w:tcPr>
          <w:p w14:paraId="6C38096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PER</w:t>
            </w:r>
          </w:p>
        </w:tc>
        <w:tc>
          <w:tcPr>
            <w:tcW w:w="2070" w:type="dxa"/>
          </w:tcPr>
          <w:p w14:paraId="3CCCD2A3"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10.66±0.13</w:t>
            </w:r>
            <w:r w:rsidRPr="00773352">
              <w:rPr>
                <w:rFonts w:ascii="Times New Roman" w:hAnsi="Times New Roman" w:cs="Times New Roman"/>
                <w:sz w:val="24"/>
                <w:szCs w:val="24"/>
                <w:vertAlign w:val="superscript"/>
              </w:rPr>
              <w:t>a</w:t>
            </w:r>
          </w:p>
        </w:tc>
        <w:tc>
          <w:tcPr>
            <w:tcW w:w="1767" w:type="dxa"/>
          </w:tcPr>
          <w:p w14:paraId="18B98F8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12.76±0.58</w:t>
            </w:r>
            <w:r w:rsidRPr="00773352">
              <w:rPr>
                <w:rFonts w:ascii="Times New Roman" w:hAnsi="Times New Roman" w:cs="Times New Roman"/>
                <w:sz w:val="24"/>
                <w:szCs w:val="24"/>
                <w:vertAlign w:val="superscript"/>
              </w:rPr>
              <w:t>ab</w:t>
            </w:r>
          </w:p>
        </w:tc>
        <w:tc>
          <w:tcPr>
            <w:tcW w:w="1915" w:type="dxa"/>
          </w:tcPr>
          <w:p w14:paraId="21C51A59"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17.65±1.15</w:t>
            </w:r>
            <w:r w:rsidRPr="00773352">
              <w:rPr>
                <w:rFonts w:ascii="Times New Roman" w:hAnsi="Times New Roman" w:cs="Times New Roman"/>
                <w:sz w:val="24"/>
                <w:szCs w:val="24"/>
                <w:vertAlign w:val="superscript"/>
              </w:rPr>
              <w:t>c</w:t>
            </w:r>
          </w:p>
        </w:tc>
        <w:tc>
          <w:tcPr>
            <w:tcW w:w="1916" w:type="dxa"/>
          </w:tcPr>
          <w:p w14:paraId="2190810E"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13.38±0.65</w:t>
            </w:r>
            <w:r w:rsidRPr="00773352">
              <w:rPr>
                <w:rFonts w:ascii="Times New Roman" w:hAnsi="Times New Roman" w:cs="Times New Roman"/>
                <w:sz w:val="24"/>
                <w:szCs w:val="24"/>
                <w:vertAlign w:val="superscript"/>
              </w:rPr>
              <w:t>b</w:t>
            </w:r>
          </w:p>
        </w:tc>
      </w:tr>
      <w:tr w:rsidR="00523C6E" w:rsidRPr="00773352" w14:paraId="4C611F69" w14:textId="77777777" w:rsidTr="00493130">
        <w:tc>
          <w:tcPr>
            <w:tcW w:w="1908" w:type="dxa"/>
          </w:tcPr>
          <w:p w14:paraId="6D5F89BF"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PPV</w:t>
            </w:r>
          </w:p>
        </w:tc>
        <w:tc>
          <w:tcPr>
            <w:tcW w:w="2070" w:type="dxa"/>
          </w:tcPr>
          <w:p w14:paraId="05344CD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10.18±1.5</w:t>
            </w:r>
            <w:r w:rsidRPr="00773352">
              <w:rPr>
                <w:rFonts w:ascii="Times New Roman" w:hAnsi="Times New Roman" w:cs="Times New Roman"/>
                <w:sz w:val="24"/>
                <w:szCs w:val="24"/>
                <w:vertAlign w:val="superscript"/>
              </w:rPr>
              <w:t>a</w:t>
            </w:r>
          </w:p>
        </w:tc>
        <w:tc>
          <w:tcPr>
            <w:tcW w:w="1767" w:type="dxa"/>
          </w:tcPr>
          <w:p w14:paraId="42748FAC"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22.77±1.28</w:t>
            </w:r>
            <w:r w:rsidRPr="00773352">
              <w:rPr>
                <w:rFonts w:ascii="Times New Roman" w:hAnsi="Times New Roman" w:cs="Times New Roman"/>
                <w:sz w:val="24"/>
                <w:szCs w:val="24"/>
                <w:vertAlign w:val="superscript"/>
              </w:rPr>
              <w:t>b</w:t>
            </w:r>
          </w:p>
        </w:tc>
        <w:tc>
          <w:tcPr>
            <w:tcW w:w="1915" w:type="dxa"/>
          </w:tcPr>
          <w:p w14:paraId="0CB8A2D6"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33.85±1.35</w:t>
            </w:r>
            <w:r w:rsidRPr="00773352">
              <w:rPr>
                <w:rFonts w:ascii="Times New Roman" w:hAnsi="Times New Roman" w:cs="Times New Roman"/>
                <w:sz w:val="24"/>
                <w:szCs w:val="24"/>
                <w:vertAlign w:val="superscript"/>
              </w:rPr>
              <w:t>c</w:t>
            </w:r>
          </w:p>
        </w:tc>
        <w:tc>
          <w:tcPr>
            <w:tcW w:w="1916" w:type="dxa"/>
          </w:tcPr>
          <w:p w14:paraId="224BAE0E"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43.27±1.21</w:t>
            </w:r>
            <w:r w:rsidRPr="00773352">
              <w:rPr>
                <w:rFonts w:ascii="Times New Roman" w:hAnsi="Times New Roman" w:cs="Times New Roman"/>
                <w:sz w:val="24"/>
                <w:szCs w:val="24"/>
                <w:vertAlign w:val="superscript"/>
              </w:rPr>
              <w:t>d</w:t>
            </w:r>
          </w:p>
        </w:tc>
      </w:tr>
      <w:tr w:rsidR="00523C6E" w:rsidRPr="00773352" w14:paraId="10AF8D8A" w14:textId="77777777" w:rsidTr="00493130">
        <w:tc>
          <w:tcPr>
            <w:tcW w:w="1908" w:type="dxa"/>
          </w:tcPr>
          <w:p w14:paraId="44FECE32" w14:textId="77777777"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Total Food Intake</w:t>
            </w:r>
          </w:p>
        </w:tc>
        <w:tc>
          <w:tcPr>
            <w:tcW w:w="2070" w:type="dxa"/>
          </w:tcPr>
          <w:p w14:paraId="7E391FD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7.53±0.58</w:t>
            </w:r>
            <w:r w:rsidRPr="00773352">
              <w:rPr>
                <w:rFonts w:ascii="Times New Roman" w:hAnsi="Times New Roman" w:cs="Times New Roman"/>
                <w:sz w:val="24"/>
                <w:szCs w:val="24"/>
                <w:vertAlign w:val="superscript"/>
              </w:rPr>
              <w:t>a</w:t>
            </w:r>
          </w:p>
        </w:tc>
        <w:tc>
          <w:tcPr>
            <w:tcW w:w="1767" w:type="dxa"/>
          </w:tcPr>
          <w:p w14:paraId="7087667A"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7.06±0.35</w:t>
            </w:r>
            <w:r w:rsidRPr="00773352">
              <w:rPr>
                <w:rFonts w:ascii="Times New Roman" w:hAnsi="Times New Roman" w:cs="Times New Roman"/>
                <w:sz w:val="24"/>
                <w:szCs w:val="24"/>
                <w:vertAlign w:val="superscript"/>
              </w:rPr>
              <w:t>a</w:t>
            </w:r>
          </w:p>
        </w:tc>
        <w:tc>
          <w:tcPr>
            <w:tcW w:w="1915" w:type="dxa"/>
          </w:tcPr>
          <w:p w14:paraId="15733B67"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6.01±</w:t>
            </w:r>
            <w:r w:rsidRPr="00F405B3">
              <w:rPr>
                <w:rFonts w:ascii="Times New Roman" w:hAnsi="Times New Roman" w:cs="Times New Roman"/>
                <w:sz w:val="24"/>
                <w:szCs w:val="24"/>
                <w:highlight w:val="yellow"/>
              </w:rPr>
              <w:t>0.</w:t>
            </w:r>
            <w:commentRangeStart w:id="17"/>
            <w:r w:rsidRPr="00F405B3">
              <w:rPr>
                <w:rFonts w:ascii="Times New Roman" w:hAnsi="Times New Roman" w:cs="Times New Roman"/>
                <w:sz w:val="24"/>
                <w:szCs w:val="24"/>
                <w:highlight w:val="yellow"/>
              </w:rPr>
              <w:t>01</w:t>
            </w:r>
            <w:r w:rsidRPr="00F405B3">
              <w:rPr>
                <w:rFonts w:ascii="Times New Roman" w:hAnsi="Times New Roman" w:cs="Times New Roman"/>
                <w:sz w:val="24"/>
                <w:szCs w:val="24"/>
                <w:highlight w:val="yellow"/>
                <w:vertAlign w:val="superscript"/>
              </w:rPr>
              <w:t>a</w:t>
            </w:r>
            <w:commentRangeEnd w:id="17"/>
            <w:r w:rsidR="00187FC7">
              <w:rPr>
                <w:rStyle w:val="CommentReference"/>
              </w:rPr>
              <w:commentReference w:id="17"/>
            </w:r>
          </w:p>
        </w:tc>
        <w:tc>
          <w:tcPr>
            <w:tcW w:w="1916" w:type="dxa"/>
          </w:tcPr>
          <w:p w14:paraId="00BA933F" w14:textId="77777777"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6.47±0.65</w:t>
            </w:r>
            <w:r w:rsidRPr="00773352">
              <w:rPr>
                <w:rFonts w:ascii="Times New Roman" w:hAnsi="Times New Roman" w:cs="Times New Roman"/>
                <w:sz w:val="24"/>
                <w:szCs w:val="24"/>
                <w:vertAlign w:val="superscript"/>
              </w:rPr>
              <w:t>a</w:t>
            </w:r>
          </w:p>
        </w:tc>
      </w:tr>
    </w:tbl>
    <w:p w14:paraId="39D59CB5" w14:textId="77777777" w:rsidR="00E24A90" w:rsidRPr="00773352" w:rsidRDefault="00E24A90" w:rsidP="00E24A90">
      <w:pPr>
        <w:autoSpaceDE w:val="0"/>
        <w:autoSpaceDN w:val="0"/>
        <w:adjustRightInd w:val="0"/>
        <w:spacing w:after="0" w:line="360" w:lineRule="auto"/>
        <w:jc w:val="both"/>
        <w:rPr>
          <w:rFonts w:ascii="Times New Roman" w:hAnsi="Times New Roman" w:cs="Times New Roman"/>
          <w:sz w:val="24"/>
          <w:szCs w:val="24"/>
        </w:rPr>
      </w:pPr>
      <w:r w:rsidRPr="00773352">
        <w:rPr>
          <w:rFonts w:ascii="Times New Roman" w:hAnsi="Times New Roman" w:cs="Times New Roman"/>
          <w:b/>
          <w:bCs/>
          <w:sz w:val="24"/>
          <w:szCs w:val="24"/>
        </w:rPr>
        <w:t>Key: Mean on the same row with different superscripts differ significantly (p&lt;0.05)</w:t>
      </w:r>
    </w:p>
    <w:p w14:paraId="52E9AC39" w14:textId="77777777" w:rsidR="00E24A90"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SGR=Specific Growth Rate; RGR= Relative Growth Rate; FCR= Food Conversion Ratio; PI=Protein Intake; PER=Protein Efficiency Ratio; PPV= Protein Productive Value</w:t>
      </w:r>
    </w:p>
    <w:p w14:paraId="6980EE68" w14:textId="77777777" w:rsidR="00FC07C5" w:rsidRPr="00FC07C5" w:rsidRDefault="00FC07C5" w:rsidP="00FC07C5">
      <w:pPr>
        <w:autoSpaceDE w:val="0"/>
        <w:autoSpaceDN w:val="0"/>
        <w:adjustRightInd w:val="0"/>
        <w:spacing w:after="0" w:line="360" w:lineRule="auto"/>
        <w:jc w:val="both"/>
        <w:rPr>
          <w:rFonts w:ascii="Times New Roman" w:hAnsi="Times New Roman" w:cs="Times New Roman"/>
          <w:b/>
          <w:sz w:val="24"/>
          <w:szCs w:val="24"/>
        </w:rPr>
      </w:pPr>
      <w:r w:rsidRPr="00FC07C5">
        <w:rPr>
          <w:rFonts w:ascii="Times New Roman" w:hAnsi="Times New Roman" w:cs="Times New Roman"/>
          <w:b/>
          <w:sz w:val="24"/>
          <w:szCs w:val="24"/>
        </w:rPr>
        <w:t>Mean whole-body proximate composition (% wet weight) of the Experimental Fish with different C/N ratio of wheat bran</w:t>
      </w:r>
    </w:p>
    <w:p w14:paraId="1246F49C" w14:textId="77777777"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r w:rsidRPr="00FC07C5">
        <w:rPr>
          <w:rFonts w:ascii="Times New Roman" w:hAnsi="Times New Roman" w:cs="Times New Roman"/>
          <w:sz w:val="24"/>
          <w:szCs w:val="24"/>
        </w:rPr>
        <w:t xml:space="preserve">African catfish whole-body moisture content was significantly higher in the control treatment compared to other treatments (Table 3). Crude protein was highest in C/N 20 and lowest in control treatment.  Fat content was highest in C/N 20 and lowest in control and it is significantly different. Ash contents </w:t>
      </w:r>
      <w:proofErr w:type="gramStart"/>
      <w:r w:rsidRPr="00FC07C5">
        <w:rPr>
          <w:rFonts w:ascii="Times New Roman" w:hAnsi="Times New Roman" w:cs="Times New Roman"/>
          <w:sz w:val="24"/>
          <w:szCs w:val="24"/>
        </w:rPr>
        <w:t>was</w:t>
      </w:r>
      <w:proofErr w:type="gramEnd"/>
      <w:r w:rsidRPr="00FC07C5">
        <w:rPr>
          <w:rFonts w:ascii="Times New Roman" w:hAnsi="Times New Roman" w:cs="Times New Roman"/>
          <w:sz w:val="24"/>
          <w:szCs w:val="24"/>
        </w:rPr>
        <w:t xml:space="preserve"> highest in C/N 20 and lowest in control. There was no NFE value recorded in the control while it was highest in C/N 20. The cholesterol content from the fish muscle in the control treatment was significantly lower followed by C/N 15. The muscle MDA, HSI and VSI were all significantly different in </w:t>
      </w:r>
      <w:proofErr w:type="gramStart"/>
      <w:r w:rsidRPr="00FC07C5">
        <w:rPr>
          <w:rFonts w:ascii="Times New Roman" w:hAnsi="Times New Roman" w:cs="Times New Roman"/>
          <w:sz w:val="24"/>
          <w:szCs w:val="24"/>
        </w:rPr>
        <w:t>the  biofloc</w:t>
      </w:r>
      <w:proofErr w:type="gramEnd"/>
      <w:r w:rsidRPr="00FC07C5">
        <w:rPr>
          <w:rFonts w:ascii="Times New Roman" w:hAnsi="Times New Roman" w:cs="Times New Roman"/>
          <w:sz w:val="24"/>
          <w:szCs w:val="24"/>
        </w:rPr>
        <w:t xml:space="preserve"> treatments.</w:t>
      </w:r>
    </w:p>
    <w:p w14:paraId="4722BC91" w14:textId="77777777"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p>
    <w:p w14:paraId="1AA8F3D9" w14:textId="77777777" w:rsidR="00E24A90" w:rsidRPr="00773352" w:rsidRDefault="00E24A90" w:rsidP="00E24A90">
      <w:pPr>
        <w:rPr>
          <w:rFonts w:ascii="Times New Roman" w:hAnsi="Times New Roman" w:cs="Times New Roman"/>
          <w:sz w:val="24"/>
          <w:szCs w:val="24"/>
        </w:rPr>
      </w:pPr>
      <w:r w:rsidRPr="00773352">
        <w:rPr>
          <w:rFonts w:ascii="Times New Roman" w:hAnsi="Times New Roman" w:cs="Times New Roman"/>
          <w:b/>
          <w:bCs/>
          <w:sz w:val="24"/>
          <w:szCs w:val="24"/>
        </w:rPr>
        <w:t xml:space="preserve">Table 3: Mean (±SE) proximate composition (% wet weight of </w:t>
      </w:r>
      <w:r w:rsidRPr="00773352">
        <w:rPr>
          <w:rFonts w:ascii="Times New Roman" w:hAnsi="Times New Roman" w:cs="Times New Roman"/>
          <w:b/>
          <w:bCs/>
          <w:i/>
          <w:iCs/>
          <w:sz w:val="24"/>
          <w:szCs w:val="24"/>
        </w:rPr>
        <w:t xml:space="preserve">Clarias gariepinus </w:t>
      </w:r>
      <w:r w:rsidRPr="00773352">
        <w:rPr>
          <w:rFonts w:ascii="Times New Roman" w:hAnsi="Times New Roman" w:cs="Times New Roman"/>
          <w:b/>
          <w:bCs/>
          <w:sz w:val="24"/>
          <w:szCs w:val="24"/>
        </w:rPr>
        <w:t>juveniles reared in the wheat bran-based biofloc system at different carbon/nitrogen ratio after ten weeks of the experimental trial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1769"/>
        <w:gridCol w:w="1820"/>
        <w:gridCol w:w="1873"/>
        <w:gridCol w:w="1874"/>
      </w:tblGrid>
      <w:tr w:rsidR="00E24A90" w:rsidRPr="00773352" w14:paraId="5C39DCFC" w14:textId="77777777" w:rsidTr="00075897">
        <w:tc>
          <w:tcPr>
            <w:tcW w:w="2088" w:type="dxa"/>
            <w:tcBorders>
              <w:bottom w:val="single" w:sz="12" w:space="0" w:color="auto"/>
            </w:tcBorders>
          </w:tcPr>
          <w:p w14:paraId="5E9F9842"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w:t>
            </w:r>
          </w:p>
        </w:tc>
        <w:tc>
          <w:tcPr>
            <w:tcW w:w="1800" w:type="dxa"/>
            <w:tcBorders>
              <w:bottom w:val="single" w:sz="12" w:space="0" w:color="auto"/>
            </w:tcBorders>
          </w:tcPr>
          <w:p w14:paraId="2BA1004F"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857" w:type="dxa"/>
            <w:tcBorders>
              <w:bottom w:val="single" w:sz="12" w:space="0" w:color="auto"/>
            </w:tcBorders>
          </w:tcPr>
          <w:p w14:paraId="5A95927E"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10</w:t>
            </w:r>
          </w:p>
        </w:tc>
        <w:tc>
          <w:tcPr>
            <w:tcW w:w="1915" w:type="dxa"/>
            <w:tcBorders>
              <w:bottom w:val="single" w:sz="12" w:space="0" w:color="auto"/>
            </w:tcBorders>
          </w:tcPr>
          <w:p w14:paraId="3721C3AA"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15</w:t>
            </w:r>
          </w:p>
        </w:tc>
        <w:tc>
          <w:tcPr>
            <w:tcW w:w="1916" w:type="dxa"/>
            <w:tcBorders>
              <w:bottom w:val="single" w:sz="12" w:space="0" w:color="auto"/>
            </w:tcBorders>
          </w:tcPr>
          <w:p w14:paraId="255C2D12"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20</w:t>
            </w:r>
          </w:p>
        </w:tc>
      </w:tr>
      <w:tr w:rsidR="00E24A90" w:rsidRPr="00773352" w14:paraId="562A2D6B" w14:textId="77777777" w:rsidTr="00075897">
        <w:tc>
          <w:tcPr>
            <w:tcW w:w="2088" w:type="dxa"/>
            <w:tcBorders>
              <w:top w:val="single" w:sz="12" w:space="0" w:color="auto"/>
            </w:tcBorders>
          </w:tcPr>
          <w:p w14:paraId="32DF9A65"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Moisture Content</w:t>
            </w:r>
          </w:p>
        </w:tc>
        <w:tc>
          <w:tcPr>
            <w:tcW w:w="1800" w:type="dxa"/>
            <w:tcBorders>
              <w:top w:val="single" w:sz="12" w:space="0" w:color="auto"/>
            </w:tcBorders>
          </w:tcPr>
          <w:p w14:paraId="4732EF48"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75.87±1.15</w:t>
            </w:r>
            <w:r w:rsidRPr="00773352">
              <w:rPr>
                <w:rFonts w:ascii="Times New Roman" w:hAnsi="Times New Roman" w:cs="Times New Roman"/>
                <w:sz w:val="24"/>
                <w:szCs w:val="24"/>
                <w:vertAlign w:val="superscript"/>
              </w:rPr>
              <w:t>c</w:t>
            </w:r>
          </w:p>
        </w:tc>
        <w:tc>
          <w:tcPr>
            <w:tcW w:w="1857" w:type="dxa"/>
            <w:tcBorders>
              <w:top w:val="single" w:sz="12" w:space="0" w:color="auto"/>
            </w:tcBorders>
          </w:tcPr>
          <w:p w14:paraId="081267CA"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69.80±1.27</w:t>
            </w:r>
            <w:r w:rsidRPr="00773352">
              <w:rPr>
                <w:rFonts w:ascii="Times New Roman" w:hAnsi="Times New Roman" w:cs="Times New Roman"/>
                <w:sz w:val="24"/>
                <w:szCs w:val="24"/>
                <w:vertAlign w:val="superscript"/>
              </w:rPr>
              <w:t>b</w:t>
            </w:r>
          </w:p>
        </w:tc>
        <w:tc>
          <w:tcPr>
            <w:tcW w:w="1915" w:type="dxa"/>
            <w:tcBorders>
              <w:top w:val="single" w:sz="12" w:space="0" w:color="auto"/>
            </w:tcBorders>
          </w:tcPr>
          <w:p w14:paraId="45246090"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65.11±0.58</w:t>
            </w:r>
            <w:r w:rsidRPr="00773352">
              <w:rPr>
                <w:rFonts w:ascii="Times New Roman" w:hAnsi="Times New Roman" w:cs="Times New Roman"/>
                <w:sz w:val="24"/>
                <w:szCs w:val="24"/>
                <w:vertAlign w:val="superscript"/>
              </w:rPr>
              <w:t>a</w:t>
            </w:r>
          </w:p>
        </w:tc>
        <w:tc>
          <w:tcPr>
            <w:tcW w:w="1916" w:type="dxa"/>
            <w:tcBorders>
              <w:top w:val="single" w:sz="12" w:space="0" w:color="auto"/>
            </w:tcBorders>
          </w:tcPr>
          <w:p w14:paraId="1F994649"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62.18±1.15</w:t>
            </w:r>
            <w:r w:rsidRPr="00773352">
              <w:rPr>
                <w:rFonts w:ascii="Times New Roman" w:hAnsi="Times New Roman" w:cs="Times New Roman"/>
                <w:sz w:val="24"/>
                <w:szCs w:val="24"/>
                <w:vertAlign w:val="superscript"/>
              </w:rPr>
              <w:t>a</w:t>
            </w:r>
          </w:p>
        </w:tc>
      </w:tr>
      <w:tr w:rsidR="00E24A90" w:rsidRPr="00773352" w14:paraId="49B3B2AE" w14:textId="77777777" w:rsidTr="00075897">
        <w:tc>
          <w:tcPr>
            <w:tcW w:w="2088" w:type="dxa"/>
          </w:tcPr>
          <w:p w14:paraId="2B1D45FA"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Ash Content</w:t>
            </w:r>
          </w:p>
        </w:tc>
        <w:tc>
          <w:tcPr>
            <w:tcW w:w="1800" w:type="dxa"/>
          </w:tcPr>
          <w:p w14:paraId="1D125513"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2.44±0.02</w:t>
            </w:r>
            <w:r w:rsidRPr="00773352">
              <w:rPr>
                <w:rFonts w:ascii="Times New Roman" w:hAnsi="Times New Roman" w:cs="Times New Roman"/>
                <w:sz w:val="24"/>
                <w:szCs w:val="24"/>
                <w:vertAlign w:val="superscript"/>
              </w:rPr>
              <w:t>a</w:t>
            </w:r>
          </w:p>
        </w:tc>
        <w:tc>
          <w:tcPr>
            <w:tcW w:w="1857" w:type="dxa"/>
          </w:tcPr>
          <w:p w14:paraId="635677CB"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3.77±1.15</w:t>
            </w:r>
            <w:r w:rsidRPr="00773352">
              <w:rPr>
                <w:rFonts w:ascii="Times New Roman" w:hAnsi="Times New Roman" w:cs="Times New Roman"/>
                <w:sz w:val="24"/>
                <w:szCs w:val="24"/>
                <w:vertAlign w:val="superscript"/>
              </w:rPr>
              <w:t>b</w:t>
            </w:r>
          </w:p>
        </w:tc>
        <w:tc>
          <w:tcPr>
            <w:tcW w:w="1915" w:type="dxa"/>
          </w:tcPr>
          <w:p w14:paraId="073E81F0"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4.73±0.70b</w:t>
            </w:r>
            <w:r w:rsidRPr="00773352">
              <w:rPr>
                <w:rFonts w:ascii="Times New Roman" w:hAnsi="Times New Roman" w:cs="Times New Roman"/>
                <w:sz w:val="24"/>
                <w:szCs w:val="24"/>
                <w:vertAlign w:val="superscript"/>
              </w:rPr>
              <w:t>c</w:t>
            </w:r>
          </w:p>
        </w:tc>
        <w:tc>
          <w:tcPr>
            <w:tcW w:w="1916" w:type="dxa"/>
          </w:tcPr>
          <w:p w14:paraId="040B89D7"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5.62±0.13</w:t>
            </w:r>
            <w:r w:rsidRPr="00773352">
              <w:rPr>
                <w:rFonts w:ascii="Times New Roman" w:hAnsi="Times New Roman" w:cs="Times New Roman"/>
                <w:sz w:val="24"/>
                <w:szCs w:val="24"/>
                <w:vertAlign w:val="superscript"/>
              </w:rPr>
              <w:t>c</w:t>
            </w:r>
          </w:p>
        </w:tc>
      </w:tr>
      <w:tr w:rsidR="00E24A90" w:rsidRPr="00773352" w14:paraId="4D865B1F" w14:textId="77777777" w:rsidTr="00075897">
        <w:tc>
          <w:tcPr>
            <w:tcW w:w="2088" w:type="dxa"/>
          </w:tcPr>
          <w:p w14:paraId="0DDA922F"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Fat</w:t>
            </w:r>
          </w:p>
        </w:tc>
        <w:tc>
          <w:tcPr>
            <w:tcW w:w="1800" w:type="dxa"/>
          </w:tcPr>
          <w:p w14:paraId="1526C7CE"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3.24±0.06</w:t>
            </w:r>
            <w:r w:rsidRPr="00773352">
              <w:rPr>
                <w:rFonts w:ascii="Times New Roman" w:hAnsi="Times New Roman" w:cs="Times New Roman"/>
                <w:sz w:val="24"/>
                <w:szCs w:val="24"/>
                <w:vertAlign w:val="superscript"/>
              </w:rPr>
              <w:t>a</w:t>
            </w:r>
          </w:p>
        </w:tc>
        <w:tc>
          <w:tcPr>
            <w:tcW w:w="1857" w:type="dxa"/>
          </w:tcPr>
          <w:p w14:paraId="0BCBDC31"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4.02±0.58</w:t>
            </w:r>
            <w:r w:rsidRPr="00773352">
              <w:rPr>
                <w:rFonts w:ascii="Times New Roman" w:hAnsi="Times New Roman" w:cs="Times New Roman"/>
                <w:sz w:val="24"/>
                <w:szCs w:val="24"/>
                <w:vertAlign w:val="superscript"/>
              </w:rPr>
              <w:t>ab</w:t>
            </w:r>
          </w:p>
        </w:tc>
        <w:tc>
          <w:tcPr>
            <w:tcW w:w="1915" w:type="dxa"/>
          </w:tcPr>
          <w:p w14:paraId="26CAF9AD"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5.09±0.60b</w:t>
            </w:r>
            <w:r w:rsidRPr="00773352">
              <w:rPr>
                <w:rFonts w:ascii="Times New Roman" w:hAnsi="Times New Roman" w:cs="Times New Roman"/>
                <w:sz w:val="24"/>
                <w:szCs w:val="24"/>
                <w:vertAlign w:val="superscript"/>
              </w:rPr>
              <w:t>c</w:t>
            </w:r>
          </w:p>
        </w:tc>
        <w:tc>
          <w:tcPr>
            <w:tcW w:w="1916" w:type="dxa"/>
          </w:tcPr>
          <w:p w14:paraId="53D92C53"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6.14±0.44</w:t>
            </w:r>
            <w:r w:rsidRPr="00773352">
              <w:rPr>
                <w:rFonts w:ascii="Times New Roman" w:hAnsi="Times New Roman" w:cs="Times New Roman"/>
                <w:sz w:val="24"/>
                <w:szCs w:val="24"/>
                <w:vertAlign w:val="superscript"/>
              </w:rPr>
              <w:t>c</w:t>
            </w:r>
          </w:p>
        </w:tc>
      </w:tr>
      <w:tr w:rsidR="00E24A90" w:rsidRPr="00773352" w14:paraId="0D2F9D43" w14:textId="77777777" w:rsidTr="00075897">
        <w:tc>
          <w:tcPr>
            <w:tcW w:w="2088" w:type="dxa"/>
          </w:tcPr>
          <w:p w14:paraId="36628E7A"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Crude Protein</w:t>
            </w:r>
          </w:p>
        </w:tc>
        <w:tc>
          <w:tcPr>
            <w:tcW w:w="1800" w:type="dxa"/>
          </w:tcPr>
          <w:p w14:paraId="7E00AC78"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18.45±1.23</w:t>
            </w:r>
            <w:r w:rsidRPr="00773352">
              <w:rPr>
                <w:rFonts w:ascii="Times New Roman" w:hAnsi="Times New Roman" w:cs="Times New Roman"/>
                <w:sz w:val="24"/>
                <w:szCs w:val="24"/>
                <w:vertAlign w:val="superscript"/>
              </w:rPr>
              <w:t>a</w:t>
            </w:r>
          </w:p>
        </w:tc>
        <w:tc>
          <w:tcPr>
            <w:tcW w:w="1857" w:type="dxa"/>
          </w:tcPr>
          <w:p w14:paraId="7AE562BD"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21.89±0.58</w:t>
            </w:r>
            <w:r w:rsidRPr="00773352">
              <w:rPr>
                <w:rFonts w:ascii="Times New Roman" w:hAnsi="Times New Roman" w:cs="Times New Roman"/>
                <w:sz w:val="24"/>
                <w:szCs w:val="24"/>
                <w:vertAlign w:val="superscript"/>
              </w:rPr>
              <w:t>b</w:t>
            </w:r>
          </w:p>
        </w:tc>
        <w:tc>
          <w:tcPr>
            <w:tcW w:w="1915" w:type="dxa"/>
          </w:tcPr>
          <w:p w14:paraId="4D09E345"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24.14±0.60</w:t>
            </w:r>
            <w:r w:rsidRPr="00773352">
              <w:rPr>
                <w:rFonts w:ascii="Times New Roman" w:hAnsi="Times New Roman" w:cs="Times New Roman"/>
                <w:sz w:val="24"/>
                <w:szCs w:val="24"/>
                <w:vertAlign w:val="superscript"/>
              </w:rPr>
              <w:t>b</w:t>
            </w:r>
          </w:p>
        </w:tc>
        <w:tc>
          <w:tcPr>
            <w:tcW w:w="1916" w:type="dxa"/>
          </w:tcPr>
          <w:p w14:paraId="0F60BC97"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27.60±1.22</w:t>
            </w:r>
            <w:r w:rsidRPr="00773352">
              <w:rPr>
                <w:rFonts w:ascii="Times New Roman" w:hAnsi="Times New Roman" w:cs="Times New Roman"/>
                <w:sz w:val="24"/>
                <w:szCs w:val="24"/>
                <w:vertAlign w:val="superscript"/>
              </w:rPr>
              <w:t>c</w:t>
            </w:r>
          </w:p>
        </w:tc>
      </w:tr>
      <w:tr w:rsidR="00E24A90" w:rsidRPr="00773352" w14:paraId="67DB641A" w14:textId="77777777" w:rsidTr="00075897">
        <w:tc>
          <w:tcPr>
            <w:tcW w:w="2088" w:type="dxa"/>
          </w:tcPr>
          <w:p w14:paraId="76B0D3DA"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NFE</w:t>
            </w:r>
          </w:p>
        </w:tc>
        <w:tc>
          <w:tcPr>
            <w:tcW w:w="1800" w:type="dxa"/>
          </w:tcPr>
          <w:p w14:paraId="78BC3B17"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0.00±0.00</w:t>
            </w:r>
            <w:r w:rsidRPr="00773352">
              <w:rPr>
                <w:rFonts w:ascii="Times New Roman" w:hAnsi="Times New Roman" w:cs="Times New Roman"/>
                <w:sz w:val="24"/>
                <w:szCs w:val="24"/>
                <w:vertAlign w:val="superscript"/>
              </w:rPr>
              <w:t>a</w:t>
            </w:r>
          </w:p>
        </w:tc>
        <w:tc>
          <w:tcPr>
            <w:tcW w:w="1857" w:type="dxa"/>
          </w:tcPr>
          <w:p w14:paraId="6833ECF2"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0.52±0.02</w:t>
            </w:r>
            <w:r w:rsidRPr="00773352">
              <w:rPr>
                <w:rFonts w:ascii="Times New Roman" w:hAnsi="Times New Roman" w:cs="Times New Roman"/>
                <w:sz w:val="24"/>
                <w:szCs w:val="24"/>
                <w:vertAlign w:val="superscript"/>
              </w:rPr>
              <w:t>b</w:t>
            </w:r>
          </w:p>
        </w:tc>
        <w:tc>
          <w:tcPr>
            <w:tcW w:w="1915" w:type="dxa"/>
          </w:tcPr>
          <w:p w14:paraId="2B15E90A"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0.92±0.12</w:t>
            </w:r>
            <w:r w:rsidRPr="00773352">
              <w:rPr>
                <w:rFonts w:ascii="Times New Roman" w:hAnsi="Times New Roman" w:cs="Times New Roman"/>
                <w:sz w:val="24"/>
                <w:szCs w:val="24"/>
                <w:vertAlign w:val="superscript"/>
              </w:rPr>
              <w:t>c</w:t>
            </w:r>
          </w:p>
        </w:tc>
        <w:tc>
          <w:tcPr>
            <w:tcW w:w="1916" w:type="dxa"/>
          </w:tcPr>
          <w:p w14:paraId="0299F868"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1.21±0.06</w:t>
            </w:r>
            <w:r w:rsidRPr="00773352">
              <w:rPr>
                <w:rFonts w:ascii="Times New Roman" w:hAnsi="Times New Roman" w:cs="Times New Roman"/>
                <w:sz w:val="24"/>
                <w:szCs w:val="24"/>
                <w:vertAlign w:val="superscript"/>
              </w:rPr>
              <w:t>d</w:t>
            </w:r>
          </w:p>
        </w:tc>
      </w:tr>
      <w:tr w:rsidR="00E24A90" w:rsidRPr="00773352" w14:paraId="6685F3D7" w14:textId="77777777" w:rsidTr="00075897">
        <w:tc>
          <w:tcPr>
            <w:tcW w:w="2088" w:type="dxa"/>
          </w:tcPr>
          <w:p w14:paraId="669C2DBC"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Triglyceride</w:t>
            </w:r>
          </w:p>
        </w:tc>
        <w:tc>
          <w:tcPr>
            <w:tcW w:w="1800" w:type="dxa"/>
          </w:tcPr>
          <w:p w14:paraId="1093728C"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220.56±0.45</w:t>
            </w:r>
            <w:r w:rsidRPr="00773352">
              <w:rPr>
                <w:rFonts w:ascii="Times New Roman" w:hAnsi="Times New Roman" w:cs="Times New Roman"/>
                <w:sz w:val="24"/>
                <w:szCs w:val="24"/>
                <w:vertAlign w:val="superscript"/>
              </w:rPr>
              <w:t>a</w:t>
            </w:r>
          </w:p>
        </w:tc>
        <w:tc>
          <w:tcPr>
            <w:tcW w:w="1857" w:type="dxa"/>
          </w:tcPr>
          <w:p w14:paraId="039E11E5"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250.29±0.19</w:t>
            </w:r>
            <w:r w:rsidRPr="00773352">
              <w:rPr>
                <w:rFonts w:ascii="Times New Roman" w:hAnsi="Times New Roman" w:cs="Times New Roman"/>
                <w:sz w:val="24"/>
                <w:szCs w:val="24"/>
                <w:vertAlign w:val="superscript"/>
              </w:rPr>
              <w:t>c</w:t>
            </w:r>
          </w:p>
        </w:tc>
        <w:tc>
          <w:tcPr>
            <w:tcW w:w="1915" w:type="dxa"/>
          </w:tcPr>
          <w:p w14:paraId="62213809"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230.16±0.52</w:t>
            </w:r>
            <w:r w:rsidRPr="00773352">
              <w:rPr>
                <w:rFonts w:ascii="Times New Roman" w:hAnsi="Times New Roman" w:cs="Times New Roman"/>
                <w:sz w:val="24"/>
                <w:szCs w:val="24"/>
                <w:vertAlign w:val="superscript"/>
              </w:rPr>
              <w:t>b</w:t>
            </w:r>
          </w:p>
        </w:tc>
        <w:tc>
          <w:tcPr>
            <w:tcW w:w="1916" w:type="dxa"/>
          </w:tcPr>
          <w:p w14:paraId="2F6F93CD"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299.55±0.56</w:t>
            </w:r>
            <w:r w:rsidRPr="00773352">
              <w:rPr>
                <w:rFonts w:ascii="Times New Roman" w:hAnsi="Times New Roman" w:cs="Times New Roman"/>
                <w:sz w:val="24"/>
                <w:szCs w:val="24"/>
                <w:vertAlign w:val="superscript"/>
              </w:rPr>
              <w:t>d</w:t>
            </w:r>
          </w:p>
        </w:tc>
      </w:tr>
      <w:tr w:rsidR="00E24A90" w:rsidRPr="00773352" w14:paraId="371E95C9" w14:textId="77777777" w:rsidTr="00075897">
        <w:tc>
          <w:tcPr>
            <w:tcW w:w="2088" w:type="dxa"/>
          </w:tcPr>
          <w:p w14:paraId="3BE86D2D"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 Chol</w:t>
            </w:r>
          </w:p>
        </w:tc>
        <w:tc>
          <w:tcPr>
            <w:tcW w:w="1800" w:type="dxa"/>
          </w:tcPr>
          <w:p w14:paraId="5EB12AAB"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291.14±0.55</w:t>
            </w:r>
            <w:r w:rsidRPr="00773352">
              <w:rPr>
                <w:rFonts w:ascii="Times New Roman" w:hAnsi="Times New Roman" w:cs="Times New Roman"/>
                <w:sz w:val="24"/>
                <w:szCs w:val="24"/>
                <w:vertAlign w:val="superscript"/>
              </w:rPr>
              <w:t>a</w:t>
            </w:r>
          </w:p>
        </w:tc>
        <w:tc>
          <w:tcPr>
            <w:tcW w:w="1857" w:type="dxa"/>
          </w:tcPr>
          <w:p w14:paraId="4DBEBB5C"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390.47±0.38</w:t>
            </w:r>
            <w:r w:rsidRPr="00773352">
              <w:rPr>
                <w:rFonts w:ascii="Times New Roman" w:hAnsi="Times New Roman" w:cs="Times New Roman"/>
                <w:sz w:val="24"/>
                <w:szCs w:val="24"/>
                <w:vertAlign w:val="superscript"/>
              </w:rPr>
              <w:t>c</w:t>
            </w:r>
          </w:p>
        </w:tc>
        <w:tc>
          <w:tcPr>
            <w:tcW w:w="1915" w:type="dxa"/>
          </w:tcPr>
          <w:p w14:paraId="29269F13"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331.25±0.60</w:t>
            </w:r>
            <w:r w:rsidRPr="00773352">
              <w:rPr>
                <w:rFonts w:ascii="Times New Roman" w:hAnsi="Times New Roman" w:cs="Times New Roman"/>
                <w:sz w:val="24"/>
                <w:szCs w:val="24"/>
                <w:vertAlign w:val="superscript"/>
              </w:rPr>
              <w:t>b</w:t>
            </w:r>
          </w:p>
        </w:tc>
        <w:tc>
          <w:tcPr>
            <w:tcW w:w="1916" w:type="dxa"/>
          </w:tcPr>
          <w:p w14:paraId="49B16FE6"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490.14±0.75</w:t>
            </w:r>
            <w:r w:rsidRPr="00773352">
              <w:rPr>
                <w:rFonts w:ascii="Times New Roman" w:hAnsi="Times New Roman" w:cs="Times New Roman"/>
                <w:sz w:val="24"/>
                <w:szCs w:val="24"/>
                <w:vertAlign w:val="superscript"/>
              </w:rPr>
              <w:t>d</w:t>
            </w:r>
          </w:p>
        </w:tc>
      </w:tr>
      <w:tr w:rsidR="00E24A90" w:rsidRPr="00773352" w14:paraId="170DC7FE" w14:textId="77777777" w:rsidTr="00075897">
        <w:tc>
          <w:tcPr>
            <w:tcW w:w="2088" w:type="dxa"/>
          </w:tcPr>
          <w:p w14:paraId="2B650195"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MDA</w:t>
            </w:r>
          </w:p>
        </w:tc>
        <w:tc>
          <w:tcPr>
            <w:tcW w:w="1800" w:type="dxa"/>
          </w:tcPr>
          <w:p w14:paraId="5CFA887E"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14.92±0.65</w:t>
            </w:r>
            <w:r w:rsidRPr="00773352">
              <w:rPr>
                <w:rFonts w:ascii="Times New Roman" w:hAnsi="Times New Roman" w:cs="Times New Roman"/>
                <w:sz w:val="24"/>
                <w:szCs w:val="24"/>
                <w:vertAlign w:val="superscript"/>
              </w:rPr>
              <w:t>a</w:t>
            </w:r>
          </w:p>
        </w:tc>
        <w:tc>
          <w:tcPr>
            <w:tcW w:w="1857" w:type="dxa"/>
          </w:tcPr>
          <w:p w14:paraId="12534209"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21.70±0.40</w:t>
            </w:r>
            <w:r w:rsidRPr="00773352">
              <w:rPr>
                <w:rFonts w:ascii="Times New Roman" w:hAnsi="Times New Roman" w:cs="Times New Roman"/>
                <w:sz w:val="24"/>
                <w:szCs w:val="24"/>
                <w:vertAlign w:val="superscript"/>
              </w:rPr>
              <w:t>b</w:t>
            </w:r>
          </w:p>
        </w:tc>
        <w:tc>
          <w:tcPr>
            <w:tcW w:w="1915" w:type="dxa"/>
          </w:tcPr>
          <w:p w14:paraId="1F191B34"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41.91±0.55</w:t>
            </w:r>
            <w:r w:rsidRPr="00773352">
              <w:rPr>
                <w:rFonts w:ascii="Times New Roman" w:hAnsi="Times New Roman" w:cs="Times New Roman"/>
                <w:sz w:val="24"/>
                <w:szCs w:val="24"/>
                <w:vertAlign w:val="superscript"/>
              </w:rPr>
              <w:t>c</w:t>
            </w:r>
          </w:p>
        </w:tc>
        <w:tc>
          <w:tcPr>
            <w:tcW w:w="1916" w:type="dxa"/>
          </w:tcPr>
          <w:p w14:paraId="21355BC1"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15.11±0.52</w:t>
            </w:r>
            <w:r w:rsidRPr="00773352">
              <w:rPr>
                <w:rFonts w:ascii="Times New Roman" w:hAnsi="Times New Roman" w:cs="Times New Roman"/>
                <w:sz w:val="24"/>
                <w:szCs w:val="24"/>
                <w:vertAlign w:val="superscript"/>
              </w:rPr>
              <w:t>a</w:t>
            </w:r>
          </w:p>
        </w:tc>
      </w:tr>
      <w:tr w:rsidR="00E24A90" w:rsidRPr="00773352" w14:paraId="0EF1395B" w14:textId="77777777" w:rsidTr="00075897">
        <w:tc>
          <w:tcPr>
            <w:tcW w:w="2088" w:type="dxa"/>
          </w:tcPr>
          <w:p w14:paraId="06BE1CB1"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Cat</w:t>
            </w:r>
          </w:p>
        </w:tc>
        <w:tc>
          <w:tcPr>
            <w:tcW w:w="1800" w:type="dxa"/>
          </w:tcPr>
          <w:p w14:paraId="465F555E"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4.92±0.11</w:t>
            </w:r>
            <w:r w:rsidRPr="00773352">
              <w:rPr>
                <w:rFonts w:ascii="Times New Roman" w:hAnsi="Times New Roman" w:cs="Times New Roman"/>
                <w:sz w:val="24"/>
                <w:szCs w:val="24"/>
                <w:vertAlign w:val="superscript"/>
              </w:rPr>
              <w:t>b</w:t>
            </w:r>
          </w:p>
        </w:tc>
        <w:tc>
          <w:tcPr>
            <w:tcW w:w="1857" w:type="dxa"/>
          </w:tcPr>
          <w:p w14:paraId="525AD149"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9.71±0.12</w:t>
            </w:r>
            <w:r w:rsidRPr="00773352">
              <w:rPr>
                <w:rFonts w:ascii="Times New Roman" w:hAnsi="Times New Roman" w:cs="Times New Roman"/>
                <w:sz w:val="24"/>
                <w:szCs w:val="24"/>
                <w:vertAlign w:val="superscript"/>
              </w:rPr>
              <w:t>c</w:t>
            </w:r>
          </w:p>
        </w:tc>
        <w:tc>
          <w:tcPr>
            <w:tcW w:w="1915" w:type="dxa"/>
          </w:tcPr>
          <w:p w14:paraId="011BCB12"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15.01±0.22</w:t>
            </w:r>
            <w:r w:rsidRPr="00773352">
              <w:rPr>
                <w:rFonts w:ascii="Times New Roman" w:hAnsi="Times New Roman" w:cs="Times New Roman"/>
                <w:sz w:val="24"/>
                <w:szCs w:val="24"/>
                <w:vertAlign w:val="superscript"/>
              </w:rPr>
              <w:t>d</w:t>
            </w:r>
          </w:p>
        </w:tc>
        <w:tc>
          <w:tcPr>
            <w:tcW w:w="1916" w:type="dxa"/>
          </w:tcPr>
          <w:p w14:paraId="224A1415"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r>
      <w:tr w:rsidR="00E24A90" w:rsidRPr="00773352" w14:paraId="1545C027" w14:textId="77777777" w:rsidTr="00075897">
        <w:tc>
          <w:tcPr>
            <w:tcW w:w="2088" w:type="dxa"/>
          </w:tcPr>
          <w:p w14:paraId="5732213A"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HIS</w:t>
            </w:r>
          </w:p>
        </w:tc>
        <w:tc>
          <w:tcPr>
            <w:tcW w:w="1800" w:type="dxa"/>
          </w:tcPr>
          <w:p w14:paraId="39318301"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1.47±0.01</w:t>
            </w:r>
            <w:r w:rsidRPr="00773352">
              <w:rPr>
                <w:rFonts w:ascii="Times New Roman" w:hAnsi="Times New Roman" w:cs="Times New Roman"/>
                <w:sz w:val="24"/>
                <w:szCs w:val="24"/>
                <w:vertAlign w:val="superscript"/>
              </w:rPr>
              <w:t>b</w:t>
            </w:r>
          </w:p>
        </w:tc>
        <w:tc>
          <w:tcPr>
            <w:tcW w:w="1857" w:type="dxa"/>
          </w:tcPr>
          <w:p w14:paraId="3B7B7FC0"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2.24±0.01</w:t>
            </w:r>
            <w:r w:rsidRPr="00773352">
              <w:rPr>
                <w:rFonts w:ascii="Times New Roman" w:hAnsi="Times New Roman" w:cs="Times New Roman"/>
                <w:sz w:val="24"/>
                <w:szCs w:val="24"/>
                <w:vertAlign w:val="superscript"/>
              </w:rPr>
              <w:t>c</w:t>
            </w:r>
          </w:p>
        </w:tc>
        <w:tc>
          <w:tcPr>
            <w:tcW w:w="1915" w:type="dxa"/>
          </w:tcPr>
          <w:p w14:paraId="0BE0C00C"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1.07±0.03</w:t>
            </w:r>
            <w:r w:rsidRPr="00773352">
              <w:rPr>
                <w:rFonts w:ascii="Times New Roman" w:hAnsi="Times New Roman" w:cs="Times New Roman"/>
                <w:sz w:val="24"/>
                <w:szCs w:val="24"/>
                <w:vertAlign w:val="superscript"/>
              </w:rPr>
              <w:t>a</w:t>
            </w:r>
          </w:p>
        </w:tc>
        <w:tc>
          <w:tcPr>
            <w:tcW w:w="1916" w:type="dxa"/>
          </w:tcPr>
          <w:p w14:paraId="483430ED"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4.24±0.05</w:t>
            </w:r>
            <w:r w:rsidRPr="00773352">
              <w:rPr>
                <w:rFonts w:ascii="Times New Roman" w:hAnsi="Times New Roman" w:cs="Times New Roman"/>
                <w:sz w:val="24"/>
                <w:szCs w:val="24"/>
                <w:vertAlign w:val="superscript"/>
              </w:rPr>
              <w:t>d</w:t>
            </w:r>
          </w:p>
        </w:tc>
      </w:tr>
      <w:tr w:rsidR="00E24A90" w:rsidRPr="00773352" w14:paraId="3DBD0843" w14:textId="77777777" w:rsidTr="00075897">
        <w:tc>
          <w:tcPr>
            <w:tcW w:w="2088" w:type="dxa"/>
          </w:tcPr>
          <w:p w14:paraId="2FE959A8" w14:textId="77777777"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VSI</w:t>
            </w:r>
          </w:p>
        </w:tc>
        <w:tc>
          <w:tcPr>
            <w:tcW w:w="1800" w:type="dxa"/>
          </w:tcPr>
          <w:p w14:paraId="2621526E"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4.39±0.06</w:t>
            </w:r>
            <w:r w:rsidRPr="00773352">
              <w:rPr>
                <w:rFonts w:ascii="Times New Roman" w:hAnsi="Times New Roman" w:cs="Times New Roman"/>
                <w:sz w:val="24"/>
                <w:szCs w:val="24"/>
                <w:vertAlign w:val="superscript"/>
              </w:rPr>
              <w:t>a</w:t>
            </w:r>
          </w:p>
        </w:tc>
        <w:tc>
          <w:tcPr>
            <w:tcW w:w="1857" w:type="dxa"/>
          </w:tcPr>
          <w:p w14:paraId="67641BFA"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5.80±0.04</w:t>
            </w:r>
            <w:r w:rsidRPr="00773352">
              <w:rPr>
                <w:rFonts w:ascii="Times New Roman" w:hAnsi="Times New Roman" w:cs="Times New Roman"/>
                <w:sz w:val="24"/>
                <w:szCs w:val="24"/>
                <w:vertAlign w:val="superscript"/>
              </w:rPr>
              <w:t>c</w:t>
            </w:r>
          </w:p>
        </w:tc>
        <w:tc>
          <w:tcPr>
            <w:tcW w:w="1915" w:type="dxa"/>
          </w:tcPr>
          <w:p w14:paraId="069233BE"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4.98±0.07</w:t>
            </w:r>
            <w:r w:rsidRPr="00773352">
              <w:rPr>
                <w:rFonts w:ascii="Times New Roman" w:hAnsi="Times New Roman" w:cs="Times New Roman"/>
                <w:sz w:val="24"/>
                <w:szCs w:val="24"/>
                <w:vertAlign w:val="superscript"/>
              </w:rPr>
              <w:t>b</w:t>
            </w:r>
          </w:p>
        </w:tc>
        <w:tc>
          <w:tcPr>
            <w:tcW w:w="1916" w:type="dxa"/>
          </w:tcPr>
          <w:p w14:paraId="31D7C569" w14:textId="77777777"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6.75±0.07</w:t>
            </w:r>
            <w:r w:rsidRPr="00773352">
              <w:rPr>
                <w:rFonts w:ascii="Times New Roman" w:hAnsi="Times New Roman" w:cs="Times New Roman"/>
                <w:sz w:val="24"/>
                <w:szCs w:val="24"/>
                <w:vertAlign w:val="superscript"/>
              </w:rPr>
              <w:t>d</w:t>
            </w:r>
          </w:p>
        </w:tc>
      </w:tr>
    </w:tbl>
    <w:p w14:paraId="17F2D83F" w14:textId="77777777"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Key: Mean on the same row with different superscripts differ significantly (p&lt;0.05)</w:t>
      </w:r>
    </w:p>
    <w:p w14:paraId="5A5E9D8F" w14:textId="77777777"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MDA=Malondialdehyde; CAT=Catalase activity; HSI=Hepatosomatic index; VSI=Viscerosomatic index </w:t>
      </w:r>
    </w:p>
    <w:p w14:paraId="7ACF6B62" w14:textId="77777777" w:rsidR="00C244A2" w:rsidRPr="00773352" w:rsidRDefault="00C244A2" w:rsidP="00FC07C5">
      <w:pPr>
        <w:autoSpaceDE w:val="0"/>
        <w:autoSpaceDN w:val="0"/>
        <w:adjustRightInd w:val="0"/>
        <w:spacing w:after="0"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Discussion</w:t>
      </w:r>
    </w:p>
    <w:p w14:paraId="02579926" w14:textId="15A88E29" w:rsidR="00B80574" w:rsidRPr="00773352" w:rsidRDefault="00C244A2" w:rsidP="00FC07C5">
      <w:pPr>
        <w:pStyle w:val="NormalWeb"/>
        <w:spacing w:after="0" w:afterAutospacing="0"/>
        <w:jc w:val="both"/>
      </w:pPr>
      <w:r w:rsidRPr="00773352">
        <w:t>The water quality parameters of the biofloc water produced using different carbon to nitrogen ratio are prese</w:t>
      </w:r>
      <w:r w:rsidR="007E4591" w:rsidRPr="00773352">
        <w:t>nted in Table 1</w:t>
      </w:r>
      <w:r w:rsidRPr="00773352">
        <w:t xml:space="preserve">. The results show significant (p &lt; 0.05) differences in some physicochemical properties, including dissolved oxygen (DO) and pH, while other parameters such as temperature, electrical conductivity (EC), total dissolved solids (TDS), nitrite (NO₂⁻), and ammonia (NH₃) varied slightly across treatments. These variations demonstrate the influence of carbon source type on microbial metabolism, nutrient cycling, and water chemistry in biofloc systems (Li </w:t>
      </w:r>
      <w:r w:rsidRPr="00773352">
        <w:rPr>
          <w:i/>
        </w:rPr>
        <w:t>et al</w:t>
      </w:r>
      <w:r w:rsidRPr="00773352">
        <w:t xml:space="preserve">., 2025; Iber </w:t>
      </w:r>
      <w:r w:rsidRPr="00773352">
        <w:rPr>
          <w:i/>
        </w:rPr>
        <w:t>et al</w:t>
      </w:r>
      <w:r w:rsidRPr="00773352">
        <w:t>., 2025</w:t>
      </w:r>
      <w:proofErr w:type="gramStart"/>
      <w:r w:rsidRPr="00773352">
        <w:t>).</w:t>
      </w:r>
      <w:r w:rsidR="00DD521A" w:rsidRPr="00773352">
        <w:t>.</w:t>
      </w:r>
      <w:proofErr w:type="gramEnd"/>
      <w:r w:rsidR="00DD521A" w:rsidRPr="00773352">
        <w:t xml:space="preserve"> The increase in EC in the C/N 20 system suggests higher ion accumulation due to organic matter mineralization and microbial activity. This is consistent with findings by Yadav </w:t>
      </w:r>
      <w:r w:rsidR="00DD521A" w:rsidRPr="00773352">
        <w:rPr>
          <w:i/>
        </w:rPr>
        <w:t>et al</w:t>
      </w:r>
      <w:r w:rsidR="00DD521A" w:rsidRPr="00773352">
        <w:t xml:space="preserve">. (2025), who reported that complex carbon sources enhance microbial nutrient transformation, increasing soluble ions and EC values in mature biofloc systems. High TDS values are typical in biofloc systems due to continuous microbial decomposition of organic matter and accumulation of metabolites (Yu </w:t>
      </w:r>
      <w:r w:rsidR="00DD521A" w:rsidRPr="00773352">
        <w:rPr>
          <w:i/>
        </w:rPr>
        <w:t>et al</w:t>
      </w:r>
      <w:r w:rsidR="00DD521A" w:rsidRPr="00773352">
        <w:t xml:space="preserve">., 2023). According to Rai </w:t>
      </w:r>
      <w:r w:rsidR="00DD521A" w:rsidRPr="00773352">
        <w:rPr>
          <w:i/>
        </w:rPr>
        <w:t>et al</w:t>
      </w:r>
      <w:r w:rsidR="00DD521A" w:rsidRPr="00773352">
        <w:t>. (2025), stable TDS concentrations within this range indicate healthy microbial activity and balanced nutrient recycling.</w:t>
      </w:r>
      <w:r w:rsidR="00B80574" w:rsidRPr="00773352">
        <w:t xml:space="preserve"> Overall, water quality in all treatments remained within tolerable limits for </w:t>
      </w:r>
      <w:r w:rsidR="00B80574" w:rsidRPr="00773352">
        <w:rPr>
          <w:rStyle w:val="Emphasis"/>
        </w:rPr>
        <w:t>Clarias gariepinus</w:t>
      </w:r>
      <w:r w:rsidR="00B80574" w:rsidRPr="00773352">
        <w:t xml:space="preserve"> culture, though C/N 20 exhibited superior balance, with moderate EC, higher DO, and reduced ammonia—indicating more efficient biofloc development and microbial equilibrium.</w:t>
      </w:r>
    </w:p>
    <w:p w14:paraId="759AF4BC" w14:textId="77777777" w:rsidR="00B80574" w:rsidRPr="00773352" w:rsidRDefault="00B80574" w:rsidP="00FC07C5">
      <w:pPr>
        <w:pStyle w:val="NormalWeb"/>
        <w:jc w:val="both"/>
      </w:pPr>
      <w:r w:rsidRPr="00773352">
        <w:t xml:space="preserve">The growth performance and production responses of </w:t>
      </w:r>
      <w:r w:rsidRPr="00773352">
        <w:rPr>
          <w:rStyle w:val="Emphasis"/>
        </w:rPr>
        <w:t>Clarias gariepinus</w:t>
      </w:r>
      <w:r w:rsidRPr="00773352">
        <w:t xml:space="preserve"> juveniles cultured in wheat bran–based biofloc systems at different carbon–nitrogen (</w:t>
      </w:r>
      <w:proofErr w:type="gramStart"/>
      <w:r w:rsidRPr="00773352">
        <w:t>C:N</w:t>
      </w:r>
      <w:proofErr w:type="gramEnd"/>
      <w:r w:rsidRPr="00773352">
        <w:t xml:space="preserve">) ratios (10, 15, 20) showed significant (p &lt; 0.05) variation in several growth and feed efficiency indices. These differences highlight the sensitivity of biofloc systems to the </w:t>
      </w:r>
      <w:proofErr w:type="gramStart"/>
      <w:r w:rsidRPr="00773352">
        <w:t>C:N</w:t>
      </w:r>
      <w:proofErr w:type="gramEnd"/>
      <w:r w:rsidRPr="00773352">
        <w:t xml:space="preserve"> balance, which determines the rate of heterotrophic microbial growth, nutrient assimilation, and the overall feed conversion efficiency (Iber </w:t>
      </w:r>
      <w:r w:rsidRPr="00773352">
        <w:rPr>
          <w:i/>
        </w:rPr>
        <w:t>et al</w:t>
      </w:r>
      <w:r w:rsidRPr="00773352">
        <w:t xml:space="preserve">., 2025; Khanjani, 2024). </w:t>
      </w:r>
      <w:r w:rsidRPr="00773352">
        <w:rPr>
          <w:rStyle w:val="Strong"/>
          <w:b w:val="0"/>
        </w:rPr>
        <w:t>Final mean weight (FMW)</w:t>
      </w:r>
      <w:r w:rsidRPr="00773352">
        <w:rPr>
          <w:b/>
        </w:rPr>
        <w:t xml:space="preserve"> </w:t>
      </w:r>
      <w:r w:rsidRPr="00773352">
        <w:t>and</w:t>
      </w:r>
      <w:r w:rsidRPr="00773352">
        <w:rPr>
          <w:b/>
        </w:rPr>
        <w:t xml:space="preserve"> </w:t>
      </w:r>
      <w:r w:rsidRPr="00773352">
        <w:rPr>
          <w:rStyle w:val="Strong"/>
          <w:b w:val="0"/>
        </w:rPr>
        <w:t>mean weight gain (MWG)</w:t>
      </w:r>
      <w:r w:rsidRPr="00773352">
        <w:t xml:space="preserve"> increased significantly (p &lt; 0.05) from 41.80 ± 0.69 g (control) to 52.73 ± 1.15 g at </w:t>
      </w:r>
      <w:proofErr w:type="gramStart"/>
      <w:r w:rsidRPr="00773352">
        <w:t>C:N</w:t>
      </w:r>
      <w:proofErr w:type="gramEnd"/>
      <w:r w:rsidRPr="00773352">
        <w:t xml:space="preserve"> 15, but declined slightly at </w:t>
      </w:r>
      <w:proofErr w:type="gramStart"/>
      <w:r w:rsidRPr="00773352">
        <w:t>C:N</w:t>
      </w:r>
      <w:proofErr w:type="gramEnd"/>
      <w:r w:rsidRPr="00773352">
        <w:t xml:space="preserve"> 20. This pattern reflects the positive role of moderate heterotrophic activity in converting organic waste into microbial protein that serves as supplementary feed (Rai </w:t>
      </w:r>
      <w:r w:rsidRPr="00773352">
        <w:rPr>
          <w:i/>
        </w:rPr>
        <w:t>et al</w:t>
      </w:r>
      <w:r w:rsidRPr="00773352">
        <w:t xml:space="preserve">., 2025). At excessively high C:N ratios, however, excessive bacterial respiration may reduce dissolved oxygen and suppress growth (Iber </w:t>
      </w:r>
      <w:r w:rsidRPr="00773352">
        <w:rPr>
          <w:i/>
        </w:rPr>
        <w:t>et al</w:t>
      </w:r>
      <w:r w:rsidRPr="00773352">
        <w:t>., 2025).</w:t>
      </w:r>
    </w:p>
    <w:p w14:paraId="54ABB766" w14:textId="77777777" w:rsidR="0095650B" w:rsidRPr="00773352" w:rsidRDefault="0095650B" w:rsidP="00FC07C5">
      <w:pPr>
        <w:pStyle w:val="NormalWeb"/>
        <w:jc w:val="both"/>
      </w:pPr>
      <w:r w:rsidRPr="00773352">
        <w:rPr>
          <w:rStyle w:val="Strong"/>
          <w:b w:val="0"/>
        </w:rPr>
        <w:t>Survival rate</w:t>
      </w:r>
      <w:r w:rsidRPr="00773352">
        <w:t xml:space="preserve"> improved with increasing C:N ratio up to 15:1, followed by a slight decline at 20:1, suggesting that moderate </w:t>
      </w:r>
      <w:proofErr w:type="gramStart"/>
      <w:r w:rsidRPr="00773352">
        <w:t>C:N</w:t>
      </w:r>
      <w:proofErr w:type="gramEnd"/>
      <w:r w:rsidRPr="00773352">
        <w:t xml:space="preserve"> enhancement optimizes microbial activity and reduces toxic nitrogen accumulation (Yu </w:t>
      </w:r>
      <w:r w:rsidRPr="00773352">
        <w:rPr>
          <w:i/>
        </w:rPr>
        <w:t>et al</w:t>
      </w:r>
      <w:r w:rsidRPr="00773352">
        <w:t xml:space="preserve">., 2023). Higher C:N ratios promote bacterial assimilation of ammonia into microbial protein, improving water quality and reducing stress-induced mortality (Yadav </w:t>
      </w:r>
      <w:r w:rsidRPr="00773352">
        <w:rPr>
          <w:i/>
        </w:rPr>
        <w:t>et al</w:t>
      </w:r>
      <w:r w:rsidRPr="00773352">
        <w:t xml:space="preserve">., 2025). Similar patterns were observed in </w:t>
      </w:r>
      <w:r w:rsidRPr="00773352">
        <w:rPr>
          <w:rStyle w:val="Emphasis"/>
        </w:rPr>
        <w:t>Oreochromis niloticus</w:t>
      </w:r>
      <w:r w:rsidRPr="00773352">
        <w:t xml:space="preserve"> and </w:t>
      </w:r>
      <w:r w:rsidRPr="00773352">
        <w:rPr>
          <w:rStyle w:val="Emphasis"/>
        </w:rPr>
        <w:t>Penaeus vannamei</w:t>
      </w:r>
      <w:r w:rsidRPr="00773352">
        <w:t xml:space="preserve"> where survival peaked at </w:t>
      </w:r>
      <w:proofErr w:type="gramStart"/>
      <w:r w:rsidRPr="00773352">
        <w:t>C:N</w:t>
      </w:r>
      <w:proofErr w:type="gramEnd"/>
      <w:r w:rsidRPr="00773352">
        <w:t xml:space="preserve"> = 15 and declined at higher ratios due to oxygen limitation and excessive solids (Li </w:t>
      </w:r>
      <w:r w:rsidRPr="00773352">
        <w:rPr>
          <w:i/>
        </w:rPr>
        <w:t>et al</w:t>
      </w:r>
      <w:r w:rsidRPr="00773352">
        <w:t xml:space="preserve">., 2025; Zhang </w:t>
      </w:r>
      <w:r w:rsidRPr="00773352">
        <w:rPr>
          <w:i/>
        </w:rPr>
        <w:t>et al</w:t>
      </w:r>
      <w:r w:rsidRPr="00773352">
        <w:t xml:space="preserve">., 2023). The </w:t>
      </w:r>
      <w:r w:rsidRPr="00773352">
        <w:rPr>
          <w:rStyle w:val="Strong"/>
          <w:b w:val="0"/>
        </w:rPr>
        <w:t>specific growth rate (SGR)</w:t>
      </w:r>
      <w:r w:rsidRPr="00773352">
        <w:rPr>
          <w:b/>
        </w:rPr>
        <w:t xml:space="preserve"> </w:t>
      </w:r>
      <w:r w:rsidRPr="00773352">
        <w:t>and</w:t>
      </w:r>
      <w:r w:rsidRPr="00773352">
        <w:rPr>
          <w:b/>
        </w:rPr>
        <w:t xml:space="preserve"> </w:t>
      </w:r>
      <w:r w:rsidRPr="00773352">
        <w:rPr>
          <w:rStyle w:val="Strong"/>
          <w:b w:val="0"/>
        </w:rPr>
        <w:t>relative growth rate (RGR)</w:t>
      </w:r>
      <w:r w:rsidRPr="00773352">
        <w:t xml:space="preserve"> followed similar trends, </w:t>
      </w:r>
      <w:commentRangeStart w:id="18"/>
      <w:r w:rsidRPr="00773352">
        <w:t xml:space="preserve">with highest values observed at </w:t>
      </w:r>
      <w:proofErr w:type="gramStart"/>
      <w:r w:rsidRPr="00773352">
        <w:t>C:N</w:t>
      </w:r>
      <w:proofErr w:type="gramEnd"/>
      <w:r w:rsidRPr="00773352">
        <w:t xml:space="preserve"> 15, confirming this ratio as the optimal balance between nitrogen removal and microbial productivity</w:t>
      </w:r>
      <w:commentRangeEnd w:id="18"/>
      <w:r w:rsidR="0044351B">
        <w:rPr>
          <w:rStyle w:val="CommentReference"/>
          <w:rFonts w:asciiTheme="minorHAnsi" w:eastAsiaTheme="minorHAnsi" w:hAnsiTheme="minorHAnsi" w:cstheme="minorBidi"/>
        </w:rPr>
        <w:commentReference w:id="18"/>
      </w:r>
      <w:r w:rsidRPr="00773352">
        <w:t xml:space="preserve">. Comparable outcomes have been reported for </w:t>
      </w:r>
      <w:r w:rsidRPr="00773352">
        <w:rPr>
          <w:rStyle w:val="Emphasis"/>
        </w:rPr>
        <w:t>Clarias batrachus</w:t>
      </w:r>
      <w:r w:rsidRPr="00773352">
        <w:t xml:space="preserve"> and </w:t>
      </w:r>
      <w:r w:rsidRPr="00773352">
        <w:rPr>
          <w:rStyle w:val="Emphasis"/>
        </w:rPr>
        <w:t>Oreochromis niloticus</w:t>
      </w:r>
      <w:r w:rsidRPr="00773352">
        <w:t xml:space="preserve">, where biofloc systems at </w:t>
      </w:r>
      <w:proofErr w:type="gramStart"/>
      <w:r w:rsidRPr="00773352">
        <w:t>C:N</w:t>
      </w:r>
      <w:proofErr w:type="gramEnd"/>
      <w:r w:rsidRPr="00773352">
        <w:t xml:space="preserve"> 12–15 maximized SGR and FCR (Adeoye </w:t>
      </w:r>
      <w:r w:rsidRPr="00773352">
        <w:rPr>
          <w:i/>
        </w:rPr>
        <w:t>et al</w:t>
      </w:r>
      <w:r w:rsidRPr="00773352">
        <w:t xml:space="preserve">., 2022; Yadav </w:t>
      </w:r>
      <w:r w:rsidRPr="00773352">
        <w:rPr>
          <w:i/>
        </w:rPr>
        <w:t>et al</w:t>
      </w:r>
      <w:r w:rsidRPr="00773352">
        <w:t>., 2025).</w:t>
      </w:r>
    </w:p>
    <w:p w14:paraId="5AA7B293" w14:textId="77777777" w:rsidR="0095650B" w:rsidRPr="00773352" w:rsidRDefault="0095650B" w:rsidP="00FC07C5">
      <w:pPr>
        <w:pStyle w:val="NormalWeb"/>
        <w:jc w:val="both"/>
      </w:pPr>
      <w:r w:rsidRPr="00773352">
        <w:rPr>
          <w:rStyle w:val="Strong"/>
          <w:b w:val="0"/>
        </w:rPr>
        <w:t>Feed conversion ratio (FCR)</w:t>
      </w:r>
      <w:r w:rsidRPr="00773352">
        <w:t xml:space="preserve"> improved markedly at </w:t>
      </w:r>
      <w:proofErr w:type="gramStart"/>
      <w:r w:rsidRPr="00773352">
        <w:t>C:N</w:t>
      </w:r>
      <w:proofErr w:type="gramEnd"/>
      <w:r w:rsidRPr="00773352">
        <w:t xml:space="preserve"> 15, demonstrating better feed utilization due to microbial protein supplementation and nutrient recycling. Biofloc particles act as live feed rich in microbial protein, polyunsaturated fatty acids, and enzymes that enhance digestion (Khanjani, 2024; Li </w:t>
      </w:r>
      <w:r w:rsidRPr="00773352">
        <w:rPr>
          <w:i/>
        </w:rPr>
        <w:t>et al</w:t>
      </w:r>
      <w:r w:rsidRPr="00773352">
        <w:t xml:space="preserve">., 2025). Beyond this ratio, FCR increased again, implying that excess carbon addition may divert nitrogen away from fish assimilation and increase suspended solids (Iber </w:t>
      </w:r>
      <w:r w:rsidRPr="00773352">
        <w:rPr>
          <w:i/>
        </w:rPr>
        <w:t>et al</w:t>
      </w:r>
      <w:r w:rsidRPr="00773352">
        <w:t xml:space="preserve">., 2025). </w:t>
      </w:r>
      <w:r w:rsidRPr="00773352">
        <w:rPr>
          <w:rStyle w:val="Strong"/>
          <w:b w:val="0"/>
        </w:rPr>
        <w:t>Protein efficiency ratio (PER)</w:t>
      </w:r>
      <w:r w:rsidRPr="00773352">
        <w:rPr>
          <w:b/>
        </w:rPr>
        <w:t xml:space="preserve"> </w:t>
      </w:r>
      <w:r w:rsidRPr="00773352">
        <w:t>and</w:t>
      </w:r>
      <w:r w:rsidRPr="00773352">
        <w:rPr>
          <w:b/>
        </w:rPr>
        <w:t xml:space="preserve"> </w:t>
      </w:r>
      <w:r w:rsidRPr="00773352">
        <w:rPr>
          <w:rStyle w:val="Strong"/>
          <w:b w:val="0"/>
        </w:rPr>
        <w:t>protein productive value (PPV)</w:t>
      </w:r>
      <w:r w:rsidRPr="00773352">
        <w:t xml:space="preserve"> were also significantly affected by C:N ratio, peaking at </w:t>
      </w:r>
      <w:proofErr w:type="gramStart"/>
      <w:r w:rsidRPr="00773352">
        <w:t>C:N</w:t>
      </w:r>
      <w:proofErr w:type="gramEnd"/>
      <w:r w:rsidRPr="00773352">
        <w:t xml:space="preserve"> 15. These findings align with earlier reports showing that the microbial community in optimal </w:t>
      </w:r>
      <w:proofErr w:type="gramStart"/>
      <w:r w:rsidRPr="00773352">
        <w:t>C:N</w:t>
      </w:r>
      <w:proofErr w:type="gramEnd"/>
      <w:r w:rsidRPr="00773352">
        <w:t xml:space="preserve"> biofloc systems provides a renewable source of protein that complements commercial feeds (Yu </w:t>
      </w:r>
      <w:r w:rsidRPr="00773352">
        <w:rPr>
          <w:i/>
        </w:rPr>
        <w:t>et al</w:t>
      </w:r>
      <w:r w:rsidRPr="00773352">
        <w:t xml:space="preserve">., 2023; Rai </w:t>
      </w:r>
      <w:r w:rsidRPr="00773352">
        <w:rPr>
          <w:i/>
        </w:rPr>
        <w:t>et al</w:t>
      </w:r>
      <w:r w:rsidRPr="00773352">
        <w:t xml:space="preserve">., 2025). Enhanced PER and PPV suggest efficient nitrogen recycling through microbial assimilation, leading to improved growth and lower feed input (Yadav </w:t>
      </w:r>
      <w:r w:rsidRPr="00773352">
        <w:rPr>
          <w:i/>
        </w:rPr>
        <w:t>et al</w:t>
      </w:r>
      <w:r w:rsidRPr="00773352">
        <w:t xml:space="preserve">., 2025). The </w:t>
      </w:r>
      <w:r w:rsidRPr="00773352">
        <w:rPr>
          <w:rStyle w:val="Strong"/>
          <w:b w:val="0"/>
        </w:rPr>
        <w:t>protein intake (PI)</w:t>
      </w:r>
      <w:r w:rsidRPr="00773352">
        <w:t xml:space="preserve">, though variable, tended to decrease as the C:N ratio increased, reflecting more efficient feed utilization at moderate ratios. This outcome corresponds with the decline in total feed intake at </w:t>
      </w:r>
      <w:proofErr w:type="gramStart"/>
      <w:r w:rsidRPr="00773352">
        <w:t>C:N</w:t>
      </w:r>
      <w:proofErr w:type="gramEnd"/>
      <w:r w:rsidRPr="00773352">
        <w:t xml:space="preserve"> 15, which indicates reduced dependency on formulated feed due to the nutritional contribution of biofloc biomass (Adeoye </w:t>
      </w:r>
      <w:r w:rsidRPr="00773352">
        <w:rPr>
          <w:i/>
        </w:rPr>
        <w:t>et al</w:t>
      </w:r>
      <w:r w:rsidRPr="00773352">
        <w:t>., 2022).</w:t>
      </w:r>
      <w:r w:rsidR="00075897" w:rsidRPr="00773352">
        <w:t xml:space="preserve"> </w:t>
      </w:r>
      <w:r w:rsidRPr="00773352">
        <w:t>Collectively, the growth and production results indicate that a C:N ratio of 15:1 in wheat bran–based biofloc systems provides the best compromise between nutrient recycling, microbial growth, and fish performance. At higher ratios (</w:t>
      </w:r>
      <w:proofErr w:type="gramStart"/>
      <w:r w:rsidRPr="00773352">
        <w:t>C:N</w:t>
      </w:r>
      <w:proofErr w:type="gramEnd"/>
      <w:r w:rsidRPr="00773352">
        <w:t xml:space="preserve"> 20), declining oxygen levels and increased biofloc density may have contributed to reduced performance (Zhang </w:t>
      </w:r>
      <w:r w:rsidRPr="00773352">
        <w:rPr>
          <w:i/>
        </w:rPr>
        <w:t>et al</w:t>
      </w:r>
      <w:r w:rsidRPr="00773352">
        <w:t>., 2023).</w:t>
      </w:r>
    </w:p>
    <w:p w14:paraId="6E7A882B" w14:textId="77777777" w:rsidR="00075897" w:rsidRPr="00773352" w:rsidRDefault="00075897" w:rsidP="00FC07C5">
      <w:pPr>
        <w:pStyle w:val="NormalWeb"/>
        <w:jc w:val="both"/>
      </w:pPr>
      <w:r w:rsidRPr="00773352">
        <w:t xml:space="preserve">The proximate composition and biochemical indices of </w:t>
      </w:r>
      <w:r w:rsidRPr="00773352">
        <w:rPr>
          <w:rStyle w:val="Emphasis"/>
        </w:rPr>
        <w:t>Clarias gariepinus</w:t>
      </w:r>
      <w:r w:rsidRPr="00773352">
        <w:t xml:space="preserve"> juveniles cultured under wheat-bran–based biofloc systems at different carbon–nitrogen (</w:t>
      </w:r>
      <w:proofErr w:type="gramStart"/>
      <w:r w:rsidRPr="00773352">
        <w:t>C:N</w:t>
      </w:r>
      <w:proofErr w:type="gramEnd"/>
      <w:r w:rsidRPr="00773352">
        <w:t xml:space="preserve">) ratios (10, 15, 20) showed significant differences (p &lt; 0.05) across all parameters. These variations illustrate the critical role of </w:t>
      </w:r>
      <w:proofErr w:type="gramStart"/>
      <w:r w:rsidRPr="00773352">
        <w:t>C:N</w:t>
      </w:r>
      <w:proofErr w:type="gramEnd"/>
      <w:r w:rsidRPr="00773352">
        <w:t xml:space="preserve"> balance in controlling microbial dynamics, nutrient assimilation, and physiological metabolism within biofloc environments (Iber</w:t>
      </w:r>
      <w:r w:rsidR="000176B7" w:rsidRPr="00773352">
        <w:t xml:space="preserve"> </w:t>
      </w:r>
      <w:r w:rsidR="000176B7" w:rsidRPr="00773352">
        <w:rPr>
          <w:i/>
        </w:rPr>
        <w:t>et al</w:t>
      </w:r>
      <w:r w:rsidR="000176B7" w:rsidRPr="00773352">
        <w:t xml:space="preserve">., 2025; Khanjani, 2024). </w:t>
      </w:r>
      <w:r w:rsidRPr="00773352">
        <w:rPr>
          <w:rStyle w:val="Strong"/>
          <w:b w:val="0"/>
        </w:rPr>
        <w:t>Moisture content</w:t>
      </w:r>
      <w:r w:rsidRPr="00773352">
        <w:t xml:space="preserve"> decreased steadily with increasing C:N ratio, indicating a negative correlation between water content and nutrient deposition. This decline corresponds to increased dry-matter accumulation through protein and lipid synthesis. Similar trends were reported for </w:t>
      </w:r>
      <w:r w:rsidRPr="00773352">
        <w:rPr>
          <w:rStyle w:val="Emphasis"/>
        </w:rPr>
        <w:t>Oreochromis niloticus</w:t>
      </w:r>
      <w:r w:rsidRPr="00773352">
        <w:t xml:space="preserve"> and </w:t>
      </w:r>
      <w:r w:rsidRPr="00773352">
        <w:rPr>
          <w:rStyle w:val="Emphasis"/>
        </w:rPr>
        <w:t>Penaeus vannamei</w:t>
      </w:r>
      <w:r w:rsidRPr="00773352">
        <w:t xml:space="preserve">, where moisture inversely correlated with carcass nutrient concentration under intensified biofloc management (Yu </w:t>
      </w:r>
      <w:r w:rsidR="000176B7" w:rsidRPr="00773352">
        <w:rPr>
          <w:i/>
        </w:rPr>
        <w:t>et al</w:t>
      </w:r>
      <w:r w:rsidR="000176B7" w:rsidRPr="00773352">
        <w:t xml:space="preserve">., 2023; Li </w:t>
      </w:r>
      <w:r w:rsidR="000176B7" w:rsidRPr="00773352">
        <w:rPr>
          <w:i/>
        </w:rPr>
        <w:t>et al</w:t>
      </w:r>
      <w:r w:rsidR="000176B7" w:rsidRPr="00773352">
        <w:t xml:space="preserve">., 2025). </w:t>
      </w:r>
      <w:r w:rsidRPr="00773352">
        <w:rPr>
          <w:rStyle w:val="Strong"/>
          <w:b w:val="0"/>
        </w:rPr>
        <w:t>Crude protein</w:t>
      </w:r>
      <w:r w:rsidRPr="00773352">
        <w:t xml:space="preserve"> increased significantly reflecting enhanced nitrogen assimilation and microbial protein ingestion by the fish (Yadav </w:t>
      </w:r>
      <w:r w:rsidRPr="00773352">
        <w:rPr>
          <w:i/>
        </w:rPr>
        <w:t>et al</w:t>
      </w:r>
      <w:r w:rsidRPr="00773352">
        <w:t xml:space="preserve">., 2025). Higher bacterial biomass under enriched carbon availability converts inorganic nitrogen into protein-rich floc particles that serve as live feed (Rai </w:t>
      </w:r>
      <w:r w:rsidRPr="00773352">
        <w:rPr>
          <w:i/>
        </w:rPr>
        <w:t>et al</w:t>
      </w:r>
      <w:r w:rsidRPr="00773352">
        <w:t xml:space="preserve">., 2025). Comparable results were documented by Adeoye </w:t>
      </w:r>
      <w:r w:rsidRPr="00773352">
        <w:rPr>
          <w:i/>
        </w:rPr>
        <w:t>et al</w:t>
      </w:r>
      <w:r w:rsidRPr="00773352">
        <w:t xml:space="preserve">. (2022) in </w:t>
      </w:r>
      <w:r w:rsidRPr="00773352">
        <w:rPr>
          <w:rStyle w:val="Emphasis"/>
        </w:rPr>
        <w:t>Clarias batrachus</w:t>
      </w:r>
      <w:r w:rsidRPr="00773352">
        <w:t>, who observed elevated carcass protein and improved feed efficiency i</w:t>
      </w:r>
      <w:r w:rsidR="000176B7" w:rsidRPr="00773352">
        <w:t xml:space="preserve">n biofloc systems at </w:t>
      </w:r>
      <w:proofErr w:type="gramStart"/>
      <w:r w:rsidR="000176B7" w:rsidRPr="00773352">
        <w:t>C:N</w:t>
      </w:r>
      <w:proofErr w:type="gramEnd"/>
      <w:r w:rsidR="000176B7" w:rsidRPr="00773352">
        <w:t xml:space="preserve"> 12–15. </w:t>
      </w:r>
      <w:r w:rsidRPr="00773352">
        <w:rPr>
          <w:rStyle w:val="Strong"/>
          <w:b w:val="0"/>
        </w:rPr>
        <w:t>Fat content</w:t>
      </w:r>
      <w:r w:rsidR="000176B7" w:rsidRPr="00773352">
        <w:t xml:space="preserve"> followed a similar pattern. </w:t>
      </w:r>
      <w:r w:rsidRPr="00773352">
        <w:t xml:space="preserve">This suggests improved lipid deposition due to microbial fatty-acid contributions and enhanced energy metabolism (Khanjani, 2024; Iber </w:t>
      </w:r>
      <w:r w:rsidRPr="00773352">
        <w:rPr>
          <w:i/>
        </w:rPr>
        <w:t>et al</w:t>
      </w:r>
      <w:r w:rsidRPr="00773352">
        <w:t xml:space="preserve">., 2025). The increased </w:t>
      </w:r>
      <w:r w:rsidRPr="00773352">
        <w:rPr>
          <w:rStyle w:val="Strong"/>
          <w:b w:val="0"/>
        </w:rPr>
        <w:t>ash content</w:t>
      </w:r>
      <w:r w:rsidRPr="00773352">
        <w:t xml:space="preserve"> further supports efficient mineral recycling, as biofloc bacteria solubilize trace elements and phosphorus into bioava</w:t>
      </w:r>
      <w:r w:rsidR="000176B7" w:rsidRPr="00773352">
        <w:t xml:space="preserve">ilable forms (Li </w:t>
      </w:r>
      <w:r w:rsidR="000176B7" w:rsidRPr="00773352">
        <w:rPr>
          <w:i/>
        </w:rPr>
        <w:t>et al</w:t>
      </w:r>
      <w:r w:rsidR="000176B7" w:rsidRPr="00773352">
        <w:t xml:space="preserve">., 2025). </w:t>
      </w:r>
      <w:r w:rsidRPr="00773352">
        <w:t xml:space="preserve">The </w:t>
      </w:r>
      <w:r w:rsidRPr="00773352">
        <w:rPr>
          <w:rStyle w:val="Strong"/>
          <w:b w:val="0"/>
        </w:rPr>
        <w:t>nitrogen-free extract (NFE)</w:t>
      </w:r>
      <w:r w:rsidRPr="00773352">
        <w:t xml:space="preserve"> rose modestly with higher C:N ratios, indicating more efficient carbohydrate utilization and metabolic conversion into structural and storage macromolecules. Yadav </w:t>
      </w:r>
      <w:r w:rsidRPr="00773352">
        <w:rPr>
          <w:i/>
        </w:rPr>
        <w:t>et al</w:t>
      </w:r>
      <w:r w:rsidRPr="00773352">
        <w:t>. (2025) similarly reported improved carbohydrate turnover under optimal biofloc conditions, consistent with elevated glycogen and lipid reserves.</w:t>
      </w:r>
    </w:p>
    <w:p w14:paraId="6DC6C07F" w14:textId="77777777" w:rsidR="000176B7" w:rsidRPr="00773352" w:rsidRDefault="000176B7" w:rsidP="00FC07C5">
      <w:pPr>
        <w:pStyle w:val="NormalWeb"/>
        <w:jc w:val="both"/>
      </w:pPr>
      <w:commentRangeStart w:id="19"/>
      <w:r w:rsidRPr="00773352">
        <w:rPr>
          <w:rStyle w:val="Strong"/>
          <w:b w:val="0"/>
        </w:rPr>
        <w:t>Total cholesterol (T-Chol)</w:t>
      </w:r>
      <w:r w:rsidRPr="00773352">
        <w:rPr>
          <w:b/>
        </w:rPr>
        <w:t xml:space="preserve"> </w:t>
      </w:r>
      <w:r w:rsidRPr="00773352">
        <w:t>and</w:t>
      </w:r>
      <w:r w:rsidRPr="00773352">
        <w:rPr>
          <w:b/>
        </w:rPr>
        <w:t xml:space="preserve"> </w:t>
      </w:r>
      <w:r w:rsidRPr="00773352">
        <w:rPr>
          <w:rStyle w:val="Strong"/>
          <w:b w:val="0"/>
        </w:rPr>
        <w:t>triglyceride</w:t>
      </w:r>
      <w:r w:rsidRPr="00773352">
        <w:t xml:space="preserve"> concentrations increased progressively, reaching their highest levels at </w:t>
      </w:r>
      <w:proofErr w:type="gramStart"/>
      <w:r w:rsidRPr="00773352">
        <w:t>C:N</w:t>
      </w:r>
      <w:proofErr w:type="gramEnd"/>
      <w:r w:rsidRPr="00773352">
        <w:t xml:space="preserve"> 20. </w:t>
      </w:r>
      <w:commentRangeEnd w:id="19"/>
      <w:r w:rsidR="0044351B">
        <w:rPr>
          <w:rStyle w:val="CommentReference"/>
          <w:rFonts w:asciiTheme="minorHAnsi" w:eastAsiaTheme="minorHAnsi" w:hAnsiTheme="minorHAnsi" w:cstheme="minorBidi"/>
        </w:rPr>
        <w:commentReference w:id="19"/>
      </w:r>
      <w:r w:rsidRPr="00773352">
        <w:t xml:space="preserve">These elevations suggest intensified lipid biosynthesis and metabolic energy storage associated with microbial nutrient recycling (Yu </w:t>
      </w:r>
      <w:r w:rsidRPr="00773352">
        <w:rPr>
          <w:i/>
        </w:rPr>
        <w:t>et al</w:t>
      </w:r>
      <w:r w:rsidRPr="00773352">
        <w:t xml:space="preserve">., 2023; Rai </w:t>
      </w:r>
      <w:r w:rsidRPr="00773352">
        <w:rPr>
          <w:i/>
        </w:rPr>
        <w:t>et al</w:t>
      </w:r>
      <w:r w:rsidRPr="00773352">
        <w:t xml:space="preserve">., 2025). However, excessive cholesterol accumulation may also indicate mild metabolic stress or increased steroidogenesis under high organic load (Zhang </w:t>
      </w:r>
      <w:r w:rsidRPr="00773352">
        <w:rPr>
          <w:i/>
        </w:rPr>
        <w:t>et al</w:t>
      </w:r>
      <w:r w:rsidRPr="00773352">
        <w:t xml:space="preserve">., 2023). </w:t>
      </w:r>
      <w:commentRangeStart w:id="20"/>
      <w:r w:rsidRPr="00773352">
        <w:rPr>
          <w:rStyle w:val="Strong"/>
          <w:b w:val="0"/>
        </w:rPr>
        <w:t>Malondialdehyde (MDA)</w:t>
      </w:r>
      <w:r w:rsidRPr="00773352">
        <w:t xml:space="preserve">, an indicator of lipid peroxidation, was highest at </w:t>
      </w:r>
      <w:proofErr w:type="gramStart"/>
      <w:r w:rsidRPr="00773352">
        <w:t>C:N</w:t>
      </w:r>
      <w:proofErr w:type="gramEnd"/>
      <w:r w:rsidRPr="00773352">
        <w:t xml:space="preserve"> 15,</w:t>
      </w:r>
      <w:commentRangeEnd w:id="20"/>
      <w:r w:rsidR="0044351B">
        <w:rPr>
          <w:rStyle w:val="CommentReference"/>
          <w:rFonts w:asciiTheme="minorHAnsi" w:eastAsiaTheme="minorHAnsi" w:hAnsiTheme="minorHAnsi" w:cstheme="minorBidi"/>
        </w:rPr>
        <w:commentReference w:id="20"/>
      </w:r>
      <w:r w:rsidRPr="00773352">
        <w:t xml:space="preserve"> suggesting that moderate </w:t>
      </w:r>
      <w:proofErr w:type="gramStart"/>
      <w:r w:rsidRPr="00773352">
        <w:t>C:N</w:t>
      </w:r>
      <w:proofErr w:type="gramEnd"/>
      <w:r w:rsidRPr="00773352">
        <w:t xml:space="preserve"> enrichment induced transient oxidative stress during peak microbial respiration. Interestingly, MDA declined sharply at </w:t>
      </w:r>
      <w:proofErr w:type="gramStart"/>
      <w:r w:rsidRPr="00773352">
        <w:t>C:N</w:t>
      </w:r>
      <w:proofErr w:type="gramEnd"/>
      <w:r w:rsidRPr="00773352">
        <w:t xml:space="preserve"> 20, implying that oxidative stress was mitigated once the microbial community stabilized (Li </w:t>
      </w:r>
      <w:r w:rsidRPr="00773352">
        <w:rPr>
          <w:i/>
        </w:rPr>
        <w:t>et al</w:t>
      </w:r>
      <w:r w:rsidRPr="00773352">
        <w:t xml:space="preserve">., 2025). Such adaptive antioxidant responses are common in well-aerated biofloc systems (Nwachi </w:t>
      </w:r>
      <w:r w:rsidRPr="00773352">
        <w:rPr>
          <w:i/>
        </w:rPr>
        <w:t>et al</w:t>
      </w:r>
      <w:r w:rsidRPr="00773352">
        <w:t xml:space="preserve">., 2024). </w:t>
      </w:r>
      <w:r w:rsidRPr="00773352">
        <w:rPr>
          <w:rStyle w:val="Strong"/>
          <w:b w:val="0"/>
        </w:rPr>
        <w:t>Catalase (CAT) activity</w:t>
      </w:r>
      <w:r w:rsidRPr="00773352">
        <w:t xml:space="preserve">, a key antioxidant enzyme, increased markedly up to </w:t>
      </w:r>
      <w:proofErr w:type="gramStart"/>
      <w:r w:rsidRPr="00773352">
        <w:t>C:N</w:t>
      </w:r>
      <w:proofErr w:type="gramEnd"/>
      <w:r w:rsidRPr="00773352">
        <w:t xml:space="preserve"> </w:t>
      </w:r>
      <w:proofErr w:type="gramStart"/>
      <w:r w:rsidRPr="00773352">
        <w:t>15  before</w:t>
      </w:r>
      <w:proofErr w:type="gramEnd"/>
      <w:r w:rsidRPr="00773352">
        <w:t xml:space="preserve"> decreasing at </w:t>
      </w:r>
      <w:proofErr w:type="gramStart"/>
      <w:r w:rsidRPr="00773352">
        <w:t>C:N</w:t>
      </w:r>
      <w:proofErr w:type="gramEnd"/>
      <w:r w:rsidRPr="00773352">
        <w:t xml:space="preserve"> 20. Elevated CAT activity demonstrates enzymatic protection against hydrogen peroxide accumulation during high microbial activity (Rai et al., 2025). The subsequent decline suggests reduced oxidative load or enzyme inactivation at prolonged exposure to higher organic concentrations (Yadav </w:t>
      </w:r>
      <w:r w:rsidRPr="00773352">
        <w:rPr>
          <w:i/>
        </w:rPr>
        <w:t>et al</w:t>
      </w:r>
      <w:r w:rsidRPr="00773352">
        <w:t xml:space="preserve">., 2025). The </w:t>
      </w:r>
      <w:r w:rsidRPr="00773352">
        <w:rPr>
          <w:rStyle w:val="Strong"/>
          <w:b w:val="0"/>
        </w:rPr>
        <w:t>hepatosomatic index (HIS)</w:t>
      </w:r>
      <w:r w:rsidRPr="00773352">
        <w:t xml:space="preserve"> and </w:t>
      </w:r>
      <w:r w:rsidRPr="00773352">
        <w:rPr>
          <w:rStyle w:val="Strong"/>
          <w:b w:val="0"/>
        </w:rPr>
        <w:t>viscerosomatic index (VSI)</w:t>
      </w:r>
      <w:r w:rsidRPr="00773352">
        <w:t xml:space="preserve"> both rose significantly at higher </w:t>
      </w:r>
      <w:proofErr w:type="gramStart"/>
      <w:r w:rsidRPr="00773352">
        <w:t>C:N</w:t>
      </w:r>
      <w:proofErr w:type="gramEnd"/>
      <w:r w:rsidRPr="00773352">
        <w:t xml:space="preserve"> levels, peaking at </w:t>
      </w:r>
      <w:proofErr w:type="gramStart"/>
      <w:r w:rsidRPr="00773352">
        <w:t>C:N</w:t>
      </w:r>
      <w:proofErr w:type="gramEnd"/>
      <w:r w:rsidRPr="00773352">
        <w:t xml:space="preserve"> 20.  </w:t>
      </w:r>
      <w:commentRangeStart w:id="21"/>
      <w:r w:rsidRPr="00773352">
        <w:t>This reflects increased energy storage and hepatic lipid deposition, a typical adaptive response in nutrient-rich system</w:t>
      </w:r>
      <w:commentRangeEnd w:id="21"/>
      <w:r w:rsidR="0044351B">
        <w:rPr>
          <w:rStyle w:val="CommentReference"/>
          <w:rFonts w:asciiTheme="minorHAnsi" w:eastAsiaTheme="minorHAnsi" w:hAnsiTheme="minorHAnsi" w:cstheme="minorBidi"/>
        </w:rPr>
        <w:commentReference w:id="21"/>
      </w:r>
      <w:r w:rsidRPr="00773352">
        <w:t xml:space="preserve">s (Iber </w:t>
      </w:r>
      <w:r w:rsidR="00D00272" w:rsidRPr="00773352">
        <w:t>s</w:t>
      </w:r>
      <w:r w:rsidRPr="00773352">
        <w:t xml:space="preserve">., 2025). However, excessive accumulation may compromise liver function if prolonged (Khanjani, 2024). Overall, the proximate and biochemical profiles reveal that moderate to high C:N ratios enhance nutrient deposition and metabolic efficiency in </w:t>
      </w:r>
      <w:r w:rsidRPr="00773352">
        <w:rPr>
          <w:rStyle w:val="Emphasis"/>
        </w:rPr>
        <w:t>C. gariepinus</w:t>
      </w:r>
      <w:r w:rsidRPr="00773352">
        <w:t xml:space="preserve">, but extremely high ratios may elevate oxidative or metabolic stress. Therefore, a </w:t>
      </w:r>
      <w:proofErr w:type="gramStart"/>
      <w:r w:rsidRPr="00773352">
        <w:t>C:N</w:t>
      </w:r>
      <w:proofErr w:type="gramEnd"/>
      <w:r w:rsidRPr="00773352">
        <w:t xml:space="preserve"> 15–20 range appears physiologically optimal for wheat-bran–based biofloc systems under tropical conditions.</w:t>
      </w:r>
    </w:p>
    <w:p w14:paraId="7CD3B11C" w14:textId="77777777" w:rsidR="00075897" w:rsidRPr="00773352" w:rsidRDefault="000176B7" w:rsidP="00FC07C5">
      <w:pPr>
        <w:pStyle w:val="NormalWeb"/>
        <w:rPr>
          <w:b/>
        </w:rPr>
      </w:pPr>
      <w:commentRangeStart w:id="22"/>
      <w:r w:rsidRPr="00773352">
        <w:rPr>
          <w:b/>
        </w:rPr>
        <w:t>Conclusion</w:t>
      </w:r>
      <w:commentRangeEnd w:id="22"/>
      <w:r w:rsidR="00755641">
        <w:rPr>
          <w:rStyle w:val="CommentReference"/>
          <w:rFonts w:asciiTheme="minorHAnsi" w:eastAsiaTheme="minorHAnsi" w:hAnsiTheme="minorHAnsi" w:cstheme="minorBidi"/>
        </w:rPr>
        <w:commentReference w:id="22"/>
      </w:r>
    </w:p>
    <w:p w14:paraId="603E6B71" w14:textId="77777777" w:rsidR="000176B7" w:rsidRPr="00773352" w:rsidRDefault="000176B7" w:rsidP="00FC07C5">
      <w:pPr>
        <w:pStyle w:val="NormalWeb"/>
        <w:jc w:val="both"/>
      </w:pPr>
      <w:r w:rsidRPr="00773352">
        <w:t>The ratio at which carbon sources is added for biofloc production significantly affects water quality dynamics. This equally determines</w:t>
      </w:r>
      <w:r w:rsidR="00AD1E97" w:rsidRPr="00773352">
        <w:t xml:space="preserve"> the amounts</w:t>
      </w:r>
      <w:r w:rsidRPr="00773352">
        <w:t xml:space="preserve"> of biofloc volume in the different treatment. The present findings establish that C:N ratio strongly influences growth performance, feed efficiency, and survival of </w:t>
      </w:r>
      <w:r w:rsidRPr="00773352">
        <w:rPr>
          <w:rStyle w:val="Emphasis"/>
        </w:rPr>
        <w:t>Clarias gariepinus</w:t>
      </w:r>
      <w:r w:rsidRPr="00773352">
        <w:t xml:space="preserve"> juveniles reared in wheat bran–based biofloc systems. Among the tested ratios, </w:t>
      </w:r>
      <w:proofErr w:type="gramStart"/>
      <w:r w:rsidRPr="00773352">
        <w:t>C:N</w:t>
      </w:r>
      <w:proofErr w:type="gramEnd"/>
      <w:r w:rsidRPr="00773352">
        <w:t xml:space="preserve"> 15 yielded the highest survival rate, growth rate, and protein efficiency, confirming it as the optimal condition for balanced microbial activity and nutrient utilization. At higher C:N ratios (≥ 20), performance declined due to potential oxygen depletion and excessive floc density.</w:t>
      </w:r>
      <w:r w:rsidR="008D168E">
        <w:t xml:space="preserve"> </w:t>
      </w:r>
      <w:r w:rsidRPr="00773352">
        <w:t xml:space="preserve">The proximate and biochemical analyses demonstrate that manipulating C:N ratio in wheat-bran–based biofloc systems significantly influences body composition and physiological metabolism of </w:t>
      </w:r>
      <w:r w:rsidRPr="00773352">
        <w:rPr>
          <w:rStyle w:val="Emphasis"/>
        </w:rPr>
        <w:t>Clarias gariepinus</w:t>
      </w:r>
      <w:r w:rsidRPr="00773352">
        <w:t xml:space="preserve">. Increasing the C:N ratio up to 15–20 enhanced crude protein, lipid, and mineral deposition while maintaining moderate oxidative balance. Elevated antioxidant enzyme activity and improved hepatosomatic indices indicate efficient metabolic adaptation and nutrient utilization. However, excessive carbon enrichment beyond the optimal range may heighten cholesterol accumulation and transient oxidative stress, underscoring the need for precise aeration and </w:t>
      </w:r>
      <w:proofErr w:type="gramStart"/>
      <w:r w:rsidRPr="00773352">
        <w:t>C:N</w:t>
      </w:r>
      <w:proofErr w:type="gramEnd"/>
      <w:r w:rsidRPr="00773352">
        <w:t xml:space="preserve"> management. The results affirm that maintaining a C:N ratio between 15 and 20 optimizes fish biochemical composition, </w:t>
      </w:r>
      <w:commentRangeStart w:id="23"/>
      <w:r w:rsidRPr="00773352">
        <w:t>supports sustainable nutrient recycling, and enhances overall system productivity.</w:t>
      </w:r>
    </w:p>
    <w:commentRangeEnd w:id="23"/>
    <w:p w14:paraId="55ACBA05" w14:textId="77777777" w:rsidR="000176B7" w:rsidRPr="00773352" w:rsidRDefault="00755641" w:rsidP="000176B7">
      <w:pPr>
        <w:pStyle w:val="NormalWeb"/>
        <w:spacing w:line="360" w:lineRule="auto"/>
        <w:jc w:val="both"/>
      </w:pPr>
      <w:r>
        <w:rPr>
          <w:rStyle w:val="CommentReference"/>
          <w:rFonts w:asciiTheme="minorHAnsi" w:eastAsiaTheme="minorHAnsi" w:hAnsiTheme="minorHAnsi" w:cstheme="minorBidi"/>
        </w:rPr>
        <w:commentReference w:id="23"/>
      </w:r>
    </w:p>
    <w:p w14:paraId="5E694834" w14:textId="77777777" w:rsidR="000176B7" w:rsidRPr="00773352" w:rsidRDefault="000176B7" w:rsidP="000176B7">
      <w:pPr>
        <w:pStyle w:val="NormalWeb"/>
        <w:spacing w:line="360" w:lineRule="auto"/>
        <w:jc w:val="both"/>
      </w:pPr>
    </w:p>
    <w:p w14:paraId="0803CC6F" w14:textId="77777777" w:rsidR="000176B7" w:rsidRPr="00773352" w:rsidRDefault="000176B7" w:rsidP="000176B7">
      <w:pPr>
        <w:pStyle w:val="NormalWeb"/>
        <w:spacing w:line="360" w:lineRule="auto"/>
        <w:jc w:val="both"/>
      </w:pPr>
    </w:p>
    <w:p w14:paraId="14C67420" w14:textId="77777777" w:rsidR="000176B7" w:rsidRPr="00773352" w:rsidRDefault="000176B7" w:rsidP="00610662">
      <w:pPr>
        <w:pStyle w:val="NormalWeb"/>
        <w:spacing w:before="0" w:beforeAutospacing="0" w:after="0" w:afterAutospacing="0"/>
        <w:jc w:val="both"/>
        <w:rPr>
          <w:b/>
        </w:rPr>
      </w:pPr>
      <w:r w:rsidRPr="00773352">
        <w:rPr>
          <w:b/>
        </w:rPr>
        <w:t>References</w:t>
      </w:r>
    </w:p>
    <w:p w14:paraId="1C61B323" w14:textId="77777777" w:rsidR="00BC6E14" w:rsidRPr="00773352" w:rsidRDefault="00BC6E14" w:rsidP="00610662">
      <w:pPr>
        <w:pStyle w:val="NormalWeb"/>
        <w:spacing w:before="0" w:beforeAutospacing="0" w:after="0" w:afterAutospacing="0"/>
        <w:ind w:left="720" w:hanging="720"/>
        <w:jc w:val="both"/>
      </w:pPr>
      <w:r w:rsidRPr="00773352">
        <w:t xml:space="preserve">Adeoye, A. O., Osho, E. F., &amp; Bello, M. M. (2022). Biofloc technology and its implications for sustainable aquaculture in Africa. </w:t>
      </w:r>
      <w:r w:rsidRPr="00773352">
        <w:rPr>
          <w:rStyle w:val="Emphasis"/>
        </w:rPr>
        <w:t>Aquaculture Research</w:t>
      </w:r>
      <w:r w:rsidRPr="00773352">
        <w:t>, 53(12), 4625–4638.</w:t>
      </w:r>
    </w:p>
    <w:p w14:paraId="6B221270"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Avnimelech, Y. (1999). Carbon/nitrogen ratio as a control element in aquaculture systems. Aquaculture, 176(3-4), 227-235.</w:t>
      </w:r>
    </w:p>
    <w:p w14:paraId="152A52E5"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Crab, R., Defoirdt, T., Bossier, P., &amp; Verstraete, W. (2012). Biofloc technology in aquaculture: beneficial effects and future challenges. Aquaculture, 356, 351-356. </w:t>
      </w:r>
      <w:hyperlink r:id="rId15" w:history="1">
        <w:r w:rsidRPr="00773352">
          <w:rPr>
            <w:rStyle w:val="Hyperlink"/>
            <w:rFonts w:ascii="Times New Roman" w:hAnsi="Times New Roman" w:cs="Times New Roman"/>
            <w:sz w:val="24"/>
            <w:szCs w:val="24"/>
          </w:rPr>
          <w:t>https://doi.org/10.1016/j.aquaculture.2012.04.046</w:t>
        </w:r>
      </w:hyperlink>
    </w:p>
    <w:p w14:paraId="13BAC694"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De Schryver, P., Crab, R., Defoirdt, T., Boon, N., &amp; Verstraete, W. (2008). The basics of bio-flocs technology: the added value for aquaculture. Aquaculture, 277, 125-137. </w:t>
      </w:r>
      <w:hyperlink r:id="rId16" w:history="1">
        <w:r w:rsidRPr="00773352">
          <w:rPr>
            <w:rStyle w:val="Hyperlink"/>
            <w:rFonts w:ascii="Times New Roman" w:hAnsi="Times New Roman" w:cs="Times New Roman"/>
            <w:sz w:val="24"/>
            <w:szCs w:val="24"/>
          </w:rPr>
          <w:t>https://doi.org/10.1016/j.aquaculture.2008.02.019</w:t>
        </w:r>
      </w:hyperlink>
    </w:p>
    <w:p w14:paraId="7F60D5C2" w14:textId="77777777" w:rsidR="00BC6E14" w:rsidRPr="00773352" w:rsidRDefault="00BC6E14" w:rsidP="00610662">
      <w:pPr>
        <w:pStyle w:val="NormalWeb"/>
        <w:spacing w:before="0" w:beforeAutospacing="0" w:after="0" w:afterAutospacing="0"/>
        <w:ind w:left="720" w:hanging="720"/>
        <w:jc w:val="both"/>
      </w:pPr>
      <w:r w:rsidRPr="00773352">
        <w:t>Ekasari, J., Rivandi, D.R., Firdausi, A.P., Surawidjaja, E.H., Zairin, M. and Bossier, P. (2015). Biofloc technology positively affects Nile tilapia (</w:t>
      </w:r>
      <w:r w:rsidRPr="00773352">
        <w:rPr>
          <w:i/>
          <w:iCs/>
        </w:rPr>
        <w:t>Oreochromis niloticus</w:t>
      </w:r>
      <w:r w:rsidRPr="00773352">
        <w:t xml:space="preserve">) larvae performance. </w:t>
      </w:r>
      <w:r w:rsidRPr="00773352">
        <w:rPr>
          <w:i/>
        </w:rPr>
        <w:t>Aquaculture</w:t>
      </w:r>
      <w:r w:rsidRPr="00773352">
        <w:t xml:space="preserve">. 441:72-77. </w:t>
      </w:r>
    </w:p>
    <w:p w14:paraId="40F563F2"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FAO (2016) Fisheries and Aquaculture Department. Cultured Aquatic Species Information</w:t>
      </w:r>
      <w:r w:rsidR="00610662">
        <w:rPr>
          <w:rFonts w:ascii="Times New Roman" w:hAnsi="Times New Roman" w:cs="Times New Roman"/>
          <w:sz w:val="24"/>
          <w:szCs w:val="24"/>
        </w:rPr>
        <w:t xml:space="preserve"> Programme: </w:t>
      </w:r>
      <w:r w:rsidR="00610662" w:rsidRPr="00610662">
        <w:rPr>
          <w:rFonts w:ascii="Times New Roman" w:hAnsi="Times New Roman" w:cs="Times New Roman"/>
          <w:i/>
          <w:sz w:val="24"/>
          <w:szCs w:val="24"/>
        </w:rPr>
        <w:t>Clarias gariepinus.</w:t>
      </w:r>
      <w:r w:rsidR="00610662">
        <w:rPr>
          <w:rFonts w:ascii="Times New Roman" w:hAnsi="Times New Roman" w:cs="Times New Roman"/>
          <w:sz w:val="24"/>
          <w:szCs w:val="24"/>
        </w:rPr>
        <w:t xml:space="preserve"> </w:t>
      </w:r>
      <w:r w:rsidRPr="00773352">
        <w:rPr>
          <w:rFonts w:ascii="Times New Roman" w:hAnsi="Times New Roman" w:cs="Times New Roman"/>
          <w:sz w:val="24"/>
          <w:szCs w:val="24"/>
        </w:rPr>
        <w:t>http://www.fao.org/fishery/culturedspecies/Claria_gariepinus/en. Accessed May 2019.</w:t>
      </w:r>
    </w:p>
    <w:p w14:paraId="2108071E"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Godfray H. C., Beddington J. R., Crute I. R., Haddad L., Lawrence D., Muir J. F., Pretty J., Robinson S., Thomas S. M., Toulmin C., 2010 Food security: the challenge of feeding 9 billion people. Science 327(5967):812-818</w:t>
      </w:r>
    </w:p>
    <w:p w14:paraId="4C05D952"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Iber, B. T. (2025). Exploring carbon sources in biofloc technology: Performance, microbial structure, and nutrient recycling. </w:t>
      </w:r>
      <w:r w:rsidRPr="00773352">
        <w:rPr>
          <w:rStyle w:val="Emphasis"/>
          <w:rFonts w:ascii="Times New Roman" w:hAnsi="Times New Roman" w:cs="Times New Roman"/>
          <w:sz w:val="24"/>
          <w:szCs w:val="24"/>
        </w:rPr>
        <w:t>Environmental Biotechnology</w:t>
      </w:r>
      <w:r w:rsidRPr="00773352">
        <w:rPr>
          <w:rFonts w:ascii="Times New Roman" w:hAnsi="Times New Roman" w:cs="Times New Roman"/>
          <w:sz w:val="24"/>
          <w:szCs w:val="24"/>
        </w:rPr>
        <w:t>, Springer.</w:t>
      </w:r>
    </w:p>
    <w:p w14:paraId="176F0D50" w14:textId="77777777" w:rsidR="00BC6E14" w:rsidRPr="00773352" w:rsidRDefault="00BC6E14" w:rsidP="00610662">
      <w:pPr>
        <w:pStyle w:val="NormalWeb"/>
        <w:spacing w:before="0" w:beforeAutospacing="0" w:after="0" w:afterAutospacing="0"/>
        <w:ind w:left="720" w:hanging="720"/>
        <w:jc w:val="both"/>
      </w:pPr>
      <w:r w:rsidRPr="00773352">
        <w:t xml:space="preserve">Khanjani, M. H. (2024). </w:t>
      </w:r>
      <w:r w:rsidRPr="00773352">
        <w:rPr>
          <w:rStyle w:val="Emphasis"/>
        </w:rPr>
        <w:t>Biofloc Technology (BFT) in Aquaculture: What Goes Right (and Wrong).</w:t>
      </w:r>
      <w:r w:rsidRPr="00773352">
        <w:t xml:space="preserve"> Wiley.</w:t>
      </w:r>
    </w:p>
    <w:p w14:paraId="1A5E6678"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Li, C., Zhang, Y., &amp; Chen, S. (2025). Integrated application of biofloc technology in aquaculture systems. </w:t>
      </w:r>
      <w:r w:rsidRPr="00773352">
        <w:rPr>
          <w:rStyle w:val="Emphasis"/>
          <w:rFonts w:ascii="Times New Roman" w:hAnsi="Times New Roman" w:cs="Times New Roman"/>
          <w:sz w:val="24"/>
          <w:szCs w:val="24"/>
        </w:rPr>
        <w:t>Water</w:t>
      </w:r>
      <w:r w:rsidRPr="00773352">
        <w:rPr>
          <w:rFonts w:ascii="Times New Roman" w:hAnsi="Times New Roman" w:cs="Times New Roman"/>
          <w:sz w:val="24"/>
          <w:szCs w:val="24"/>
        </w:rPr>
        <w:t>, 17(14), 2107.</w:t>
      </w:r>
    </w:p>
    <w:p w14:paraId="328DCA1C"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Mohammadi, G., Rafiee, G., Tavabe, K.R., Abdel-Latif, H.M., &amp; Dawood, M.A. (2021). The enrichment of diet with beneficial bacteria (single-or multi-strain) in biofloc system enhanced the water quality, growth performance, immune responses, and disease resistance of Nile tilapia (Oreochromis niloticus). Aquaculture, 539, 1-16.</w:t>
      </w:r>
    </w:p>
    <w:p w14:paraId="048F56B6" w14:textId="77777777" w:rsidR="00BC6E14" w:rsidRPr="00773352" w:rsidRDefault="00BC6E14" w:rsidP="00610662">
      <w:pPr>
        <w:pStyle w:val="NormalWeb"/>
        <w:spacing w:before="0" w:beforeAutospacing="0" w:after="0" w:afterAutospacing="0"/>
        <w:ind w:left="720" w:hanging="720"/>
        <w:jc w:val="both"/>
      </w:pPr>
      <w:r w:rsidRPr="00773352">
        <w:t xml:space="preserve">Rai, P., Singh, R., &amp; Kumar, D. (2025). Synergistic carbon source optimization in biofloc aquaculture. </w:t>
      </w:r>
      <w:r w:rsidRPr="00773352">
        <w:rPr>
          <w:rStyle w:val="Emphasis"/>
        </w:rPr>
        <w:t>Frontiers in Marine Science</w:t>
      </w:r>
      <w:r w:rsidRPr="00773352">
        <w:t>, 12(8), 1576079.</w:t>
      </w:r>
    </w:p>
    <w:p w14:paraId="09FE42FC"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Rind, K.H., Habib, S.S., Ujan, J.A., Fazio, F., Naz, S., Batool, A.I., &amp; Khan, K. (2023). The effects of different carbon sources on water quality, growth performance, hematology, immune, and antioxidant status in cultured Nile Tilapia with biofloc technology. Fishes, 8(10), 1-12. </w:t>
      </w:r>
      <w:hyperlink r:id="rId17" w:history="1">
        <w:r w:rsidRPr="00773352">
          <w:rPr>
            <w:rStyle w:val="Hyperlink"/>
            <w:rFonts w:ascii="Times New Roman" w:hAnsi="Times New Roman" w:cs="Times New Roman"/>
            <w:sz w:val="24"/>
            <w:szCs w:val="24"/>
          </w:rPr>
          <w:t>https://doi.org/10.3390/fishes8100512</w:t>
        </w:r>
      </w:hyperlink>
    </w:p>
    <w:p w14:paraId="7A5C803B"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Saha, J., Hossain, M.A., Mamun, M.A., Islam, M.R., &amp; Alam, M.S. (2022). Effects of carbon-nitrogen ratio manipulation on the growth performance, body composition and immunity of stinging catfish Heteropneustes fossilis in a biofloc-based culture system. Aquaculture Reports, 25, 101274. </w:t>
      </w:r>
      <w:hyperlink r:id="rId18" w:history="1">
        <w:r w:rsidRPr="00773352">
          <w:rPr>
            <w:rStyle w:val="Hyperlink"/>
            <w:rFonts w:ascii="Times New Roman" w:hAnsi="Times New Roman" w:cs="Times New Roman"/>
            <w:sz w:val="24"/>
            <w:szCs w:val="24"/>
          </w:rPr>
          <w:t>https://doi.org/10.1016/j.aqrep.2022.101274</w:t>
        </w:r>
      </w:hyperlink>
    </w:p>
    <w:p w14:paraId="49B04A99"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Shourbela, R.M., Khatab, S.A., Hassan, M.M., Van Doan, H., &amp; Dawood, M.A. (2021). The effect of stocking density and carbon sources on the oxidative status, and nonspecific immunity of Nile tilapia (Oreochromis niloticus) reared under biofloc conditions. Animals, 11(1), 1-13. </w:t>
      </w:r>
      <w:hyperlink r:id="rId19" w:history="1">
        <w:r w:rsidRPr="00773352">
          <w:rPr>
            <w:rStyle w:val="Hyperlink"/>
            <w:rFonts w:ascii="Times New Roman" w:hAnsi="Times New Roman" w:cs="Times New Roman"/>
            <w:sz w:val="24"/>
            <w:szCs w:val="24"/>
          </w:rPr>
          <w:t>https://doi.org/10.3390/ani11010184</w:t>
        </w:r>
      </w:hyperlink>
    </w:p>
    <w:p w14:paraId="0B2AB078"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Silva, U.L., Falcon, D.R., Pessoa, M.N.D.C., &amp; Correia, E.D.S. (2017). Carbon sources and C: N ratios on water quality for Nile tilapia farming in biofloc system. Revista Caatinga, 30(4), 1017-1027. </w:t>
      </w:r>
      <w:hyperlink r:id="rId20" w:history="1">
        <w:r w:rsidRPr="00773352">
          <w:rPr>
            <w:rStyle w:val="Hyperlink"/>
            <w:rFonts w:ascii="Times New Roman" w:hAnsi="Times New Roman" w:cs="Times New Roman"/>
            <w:sz w:val="24"/>
            <w:szCs w:val="24"/>
          </w:rPr>
          <w:t>https://doi.org/10.1590/1983-21252017v30n423rc</w:t>
        </w:r>
      </w:hyperlink>
    </w:p>
    <w:p w14:paraId="7FC099BF"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Ulloa Walker, D.A., Morales Suazo, M.C., &amp; Emerenciano, M.G.C. (2020). Biofloc technology: principles focused on potential species and the case study of Chilean river shrimp Cryphiops caementarius. Reviews in Aquaculture, 12(3), 1759-1782. </w:t>
      </w:r>
      <w:hyperlink r:id="rId21" w:history="1">
        <w:r w:rsidRPr="00773352">
          <w:rPr>
            <w:rStyle w:val="Hyperlink"/>
            <w:rFonts w:ascii="Times New Roman" w:hAnsi="Times New Roman" w:cs="Times New Roman"/>
            <w:sz w:val="24"/>
            <w:szCs w:val="24"/>
          </w:rPr>
          <w:t>https://doi.org/10.1111/raq.12408</w:t>
        </w:r>
      </w:hyperlink>
    </w:p>
    <w:p w14:paraId="1AD73065"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Yadav, R. K., Thomas, A., &amp; Prasad, S. (2025). Biofloc-based aquaculture: Nutrient cycling and immune modulation in tropical species. </w:t>
      </w:r>
      <w:r w:rsidRPr="00773352">
        <w:rPr>
          <w:rStyle w:val="Emphasis"/>
          <w:rFonts w:ascii="Times New Roman" w:hAnsi="Times New Roman" w:cs="Times New Roman"/>
          <w:sz w:val="24"/>
          <w:szCs w:val="24"/>
        </w:rPr>
        <w:t>Blue Biotechnology</w:t>
      </w:r>
      <w:r w:rsidRPr="00773352">
        <w:rPr>
          <w:rFonts w:ascii="Times New Roman" w:hAnsi="Times New Roman" w:cs="Times New Roman"/>
          <w:sz w:val="24"/>
          <w:szCs w:val="24"/>
        </w:rPr>
        <w:t>, 4(1), 25–38.</w:t>
      </w:r>
    </w:p>
    <w:p w14:paraId="4C685DD8" w14:textId="77777777" w:rsidR="00BC6E14" w:rsidRPr="00773352" w:rsidRDefault="00BC6E14" w:rsidP="00610662">
      <w:pPr>
        <w:spacing w:after="0" w:line="240" w:lineRule="auto"/>
        <w:ind w:left="720" w:hanging="720"/>
        <w:jc w:val="both"/>
        <w:rPr>
          <w:rFonts w:ascii="Times New Roman" w:hAnsi="Times New Roman" w:cs="Times New Roman"/>
          <w:sz w:val="24"/>
          <w:szCs w:val="24"/>
        </w:rPr>
      </w:pPr>
      <w:r w:rsidRPr="00773352">
        <w:rPr>
          <w:rFonts w:ascii="Times New Roman" w:hAnsi="Times New Roman" w:cs="Times New Roman"/>
          <w:sz w:val="24"/>
          <w:szCs w:val="24"/>
        </w:rPr>
        <w:t xml:space="preserve">Yu, Y.-B., Xu, H., &amp; Wang, Z. (2023). Biofloc technology in fish aquaculture: A review of physiological and ecological mechanisms. </w:t>
      </w:r>
      <w:r w:rsidRPr="00773352">
        <w:rPr>
          <w:rStyle w:val="Emphasis"/>
          <w:rFonts w:ascii="Times New Roman" w:hAnsi="Times New Roman" w:cs="Times New Roman"/>
          <w:sz w:val="24"/>
          <w:szCs w:val="24"/>
        </w:rPr>
        <w:t>Animals</w:t>
      </w:r>
      <w:r w:rsidRPr="00773352">
        <w:rPr>
          <w:rFonts w:ascii="Times New Roman" w:hAnsi="Times New Roman" w:cs="Times New Roman"/>
          <w:sz w:val="24"/>
          <w:szCs w:val="24"/>
        </w:rPr>
        <w:t>, 13(5), 1127.</w:t>
      </w:r>
    </w:p>
    <w:p w14:paraId="5AE5086D" w14:textId="77777777" w:rsidR="00BC6E14" w:rsidRPr="00773352" w:rsidRDefault="00BC6E14" w:rsidP="00610662">
      <w:pPr>
        <w:pStyle w:val="NormalWeb"/>
        <w:spacing w:before="0" w:beforeAutospacing="0" w:after="0" w:afterAutospacing="0"/>
        <w:ind w:left="720" w:hanging="720"/>
        <w:jc w:val="both"/>
      </w:pPr>
      <w:r w:rsidRPr="00773352">
        <w:t xml:space="preserve">Zhang, J., Li, X., &amp; Huang, L. (2023). Influence of carbon–nitrogen balance on microbial and fish physiological responses in biofloc systems. </w:t>
      </w:r>
      <w:r w:rsidRPr="00773352">
        <w:rPr>
          <w:rStyle w:val="Emphasis"/>
        </w:rPr>
        <w:t>Aquaculture Reports</w:t>
      </w:r>
      <w:r w:rsidRPr="00773352">
        <w:t>, 28, 101510.</w:t>
      </w:r>
    </w:p>
    <w:p w14:paraId="1F811916" w14:textId="77777777" w:rsidR="002C6A47" w:rsidRPr="00773352" w:rsidRDefault="002C6A47" w:rsidP="00364BF6">
      <w:pPr>
        <w:jc w:val="both"/>
        <w:rPr>
          <w:rFonts w:ascii="Times New Roman" w:hAnsi="Times New Roman" w:cs="Times New Roman"/>
          <w:b/>
          <w:sz w:val="24"/>
          <w:szCs w:val="24"/>
        </w:rPr>
      </w:pPr>
    </w:p>
    <w:sectPr w:rsidR="002C6A47" w:rsidRPr="0077335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6-02-14T21:51:00Z" w:initials="A">
    <w:p w14:paraId="3240C4B4" w14:textId="77777777" w:rsidR="00B01FE1" w:rsidRDefault="00B01FE1" w:rsidP="00B01FE1">
      <w:pPr>
        <w:pStyle w:val="NormalWeb"/>
      </w:pPr>
      <w:r>
        <w:rPr>
          <w:rStyle w:val="CommentReference"/>
        </w:rPr>
        <w:annotationRef/>
      </w:r>
      <w:r>
        <w:t>The abstract does not clearly state:</w:t>
      </w:r>
    </w:p>
    <w:p w14:paraId="79C709A0" w14:textId="77777777" w:rsidR="00B01FE1" w:rsidRDefault="00B01FE1" w:rsidP="00B01FE1">
      <w:pPr>
        <w:pStyle w:val="NormalWeb"/>
        <w:numPr>
          <w:ilvl w:val="0"/>
          <w:numId w:val="3"/>
        </w:numPr>
      </w:pPr>
      <w:r>
        <w:t>Stocking density (fish per tank in relation to volume),</w:t>
      </w:r>
    </w:p>
    <w:p w14:paraId="63C92FF7" w14:textId="77777777" w:rsidR="00B01FE1" w:rsidRDefault="00B01FE1" w:rsidP="00B01FE1">
      <w:pPr>
        <w:pStyle w:val="NormalWeb"/>
        <w:numPr>
          <w:ilvl w:val="0"/>
          <w:numId w:val="3"/>
        </w:numPr>
      </w:pPr>
      <w:r>
        <w:t>Replication design (triplicate per treatment),</w:t>
      </w:r>
    </w:p>
    <w:p w14:paraId="384205DA" w14:textId="77777777" w:rsidR="00B01FE1" w:rsidRDefault="00B01FE1" w:rsidP="00B01FE1">
      <w:pPr>
        <w:pStyle w:val="NormalWeb"/>
        <w:numPr>
          <w:ilvl w:val="0"/>
          <w:numId w:val="3"/>
        </w:numPr>
      </w:pPr>
      <w:r>
        <w:t>Whether the study was completely randomized.</w:t>
      </w:r>
    </w:p>
    <w:p w14:paraId="38C9DB3C" w14:textId="57E73DFB" w:rsidR="00B01FE1" w:rsidRDefault="00B01FE1">
      <w:pPr>
        <w:pStyle w:val="CommentText"/>
      </w:pPr>
    </w:p>
  </w:comment>
  <w:comment w:id="1" w:author="ASUS" w:date="2026-02-14T21:49:00Z" w:initials="A">
    <w:p w14:paraId="2C58E12B" w14:textId="00108AA1" w:rsidR="00B01FE1" w:rsidRDefault="00B01FE1">
      <w:pPr>
        <w:pStyle w:val="CommentText"/>
      </w:pPr>
      <w:r>
        <w:rPr>
          <w:rStyle w:val="CommentReference"/>
        </w:rPr>
        <w:annotationRef/>
      </w:r>
      <w:r>
        <w:rPr>
          <w:rStyle w:val="Strong"/>
        </w:rPr>
        <w:t>Inconsistency in Statistical Reporting</w:t>
      </w:r>
      <w:r>
        <w:br/>
        <w:t xml:space="preserve">In some cases, statistical notation is written as </w:t>
      </w:r>
      <w:r>
        <w:rPr>
          <w:rStyle w:val="Emphasis"/>
        </w:rPr>
        <w:t>(P &gt; 0.05)</w:t>
      </w:r>
      <w:r>
        <w:t xml:space="preserve"> and elsewhere </w:t>
      </w:r>
      <w:r>
        <w:rPr>
          <w:rStyle w:val="Emphasis"/>
        </w:rPr>
        <w:t>(p &lt; 0.05)</w:t>
      </w:r>
      <w:r>
        <w:t xml:space="preserve">. Standardize formatting (preferably lowercase </w:t>
      </w:r>
      <w:r>
        <w:rPr>
          <w:rStyle w:val="Emphasis"/>
        </w:rPr>
        <w:t>p</w:t>
      </w:r>
      <w:r>
        <w:t xml:space="preserve"> and italicized).</w:t>
      </w:r>
    </w:p>
  </w:comment>
  <w:comment w:id="2" w:author="ASUS" w:date="2026-02-14T21:47:00Z" w:initials="A">
    <w:p w14:paraId="5F33D2DD" w14:textId="321C0EB2" w:rsidR="00B01FE1" w:rsidRDefault="00B01FE1">
      <w:pPr>
        <w:pStyle w:val="CommentText"/>
      </w:pPr>
      <w:r>
        <w:rPr>
          <w:rStyle w:val="CommentReference"/>
        </w:rPr>
        <w:annotationRef/>
      </w:r>
      <w:r>
        <w:t>The sentence reporting PER and PPV values is duplicated.</w:t>
      </w:r>
    </w:p>
  </w:comment>
  <w:comment w:id="3" w:author="ASUS" w:date="2026-02-14T22:08:00Z" w:initials="A">
    <w:p w14:paraId="035632E2" w14:textId="77777777" w:rsidR="0027291E" w:rsidRDefault="0027291E" w:rsidP="0027291E">
      <w:pPr>
        <w:pStyle w:val="NormalWeb"/>
      </w:pPr>
      <w:r>
        <w:rPr>
          <w:rStyle w:val="CommentReference"/>
        </w:rPr>
        <w:annotationRef/>
      </w:r>
      <w:r>
        <w:rPr>
          <w:rStyle w:val="Strong"/>
        </w:rPr>
        <w:t>Major Concern: Missing Research Gap</w:t>
      </w:r>
    </w:p>
    <w:p w14:paraId="1CEAC9F7" w14:textId="77777777" w:rsidR="0027291E" w:rsidRDefault="0027291E" w:rsidP="0027291E">
      <w:pPr>
        <w:pStyle w:val="NormalWeb"/>
      </w:pPr>
      <w:r>
        <w:t>The introduction does not clearly state:</w:t>
      </w:r>
    </w:p>
    <w:p w14:paraId="7652D59B" w14:textId="77777777" w:rsidR="0027291E" w:rsidRDefault="0027291E" w:rsidP="0027291E">
      <w:pPr>
        <w:pStyle w:val="NormalWeb"/>
        <w:numPr>
          <w:ilvl w:val="0"/>
          <w:numId w:val="4"/>
        </w:numPr>
      </w:pPr>
      <w:r>
        <w:t>Why wheat bran was selected over molasses or glucose.</w:t>
      </w:r>
    </w:p>
    <w:p w14:paraId="62D98315" w14:textId="77777777" w:rsidR="0027291E" w:rsidRDefault="0027291E" w:rsidP="0027291E">
      <w:pPr>
        <w:pStyle w:val="NormalWeb"/>
        <w:numPr>
          <w:ilvl w:val="0"/>
          <w:numId w:val="4"/>
        </w:numPr>
      </w:pPr>
      <w:r>
        <w:t>Why C/N ratios 10, 15, 20 were specifically chosen.</w:t>
      </w:r>
    </w:p>
    <w:p w14:paraId="4D86AC7F" w14:textId="77777777" w:rsidR="0027291E" w:rsidRDefault="0027291E" w:rsidP="0027291E">
      <w:pPr>
        <w:pStyle w:val="NormalWeb"/>
        <w:numPr>
          <w:ilvl w:val="0"/>
          <w:numId w:val="4"/>
        </w:numPr>
      </w:pPr>
      <w:r>
        <w:t xml:space="preserve">What knowledge gap exists for </w:t>
      </w:r>
      <w:r>
        <w:rPr>
          <w:rStyle w:val="Emphasis"/>
        </w:rPr>
        <w:t>Clarias gariepinus</w:t>
      </w:r>
      <w:r>
        <w:t>.</w:t>
      </w:r>
    </w:p>
    <w:p w14:paraId="2969E3DB" w14:textId="4294653E" w:rsidR="0027291E" w:rsidRDefault="0027291E">
      <w:pPr>
        <w:pStyle w:val="CommentText"/>
      </w:pPr>
    </w:p>
  </w:comment>
  <w:comment w:id="4" w:author="ASUS" w:date="2026-02-14T22:05:00Z" w:initials="A">
    <w:p w14:paraId="01C5552C" w14:textId="428673EF" w:rsidR="009024EB" w:rsidRDefault="009024EB">
      <w:pPr>
        <w:pStyle w:val="CommentText"/>
      </w:pPr>
      <w:r>
        <w:rPr>
          <w:rStyle w:val="CommentReference"/>
        </w:rPr>
        <w:annotationRef/>
      </w:r>
      <w:r>
        <w:t>C/N ratio explanation lacks mechanistic depth (e.g., heterotrophic assimilation equation or nitrogen immobilization concept).</w:t>
      </w:r>
    </w:p>
  </w:comment>
  <w:comment w:id="5" w:author="ASUS" w:date="2026-02-14T22:06:00Z" w:initials="A">
    <w:p w14:paraId="41710DB5" w14:textId="3B670A4F" w:rsidR="009024EB" w:rsidRDefault="009024EB">
      <w:pPr>
        <w:pStyle w:val="CommentText"/>
      </w:pPr>
      <w:r>
        <w:rPr>
          <w:rStyle w:val="CommentReference"/>
        </w:rPr>
        <w:annotationRef/>
      </w:r>
      <w:r>
        <w:t>starting from 10:1” needs justification</w:t>
      </w:r>
    </w:p>
  </w:comment>
  <w:comment w:id="6" w:author="ASUS" w:date="2026-02-14T22:09:00Z" w:initials="A">
    <w:p w14:paraId="0C1C6624" w14:textId="77777777" w:rsidR="0027291E" w:rsidRDefault="0027291E" w:rsidP="0027291E">
      <w:pPr>
        <w:pStyle w:val="NormalWeb"/>
      </w:pPr>
      <w:r>
        <w:rPr>
          <w:rStyle w:val="CommentReference"/>
        </w:rPr>
        <w:annotationRef/>
      </w:r>
      <w:r>
        <w:rPr>
          <w:rStyle w:val="Strong"/>
        </w:rPr>
        <w:t>Major Issue:</w:t>
      </w:r>
      <w:r>
        <w:br/>
        <w:t>Geographical coordinates are inconsistent:</w:t>
      </w:r>
    </w:p>
    <w:p w14:paraId="38873D7C" w14:textId="77777777" w:rsidR="0027291E" w:rsidRDefault="0027291E" w:rsidP="0027291E">
      <w:pPr>
        <w:pStyle w:val="NormalWeb"/>
        <w:numPr>
          <w:ilvl w:val="0"/>
          <w:numId w:val="5"/>
        </w:numPr>
      </w:pPr>
      <w:r>
        <w:t>Latitude and longitude values appear reversed.</w:t>
      </w:r>
    </w:p>
    <w:p w14:paraId="374E7FAF" w14:textId="77777777" w:rsidR="0027291E" w:rsidRDefault="0027291E" w:rsidP="0027291E">
      <w:pPr>
        <w:pStyle w:val="NormalWeb"/>
        <w:numPr>
          <w:ilvl w:val="0"/>
          <w:numId w:val="5"/>
        </w:numPr>
      </w:pPr>
      <w:r>
        <w:t>Formatting is incorrect.</w:t>
      </w:r>
    </w:p>
    <w:p w14:paraId="3FCFBD2D" w14:textId="59853AE8" w:rsidR="0027291E" w:rsidRDefault="0027291E">
      <w:pPr>
        <w:pStyle w:val="CommentText"/>
      </w:pPr>
    </w:p>
  </w:comment>
  <w:comment w:id="7" w:author="ASUS" w:date="2026-02-14T22:14:00Z" w:initials="A">
    <w:p w14:paraId="1A69931A" w14:textId="77777777" w:rsidR="0027291E" w:rsidRDefault="0027291E" w:rsidP="0027291E">
      <w:pPr>
        <w:pStyle w:val="NormalWeb"/>
      </w:pPr>
      <w:r>
        <w:rPr>
          <w:rStyle w:val="CommentReference"/>
        </w:rPr>
        <w:annotationRef/>
      </w:r>
      <w:r>
        <w:rPr>
          <w:rStyle w:val="Strong"/>
        </w:rPr>
        <w:t>Critical Methodological Concern:</w:t>
      </w:r>
    </w:p>
    <w:p w14:paraId="5F3D0D42" w14:textId="77777777" w:rsidR="0027291E" w:rsidRDefault="0027291E" w:rsidP="0027291E">
      <w:pPr>
        <w:pStyle w:val="NormalWeb"/>
        <w:numPr>
          <w:ilvl w:val="0"/>
          <w:numId w:val="7"/>
        </w:numPr>
      </w:pPr>
      <w:r>
        <w:t>Biofloc inoculum derived from tilapia tanks introduces uncontrolled microbial variation.</w:t>
      </w:r>
    </w:p>
    <w:p w14:paraId="44327B63" w14:textId="77777777" w:rsidR="0027291E" w:rsidRDefault="0027291E" w:rsidP="0027291E">
      <w:pPr>
        <w:pStyle w:val="NormalWeb"/>
        <w:numPr>
          <w:ilvl w:val="0"/>
          <w:numId w:val="7"/>
        </w:numPr>
      </w:pPr>
      <w:r>
        <w:t>This is not standardized nor justified.</w:t>
      </w:r>
    </w:p>
    <w:p w14:paraId="5FB459B5" w14:textId="77777777" w:rsidR="0027291E" w:rsidRDefault="0027291E" w:rsidP="0027291E">
      <w:pPr>
        <w:pStyle w:val="NormalWeb"/>
        <w:numPr>
          <w:ilvl w:val="0"/>
          <w:numId w:val="7"/>
        </w:numPr>
      </w:pPr>
      <w:r>
        <w:t>Potential cross-species microbial bias not discussed.</w:t>
      </w:r>
    </w:p>
    <w:p w14:paraId="53AB8501" w14:textId="24E25F4E" w:rsidR="0027291E" w:rsidRDefault="0027291E">
      <w:pPr>
        <w:pStyle w:val="CommentText"/>
      </w:pPr>
    </w:p>
  </w:comment>
  <w:comment w:id="8" w:author="ASUS" w:date="2026-02-14T22:12:00Z" w:initials="A">
    <w:p w14:paraId="3992DC88" w14:textId="77777777" w:rsidR="0027291E" w:rsidRPr="0027291E" w:rsidRDefault="0027291E" w:rsidP="0027291E">
      <w:pPr>
        <w:pStyle w:val="Heading3"/>
        <w:rPr>
          <w:rFonts w:ascii="Times New Roman" w:eastAsia="Times New Roman" w:hAnsi="Times New Roman" w:cs="Times New Roman"/>
          <w:b/>
          <w:bCs/>
          <w:color w:val="auto"/>
          <w:sz w:val="27"/>
          <w:szCs w:val="27"/>
        </w:rPr>
      </w:pPr>
      <w:r>
        <w:rPr>
          <w:rStyle w:val="CommentReference"/>
        </w:rPr>
        <w:annotationRef/>
      </w:r>
      <w:r w:rsidRPr="0027291E">
        <w:rPr>
          <w:rFonts w:ascii="Times New Roman" w:eastAsia="Times New Roman" w:hAnsi="Times New Roman" w:cs="Times New Roman"/>
          <w:b/>
          <w:bCs/>
          <w:color w:val="auto"/>
          <w:sz w:val="27"/>
          <w:szCs w:val="27"/>
        </w:rPr>
        <w:t>Experimental Setup</w:t>
      </w:r>
    </w:p>
    <w:p w14:paraId="52231051" w14:textId="0BAF004F" w:rsidR="0027291E" w:rsidRPr="0027291E" w:rsidRDefault="0027291E" w:rsidP="002729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91E">
        <w:rPr>
          <w:rFonts w:ascii="Times New Roman" w:eastAsia="Times New Roman" w:hAnsi="Times New Roman" w:cs="Times New Roman"/>
          <w:sz w:val="24"/>
          <w:szCs w:val="24"/>
        </w:rPr>
        <w:t>Stocking density (</w:t>
      </w:r>
      <w:r>
        <w:rPr>
          <w:rFonts w:ascii="Times New Roman" w:eastAsia="Times New Roman" w:hAnsi="Times New Roman" w:cs="Times New Roman"/>
          <w:sz w:val="24"/>
          <w:szCs w:val="24"/>
        </w:rPr>
        <w:t>6</w:t>
      </w:r>
      <w:r w:rsidRPr="0027291E">
        <w:rPr>
          <w:rFonts w:ascii="Times New Roman" w:eastAsia="Times New Roman" w:hAnsi="Times New Roman" w:cs="Times New Roman"/>
          <w:sz w:val="24"/>
          <w:szCs w:val="24"/>
        </w:rPr>
        <w:t>0 fish per 80 L) should be expressed as biomass per m³.</w:t>
      </w:r>
    </w:p>
    <w:p w14:paraId="2635D522" w14:textId="77777777" w:rsidR="0027291E" w:rsidRPr="0027291E" w:rsidRDefault="0027291E" w:rsidP="002729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91E">
        <w:rPr>
          <w:rFonts w:ascii="Times New Roman" w:eastAsia="Times New Roman" w:hAnsi="Times New Roman" w:cs="Times New Roman"/>
          <w:sz w:val="24"/>
          <w:szCs w:val="24"/>
        </w:rPr>
        <w:t>No explanation of how C/N ratio was calculated (carbon content basis? feed nitrogen?).</w:t>
      </w:r>
    </w:p>
    <w:p w14:paraId="7A3E4DCB" w14:textId="77777777" w:rsidR="0027291E" w:rsidRPr="0027291E" w:rsidRDefault="0027291E" w:rsidP="002729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91E">
        <w:rPr>
          <w:rFonts w:ascii="Times New Roman" w:eastAsia="Times New Roman" w:hAnsi="Times New Roman" w:cs="Times New Roman"/>
          <w:sz w:val="24"/>
          <w:szCs w:val="24"/>
        </w:rPr>
        <w:t>No proximate composition of wheat bran provided.</w:t>
      </w:r>
    </w:p>
    <w:p w14:paraId="433B59C9" w14:textId="77777777" w:rsidR="0027291E" w:rsidRPr="0027291E" w:rsidRDefault="0027291E" w:rsidP="0027291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291E">
        <w:rPr>
          <w:rFonts w:ascii="Times New Roman" w:eastAsia="Times New Roman" w:hAnsi="Times New Roman" w:cs="Times New Roman"/>
          <w:sz w:val="24"/>
          <w:szCs w:val="24"/>
        </w:rPr>
        <w:t>No clarification whether nitrogen input considered feed protein %.</w:t>
      </w:r>
    </w:p>
    <w:p w14:paraId="4E2B19A9" w14:textId="56F0435E" w:rsidR="0027291E" w:rsidRDefault="0027291E">
      <w:pPr>
        <w:pStyle w:val="CommentText"/>
      </w:pPr>
    </w:p>
  </w:comment>
  <w:comment w:id="9" w:author="ASUS" w:date="2026-02-14T22:17:00Z" w:initials="A">
    <w:p w14:paraId="6C10749A" w14:textId="77777777" w:rsidR="00E845B0" w:rsidRPr="00E845B0" w:rsidRDefault="00E845B0" w:rsidP="00E845B0">
      <w:pPr>
        <w:pStyle w:val="Heading3"/>
        <w:rPr>
          <w:rFonts w:ascii="Times New Roman" w:eastAsia="Times New Roman" w:hAnsi="Times New Roman" w:cs="Times New Roman"/>
          <w:b/>
          <w:bCs/>
          <w:color w:val="auto"/>
          <w:sz w:val="27"/>
          <w:szCs w:val="27"/>
        </w:rPr>
      </w:pPr>
      <w:r>
        <w:rPr>
          <w:rStyle w:val="CommentReference"/>
        </w:rPr>
        <w:annotationRef/>
      </w:r>
      <w:r w:rsidRPr="00E845B0">
        <w:rPr>
          <w:rFonts w:ascii="Times New Roman" w:eastAsia="Times New Roman" w:hAnsi="Times New Roman" w:cs="Times New Roman"/>
          <w:b/>
          <w:bCs/>
          <w:color w:val="auto"/>
          <w:sz w:val="27"/>
          <w:szCs w:val="27"/>
        </w:rPr>
        <w:t>Feeding of Fish</w:t>
      </w:r>
    </w:p>
    <w:p w14:paraId="4E56341A" w14:textId="77777777" w:rsidR="00E845B0" w:rsidRPr="00E845B0" w:rsidRDefault="00E845B0" w:rsidP="00E845B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45B0">
        <w:rPr>
          <w:rFonts w:ascii="Times New Roman" w:eastAsia="Times New Roman" w:hAnsi="Times New Roman" w:cs="Times New Roman"/>
          <w:sz w:val="24"/>
          <w:szCs w:val="24"/>
        </w:rPr>
        <w:t>“broadcasting” method may cause feed loss — not discussed.</w:t>
      </w:r>
    </w:p>
    <w:p w14:paraId="5C19A289" w14:textId="77777777" w:rsidR="00E845B0" w:rsidRPr="00E845B0" w:rsidRDefault="00E845B0" w:rsidP="00E845B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45B0">
        <w:rPr>
          <w:rFonts w:ascii="Times New Roman" w:eastAsia="Times New Roman" w:hAnsi="Times New Roman" w:cs="Times New Roman"/>
          <w:sz w:val="24"/>
          <w:szCs w:val="24"/>
        </w:rPr>
        <w:t>Feeding at 5% BW for 10 weeks — was this adjusted as fish grew?</w:t>
      </w:r>
    </w:p>
    <w:p w14:paraId="5E7D3A7C" w14:textId="77777777" w:rsidR="00E845B0" w:rsidRPr="00E845B0" w:rsidRDefault="00E845B0" w:rsidP="00E845B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845B0">
        <w:rPr>
          <w:rFonts w:ascii="Times New Roman" w:eastAsia="Times New Roman" w:hAnsi="Times New Roman" w:cs="Times New Roman"/>
          <w:sz w:val="24"/>
          <w:szCs w:val="24"/>
        </w:rPr>
        <w:t>Was uneaten feed collected?</w:t>
      </w:r>
    </w:p>
    <w:p w14:paraId="3C9E0086" w14:textId="0539834A" w:rsidR="00E845B0" w:rsidRDefault="00E845B0">
      <w:pPr>
        <w:pStyle w:val="CommentText"/>
      </w:pPr>
    </w:p>
  </w:comment>
  <w:comment w:id="10" w:author="ASUS" w:date="2026-02-14T22:23:00Z" w:initials="A">
    <w:p w14:paraId="4D7B7A35" w14:textId="77777777" w:rsidR="00E845B0" w:rsidRPr="00E845B0" w:rsidRDefault="00E845B0" w:rsidP="00E845B0">
      <w:pPr>
        <w:pStyle w:val="Heading3"/>
        <w:rPr>
          <w:rFonts w:ascii="Times New Roman" w:eastAsia="Times New Roman" w:hAnsi="Times New Roman" w:cs="Times New Roman"/>
          <w:b/>
          <w:bCs/>
          <w:color w:val="auto"/>
          <w:sz w:val="27"/>
          <w:szCs w:val="27"/>
        </w:rPr>
      </w:pPr>
      <w:r>
        <w:rPr>
          <w:rStyle w:val="CommentReference"/>
        </w:rPr>
        <w:annotationRef/>
      </w:r>
      <w:r w:rsidRPr="00E845B0">
        <w:rPr>
          <w:rFonts w:ascii="Times New Roman" w:eastAsia="Times New Roman" w:hAnsi="Times New Roman" w:cs="Times New Roman"/>
          <w:b/>
          <w:bCs/>
          <w:color w:val="auto"/>
          <w:sz w:val="27"/>
          <w:szCs w:val="27"/>
        </w:rPr>
        <w:t>Statistical Analysis</w:t>
      </w:r>
    </w:p>
    <w:p w14:paraId="0E855F38" w14:textId="77777777" w:rsidR="00E845B0" w:rsidRPr="00E845B0" w:rsidRDefault="00E845B0" w:rsidP="00E845B0">
      <w:pPr>
        <w:spacing w:before="100" w:beforeAutospacing="1" w:after="100" w:afterAutospacing="1" w:line="240" w:lineRule="auto"/>
        <w:rPr>
          <w:rFonts w:ascii="Times New Roman" w:eastAsia="Times New Roman" w:hAnsi="Times New Roman" w:cs="Times New Roman"/>
          <w:sz w:val="24"/>
          <w:szCs w:val="24"/>
        </w:rPr>
      </w:pPr>
      <w:r w:rsidRPr="00E845B0">
        <w:rPr>
          <w:rFonts w:ascii="Times New Roman" w:eastAsia="Times New Roman" w:hAnsi="Times New Roman" w:cs="Times New Roman"/>
          <w:sz w:val="24"/>
          <w:szCs w:val="24"/>
        </w:rPr>
        <w:t>No mention of experimental unit (tank vs fish).</w:t>
      </w:r>
    </w:p>
    <w:p w14:paraId="25CFBA2E" w14:textId="536D6CB3" w:rsidR="00E845B0" w:rsidRDefault="00E845B0" w:rsidP="00E845B0">
      <w:pPr>
        <w:spacing w:before="100" w:beforeAutospacing="1" w:after="100" w:afterAutospacing="1" w:line="240" w:lineRule="auto"/>
      </w:pPr>
    </w:p>
  </w:comment>
  <w:comment w:id="11" w:author="ASUS" w:date="2026-02-14T22:26:00Z" w:initials="A">
    <w:p w14:paraId="27B9989C" w14:textId="37A244EC" w:rsidR="00E845B0" w:rsidRDefault="00E845B0">
      <w:pPr>
        <w:pStyle w:val="CommentText"/>
      </w:pPr>
      <w:r>
        <w:rPr>
          <w:rStyle w:val="CommentReference"/>
        </w:rPr>
        <w:annotationRef/>
      </w:r>
      <w:r w:rsidR="00493130">
        <w:t>Units missing</w:t>
      </w:r>
    </w:p>
  </w:comment>
  <w:comment w:id="12" w:author="ASUS" w:date="2026-02-14T22:29:00Z" w:initials="A">
    <w:p w14:paraId="410BC490" w14:textId="77777777" w:rsidR="00493130" w:rsidRDefault="00493130" w:rsidP="00493130">
      <w:pPr>
        <w:pStyle w:val="CommentText"/>
      </w:pPr>
      <w:r>
        <w:rPr>
          <w:rStyle w:val="CommentReference"/>
        </w:rPr>
        <w:annotationRef/>
      </w:r>
      <w:r>
        <w:rPr>
          <w:rStyle w:val="CommentReference"/>
        </w:rPr>
        <w:annotationRef/>
      </w:r>
      <w:r>
        <w:t>Units missing</w:t>
      </w:r>
    </w:p>
    <w:p w14:paraId="2C6B6755" w14:textId="7B80A5F8" w:rsidR="00493130" w:rsidRDefault="00493130">
      <w:pPr>
        <w:pStyle w:val="CommentText"/>
      </w:pPr>
    </w:p>
  </w:comment>
  <w:comment w:id="13" w:author="ASUS" w:date="2026-02-14T22:29:00Z" w:initials="A">
    <w:p w14:paraId="60BAB892" w14:textId="77777777" w:rsidR="00493130" w:rsidRDefault="00493130" w:rsidP="00493130">
      <w:pPr>
        <w:pStyle w:val="CommentText"/>
      </w:pPr>
      <w:r>
        <w:rPr>
          <w:rStyle w:val="CommentReference"/>
        </w:rPr>
        <w:annotationRef/>
      </w:r>
      <w:r>
        <w:rPr>
          <w:rStyle w:val="CommentReference"/>
        </w:rPr>
        <w:annotationRef/>
      </w:r>
      <w:r>
        <w:t>Units missing</w:t>
      </w:r>
    </w:p>
    <w:p w14:paraId="116C1D3F" w14:textId="7647B33E" w:rsidR="00493130" w:rsidRDefault="00493130">
      <w:pPr>
        <w:pStyle w:val="CommentText"/>
      </w:pPr>
    </w:p>
  </w:comment>
  <w:comment w:id="14" w:author="ASUS" w:date="2026-02-14T22:28:00Z" w:initials="A">
    <w:p w14:paraId="7F51A1EF" w14:textId="59C02399" w:rsidR="00493130" w:rsidRDefault="00493130">
      <w:pPr>
        <w:pStyle w:val="CommentText"/>
      </w:pPr>
      <w:r>
        <w:rPr>
          <w:rStyle w:val="CommentReference"/>
        </w:rPr>
        <w:annotationRef/>
      </w:r>
      <w:r>
        <w:t>Ammonia values (7–9 mg/L) extremely high for catfish survival — needs clarification</w:t>
      </w:r>
    </w:p>
  </w:comment>
  <w:comment w:id="15" w:author="ASUS" w:date="2026-02-14T23:13:00Z" w:initials="A">
    <w:p w14:paraId="768455AE" w14:textId="572A3C0F" w:rsidR="00955A9E" w:rsidRDefault="00955A9E">
      <w:pPr>
        <w:pStyle w:val="CommentText"/>
      </w:pPr>
      <w:r>
        <w:rPr>
          <w:rStyle w:val="CommentReference"/>
        </w:rPr>
        <w:annotationRef/>
      </w:r>
      <w:r w:rsidR="00F405B3">
        <w:t>SGR statistically not different (all “a”), yet text says significant difference.</w:t>
      </w:r>
    </w:p>
  </w:comment>
  <w:comment w:id="16" w:author="ASUS" w:date="2026-02-14T23:11:00Z" w:initials="A">
    <w:p w14:paraId="5BD86D87" w14:textId="5EFC0033" w:rsidR="00955A9E" w:rsidRDefault="00955A9E">
      <w:pPr>
        <w:pStyle w:val="CommentText"/>
      </w:pPr>
      <w:r>
        <w:rPr>
          <w:rStyle w:val="CommentReference"/>
        </w:rPr>
        <w:annotationRef/>
      </w:r>
      <w:r>
        <w:t>C/N 20 survival miswritten (8.00% instead of 80.00%).</w:t>
      </w:r>
    </w:p>
  </w:comment>
  <w:comment w:id="17" w:author="ASUS" w:date="2026-02-15T09:23:00Z" w:initials="A">
    <w:p w14:paraId="640CD1C3" w14:textId="3CA57C3A" w:rsidR="00187FC7" w:rsidRDefault="00187FC7">
      <w:pPr>
        <w:pStyle w:val="CommentText"/>
      </w:pPr>
      <w:r>
        <w:rPr>
          <w:rStyle w:val="CommentReference"/>
        </w:rPr>
        <w:annotationRef/>
      </w:r>
      <w:r>
        <w:t>Some SE values unrealistically low (e.g., 0.01).</w:t>
      </w:r>
    </w:p>
  </w:comment>
  <w:comment w:id="18" w:author="ASUS" w:date="2026-02-14T23:26:00Z" w:initials="A">
    <w:p w14:paraId="685CF06B" w14:textId="543E271E" w:rsidR="0044351B" w:rsidRDefault="0044351B">
      <w:pPr>
        <w:pStyle w:val="CommentText"/>
      </w:pPr>
      <w:r>
        <w:rPr>
          <w:rStyle w:val="CommentReference"/>
        </w:rPr>
        <w:annotationRef/>
      </w:r>
      <w:r>
        <w:t>You claim C/N 20 exhibited superior balance — contradicts growth data.</w:t>
      </w:r>
    </w:p>
  </w:comment>
  <w:comment w:id="19" w:author="ASUS" w:date="2026-02-14T23:31:00Z" w:initials="A">
    <w:p w14:paraId="196B9AD1" w14:textId="67C646C7" w:rsidR="0044351B" w:rsidRDefault="0044351B">
      <w:pPr>
        <w:pStyle w:val="CommentText"/>
      </w:pPr>
      <w:r>
        <w:rPr>
          <w:rStyle w:val="CommentReference"/>
        </w:rPr>
        <w:annotationRef/>
      </w:r>
      <w:r>
        <w:t>Cholesterol increase interpreted as metabolic adaptation — speculative.</w:t>
      </w:r>
    </w:p>
  </w:comment>
  <w:comment w:id="20" w:author="ASUS" w:date="2026-02-14T23:33:00Z" w:initials="A">
    <w:p w14:paraId="2519AD6E" w14:textId="5959CFD1" w:rsidR="0044351B" w:rsidRDefault="0044351B">
      <w:pPr>
        <w:pStyle w:val="CommentText"/>
      </w:pPr>
      <w:r>
        <w:rPr>
          <w:rStyle w:val="CommentReference"/>
        </w:rPr>
        <w:annotationRef/>
      </w:r>
      <w:r>
        <w:t>MDA peak at C/N 15 not deeply analyzed.</w:t>
      </w:r>
    </w:p>
  </w:comment>
  <w:comment w:id="21" w:author="ASUS" w:date="2026-02-14T23:34:00Z" w:initials="A">
    <w:p w14:paraId="2A73B29E" w14:textId="3E3A724C" w:rsidR="0044351B" w:rsidRDefault="0044351B">
      <w:pPr>
        <w:pStyle w:val="CommentText"/>
      </w:pPr>
      <w:r>
        <w:rPr>
          <w:rStyle w:val="CommentReference"/>
        </w:rPr>
        <w:annotationRef/>
      </w:r>
      <w:r w:rsidR="00755641">
        <w:t>HSI/VSI increase may indicate fatty liver — not discussed critically.</w:t>
      </w:r>
    </w:p>
  </w:comment>
  <w:comment w:id="22" w:author="ASUS" w:date="2026-02-14T23:35:00Z" w:initials="A">
    <w:p w14:paraId="58CD29EA" w14:textId="77777777" w:rsidR="00755641" w:rsidRDefault="00755641" w:rsidP="00755641">
      <w:pPr>
        <w:pStyle w:val="NormalWeb"/>
      </w:pPr>
      <w:r>
        <w:rPr>
          <w:rStyle w:val="CommentReference"/>
        </w:rPr>
        <w:annotationRef/>
      </w:r>
      <w:r>
        <w:t>Contradictory recommendation:</w:t>
      </w:r>
    </w:p>
    <w:p w14:paraId="51CDE041" w14:textId="77777777" w:rsidR="00755641" w:rsidRDefault="00755641" w:rsidP="00755641">
      <w:pPr>
        <w:pStyle w:val="NormalWeb"/>
        <w:numPr>
          <w:ilvl w:val="0"/>
          <w:numId w:val="12"/>
        </w:numPr>
      </w:pPr>
      <w:r>
        <w:t>Earlier: C/N 15 optimal.</w:t>
      </w:r>
    </w:p>
    <w:p w14:paraId="62210D2E" w14:textId="77777777" w:rsidR="00755641" w:rsidRDefault="00755641" w:rsidP="00755641">
      <w:pPr>
        <w:pStyle w:val="NormalWeb"/>
        <w:numPr>
          <w:ilvl w:val="0"/>
          <w:numId w:val="12"/>
        </w:numPr>
      </w:pPr>
      <w:r>
        <w:t>Final sentence: 15–20 optimal.</w:t>
      </w:r>
    </w:p>
    <w:p w14:paraId="5EFF55CE" w14:textId="2903894F" w:rsidR="00755641" w:rsidRDefault="00755641">
      <w:pPr>
        <w:pStyle w:val="CommentText"/>
      </w:pPr>
    </w:p>
  </w:comment>
  <w:comment w:id="23" w:author="ASUS" w:date="2026-02-14T23:37:00Z" w:initials="A">
    <w:p w14:paraId="5ABA29BB" w14:textId="77777777" w:rsidR="00755641" w:rsidRDefault="00755641" w:rsidP="00755641">
      <w:pPr>
        <w:pStyle w:val="NormalWeb"/>
      </w:pPr>
      <w:r>
        <w:rPr>
          <w:rStyle w:val="CommentReference"/>
        </w:rPr>
        <w:annotationRef/>
      </w:r>
      <w:r>
        <w:t>Overgeneralization to “sustainable productivity” without economic data.</w:t>
      </w:r>
      <w:r w:rsidRPr="00755641">
        <w:t xml:space="preserve"> </w:t>
      </w:r>
    </w:p>
    <w:p w14:paraId="5040A6DD" w14:textId="0E9A9105" w:rsidR="00755641" w:rsidRDefault="00755641" w:rsidP="00755641">
      <w:pPr>
        <w:pStyle w:val="NormalWeb"/>
      </w:pPr>
      <w:r>
        <w:rPr>
          <w:rStyle w:val="Strong"/>
        </w:rPr>
        <w:t>Recommendation:</w:t>
      </w:r>
      <w:r>
        <w:br/>
        <w:t>State clearly:</w:t>
      </w:r>
    </w:p>
    <w:p w14:paraId="5B4E47D9" w14:textId="77777777" w:rsidR="00755641" w:rsidRDefault="00755641" w:rsidP="00755641">
      <w:pPr>
        <w:pStyle w:val="NormalWeb"/>
      </w:pPr>
      <w:r>
        <w:t>“Under the present experimental conditions, a C/N ratio of 15:1 is recommended.”</w:t>
      </w:r>
    </w:p>
    <w:p w14:paraId="5F3A8D0C" w14:textId="65272852" w:rsidR="00755641" w:rsidRDefault="007556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C9DB3C" w15:done="0"/>
  <w15:commentEx w15:paraId="2C58E12B" w15:done="0"/>
  <w15:commentEx w15:paraId="5F33D2DD" w15:done="0"/>
  <w15:commentEx w15:paraId="2969E3DB" w15:done="0"/>
  <w15:commentEx w15:paraId="01C5552C" w15:done="0"/>
  <w15:commentEx w15:paraId="41710DB5" w15:done="0"/>
  <w15:commentEx w15:paraId="3FCFBD2D" w15:done="0"/>
  <w15:commentEx w15:paraId="53AB8501" w15:done="0"/>
  <w15:commentEx w15:paraId="4E2B19A9" w15:done="0"/>
  <w15:commentEx w15:paraId="3C9E0086" w15:done="0"/>
  <w15:commentEx w15:paraId="25CFBA2E" w15:done="0"/>
  <w15:commentEx w15:paraId="27B9989C" w15:done="0"/>
  <w15:commentEx w15:paraId="2C6B6755" w15:done="0"/>
  <w15:commentEx w15:paraId="116C1D3F" w15:done="0"/>
  <w15:commentEx w15:paraId="7F51A1EF" w15:done="0"/>
  <w15:commentEx w15:paraId="768455AE" w15:done="0"/>
  <w15:commentEx w15:paraId="5BD86D87" w15:done="0"/>
  <w15:commentEx w15:paraId="640CD1C3" w15:done="0"/>
  <w15:commentEx w15:paraId="685CF06B" w15:done="0"/>
  <w15:commentEx w15:paraId="196B9AD1" w15:done="0"/>
  <w15:commentEx w15:paraId="2519AD6E" w15:done="0"/>
  <w15:commentEx w15:paraId="2A73B29E" w15:done="0"/>
  <w15:commentEx w15:paraId="5EFF55CE" w15:done="0"/>
  <w15:commentEx w15:paraId="5F3A8D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3CB77" w16cex:dateUtc="2026-02-14T13:51:00Z"/>
  <w16cex:commentExtensible w16cex:durableId="2471E9C3" w16cex:dateUtc="2026-02-14T13:49:00Z"/>
  <w16cex:commentExtensible w16cex:durableId="39BAE040" w16cex:dateUtc="2026-02-14T13:47:00Z"/>
  <w16cex:commentExtensible w16cex:durableId="4649DF40" w16cex:dateUtc="2026-02-14T14:08:00Z"/>
  <w16cex:commentExtensible w16cex:durableId="1F5348C8" w16cex:dateUtc="2026-02-14T14:05:00Z"/>
  <w16cex:commentExtensible w16cex:durableId="0AA929A0" w16cex:dateUtc="2026-02-14T14:06:00Z"/>
  <w16cex:commentExtensible w16cex:durableId="73CE005B" w16cex:dateUtc="2026-02-14T14:09:00Z"/>
  <w16cex:commentExtensible w16cex:durableId="145BC6B9" w16cex:dateUtc="2026-02-14T14:14:00Z"/>
  <w16cex:commentExtensible w16cex:durableId="57CE0A91" w16cex:dateUtc="2026-02-14T14:12:00Z"/>
  <w16cex:commentExtensible w16cex:durableId="0CB7798C" w16cex:dateUtc="2026-02-14T14:17:00Z"/>
  <w16cex:commentExtensible w16cex:durableId="0725D4BE" w16cex:dateUtc="2026-02-14T14:23:00Z"/>
  <w16cex:commentExtensible w16cex:durableId="77AB3B6E" w16cex:dateUtc="2026-02-14T14:26:00Z"/>
  <w16cex:commentExtensible w16cex:durableId="0FFC8ABE" w16cex:dateUtc="2026-02-14T14:29:00Z"/>
  <w16cex:commentExtensible w16cex:durableId="7ACCF982" w16cex:dateUtc="2026-02-14T14:29:00Z"/>
  <w16cex:commentExtensible w16cex:durableId="0EF26AA5" w16cex:dateUtc="2026-02-14T14:28:00Z"/>
  <w16cex:commentExtensible w16cex:durableId="181D4F48" w16cex:dateUtc="2026-02-14T15:13:00Z"/>
  <w16cex:commentExtensible w16cex:durableId="1115E10B" w16cex:dateUtc="2026-02-14T15:11:00Z"/>
  <w16cex:commentExtensible w16cex:durableId="36C7C500" w16cex:dateUtc="2026-02-15T01:23:00Z"/>
  <w16cex:commentExtensible w16cex:durableId="3DA05E27" w16cex:dateUtc="2026-02-14T15:26:00Z"/>
  <w16cex:commentExtensible w16cex:durableId="664C09B8" w16cex:dateUtc="2026-02-14T15:31:00Z"/>
  <w16cex:commentExtensible w16cex:durableId="491B78C5" w16cex:dateUtc="2026-02-14T15:33:00Z"/>
  <w16cex:commentExtensible w16cex:durableId="549ED99E" w16cex:dateUtc="2026-02-14T15:34:00Z"/>
  <w16cex:commentExtensible w16cex:durableId="632F5F3F" w16cex:dateUtc="2026-02-14T15:35:00Z"/>
  <w16cex:commentExtensible w16cex:durableId="60C44CE6" w16cex:dateUtc="2026-02-14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C9DB3C" w16cid:durableId="1493CB77"/>
  <w16cid:commentId w16cid:paraId="2C58E12B" w16cid:durableId="2471E9C3"/>
  <w16cid:commentId w16cid:paraId="5F33D2DD" w16cid:durableId="39BAE040"/>
  <w16cid:commentId w16cid:paraId="2969E3DB" w16cid:durableId="4649DF40"/>
  <w16cid:commentId w16cid:paraId="01C5552C" w16cid:durableId="1F5348C8"/>
  <w16cid:commentId w16cid:paraId="41710DB5" w16cid:durableId="0AA929A0"/>
  <w16cid:commentId w16cid:paraId="3FCFBD2D" w16cid:durableId="73CE005B"/>
  <w16cid:commentId w16cid:paraId="53AB8501" w16cid:durableId="145BC6B9"/>
  <w16cid:commentId w16cid:paraId="4E2B19A9" w16cid:durableId="57CE0A91"/>
  <w16cid:commentId w16cid:paraId="3C9E0086" w16cid:durableId="0CB7798C"/>
  <w16cid:commentId w16cid:paraId="25CFBA2E" w16cid:durableId="0725D4BE"/>
  <w16cid:commentId w16cid:paraId="27B9989C" w16cid:durableId="77AB3B6E"/>
  <w16cid:commentId w16cid:paraId="2C6B6755" w16cid:durableId="0FFC8ABE"/>
  <w16cid:commentId w16cid:paraId="116C1D3F" w16cid:durableId="7ACCF982"/>
  <w16cid:commentId w16cid:paraId="7F51A1EF" w16cid:durableId="0EF26AA5"/>
  <w16cid:commentId w16cid:paraId="768455AE" w16cid:durableId="181D4F48"/>
  <w16cid:commentId w16cid:paraId="5BD86D87" w16cid:durableId="1115E10B"/>
  <w16cid:commentId w16cid:paraId="640CD1C3" w16cid:durableId="36C7C500"/>
  <w16cid:commentId w16cid:paraId="685CF06B" w16cid:durableId="3DA05E27"/>
  <w16cid:commentId w16cid:paraId="196B9AD1" w16cid:durableId="664C09B8"/>
  <w16cid:commentId w16cid:paraId="2519AD6E" w16cid:durableId="491B78C5"/>
  <w16cid:commentId w16cid:paraId="2A73B29E" w16cid:durableId="549ED99E"/>
  <w16cid:commentId w16cid:paraId="5EFF55CE" w16cid:durableId="632F5F3F"/>
  <w16cid:commentId w16cid:paraId="5F3A8D0C" w16cid:durableId="60C44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DCA4" w14:textId="77777777" w:rsidR="00AF0798" w:rsidRDefault="00AF0798" w:rsidP="00EE2770">
      <w:pPr>
        <w:spacing w:after="0" w:line="240" w:lineRule="auto"/>
      </w:pPr>
      <w:r>
        <w:separator/>
      </w:r>
    </w:p>
  </w:endnote>
  <w:endnote w:type="continuationSeparator" w:id="0">
    <w:p w14:paraId="3A35C2A1" w14:textId="77777777" w:rsidR="00AF0798" w:rsidRDefault="00AF0798" w:rsidP="00EE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1E61" w14:textId="77777777" w:rsidR="00EE2770" w:rsidRDefault="00EE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9C4A" w14:textId="77777777" w:rsidR="00EE2770" w:rsidRDefault="00EE2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FD2" w14:textId="77777777" w:rsidR="00EE2770" w:rsidRDefault="00EE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1EE4" w14:textId="77777777" w:rsidR="00AF0798" w:rsidRDefault="00AF0798" w:rsidP="00EE2770">
      <w:pPr>
        <w:spacing w:after="0" w:line="240" w:lineRule="auto"/>
      </w:pPr>
      <w:r>
        <w:separator/>
      </w:r>
    </w:p>
  </w:footnote>
  <w:footnote w:type="continuationSeparator" w:id="0">
    <w:p w14:paraId="1B66C4CC" w14:textId="77777777" w:rsidR="00AF0798" w:rsidRDefault="00AF0798" w:rsidP="00EE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6D6A" w14:textId="77777777" w:rsidR="00EE2770" w:rsidRDefault="00000000">
    <w:pPr>
      <w:pStyle w:val="Header"/>
    </w:pPr>
    <w:r>
      <w:rPr>
        <w:noProof/>
      </w:rPr>
      <w:pict w14:anchorId="6655A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BD4F" w14:textId="77777777" w:rsidR="00EE2770" w:rsidRDefault="00000000">
    <w:pPr>
      <w:pStyle w:val="Header"/>
    </w:pPr>
    <w:r>
      <w:rPr>
        <w:noProof/>
      </w:rPr>
      <w:pict w14:anchorId="7F212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9A6D" w14:textId="77777777" w:rsidR="00EE2770" w:rsidRDefault="00000000">
    <w:pPr>
      <w:pStyle w:val="Header"/>
    </w:pPr>
    <w:r>
      <w:rPr>
        <w:noProof/>
      </w:rPr>
      <w:pict w14:anchorId="3589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72C"/>
    <w:multiLevelType w:val="multilevel"/>
    <w:tmpl w:val="1C5E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D14"/>
    <w:multiLevelType w:val="multilevel"/>
    <w:tmpl w:val="23E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68C5"/>
    <w:multiLevelType w:val="multilevel"/>
    <w:tmpl w:val="32C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302AE"/>
    <w:multiLevelType w:val="multilevel"/>
    <w:tmpl w:val="D340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D0609"/>
    <w:multiLevelType w:val="multilevel"/>
    <w:tmpl w:val="735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0179"/>
    <w:multiLevelType w:val="hybridMultilevel"/>
    <w:tmpl w:val="55588332"/>
    <w:lvl w:ilvl="0" w:tplc="7E38CA0C">
      <w:start w:val="1"/>
      <w:numFmt w:val="upperRoman"/>
      <w:lvlText w:val="%1."/>
      <w:lvlJc w:val="right"/>
      <w:pPr>
        <w:tabs>
          <w:tab w:val="num" w:pos="720"/>
        </w:tabs>
        <w:ind w:left="720" w:hanging="360"/>
      </w:pPr>
    </w:lvl>
    <w:lvl w:ilvl="1" w:tplc="A650DF58" w:tentative="1">
      <w:start w:val="1"/>
      <w:numFmt w:val="upperRoman"/>
      <w:lvlText w:val="%2."/>
      <w:lvlJc w:val="right"/>
      <w:pPr>
        <w:tabs>
          <w:tab w:val="num" w:pos="1440"/>
        </w:tabs>
        <w:ind w:left="1440" w:hanging="360"/>
      </w:pPr>
    </w:lvl>
    <w:lvl w:ilvl="2" w:tplc="E2403EAC" w:tentative="1">
      <w:start w:val="1"/>
      <w:numFmt w:val="upperRoman"/>
      <w:lvlText w:val="%3."/>
      <w:lvlJc w:val="right"/>
      <w:pPr>
        <w:tabs>
          <w:tab w:val="num" w:pos="2160"/>
        </w:tabs>
        <w:ind w:left="2160" w:hanging="360"/>
      </w:pPr>
    </w:lvl>
    <w:lvl w:ilvl="3" w:tplc="CE2E4DDC" w:tentative="1">
      <w:start w:val="1"/>
      <w:numFmt w:val="upperRoman"/>
      <w:lvlText w:val="%4."/>
      <w:lvlJc w:val="right"/>
      <w:pPr>
        <w:tabs>
          <w:tab w:val="num" w:pos="2880"/>
        </w:tabs>
        <w:ind w:left="2880" w:hanging="360"/>
      </w:pPr>
    </w:lvl>
    <w:lvl w:ilvl="4" w:tplc="76BA4756" w:tentative="1">
      <w:start w:val="1"/>
      <w:numFmt w:val="upperRoman"/>
      <w:lvlText w:val="%5."/>
      <w:lvlJc w:val="right"/>
      <w:pPr>
        <w:tabs>
          <w:tab w:val="num" w:pos="3600"/>
        </w:tabs>
        <w:ind w:left="3600" w:hanging="360"/>
      </w:pPr>
    </w:lvl>
    <w:lvl w:ilvl="5" w:tplc="3AC4D616" w:tentative="1">
      <w:start w:val="1"/>
      <w:numFmt w:val="upperRoman"/>
      <w:lvlText w:val="%6."/>
      <w:lvlJc w:val="right"/>
      <w:pPr>
        <w:tabs>
          <w:tab w:val="num" w:pos="4320"/>
        </w:tabs>
        <w:ind w:left="4320" w:hanging="360"/>
      </w:pPr>
    </w:lvl>
    <w:lvl w:ilvl="6" w:tplc="A7AC12D2" w:tentative="1">
      <w:start w:val="1"/>
      <w:numFmt w:val="upperRoman"/>
      <w:lvlText w:val="%7."/>
      <w:lvlJc w:val="right"/>
      <w:pPr>
        <w:tabs>
          <w:tab w:val="num" w:pos="5040"/>
        </w:tabs>
        <w:ind w:left="5040" w:hanging="360"/>
      </w:pPr>
    </w:lvl>
    <w:lvl w:ilvl="7" w:tplc="5B4A9A96" w:tentative="1">
      <w:start w:val="1"/>
      <w:numFmt w:val="upperRoman"/>
      <w:lvlText w:val="%8."/>
      <w:lvlJc w:val="right"/>
      <w:pPr>
        <w:tabs>
          <w:tab w:val="num" w:pos="5760"/>
        </w:tabs>
        <w:ind w:left="5760" w:hanging="360"/>
      </w:pPr>
    </w:lvl>
    <w:lvl w:ilvl="8" w:tplc="E09C6F00" w:tentative="1">
      <w:start w:val="1"/>
      <w:numFmt w:val="upperRoman"/>
      <w:lvlText w:val="%9."/>
      <w:lvlJc w:val="right"/>
      <w:pPr>
        <w:tabs>
          <w:tab w:val="num" w:pos="6480"/>
        </w:tabs>
        <w:ind w:left="6480" w:hanging="360"/>
      </w:pPr>
    </w:lvl>
  </w:abstractNum>
  <w:abstractNum w:abstractNumId="6" w15:restartNumberingAfterBreak="0">
    <w:nsid w:val="28A91E5A"/>
    <w:multiLevelType w:val="hybridMultilevel"/>
    <w:tmpl w:val="8CFAE7A6"/>
    <w:lvl w:ilvl="0" w:tplc="9272C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90E38"/>
    <w:multiLevelType w:val="multilevel"/>
    <w:tmpl w:val="7C6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165F8"/>
    <w:multiLevelType w:val="multilevel"/>
    <w:tmpl w:val="39C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46798"/>
    <w:multiLevelType w:val="multilevel"/>
    <w:tmpl w:val="0C126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8F2642"/>
    <w:multiLevelType w:val="multilevel"/>
    <w:tmpl w:val="F35C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66C37"/>
    <w:multiLevelType w:val="multilevel"/>
    <w:tmpl w:val="8A22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622081">
    <w:abstractNumId w:val="5"/>
  </w:num>
  <w:num w:numId="2" w16cid:durableId="627400212">
    <w:abstractNumId w:val="6"/>
  </w:num>
  <w:num w:numId="3" w16cid:durableId="1245649634">
    <w:abstractNumId w:val="4"/>
  </w:num>
  <w:num w:numId="4" w16cid:durableId="1362316477">
    <w:abstractNumId w:val="0"/>
  </w:num>
  <w:num w:numId="5" w16cid:durableId="1116102591">
    <w:abstractNumId w:val="2"/>
  </w:num>
  <w:num w:numId="6" w16cid:durableId="1254050953">
    <w:abstractNumId w:val="9"/>
  </w:num>
  <w:num w:numId="7" w16cid:durableId="1817994972">
    <w:abstractNumId w:val="1"/>
  </w:num>
  <w:num w:numId="8" w16cid:durableId="170336743">
    <w:abstractNumId w:val="8"/>
  </w:num>
  <w:num w:numId="9" w16cid:durableId="857160201">
    <w:abstractNumId w:val="11"/>
  </w:num>
  <w:num w:numId="10" w16cid:durableId="1489906376">
    <w:abstractNumId w:val="10"/>
  </w:num>
  <w:num w:numId="11" w16cid:durableId="2129156412">
    <w:abstractNumId w:val="3"/>
  </w:num>
  <w:num w:numId="12" w16cid:durableId="16815458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C6"/>
    <w:rsid w:val="000176B7"/>
    <w:rsid w:val="00075897"/>
    <w:rsid w:val="000D445F"/>
    <w:rsid w:val="00184E49"/>
    <w:rsid w:val="0018573A"/>
    <w:rsid w:val="00187FC7"/>
    <w:rsid w:val="001F6E29"/>
    <w:rsid w:val="00240C53"/>
    <w:rsid w:val="0027291E"/>
    <w:rsid w:val="002C1857"/>
    <w:rsid w:val="002C6A47"/>
    <w:rsid w:val="00304529"/>
    <w:rsid w:val="0034770A"/>
    <w:rsid w:val="0035224A"/>
    <w:rsid w:val="00364BF6"/>
    <w:rsid w:val="003C404C"/>
    <w:rsid w:val="003E23D2"/>
    <w:rsid w:val="0044351B"/>
    <w:rsid w:val="00455387"/>
    <w:rsid w:val="00493130"/>
    <w:rsid w:val="004F43C0"/>
    <w:rsid w:val="00523C6E"/>
    <w:rsid w:val="00610662"/>
    <w:rsid w:val="006C4357"/>
    <w:rsid w:val="006C6247"/>
    <w:rsid w:val="00755641"/>
    <w:rsid w:val="00773352"/>
    <w:rsid w:val="00775AFD"/>
    <w:rsid w:val="00784F7C"/>
    <w:rsid w:val="007D79DE"/>
    <w:rsid w:val="007E4591"/>
    <w:rsid w:val="008243A0"/>
    <w:rsid w:val="008943FF"/>
    <w:rsid w:val="008D168E"/>
    <w:rsid w:val="009024EB"/>
    <w:rsid w:val="00955A9E"/>
    <w:rsid w:val="0095650B"/>
    <w:rsid w:val="00A52EA0"/>
    <w:rsid w:val="00AD1E97"/>
    <w:rsid w:val="00AF0798"/>
    <w:rsid w:val="00B01FE1"/>
    <w:rsid w:val="00B429C6"/>
    <w:rsid w:val="00B80574"/>
    <w:rsid w:val="00BA0117"/>
    <w:rsid w:val="00BC6E14"/>
    <w:rsid w:val="00C243F3"/>
    <w:rsid w:val="00C244A2"/>
    <w:rsid w:val="00C4224A"/>
    <w:rsid w:val="00C66FA4"/>
    <w:rsid w:val="00C83D30"/>
    <w:rsid w:val="00D00272"/>
    <w:rsid w:val="00D63DEE"/>
    <w:rsid w:val="00DB18DC"/>
    <w:rsid w:val="00DD521A"/>
    <w:rsid w:val="00E24A90"/>
    <w:rsid w:val="00E84395"/>
    <w:rsid w:val="00E845B0"/>
    <w:rsid w:val="00EA79F0"/>
    <w:rsid w:val="00EE2770"/>
    <w:rsid w:val="00F405B3"/>
    <w:rsid w:val="00F55B17"/>
    <w:rsid w:val="00F631FF"/>
    <w:rsid w:val="00F959BF"/>
    <w:rsid w:val="00FC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4E1F"/>
  <w15:docId w15:val="{52654B63-1EF6-4EB1-9A39-618746D0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729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4F7C"/>
    <w:rPr>
      <w:color w:val="0000FF"/>
      <w:u w:val="single"/>
    </w:rPr>
  </w:style>
  <w:style w:type="paragraph" w:customStyle="1" w:styleId="Default">
    <w:name w:val="Default"/>
    <w:rsid w:val="00364B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0C53"/>
    <w:pPr>
      <w:ind w:left="720"/>
      <w:contextualSpacing/>
    </w:pPr>
  </w:style>
  <w:style w:type="paragraph" w:styleId="BalloonText">
    <w:name w:val="Balloon Text"/>
    <w:basedOn w:val="Normal"/>
    <w:link w:val="BalloonTextChar"/>
    <w:uiPriority w:val="99"/>
    <w:semiHidden/>
    <w:unhideWhenUsed/>
    <w:rsid w:val="0024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53"/>
    <w:rPr>
      <w:rFonts w:ascii="Tahoma" w:hAnsi="Tahoma" w:cs="Tahoma"/>
      <w:sz w:val="16"/>
      <w:szCs w:val="16"/>
    </w:rPr>
  </w:style>
  <w:style w:type="table" w:styleId="TableGrid">
    <w:name w:val="Table Grid"/>
    <w:basedOn w:val="TableNormal"/>
    <w:uiPriority w:val="59"/>
    <w:rsid w:val="0018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43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574"/>
    <w:rPr>
      <w:i/>
      <w:iCs/>
    </w:rPr>
  </w:style>
  <w:style w:type="character" w:styleId="Strong">
    <w:name w:val="Strong"/>
    <w:basedOn w:val="DefaultParagraphFont"/>
    <w:uiPriority w:val="22"/>
    <w:qFormat/>
    <w:rsid w:val="00B80574"/>
    <w:rPr>
      <w:b/>
      <w:bCs/>
    </w:rPr>
  </w:style>
  <w:style w:type="character" w:customStyle="1" w:styleId="Heading1Char">
    <w:name w:val="Heading 1 Char"/>
    <w:basedOn w:val="DefaultParagraphFont"/>
    <w:link w:val="Heading1"/>
    <w:uiPriority w:val="9"/>
    <w:rsid w:val="00017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70"/>
  </w:style>
  <w:style w:type="paragraph" w:styleId="Footer">
    <w:name w:val="footer"/>
    <w:basedOn w:val="Normal"/>
    <w:link w:val="FooterChar"/>
    <w:uiPriority w:val="99"/>
    <w:unhideWhenUsed/>
    <w:rsid w:val="00EE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70"/>
  </w:style>
  <w:style w:type="character" w:styleId="CommentReference">
    <w:name w:val="annotation reference"/>
    <w:basedOn w:val="DefaultParagraphFont"/>
    <w:uiPriority w:val="99"/>
    <w:semiHidden/>
    <w:unhideWhenUsed/>
    <w:rsid w:val="00B01FE1"/>
    <w:rPr>
      <w:sz w:val="16"/>
      <w:szCs w:val="16"/>
    </w:rPr>
  </w:style>
  <w:style w:type="paragraph" w:styleId="CommentText">
    <w:name w:val="annotation text"/>
    <w:basedOn w:val="Normal"/>
    <w:link w:val="CommentTextChar"/>
    <w:uiPriority w:val="99"/>
    <w:semiHidden/>
    <w:unhideWhenUsed/>
    <w:rsid w:val="00B01FE1"/>
    <w:pPr>
      <w:spacing w:line="240" w:lineRule="auto"/>
    </w:pPr>
    <w:rPr>
      <w:sz w:val="20"/>
      <w:szCs w:val="20"/>
    </w:rPr>
  </w:style>
  <w:style w:type="character" w:customStyle="1" w:styleId="CommentTextChar">
    <w:name w:val="Comment Text Char"/>
    <w:basedOn w:val="DefaultParagraphFont"/>
    <w:link w:val="CommentText"/>
    <w:uiPriority w:val="99"/>
    <w:semiHidden/>
    <w:rsid w:val="00B01FE1"/>
    <w:rPr>
      <w:sz w:val="20"/>
      <w:szCs w:val="20"/>
    </w:rPr>
  </w:style>
  <w:style w:type="paragraph" w:styleId="CommentSubject">
    <w:name w:val="annotation subject"/>
    <w:basedOn w:val="CommentText"/>
    <w:next w:val="CommentText"/>
    <w:link w:val="CommentSubjectChar"/>
    <w:uiPriority w:val="99"/>
    <w:semiHidden/>
    <w:unhideWhenUsed/>
    <w:rsid w:val="00B01FE1"/>
    <w:rPr>
      <w:b/>
      <w:bCs/>
    </w:rPr>
  </w:style>
  <w:style w:type="character" w:customStyle="1" w:styleId="CommentSubjectChar">
    <w:name w:val="Comment Subject Char"/>
    <w:basedOn w:val="CommentTextChar"/>
    <w:link w:val="CommentSubject"/>
    <w:uiPriority w:val="99"/>
    <w:semiHidden/>
    <w:rsid w:val="00B01FE1"/>
    <w:rPr>
      <w:b/>
      <w:bCs/>
      <w:sz w:val="20"/>
      <w:szCs w:val="20"/>
    </w:rPr>
  </w:style>
  <w:style w:type="character" w:customStyle="1" w:styleId="Heading3Char">
    <w:name w:val="Heading 3 Char"/>
    <w:basedOn w:val="DefaultParagraphFont"/>
    <w:link w:val="Heading3"/>
    <w:uiPriority w:val="9"/>
    <w:semiHidden/>
    <w:rsid w:val="0027291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5029">
      <w:bodyDiv w:val="1"/>
      <w:marLeft w:val="0"/>
      <w:marRight w:val="0"/>
      <w:marTop w:val="0"/>
      <w:marBottom w:val="0"/>
      <w:divBdr>
        <w:top w:val="none" w:sz="0" w:space="0" w:color="auto"/>
        <w:left w:val="none" w:sz="0" w:space="0" w:color="auto"/>
        <w:bottom w:val="none" w:sz="0" w:space="0" w:color="auto"/>
        <w:right w:val="none" w:sz="0" w:space="0" w:color="auto"/>
      </w:divBdr>
      <w:divsChild>
        <w:div w:id="842162376">
          <w:marLeft w:val="806"/>
          <w:marRight w:val="0"/>
          <w:marTop w:val="0"/>
          <w:marBottom w:val="0"/>
          <w:divBdr>
            <w:top w:val="none" w:sz="0" w:space="0" w:color="auto"/>
            <w:left w:val="none" w:sz="0" w:space="0" w:color="auto"/>
            <w:bottom w:val="none" w:sz="0" w:space="0" w:color="auto"/>
            <w:right w:val="none" w:sz="0" w:space="0" w:color="auto"/>
          </w:divBdr>
        </w:div>
      </w:divsChild>
    </w:div>
    <w:div w:id="5971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yperlink" Target="https://doi.org/10.1016/j.aqrep.2022.10127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raq.12408" TargetMode="Externa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yperlink" Target="https://doi.org/10.3390/fishes810051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aquaculture.2008.02.019" TargetMode="External"/><Relationship Id="rId20" Type="http://schemas.openxmlformats.org/officeDocument/2006/relationships/hyperlink" Target="https://doi.org/10.1590/1983-21252017v30n423rc"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heteropneustes-fossili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aquaculture.2012.04.046"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3390/ani1101018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Biofloc%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Wheat%20bra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Wheat%20b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0507436570426"/>
          <c:y val="5.1400554097404488E-2"/>
          <c:w val="0.59096937882764655"/>
          <c:h val="0.68447142023913676"/>
        </c:manualLayout>
      </c:layout>
      <c:lineChart>
        <c:grouping val="standard"/>
        <c:varyColors val="0"/>
        <c:ser>
          <c:idx val="0"/>
          <c:order val="0"/>
          <c:tx>
            <c:strRef>
              <c:f>Sheet2!$B$1</c:f>
              <c:strCache>
                <c:ptCount val="1"/>
                <c:pt idx="0">
                  <c:v>C/N 15</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Sheet2!$B$2:$B$9</c:f>
              <c:numCache>
                <c:formatCode>General</c:formatCode>
                <c:ptCount val="8"/>
                <c:pt idx="0">
                  <c:v>80</c:v>
                </c:pt>
                <c:pt idx="1">
                  <c:v>110</c:v>
                </c:pt>
                <c:pt idx="2">
                  <c:v>50</c:v>
                </c:pt>
                <c:pt idx="3">
                  <c:v>180</c:v>
                </c:pt>
                <c:pt idx="4">
                  <c:v>100</c:v>
                </c:pt>
                <c:pt idx="5">
                  <c:v>150</c:v>
                </c:pt>
                <c:pt idx="6">
                  <c:v>170</c:v>
                </c:pt>
                <c:pt idx="7">
                  <c:v>180</c:v>
                </c:pt>
              </c:numCache>
            </c:numRef>
          </c:val>
          <c:smooth val="0"/>
          <c:extLst>
            <c:ext xmlns:c16="http://schemas.microsoft.com/office/drawing/2014/chart" uri="{C3380CC4-5D6E-409C-BE32-E72D297353CC}">
              <c16:uniqueId val="{00000000-9964-4DA3-9181-CCE2D1D711D2}"/>
            </c:ext>
          </c:extLst>
        </c:ser>
        <c:ser>
          <c:idx val="1"/>
          <c:order val="1"/>
          <c:tx>
            <c:strRef>
              <c:f>Sheet2!$C$1</c:f>
              <c:strCache>
                <c:ptCount val="1"/>
                <c:pt idx="0">
                  <c:v>C/N 20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Sheet2!$C$2:$C$9</c:f>
              <c:numCache>
                <c:formatCode>General</c:formatCode>
                <c:ptCount val="8"/>
                <c:pt idx="0">
                  <c:v>80</c:v>
                </c:pt>
                <c:pt idx="1">
                  <c:v>70</c:v>
                </c:pt>
                <c:pt idx="2">
                  <c:v>40</c:v>
                </c:pt>
                <c:pt idx="3">
                  <c:v>160</c:v>
                </c:pt>
                <c:pt idx="4">
                  <c:v>40</c:v>
                </c:pt>
                <c:pt idx="5">
                  <c:v>90</c:v>
                </c:pt>
                <c:pt idx="6">
                  <c:v>95</c:v>
                </c:pt>
                <c:pt idx="7">
                  <c:v>100</c:v>
                </c:pt>
              </c:numCache>
            </c:numRef>
          </c:val>
          <c:smooth val="0"/>
          <c:extLst>
            <c:ext xmlns:c16="http://schemas.microsoft.com/office/drawing/2014/chart" uri="{C3380CC4-5D6E-409C-BE32-E72D297353CC}">
              <c16:uniqueId val="{00000001-9964-4DA3-9181-CCE2D1D711D2}"/>
            </c:ext>
          </c:extLst>
        </c:ser>
        <c:ser>
          <c:idx val="2"/>
          <c:order val="2"/>
          <c:tx>
            <c:strRef>
              <c:f>Sheet2!$D$1</c:f>
              <c:strCache>
                <c:ptCount val="1"/>
                <c:pt idx="0">
                  <c:v>C/N 10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Sheet2!$D$2:$D$9</c:f>
              <c:numCache>
                <c:formatCode>General</c:formatCode>
                <c:ptCount val="8"/>
                <c:pt idx="0">
                  <c:v>20</c:v>
                </c:pt>
                <c:pt idx="1">
                  <c:v>20</c:v>
                </c:pt>
                <c:pt idx="2">
                  <c:v>10</c:v>
                </c:pt>
                <c:pt idx="3">
                  <c:v>50</c:v>
                </c:pt>
                <c:pt idx="4">
                  <c:v>15</c:v>
                </c:pt>
                <c:pt idx="5">
                  <c:v>20</c:v>
                </c:pt>
                <c:pt idx="6">
                  <c:v>10</c:v>
                </c:pt>
                <c:pt idx="7">
                  <c:v>20</c:v>
                </c:pt>
              </c:numCache>
            </c:numRef>
          </c:val>
          <c:smooth val="0"/>
          <c:extLst>
            <c:ext xmlns:c16="http://schemas.microsoft.com/office/drawing/2014/chart" uri="{C3380CC4-5D6E-409C-BE32-E72D297353CC}">
              <c16:uniqueId val="{00000002-9964-4DA3-9181-CCE2D1D711D2}"/>
            </c:ext>
          </c:extLst>
        </c:ser>
        <c:ser>
          <c:idx val="3"/>
          <c:order val="3"/>
          <c:tx>
            <c:strRef>
              <c:f>Sheet2!$E$1</c:f>
              <c:strCache>
                <c:ptCount val="1"/>
                <c:pt idx="0">
                  <c:v>Control</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Sheet2!$E$2:$E$9</c:f>
              <c:numCache>
                <c:formatCode>General</c:formatCode>
                <c:ptCount val="8"/>
                <c:pt idx="0">
                  <c:v>5</c:v>
                </c:pt>
                <c:pt idx="1">
                  <c:v>2</c:v>
                </c:pt>
                <c:pt idx="2">
                  <c:v>3</c:v>
                </c:pt>
                <c:pt idx="3">
                  <c:v>3</c:v>
                </c:pt>
                <c:pt idx="4">
                  <c:v>5</c:v>
                </c:pt>
                <c:pt idx="5">
                  <c:v>4</c:v>
                </c:pt>
                <c:pt idx="6">
                  <c:v>3</c:v>
                </c:pt>
                <c:pt idx="7">
                  <c:v>2</c:v>
                </c:pt>
              </c:numCache>
            </c:numRef>
          </c:val>
          <c:smooth val="0"/>
          <c:extLst>
            <c:ext xmlns:c16="http://schemas.microsoft.com/office/drawing/2014/chart" uri="{C3380CC4-5D6E-409C-BE32-E72D297353CC}">
              <c16:uniqueId val="{00000003-9964-4DA3-9181-CCE2D1D711D2}"/>
            </c:ext>
          </c:extLst>
        </c:ser>
        <c:dLbls>
          <c:showLegendKey val="0"/>
          <c:showVal val="0"/>
          <c:showCatName val="0"/>
          <c:showSerName val="0"/>
          <c:showPercent val="0"/>
          <c:showBubbleSize val="0"/>
        </c:dLbls>
        <c:marker val="1"/>
        <c:smooth val="0"/>
        <c:axId val="284976640"/>
        <c:axId val="284978176"/>
      </c:lineChart>
      <c:catAx>
        <c:axId val="284976640"/>
        <c:scaling>
          <c:orientation val="minMax"/>
        </c:scaling>
        <c:delete val="0"/>
        <c:axPos val="b"/>
        <c:numFmt formatCode="General" sourceLinked="1"/>
        <c:majorTickMark val="out"/>
        <c:minorTickMark val="none"/>
        <c:tickLblPos val="nextTo"/>
        <c:crossAx val="284978176"/>
        <c:crosses val="autoZero"/>
        <c:auto val="1"/>
        <c:lblAlgn val="ctr"/>
        <c:lblOffset val="100"/>
        <c:noMultiLvlLbl val="0"/>
      </c:catAx>
      <c:valAx>
        <c:axId val="284978176"/>
        <c:scaling>
          <c:orientation val="minMax"/>
        </c:scaling>
        <c:delete val="0"/>
        <c:axPos val="l"/>
        <c:numFmt formatCode="General" sourceLinked="1"/>
        <c:majorTickMark val="out"/>
        <c:minorTickMark val="none"/>
        <c:tickLblPos val="nextTo"/>
        <c:crossAx val="2849766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43285214348207"/>
          <c:y val="5.1400554097404488E-2"/>
          <c:w val="0.59394160104986882"/>
          <c:h val="0.70298993875765525"/>
        </c:manualLayout>
      </c:layout>
      <c:lineChart>
        <c:grouping val="standard"/>
        <c:varyColors val="0"/>
        <c:ser>
          <c:idx val="0"/>
          <c:order val="0"/>
          <c:tx>
            <c:strRef>
              <c:f>Sheet6!$B$2</c:f>
              <c:strCache>
                <c:ptCount val="1"/>
                <c:pt idx="0">
                  <c:v>Control</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Sheet6!$B$3:$B$12</c:f>
              <c:numCache>
                <c:formatCode>General</c:formatCode>
                <c:ptCount val="10"/>
                <c:pt idx="0">
                  <c:v>5.67</c:v>
                </c:pt>
                <c:pt idx="1">
                  <c:v>8.17</c:v>
                </c:pt>
                <c:pt idx="2">
                  <c:v>12.67</c:v>
                </c:pt>
                <c:pt idx="3">
                  <c:v>16.37</c:v>
                </c:pt>
                <c:pt idx="4">
                  <c:v>19.37</c:v>
                </c:pt>
                <c:pt idx="5">
                  <c:v>23.77</c:v>
                </c:pt>
                <c:pt idx="6">
                  <c:v>26.2</c:v>
                </c:pt>
                <c:pt idx="7">
                  <c:v>33.9</c:v>
                </c:pt>
                <c:pt idx="8">
                  <c:v>36.770000000000003</c:v>
                </c:pt>
                <c:pt idx="9">
                  <c:v>41.8</c:v>
                </c:pt>
              </c:numCache>
            </c:numRef>
          </c:val>
          <c:smooth val="0"/>
          <c:extLst>
            <c:ext xmlns:c16="http://schemas.microsoft.com/office/drawing/2014/chart" uri="{C3380CC4-5D6E-409C-BE32-E72D297353CC}">
              <c16:uniqueId val="{00000000-4B35-4DDA-BD67-ABC298B0B6BF}"/>
            </c:ext>
          </c:extLst>
        </c:ser>
        <c:ser>
          <c:idx val="1"/>
          <c:order val="1"/>
          <c:tx>
            <c:strRef>
              <c:f>Sheet6!$C$2</c:f>
              <c:strCache>
                <c:ptCount val="1"/>
                <c:pt idx="0">
                  <c:v>C/N 10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Sheet6!$C$3:$C$12</c:f>
              <c:numCache>
                <c:formatCode>General</c:formatCode>
                <c:ptCount val="10"/>
                <c:pt idx="0">
                  <c:v>5.57</c:v>
                </c:pt>
                <c:pt idx="1">
                  <c:v>9.77</c:v>
                </c:pt>
                <c:pt idx="2">
                  <c:v>14.7</c:v>
                </c:pt>
                <c:pt idx="3">
                  <c:v>17.7</c:v>
                </c:pt>
                <c:pt idx="4">
                  <c:v>20.57</c:v>
                </c:pt>
                <c:pt idx="5">
                  <c:v>24.37</c:v>
                </c:pt>
                <c:pt idx="6">
                  <c:v>27.9</c:v>
                </c:pt>
                <c:pt idx="7">
                  <c:v>34.33</c:v>
                </c:pt>
                <c:pt idx="8">
                  <c:v>39.5</c:v>
                </c:pt>
                <c:pt idx="9">
                  <c:v>42.2</c:v>
                </c:pt>
              </c:numCache>
            </c:numRef>
          </c:val>
          <c:smooth val="0"/>
          <c:extLst>
            <c:ext xmlns:c16="http://schemas.microsoft.com/office/drawing/2014/chart" uri="{C3380CC4-5D6E-409C-BE32-E72D297353CC}">
              <c16:uniqueId val="{00000001-4B35-4DDA-BD67-ABC298B0B6BF}"/>
            </c:ext>
          </c:extLst>
        </c:ser>
        <c:ser>
          <c:idx val="2"/>
          <c:order val="2"/>
          <c:tx>
            <c:strRef>
              <c:f>Sheet6!$D$2</c:f>
              <c:strCache>
                <c:ptCount val="1"/>
                <c:pt idx="0">
                  <c:v>C/N 15</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Sheet6!$D$3:$D$12</c:f>
              <c:numCache>
                <c:formatCode>General</c:formatCode>
                <c:ptCount val="10"/>
                <c:pt idx="0">
                  <c:v>4.83</c:v>
                </c:pt>
                <c:pt idx="1">
                  <c:v>9.93</c:v>
                </c:pt>
                <c:pt idx="2">
                  <c:v>15.68</c:v>
                </c:pt>
                <c:pt idx="3">
                  <c:v>18.329999999999998</c:v>
                </c:pt>
                <c:pt idx="4">
                  <c:v>21.83</c:v>
                </c:pt>
                <c:pt idx="5">
                  <c:v>28.87</c:v>
                </c:pt>
                <c:pt idx="6">
                  <c:v>32.83</c:v>
                </c:pt>
                <c:pt idx="7">
                  <c:v>38.5</c:v>
                </c:pt>
                <c:pt idx="8">
                  <c:v>43.73</c:v>
                </c:pt>
                <c:pt idx="9">
                  <c:v>52.73</c:v>
                </c:pt>
              </c:numCache>
            </c:numRef>
          </c:val>
          <c:smooth val="0"/>
          <c:extLst>
            <c:ext xmlns:c16="http://schemas.microsoft.com/office/drawing/2014/chart" uri="{C3380CC4-5D6E-409C-BE32-E72D297353CC}">
              <c16:uniqueId val="{00000002-4B35-4DDA-BD67-ABC298B0B6BF}"/>
            </c:ext>
          </c:extLst>
        </c:ser>
        <c:ser>
          <c:idx val="3"/>
          <c:order val="3"/>
          <c:tx>
            <c:strRef>
              <c:f>Sheet6!$E$2</c:f>
              <c:strCache>
                <c:ptCount val="1"/>
                <c:pt idx="0">
                  <c:v>C/N 20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Sheet6!$E$3:$E$12</c:f>
              <c:numCache>
                <c:formatCode>General</c:formatCode>
                <c:ptCount val="10"/>
                <c:pt idx="0">
                  <c:v>4.87</c:v>
                </c:pt>
                <c:pt idx="1">
                  <c:v>9.8699999999999992</c:v>
                </c:pt>
                <c:pt idx="2">
                  <c:v>13.67</c:v>
                </c:pt>
                <c:pt idx="3">
                  <c:v>16.600000000000001</c:v>
                </c:pt>
                <c:pt idx="4">
                  <c:v>19.899999999999999</c:v>
                </c:pt>
                <c:pt idx="5">
                  <c:v>24.4</c:v>
                </c:pt>
                <c:pt idx="6">
                  <c:v>27.1</c:v>
                </c:pt>
                <c:pt idx="7">
                  <c:v>36.130000000000003</c:v>
                </c:pt>
                <c:pt idx="8">
                  <c:v>39.57</c:v>
                </c:pt>
                <c:pt idx="9">
                  <c:v>42.8</c:v>
                </c:pt>
              </c:numCache>
            </c:numRef>
          </c:val>
          <c:smooth val="0"/>
          <c:extLst>
            <c:ext xmlns:c16="http://schemas.microsoft.com/office/drawing/2014/chart" uri="{C3380CC4-5D6E-409C-BE32-E72D297353CC}">
              <c16:uniqueId val="{00000003-4B35-4DDA-BD67-ABC298B0B6BF}"/>
            </c:ext>
          </c:extLst>
        </c:ser>
        <c:dLbls>
          <c:showLegendKey val="0"/>
          <c:showVal val="0"/>
          <c:showCatName val="0"/>
          <c:showSerName val="0"/>
          <c:showPercent val="0"/>
          <c:showBubbleSize val="0"/>
        </c:dLbls>
        <c:marker val="1"/>
        <c:smooth val="0"/>
        <c:axId val="285197440"/>
        <c:axId val="285198976"/>
      </c:lineChart>
      <c:catAx>
        <c:axId val="285197440"/>
        <c:scaling>
          <c:orientation val="minMax"/>
        </c:scaling>
        <c:delete val="0"/>
        <c:axPos val="b"/>
        <c:numFmt formatCode="General" sourceLinked="1"/>
        <c:majorTickMark val="out"/>
        <c:minorTickMark val="none"/>
        <c:tickLblPos val="nextTo"/>
        <c:crossAx val="285198976"/>
        <c:crosses val="autoZero"/>
        <c:auto val="1"/>
        <c:lblAlgn val="ctr"/>
        <c:lblOffset val="100"/>
        <c:noMultiLvlLbl val="0"/>
      </c:catAx>
      <c:valAx>
        <c:axId val="285198976"/>
        <c:scaling>
          <c:orientation val="minMax"/>
        </c:scaling>
        <c:delete val="0"/>
        <c:axPos val="l"/>
        <c:numFmt formatCode="General" sourceLinked="1"/>
        <c:majorTickMark val="out"/>
        <c:minorTickMark val="none"/>
        <c:tickLblPos val="nextTo"/>
        <c:crossAx val="2851974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19218299070083"/>
          <c:y val="4.6531934975018313E-2"/>
          <c:w val="0.62203063285562887"/>
          <c:h val="0.71856498868068985"/>
        </c:manualLayout>
      </c:layout>
      <c:lineChart>
        <c:grouping val="standard"/>
        <c:varyColors val="0"/>
        <c:ser>
          <c:idx val="0"/>
          <c:order val="0"/>
          <c:tx>
            <c:strRef>
              <c:f>Sheet7!$B$2</c:f>
              <c:strCache>
                <c:ptCount val="1"/>
                <c:pt idx="0">
                  <c:v>Control</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Sheet7!$B$3:$B$12</c:f>
              <c:numCache>
                <c:formatCode>General</c:formatCode>
                <c:ptCount val="10"/>
                <c:pt idx="0">
                  <c:v>5.2</c:v>
                </c:pt>
                <c:pt idx="1">
                  <c:v>6.03</c:v>
                </c:pt>
                <c:pt idx="2">
                  <c:v>8.17</c:v>
                </c:pt>
                <c:pt idx="3">
                  <c:v>10.87</c:v>
                </c:pt>
                <c:pt idx="4">
                  <c:v>12.57</c:v>
                </c:pt>
                <c:pt idx="5">
                  <c:v>14.17</c:v>
                </c:pt>
                <c:pt idx="6">
                  <c:v>15.4</c:v>
                </c:pt>
                <c:pt idx="7">
                  <c:v>18</c:v>
                </c:pt>
                <c:pt idx="8">
                  <c:v>19.2</c:v>
                </c:pt>
                <c:pt idx="9">
                  <c:v>20.13</c:v>
                </c:pt>
              </c:numCache>
            </c:numRef>
          </c:val>
          <c:smooth val="0"/>
          <c:extLst>
            <c:ext xmlns:c16="http://schemas.microsoft.com/office/drawing/2014/chart" uri="{C3380CC4-5D6E-409C-BE32-E72D297353CC}">
              <c16:uniqueId val="{00000000-6507-4C38-ACCB-72CC75916DB3}"/>
            </c:ext>
          </c:extLst>
        </c:ser>
        <c:ser>
          <c:idx val="1"/>
          <c:order val="1"/>
          <c:tx>
            <c:strRef>
              <c:f>Sheet7!$C$2</c:f>
              <c:strCache>
                <c:ptCount val="1"/>
                <c:pt idx="0">
                  <c:v>C/N 10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Sheet7!$C$3:$C$12</c:f>
              <c:numCache>
                <c:formatCode>General</c:formatCode>
                <c:ptCount val="10"/>
                <c:pt idx="0">
                  <c:v>5.0999999999999996</c:v>
                </c:pt>
                <c:pt idx="1">
                  <c:v>6.8</c:v>
                </c:pt>
                <c:pt idx="2">
                  <c:v>8.6</c:v>
                </c:pt>
                <c:pt idx="3">
                  <c:v>11.33</c:v>
                </c:pt>
                <c:pt idx="4">
                  <c:v>14.97</c:v>
                </c:pt>
                <c:pt idx="5">
                  <c:v>17.07</c:v>
                </c:pt>
                <c:pt idx="6">
                  <c:v>17.73</c:v>
                </c:pt>
                <c:pt idx="7">
                  <c:v>19.97</c:v>
                </c:pt>
                <c:pt idx="8">
                  <c:v>21.13</c:v>
                </c:pt>
                <c:pt idx="9">
                  <c:v>21.83</c:v>
                </c:pt>
              </c:numCache>
            </c:numRef>
          </c:val>
          <c:smooth val="0"/>
          <c:extLst>
            <c:ext xmlns:c16="http://schemas.microsoft.com/office/drawing/2014/chart" uri="{C3380CC4-5D6E-409C-BE32-E72D297353CC}">
              <c16:uniqueId val="{00000001-6507-4C38-ACCB-72CC75916DB3}"/>
            </c:ext>
          </c:extLst>
        </c:ser>
        <c:ser>
          <c:idx val="2"/>
          <c:order val="2"/>
          <c:tx>
            <c:strRef>
              <c:f>Sheet7!$D$2</c:f>
              <c:strCache>
                <c:ptCount val="1"/>
                <c:pt idx="0">
                  <c:v>C/N 15</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Sheet7!$D$3:$D$12</c:f>
              <c:numCache>
                <c:formatCode>General</c:formatCode>
                <c:ptCount val="10"/>
                <c:pt idx="0">
                  <c:v>5.27</c:v>
                </c:pt>
                <c:pt idx="1">
                  <c:v>6.53</c:v>
                </c:pt>
                <c:pt idx="2">
                  <c:v>8.9</c:v>
                </c:pt>
                <c:pt idx="3">
                  <c:v>11.43</c:v>
                </c:pt>
                <c:pt idx="4">
                  <c:v>14.17</c:v>
                </c:pt>
                <c:pt idx="5">
                  <c:v>16.600000000000001</c:v>
                </c:pt>
                <c:pt idx="6">
                  <c:v>18.399999999999999</c:v>
                </c:pt>
                <c:pt idx="7">
                  <c:v>20.170000000000002</c:v>
                </c:pt>
                <c:pt idx="8">
                  <c:v>21.37</c:v>
                </c:pt>
                <c:pt idx="9">
                  <c:v>22.9</c:v>
                </c:pt>
              </c:numCache>
            </c:numRef>
          </c:val>
          <c:smooth val="0"/>
          <c:extLst>
            <c:ext xmlns:c16="http://schemas.microsoft.com/office/drawing/2014/chart" uri="{C3380CC4-5D6E-409C-BE32-E72D297353CC}">
              <c16:uniqueId val="{00000002-6507-4C38-ACCB-72CC75916DB3}"/>
            </c:ext>
          </c:extLst>
        </c:ser>
        <c:ser>
          <c:idx val="3"/>
          <c:order val="3"/>
          <c:tx>
            <c:strRef>
              <c:f>Sheet7!$E$2</c:f>
              <c:strCache>
                <c:ptCount val="1"/>
                <c:pt idx="0">
                  <c:v>C/N 20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Sheet7!$E$3:$E$12</c:f>
              <c:numCache>
                <c:formatCode>General</c:formatCode>
                <c:ptCount val="10"/>
                <c:pt idx="0">
                  <c:v>4.5999999999999996</c:v>
                </c:pt>
                <c:pt idx="1">
                  <c:v>5.67</c:v>
                </c:pt>
                <c:pt idx="2">
                  <c:v>7.77</c:v>
                </c:pt>
                <c:pt idx="3">
                  <c:v>10.130000000000001</c:v>
                </c:pt>
                <c:pt idx="4">
                  <c:v>13.2</c:v>
                </c:pt>
                <c:pt idx="5">
                  <c:v>14.87</c:v>
                </c:pt>
                <c:pt idx="6">
                  <c:v>15.9</c:v>
                </c:pt>
                <c:pt idx="7">
                  <c:v>17.670000000000002</c:v>
                </c:pt>
                <c:pt idx="8">
                  <c:v>18.670000000000002</c:v>
                </c:pt>
                <c:pt idx="9">
                  <c:v>20.23</c:v>
                </c:pt>
              </c:numCache>
            </c:numRef>
          </c:val>
          <c:smooth val="0"/>
          <c:extLst>
            <c:ext xmlns:c16="http://schemas.microsoft.com/office/drawing/2014/chart" uri="{C3380CC4-5D6E-409C-BE32-E72D297353CC}">
              <c16:uniqueId val="{00000003-6507-4C38-ACCB-72CC75916DB3}"/>
            </c:ext>
          </c:extLst>
        </c:ser>
        <c:dLbls>
          <c:showLegendKey val="0"/>
          <c:showVal val="0"/>
          <c:showCatName val="0"/>
          <c:showSerName val="0"/>
          <c:showPercent val="0"/>
          <c:showBubbleSize val="0"/>
        </c:dLbls>
        <c:marker val="1"/>
        <c:smooth val="0"/>
        <c:axId val="286196480"/>
        <c:axId val="286198016"/>
      </c:lineChart>
      <c:catAx>
        <c:axId val="286196480"/>
        <c:scaling>
          <c:orientation val="minMax"/>
        </c:scaling>
        <c:delete val="0"/>
        <c:axPos val="b"/>
        <c:numFmt formatCode="General" sourceLinked="1"/>
        <c:majorTickMark val="out"/>
        <c:minorTickMark val="none"/>
        <c:tickLblPos val="nextTo"/>
        <c:crossAx val="286198016"/>
        <c:crosses val="autoZero"/>
        <c:auto val="1"/>
        <c:lblAlgn val="ctr"/>
        <c:lblOffset val="100"/>
        <c:noMultiLvlLbl val="0"/>
      </c:catAx>
      <c:valAx>
        <c:axId val="286198016"/>
        <c:scaling>
          <c:orientation val="minMax"/>
        </c:scaling>
        <c:delete val="0"/>
        <c:axPos val="l"/>
        <c:numFmt formatCode="General" sourceLinked="1"/>
        <c:majorTickMark val="out"/>
        <c:minorTickMark val="none"/>
        <c:tickLblPos val="nextTo"/>
        <c:crossAx val="28619648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0.01711</cdr:x>
      <cdr:y>0.15116</cdr:y>
    </cdr:from>
    <cdr:to>
      <cdr:x>0.13179</cdr:x>
      <cdr:y>0.83344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95425" y="1088335"/>
          <a:ext cx="1871634" cy="524301"/>
        </a:xfrm>
        <a:prstGeom xmlns:a="http://schemas.openxmlformats.org/drawingml/2006/main" prst="rect">
          <a:avLst/>
        </a:prstGeom>
      </cdr:spPr>
    </cdr:pic>
  </cdr:relSizeAnchor>
  <cdr:relSizeAnchor xmlns:cdr="http://schemas.openxmlformats.org/drawingml/2006/chartDrawing">
    <cdr:from>
      <cdr:x>0.2814</cdr:x>
      <cdr:y>0.79554</cdr:y>
    </cdr:from>
    <cdr:to>
      <cdr:x>0.58009</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86539" y="2182319"/>
          <a:ext cx="1365622" cy="5608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0.04731</cdr:x>
      <cdr:y>0.13432</cdr:y>
    </cdr:from>
    <cdr:to>
      <cdr:x>0.16199</cdr:x>
      <cdr:y>0.78549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14668" y="999460"/>
          <a:ext cx="1786283" cy="524301"/>
        </a:xfrm>
        <a:prstGeom xmlns:a="http://schemas.openxmlformats.org/drawingml/2006/main" prst="rect">
          <a:avLst/>
        </a:prstGeom>
      </cdr:spPr>
    </cdr:pic>
  </cdr:relSizeAnchor>
  <cdr:relSizeAnchor xmlns:cdr="http://schemas.openxmlformats.org/drawingml/2006/chartDrawing">
    <cdr:from>
      <cdr:x>0.32558</cdr:x>
      <cdr:y>0.80887</cdr:y>
    </cdr:from>
    <cdr:to>
      <cdr:x>0.59094</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488559" y="2218899"/>
          <a:ext cx="1213209" cy="52430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0.03228</cdr:x>
      <cdr:y>0.09123</cdr:y>
    </cdr:from>
    <cdr:to>
      <cdr:x>0.11257</cdr:x>
      <cdr:y>0.70528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74625" y="1009622"/>
          <a:ext cx="1860698" cy="394346"/>
        </a:xfrm>
        <a:prstGeom xmlns:a="http://schemas.openxmlformats.org/drawingml/2006/main" prst="rect">
          <a:avLst/>
        </a:prstGeom>
      </cdr:spPr>
    </cdr:pic>
  </cdr:relSizeAnchor>
  <cdr:relSizeAnchor xmlns:cdr="http://schemas.openxmlformats.org/drawingml/2006/chartDrawing">
    <cdr:from>
      <cdr:x>0.34852</cdr:x>
      <cdr:y>0.82698</cdr:y>
    </cdr:from>
    <cdr:to>
      <cdr:x>0.59552</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11842" y="2505978"/>
          <a:ext cx="1213209" cy="52430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cp:revision>
  <cp:lastPrinted>2026-02-14T13:38:00Z</cp:lastPrinted>
  <dcterms:created xsi:type="dcterms:W3CDTF">2026-02-14T15:22:00Z</dcterms:created>
  <dcterms:modified xsi:type="dcterms:W3CDTF">2026-02-15T01:24:00Z</dcterms:modified>
</cp:coreProperties>
</file>