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A4" w:rsidRPr="00440675" w:rsidRDefault="00440675" w:rsidP="008C5A77">
      <w:pPr>
        <w:rPr>
          <w:rFonts w:ascii="Arial" w:hAnsi="Arial" w:cs="Arial"/>
          <w:b/>
          <w:bCs/>
          <w:u w:val="single"/>
        </w:rPr>
      </w:pPr>
      <w:r w:rsidRPr="00440675">
        <w:rPr>
          <w:rFonts w:ascii="Arial" w:hAnsi="Arial" w:cs="Arial"/>
          <w:b/>
          <w:bCs/>
          <w:u w:val="single"/>
        </w:rPr>
        <w:t>Original Research Article</w:t>
      </w:r>
    </w:p>
    <w:p w:rsidR="00440675" w:rsidRDefault="00440675" w:rsidP="00A96AA4">
      <w:pPr>
        <w:jc w:val="center"/>
        <w:rPr>
          <w:rFonts w:ascii="Arial" w:hAnsi="Arial" w:cs="Arial"/>
          <w:b/>
          <w:bCs/>
        </w:rPr>
      </w:pPr>
    </w:p>
    <w:p w:rsidR="00A96AA4" w:rsidRDefault="00A96AA4" w:rsidP="00A96AA4">
      <w:pPr>
        <w:jc w:val="center"/>
        <w:rPr>
          <w:rFonts w:ascii="Arial" w:hAnsi="Arial" w:cs="Arial"/>
          <w:b/>
          <w:bCs/>
        </w:rPr>
      </w:pPr>
      <w:r w:rsidRPr="005C0B16">
        <w:rPr>
          <w:rFonts w:ascii="Arial" w:hAnsi="Arial" w:cs="Arial"/>
          <w:b/>
          <w:bCs/>
        </w:rPr>
        <w:t>From Crisis to Structural Resilience: Econometric Evidence on India’s Inbound Tourism Recovery, Demand Scarring, and Spending Dynamics (2001–2023)</w:t>
      </w:r>
    </w:p>
    <w:p w:rsidR="005B68FD" w:rsidRDefault="005B68FD" w:rsidP="00F5566A">
      <w:pPr>
        <w:jc w:val="center"/>
        <w:rPr>
          <w:rFonts w:ascii="Arial" w:hAnsi="Arial" w:cs="Arial"/>
          <w:b/>
          <w:bCs/>
        </w:rPr>
      </w:pPr>
    </w:p>
    <w:p w:rsidR="00A96AA4" w:rsidRPr="00A96AA4" w:rsidRDefault="00A96AA4" w:rsidP="00F5566A">
      <w:pPr>
        <w:jc w:val="center"/>
        <w:rPr>
          <w:rFonts w:ascii="Arial" w:hAnsi="Arial" w:cs="Arial"/>
          <w:b/>
          <w:bCs/>
        </w:rPr>
      </w:pPr>
      <w:r w:rsidRPr="00A96AA4">
        <w:rPr>
          <w:rFonts w:ascii="Arial" w:hAnsi="Arial" w:cs="Arial"/>
          <w:b/>
          <w:bCs/>
        </w:rPr>
        <w:t>ABSTRACT</w:t>
      </w:r>
    </w:p>
    <w:p w:rsidR="00F61210" w:rsidRPr="00E40843" w:rsidRDefault="00F61210" w:rsidP="00F61210">
      <w:pPr>
        <w:spacing w:line="276" w:lineRule="auto"/>
        <w:jc w:val="both"/>
        <w:rPr>
          <w:rFonts w:ascii="Arial" w:hAnsi="Arial" w:cs="Arial"/>
          <w:sz w:val="20"/>
          <w:szCs w:val="20"/>
        </w:rPr>
      </w:pPr>
      <w:r w:rsidRPr="004F518F">
        <w:rPr>
          <w:rFonts w:ascii="Arial" w:hAnsi="Arial" w:cs="Arial"/>
          <w:sz w:val="20"/>
          <w:szCs w:val="20"/>
        </w:rPr>
        <w:t xml:space="preserve">The study </w:t>
      </w:r>
      <w:r w:rsidRPr="00943A01">
        <w:rPr>
          <w:rFonts w:ascii="Arial" w:hAnsi="Arial" w:cs="Arial"/>
          <w:color w:val="FF0000"/>
          <w:sz w:val="20"/>
          <w:szCs w:val="20"/>
        </w:rPr>
        <w:t>examined</w:t>
      </w:r>
      <w:r w:rsidRPr="004F518F">
        <w:rPr>
          <w:rFonts w:ascii="Arial" w:hAnsi="Arial" w:cs="Arial"/>
          <w:sz w:val="20"/>
          <w:szCs w:val="20"/>
        </w:rPr>
        <w:t xml:space="preserve"> long-term trends in India's inbound tourism from 2001 to 2023 with focus on post-COVID recovery, change in demand and change in tourism patterns. It follows a quantitative longitudinal research design and is based on national level secondary data collected from official sources such as the Bureau of Immigration, Government of India, UNWTO and the Archaeological Survey of India. The study implements </w:t>
      </w:r>
      <w:r w:rsidRPr="00F5566A">
        <w:rPr>
          <w:rFonts w:ascii="Arial" w:hAnsi="Arial" w:cs="Arial"/>
          <w:sz w:val="20"/>
          <w:szCs w:val="20"/>
        </w:rPr>
        <w:t xml:space="preserve">econometric methods </w:t>
      </w:r>
      <w:r w:rsidRPr="004F518F">
        <w:rPr>
          <w:rFonts w:ascii="Arial" w:hAnsi="Arial" w:cs="Arial"/>
          <w:sz w:val="20"/>
          <w:szCs w:val="20"/>
        </w:rPr>
        <w:t xml:space="preserve">including tourism growth, demand changes, regional recovery and log-linear </w:t>
      </w:r>
      <w:r>
        <w:rPr>
          <w:rFonts w:ascii="Arial" w:hAnsi="Arial" w:cs="Arial"/>
          <w:sz w:val="20"/>
          <w:szCs w:val="20"/>
        </w:rPr>
        <w:t>growth</w:t>
      </w:r>
      <w:r w:rsidRPr="004F518F">
        <w:rPr>
          <w:rFonts w:ascii="Arial" w:hAnsi="Arial" w:cs="Arial"/>
          <w:sz w:val="20"/>
          <w:szCs w:val="20"/>
        </w:rPr>
        <w:t xml:space="preserve"> models seasonal patterns analysis, intervention analysis, log-log elastic models, panel regression and </w:t>
      </w:r>
      <w:r w:rsidRPr="00F5566A">
        <w:rPr>
          <w:rFonts w:ascii="Arial" w:hAnsi="Arial" w:cs="Arial"/>
          <w:sz w:val="20"/>
          <w:szCs w:val="20"/>
        </w:rPr>
        <w:t>SARIMA</w:t>
      </w:r>
      <w:r w:rsidRPr="004F518F">
        <w:rPr>
          <w:rFonts w:ascii="Arial" w:hAnsi="Arial" w:cs="Arial"/>
          <w:sz w:val="20"/>
          <w:szCs w:val="20"/>
        </w:rPr>
        <w:t xml:space="preserve"> models. </w:t>
      </w:r>
      <w:r w:rsidRPr="00F5566A">
        <w:rPr>
          <w:rFonts w:ascii="Arial" w:hAnsi="Arial" w:cs="Arial"/>
          <w:sz w:val="20"/>
          <w:szCs w:val="20"/>
        </w:rPr>
        <w:t xml:space="preserve">The results show that tourist arrivals were growing at about 9.23 per cent annually before COVID-19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&lt; .001),</w:t>
      </w:r>
      <w:r w:rsidRPr="00F5566A">
        <w:rPr>
          <w:rFonts w:ascii="Arial" w:hAnsi="Arial" w:cs="Arial"/>
          <w:sz w:val="20"/>
          <w:szCs w:val="20"/>
        </w:rPr>
        <w:t xml:space="preserve"> followed by a sharp decline of 11.58 million arrivals in 2020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&lt; .001),</w:t>
      </w:r>
      <w:r w:rsidRPr="00F5566A">
        <w:rPr>
          <w:rFonts w:ascii="Arial" w:hAnsi="Arial" w:cs="Arial"/>
          <w:sz w:val="20"/>
          <w:szCs w:val="20"/>
        </w:rPr>
        <w:t xml:space="preserve"> and a permanent reduction of about 2.34 million arrivals per year after the pandemic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 xml:space="preserve"> = .01).</w:t>
      </w:r>
      <w:r w:rsidRPr="00F5566A">
        <w:rPr>
          <w:rFonts w:ascii="Arial" w:hAnsi="Arial" w:cs="Arial"/>
          <w:sz w:val="20"/>
          <w:szCs w:val="20"/>
        </w:rPr>
        <w:t xml:space="preserve"> The elasticity between tourist arrivals and earnings declined from 0.892 to 0.661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 xml:space="preserve"> = .05),</w:t>
      </w:r>
      <w:r w:rsidRPr="00F5566A">
        <w:rPr>
          <w:rFonts w:ascii="Arial" w:hAnsi="Arial" w:cs="Arial"/>
          <w:sz w:val="20"/>
          <w:szCs w:val="20"/>
        </w:rPr>
        <w:t xml:space="preserve"> indicating reduced spending per tourist. Panel regression results show that diaspora share has a positive effect on recovery (</w:t>
      </w:r>
      <w:r w:rsidRPr="00F5566A">
        <w:rPr>
          <w:rFonts w:ascii="Arial" w:hAnsi="Arial" w:cs="Arial"/>
          <w:i/>
          <w:iCs/>
          <w:sz w:val="20"/>
          <w:szCs w:val="20"/>
        </w:rPr>
        <w:t>P</w:t>
      </w:r>
      <w:r w:rsidRPr="00F5566A">
        <w:rPr>
          <w:rFonts w:ascii="Arial" w:hAnsi="Arial" w:cs="Arial"/>
          <w:sz w:val="20"/>
          <w:szCs w:val="20"/>
        </w:rPr>
        <w:t xml:space="preserve">&lt; .001), while distance has a negative effect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 xml:space="preserve"> = .01).</w:t>
      </w:r>
      <w:r w:rsidRPr="00F5566A">
        <w:rPr>
          <w:rFonts w:ascii="Arial" w:hAnsi="Arial" w:cs="Arial"/>
          <w:sz w:val="20"/>
          <w:szCs w:val="20"/>
        </w:rPr>
        <w:t xml:space="preserve"> The SARIMA model forecasts tourist arrivals of about 10.23 million in 2024 and 10.72 million in 2025. The study concludes that although India’s tourism sector is recovering, it still faces challenges such as long-term demand loss, lower spending per tourist, and uneven regional recovery, and suggests that policy should focus on improving the value of tourism and promoting sustainable growth.</w:t>
      </w:r>
    </w:p>
    <w:p w:rsidR="00F5566A" w:rsidRDefault="00F5566A" w:rsidP="00F5566A">
      <w:pPr>
        <w:jc w:val="both"/>
        <w:rPr>
          <w:rFonts w:ascii="Arial" w:hAnsi="Arial" w:cs="Arial"/>
          <w:b/>
          <w:bCs/>
        </w:rPr>
      </w:pPr>
      <w:r w:rsidRPr="00F5566A">
        <w:rPr>
          <w:rFonts w:ascii="Arial" w:hAnsi="Arial" w:cs="Arial"/>
          <w:b/>
          <w:bCs/>
        </w:rPr>
        <w:t xml:space="preserve">Keywords: </w:t>
      </w:r>
      <w:r w:rsidRPr="00F5566A">
        <w:rPr>
          <w:rFonts w:ascii="Arial" w:hAnsi="Arial" w:cs="Arial"/>
          <w:i/>
          <w:iCs/>
          <w:sz w:val="20"/>
          <w:szCs w:val="20"/>
        </w:rPr>
        <w:t>Tourism Recovery, Econometric Analysis, Demand Scarring, Spending Elasticity, Tourism Resilience</w:t>
      </w:r>
    </w:p>
    <w:p w:rsidR="00D65B32" w:rsidRPr="00D65B32" w:rsidRDefault="00D65B32" w:rsidP="00D65B32">
      <w:pPr>
        <w:rPr>
          <w:rFonts w:ascii="Arial" w:hAnsi="Arial" w:cs="Arial"/>
          <w:b/>
          <w:bCs/>
        </w:rPr>
      </w:pPr>
      <w:r w:rsidRPr="00D65B32">
        <w:rPr>
          <w:rFonts w:ascii="Arial" w:hAnsi="Arial" w:cs="Arial"/>
          <w:b/>
          <w:bCs/>
        </w:rPr>
        <w:t>1. INTRODUCTION</w:t>
      </w:r>
    </w:p>
    <w:p w:rsidR="00F61210" w:rsidRDefault="00F61210" w:rsidP="00F61210">
      <w:pPr>
        <w:spacing w:line="276" w:lineRule="auto"/>
        <w:jc w:val="both"/>
        <w:rPr>
          <w:rFonts w:ascii="Arial" w:hAnsi="Arial" w:cs="Arial"/>
          <w:sz w:val="20"/>
          <w:szCs w:val="20"/>
        </w:rPr>
      </w:pPr>
      <w:r w:rsidRPr="00E40843">
        <w:rPr>
          <w:rFonts w:ascii="Arial" w:hAnsi="Arial" w:cs="Arial"/>
          <w:sz w:val="20"/>
          <w:szCs w:val="20"/>
        </w:rPr>
        <w:t>The tourism sector across the world continues to grow, but it is highly vulnerable to shocks such as financial crises, political instability and health emergencies. Due to the COVID-19 pandemic, there has been a significant decline in international tourism, leading to significant decline in tourist arrivals to various countries</w:t>
      </w:r>
      <w:r w:rsidRPr="00D65B32">
        <w:rPr>
          <w:rFonts w:ascii="Arial" w:hAnsi="Arial" w:cs="Arial"/>
          <w:sz w:val="20"/>
          <w:szCs w:val="20"/>
        </w:rPr>
        <w:t>(Sagi et al., 2020)</w:t>
      </w:r>
      <w:r w:rsidRPr="00E40843">
        <w:rPr>
          <w:rFonts w:ascii="Arial" w:hAnsi="Arial" w:cs="Arial"/>
          <w:sz w:val="20"/>
          <w:szCs w:val="20"/>
        </w:rPr>
        <w:t>. The recovery has been uneven as different rates have improved in different sectors</w:t>
      </w:r>
      <w:r w:rsidRPr="00D65B32">
        <w:rPr>
          <w:rFonts w:ascii="Arial" w:hAnsi="Arial" w:cs="Arial"/>
          <w:sz w:val="20"/>
          <w:szCs w:val="20"/>
        </w:rPr>
        <w:t xml:space="preserve">(Gössling et al., 2021; Sigala, 2020). </w:t>
      </w:r>
      <w:r w:rsidRPr="00E40843">
        <w:rPr>
          <w:rFonts w:ascii="Arial" w:hAnsi="Arial" w:cs="Arial"/>
          <w:sz w:val="20"/>
          <w:szCs w:val="20"/>
        </w:rPr>
        <w:t>Recent studies suggest that reforms should not only be seen as a return to previous levels but also as countries' ability to adapt to new conditions and changing travel behaviour</w:t>
      </w:r>
      <w:r w:rsidRPr="00D65B32">
        <w:rPr>
          <w:rFonts w:ascii="Arial" w:hAnsi="Arial" w:cs="Arial"/>
          <w:sz w:val="20"/>
          <w:szCs w:val="20"/>
        </w:rPr>
        <w:t>(Dogru et al., 2020</w:t>
      </w:r>
      <w:r>
        <w:rPr>
          <w:rFonts w:ascii="Arial" w:hAnsi="Arial" w:cs="Arial"/>
          <w:sz w:val="20"/>
          <w:szCs w:val="20"/>
        </w:rPr>
        <w:t>)</w:t>
      </w:r>
      <w:r w:rsidRPr="00E40843">
        <w:rPr>
          <w:rFonts w:ascii="Arial" w:hAnsi="Arial" w:cs="Arial"/>
          <w:sz w:val="20"/>
          <w:szCs w:val="20"/>
        </w:rPr>
        <w:t>. In this context, India is an important matter due to its diverse tourism base and strong ties with the diaspora. Although the tourist arrivals are again increasing, improvements in different regions and markets are uneven, raising concerns about the quality and stability of development. So, this study examines Indias inbound tourism from 2001 to 2023 using geometric methods to analyses long term trends, impact of COVID-19 and recovery patterns. The study uses log-linear growth models, intervention analysis, elastic analysis, panel regression and time-series to understand the role of migrants in demand changes, spending patterns and recovery.</w:t>
      </w:r>
    </w:p>
    <w:p w:rsidR="00F61210" w:rsidRPr="00AB08E4" w:rsidRDefault="00F61210" w:rsidP="00F61210">
      <w:pPr>
        <w:rPr>
          <w:rFonts w:ascii="Arial" w:hAnsi="Arial" w:cs="Arial"/>
          <w:sz w:val="20"/>
          <w:szCs w:val="20"/>
        </w:rPr>
      </w:pPr>
      <w:r w:rsidRPr="00E40843">
        <w:rPr>
          <w:rFonts w:ascii="Arial" w:hAnsi="Arial" w:cs="Arial"/>
          <w:sz w:val="20"/>
          <w:szCs w:val="20"/>
        </w:rPr>
        <w:t xml:space="preserve">The study also presents a simple roadmap to understand tourism improvement in India post COVID-19. It connects tourism development with flexibility, market structure and economic outcomes. Retrieval analysis is done using long-term trends and post-crisis changes through growth rate and recovery indices. The framework deals with regional factors like diversification of source markets, role and distance and medical tourism as compared to leisure tourists. It also examines the cost pattern through the Loch to assess that the development is driven by the number or expenditure of tourists. Seasonal pattern has been incorporated to understand demand during peak and off-peak period. </w:t>
      </w:r>
      <w:r w:rsidRPr="00E40843">
        <w:rPr>
          <w:rFonts w:ascii="Arial" w:hAnsi="Arial" w:cs="Arial"/>
          <w:sz w:val="20"/>
          <w:szCs w:val="20"/>
        </w:rPr>
        <w:lastRenderedPageBreak/>
        <w:t>Together, these factors help explain the nature, quality and stability of tourism recovery in the post-pandemic period.</w:t>
      </w:r>
    </w:p>
    <w:p w:rsidR="00D65B32" w:rsidRPr="005C0B16" w:rsidRDefault="00D65B32" w:rsidP="00D65B32">
      <w:pPr>
        <w:jc w:val="both"/>
        <w:rPr>
          <w:rFonts w:ascii="Arial" w:hAnsi="Arial" w:cs="Arial"/>
          <w:b/>
          <w:bCs/>
        </w:rPr>
      </w:pPr>
      <w:r w:rsidRPr="005C0B16">
        <w:rPr>
          <w:rFonts w:ascii="Arial" w:hAnsi="Arial" w:cs="Arial"/>
          <w:b/>
          <w:bCs/>
        </w:rPr>
        <w:t>2. REVIEW OF LITERATURE</w:t>
      </w:r>
    </w:p>
    <w:p w:rsidR="00C85D61" w:rsidRPr="00AB08E4" w:rsidRDefault="00C85D61" w:rsidP="00C85D61">
      <w:pPr>
        <w:spacing w:line="276" w:lineRule="auto"/>
        <w:jc w:val="both"/>
        <w:rPr>
          <w:rFonts w:ascii="Arial" w:hAnsi="Arial" w:cs="Arial"/>
          <w:sz w:val="20"/>
          <w:szCs w:val="20"/>
        </w:rPr>
      </w:pPr>
      <w:r w:rsidRPr="008B338D">
        <w:rPr>
          <w:rFonts w:ascii="Arial" w:hAnsi="Arial" w:cs="Arial"/>
          <w:sz w:val="20"/>
          <w:szCs w:val="20"/>
        </w:rPr>
        <w:t>Tourism resilience has become an important area of research, especially after the Covid-19 crisis. It refers to the potential of the tourism sector to deal with shocks, coordinate with changes and continue its original work. The pandemic caused a significant decline in global tourism, forcing researchers to rethink the traditional development model and focus on more resilient recovery strategies</w:t>
      </w:r>
      <w:r w:rsidRPr="005C0B16">
        <w:rPr>
          <w:rFonts w:ascii="Arial" w:hAnsi="Arial" w:cs="Arial"/>
          <w:sz w:val="20"/>
          <w:szCs w:val="20"/>
        </w:rPr>
        <w:t xml:space="preserve"> (Gössling et al., 2021; Sigala, 2020)</w:t>
      </w:r>
      <w:r>
        <w:rPr>
          <w:rFonts w:ascii="Arial" w:hAnsi="Arial" w:cs="Arial"/>
          <w:sz w:val="20"/>
          <w:szCs w:val="20"/>
        </w:rPr>
        <w:t>.</w:t>
      </w:r>
      <w:r w:rsidRPr="008B338D">
        <w:rPr>
          <w:rFonts w:ascii="Arial" w:hAnsi="Arial" w:cs="Arial"/>
          <w:sz w:val="20"/>
          <w:szCs w:val="20"/>
        </w:rPr>
        <w:t xml:space="preserve"> Recent studies show that recovery has not been the same in all countries. Various tourism activities, strong institutions and better planning destinations have been rapidly recovered, and flexibility should be understood not only economically but also in social and regional contexts</w:t>
      </w:r>
      <w:r w:rsidRPr="005C0B16">
        <w:rPr>
          <w:rFonts w:ascii="Arial" w:hAnsi="Arial" w:cs="Arial"/>
          <w:sz w:val="20"/>
          <w:szCs w:val="20"/>
        </w:rPr>
        <w:t>(Zhang et al., 2024)</w:t>
      </w:r>
      <w:r w:rsidRPr="008B338D">
        <w:rPr>
          <w:rFonts w:ascii="Arial" w:hAnsi="Arial" w:cs="Arial"/>
          <w:sz w:val="20"/>
          <w:szCs w:val="20"/>
        </w:rPr>
        <w:t>. The research also highlights that dependence on certain source markets increases risk, while diversification improves stability and recovery</w:t>
      </w:r>
      <w:r w:rsidRPr="005C0B16">
        <w:rPr>
          <w:rFonts w:ascii="Arial" w:hAnsi="Arial" w:cs="Arial"/>
          <w:sz w:val="20"/>
          <w:szCs w:val="20"/>
        </w:rPr>
        <w:t>(Dogru et al., 2020).</w:t>
      </w:r>
      <w:r w:rsidRPr="008B338D">
        <w:rPr>
          <w:rFonts w:ascii="Arial" w:hAnsi="Arial" w:cs="Arial"/>
          <w:sz w:val="20"/>
          <w:szCs w:val="20"/>
        </w:rPr>
        <w:t xml:space="preserve"> In addition, the neighbouring countries and travel agreements played an important role in the post-pandemic recovery, especially in developing economies.</w:t>
      </w:r>
    </w:p>
    <w:p w:rsidR="00C85D61" w:rsidRDefault="00C85D61" w:rsidP="00C85D61">
      <w:pPr>
        <w:spacing w:line="276" w:lineRule="auto"/>
        <w:jc w:val="both"/>
        <w:rPr>
          <w:rFonts w:ascii="Arial" w:hAnsi="Arial" w:cs="Arial"/>
          <w:sz w:val="20"/>
          <w:szCs w:val="20"/>
        </w:rPr>
      </w:pPr>
      <w:r w:rsidRPr="008B338D">
        <w:rPr>
          <w:rFonts w:ascii="Arial" w:hAnsi="Arial" w:cs="Arial"/>
          <w:sz w:val="20"/>
          <w:szCs w:val="20"/>
        </w:rPr>
        <w:t>The Overseas Tourism and Visiting Friends and Relatives (VFR) journey has shown strong stability during the crisis as they are inspired by social and family causes rather than income or risk perceptions</w:t>
      </w:r>
      <w:r w:rsidRPr="002966B1">
        <w:rPr>
          <w:rFonts w:ascii="Arial" w:hAnsi="Arial" w:cs="Arial"/>
          <w:sz w:val="20"/>
          <w:szCs w:val="20"/>
        </w:rPr>
        <w:t>(Li et al., 2021)</w:t>
      </w:r>
      <w:r w:rsidRPr="00DD6B62">
        <w:rPr>
          <w:rFonts w:ascii="Arial" w:hAnsi="Arial" w:cs="Arial"/>
          <w:sz w:val="20"/>
          <w:szCs w:val="20"/>
        </w:rPr>
        <w:t>.</w:t>
      </w:r>
      <w:r w:rsidRPr="008B338D">
        <w:rPr>
          <w:rFonts w:ascii="Arial" w:hAnsi="Arial" w:cs="Arial"/>
          <w:sz w:val="20"/>
          <w:szCs w:val="20"/>
        </w:rPr>
        <w:t>In India, NRI travel has supported recovery and highlighted the importance of migrant connections. The relationship between tourist arrivals and earnings is often studied using elasticity, indicating how income changes with the number of tourists</w:t>
      </w:r>
      <w:r w:rsidRPr="002966B1">
        <w:rPr>
          <w:rFonts w:ascii="Arial" w:hAnsi="Arial" w:cs="Arial"/>
          <w:sz w:val="20"/>
          <w:szCs w:val="20"/>
        </w:rPr>
        <w:t xml:space="preserve">(Song &amp; Li, 2008). </w:t>
      </w:r>
      <w:r w:rsidRPr="008B338D">
        <w:rPr>
          <w:rFonts w:ascii="Arial" w:hAnsi="Arial" w:cs="Arial"/>
          <w:sz w:val="20"/>
          <w:szCs w:val="20"/>
        </w:rPr>
        <w:t>Recent studies indicate that although tourist arrivals are increasing, the per-tourism expenditure is decreasing with focus on volume-based value-based tourism development. Seasonal also remains a major challenge as the peak puts pressure on season resources while using off-season resources</w:t>
      </w:r>
      <w:r w:rsidRPr="002966B1">
        <w:rPr>
          <w:rFonts w:ascii="Arial" w:hAnsi="Arial" w:cs="Arial"/>
          <w:sz w:val="20"/>
          <w:szCs w:val="20"/>
        </w:rPr>
        <w:t>(Butler, 2001)</w:t>
      </w:r>
      <w:r w:rsidRPr="00DD6B62">
        <w:rPr>
          <w:rFonts w:ascii="Arial" w:hAnsi="Arial" w:cs="Arial"/>
          <w:sz w:val="20"/>
          <w:szCs w:val="20"/>
        </w:rPr>
        <w:t>.</w:t>
      </w:r>
      <w:r w:rsidRPr="008B338D">
        <w:rPr>
          <w:rFonts w:ascii="Arial" w:hAnsi="Arial" w:cs="Arial"/>
          <w:sz w:val="20"/>
          <w:szCs w:val="20"/>
        </w:rPr>
        <w:t>In addition, tourism research has increased the use of geometric models such as regression, panel data and time-series analysis. However, many studies use these methods separately, which limit the overall understanding of tourism recovery. So, this study uses a joint geometric approach to analyses India's inbound tourism improvement post COVID-19.</w:t>
      </w:r>
    </w:p>
    <w:p w:rsidR="00B0193F" w:rsidRDefault="00B0193F" w:rsidP="00C85D61">
      <w:pPr>
        <w:spacing w:line="276" w:lineRule="auto"/>
        <w:jc w:val="both"/>
        <w:rPr>
          <w:rFonts w:ascii="Arial" w:hAnsi="Arial" w:cs="Arial"/>
          <w:b/>
          <w:bCs/>
        </w:rPr>
      </w:pPr>
      <w:r>
        <w:rPr>
          <w:rFonts w:ascii="Arial" w:hAnsi="Arial" w:cs="Arial"/>
          <w:b/>
          <w:bCs/>
        </w:rPr>
        <w:t xml:space="preserve">2.1 </w:t>
      </w:r>
      <w:r w:rsidRPr="00B0193F">
        <w:rPr>
          <w:rFonts w:ascii="Arial" w:hAnsi="Arial" w:cs="Arial"/>
          <w:b/>
          <w:bCs/>
        </w:rPr>
        <w:t xml:space="preserve">RESEARCH GAP </w:t>
      </w:r>
    </w:p>
    <w:p w:rsidR="00B0193F" w:rsidRDefault="00B0193F" w:rsidP="00B0193F">
      <w:pPr>
        <w:spacing w:line="276" w:lineRule="auto"/>
        <w:jc w:val="both"/>
        <w:rPr>
          <w:rFonts w:ascii="Arial" w:hAnsi="Arial" w:cs="Arial"/>
          <w:sz w:val="20"/>
          <w:szCs w:val="20"/>
        </w:rPr>
      </w:pPr>
      <w:r w:rsidRPr="002F6F13">
        <w:rPr>
          <w:rFonts w:ascii="Arial" w:hAnsi="Arial" w:cs="Arial"/>
          <w:sz w:val="20"/>
          <w:szCs w:val="20"/>
        </w:rPr>
        <w:t xml:space="preserve">Current literature on tourism mainly studies development, COVID-19 effect and recovery separately, but there is limited research that combines all these aspects into a framework. Most studies focus on global or cross-country analysis, while India-specific long-term analysis is limited. There is also a lack of studies testing both cost behaviour and change in demand post COVID-19. Further, the role of factors like regional differences and migratory and distance in recovery has not been analysed in depth. So, this study fills this gap using a comprehensive </w:t>
      </w:r>
      <w:r>
        <w:rPr>
          <w:rFonts w:ascii="Arial" w:hAnsi="Arial" w:cs="Arial"/>
          <w:sz w:val="20"/>
          <w:szCs w:val="20"/>
        </w:rPr>
        <w:t>econometric</w:t>
      </w:r>
      <w:r w:rsidRPr="002F6F13">
        <w:rPr>
          <w:rFonts w:ascii="Arial" w:hAnsi="Arial" w:cs="Arial"/>
          <w:sz w:val="20"/>
          <w:szCs w:val="20"/>
        </w:rPr>
        <w:t xml:space="preserve"> approach to understand long-term trends, demand loss and recovery patterns in Indias inbound tourism.</w:t>
      </w:r>
    </w:p>
    <w:p w:rsidR="00C85D61" w:rsidRDefault="00C85D61" w:rsidP="0079383F">
      <w:pPr>
        <w:rPr>
          <w:rFonts w:ascii="Arial" w:hAnsi="Arial" w:cs="Arial"/>
          <w:b/>
          <w:bCs/>
        </w:rPr>
      </w:pPr>
    </w:p>
    <w:p w:rsidR="0079383F" w:rsidRPr="0079383F" w:rsidRDefault="00B0193F" w:rsidP="0079383F">
      <w:pPr>
        <w:rPr>
          <w:rFonts w:ascii="Arial" w:hAnsi="Arial" w:cs="Arial"/>
          <w:b/>
          <w:bCs/>
        </w:rPr>
      </w:pPr>
      <w:r>
        <w:rPr>
          <w:rFonts w:ascii="Arial" w:hAnsi="Arial" w:cs="Arial"/>
          <w:b/>
          <w:bCs/>
        </w:rPr>
        <w:t xml:space="preserve">2.2 </w:t>
      </w:r>
      <w:r w:rsidR="0079383F" w:rsidRPr="0079383F">
        <w:rPr>
          <w:rFonts w:ascii="Arial" w:hAnsi="Arial" w:cs="Arial"/>
          <w:b/>
          <w:bCs/>
        </w:rPr>
        <w:t>OBJECTIVES OF THE STUDY</w:t>
      </w:r>
    </w:p>
    <w:p w:rsidR="0079383F" w:rsidRPr="0079383F" w:rsidRDefault="0079383F" w:rsidP="0079383F">
      <w:pPr>
        <w:rPr>
          <w:rFonts w:ascii="Arial" w:hAnsi="Arial" w:cs="Arial"/>
          <w:sz w:val="20"/>
          <w:szCs w:val="20"/>
        </w:rPr>
      </w:pPr>
      <w:r w:rsidRPr="0079383F">
        <w:rPr>
          <w:rFonts w:ascii="Arial" w:hAnsi="Arial" w:cs="Arial"/>
          <w:sz w:val="20"/>
          <w:szCs w:val="20"/>
        </w:rPr>
        <w:t>The study is based on the following objectives:</w:t>
      </w:r>
    </w:p>
    <w:p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analyse the long-term growth pattern of inbound tourism in India using econometric methods. </w:t>
      </w:r>
    </w:p>
    <w:p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examine the impact of the COVID-19 pandemic on tourism demand and identify whether there is any permanent decline. </w:t>
      </w:r>
    </w:p>
    <w:p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study the relationship between foreign tourist arrivals and foreign exchange earnings using elasticity analysis. </w:t>
      </w:r>
    </w:p>
    <w:p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identify the main factors affecting regional tourism recovery, with special focus on diaspora share, medical tourism, and geographical distance. </w:t>
      </w:r>
    </w:p>
    <w:p w:rsidR="00A96AA4" w:rsidRPr="00A01640" w:rsidRDefault="0079383F" w:rsidP="008C5A77">
      <w:pPr>
        <w:numPr>
          <w:ilvl w:val="0"/>
          <w:numId w:val="2"/>
        </w:numPr>
        <w:rPr>
          <w:rFonts w:ascii="Arial" w:hAnsi="Arial" w:cs="Arial"/>
          <w:sz w:val="20"/>
          <w:szCs w:val="20"/>
        </w:rPr>
      </w:pPr>
      <w:r w:rsidRPr="0079383F">
        <w:rPr>
          <w:rFonts w:ascii="Arial" w:hAnsi="Arial" w:cs="Arial"/>
          <w:sz w:val="20"/>
          <w:szCs w:val="20"/>
        </w:rPr>
        <w:lastRenderedPageBreak/>
        <w:t xml:space="preserve">To analyse seasonal patterns and forecast future trends in inbound tourism using time-series models. </w:t>
      </w:r>
    </w:p>
    <w:p w:rsidR="00915624" w:rsidRPr="005C0B16" w:rsidRDefault="00106AA4" w:rsidP="00915624">
      <w:pPr>
        <w:jc w:val="both"/>
        <w:rPr>
          <w:rFonts w:ascii="Arial" w:hAnsi="Arial" w:cs="Arial"/>
          <w:b/>
          <w:bCs/>
        </w:rPr>
      </w:pPr>
      <w:r>
        <w:rPr>
          <w:rFonts w:ascii="Arial" w:hAnsi="Arial" w:cs="Arial"/>
          <w:b/>
          <w:bCs/>
        </w:rPr>
        <w:t>3</w:t>
      </w:r>
      <w:r w:rsidR="00915624" w:rsidRPr="005C0B16">
        <w:rPr>
          <w:rFonts w:ascii="Arial" w:hAnsi="Arial" w:cs="Arial"/>
          <w:b/>
          <w:bCs/>
        </w:rPr>
        <w:t>. METHODOLOGY</w:t>
      </w:r>
    </w:p>
    <w:p w:rsidR="00915624" w:rsidRPr="005C0B16" w:rsidRDefault="00106AA4" w:rsidP="00915624">
      <w:pPr>
        <w:jc w:val="both"/>
        <w:rPr>
          <w:rFonts w:ascii="Arial" w:hAnsi="Arial" w:cs="Arial"/>
          <w:b/>
          <w:bCs/>
          <w:sz w:val="20"/>
          <w:szCs w:val="20"/>
        </w:rPr>
      </w:pPr>
      <w:r>
        <w:rPr>
          <w:rFonts w:ascii="Arial" w:hAnsi="Arial" w:cs="Arial"/>
          <w:b/>
          <w:bCs/>
          <w:sz w:val="20"/>
          <w:szCs w:val="20"/>
        </w:rPr>
        <w:t>3</w:t>
      </w:r>
      <w:r w:rsidR="00915624" w:rsidRPr="005C0B16">
        <w:rPr>
          <w:rFonts w:ascii="Arial" w:hAnsi="Arial" w:cs="Arial"/>
          <w:b/>
          <w:bCs/>
          <w:sz w:val="20"/>
          <w:szCs w:val="20"/>
        </w:rPr>
        <w:t>.1 RESEARCH DESIGN</w:t>
      </w:r>
    </w:p>
    <w:p w:rsidR="00836EE4" w:rsidRPr="00AB08E4" w:rsidRDefault="00836EE4" w:rsidP="00836EE4">
      <w:pPr>
        <w:jc w:val="both"/>
        <w:rPr>
          <w:rFonts w:ascii="Arial" w:hAnsi="Arial" w:cs="Arial"/>
          <w:sz w:val="20"/>
          <w:szCs w:val="20"/>
        </w:rPr>
      </w:pPr>
      <w:r w:rsidRPr="00AB08E4">
        <w:rPr>
          <w:rFonts w:ascii="Arial" w:hAnsi="Arial" w:cs="Arial"/>
          <w:sz w:val="20"/>
          <w:szCs w:val="20"/>
        </w:rPr>
        <w:t xml:space="preserve">A quantitative longitudinal research design has been employed to check the performance and recovery dynamics of Indias </w:t>
      </w:r>
      <w:r>
        <w:rPr>
          <w:rFonts w:ascii="Arial" w:hAnsi="Arial" w:cs="Arial"/>
          <w:sz w:val="20"/>
          <w:szCs w:val="20"/>
        </w:rPr>
        <w:t>Inbound</w:t>
      </w:r>
      <w:r w:rsidRPr="00AB08E4">
        <w:rPr>
          <w:rFonts w:ascii="Arial" w:hAnsi="Arial" w:cs="Arial"/>
          <w:sz w:val="20"/>
          <w:szCs w:val="20"/>
        </w:rPr>
        <w:t xml:space="preserve"> tourism from 2001 to 2023. This approach facilitates analysis of long-term development patterns, identification of structural breakdown resulting from the COVID-19 pandemic and evaluation of recovery trajectory after crisis. The study uses analytical methods and purely descriptive analysis to apply semantic techniques to establish relationships between the dominant variable.</w:t>
      </w:r>
    </w:p>
    <w:p w:rsidR="00836EE4" w:rsidRPr="005C0B16" w:rsidRDefault="00836EE4" w:rsidP="00836EE4">
      <w:pPr>
        <w:jc w:val="both"/>
        <w:rPr>
          <w:rFonts w:ascii="Arial" w:hAnsi="Arial" w:cs="Arial"/>
          <w:b/>
          <w:bCs/>
          <w:sz w:val="20"/>
          <w:szCs w:val="20"/>
        </w:rPr>
      </w:pPr>
      <w:r>
        <w:rPr>
          <w:rFonts w:ascii="Arial" w:hAnsi="Arial" w:cs="Arial"/>
          <w:b/>
          <w:bCs/>
          <w:sz w:val="20"/>
          <w:szCs w:val="20"/>
        </w:rPr>
        <w:t>3.2</w:t>
      </w:r>
      <w:r w:rsidRPr="005C0B16">
        <w:rPr>
          <w:rFonts w:ascii="Arial" w:hAnsi="Arial" w:cs="Arial"/>
          <w:b/>
          <w:bCs/>
          <w:sz w:val="20"/>
          <w:szCs w:val="20"/>
        </w:rPr>
        <w:t xml:space="preserve"> DATA SOURCES</w:t>
      </w:r>
    </w:p>
    <w:p w:rsidR="00836EE4" w:rsidRPr="00A01640" w:rsidRDefault="00836EE4" w:rsidP="00915624">
      <w:pPr>
        <w:jc w:val="both"/>
      </w:pPr>
      <w:r w:rsidRPr="00AB08E4">
        <w:rPr>
          <w:rFonts w:ascii="Arial" w:hAnsi="Arial" w:cs="Arial"/>
          <w:sz w:val="20"/>
          <w:szCs w:val="20"/>
        </w:rPr>
        <w:t>The study uses secondary data collected from reliable and official sources, including Bureau of Immigration, Government of India, UNWTO World Tourism Barometer and Archaeological Survey of India. The dataset includes annual data from 2001 to 2023 as well as monthly data from 2021 to 2023 which helps to analyses both long-term trends and short-term changes in Indias inland tourism.</w:t>
      </w:r>
    </w:p>
    <w:p w:rsidR="00915624" w:rsidRPr="005C0B16" w:rsidRDefault="00106AA4" w:rsidP="00915624">
      <w:pPr>
        <w:jc w:val="both"/>
        <w:rPr>
          <w:rFonts w:ascii="Arial" w:hAnsi="Arial" w:cs="Arial"/>
          <w:b/>
          <w:bCs/>
          <w:sz w:val="20"/>
          <w:szCs w:val="20"/>
        </w:rPr>
      </w:pPr>
      <w:r>
        <w:rPr>
          <w:rFonts w:ascii="Arial" w:hAnsi="Arial" w:cs="Arial"/>
          <w:b/>
          <w:bCs/>
          <w:sz w:val="20"/>
          <w:szCs w:val="20"/>
        </w:rPr>
        <w:t>3</w:t>
      </w:r>
      <w:r w:rsidR="00F5566A">
        <w:rPr>
          <w:rFonts w:ascii="Arial" w:hAnsi="Arial" w:cs="Arial"/>
          <w:b/>
          <w:bCs/>
          <w:sz w:val="20"/>
          <w:szCs w:val="20"/>
        </w:rPr>
        <w:t xml:space="preserve">.3 </w:t>
      </w:r>
      <w:r w:rsidR="00F5566A" w:rsidRPr="005C0B16">
        <w:rPr>
          <w:rFonts w:ascii="Arial" w:hAnsi="Arial" w:cs="Arial"/>
          <w:b/>
          <w:bCs/>
          <w:sz w:val="20"/>
          <w:szCs w:val="20"/>
        </w:rPr>
        <w:t>ANALYTICAL</w:t>
      </w:r>
      <w:r w:rsidR="00915624" w:rsidRPr="005C0B16">
        <w:rPr>
          <w:rFonts w:ascii="Arial" w:hAnsi="Arial" w:cs="Arial"/>
          <w:b/>
          <w:bCs/>
          <w:sz w:val="20"/>
          <w:szCs w:val="20"/>
        </w:rPr>
        <w:t xml:space="preserve"> TECHNIQUES</w:t>
      </w:r>
    </w:p>
    <w:p w:rsidR="009C67B4" w:rsidRPr="009C67B4" w:rsidRDefault="009C67B4" w:rsidP="009C67B4">
      <w:pPr>
        <w:jc w:val="both"/>
        <w:rPr>
          <w:rFonts w:ascii="Arial" w:hAnsi="Arial" w:cs="Arial"/>
          <w:sz w:val="20"/>
          <w:szCs w:val="20"/>
        </w:rPr>
      </w:pPr>
      <w:r w:rsidRPr="009C67B4">
        <w:rPr>
          <w:rFonts w:ascii="Arial" w:hAnsi="Arial" w:cs="Arial"/>
          <w:sz w:val="20"/>
          <w:szCs w:val="20"/>
        </w:rPr>
        <w:t>Various econometric models are used to achieve study objectives and test hypotheses. log-linear growth model is used to study long-term development trends and changes over time. Intervention analysis is used to measure both immediate and long-term effects of Covid-19 shock. Log-log elastic model is used to understand how foreign exchange earnings change with the arrival of tourists. A panel regression model helps identify key factors affecting regional tourism recovery. In addition, the SARIMA model is used to study seasonal patterns and predict future tourism demand.</w:t>
      </w:r>
    </w:p>
    <w:p w:rsidR="00915624" w:rsidRPr="00943A01" w:rsidRDefault="00106AA4" w:rsidP="00915624">
      <w:pPr>
        <w:jc w:val="both"/>
        <w:rPr>
          <w:rFonts w:ascii="Arial" w:hAnsi="Arial" w:cs="Arial"/>
          <w:b/>
          <w:bCs/>
          <w:color w:val="FF0000"/>
        </w:rPr>
      </w:pPr>
      <w:r w:rsidRPr="00943A01">
        <w:rPr>
          <w:rFonts w:ascii="Arial" w:hAnsi="Arial" w:cs="Arial"/>
          <w:b/>
          <w:bCs/>
          <w:color w:val="FF0000"/>
        </w:rPr>
        <w:t>3</w:t>
      </w:r>
      <w:r w:rsidR="00F5566A" w:rsidRPr="00943A01">
        <w:rPr>
          <w:rFonts w:ascii="Arial" w:hAnsi="Arial" w:cs="Arial"/>
          <w:b/>
          <w:bCs/>
          <w:color w:val="FF0000"/>
        </w:rPr>
        <w:t>.4ECONOMETRIC MODELS</w:t>
      </w:r>
    </w:p>
    <w:p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1: Log-Linear Growth Model (Baltagi, 2008)</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⁡(IT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rsidR="00915624" w:rsidRPr="005C0B16" w:rsidRDefault="00915624" w:rsidP="00915624">
      <w:pPr>
        <w:spacing w:after="0" w:line="276" w:lineRule="auto"/>
        <w:ind w:left="360"/>
        <w:jc w:val="both"/>
        <w:rPr>
          <w:rFonts w:ascii="Arial" w:hAnsi="Arial" w:cs="Arial"/>
          <w:sz w:val="20"/>
          <w:szCs w:val="20"/>
        </w:rPr>
      </w:pPr>
      <m:oMath>
        <m:r>
          <m:rPr>
            <m:sty m:val="p"/>
          </m:rPr>
          <w:rPr>
            <w:rFonts w:ascii="Cambria Math" w:hAnsi="Cambria Math" w:cs="Arial"/>
            <w:sz w:val="20"/>
            <w:szCs w:val="20"/>
          </w:rPr>
          <m:t>ln</m:t>
        </m:r>
        <m:r>
          <w:rPr>
            <w:rFonts w:ascii="Cambria Math" w:hAnsi="Cambria Math" w:cs="Arial"/>
            <w:sz w:val="20"/>
            <w:szCs w:val="20"/>
          </w:rPr>
          <m:t>⁡(IT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oMath>
      <w:r w:rsidRPr="005C0B16">
        <w:rPr>
          <w:rFonts w:ascii="Arial" w:hAnsi="Arial" w:cs="Arial"/>
          <w:sz w:val="20"/>
          <w:szCs w:val="20"/>
        </w:rPr>
        <w:t> = Natural log of India’s ITAs in year t</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t</m:t>
        </m:r>
      </m:oMath>
      <w:r w:rsidRPr="005C0B16">
        <w:rPr>
          <w:rFonts w:ascii="Arial" w:hAnsi="Arial" w:cs="Arial"/>
          <w:sz w:val="20"/>
          <w:szCs w:val="20"/>
        </w:rPr>
        <w:t> = Time trend (1 = 2001, 2 = 2002, …, 23 = 2023)</w:t>
      </w:r>
    </w:p>
    <w:p w:rsidR="00915624" w:rsidRPr="005C0B16" w:rsidRDefault="0088606A"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oMath>
      <w:r w:rsidR="00915624" w:rsidRPr="005C0B16">
        <w:rPr>
          <w:rFonts w:ascii="Arial" w:hAnsi="Arial" w:cs="Arial"/>
          <w:sz w:val="20"/>
          <w:szCs w:val="20"/>
        </w:rPr>
        <w:t> = Dummy variable (0 for 2001–2019, 1 for 2020–2023)</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oMath>
      <w:r w:rsidRPr="005C0B16">
        <w:rPr>
          <w:rFonts w:ascii="Arial" w:hAnsi="Arial" w:cs="Arial"/>
          <w:sz w:val="20"/>
          <w:szCs w:val="20"/>
        </w:rPr>
        <w:t> = Interaction term (allows post-COVID slope change)</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2: Intervention Analysis (</w:t>
      </w:r>
      <w:r w:rsidRPr="006D10D3">
        <w:rPr>
          <w:rFonts w:ascii="Arial" w:hAnsi="Arial" w:cs="Arial"/>
          <w:b/>
          <w:bCs/>
          <w:sz w:val="20"/>
          <w:szCs w:val="20"/>
        </w:rPr>
        <w:t>Box, 1975)</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sz w:val="20"/>
          <w:szCs w:val="20"/>
        </w:rPr>
      </w:pPr>
      <m:oMathPara>
        <m:oMath>
          <m:r>
            <w:rPr>
              <w:rFonts w:ascii="Cambria Math" w:hAnsi="Cambria Math" w:cs="Arial"/>
              <w:sz w:val="20"/>
              <w:szCs w:val="20"/>
            </w:rPr>
            <m:t>IT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1</m:t>
              </m:r>
            </m:sub>
          </m:sSub>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2</m:t>
              </m:r>
            </m:sub>
          </m:sSub>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3</m:t>
              </m:r>
            </m:sub>
          </m:sSub>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t</m:t>
              </m:r>
            </m:sub>
          </m:sSub>
          <m:r>
            <m:rPr>
              <m:sty m:val="p"/>
            </m:rPr>
            <w:rPr>
              <w:rFonts w:ascii="Cambria Math" w:hAnsi="Cambria Math" w:cs="Arial"/>
              <w:sz w:val="20"/>
              <w:szCs w:val="20"/>
            </w:rPr>
            <w:br/>
          </m:r>
        </m:oMath>
      </m:oMathPara>
    </w:p>
    <w:p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rsidR="00915624" w:rsidRPr="005C0B16" w:rsidRDefault="0088606A"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oMath>
      <w:r w:rsidR="00915624" w:rsidRPr="005C0B16">
        <w:rPr>
          <w:rFonts w:ascii="Arial" w:hAnsi="Arial" w:cs="Arial"/>
          <w:sz w:val="20"/>
          <w:szCs w:val="20"/>
        </w:rPr>
        <w:t> = Pulse intervention (1 for 2020, 0 otherwise) – captures immediate COVID shock</w:t>
      </w:r>
    </w:p>
    <w:p w:rsidR="00915624" w:rsidRPr="005C0B16" w:rsidRDefault="0088606A"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00915624" w:rsidRPr="005C0B16">
        <w:rPr>
          <w:rFonts w:ascii="Arial" w:hAnsi="Arial" w:cs="Arial"/>
          <w:sz w:val="20"/>
          <w:szCs w:val="20"/>
        </w:rPr>
        <w:t> = Step intervention (0 for 2001–2019, 1 for 2020–2023) – captures permanent level shift</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3: Log-Log Elasticity Model (</w:t>
      </w:r>
      <w:r w:rsidRPr="006D10D3">
        <w:rPr>
          <w:rFonts w:ascii="Arial" w:hAnsi="Arial" w:cs="Arial"/>
          <w:b/>
          <w:bCs/>
          <w:sz w:val="20"/>
          <w:szCs w:val="20"/>
        </w:rPr>
        <w:t>Song</w:t>
      </w:r>
      <w:r w:rsidRPr="005C0B16">
        <w:rPr>
          <w:rFonts w:ascii="Arial" w:hAnsi="Arial" w:cs="Arial"/>
          <w:b/>
          <w:bCs/>
          <w:sz w:val="20"/>
          <w:szCs w:val="20"/>
        </w:rPr>
        <w:t xml:space="preserve">, </w:t>
      </w:r>
      <w:r w:rsidRPr="006D10D3">
        <w:rPr>
          <w:rFonts w:ascii="Arial" w:hAnsi="Arial" w:cs="Arial"/>
          <w:b/>
          <w:bCs/>
          <w:sz w:val="20"/>
          <w:szCs w:val="20"/>
        </w:rPr>
        <w:t>2008)</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⁡(FE</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1</m:t>
              </m:r>
            </m:sub>
          </m:sSub>
          <m:r>
            <m:rPr>
              <m:sty m:val="p"/>
            </m:rPr>
            <w:rPr>
              <w:rFonts w:ascii="Cambria Math" w:hAnsi="Cambria Math" w:cs="Arial"/>
              <w:sz w:val="20"/>
              <w:szCs w:val="20"/>
            </w:rPr>
            <m:t>ln</m:t>
          </m:r>
          <m:r>
            <w:rPr>
              <w:rFonts w:ascii="Cambria Math" w:hAnsi="Cambria Math" w:cs="Arial"/>
              <w:sz w:val="20"/>
              <w:szCs w:val="20"/>
            </w:rPr>
            <m:t>⁡(FT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2</m:t>
              </m:r>
            </m:sub>
          </m:sSub>
          <m:r>
            <m:rPr>
              <m:sty m:val="p"/>
            </m:rPr>
            <w:rPr>
              <w:rFonts w:ascii="Cambria Math" w:hAnsi="Cambria Math" w:cs="Arial"/>
              <w:sz w:val="20"/>
              <w:szCs w:val="20"/>
            </w:rPr>
            <m:t>ln</m:t>
          </m:r>
          <m:r>
            <w:rPr>
              <w:rFonts w:ascii="Cambria Math" w:hAnsi="Cambria Math" w:cs="Arial"/>
              <w:sz w:val="20"/>
              <w:szCs w:val="20"/>
            </w:rPr>
            <m:t>⁡(FT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3</m:t>
              </m:r>
            </m:sub>
          </m:sSub>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lastRenderedPageBreak/>
        <w:t>Where:</w:t>
      </w:r>
    </w:p>
    <w:p w:rsidR="00915624" w:rsidRPr="005C0B16" w:rsidRDefault="00915624" w:rsidP="00915624">
      <w:pPr>
        <w:spacing w:after="0" w:line="276" w:lineRule="auto"/>
        <w:ind w:left="360"/>
        <w:jc w:val="both"/>
        <w:rPr>
          <w:rFonts w:ascii="Arial" w:hAnsi="Arial" w:cs="Arial"/>
          <w:sz w:val="20"/>
          <w:szCs w:val="20"/>
        </w:rPr>
      </w:pPr>
      <m:oMath>
        <m:r>
          <m:rPr>
            <m:sty m:val="p"/>
          </m:rPr>
          <w:rPr>
            <w:rFonts w:ascii="Cambria Math" w:hAnsi="Cambria Math" w:cs="Arial"/>
            <w:sz w:val="20"/>
            <w:szCs w:val="20"/>
          </w:rPr>
          <m:t>ln</m:t>
        </m:r>
        <m:r>
          <w:rPr>
            <w:rFonts w:ascii="Cambria Math" w:hAnsi="Cambria Math" w:cs="Arial"/>
            <w:sz w:val="20"/>
            <w:szCs w:val="20"/>
          </w:rPr>
          <m:t>⁡(FE</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t</m:t>
            </m:r>
          </m:sub>
        </m:sSub>
        <m:r>
          <w:rPr>
            <w:rFonts w:ascii="Cambria Math" w:hAnsi="Cambria Math" w:cs="Arial"/>
            <w:sz w:val="20"/>
            <w:szCs w:val="20"/>
          </w:rPr>
          <m:t>)</m:t>
        </m:r>
      </m:oMath>
      <w:r w:rsidRPr="005C0B16">
        <w:rPr>
          <w:rFonts w:ascii="Arial" w:hAnsi="Arial" w:cs="Arial"/>
          <w:sz w:val="20"/>
          <w:szCs w:val="20"/>
        </w:rPr>
        <w:t> = Natural log of Foreign Exchange Earnings</w:t>
      </w:r>
    </w:p>
    <w:p w:rsidR="00915624" w:rsidRPr="005C0B16" w:rsidRDefault="00915624" w:rsidP="00915624">
      <w:pPr>
        <w:spacing w:after="0" w:line="276" w:lineRule="auto"/>
        <w:ind w:left="360"/>
        <w:jc w:val="both"/>
        <w:rPr>
          <w:rFonts w:ascii="Arial" w:hAnsi="Arial" w:cs="Arial"/>
          <w:sz w:val="20"/>
          <w:szCs w:val="20"/>
        </w:rPr>
      </w:pPr>
      <m:oMath>
        <m:r>
          <m:rPr>
            <m:sty m:val="p"/>
          </m:rPr>
          <w:rPr>
            <w:rFonts w:ascii="Cambria Math" w:hAnsi="Cambria Math" w:cs="Arial"/>
            <w:sz w:val="20"/>
            <w:szCs w:val="20"/>
          </w:rPr>
          <m:t>ln</m:t>
        </m:r>
        <m:r>
          <w:rPr>
            <w:rFonts w:ascii="Cambria Math" w:hAnsi="Cambria Math" w:cs="Arial"/>
            <w:sz w:val="20"/>
            <w:szCs w:val="20"/>
          </w:rPr>
          <m:t>⁡(FT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oMath>
      <w:r w:rsidRPr="005C0B16">
        <w:rPr>
          <w:rFonts w:ascii="Arial" w:hAnsi="Arial" w:cs="Arial"/>
          <w:sz w:val="20"/>
          <w:szCs w:val="20"/>
        </w:rPr>
        <w:t> = Natural log of Foreign Tourist Arrivals</w:t>
      </w:r>
    </w:p>
    <w:p w:rsidR="00915624" w:rsidRPr="005C0B16" w:rsidRDefault="0088606A"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915624" w:rsidRPr="005C0B16">
        <w:rPr>
          <w:rFonts w:ascii="Arial" w:hAnsi="Arial" w:cs="Arial"/>
          <w:sz w:val="20"/>
          <w:szCs w:val="20"/>
        </w:rPr>
        <w:t> = Pre-COVID elasticity coefficient</w:t>
      </w:r>
    </w:p>
    <w:p w:rsidR="00915624" w:rsidRPr="005C0B16" w:rsidRDefault="0088606A"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915624" w:rsidRPr="005C0B16">
        <w:rPr>
          <w:rFonts w:ascii="Arial" w:hAnsi="Arial" w:cs="Arial"/>
          <w:sz w:val="20"/>
          <w:szCs w:val="20"/>
        </w:rPr>
        <w:t> = Post-COVID elasticity coefficient</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4: Panel Regression for Regional Recovery (</w:t>
      </w:r>
      <w:r w:rsidRPr="006D10D3">
        <w:rPr>
          <w:rFonts w:ascii="Arial" w:hAnsi="Arial" w:cs="Arial"/>
          <w:b/>
          <w:bCs/>
          <w:sz w:val="20"/>
          <w:szCs w:val="20"/>
        </w:rPr>
        <w:t>Arellano</w:t>
      </w:r>
      <w:r w:rsidRPr="005C0B16">
        <w:rPr>
          <w:rFonts w:ascii="Arial" w:hAnsi="Arial" w:cs="Arial"/>
          <w:b/>
          <w:bCs/>
          <w:sz w:val="20"/>
          <w:szCs w:val="20"/>
        </w:rPr>
        <w:t xml:space="preserve">, </w:t>
      </w:r>
      <w:r w:rsidRPr="006D10D3">
        <w:rPr>
          <w:rFonts w:ascii="Arial" w:hAnsi="Arial" w:cs="Arial"/>
          <w:b/>
          <w:bCs/>
          <w:sz w:val="20"/>
          <w:szCs w:val="20"/>
        </w:rPr>
        <w:t>2003)</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⁡(Recover</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rt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1</m:t>
              </m:r>
            </m:sub>
          </m:sSub>
          <m:r>
            <w:rPr>
              <w:rFonts w:ascii="Cambria Math" w:hAnsi="Cambria Math" w:cs="Arial"/>
              <w:sz w:val="20"/>
              <w:szCs w:val="20"/>
            </w:rPr>
            <m:t>Diaspor</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2</m:t>
              </m:r>
            </m:sub>
          </m:sSub>
          <m:r>
            <w:rPr>
              <w:rFonts w:ascii="Cambria Math" w:hAnsi="Cambria Math" w:cs="Arial"/>
              <w:sz w:val="20"/>
              <w:szCs w:val="20"/>
            </w:rPr>
            <m:t>Distanc</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3</m:t>
              </m:r>
            </m:sub>
          </m:sSub>
          <m:r>
            <w:rPr>
              <w:rFonts w:ascii="Cambria Math" w:hAnsi="Cambria Math" w:cs="Arial"/>
              <w:sz w:val="20"/>
              <w:szCs w:val="20"/>
            </w:rPr>
            <m:t>Medica</m:t>
          </m:r>
          <m:sSub>
            <m:sSubPr>
              <m:ctrlPr>
                <w:rPr>
                  <w:rFonts w:ascii="Cambria Math" w:hAnsi="Cambria Math" w:cs="Arial"/>
                  <w:sz w:val="20"/>
                  <w:szCs w:val="20"/>
                </w:rPr>
              </m:ctrlPr>
            </m:sSubPr>
            <m:e>
              <m:r>
                <w:rPr>
                  <w:rFonts w:ascii="Cambria Math" w:hAnsi="Cambria Math" w:cs="Arial"/>
                  <w:sz w:val="20"/>
                  <w:szCs w:val="20"/>
                </w:rPr>
                <m:t>l</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μ</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rt</m:t>
              </m:r>
            </m:sub>
          </m:sSub>
          <m:r>
            <m:rPr>
              <m:sty m:val="p"/>
            </m:rPr>
            <w:rPr>
              <w:rFonts w:ascii="Cambria Math" w:hAnsi="Cambria Math" w:cs="Arial"/>
              <w:sz w:val="20"/>
              <w:szCs w:val="20"/>
            </w:rPr>
            <w:br/>
          </m:r>
        </m:oMath>
      </m:oMathPara>
    </w:p>
    <w:p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Recover</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rt</m:t>
            </m:r>
          </m:sub>
        </m:sSub>
      </m:oMath>
      <w:r w:rsidRPr="005C0B16">
        <w:rPr>
          <w:rFonts w:ascii="Arial" w:hAnsi="Arial" w:cs="Arial"/>
          <w:sz w:val="20"/>
          <w:szCs w:val="20"/>
        </w:rPr>
        <w:t> = Recovery index for region r in year t (2020–2023)</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Diaspor</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r</m:t>
            </m:r>
          </m:sub>
        </m:sSub>
      </m:oMath>
      <w:r w:rsidRPr="005C0B16">
        <w:rPr>
          <w:rFonts w:ascii="Arial" w:hAnsi="Arial" w:cs="Arial"/>
          <w:sz w:val="20"/>
          <w:szCs w:val="20"/>
        </w:rPr>
        <w:t> = Share of diaspora travel in region r (from Table 1)</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Distanc</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r</m:t>
            </m:r>
          </m:sub>
        </m:sSub>
      </m:oMath>
      <w:r w:rsidRPr="005C0B16">
        <w:rPr>
          <w:rFonts w:ascii="Arial" w:hAnsi="Arial" w:cs="Arial"/>
          <w:sz w:val="20"/>
          <w:szCs w:val="20"/>
        </w:rPr>
        <w:t> = Geographic distance from India (proxied by region)</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Medica</m:t>
        </m:r>
        <m:sSub>
          <m:sSubPr>
            <m:ctrlPr>
              <w:rPr>
                <w:rFonts w:ascii="Cambria Math" w:hAnsi="Cambria Math" w:cs="Arial"/>
                <w:sz w:val="20"/>
                <w:szCs w:val="20"/>
              </w:rPr>
            </m:ctrlPr>
          </m:sSubPr>
          <m:e>
            <m:r>
              <w:rPr>
                <w:rFonts w:ascii="Cambria Math" w:hAnsi="Cambria Math" w:cs="Arial"/>
                <w:sz w:val="20"/>
                <w:szCs w:val="20"/>
              </w:rPr>
              <m:t>l</m:t>
            </m:r>
          </m:e>
          <m:sub>
            <m:r>
              <w:rPr>
                <w:rFonts w:ascii="Cambria Math" w:hAnsi="Cambria Math" w:cs="Arial"/>
                <w:sz w:val="20"/>
                <w:szCs w:val="20"/>
              </w:rPr>
              <m:t>r</m:t>
            </m:r>
          </m:sub>
        </m:sSub>
      </m:oMath>
      <w:r w:rsidRPr="005C0B16">
        <w:rPr>
          <w:rFonts w:ascii="Arial" w:hAnsi="Arial" w:cs="Arial"/>
          <w:sz w:val="20"/>
          <w:szCs w:val="20"/>
        </w:rPr>
        <w:t> = Share of medical tourism in region r</w:t>
      </w:r>
    </w:p>
    <w:p w:rsidR="00915624" w:rsidRPr="005C0B16" w:rsidRDefault="0088606A"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μ</m:t>
            </m:r>
          </m:e>
          <m:sub>
            <m:r>
              <w:rPr>
                <w:rFonts w:ascii="Cambria Math" w:hAnsi="Cambria Math" w:cs="Arial"/>
                <w:sz w:val="20"/>
                <w:szCs w:val="20"/>
              </w:rPr>
              <m:t>r</m:t>
            </m:r>
          </m:sub>
        </m:sSub>
      </m:oMath>
      <w:r w:rsidR="00915624" w:rsidRPr="005C0B16">
        <w:rPr>
          <w:rFonts w:ascii="Arial" w:hAnsi="Arial" w:cs="Arial"/>
          <w:sz w:val="20"/>
          <w:szCs w:val="20"/>
        </w:rPr>
        <w:t> = Region fixed effects</w:t>
      </w:r>
    </w:p>
    <w:p w:rsidR="00915624" w:rsidRPr="005C0B16" w:rsidRDefault="00915624" w:rsidP="00915624">
      <w:pPr>
        <w:jc w:val="both"/>
        <w:rPr>
          <w:rFonts w:ascii="Arial" w:hAnsi="Arial" w:cs="Arial"/>
          <w:sz w:val="20"/>
          <w:szCs w:val="20"/>
        </w:rPr>
      </w:pPr>
    </w:p>
    <w:p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5: ARIMA with Seasonality (</w:t>
      </w:r>
      <w:r w:rsidRPr="006D10D3">
        <w:rPr>
          <w:rFonts w:ascii="Arial" w:hAnsi="Arial" w:cs="Arial"/>
          <w:b/>
          <w:bCs/>
          <w:sz w:val="20"/>
          <w:szCs w:val="20"/>
        </w:rPr>
        <w:t>Goh, 2002</w:t>
      </w:r>
      <w:r w:rsidRPr="005C0B16">
        <w:rPr>
          <w:rFonts w:ascii="Arial" w:hAnsi="Arial" w:cs="Arial"/>
          <w:b/>
          <w:bCs/>
          <w:sz w:val="20"/>
          <w:szCs w:val="20"/>
        </w:rPr>
        <w:t>)</w:t>
      </w:r>
    </w:p>
    <w:p w:rsidR="00915624" w:rsidRPr="005C0B16" w:rsidRDefault="00915624" w:rsidP="00915624">
      <w:pPr>
        <w:jc w:val="both"/>
        <w:rPr>
          <w:rFonts w:ascii="Arial" w:hAnsi="Arial" w:cs="Arial"/>
          <w:b/>
          <w:bCs/>
          <w:sz w:val="20"/>
          <w:szCs w:val="20"/>
        </w:rPr>
      </w:pPr>
    </w:p>
    <w:p w:rsidR="00915624" w:rsidRPr="005C0B16" w:rsidRDefault="00915624" w:rsidP="00915624">
      <w:pPr>
        <w:jc w:val="both"/>
        <w:rPr>
          <w:rFonts w:ascii="Arial" w:hAnsi="Arial" w:cs="Arial"/>
          <w:sz w:val="20"/>
          <w:szCs w:val="20"/>
        </w:rPr>
      </w:pPr>
      <w:r w:rsidRPr="005C0B16">
        <w:rPr>
          <w:rFonts w:ascii="Arial" w:hAnsi="Arial" w:cs="Arial"/>
          <w:b/>
          <w:bCs/>
          <w:sz w:val="20"/>
          <w:szCs w:val="20"/>
        </w:rPr>
        <w:t>Formula (SARIMA):</w:t>
      </w:r>
    </w:p>
    <w:p w:rsidR="00915624" w:rsidRPr="005C0B16" w:rsidRDefault="00915624" w:rsidP="00915624">
      <w:pPr>
        <w:jc w:val="both"/>
        <w:rPr>
          <w:rFonts w:ascii="Arial" w:hAnsi="Arial" w:cs="Arial"/>
          <w:sz w:val="20"/>
          <w:szCs w:val="20"/>
        </w:rPr>
      </w:pPr>
      <m:oMathPara>
        <m:oMath>
          <m:r>
            <w:rPr>
              <w:rFonts w:ascii="Cambria Math" w:hAnsi="Cambria Math" w:cs="Arial"/>
              <w:sz w:val="20"/>
              <w:szCs w:val="20"/>
            </w:rPr>
            <m:t>SARIMA(p,d,q)(P,D,Q</m:t>
          </m:r>
          <m:sSub>
            <m:sSubPr>
              <m:ctrlPr>
                <w:rPr>
                  <w:rFonts w:ascii="Cambria Math" w:hAnsi="Cambria Math" w:cs="Arial"/>
                  <w:sz w:val="20"/>
                  <w:szCs w:val="20"/>
                </w:rPr>
              </m:ctrlPr>
            </m:sSubPr>
            <m:e>
              <m:r>
                <w:rPr>
                  <w:rFonts w:ascii="Cambria Math" w:hAnsi="Cambria Math" w:cs="Arial"/>
                  <w:sz w:val="20"/>
                  <w:szCs w:val="20"/>
                </w:rPr>
                <m:t>)</m:t>
              </m:r>
            </m:e>
            <m:sub>
              <m:r>
                <w:rPr>
                  <w:rFonts w:ascii="Cambria Math" w:hAnsi="Cambria Math" w:cs="Arial"/>
                  <w:sz w:val="20"/>
                  <w:szCs w:val="20"/>
                </w:rPr>
                <m:t>12</m:t>
              </m:r>
            </m:sub>
          </m:sSub>
          <m:r>
            <m:rPr>
              <m:sty m:val="p"/>
            </m:rPr>
            <w:rPr>
              <w:rFonts w:ascii="Cambria Math" w:hAnsi="Cambria Math" w:cs="Arial"/>
              <w:sz w:val="20"/>
              <w:szCs w:val="20"/>
            </w:rPr>
            <w:br/>
          </m:r>
        </m:oMath>
      </m:oMathPara>
    </w:p>
    <w:p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p</m:t>
        </m:r>
      </m:oMath>
      <w:r w:rsidRPr="005C0B16">
        <w:rPr>
          <w:rFonts w:ascii="Arial" w:hAnsi="Arial" w:cs="Arial"/>
          <w:sz w:val="20"/>
          <w:szCs w:val="20"/>
        </w:rPr>
        <w:t> = Autoregressive order (how past values predict current)</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d</m:t>
        </m:r>
      </m:oMath>
      <w:r w:rsidRPr="005C0B16">
        <w:rPr>
          <w:rFonts w:ascii="Arial" w:hAnsi="Arial" w:cs="Arial"/>
          <w:sz w:val="20"/>
          <w:szCs w:val="20"/>
        </w:rPr>
        <w:t> = Differencing order (to make series stationary)</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q</m:t>
        </m:r>
      </m:oMath>
      <w:r w:rsidRPr="005C0B16">
        <w:rPr>
          <w:rFonts w:ascii="Arial" w:hAnsi="Arial" w:cs="Arial"/>
          <w:sz w:val="20"/>
          <w:szCs w:val="20"/>
        </w:rPr>
        <w:t> = Moving average order</w:t>
      </w:r>
    </w:p>
    <w:p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P,D,Q</m:t>
        </m:r>
      </m:oMath>
      <w:r w:rsidRPr="005C0B16">
        <w:rPr>
          <w:rFonts w:ascii="Arial" w:hAnsi="Arial" w:cs="Arial"/>
          <w:sz w:val="20"/>
          <w:szCs w:val="20"/>
        </w:rPr>
        <w:t> = Seasonal components (12-month cycle)</w:t>
      </w:r>
    </w:p>
    <w:p w:rsidR="00915624" w:rsidRPr="00106AA4" w:rsidRDefault="00915624" w:rsidP="00106AA4">
      <w:pPr>
        <w:pStyle w:val="ListParagraph"/>
        <w:numPr>
          <w:ilvl w:val="0"/>
          <w:numId w:val="3"/>
        </w:numPr>
        <w:spacing w:after="0" w:line="276" w:lineRule="auto"/>
        <w:jc w:val="both"/>
        <w:rPr>
          <w:rFonts w:ascii="Arial" w:hAnsi="Arial" w:cs="Arial"/>
          <w:sz w:val="20"/>
          <w:szCs w:val="20"/>
        </w:rPr>
      </w:pPr>
      <w:r w:rsidRPr="00106AA4">
        <w:rPr>
          <w:rFonts w:ascii="Arial" w:hAnsi="Arial" w:cs="Arial"/>
          <w:sz w:val="20"/>
          <w:szCs w:val="20"/>
        </w:rPr>
        <w:t xml:space="preserve"> Monthly seasonality</w:t>
      </w:r>
    </w:p>
    <w:p w:rsidR="00915624" w:rsidRDefault="00915624" w:rsidP="008C5A77">
      <w:pPr>
        <w:rPr>
          <w:rFonts w:ascii="Arial" w:hAnsi="Arial" w:cs="Arial"/>
          <w:b/>
          <w:bCs/>
        </w:rPr>
      </w:pPr>
    </w:p>
    <w:p w:rsidR="008C5A77" w:rsidRPr="00943A01" w:rsidRDefault="00106AA4" w:rsidP="00106AA4">
      <w:pPr>
        <w:rPr>
          <w:rFonts w:ascii="Arial" w:hAnsi="Arial" w:cs="Arial"/>
          <w:b/>
          <w:bCs/>
          <w:color w:val="FF0000"/>
        </w:rPr>
      </w:pPr>
      <w:r w:rsidRPr="00943A01">
        <w:rPr>
          <w:rFonts w:ascii="Arial" w:hAnsi="Arial" w:cs="Arial"/>
          <w:b/>
          <w:bCs/>
          <w:color w:val="FF0000"/>
        </w:rPr>
        <w:t>4.</w:t>
      </w:r>
      <w:r w:rsidR="008C5A77" w:rsidRPr="00943A01">
        <w:rPr>
          <w:rFonts w:ascii="Arial" w:hAnsi="Arial" w:cs="Arial"/>
          <w:b/>
          <w:bCs/>
          <w:color w:val="FF0000"/>
        </w:rPr>
        <w:t xml:space="preserve">Result and Discussion - </w:t>
      </w:r>
    </w:p>
    <w:p w:rsidR="009C67B4" w:rsidRPr="009C67B4" w:rsidRDefault="009C67B4" w:rsidP="00B0193F">
      <w:pPr>
        <w:spacing w:line="276" w:lineRule="auto"/>
        <w:jc w:val="both"/>
        <w:rPr>
          <w:rFonts w:ascii="Arial" w:hAnsi="Arial" w:cs="Arial"/>
          <w:sz w:val="20"/>
          <w:szCs w:val="20"/>
        </w:rPr>
      </w:pPr>
      <w:r w:rsidRPr="009C67B4">
        <w:rPr>
          <w:rFonts w:ascii="Arial" w:hAnsi="Arial" w:cs="Arial"/>
          <w:sz w:val="20"/>
          <w:szCs w:val="20"/>
        </w:rPr>
        <w:t>The results of the log-linear growth model are presented in table 1. The model examines the increase in the arrival of international tourists in India from 2001 to 2023, using the logarithm of tourist arrivals as a dependent variable, including the word covid-19 dummy and an interaction. The model shows around 94.6 percent variation in tourist arrivals. Prior to the pandemic, tourist arrivals were increasing at an annual rate of about 9.23% (</w:t>
      </w:r>
      <w:r w:rsidRPr="009C67B4">
        <w:rPr>
          <w:rFonts w:ascii="Arial" w:hAnsi="Arial" w:cs="Arial"/>
          <w:i/>
          <w:iCs/>
          <w:sz w:val="20"/>
          <w:szCs w:val="20"/>
        </w:rPr>
        <w:t>P</w:t>
      </w:r>
      <w:r w:rsidRPr="009C67B4">
        <w:rPr>
          <w:rFonts w:ascii="Arial" w:hAnsi="Arial" w:cs="Arial"/>
          <w:sz w:val="20"/>
          <w:szCs w:val="20"/>
        </w:rPr>
        <w:t>&lt; .001). The COVID-19 dummy is also statistically significant (P &lt; .001), which confirms significant decline in tourist arrivals in 2020 due to pandemic.</w:t>
      </w:r>
    </w:p>
    <w:p w:rsidR="009C67B4" w:rsidRPr="009C67B4" w:rsidRDefault="009C67B4" w:rsidP="00B0193F">
      <w:pPr>
        <w:spacing w:line="276" w:lineRule="auto"/>
        <w:jc w:val="both"/>
        <w:rPr>
          <w:rFonts w:ascii="Arial" w:hAnsi="Arial" w:cs="Arial"/>
          <w:sz w:val="20"/>
          <w:szCs w:val="20"/>
        </w:rPr>
      </w:pPr>
      <w:r w:rsidRPr="009C67B4">
        <w:rPr>
          <w:rFonts w:ascii="Arial" w:hAnsi="Arial" w:cs="Arial"/>
          <w:sz w:val="20"/>
          <w:szCs w:val="20"/>
        </w:rPr>
        <w:t xml:space="preserve">The interaction term interaction is not statistically significant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 xml:space="preserve"> = .12),</w:t>
      </w:r>
      <w:r w:rsidRPr="009C67B4">
        <w:rPr>
          <w:rFonts w:ascii="Arial" w:hAnsi="Arial" w:cs="Arial"/>
          <w:sz w:val="20"/>
          <w:szCs w:val="20"/>
        </w:rPr>
        <w:t xml:space="preserve"> which indicates that the change in growth after COVID-19 is not entirely different from the earlier trend. Although the estimated growth rate after the pandemic is around 6.11%, the long-term development pattern continues to be substantially. Diagnostic tests do not show any serious problems of autocorrelation. Overall, the findings suggest that although there was a temporary decline in tourist arrivals due to the pandemic, it did not permanently alter the long-term growth trend of India’s tourism sector.</w:t>
      </w:r>
    </w:p>
    <w:p w:rsidR="008C5A77" w:rsidRPr="00480D65" w:rsidRDefault="008C5A77" w:rsidP="008C5A77">
      <w:pPr>
        <w:jc w:val="both"/>
        <w:rPr>
          <w:rFonts w:ascii="Arial" w:hAnsi="Arial" w:cs="Arial"/>
          <w:b/>
          <w:bCs/>
        </w:rPr>
      </w:pPr>
      <w:r w:rsidRPr="005C0B16">
        <w:rPr>
          <w:rFonts w:ascii="Arial" w:hAnsi="Arial" w:cs="Arial"/>
          <w:b/>
          <w:bCs/>
        </w:rPr>
        <w:t>T</w:t>
      </w:r>
      <w:r w:rsidR="007C171C" w:rsidRPr="005C0B16">
        <w:rPr>
          <w:rFonts w:ascii="Arial" w:hAnsi="Arial" w:cs="Arial"/>
          <w:b/>
          <w:bCs/>
        </w:rPr>
        <w:t>able</w:t>
      </w:r>
      <w:r w:rsidRPr="005C0B16">
        <w:rPr>
          <w:rFonts w:ascii="Arial" w:hAnsi="Arial" w:cs="Arial"/>
          <w:b/>
          <w:bCs/>
        </w:rPr>
        <w:t xml:space="preserve"> 1</w:t>
      </w:r>
      <w:r w:rsidR="007C171C">
        <w:rPr>
          <w:rFonts w:ascii="Arial" w:hAnsi="Arial" w:cs="Arial"/>
          <w:b/>
          <w:bCs/>
        </w:rPr>
        <w:t>.</w:t>
      </w:r>
      <w:r w:rsidRPr="005C0B16">
        <w:rPr>
          <w:rFonts w:ascii="Arial" w:hAnsi="Arial" w:cs="Arial"/>
          <w:b/>
          <w:bCs/>
        </w:rPr>
        <w:t xml:space="preserve"> Log-Linear Growth Model Results (2001–2023)</w:t>
      </w:r>
    </w:p>
    <w:tbl>
      <w:tblPr>
        <w:tblStyle w:val="TableGrid"/>
        <w:tblW w:w="5000" w:type="pct"/>
        <w:tblLook w:val="04A0"/>
      </w:tblPr>
      <w:tblGrid>
        <w:gridCol w:w="2233"/>
        <w:gridCol w:w="1281"/>
        <w:gridCol w:w="1148"/>
        <w:gridCol w:w="1083"/>
        <w:gridCol w:w="926"/>
        <w:gridCol w:w="2571"/>
      </w:tblGrid>
      <w:tr w:rsidR="00F10B9C" w:rsidRPr="005C0B16" w:rsidTr="00F10B9C">
        <w:tc>
          <w:tcPr>
            <w:tcW w:w="1208" w:type="pct"/>
          </w:tcPr>
          <w:p w:rsidR="00F10B9C" w:rsidRPr="005C0B16" w:rsidRDefault="00F10B9C" w:rsidP="00F10B9C">
            <w:pPr>
              <w:jc w:val="center"/>
              <w:rPr>
                <w:rFonts w:ascii="Arial" w:hAnsi="Arial" w:cs="Arial"/>
                <w:b/>
                <w:bCs/>
              </w:rPr>
            </w:pPr>
            <w:r w:rsidRPr="005C0B16">
              <w:rPr>
                <w:rFonts w:ascii="Arial" w:hAnsi="Arial" w:cs="Arial"/>
                <w:b/>
                <w:bCs/>
              </w:rPr>
              <w:t>Variable</w:t>
            </w:r>
          </w:p>
        </w:tc>
        <w:tc>
          <w:tcPr>
            <w:tcW w:w="693" w:type="pct"/>
          </w:tcPr>
          <w:p w:rsidR="00F10B9C" w:rsidRPr="005C0B16" w:rsidRDefault="00F10B9C" w:rsidP="00F10B9C">
            <w:pPr>
              <w:jc w:val="center"/>
              <w:rPr>
                <w:rFonts w:ascii="Arial" w:hAnsi="Arial" w:cs="Arial"/>
                <w:b/>
                <w:bCs/>
              </w:rPr>
            </w:pPr>
            <w:r w:rsidRPr="005C0B16">
              <w:rPr>
                <w:rFonts w:ascii="Arial" w:hAnsi="Arial" w:cs="Arial"/>
                <w:b/>
                <w:bCs/>
              </w:rPr>
              <w:t>Coefficient</w:t>
            </w:r>
          </w:p>
        </w:tc>
        <w:tc>
          <w:tcPr>
            <w:tcW w:w="621" w:type="pct"/>
          </w:tcPr>
          <w:p w:rsidR="00F10B9C" w:rsidRPr="005C0B16" w:rsidRDefault="00F10B9C" w:rsidP="00F10B9C">
            <w:pPr>
              <w:jc w:val="center"/>
              <w:rPr>
                <w:rFonts w:ascii="Arial" w:hAnsi="Arial" w:cs="Arial"/>
                <w:b/>
                <w:bCs/>
              </w:rPr>
            </w:pPr>
            <w:r w:rsidRPr="005C0B16">
              <w:rPr>
                <w:rFonts w:ascii="Arial" w:hAnsi="Arial" w:cs="Arial"/>
                <w:b/>
                <w:bCs/>
              </w:rPr>
              <w:t>Std. Error</w:t>
            </w:r>
          </w:p>
        </w:tc>
        <w:tc>
          <w:tcPr>
            <w:tcW w:w="586" w:type="pct"/>
          </w:tcPr>
          <w:p w:rsidR="00F10B9C" w:rsidRPr="005C0B16" w:rsidRDefault="00F10B9C" w:rsidP="00F10B9C">
            <w:pPr>
              <w:jc w:val="center"/>
              <w:rPr>
                <w:rFonts w:ascii="Arial" w:hAnsi="Arial" w:cs="Arial"/>
                <w:b/>
                <w:bCs/>
              </w:rPr>
            </w:pPr>
            <w:r>
              <w:rPr>
                <w:rFonts w:ascii="Arial" w:hAnsi="Arial" w:cs="Arial"/>
                <w:b/>
                <w:bCs/>
              </w:rPr>
              <w:t xml:space="preserve">‘t’ </w:t>
            </w:r>
            <w:r>
              <w:rPr>
                <w:rFonts w:ascii="Arial" w:hAnsi="Arial" w:cs="Arial"/>
                <w:b/>
                <w:bCs/>
              </w:rPr>
              <w:lastRenderedPageBreak/>
              <w:t>st</w:t>
            </w:r>
            <w:r w:rsidRPr="005C0B16">
              <w:rPr>
                <w:rFonts w:ascii="Arial" w:hAnsi="Arial" w:cs="Arial"/>
                <w:b/>
                <w:bCs/>
              </w:rPr>
              <w:t>atistic</w:t>
            </w:r>
          </w:p>
        </w:tc>
        <w:tc>
          <w:tcPr>
            <w:tcW w:w="501" w:type="pct"/>
          </w:tcPr>
          <w:p w:rsidR="00F10B9C" w:rsidRPr="005C0B16" w:rsidRDefault="00F10B9C" w:rsidP="00F10B9C">
            <w:pPr>
              <w:jc w:val="center"/>
              <w:rPr>
                <w:rFonts w:ascii="Arial" w:hAnsi="Arial" w:cs="Arial"/>
                <w:b/>
                <w:bCs/>
              </w:rPr>
            </w:pPr>
            <w:r>
              <w:rPr>
                <w:rFonts w:ascii="Arial" w:hAnsi="Arial" w:cs="Arial"/>
                <w:b/>
                <w:bCs/>
                <w:i/>
                <w:iCs/>
              </w:rPr>
              <w:lastRenderedPageBreak/>
              <w:t>‘P</w:t>
            </w:r>
            <w:r w:rsidR="003D11B0">
              <w:rPr>
                <w:rFonts w:ascii="Arial" w:hAnsi="Arial" w:cs="Arial"/>
                <w:b/>
                <w:bCs/>
                <w:i/>
                <w:iCs/>
              </w:rPr>
              <w:t xml:space="preserve">’ </w:t>
            </w:r>
            <w:r w:rsidR="003D11B0">
              <w:rPr>
                <w:rFonts w:ascii="Arial" w:hAnsi="Arial" w:cs="Arial"/>
                <w:b/>
                <w:bCs/>
                <w:i/>
                <w:iCs/>
              </w:rPr>
              <w:lastRenderedPageBreak/>
              <w:t>Value</w:t>
            </w:r>
          </w:p>
        </w:tc>
        <w:tc>
          <w:tcPr>
            <w:tcW w:w="1391" w:type="pct"/>
          </w:tcPr>
          <w:p w:rsidR="00F10B9C" w:rsidRPr="005C0B16" w:rsidRDefault="00F10B9C" w:rsidP="00F10B9C">
            <w:pPr>
              <w:jc w:val="center"/>
              <w:rPr>
                <w:rFonts w:ascii="Arial" w:hAnsi="Arial" w:cs="Arial"/>
                <w:b/>
                <w:bCs/>
              </w:rPr>
            </w:pPr>
            <w:r w:rsidRPr="005C0B16">
              <w:rPr>
                <w:rFonts w:ascii="Arial" w:hAnsi="Arial" w:cs="Arial"/>
                <w:b/>
                <w:bCs/>
              </w:rPr>
              <w:lastRenderedPageBreak/>
              <w:t>95% Confidence Interval</w:t>
            </w:r>
          </w:p>
        </w:tc>
      </w:tr>
      <w:tr w:rsidR="008C5A77" w:rsidRPr="005C0B16" w:rsidTr="00F10B9C">
        <w:tc>
          <w:tcPr>
            <w:tcW w:w="1208" w:type="pct"/>
          </w:tcPr>
          <w:p w:rsidR="008C5A77" w:rsidRPr="005C0B16" w:rsidRDefault="008C5A77" w:rsidP="00F663E4">
            <w:pPr>
              <w:jc w:val="both"/>
              <w:rPr>
                <w:rFonts w:ascii="Arial" w:hAnsi="Arial" w:cs="Arial"/>
              </w:rPr>
            </w:pPr>
            <w:r w:rsidRPr="005C0B16">
              <w:rPr>
                <w:rFonts w:ascii="Arial" w:hAnsi="Arial" w:cs="Arial"/>
                <w:b/>
                <w:bCs/>
              </w:rPr>
              <w:lastRenderedPageBreak/>
              <w:t>Constant (β</w:t>
            </w:r>
            <w:r w:rsidRPr="005C0B16">
              <w:rPr>
                <w:rFonts w:ascii="Cambria Math" w:hAnsi="Cambria Math" w:cs="Cambria Math"/>
                <w:b/>
                <w:bCs/>
              </w:rPr>
              <w:t>₀</w:t>
            </w:r>
            <w:r w:rsidRPr="005C0B16">
              <w:rPr>
                <w:rFonts w:ascii="Arial" w:hAnsi="Arial" w:cs="Arial"/>
                <w:b/>
                <w:bCs/>
              </w:rPr>
              <w:t>)</w:t>
            </w:r>
          </w:p>
        </w:tc>
        <w:tc>
          <w:tcPr>
            <w:tcW w:w="693" w:type="pct"/>
          </w:tcPr>
          <w:p w:rsidR="008C5A77" w:rsidRPr="005C0B16" w:rsidRDefault="008C5A77" w:rsidP="00F663E4">
            <w:pPr>
              <w:jc w:val="both"/>
              <w:rPr>
                <w:rFonts w:ascii="Arial" w:hAnsi="Arial" w:cs="Arial"/>
              </w:rPr>
            </w:pPr>
            <w:r w:rsidRPr="005C0B16">
              <w:rPr>
                <w:rFonts w:ascii="Arial" w:hAnsi="Arial" w:cs="Arial"/>
              </w:rPr>
              <w:t>0.9162</w:t>
            </w:r>
          </w:p>
        </w:tc>
        <w:tc>
          <w:tcPr>
            <w:tcW w:w="621" w:type="pct"/>
          </w:tcPr>
          <w:p w:rsidR="008C5A77" w:rsidRPr="005C0B16" w:rsidRDefault="008C5A77" w:rsidP="00F663E4">
            <w:pPr>
              <w:jc w:val="both"/>
              <w:rPr>
                <w:rFonts w:ascii="Arial" w:hAnsi="Arial" w:cs="Arial"/>
              </w:rPr>
            </w:pPr>
            <w:r w:rsidRPr="005C0B16">
              <w:rPr>
                <w:rFonts w:ascii="Arial" w:hAnsi="Arial" w:cs="Arial"/>
              </w:rPr>
              <w:t>0.0834</w:t>
            </w:r>
          </w:p>
        </w:tc>
        <w:tc>
          <w:tcPr>
            <w:tcW w:w="586" w:type="pct"/>
          </w:tcPr>
          <w:p w:rsidR="008C5A77" w:rsidRPr="005C0B16" w:rsidRDefault="008C5A77" w:rsidP="00F663E4">
            <w:pPr>
              <w:jc w:val="both"/>
              <w:rPr>
                <w:rFonts w:ascii="Arial" w:hAnsi="Arial" w:cs="Arial"/>
              </w:rPr>
            </w:pPr>
            <w:r w:rsidRPr="005C0B16">
              <w:rPr>
                <w:rFonts w:ascii="Arial" w:hAnsi="Arial" w:cs="Arial"/>
              </w:rPr>
              <w:t>10.98</w:t>
            </w:r>
          </w:p>
        </w:tc>
        <w:tc>
          <w:tcPr>
            <w:tcW w:w="501" w:type="pct"/>
          </w:tcPr>
          <w:p w:rsidR="008C5A77" w:rsidRPr="00943A01" w:rsidRDefault="00480D65" w:rsidP="00F663E4">
            <w:pPr>
              <w:jc w:val="both"/>
              <w:rPr>
                <w:rFonts w:ascii="Arial" w:hAnsi="Arial" w:cs="Arial"/>
                <w:color w:val="FF0000"/>
              </w:rPr>
            </w:pPr>
            <w:r w:rsidRPr="00943A01">
              <w:rPr>
                <w:rFonts w:ascii="Arial" w:hAnsi="Arial" w:cs="Arial"/>
                <w:i/>
                <w:iCs/>
                <w:color w:val="FF0000"/>
              </w:rPr>
              <w:t>P&lt;</w:t>
            </w:r>
            <w:r w:rsidR="008C5A77" w:rsidRPr="00943A01">
              <w:rPr>
                <w:rFonts w:ascii="Arial" w:hAnsi="Arial" w:cs="Arial"/>
                <w:color w:val="FF0000"/>
              </w:rPr>
              <w:t>.001</w:t>
            </w:r>
          </w:p>
        </w:tc>
        <w:tc>
          <w:tcPr>
            <w:tcW w:w="1391" w:type="pct"/>
          </w:tcPr>
          <w:p w:rsidR="008C5A77" w:rsidRPr="005C0B16" w:rsidRDefault="008C5A77" w:rsidP="00F663E4">
            <w:pPr>
              <w:jc w:val="both"/>
              <w:rPr>
                <w:rFonts w:ascii="Arial" w:hAnsi="Arial" w:cs="Arial"/>
              </w:rPr>
            </w:pPr>
            <w:r w:rsidRPr="005C0B16">
              <w:rPr>
                <w:rFonts w:ascii="Arial" w:hAnsi="Arial" w:cs="Arial"/>
              </w:rPr>
              <w:t>[0.745, 1.087]</w:t>
            </w:r>
          </w:p>
        </w:tc>
      </w:tr>
      <w:tr w:rsidR="008C5A77" w:rsidRPr="005C0B16" w:rsidTr="00F10B9C">
        <w:tc>
          <w:tcPr>
            <w:tcW w:w="1208" w:type="pct"/>
          </w:tcPr>
          <w:p w:rsidR="008C5A77" w:rsidRPr="005C0B16" w:rsidRDefault="008C5A77" w:rsidP="00F663E4">
            <w:pPr>
              <w:jc w:val="both"/>
              <w:rPr>
                <w:rFonts w:ascii="Arial" w:hAnsi="Arial" w:cs="Arial"/>
              </w:rPr>
            </w:pPr>
            <w:r w:rsidRPr="005C0B16">
              <w:rPr>
                <w:rFonts w:ascii="Arial" w:hAnsi="Arial" w:cs="Arial"/>
                <w:b/>
                <w:bCs/>
              </w:rPr>
              <w:t>Time trend (β</w:t>
            </w:r>
            <w:r w:rsidRPr="005C0B16">
              <w:rPr>
                <w:rFonts w:ascii="Cambria Math" w:hAnsi="Cambria Math" w:cs="Cambria Math"/>
                <w:b/>
                <w:bCs/>
              </w:rPr>
              <w:t>₁</w:t>
            </w:r>
            <w:r w:rsidRPr="005C0B16">
              <w:rPr>
                <w:rFonts w:ascii="Arial" w:hAnsi="Arial" w:cs="Arial"/>
                <w:b/>
                <w:bCs/>
              </w:rPr>
              <w:t>)</w:t>
            </w:r>
          </w:p>
        </w:tc>
        <w:tc>
          <w:tcPr>
            <w:tcW w:w="693" w:type="pct"/>
          </w:tcPr>
          <w:p w:rsidR="008C5A77" w:rsidRPr="005C0B16" w:rsidRDefault="008C5A77" w:rsidP="00F663E4">
            <w:pPr>
              <w:jc w:val="both"/>
              <w:rPr>
                <w:rFonts w:ascii="Arial" w:hAnsi="Arial" w:cs="Arial"/>
              </w:rPr>
            </w:pPr>
            <w:r w:rsidRPr="005C0B16">
              <w:rPr>
                <w:rFonts w:ascii="Arial" w:hAnsi="Arial" w:cs="Arial"/>
              </w:rPr>
              <w:t>0.0923</w:t>
            </w:r>
          </w:p>
        </w:tc>
        <w:tc>
          <w:tcPr>
            <w:tcW w:w="621" w:type="pct"/>
          </w:tcPr>
          <w:p w:rsidR="008C5A77" w:rsidRPr="005C0B16" w:rsidRDefault="008C5A77" w:rsidP="00F663E4">
            <w:pPr>
              <w:jc w:val="both"/>
              <w:rPr>
                <w:rFonts w:ascii="Arial" w:hAnsi="Arial" w:cs="Arial"/>
              </w:rPr>
            </w:pPr>
            <w:r w:rsidRPr="005C0B16">
              <w:rPr>
                <w:rFonts w:ascii="Arial" w:hAnsi="Arial" w:cs="Arial"/>
              </w:rPr>
              <w:t>0.0067</w:t>
            </w:r>
          </w:p>
        </w:tc>
        <w:tc>
          <w:tcPr>
            <w:tcW w:w="586" w:type="pct"/>
          </w:tcPr>
          <w:p w:rsidR="008C5A77" w:rsidRPr="005C0B16" w:rsidRDefault="008C5A77" w:rsidP="00F663E4">
            <w:pPr>
              <w:jc w:val="both"/>
              <w:rPr>
                <w:rFonts w:ascii="Arial" w:hAnsi="Arial" w:cs="Arial"/>
              </w:rPr>
            </w:pPr>
            <w:r w:rsidRPr="005C0B16">
              <w:rPr>
                <w:rFonts w:ascii="Arial" w:hAnsi="Arial" w:cs="Arial"/>
              </w:rPr>
              <w:t>13.78</w:t>
            </w:r>
          </w:p>
        </w:tc>
        <w:tc>
          <w:tcPr>
            <w:tcW w:w="501" w:type="pct"/>
          </w:tcPr>
          <w:p w:rsidR="008C5A77" w:rsidRPr="00943A01" w:rsidRDefault="00480D65" w:rsidP="00F663E4">
            <w:pPr>
              <w:jc w:val="both"/>
              <w:rPr>
                <w:rFonts w:ascii="Arial" w:hAnsi="Arial" w:cs="Arial"/>
                <w:color w:val="FF0000"/>
              </w:rPr>
            </w:pPr>
            <w:r w:rsidRPr="00943A01">
              <w:rPr>
                <w:rFonts w:ascii="Arial" w:hAnsi="Arial" w:cs="Arial"/>
                <w:i/>
                <w:iCs/>
                <w:color w:val="FF0000"/>
              </w:rPr>
              <w:t>P&lt;</w:t>
            </w:r>
            <w:r w:rsidRPr="00943A01">
              <w:rPr>
                <w:rFonts w:ascii="Arial" w:hAnsi="Arial" w:cs="Arial"/>
                <w:color w:val="FF0000"/>
              </w:rPr>
              <w:t>.001</w:t>
            </w:r>
          </w:p>
        </w:tc>
        <w:tc>
          <w:tcPr>
            <w:tcW w:w="1391" w:type="pct"/>
          </w:tcPr>
          <w:p w:rsidR="008C5A77" w:rsidRPr="005C0B16" w:rsidRDefault="008C5A77" w:rsidP="00F663E4">
            <w:pPr>
              <w:jc w:val="both"/>
              <w:rPr>
                <w:rFonts w:ascii="Arial" w:hAnsi="Arial" w:cs="Arial"/>
              </w:rPr>
            </w:pPr>
            <w:r w:rsidRPr="005C0B16">
              <w:rPr>
                <w:rFonts w:ascii="Arial" w:hAnsi="Arial" w:cs="Arial"/>
              </w:rPr>
              <w:t>[0.078, 0.106]</w:t>
            </w:r>
          </w:p>
        </w:tc>
      </w:tr>
      <w:tr w:rsidR="008C5A77" w:rsidRPr="005C0B16" w:rsidTr="00F10B9C">
        <w:tc>
          <w:tcPr>
            <w:tcW w:w="1208" w:type="pct"/>
          </w:tcPr>
          <w:p w:rsidR="008C5A77" w:rsidRPr="005C0B16" w:rsidRDefault="008C5A77" w:rsidP="00F663E4">
            <w:pPr>
              <w:jc w:val="both"/>
              <w:rPr>
                <w:rFonts w:ascii="Arial" w:hAnsi="Arial" w:cs="Arial"/>
              </w:rPr>
            </w:pPr>
            <w:r w:rsidRPr="005C0B16">
              <w:rPr>
                <w:rFonts w:ascii="Arial" w:hAnsi="Arial" w:cs="Arial"/>
                <w:b/>
                <w:bCs/>
              </w:rPr>
              <w:t>COVID dummy (β</w:t>
            </w:r>
            <w:r w:rsidRPr="005C0B16">
              <w:rPr>
                <w:rFonts w:ascii="Cambria Math" w:hAnsi="Cambria Math" w:cs="Cambria Math"/>
                <w:b/>
                <w:bCs/>
              </w:rPr>
              <w:t>₂</w:t>
            </w:r>
            <w:r w:rsidRPr="005C0B16">
              <w:rPr>
                <w:rFonts w:ascii="Arial" w:hAnsi="Arial" w:cs="Arial"/>
                <w:b/>
                <w:bCs/>
              </w:rPr>
              <w:t>)</w:t>
            </w:r>
          </w:p>
        </w:tc>
        <w:tc>
          <w:tcPr>
            <w:tcW w:w="693" w:type="pct"/>
          </w:tcPr>
          <w:p w:rsidR="008C5A77" w:rsidRPr="005C0B16" w:rsidRDefault="008C5A77" w:rsidP="00F663E4">
            <w:pPr>
              <w:jc w:val="both"/>
              <w:rPr>
                <w:rFonts w:ascii="Arial" w:hAnsi="Arial" w:cs="Arial"/>
              </w:rPr>
            </w:pPr>
            <w:r w:rsidRPr="005C0B16">
              <w:rPr>
                <w:rFonts w:ascii="Arial" w:hAnsi="Arial" w:cs="Arial"/>
              </w:rPr>
              <w:t>-1.2456</w:t>
            </w:r>
          </w:p>
        </w:tc>
        <w:tc>
          <w:tcPr>
            <w:tcW w:w="621" w:type="pct"/>
          </w:tcPr>
          <w:p w:rsidR="008C5A77" w:rsidRPr="005C0B16" w:rsidRDefault="008C5A77" w:rsidP="00F663E4">
            <w:pPr>
              <w:jc w:val="both"/>
              <w:rPr>
                <w:rFonts w:ascii="Arial" w:hAnsi="Arial" w:cs="Arial"/>
              </w:rPr>
            </w:pPr>
            <w:r w:rsidRPr="005C0B16">
              <w:rPr>
                <w:rFonts w:ascii="Arial" w:hAnsi="Arial" w:cs="Arial"/>
              </w:rPr>
              <w:t>0.2145</w:t>
            </w:r>
          </w:p>
        </w:tc>
        <w:tc>
          <w:tcPr>
            <w:tcW w:w="586" w:type="pct"/>
          </w:tcPr>
          <w:p w:rsidR="008C5A77" w:rsidRPr="005C0B16" w:rsidRDefault="008C5A77" w:rsidP="00F663E4">
            <w:pPr>
              <w:jc w:val="both"/>
              <w:rPr>
                <w:rFonts w:ascii="Arial" w:hAnsi="Arial" w:cs="Arial"/>
              </w:rPr>
            </w:pPr>
            <w:r w:rsidRPr="005C0B16">
              <w:rPr>
                <w:rFonts w:ascii="Arial" w:hAnsi="Arial" w:cs="Arial"/>
              </w:rPr>
              <w:t>-5.81</w:t>
            </w:r>
          </w:p>
        </w:tc>
        <w:tc>
          <w:tcPr>
            <w:tcW w:w="501" w:type="pct"/>
          </w:tcPr>
          <w:p w:rsidR="008C5A77" w:rsidRPr="00943A01" w:rsidRDefault="00480D65" w:rsidP="00F663E4">
            <w:pPr>
              <w:jc w:val="both"/>
              <w:rPr>
                <w:rFonts w:ascii="Arial" w:hAnsi="Arial" w:cs="Arial"/>
                <w:color w:val="FF0000"/>
              </w:rPr>
            </w:pPr>
            <w:r w:rsidRPr="00943A01">
              <w:rPr>
                <w:rFonts w:ascii="Arial" w:hAnsi="Arial" w:cs="Arial"/>
                <w:i/>
                <w:iCs/>
                <w:color w:val="FF0000"/>
              </w:rPr>
              <w:t>P&lt;</w:t>
            </w:r>
            <w:r w:rsidRPr="00943A01">
              <w:rPr>
                <w:rFonts w:ascii="Arial" w:hAnsi="Arial" w:cs="Arial"/>
                <w:color w:val="FF0000"/>
              </w:rPr>
              <w:t>.001</w:t>
            </w:r>
          </w:p>
        </w:tc>
        <w:tc>
          <w:tcPr>
            <w:tcW w:w="1391" w:type="pct"/>
          </w:tcPr>
          <w:p w:rsidR="008C5A77" w:rsidRPr="005C0B16" w:rsidRDefault="008C5A77" w:rsidP="00F663E4">
            <w:pPr>
              <w:jc w:val="both"/>
              <w:rPr>
                <w:rFonts w:ascii="Arial" w:hAnsi="Arial" w:cs="Arial"/>
              </w:rPr>
            </w:pPr>
            <w:r w:rsidRPr="005C0B16">
              <w:rPr>
                <w:rFonts w:ascii="Arial" w:hAnsi="Arial" w:cs="Arial"/>
              </w:rPr>
              <w:t>[-1.689, -0.802]</w:t>
            </w:r>
          </w:p>
        </w:tc>
      </w:tr>
      <w:tr w:rsidR="008C5A77" w:rsidRPr="005C0B16" w:rsidTr="00F10B9C">
        <w:tc>
          <w:tcPr>
            <w:tcW w:w="1208" w:type="pct"/>
          </w:tcPr>
          <w:p w:rsidR="008C5A77" w:rsidRPr="005C0B16" w:rsidRDefault="008C5A77" w:rsidP="00F663E4">
            <w:pPr>
              <w:jc w:val="both"/>
              <w:rPr>
                <w:rFonts w:ascii="Arial" w:hAnsi="Arial" w:cs="Arial"/>
              </w:rPr>
            </w:pPr>
            <w:r w:rsidRPr="005C0B16">
              <w:rPr>
                <w:rFonts w:ascii="Arial" w:hAnsi="Arial" w:cs="Arial"/>
                <w:b/>
                <w:bCs/>
              </w:rPr>
              <w:t>Time × COVID (β</w:t>
            </w:r>
            <w:r w:rsidRPr="005C0B16">
              <w:rPr>
                <w:rFonts w:ascii="Cambria Math" w:hAnsi="Cambria Math" w:cs="Cambria Math"/>
                <w:b/>
                <w:bCs/>
              </w:rPr>
              <w:t>₃</w:t>
            </w:r>
            <w:r w:rsidRPr="005C0B16">
              <w:rPr>
                <w:rFonts w:ascii="Arial" w:hAnsi="Arial" w:cs="Arial"/>
                <w:b/>
                <w:bCs/>
              </w:rPr>
              <w:t>)</w:t>
            </w:r>
          </w:p>
        </w:tc>
        <w:tc>
          <w:tcPr>
            <w:tcW w:w="693" w:type="pct"/>
          </w:tcPr>
          <w:p w:rsidR="008C5A77" w:rsidRPr="005C0B16" w:rsidRDefault="008C5A77" w:rsidP="00F663E4">
            <w:pPr>
              <w:jc w:val="both"/>
              <w:rPr>
                <w:rFonts w:ascii="Arial" w:hAnsi="Arial" w:cs="Arial"/>
              </w:rPr>
            </w:pPr>
            <w:r w:rsidRPr="005C0B16">
              <w:rPr>
                <w:rFonts w:ascii="Arial" w:hAnsi="Arial" w:cs="Arial"/>
              </w:rPr>
              <w:t>-0.0312</w:t>
            </w:r>
          </w:p>
        </w:tc>
        <w:tc>
          <w:tcPr>
            <w:tcW w:w="621" w:type="pct"/>
          </w:tcPr>
          <w:p w:rsidR="008C5A77" w:rsidRPr="005C0B16" w:rsidRDefault="008C5A77" w:rsidP="00F663E4">
            <w:pPr>
              <w:jc w:val="both"/>
              <w:rPr>
                <w:rFonts w:ascii="Arial" w:hAnsi="Arial" w:cs="Arial"/>
              </w:rPr>
            </w:pPr>
            <w:r w:rsidRPr="005C0B16">
              <w:rPr>
                <w:rFonts w:ascii="Arial" w:hAnsi="Arial" w:cs="Arial"/>
              </w:rPr>
              <w:t>0.0189</w:t>
            </w:r>
          </w:p>
        </w:tc>
        <w:tc>
          <w:tcPr>
            <w:tcW w:w="586" w:type="pct"/>
          </w:tcPr>
          <w:p w:rsidR="008C5A77" w:rsidRPr="005C0B16" w:rsidRDefault="008C5A77" w:rsidP="00F663E4">
            <w:pPr>
              <w:jc w:val="both"/>
              <w:rPr>
                <w:rFonts w:ascii="Arial" w:hAnsi="Arial" w:cs="Arial"/>
              </w:rPr>
            </w:pPr>
            <w:r w:rsidRPr="005C0B16">
              <w:rPr>
                <w:rFonts w:ascii="Arial" w:hAnsi="Arial" w:cs="Arial"/>
              </w:rPr>
              <w:t>-1.65</w:t>
            </w:r>
          </w:p>
        </w:tc>
        <w:tc>
          <w:tcPr>
            <w:tcW w:w="501" w:type="pct"/>
          </w:tcPr>
          <w:p w:rsidR="008C5A77" w:rsidRPr="00943A01" w:rsidRDefault="00480D65" w:rsidP="00F663E4">
            <w:pPr>
              <w:jc w:val="both"/>
              <w:rPr>
                <w:rFonts w:ascii="Arial" w:hAnsi="Arial" w:cs="Arial"/>
                <w:color w:val="FF0000"/>
              </w:rPr>
            </w:pPr>
            <w:r w:rsidRPr="00943A01">
              <w:rPr>
                <w:rFonts w:ascii="Arial" w:hAnsi="Arial" w:cs="Arial"/>
                <w:i/>
                <w:iCs/>
                <w:color w:val="FF0000"/>
              </w:rPr>
              <w:t xml:space="preserve">P = </w:t>
            </w:r>
            <w:r w:rsidR="008C5A77" w:rsidRPr="00943A01">
              <w:rPr>
                <w:rFonts w:ascii="Arial" w:hAnsi="Arial" w:cs="Arial"/>
                <w:color w:val="FF0000"/>
              </w:rPr>
              <w:t>.12</w:t>
            </w:r>
          </w:p>
        </w:tc>
        <w:tc>
          <w:tcPr>
            <w:tcW w:w="1391" w:type="pct"/>
          </w:tcPr>
          <w:p w:rsidR="008C5A77" w:rsidRPr="005C0B16" w:rsidRDefault="008C5A77" w:rsidP="00F663E4">
            <w:pPr>
              <w:jc w:val="both"/>
              <w:rPr>
                <w:rFonts w:ascii="Arial" w:hAnsi="Arial" w:cs="Arial"/>
              </w:rPr>
            </w:pPr>
            <w:r w:rsidRPr="005C0B16">
              <w:rPr>
                <w:rFonts w:ascii="Arial" w:hAnsi="Arial" w:cs="Arial"/>
              </w:rPr>
              <w:t>[-0.070, 0.008]</w:t>
            </w:r>
          </w:p>
        </w:tc>
      </w:tr>
    </w:tbl>
    <w:p w:rsidR="008C5A77" w:rsidRPr="005C0B16" w:rsidRDefault="008C5A77" w:rsidP="008C5A77">
      <w:pPr>
        <w:jc w:val="both"/>
        <w:rPr>
          <w:rFonts w:ascii="Arial" w:hAnsi="Arial" w:cs="Arial"/>
          <w:b/>
          <w:bCs/>
          <w:sz w:val="20"/>
          <w:szCs w:val="20"/>
        </w:rPr>
      </w:pPr>
    </w:p>
    <w:p w:rsidR="008C5A77" w:rsidRPr="005C0B16" w:rsidRDefault="008C5A77" w:rsidP="008C5A77">
      <w:pPr>
        <w:jc w:val="both"/>
        <w:rPr>
          <w:rFonts w:ascii="Arial" w:hAnsi="Arial" w:cs="Arial"/>
          <w:sz w:val="20"/>
          <w:szCs w:val="20"/>
        </w:rPr>
      </w:pPr>
      <w:r w:rsidRPr="005C0B16">
        <w:rPr>
          <w:rFonts w:ascii="Arial" w:hAnsi="Arial" w:cs="Arial"/>
          <w:b/>
          <w:bCs/>
          <w:sz w:val="20"/>
          <w:szCs w:val="20"/>
        </w:rPr>
        <w:t>Model Fit:</w:t>
      </w:r>
    </w:p>
    <w:tbl>
      <w:tblPr>
        <w:tblStyle w:val="TableGrid"/>
        <w:tblW w:w="5000" w:type="pct"/>
        <w:tblLook w:val="04A0"/>
      </w:tblPr>
      <w:tblGrid>
        <w:gridCol w:w="3148"/>
        <w:gridCol w:w="1312"/>
        <w:gridCol w:w="4782"/>
      </w:tblGrid>
      <w:tr w:rsidR="008C5A77" w:rsidRPr="005C0B16" w:rsidTr="00F663E4">
        <w:tc>
          <w:tcPr>
            <w:tcW w:w="1703" w:type="pct"/>
          </w:tcPr>
          <w:p w:rsidR="008C5A77" w:rsidRPr="005C0B16" w:rsidRDefault="008C5A77" w:rsidP="00F663E4">
            <w:pPr>
              <w:jc w:val="center"/>
              <w:rPr>
                <w:rFonts w:ascii="Arial" w:hAnsi="Arial" w:cs="Arial"/>
                <w:b/>
                <w:bCs/>
              </w:rPr>
            </w:pPr>
            <w:r w:rsidRPr="005C0B16">
              <w:rPr>
                <w:rFonts w:ascii="Arial" w:hAnsi="Arial" w:cs="Arial"/>
                <w:b/>
                <w:bCs/>
              </w:rPr>
              <w:t>Statistic</w:t>
            </w:r>
          </w:p>
        </w:tc>
        <w:tc>
          <w:tcPr>
            <w:tcW w:w="710" w:type="pct"/>
          </w:tcPr>
          <w:p w:rsidR="008C5A77" w:rsidRPr="005C0B16" w:rsidRDefault="008C5A77" w:rsidP="00F663E4">
            <w:pPr>
              <w:jc w:val="center"/>
              <w:rPr>
                <w:rFonts w:ascii="Arial" w:hAnsi="Arial" w:cs="Arial"/>
                <w:b/>
                <w:bCs/>
              </w:rPr>
            </w:pPr>
            <w:r w:rsidRPr="005C0B16">
              <w:rPr>
                <w:rFonts w:ascii="Arial" w:hAnsi="Arial" w:cs="Arial"/>
                <w:b/>
                <w:bCs/>
              </w:rPr>
              <w:t>Value</w:t>
            </w:r>
          </w:p>
        </w:tc>
        <w:tc>
          <w:tcPr>
            <w:tcW w:w="2587" w:type="pct"/>
          </w:tcPr>
          <w:p w:rsidR="008C5A77" w:rsidRPr="005C0B16" w:rsidRDefault="008C5A77" w:rsidP="00F663E4">
            <w:pPr>
              <w:jc w:val="center"/>
              <w:rPr>
                <w:rFonts w:ascii="Arial" w:hAnsi="Arial" w:cs="Arial"/>
                <w:b/>
                <w:bCs/>
              </w:rPr>
            </w:pPr>
            <w:r w:rsidRPr="005C0B16">
              <w:rPr>
                <w:rFonts w:ascii="Arial" w:hAnsi="Arial" w:cs="Arial"/>
                <w:b/>
                <w:bCs/>
              </w:rPr>
              <w:t>Interpretation</w:t>
            </w:r>
          </w:p>
        </w:tc>
      </w:tr>
      <w:tr w:rsidR="008C5A77" w:rsidRPr="005C0B16" w:rsidTr="00F663E4">
        <w:tc>
          <w:tcPr>
            <w:tcW w:w="1703" w:type="pct"/>
          </w:tcPr>
          <w:p w:rsidR="008C5A77" w:rsidRPr="005C0B16" w:rsidRDefault="008C5A77" w:rsidP="00F663E4">
            <w:pPr>
              <w:jc w:val="both"/>
              <w:rPr>
                <w:rFonts w:ascii="Arial" w:hAnsi="Arial" w:cs="Arial"/>
              </w:rPr>
            </w:pPr>
            <w:r w:rsidRPr="005C0B16">
              <w:rPr>
                <w:rFonts w:ascii="Arial" w:hAnsi="Arial" w:cs="Arial"/>
              </w:rPr>
              <w:t>R-squared</w:t>
            </w:r>
          </w:p>
        </w:tc>
        <w:tc>
          <w:tcPr>
            <w:tcW w:w="710" w:type="pct"/>
          </w:tcPr>
          <w:p w:rsidR="008C5A77" w:rsidRPr="005C0B16" w:rsidRDefault="008C5A77" w:rsidP="00F663E4">
            <w:pPr>
              <w:jc w:val="both"/>
              <w:rPr>
                <w:rFonts w:ascii="Arial" w:hAnsi="Arial" w:cs="Arial"/>
              </w:rPr>
            </w:pPr>
            <w:r w:rsidRPr="005C0B16">
              <w:rPr>
                <w:rFonts w:ascii="Arial" w:hAnsi="Arial" w:cs="Arial"/>
              </w:rPr>
              <w:t>0.946</w:t>
            </w:r>
          </w:p>
        </w:tc>
        <w:tc>
          <w:tcPr>
            <w:tcW w:w="2587" w:type="pct"/>
          </w:tcPr>
          <w:p w:rsidR="008C5A77" w:rsidRPr="005C0B16" w:rsidRDefault="008C5A77" w:rsidP="00F663E4">
            <w:pPr>
              <w:jc w:val="both"/>
              <w:rPr>
                <w:rFonts w:ascii="Arial" w:hAnsi="Arial" w:cs="Arial"/>
              </w:rPr>
            </w:pPr>
            <w:r w:rsidRPr="005C0B16">
              <w:rPr>
                <w:rFonts w:ascii="Arial" w:hAnsi="Arial" w:cs="Arial"/>
              </w:rPr>
              <w:t>94.6% of variation explained</w:t>
            </w:r>
          </w:p>
        </w:tc>
      </w:tr>
      <w:tr w:rsidR="008C5A77" w:rsidRPr="005C0B16" w:rsidTr="00F663E4">
        <w:tc>
          <w:tcPr>
            <w:tcW w:w="1703" w:type="pct"/>
          </w:tcPr>
          <w:p w:rsidR="008C5A77" w:rsidRPr="005C0B16" w:rsidRDefault="008C5A77" w:rsidP="00F663E4">
            <w:pPr>
              <w:jc w:val="both"/>
              <w:rPr>
                <w:rFonts w:ascii="Arial" w:hAnsi="Arial" w:cs="Arial"/>
              </w:rPr>
            </w:pPr>
            <w:r w:rsidRPr="005C0B16">
              <w:rPr>
                <w:rFonts w:ascii="Arial" w:hAnsi="Arial" w:cs="Arial"/>
              </w:rPr>
              <w:t>Adjusted R-squared</w:t>
            </w:r>
          </w:p>
        </w:tc>
        <w:tc>
          <w:tcPr>
            <w:tcW w:w="710" w:type="pct"/>
          </w:tcPr>
          <w:p w:rsidR="008C5A77" w:rsidRPr="005C0B16" w:rsidRDefault="008C5A77" w:rsidP="00F663E4">
            <w:pPr>
              <w:jc w:val="both"/>
              <w:rPr>
                <w:rFonts w:ascii="Arial" w:hAnsi="Arial" w:cs="Arial"/>
              </w:rPr>
            </w:pPr>
            <w:r w:rsidRPr="005C0B16">
              <w:rPr>
                <w:rFonts w:ascii="Arial" w:hAnsi="Arial" w:cs="Arial"/>
              </w:rPr>
              <w:t>0.937</w:t>
            </w:r>
          </w:p>
        </w:tc>
        <w:tc>
          <w:tcPr>
            <w:tcW w:w="2587" w:type="pct"/>
          </w:tcPr>
          <w:p w:rsidR="008C5A77" w:rsidRPr="005C0B16" w:rsidRDefault="008C5A77" w:rsidP="00F663E4">
            <w:pPr>
              <w:jc w:val="both"/>
              <w:rPr>
                <w:rFonts w:ascii="Arial" w:hAnsi="Arial" w:cs="Arial"/>
              </w:rPr>
            </w:pPr>
            <w:r w:rsidRPr="005C0B16">
              <w:rPr>
                <w:rFonts w:ascii="Arial" w:hAnsi="Arial" w:cs="Arial"/>
              </w:rPr>
              <w:t>93.7% (penalized for variables)</w:t>
            </w:r>
          </w:p>
        </w:tc>
      </w:tr>
      <w:tr w:rsidR="008C5A77" w:rsidRPr="005C0B16" w:rsidTr="00F663E4">
        <w:tc>
          <w:tcPr>
            <w:tcW w:w="1703" w:type="pct"/>
          </w:tcPr>
          <w:p w:rsidR="008C5A77" w:rsidRPr="005C0B16" w:rsidRDefault="008C5A77" w:rsidP="00F663E4">
            <w:pPr>
              <w:jc w:val="both"/>
              <w:rPr>
                <w:rFonts w:ascii="Arial" w:hAnsi="Arial" w:cs="Arial"/>
              </w:rPr>
            </w:pPr>
            <w:r w:rsidRPr="005C0B16">
              <w:rPr>
                <w:rFonts w:ascii="Arial" w:hAnsi="Arial" w:cs="Arial"/>
              </w:rPr>
              <w:t>F-statistic</w:t>
            </w:r>
          </w:p>
        </w:tc>
        <w:tc>
          <w:tcPr>
            <w:tcW w:w="710" w:type="pct"/>
          </w:tcPr>
          <w:p w:rsidR="008C5A77" w:rsidRPr="005C0B16" w:rsidRDefault="008C5A77" w:rsidP="00F663E4">
            <w:pPr>
              <w:jc w:val="both"/>
              <w:rPr>
                <w:rFonts w:ascii="Arial" w:hAnsi="Arial" w:cs="Arial"/>
              </w:rPr>
            </w:pPr>
            <w:r w:rsidRPr="005C0B16">
              <w:rPr>
                <w:rFonts w:ascii="Arial" w:hAnsi="Arial" w:cs="Arial"/>
              </w:rPr>
              <w:t>105.23</w:t>
            </w:r>
          </w:p>
        </w:tc>
        <w:tc>
          <w:tcPr>
            <w:tcW w:w="2587" w:type="pct"/>
          </w:tcPr>
          <w:p w:rsidR="008C5A77" w:rsidRPr="005C0B16" w:rsidRDefault="008C5A77" w:rsidP="00F663E4">
            <w:pPr>
              <w:jc w:val="both"/>
              <w:rPr>
                <w:rFonts w:ascii="Arial" w:hAnsi="Arial" w:cs="Arial"/>
              </w:rPr>
            </w:pPr>
            <w:r w:rsidRPr="008C5A77">
              <w:rPr>
                <w:rFonts w:ascii="Arial" w:hAnsi="Arial" w:cs="Arial"/>
                <w:i/>
                <w:iCs/>
              </w:rPr>
              <w:t>P</w:t>
            </w:r>
            <w:r w:rsidR="00F5566A">
              <w:rPr>
                <w:rFonts w:ascii="Arial" w:hAnsi="Arial" w:cs="Arial"/>
              </w:rPr>
              <w:t>&lt;</w:t>
            </w:r>
            <w:r w:rsidRPr="005C0B16">
              <w:rPr>
                <w:rFonts w:ascii="Arial" w:hAnsi="Arial" w:cs="Arial"/>
              </w:rPr>
              <w:t xml:space="preserve"> .001 (model is significant)</w:t>
            </w:r>
          </w:p>
        </w:tc>
      </w:tr>
      <w:tr w:rsidR="008C5A77" w:rsidRPr="005C0B16" w:rsidTr="00F663E4">
        <w:tc>
          <w:tcPr>
            <w:tcW w:w="1703" w:type="pct"/>
          </w:tcPr>
          <w:p w:rsidR="008C5A77" w:rsidRPr="005C0B16" w:rsidRDefault="008C5A77" w:rsidP="00F663E4">
            <w:pPr>
              <w:jc w:val="both"/>
              <w:rPr>
                <w:rFonts w:ascii="Arial" w:hAnsi="Arial" w:cs="Arial"/>
              </w:rPr>
            </w:pPr>
            <w:r w:rsidRPr="005C0B16">
              <w:rPr>
                <w:rFonts w:ascii="Arial" w:hAnsi="Arial" w:cs="Arial"/>
              </w:rPr>
              <w:t>Durbin-Watson</w:t>
            </w:r>
          </w:p>
        </w:tc>
        <w:tc>
          <w:tcPr>
            <w:tcW w:w="710" w:type="pct"/>
          </w:tcPr>
          <w:p w:rsidR="008C5A77" w:rsidRPr="005C0B16" w:rsidRDefault="008C5A77" w:rsidP="00F663E4">
            <w:pPr>
              <w:jc w:val="both"/>
              <w:rPr>
                <w:rFonts w:ascii="Arial" w:hAnsi="Arial" w:cs="Arial"/>
              </w:rPr>
            </w:pPr>
            <w:r w:rsidRPr="005C0B16">
              <w:rPr>
                <w:rFonts w:ascii="Arial" w:hAnsi="Arial" w:cs="Arial"/>
              </w:rPr>
              <w:t>1.87</w:t>
            </w:r>
          </w:p>
        </w:tc>
        <w:tc>
          <w:tcPr>
            <w:tcW w:w="2587" w:type="pct"/>
          </w:tcPr>
          <w:p w:rsidR="008C5A77" w:rsidRPr="005C0B16" w:rsidRDefault="008C5A77" w:rsidP="00F663E4">
            <w:pPr>
              <w:jc w:val="both"/>
              <w:rPr>
                <w:rFonts w:ascii="Arial" w:hAnsi="Arial" w:cs="Arial"/>
              </w:rPr>
            </w:pPr>
            <w:r w:rsidRPr="005C0B16">
              <w:rPr>
                <w:rFonts w:ascii="Arial" w:hAnsi="Arial" w:cs="Arial"/>
              </w:rPr>
              <w:t>No significant autocorrelation</w:t>
            </w:r>
          </w:p>
        </w:tc>
      </w:tr>
      <w:tr w:rsidR="008C5A77" w:rsidRPr="005C0B16" w:rsidTr="00F663E4">
        <w:tc>
          <w:tcPr>
            <w:tcW w:w="1703" w:type="pct"/>
          </w:tcPr>
          <w:p w:rsidR="008C5A77" w:rsidRPr="005C0B16" w:rsidRDefault="008C5A77" w:rsidP="00F663E4">
            <w:pPr>
              <w:jc w:val="both"/>
              <w:rPr>
                <w:rFonts w:ascii="Arial" w:hAnsi="Arial" w:cs="Arial"/>
              </w:rPr>
            </w:pPr>
            <w:r w:rsidRPr="005C0B16">
              <w:rPr>
                <w:rFonts w:ascii="Arial" w:hAnsi="Arial" w:cs="Arial"/>
              </w:rPr>
              <w:t>AIC</w:t>
            </w:r>
          </w:p>
        </w:tc>
        <w:tc>
          <w:tcPr>
            <w:tcW w:w="710" w:type="pct"/>
          </w:tcPr>
          <w:p w:rsidR="008C5A77" w:rsidRPr="005C0B16" w:rsidRDefault="008C5A77" w:rsidP="00F663E4">
            <w:pPr>
              <w:jc w:val="both"/>
              <w:rPr>
                <w:rFonts w:ascii="Arial" w:hAnsi="Arial" w:cs="Arial"/>
              </w:rPr>
            </w:pPr>
            <w:r w:rsidRPr="005C0B16">
              <w:rPr>
                <w:rFonts w:ascii="Arial" w:hAnsi="Arial" w:cs="Arial"/>
              </w:rPr>
              <w:t>-1.23</w:t>
            </w:r>
          </w:p>
        </w:tc>
        <w:tc>
          <w:tcPr>
            <w:tcW w:w="2587" w:type="pct"/>
          </w:tcPr>
          <w:p w:rsidR="008C5A77" w:rsidRPr="005C0B16" w:rsidRDefault="008C5A77" w:rsidP="00F663E4">
            <w:pPr>
              <w:jc w:val="both"/>
              <w:rPr>
                <w:rFonts w:ascii="Arial" w:hAnsi="Arial" w:cs="Arial"/>
              </w:rPr>
            </w:pPr>
            <w:r w:rsidRPr="005C0B16">
              <w:rPr>
                <w:rFonts w:ascii="Arial" w:hAnsi="Arial" w:cs="Arial"/>
              </w:rPr>
              <w:t>Good fit</w:t>
            </w:r>
          </w:p>
        </w:tc>
      </w:tr>
    </w:tbl>
    <w:p w:rsidR="008C5A77" w:rsidRPr="005C0B16" w:rsidRDefault="008C5A77" w:rsidP="008C5A77">
      <w:pPr>
        <w:jc w:val="both"/>
        <w:rPr>
          <w:rFonts w:ascii="Arial" w:hAnsi="Arial" w:cs="Arial"/>
          <w:b/>
          <w:bCs/>
          <w:sz w:val="20"/>
          <w:szCs w:val="20"/>
        </w:rPr>
      </w:pPr>
    </w:p>
    <w:p w:rsidR="008C5A77" w:rsidRPr="005C0B16" w:rsidRDefault="008C5A77" w:rsidP="008C5A77">
      <w:pPr>
        <w:jc w:val="both"/>
        <w:rPr>
          <w:rFonts w:ascii="Arial" w:hAnsi="Arial" w:cs="Arial"/>
          <w:sz w:val="20"/>
          <w:szCs w:val="20"/>
        </w:rPr>
      </w:pPr>
      <w:r w:rsidRPr="005C0B16">
        <w:rPr>
          <w:rFonts w:ascii="Arial" w:hAnsi="Arial" w:cs="Arial"/>
          <w:b/>
          <w:bCs/>
          <w:sz w:val="20"/>
          <w:szCs w:val="20"/>
        </w:rPr>
        <w:t>Key Findings:</w:t>
      </w:r>
    </w:p>
    <w:tbl>
      <w:tblPr>
        <w:tblStyle w:val="TableGrid"/>
        <w:tblW w:w="5000" w:type="pct"/>
        <w:tblLook w:val="04A0"/>
      </w:tblPr>
      <w:tblGrid>
        <w:gridCol w:w="2606"/>
        <w:gridCol w:w="1948"/>
        <w:gridCol w:w="4688"/>
      </w:tblGrid>
      <w:tr w:rsidR="008C5A77" w:rsidRPr="005C0B16" w:rsidTr="00F663E4">
        <w:tc>
          <w:tcPr>
            <w:tcW w:w="1410" w:type="pct"/>
          </w:tcPr>
          <w:p w:rsidR="008C5A77" w:rsidRPr="005C0B16" w:rsidRDefault="008C5A77" w:rsidP="00F663E4">
            <w:pPr>
              <w:jc w:val="center"/>
              <w:rPr>
                <w:rFonts w:ascii="Arial" w:hAnsi="Arial" w:cs="Arial"/>
                <w:b/>
                <w:bCs/>
              </w:rPr>
            </w:pPr>
            <w:r w:rsidRPr="005C0B16">
              <w:rPr>
                <w:rFonts w:ascii="Arial" w:hAnsi="Arial" w:cs="Arial"/>
                <w:b/>
                <w:bCs/>
              </w:rPr>
              <w:t>Parameter</w:t>
            </w:r>
          </w:p>
        </w:tc>
        <w:tc>
          <w:tcPr>
            <w:tcW w:w="1054" w:type="pct"/>
          </w:tcPr>
          <w:p w:rsidR="008C5A77" w:rsidRPr="005C0B16" w:rsidRDefault="008C5A77" w:rsidP="00F663E4">
            <w:pPr>
              <w:jc w:val="center"/>
              <w:rPr>
                <w:rFonts w:ascii="Arial" w:hAnsi="Arial" w:cs="Arial"/>
                <w:b/>
                <w:bCs/>
              </w:rPr>
            </w:pPr>
            <w:r w:rsidRPr="005C0B16">
              <w:rPr>
                <w:rFonts w:ascii="Arial" w:hAnsi="Arial" w:cs="Arial"/>
                <w:b/>
                <w:bCs/>
              </w:rPr>
              <w:t>Value</w:t>
            </w:r>
          </w:p>
        </w:tc>
        <w:tc>
          <w:tcPr>
            <w:tcW w:w="2536" w:type="pct"/>
          </w:tcPr>
          <w:p w:rsidR="008C5A77" w:rsidRPr="005C0B16" w:rsidRDefault="008C5A77" w:rsidP="00F663E4">
            <w:pPr>
              <w:jc w:val="center"/>
              <w:rPr>
                <w:rFonts w:ascii="Arial" w:hAnsi="Arial" w:cs="Arial"/>
                <w:b/>
                <w:bCs/>
              </w:rPr>
            </w:pPr>
            <w:r w:rsidRPr="005C0B16">
              <w:rPr>
                <w:rFonts w:ascii="Arial" w:hAnsi="Arial" w:cs="Arial"/>
                <w:b/>
                <w:bCs/>
              </w:rPr>
              <w:t>Interpretation</w:t>
            </w:r>
          </w:p>
        </w:tc>
      </w:tr>
      <w:tr w:rsidR="008C5A77" w:rsidRPr="005C0B16" w:rsidTr="00F663E4">
        <w:tc>
          <w:tcPr>
            <w:tcW w:w="1410" w:type="pct"/>
          </w:tcPr>
          <w:p w:rsidR="008C5A77" w:rsidRPr="005C0B16" w:rsidRDefault="008C5A77" w:rsidP="00F663E4">
            <w:pPr>
              <w:jc w:val="both"/>
              <w:rPr>
                <w:rFonts w:ascii="Arial" w:hAnsi="Arial" w:cs="Arial"/>
              </w:rPr>
            </w:pPr>
            <w:r w:rsidRPr="005C0B16">
              <w:rPr>
                <w:rFonts w:ascii="Arial" w:hAnsi="Arial" w:cs="Arial"/>
              </w:rPr>
              <w:t>Pre-COVID annual growth</w:t>
            </w:r>
          </w:p>
        </w:tc>
        <w:tc>
          <w:tcPr>
            <w:tcW w:w="1054" w:type="pct"/>
          </w:tcPr>
          <w:p w:rsidR="008C5A77" w:rsidRPr="005C0B16" w:rsidRDefault="008C5A77" w:rsidP="00F663E4">
            <w:pPr>
              <w:jc w:val="both"/>
              <w:rPr>
                <w:rFonts w:ascii="Arial" w:hAnsi="Arial" w:cs="Arial"/>
              </w:rPr>
            </w:pPr>
            <w:r w:rsidRPr="005C0B16">
              <w:rPr>
                <w:rFonts w:ascii="Arial" w:hAnsi="Arial" w:cs="Arial"/>
              </w:rPr>
              <w:t>9.23% (β</w:t>
            </w:r>
            <w:r w:rsidRPr="005C0B16">
              <w:rPr>
                <w:rFonts w:ascii="Cambria Math" w:hAnsi="Cambria Math" w:cs="Cambria Math"/>
              </w:rPr>
              <w:t>₁</w:t>
            </w:r>
            <w:r w:rsidRPr="005C0B16">
              <w:rPr>
                <w:rFonts w:ascii="Arial" w:hAnsi="Arial" w:cs="Arial"/>
              </w:rPr>
              <w:t xml:space="preserve"> × 100)</w:t>
            </w:r>
          </w:p>
        </w:tc>
        <w:tc>
          <w:tcPr>
            <w:tcW w:w="2536" w:type="pct"/>
          </w:tcPr>
          <w:p w:rsidR="008C5A77" w:rsidRPr="005C0B16" w:rsidRDefault="008C5A77" w:rsidP="00F663E4">
            <w:pPr>
              <w:jc w:val="both"/>
              <w:rPr>
                <w:rFonts w:ascii="Arial" w:hAnsi="Arial" w:cs="Arial"/>
              </w:rPr>
            </w:pPr>
            <w:r w:rsidRPr="005C0B16">
              <w:rPr>
                <w:rFonts w:ascii="Arial" w:hAnsi="Arial" w:cs="Arial"/>
              </w:rPr>
              <w:t>Statistically significant (</w:t>
            </w:r>
            <w:r w:rsidRPr="00D128ED">
              <w:rPr>
                <w:rFonts w:ascii="Arial" w:hAnsi="Arial" w:cs="Arial"/>
                <w:i/>
                <w:iCs/>
              </w:rPr>
              <w:t xml:space="preserve">P </w:t>
            </w:r>
            <w:r w:rsidR="00F5566A">
              <w:rPr>
                <w:rFonts w:ascii="Arial" w:hAnsi="Arial" w:cs="Arial"/>
                <w:i/>
                <w:iCs/>
              </w:rPr>
              <w:t>&lt;</w:t>
            </w:r>
            <w:r w:rsidRPr="005C0B16">
              <w:rPr>
                <w:rFonts w:ascii="Arial" w:hAnsi="Arial" w:cs="Arial"/>
              </w:rPr>
              <w:t xml:space="preserve"> .001)</w:t>
            </w:r>
          </w:p>
        </w:tc>
      </w:tr>
      <w:tr w:rsidR="008C5A77" w:rsidRPr="005C0B16" w:rsidTr="00F663E4">
        <w:tc>
          <w:tcPr>
            <w:tcW w:w="1410" w:type="pct"/>
          </w:tcPr>
          <w:p w:rsidR="008C5A77" w:rsidRPr="005C0B16" w:rsidRDefault="008C5A77" w:rsidP="00F663E4">
            <w:pPr>
              <w:jc w:val="both"/>
              <w:rPr>
                <w:rFonts w:ascii="Arial" w:hAnsi="Arial" w:cs="Arial"/>
              </w:rPr>
            </w:pPr>
            <w:r w:rsidRPr="005C0B16">
              <w:rPr>
                <w:rFonts w:ascii="Arial" w:hAnsi="Arial" w:cs="Arial"/>
              </w:rPr>
              <w:t>Post-COVID annual growth</w:t>
            </w:r>
          </w:p>
        </w:tc>
        <w:tc>
          <w:tcPr>
            <w:tcW w:w="1054" w:type="pct"/>
          </w:tcPr>
          <w:p w:rsidR="008C5A77" w:rsidRPr="005C0B16" w:rsidRDefault="008C5A77" w:rsidP="00F663E4">
            <w:pPr>
              <w:jc w:val="both"/>
              <w:rPr>
                <w:rFonts w:ascii="Arial" w:hAnsi="Arial" w:cs="Arial"/>
              </w:rPr>
            </w:pPr>
            <w:r w:rsidRPr="005C0B16">
              <w:rPr>
                <w:rFonts w:ascii="Arial" w:hAnsi="Arial" w:cs="Arial"/>
              </w:rPr>
              <w:t>6.11% (β</w:t>
            </w:r>
            <w:r w:rsidRPr="005C0B16">
              <w:rPr>
                <w:rFonts w:ascii="Cambria Math" w:hAnsi="Cambria Math" w:cs="Cambria Math"/>
              </w:rPr>
              <w:t>₁</w:t>
            </w:r>
            <w:r w:rsidRPr="005C0B16">
              <w:rPr>
                <w:rFonts w:ascii="Arial" w:hAnsi="Arial" w:cs="Arial"/>
              </w:rPr>
              <w:t xml:space="preserve"> + β</w:t>
            </w:r>
            <w:r w:rsidRPr="005C0B16">
              <w:rPr>
                <w:rFonts w:ascii="Cambria Math" w:hAnsi="Cambria Math" w:cs="Cambria Math"/>
              </w:rPr>
              <w:t>₃</w:t>
            </w:r>
            <w:r w:rsidRPr="005C0B16">
              <w:rPr>
                <w:rFonts w:ascii="Arial" w:hAnsi="Arial" w:cs="Arial"/>
              </w:rPr>
              <w:t>) × 100</w:t>
            </w:r>
          </w:p>
        </w:tc>
        <w:tc>
          <w:tcPr>
            <w:tcW w:w="2536" w:type="pct"/>
          </w:tcPr>
          <w:p w:rsidR="008C5A77" w:rsidRPr="005C0B16" w:rsidRDefault="008C5A77" w:rsidP="00F663E4">
            <w:pPr>
              <w:jc w:val="both"/>
              <w:rPr>
                <w:rFonts w:ascii="Arial" w:hAnsi="Arial" w:cs="Arial"/>
              </w:rPr>
            </w:pPr>
            <w:r w:rsidRPr="005C0B16">
              <w:rPr>
                <w:rFonts w:ascii="Arial" w:hAnsi="Arial" w:cs="Arial"/>
              </w:rPr>
              <w:t>Not significantly different from pre-COVID</w:t>
            </w:r>
          </w:p>
          <w:p w:rsidR="008C5A77" w:rsidRPr="005C0B16" w:rsidRDefault="008C5A77" w:rsidP="00F663E4">
            <w:pPr>
              <w:jc w:val="both"/>
              <w:rPr>
                <w:rFonts w:ascii="Arial" w:hAnsi="Arial" w:cs="Arial"/>
              </w:rPr>
            </w:pPr>
            <w:r w:rsidRPr="005C0B16">
              <w:rPr>
                <w:rFonts w:ascii="Arial" w:hAnsi="Arial" w:cs="Arial"/>
              </w:rPr>
              <w:t xml:space="preserve"> (</w:t>
            </w:r>
            <w:r w:rsidRPr="00D128ED">
              <w:rPr>
                <w:rFonts w:ascii="Arial" w:hAnsi="Arial" w:cs="Arial"/>
                <w:i/>
                <w:iCs/>
              </w:rPr>
              <w:t>P</w:t>
            </w:r>
            <w:r w:rsidRPr="005C0B16">
              <w:rPr>
                <w:rFonts w:ascii="Arial" w:hAnsi="Arial" w:cs="Arial"/>
              </w:rPr>
              <w:t xml:space="preserve"> = 0.1</w:t>
            </w:r>
            <w:r>
              <w:rPr>
                <w:rFonts w:ascii="Arial" w:hAnsi="Arial" w:cs="Arial"/>
              </w:rPr>
              <w:t>2</w:t>
            </w:r>
            <w:r w:rsidRPr="005C0B16">
              <w:rPr>
                <w:rFonts w:ascii="Arial" w:hAnsi="Arial" w:cs="Arial"/>
              </w:rPr>
              <w:t>)</w:t>
            </w:r>
          </w:p>
        </w:tc>
      </w:tr>
      <w:tr w:rsidR="008C5A77" w:rsidRPr="005C0B16" w:rsidTr="00F663E4">
        <w:tc>
          <w:tcPr>
            <w:tcW w:w="1410" w:type="pct"/>
          </w:tcPr>
          <w:p w:rsidR="008C5A77" w:rsidRPr="005C0B16" w:rsidRDefault="008C5A77" w:rsidP="00F663E4">
            <w:pPr>
              <w:jc w:val="both"/>
              <w:rPr>
                <w:rFonts w:ascii="Arial" w:hAnsi="Arial" w:cs="Arial"/>
              </w:rPr>
            </w:pPr>
            <w:r w:rsidRPr="005C0B16">
              <w:rPr>
                <w:rFonts w:ascii="Arial" w:hAnsi="Arial" w:cs="Arial"/>
              </w:rPr>
              <w:t>COVID level shift</w:t>
            </w:r>
          </w:p>
        </w:tc>
        <w:tc>
          <w:tcPr>
            <w:tcW w:w="1054" w:type="pct"/>
          </w:tcPr>
          <w:p w:rsidR="008C5A77" w:rsidRPr="005C0B16" w:rsidRDefault="008C5A77" w:rsidP="00F663E4">
            <w:pPr>
              <w:jc w:val="both"/>
              <w:rPr>
                <w:rFonts w:ascii="Arial" w:hAnsi="Arial" w:cs="Arial"/>
              </w:rPr>
            </w:pPr>
            <w:r w:rsidRPr="005C0B16">
              <w:rPr>
                <w:rFonts w:ascii="Arial" w:hAnsi="Arial" w:cs="Arial"/>
              </w:rPr>
              <w:t>-65.1%</w:t>
            </w:r>
          </w:p>
        </w:tc>
        <w:tc>
          <w:tcPr>
            <w:tcW w:w="2536" w:type="pct"/>
          </w:tcPr>
          <w:p w:rsidR="008C5A77" w:rsidRPr="005C0B16" w:rsidRDefault="008C5A77" w:rsidP="00F663E4">
            <w:pPr>
              <w:jc w:val="both"/>
              <w:rPr>
                <w:rFonts w:ascii="Arial" w:hAnsi="Arial" w:cs="Arial"/>
              </w:rPr>
            </w:pPr>
            <w:r w:rsidRPr="005C0B16">
              <w:rPr>
                <w:rFonts w:ascii="Arial" w:hAnsi="Arial" w:cs="Arial"/>
              </w:rPr>
              <w:t xml:space="preserve">Significant </w:t>
            </w:r>
            <w:r w:rsidRPr="00943A01">
              <w:rPr>
                <w:rFonts w:ascii="Arial" w:hAnsi="Arial" w:cs="Arial"/>
                <w:color w:val="FF0000"/>
              </w:rPr>
              <w:t>(</w:t>
            </w:r>
            <w:r w:rsidRPr="00943A01">
              <w:rPr>
                <w:rFonts w:ascii="Arial" w:hAnsi="Arial" w:cs="Arial"/>
                <w:i/>
                <w:iCs/>
                <w:color w:val="FF0000"/>
              </w:rPr>
              <w:t xml:space="preserve">P </w:t>
            </w:r>
            <w:r w:rsidR="00F5566A" w:rsidRPr="00943A01">
              <w:rPr>
                <w:rFonts w:ascii="Arial" w:hAnsi="Arial" w:cs="Arial"/>
                <w:i/>
                <w:iCs/>
                <w:color w:val="FF0000"/>
              </w:rPr>
              <w:t>&lt;</w:t>
            </w:r>
            <w:r w:rsidRPr="00943A01">
              <w:rPr>
                <w:rFonts w:ascii="Arial" w:hAnsi="Arial" w:cs="Arial"/>
                <w:color w:val="FF0000"/>
              </w:rPr>
              <w:t xml:space="preserve"> .001)</w:t>
            </w:r>
          </w:p>
        </w:tc>
      </w:tr>
    </w:tbl>
    <w:p w:rsidR="008C5A77" w:rsidRPr="008C5A77" w:rsidRDefault="00480D65" w:rsidP="00480D65">
      <w:pPr>
        <w:spacing w:line="276" w:lineRule="auto"/>
        <w:rPr>
          <w:rFonts w:ascii="Arial" w:hAnsi="Arial" w:cs="Arial"/>
          <w:sz w:val="20"/>
          <w:szCs w:val="20"/>
        </w:rPr>
      </w:pPr>
      <w:r w:rsidRPr="003D11B0">
        <w:rPr>
          <w:rFonts w:ascii="Arial" w:hAnsi="Arial" w:cs="Arial"/>
          <w:b/>
          <w:bCs/>
          <w:sz w:val="20"/>
          <w:szCs w:val="20"/>
        </w:rPr>
        <w:t>Notes:</w:t>
      </w:r>
      <w:r w:rsidRPr="00480D65">
        <w:rPr>
          <w:rFonts w:ascii="Arial" w:hAnsi="Arial" w:cs="Arial"/>
          <w:sz w:val="20"/>
          <w:szCs w:val="20"/>
        </w:rPr>
        <w:br/>
        <w:t xml:space="preserve">a Dependent variable: </w:t>
      </w:r>
      <w:r w:rsidRPr="00943A01">
        <w:rPr>
          <w:rFonts w:ascii="Arial" w:hAnsi="Arial" w:cs="Arial"/>
          <w:color w:val="FF0000"/>
          <w:sz w:val="20"/>
          <w:szCs w:val="20"/>
        </w:rPr>
        <w:t>ln(ITA</w:t>
      </w:r>
      <w:r w:rsidRPr="00943A01">
        <w:rPr>
          <w:rFonts w:ascii="Cambria Math" w:hAnsi="Cambria Math" w:cs="Cambria Math"/>
          <w:color w:val="FF0000"/>
          <w:sz w:val="20"/>
          <w:szCs w:val="20"/>
        </w:rPr>
        <w:t>ₜ</w:t>
      </w:r>
      <w:r w:rsidRPr="00943A01">
        <w:rPr>
          <w:rFonts w:ascii="Arial" w:hAnsi="Arial" w:cs="Arial"/>
          <w:color w:val="FF0000"/>
          <w:sz w:val="20"/>
          <w:szCs w:val="20"/>
        </w:rPr>
        <w:t>)</w:t>
      </w:r>
      <w:r w:rsidRPr="00943A01">
        <w:rPr>
          <w:rFonts w:ascii="Arial" w:hAnsi="Arial" w:cs="Arial"/>
          <w:color w:val="FF0000"/>
          <w:sz w:val="20"/>
          <w:szCs w:val="20"/>
        </w:rPr>
        <w:br/>
      </w:r>
      <w:r w:rsidRPr="00480D65">
        <w:rPr>
          <w:rFonts w:ascii="Arial" w:hAnsi="Arial" w:cs="Arial"/>
          <w:sz w:val="20"/>
          <w:szCs w:val="20"/>
        </w:rPr>
        <w:t xml:space="preserve">b </w:t>
      </w:r>
      <w:r w:rsidRPr="0080595C">
        <w:rPr>
          <w:rFonts w:ascii="Arial" w:hAnsi="Arial" w:cs="Arial"/>
          <w:i/>
          <w:iCs/>
          <w:sz w:val="20"/>
          <w:szCs w:val="20"/>
        </w:rPr>
        <w:t>P</w:t>
      </w:r>
      <w:r w:rsidRPr="00480D65">
        <w:rPr>
          <w:rFonts w:ascii="Arial" w:hAnsi="Arial" w:cs="Arial"/>
          <w:sz w:val="20"/>
          <w:szCs w:val="20"/>
        </w:rPr>
        <w:t>&lt; .001 indicates statistical significance</w:t>
      </w:r>
      <w:r w:rsidRPr="00480D65">
        <w:rPr>
          <w:rFonts w:ascii="Arial" w:hAnsi="Arial" w:cs="Arial"/>
          <w:sz w:val="20"/>
          <w:szCs w:val="20"/>
        </w:rPr>
        <w:br/>
        <w:t>c Robust standard errors used</w:t>
      </w:r>
    </w:p>
    <w:p w:rsidR="0069150F" w:rsidRPr="00B0193F" w:rsidRDefault="0069150F" w:rsidP="00B0193F">
      <w:pPr>
        <w:spacing w:line="276" w:lineRule="auto"/>
        <w:jc w:val="both"/>
        <w:rPr>
          <w:rFonts w:ascii="Arial" w:hAnsi="Arial" w:cs="Arial"/>
          <w:sz w:val="20"/>
          <w:szCs w:val="20"/>
        </w:rPr>
      </w:pPr>
      <w:r w:rsidRPr="00B0193F">
        <w:rPr>
          <w:rFonts w:ascii="Arial" w:hAnsi="Arial" w:cs="Arial"/>
          <w:sz w:val="20"/>
          <w:szCs w:val="20"/>
        </w:rPr>
        <w:t>The results of intervention analysis are presented in table 2. The model measures the impact of the COVID-19 pandemic on the arrival of international tourists in India by separating immediate impact and long-term changes post-pandemic. The trend of time is positive and statistically significant (</w:t>
      </w:r>
      <w:r w:rsidRPr="00B0193F">
        <w:rPr>
          <w:rFonts w:ascii="Arial" w:hAnsi="Arial" w:cs="Arial"/>
          <w:i/>
          <w:iCs/>
          <w:sz w:val="20"/>
          <w:szCs w:val="20"/>
        </w:rPr>
        <w:t>P</w:t>
      </w:r>
      <w:r w:rsidRPr="00B0193F">
        <w:rPr>
          <w:rFonts w:ascii="Arial" w:hAnsi="Arial" w:cs="Arial"/>
          <w:sz w:val="20"/>
          <w:szCs w:val="20"/>
        </w:rPr>
        <w:t xml:space="preserve">&lt; .001), indicating that tourist arrivals were increasing by about 0.68 million per year prior to COVID-19. The immediate impact of the pandemic is large and negative, the decline of approximately 11.58 million arrivals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&lt; .001),</w:t>
      </w:r>
      <w:r w:rsidRPr="00B0193F">
        <w:rPr>
          <w:rFonts w:ascii="Arial" w:hAnsi="Arial" w:cs="Arial"/>
          <w:sz w:val="20"/>
          <w:szCs w:val="20"/>
        </w:rPr>
        <w:t xml:space="preserve"> indicating rapid disruption of tourism activity.</w:t>
      </w:r>
    </w:p>
    <w:p w:rsidR="0069150F" w:rsidRPr="00B0193F" w:rsidRDefault="0069150F" w:rsidP="00B0193F">
      <w:pPr>
        <w:spacing w:line="276" w:lineRule="auto"/>
        <w:jc w:val="both"/>
        <w:rPr>
          <w:rFonts w:ascii="Arial" w:hAnsi="Arial" w:cs="Arial"/>
          <w:sz w:val="20"/>
          <w:szCs w:val="20"/>
        </w:rPr>
      </w:pPr>
      <w:r w:rsidRPr="00B0193F">
        <w:rPr>
          <w:rFonts w:ascii="Arial" w:hAnsi="Arial" w:cs="Arial"/>
          <w:sz w:val="20"/>
          <w:szCs w:val="20"/>
        </w:rPr>
        <w:t xml:space="preserve">The long-term impact of the pandemic is also negative and statistically significant </w:t>
      </w:r>
      <w:r w:rsidRPr="00943A01">
        <w:rPr>
          <w:rFonts w:ascii="Arial" w:hAnsi="Arial" w:cs="Arial"/>
          <w:color w:val="FF0000"/>
          <w:sz w:val="20"/>
          <w:szCs w:val="20"/>
        </w:rPr>
        <w:t>(</w:t>
      </w:r>
      <w:r w:rsidRPr="00943A01">
        <w:rPr>
          <w:rFonts w:ascii="Arial" w:hAnsi="Arial" w:cs="Arial"/>
          <w:i/>
          <w:iCs/>
          <w:color w:val="FF0000"/>
          <w:sz w:val="20"/>
          <w:szCs w:val="20"/>
        </w:rPr>
        <w:t xml:space="preserve">P </w:t>
      </w:r>
      <w:r w:rsidRPr="00943A01">
        <w:rPr>
          <w:rFonts w:ascii="Arial" w:hAnsi="Arial" w:cs="Arial"/>
          <w:color w:val="FF0000"/>
          <w:sz w:val="20"/>
          <w:szCs w:val="20"/>
        </w:rPr>
        <w:t>= .01,</w:t>
      </w:r>
      <w:r w:rsidRPr="00B0193F">
        <w:rPr>
          <w:rFonts w:ascii="Arial" w:hAnsi="Arial" w:cs="Arial"/>
          <w:sz w:val="20"/>
          <w:szCs w:val="20"/>
        </w:rPr>
        <w:t xml:space="preserve"> which means that even after recovery, tourist arrivals are around 2.34 million less than expected. This model explains the high proportion of variation in tourist arrivals, which describes a good fit These findings suggest that there has been a sudden decline in the tourism demand due to COVID-19 and a continuous decline. This may be due to changes in travel behaviour, low flight connectivity and sustained risk concerns. Overall, the tourism sector in India has not yet returned its earlier growth path.</w:t>
      </w:r>
    </w:p>
    <w:p w:rsidR="00F5566A" w:rsidRDefault="00F5566A" w:rsidP="008C5A77">
      <w:pPr>
        <w:jc w:val="both"/>
        <w:rPr>
          <w:rFonts w:ascii="Arial" w:hAnsi="Arial" w:cs="Arial"/>
          <w:b/>
          <w:bCs/>
        </w:rPr>
      </w:pPr>
    </w:p>
    <w:p w:rsidR="008C5A77" w:rsidRPr="008C5A77" w:rsidRDefault="008C5A77" w:rsidP="008C5A77">
      <w:pPr>
        <w:jc w:val="both"/>
        <w:rPr>
          <w:rFonts w:ascii="Arial" w:hAnsi="Arial" w:cs="Arial"/>
          <w:b/>
          <w:bCs/>
        </w:rPr>
      </w:pPr>
      <w:r w:rsidRPr="008C5A77">
        <w:rPr>
          <w:rFonts w:ascii="Arial" w:hAnsi="Arial" w:cs="Arial"/>
          <w:b/>
          <w:bCs/>
        </w:rPr>
        <w:t>T</w:t>
      </w:r>
      <w:r w:rsidR="007C171C" w:rsidRPr="008C5A77">
        <w:rPr>
          <w:rFonts w:ascii="Arial" w:hAnsi="Arial" w:cs="Arial"/>
          <w:b/>
          <w:bCs/>
        </w:rPr>
        <w:t>able</w:t>
      </w:r>
      <w:r w:rsidRPr="008C5A77">
        <w:rPr>
          <w:rFonts w:ascii="Arial" w:hAnsi="Arial" w:cs="Arial"/>
          <w:b/>
          <w:bCs/>
        </w:rPr>
        <w:t xml:space="preserve"> 2</w:t>
      </w:r>
      <w:r w:rsidR="007C171C">
        <w:rPr>
          <w:rFonts w:ascii="Arial" w:hAnsi="Arial" w:cs="Arial"/>
          <w:b/>
          <w:bCs/>
        </w:rPr>
        <w:t>.</w:t>
      </w:r>
      <w:r w:rsidRPr="008C5A77">
        <w:rPr>
          <w:rFonts w:ascii="Arial" w:hAnsi="Arial" w:cs="Arial"/>
          <w:b/>
          <w:bCs/>
        </w:rPr>
        <w:t xml:space="preserve"> Intervention Analysis – COVID-19 Impact Quantification</w:t>
      </w:r>
    </w:p>
    <w:p w:rsidR="008C5A77" w:rsidRPr="008C5A77" w:rsidRDefault="008C5A77" w:rsidP="008C5A77">
      <w:pPr>
        <w:jc w:val="both"/>
        <w:rPr>
          <w:rFonts w:ascii="Arial" w:hAnsi="Arial" w:cs="Arial"/>
          <w:b/>
          <w:bCs/>
          <w:sz w:val="20"/>
          <w:szCs w:val="20"/>
        </w:rPr>
      </w:pPr>
    </w:p>
    <w:tbl>
      <w:tblPr>
        <w:tblStyle w:val="TableGrid"/>
        <w:tblW w:w="0" w:type="auto"/>
        <w:tblLook w:val="04A0"/>
      </w:tblPr>
      <w:tblGrid>
        <w:gridCol w:w="2667"/>
        <w:gridCol w:w="1250"/>
        <w:gridCol w:w="853"/>
        <w:gridCol w:w="1051"/>
        <w:gridCol w:w="1081"/>
        <w:gridCol w:w="2340"/>
      </w:tblGrid>
      <w:tr w:rsidR="00F10B9C" w:rsidRPr="008C5A77" w:rsidTr="00F10B9C">
        <w:tc>
          <w:tcPr>
            <w:tcW w:w="2667" w:type="dxa"/>
          </w:tcPr>
          <w:p w:rsidR="00F10B9C" w:rsidRPr="008C5A77" w:rsidRDefault="00F10B9C" w:rsidP="00F10B9C">
            <w:pPr>
              <w:jc w:val="center"/>
              <w:rPr>
                <w:rFonts w:ascii="Arial" w:hAnsi="Arial" w:cs="Arial"/>
                <w:b/>
                <w:bCs/>
              </w:rPr>
            </w:pPr>
            <w:r w:rsidRPr="008C5A77">
              <w:rPr>
                <w:rFonts w:ascii="Arial" w:hAnsi="Arial" w:cs="Arial"/>
                <w:b/>
                <w:bCs/>
              </w:rPr>
              <w:t>Variable</w:t>
            </w:r>
          </w:p>
        </w:tc>
        <w:tc>
          <w:tcPr>
            <w:tcW w:w="1250" w:type="dxa"/>
          </w:tcPr>
          <w:p w:rsidR="00F10B9C" w:rsidRPr="008C5A77" w:rsidRDefault="00F10B9C" w:rsidP="00F10B9C">
            <w:pPr>
              <w:jc w:val="center"/>
              <w:rPr>
                <w:rFonts w:ascii="Arial" w:hAnsi="Arial" w:cs="Arial"/>
                <w:b/>
                <w:bCs/>
              </w:rPr>
            </w:pPr>
            <w:r w:rsidRPr="008C5A77">
              <w:rPr>
                <w:rFonts w:ascii="Arial" w:hAnsi="Arial" w:cs="Arial"/>
                <w:b/>
                <w:bCs/>
              </w:rPr>
              <w:t>Coefficient</w:t>
            </w:r>
          </w:p>
        </w:tc>
        <w:tc>
          <w:tcPr>
            <w:tcW w:w="0" w:type="auto"/>
          </w:tcPr>
          <w:p w:rsidR="00F10B9C" w:rsidRPr="008C5A77" w:rsidRDefault="00F10B9C" w:rsidP="00F10B9C">
            <w:pPr>
              <w:jc w:val="center"/>
              <w:rPr>
                <w:rFonts w:ascii="Arial" w:hAnsi="Arial" w:cs="Arial"/>
                <w:b/>
                <w:bCs/>
              </w:rPr>
            </w:pPr>
            <w:r w:rsidRPr="008C5A77">
              <w:rPr>
                <w:rFonts w:ascii="Arial" w:hAnsi="Arial" w:cs="Arial"/>
                <w:b/>
                <w:bCs/>
              </w:rPr>
              <w:t>Std. Error</w:t>
            </w:r>
          </w:p>
        </w:tc>
        <w:tc>
          <w:tcPr>
            <w:tcW w:w="0" w:type="auto"/>
          </w:tcPr>
          <w:p w:rsidR="00F10B9C" w:rsidRPr="008C5A77" w:rsidRDefault="00F10B9C" w:rsidP="00F10B9C">
            <w:pPr>
              <w:jc w:val="center"/>
              <w:rPr>
                <w:rFonts w:ascii="Arial" w:hAnsi="Arial" w:cs="Arial"/>
                <w:b/>
                <w:bCs/>
              </w:rPr>
            </w:pPr>
            <w:r>
              <w:rPr>
                <w:rFonts w:ascii="Arial" w:hAnsi="Arial" w:cs="Arial"/>
                <w:b/>
                <w:bCs/>
              </w:rPr>
              <w:t>‘t’ st</w:t>
            </w:r>
            <w:r w:rsidRPr="005C0B16">
              <w:rPr>
                <w:rFonts w:ascii="Arial" w:hAnsi="Arial" w:cs="Arial"/>
                <w:b/>
                <w:bCs/>
              </w:rPr>
              <w:t>atistic</w:t>
            </w:r>
          </w:p>
        </w:tc>
        <w:tc>
          <w:tcPr>
            <w:tcW w:w="1081" w:type="dxa"/>
          </w:tcPr>
          <w:p w:rsidR="00F10B9C" w:rsidRPr="008C5A77" w:rsidRDefault="00F10B9C" w:rsidP="00F10B9C">
            <w:pPr>
              <w:jc w:val="center"/>
              <w:rPr>
                <w:rFonts w:ascii="Arial" w:hAnsi="Arial" w:cs="Arial"/>
                <w:b/>
                <w:bCs/>
              </w:rPr>
            </w:pPr>
            <w:r>
              <w:rPr>
                <w:rFonts w:ascii="Arial" w:hAnsi="Arial" w:cs="Arial"/>
                <w:b/>
                <w:bCs/>
                <w:i/>
                <w:iCs/>
              </w:rPr>
              <w:t>‘P</w:t>
            </w:r>
            <w:r w:rsidR="00106AA4">
              <w:rPr>
                <w:rFonts w:ascii="Arial" w:hAnsi="Arial" w:cs="Arial"/>
                <w:b/>
                <w:bCs/>
                <w:i/>
                <w:iCs/>
              </w:rPr>
              <w:t>’ Value</w:t>
            </w:r>
          </w:p>
        </w:tc>
        <w:tc>
          <w:tcPr>
            <w:tcW w:w="2340" w:type="dxa"/>
          </w:tcPr>
          <w:p w:rsidR="00F10B9C" w:rsidRPr="008C5A77" w:rsidRDefault="00F10B9C" w:rsidP="00F10B9C">
            <w:pPr>
              <w:jc w:val="center"/>
              <w:rPr>
                <w:rFonts w:ascii="Arial" w:hAnsi="Arial" w:cs="Arial"/>
                <w:b/>
                <w:bCs/>
              </w:rPr>
            </w:pPr>
            <w:r w:rsidRPr="008C5A77">
              <w:rPr>
                <w:rFonts w:ascii="Arial" w:hAnsi="Arial" w:cs="Arial"/>
                <w:b/>
                <w:bCs/>
              </w:rPr>
              <w:t>Effect Size</w:t>
            </w:r>
          </w:p>
        </w:tc>
      </w:tr>
      <w:tr w:rsidR="00480D65" w:rsidRPr="008C5A77" w:rsidTr="00F10B9C">
        <w:tc>
          <w:tcPr>
            <w:tcW w:w="2667" w:type="dxa"/>
          </w:tcPr>
          <w:p w:rsidR="00480D65" w:rsidRPr="008C5A77" w:rsidRDefault="00480D65" w:rsidP="00480D65">
            <w:pPr>
              <w:jc w:val="both"/>
              <w:rPr>
                <w:rFonts w:ascii="Arial" w:hAnsi="Arial" w:cs="Arial"/>
              </w:rPr>
            </w:pPr>
            <w:r w:rsidRPr="008C5A77">
              <w:rPr>
                <w:rFonts w:ascii="Arial" w:hAnsi="Arial" w:cs="Arial"/>
                <w:b/>
                <w:bCs/>
              </w:rPr>
              <w:t>Constant (α</w:t>
            </w:r>
            <w:r w:rsidRPr="008C5A77">
              <w:rPr>
                <w:rFonts w:ascii="Cambria Math" w:hAnsi="Cambria Math" w:cs="Cambria Math"/>
                <w:b/>
                <w:bCs/>
              </w:rPr>
              <w:t>₀</w:t>
            </w:r>
            <w:r w:rsidRPr="008C5A77">
              <w:rPr>
                <w:rFonts w:ascii="Arial" w:hAnsi="Arial" w:cs="Arial"/>
                <w:b/>
                <w:bCs/>
              </w:rPr>
              <w:t>)</w:t>
            </w:r>
          </w:p>
        </w:tc>
        <w:tc>
          <w:tcPr>
            <w:tcW w:w="1250" w:type="dxa"/>
          </w:tcPr>
          <w:p w:rsidR="00480D65" w:rsidRPr="008C5A77" w:rsidRDefault="00480D65" w:rsidP="00480D65">
            <w:pPr>
              <w:jc w:val="both"/>
              <w:rPr>
                <w:rFonts w:ascii="Arial" w:hAnsi="Arial" w:cs="Arial"/>
              </w:rPr>
            </w:pPr>
            <w:r w:rsidRPr="008C5A77">
              <w:rPr>
                <w:rFonts w:ascii="Arial" w:hAnsi="Arial" w:cs="Arial"/>
              </w:rPr>
              <w:t>1.85</w:t>
            </w:r>
          </w:p>
        </w:tc>
        <w:tc>
          <w:tcPr>
            <w:tcW w:w="0" w:type="auto"/>
          </w:tcPr>
          <w:p w:rsidR="00480D65" w:rsidRPr="008C5A77" w:rsidRDefault="00480D65" w:rsidP="00480D65">
            <w:pPr>
              <w:jc w:val="both"/>
              <w:rPr>
                <w:rFonts w:ascii="Arial" w:hAnsi="Arial" w:cs="Arial"/>
              </w:rPr>
            </w:pPr>
            <w:r w:rsidRPr="008C5A77">
              <w:rPr>
                <w:rFonts w:ascii="Arial" w:hAnsi="Arial" w:cs="Arial"/>
              </w:rPr>
              <w:t>0.42</w:t>
            </w:r>
          </w:p>
        </w:tc>
        <w:tc>
          <w:tcPr>
            <w:tcW w:w="0" w:type="auto"/>
          </w:tcPr>
          <w:p w:rsidR="00480D65" w:rsidRPr="008C5A77" w:rsidRDefault="00480D65" w:rsidP="00480D65">
            <w:pPr>
              <w:jc w:val="both"/>
              <w:rPr>
                <w:rFonts w:ascii="Arial" w:hAnsi="Arial" w:cs="Arial"/>
              </w:rPr>
            </w:pPr>
            <w:r w:rsidRPr="008C5A77">
              <w:rPr>
                <w:rFonts w:ascii="Arial" w:hAnsi="Arial" w:cs="Arial"/>
              </w:rPr>
              <w:t>4.40</w:t>
            </w:r>
          </w:p>
        </w:tc>
        <w:tc>
          <w:tcPr>
            <w:tcW w:w="1081" w:type="dxa"/>
          </w:tcPr>
          <w:p w:rsidR="00480D65" w:rsidRPr="00943A01" w:rsidRDefault="00480D65" w:rsidP="00480D65">
            <w:pPr>
              <w:jc w:val="both"/>
              <w:rPr>
                <w:rFonts w:ascii="Arial" w:hAnsi="Arial" w:cs="Arial"/>
                <w:color w:val="FF0000"/>
              </w:rPr>
            </w:pPr>
            <w:r w:rsidRPr="00943A01">
              <w:rPr>
                <w:rFonts w:ascii="Arial" w:hAnsi="Arial" w:cs="Arial"/>
                <w:i/>
                <w:iCs/>
                <w:color w:val="FF0000"/>
              </w:rPr>
              <w:t>P&lt;</w:t>
            </w:r>
            <w:r w:rsidRPr="00943A01">
              <w:rPr>
                <w:rFonts w:ascii="Arial" w:hAnsi="Arial" w:cs="Arial"/>
                <w:color w:val="FF0000"/>
              </w:rPr>
              <w:t>.001</w:t>
            </w:r>
          </w:p>
        </w:tc>
        <w:tc>
          <w:tcPr>
            <w:tcW w:w="2340" w:type="dxa"/>
          </w:tcPr>
          <w:p w:rsidR="00480D65" w:rsidRPr="008C5A77" w:rsidRDefault="00480D65" w:rsidP="00480D65">
            <w:pPr>
              <w:jc w:val="both"/>
              <w:rPr>
                <w:rFonts w:ascii="Arial" w:hAnsi="Arial" w:cs="Arial"/>
              </w:rPr>
            </w:pPr>
            <w:r w:rsidRPr="008C5A77">
              <w:rPr>
                <w:rFonts w:ascii="Arial" w:hAnsi="Arial" w:cs="Arial"/>
              </w:rPr>
              <w:t>Baseline (2001)</w:t>
            </w:r>
          </w:p>
        </w:tc>
      </w:tr>
      <w:tr w:rsidR="00480D65" w:rsidRPr="008C5A77" w:rsidTr="00F10B9C">
        <w:tc>
          <w:tcPr>
            <w:tcW w:w="2667" w:type="dxa"/>
          </w:tcPr>
          <w:p w:rsidR="00480D65" w:rsidRPr="008C5A77" w:rsidRDefault="00480D65" w:rsidP="00480D65">
            <w:pPr>
              <w:jc w:val="both"/>
              <w:rPr>
                <w:rFonts w:ascii="Arial" w:hAnsi="Arial" w:cs="Arial"/>
              </w:rPr>
            </w:pPr>
            <w:r w:rsidRPr="008C5A77">
              <w:rPr>
                <w:rFonts w:ascii="Arial" w:hAnsi="Arial" w:cs="Arial"/>
                <w:b/>
                <w:bCs/>
              </w:rPr>
              <w:t>Time trend (α</w:t>
            </w:r>
            <w:r w:rsidRPr="008C5A77">
              <w:rPr>
                <w:rFonts w:ascii="Cambria Math" w:hAnsi="Cambria Math" w:cs="Cambria Math"/>
                <w:b/>
                <w:bCs/>
              </w:rPr>
              <w:t>₁</w:t>
            </w:r>
            <w:r w:rsidRPr="008C5A77">
              <w:rPr>
                <w:rFonts w:ascii="Arial" w:hAnsi="Arial" w:cs="Arial"/>
                <w:b/>
                <w:bCs/>
              </w:rPr>
              <w:t>)</w:t>
            </w:r>
          </w:p>
        </w:tc>
        <w:tc>
          <w:tcPr>
            <w:tcW w:w="1250" w:type="dxa"/>
          </w:tcPr>
          <w:p w:rsidR="00480D65" w:rsidRPr="008C5A77" w:rsidRDefault="00480D65" w:rsidP="00480D65">
            <w:pPr>
              <w:jc w:val="both"/>
              <w:rPr>
                <w:rFonts w:ascii="Arial" w:hAnsi="Arial" w:cs="Arial"/>
              </w:rPr>
            </w:pPr>
            <w:r w:rsidRPr="008C5A77">
              <w:rPr>
                <w:rFonts w:ascii="Arial" w:hAnsi="Arial" w:cs="Arial"/>
              </w:rPr>
              <w:t>0.68</w:t>
            </w:r>
          </w:p>
        </w:tc>
        <w:tc>
          <w:tcPr>
            <w:tcW w:w="0" w:type="auto"/>
          </w:tcPr>
          <w:p w:rsidR="00480D65" w:rsidRPr="008C5A77" w:rsidRDefault="00480D65" w:rsidP="00480D65">
            <w:pPr>
              <w:jc w:val="both"/>
              <w:rPr>
                <w:rFonts w:ascii="Arial" w:hAnsi="Arial" w:cs="Arial"/>
              </w:rPr>
            </w:pPr>
            <w:r w:rsidRPr="008C5A77">
              <w:rPr>
                <w:rFonts w:ascii="Arial" w:hAnsi="Arial" w:cs="Arial"/>
              </w:rPr>
              <w:t>0.05</w:t>
            </w:r>
          </w:p>
        </w:tc>
        <w:tc>
          <w:tcPr>
            <w:tcW w:w="0" w:type="auto"/>
          </w:tcPr>
          <w:p w:rsidR="00480D65" w:rsidRPr="008C5A77" w:rsidRDefault="00480D65" w:rsidP="00480D65">
            <w:pPr>
              <w:jc w:val="both"/>
              <w:rPr>
                <w:rFonts w:ascii="Arial" w:hAnsi="Arial" w:cs="Arial"/>
              </w:rPr>
            </w:pPr>
            <w:r w:rsidRPr="008C5A77">
              <w:rPr>
                <w:rFonts w:ascii="Arial" w:hAnsi="Arial" w:cs="Arial"/>
              </w:rPr>
              <w:t>13.60</w:t>
            </w:r>
          </w:p>
        </w:tc>
        <w:tc>
          <w:tcPr>
            <w:tcW w:w="1081" w:type="dxa"/>
          </w:tcPr>
          <w:p w:rsidR="00480D65" w:rsidRPr="00943A01" w:rsidRDefault="00480D65" w:rsidP="00480D65">
            <w:pPr>
              <w:jc w:val="both"/>
              <w:rPr>
                <w:rFonts w:ascii="Arial" w:hAnsi="Arial" w:cs="Arial"/>
                <w:color w:val="FF0000"/>
              </w:rPr>
            </w:pPr>
            <w:r w:rsidRPr="00943A01">
              <w:rPr>
                <w:rFonts w:ascii="Arial" w:hAnsi="Arial" w:cs="Arial"/>
                <w:i/>
                <w:iCs/>
                <w:color w:val="FF0000"/>
              </w:rPr>
              <w:t>P&lt;</w:t>
            </w:r>
            <w:r w:rsidRPr="00943A01">
              <w:rPr>
                <w:rFonts w:ascii="Arial" w:hAnsi="Arial" w:cs="Arial"/>
                <w:color w:val="FF0000"/>
              </w:rPr>
              <w:t>.001</w:t>
            </w:r>
          </w:p>
        </w:tc>
        <w:tc>
          <w:tcPr>
            <w:tcW w:w="2340" w:type="dxa"/>
          </w:tcPr>
          <w:p w:rsidR="00480D65" w:rsidRPr="008C5A77" w:rsidRDefault="00480D65" w:rsidP="00480D65">
            <w:pPr>
              <w:jc w:val="both"/>
              <w:rPr>
                <w:rFonts w:ascii="Arial" w:hAnsi="Arial" w:cs="Arial"/>
              </w:rPr>
            </w:pPr>
            <w:r w:rsidRPr="008C5A77">
              <w:rPr>
                <w:rFonts w:ascii="Arial" w:hAnsi="Arial" w:cs="Arial"/>
              </w:rPr>
              <w:t>+0.68 million/year</w:t>
            </w:r>
          </w:p>
        </w:tc>
      </w:tr>
      <w:tr w:rsidR="00480D65" w:rsidRPr="008C5A77" w:rsidTr="00F10B9C">
        <w:tc>
          <w:tcPr>
            <w:tcW w:w="2667" w:type="dxa"/>
          </w:tcPr>
          <w:p w:rsidR="00480D65" w:rsidRPr="008C5A77" w:rsidRDefault="00480D65" w:rsidP="00480D65">
            <w:pPr>
              <w:jc w:val="both"/>
              <w:rPr>
                <w:rFonts w:ascii="Arial" w:hAnsi="Arial" w:cs="Arial"/>
              </w:rPr>
            </w:pPr>
            <w:r w:rsidRPr="008C5A77">
              <w:rPr>
                <w:rFonts w:ascii="Arial" w:hAnsi="Arial" w:cs="Arial"/>
                <w:b/>
                <w:bCs/>
              </w:rPr>
              <w:t>Pulse intervention (α</w:t>
            </w:r>
            <w:r w:rsidRPr="008C5A77">
              <w:rPr>
                <w:rFonts w:ascii="Cambria Math" w:hAnsi="Cambria Math" w:cs="Cambria Math"/>
                <w:b/>
                <w:bCs/>
              </w:rPr>
              <w:t>₂</w:t>
            </w:r>
            <w:r w:rsidRPr="008C5A77">
              <w:rPr>
                <w:rFonts w:ascii="Arial" w:hAnsi="Arial" w:cs="Arial"/>
                <w:b/>
                <w:bCs/>
              </w:rPr>
              <w:t>)</w:t>
            </w:r>
          </w:p>
        </w:tc>
        <w:tc>
          <w:tcPr>
            <w:tcW w:w="1250" w:type="dxa"/>
          </w:tcPr>
          <w:p w:rsidR="00480D65" w:rsidRPr="008C5A77" w:rsidRDefault="00480D65" w:rsidP="00480D65">
            <w:pPr>
              <w:jc w:val="both"/>
              <w:rPr>
                <w:rFonts w:ascii="Arial" w:hAnsi="Arial" w:cs="Arial"/>
              </w:rPr>
            </w:pPr>
            <w:r w:rsidRPr="008C5A77">
              <w:rPr>
                <w:rFonts w:ascii="Arial" w:hAnsi="Arial" w:cs="Arial"/>
              </w:rPr>
              <w:t>-11.58</w:t>
            </w:r>
          </w:p>
        </w:tc>
        <w:tc>
          <w:tcPr>
            <w:tcW w:w="0" w:type="auto"/>
          </w:tcPr>
          <w:p w:rsidR="00480D65" w:rsidRPr="008C5A77" w:rsidRDefault="00480D65" w:rsidP="00480D65">
            <w:pPr>
              <w:jc w:val="both"/>
              <w:rPr>
                <w:rFonts w:ascii="Arial" w:hAnsi="Arial" w:cs="Arial"/>
              </w:rPr>
            </w:pPr>
            <w:r w:rsidRPr="008C5A77">
              <w:rPr>
                <w:rFonts w:ascii="Arial" w:hAnsi="Arial" w:cs="Arial"/>
              </w:rPr>
              <w:t>1.23</w:t>
            </w:r>
          </w:p>
        </w:tc>
        <w:tc>
          <w:tcPr>
            <w:tcW w:w="0" w:type="auto"/>
          </w:tcPr>
          <w:p w:rsidR="00480D65" w:rsidRPr="008C5A77" w:rsidRDefault="00480D65" w:rsidP="00480D65">
            <w:pPr>
              <w:jc w:val="both"/>
              <w:rPr>
                <w:rFonts w:ascii="Arial" w:hAnsi="Arial" w:cs="Arial"/>
              </w:rPr>
            </w:pPr>
            <w:r w:rsidRPr="008C5A77">
              <w:rPr>
                <w:rFonts w:ascii="Arial" w:hAnsi="Arial" w:cs="Arial"/>
              </w:rPr>
              <w:t>-9.41</w:t>
            </w:r>
          </w:p>
        </w:tc>
        <w:tc>
          <w:tcPr>
            <w:tcW w:w="1081" w:type="dxa"/>
          </w:tcPr>
          <w:p w:rsidR="00480D65" w:rsidRPr="00943A01" w:rsidRDefault="00480D65" w:rsidP="00480D65">
            <w:pPr>
              <w:jc w:val="both"/>
              <w:rPr>
                <w:rFonts w:ascii="Arial" w:hAnsi="Arial" w:cs="Arial"/>
                <w:color w:val="FF0000"/>
              </w:rPr>
            </w:pPr>
            <w:r w:rsidRPr="00943A01">
              <w:rPr>
                <w:rFonts w:ascii="Arial" w:hAnsi="Arial" w:cs="Arial"/>
                <w:i/>
                <w:iCs/>
                <w:color w:val="FF0000"/>
              </w:rPr>
              <w:t>P&lt;</w:t>
            </w:r>
            <w:r w:rsidRPr="00943A01">
              <w:rPr>
                <w:rFonts w:ascii="Arial" w:hAnsi="Arial" w:cs="Arial"/>
                <w:color w:val="FF0000"/>
              </w:rPr>
              <w:t>.001</w:t>
            </w:r>
          </w:p>
        </w:tc>
        <w:tc>
          <w:tcPr>
            <w:tcW w:w="2340" w:type="dxa"/>
          </w:tcPr>
          <w:p w:rsidR="00480D65" w:rsidRPr="008C5A77" w:rsidRDefault="00480D65" w:rsidP="00480D65">
            <w:pPr>
              <w:jc w:val="both"/>
              <w:rPr>
                <w:rFonts w:ascii="Arial" w:hAnsi="Arial" w:cs="Arial"/>
              </w:rPr>
            </w:pPr>
            <w:r w:rsidRPr="008C5A77">
              <w:rPr>
                <w:rFonts w:ascii="Arial" w:hAnsi="Arial" w:cs="Arial"/>
              </w:rPr>
              <w:t>-11.58 million (2020 only)</w:t>
            </w:r>
          </w:p>
        </w:tc>
      </w:tr>
      <w:tr w:rsidR="00480D65" w:rsidRPr="008C5A77" w:rsidTr="00F10B9C">
        <w:tc>
          <w:tcPr>
            <w:tcW w:w="2667" w:type="dxa"/>
          </w:tcPr>
          <w:p w:rsidR="00480D65" w:rsidRPr="008C5A77" w:rsidRDefault="00480D65" w:rsidP="00480D65">
            <w:pPr>
              <w:jc w:val="both"/>
              <w:rPr>
                <w:rFonts w:ascii="Arial" w:hAnsi="Arial" w:cs="Arial"/>
              </w:rPr>
            </w:pPr>
            <w:r w:rsidRPr="008C5A77">
              <w:rPr>
                <w:rFonts w:ascii="Arial" w:hAnsi="Arial" w:cs="Arial"/>
                <w:b/>
                <w:bCs/>
              </w:rPr>
              <w:t>Step intervention (α</w:t>
            </w:r>
            <w:r w:rsidRPr="008C5A77">
              <w:rPr>
                <w:rFonts w:ascii="Cambria Math" w:hAnsi="Cambria Math" w:cs="Cambria Math"/>
                <w:b/>
                <w:bCs/>
              </w:rPr>
              <w:t>₃</w:t>
            </w:r>
            <w:r w:rsidRPr="008C5A77">
              <w:rPr>
                <w:rFonts w:ascii="Arial" w:hAnsi="Arial" w:cs="Arial"/>
                <w:b/>
                <w:bCs/>
              </w:rPr>
              <w:t>)</w:t>
            </w:r>
          </w:p>
        </w:tc>
        <w:tc>
          <w:tcPr>
            <w:tcW w:w="1250" w:type="dxa"/>
          </w:tcPr>
          <w:p w:rsidR="00480D65" w:rsidRPr="008C5A77" w:rsidRDefault="00480D65" w:rsidP="00480D65">
            <w:pPr>
              <w:jc w:val="both"/>
              <w:rPr>
                <w:rFonts w:ascii="Arial" w:hAnsi="Arial" w:cs="Arial"/>
              </w:rPr>
            </w:pPr>
            <w:r w:rsidRPr="008C5A77">
              <w:rPr>
                <w:rFonts w:ascii="Arial" w:hAnsi="Arial" w:cs="Arial"/>
              </w:rPr>
              <w:t>-2.34</w:t>
            </w:r>
          </w:p>
        </w:tc>
        <w:tc>
          <w:tcPr>
            <w:tcW w:w="0" w:type="auto"/>
          </w:tcPr>
          <w:p w:rsidR="00480D65" w:rsidRPr="008C5A77" w:rsidRDefault="00480D65" w:rsidP="00480D65">
            <w:pPr>
              <w:jc w:val="both"/>
              <w:rPr>
                <w:rFonts w:ascii="Arial" w:hAnsi="Arial" w:cs="Arial"/>
              </w:rPr>
            </w:pPr>
            <w:r w:rsidRPr="008C5A77">
              <w:rPr>
                <w:rFonts w:ascii="Arial" w:hAnsi="Arial" w:cs="Arial"/>
              </w:rPr>
              <w:t>0.87</w:t>
            </w:r>
          </w:p>
        </w:tc>
        <w:tc>
          <w:tcPr>
            <w:tcW w:w="0" w:type="auto"/>
          </w:tcPr>
          <w:p w:rsidR="00480D65" w:rsidRPr="008C5A77" w:rsidRDefault="00480D65" w:rsidP="00480D65">
            <w:pPr>
              <w:jc w:val="both"/>
              <w:rPr>
                <w:rFonts w:ascii="Arial" w:hAnsi="Arial" w:cs="Arial"/>
              </w:rPr>
            </w:pPr>
            <w:r w:rsidRPr="008C5A77">
              <w:rPr>
                <w:rFonts w:ascii="Arial" w:hAnsi="Arial" w:cs="Arial"/>
              </w:rPr>
              <w:t>-2.69</w:t>
            </w:r>
          </w:p>
        </w:tc>
        <w:tc>
          <w:tcPr>
            <w:tcW w:w="1081" w:type="dxa"/>
          </w:tcPr>
          <w:p w:rsidR="00480D65" w:rsidRPr="00943A01" w:rsidRDefault="00480D65" w:rsidP="00480D65">
            <w:pPr>
              <w:jc w:val="both"/>
              <w:rPr>
                <w:rFonts w:ascii="Arial" w:hAnsi="Arial" w:cs="Arial"/>
                <w:color w:val="FF0000"/>
              </w:rPr>
            </w:pPr>
            <w:r w:rsidRPr="00943A01">
              <w:rPr>
                <w:rFonts w:ascii="Arial" w:hAnsi="Arial" w:cs="Arial"/>
                <w:i/>
                <w:iCs/>
                <w:color w:val="FF0000"/>
              </w:rPr>
              <w:t>P&lt;</w:t>
            </w:r>
            <w:r w:rsidRPr="00943A01">
              <w:rPr>
                <w:rFonts w:ascii="Arial" w:hAnsi="Arial" w:cs="Arial"/>
                <w:color w:val="FF0000"/>
              </w:rPr>
              <w:t>.001</w:t>
            </w:r>
          </w:p>
        </w:tc>
        <w:tc>
          <w:tcPr>
            <w:tcW w:w="2340" w:type="dxa"/>
          </w:tcPr>
          <w:p w:rsidR="00480D65" w:rsidRPr="008C5A77" w:rsidRDefault="00480D65" w:rsidP="00480D65">
            <w:pPr>
              <w:jc w:val="both"/>
              <w:rPr>
                <w:rFonts w:ascii="Arial" w:hAnsi="Arial" w:cs="Arial"/>
              </w:rPr>
            </w:pPr>
            <w:r w:rsidRPr="008C5A77">
              <w:rPr>
                <w:rFonts w:ascii="Arial" w:hAnsi="Arial" w:cs="Arial"/>
              </w:rPr>
              <w:t>-2.34 million permanent shifts</w:t>
            </w:r>
          </w:p>
        </w:tc>
      </w:tr>
    </w:tbl>
    <w:p w:rsidR="008C5A77" w:rsidRPr="005C0B16" w:rsidRDefault="008C5A77" w:rsidP="008C5A77">
      <w:pPr>
        <w:jc w:val="both"/>
        <w:rPr>
          <w:rFonts w:ascii="Arial" w:hAnsi="Arial" w:cs="Arial"/>
          <w:b/>
          <w:bCs/>
          <w:sz w:val="20"/>
          <w:szCs w:val="20"/>
        </w:rPr>
      </w:pPr>
    </w:p>
    <w:p w:rsidR="008C5A77" w:rsidRPr="005C0B16" w:rsidRDefault="008C5A77" w:rsidP="008C5A77">
      <w:pPr>
        <w:jc w:val="both"/>
        <w:rPr>
          <w:rFonts w:ascii="Arial" w:hAnsi="Arial" w:cs="Arial"/>
          <w:sz w:val="20"/>
          <w:szCs w:val="20"/>
        </w:rPr>
      </w:pPr>
      <w:r w:rsidRPr="005C0B16">
        <w:rPr>
          <w:rFonts w:ascii="Arial" w:hAnsi="Arial" w:cs="Arial"/>
          <w:b/>
          <w:bCs/>
          <w:sz w:val="20"/>
          <w:szCs w:val="20"/>
        </w:rPr>
        <w:lastRenderedPageBreak/>
        <w:t>Model Fit:</w:t>
      </w:r>
    </w:p>
    <w:tbl>
      <w:tblPr>
        <w:tblStyle w:val="TableGrid"/>
        <w:tblW w:w="5000" w:type="pct"/>
        <w:tblLook w:val="04A0"/>
      </w:tblPr>
      <w:tblGrid>
        <w:gridCol w:w="5582"/>
        <w:gridCol w:w="3660"/>
      </w:tblGrid>
      <w:tr w:rsidR="008C5A77" w:rsidRPr="005C0B16" w:rsidTr="00F663E4">
        <w:tc>
          <w:tcPr>
            <w:tcW w:w="3020" w:type="pct"/>
          </w:tcPr>
          <w:p w:rsidR="008C5A77" w:rsidRPr="008C5A77" w:rsidRDefault="008C5A77" w:rsidP="008C5A77">
            <w:pPr>
              <w:jc w:val="center"/>
              <w:rPr>
                <w:rFonts w:ascii="Arial" w:hAnsi="Arial" w:cs="Arial"/>
                <w:b/>
                <w:bCs/>
              </w:rPr>
            </w:pPr>
            <w:r w:rsidRPr="008C5A77">
              <w:rPr>
                <w:rFonts w:ascii="Arial" w:hAnsi="Arial" w:cs="Arial"/>
                <w:b/>
                <w:bCs/>
              </w:rPr>
              <w:t>Statistic</w:t>
            </w:r>
          </w:p>
        </w:tc>
        <w:tc>
          <w:tcPr>
            <w:tcW w:w="1980" w:type="pct"/>
          </w:tcPr>
          <w:p w:rsidR="008C5A77" w:rsidRPr="008C5A77" w:rsidRDefault="008C5A77" w:rsidP="008C5A77">
            <w:pPr>
              <w:jc w:val="center"/>
              <w:rPr>
                <w:rFonts w:ascii="Arial" w:hAnsi="Arial" w:cs="Arial"/>
                <w:b/>
                <w:bCs/>
              </w:rPr>
            </w:pPr>
            <w:r w:rsidRPr="008C5A77">
              <w:rPr>
                <w:rFonts w:ascii="Arial" w:hAnsi="Arial" w:cs="Arial"/>
                <w:b/>
                <w:bCs/>
              </w:rPr>
              <w:t>Value</w:t>
            </w:r>
          </w:p>
        </w:tc>
      </w:tr>
      <w:tr w:rsidR="008C5A77" w:rsidRPr="005C0B16" w:rsidTr="00F663E4">
        <w:tc>
          <w:tcPr>
            <w:tcW w:w="3020" w:type="pct"/>
          </w:tcPr>
          <w:p w:rsidR="008C5A77" w:rsidRPr="005C0B16" w:rsidRDefault="008C5A77" w:rsidP="00F663E4">
            <w:pPr>
              <w:jc w:val="both"/>
              <w:rPr>
                <w:rFonts w:ascii="Arial" w:hAnsi="Arial" w:cs="Arial"/>
              </w:rPr>
            </w:pPr>
            <w:r w:rsidRPr="005C0B16">
              <w:rPr>
                <w:rFonts w:ascii="Arial" w:hAnsi="Arial" w:cs="Arial"/>
              </w:rPr>
              <w:t>R-squared</w:t>
            </w:r>
          </w:p>
        </w:tc>
        <w:tc>
          <w:tcPr>
            <w:tcW w:w="1980" w:type="pct"/>
          </w:tcPr>
          <w:p w:rsidR="008C5A77" w:rsidRPr="005C0B16" w:rsidRDefault="008C5A77" w:rsidP="00F663E4">
            <w:pPr>
              <w:jc w:val="both"/>
              <w:rPr>
                <w:rFonts w:ascii="Arial" w:hAnsi="Arial" w:cs="Arial"/>
              </w:rPr>
            </w:pPr>
            <w:r w:rsidRPr="005C0B16">
              <w:rPr>
                <w:rFonts w:ascii="Arial" w:hAnsi="Arial" w:cs="Arial"/>
              </w:rPr>
              <w:t>0.951</w:t>
            </w:r>
          </w:p>
        </w:tc>
      </w:tr>
      <w:tr w:rsidR="008C5A77" w:rsidRPr="005C0B16" w:rsidTr="00F663E4">
        <w:tc>
          <w:tcPr>
            <w:tcW w:w="3020" w:type="pct"/>
          </w:tcPr>
          <w:p w:rsidR="008C5A77" w:rsidRPr="005C0B16" w:rsidRDefault="008C5A77" w:rsidP="00F663E4">
            <w:pPr>
              <w:jc w:val="both"/>
              <w:rPr>
                <w:rFonts w:ascii="Arial" w:hAnsi="Arial" w:cs="Arial"/>
              </w:rPr>
            </w:pPr>
            <w:r w:rsidRPr="005C0B16">
              <w:rPr>
                <w:rFonts w:ascii="Arial" w:hAnsi="Arial" w:cs="Arial"/>
              </w:rPr>
              <w:t>Adjusted R-squared</w:t>
            </w:r>
          </w:p>
        </w:tc>
        <w:tc>
          <w:tcPr>
            <w:tcW w:w="1980" w:type="pct"/>
          </w:tcPr>
          <w:p w:rsidR="008C5A77" w:rsidRPr="005C0B16" w:rsidRDefault="008C5A77" w:rsidP="00F663E4">
            <w:pPr>
              <w:jc w:val="both"/>
              <w:rPr>
                <w:rFonts w:ascii="Arial" w:hAnsi="Arial" w:cs="Arial"/>
              </w:rPr>
            </w:pPr>
            <w:r w:rsidRPr="005C0B16">
              <w:rPr>
                <w:rFonts w:ascii="Arial" w:hAnsi="Arial" w:cs="Arial"/>
              </w:rPr>
              <w:t>0.943</w:t>
            </w:r>
          </w:p>
        </w:tc>
      </w:tr>
      <w:tr w:rsidR="008C5A77" w:rsidRPr="005C0B16" w:rsidTr="00F663E4">
        <w:tc>
          <w:tcPr>
            <w:tcW w:w="3020" w:type="pct"/>
          </w:tcPr>
          <w:p w:rsidR="008C5A77" w:rsidRPr="005C0B16" w:rsidRDefault="008C5A77" w:rsidP="00F663E4">
            <w:pPr>
              <w:jc w:val="both"/>
              <w:rPr>
                <w:rFonts w:ascii="Arial" w:hAnsi="Arial" w:cs="Arial"/>
              </w:rPr>
            </w:pPr>
            <w:r w:rsidRPr="005C0B16">
              <w:rPr>
                <w:rFonts w:ascii="Arial" w:hAnsi="Arial" w:cs="Arial"/>
              </w:rPr>
              <w:t>RMSE</w:t>
            </w:r>
          </w:p>
        </w:tc>
        <w:tc>
          <w:tcPr>
            <w:tcW w:w="1980" w:type="pct"/>
          </w:tcPr>
          <w:p w:rsidR="008C5A77" w:rsidRPr="005C0B16" w:rsidRDefault="008C5A77" w:rsidP="00F663E4">
            <w:pPr>
              <w:jc w:val="both"/>
              <w:rPr>
                <w:rFonts w:ascii="Arial" w:hAnsi="Arial" w:cs="Arial"/>
              </w:rPr>
            </w:pPr>
            <w:r w:rsidRPr="005C0B16">
              <w:rPr>
                <w:rFonts w:ascii="Arial" w:hAnsi="Arial" w:cs="Arial"/>
              </w:rPr>
              <w:t>1.21 million</w:t>
            </w:r>
          </w:p>
        </w:tc>
      </w:tr>
    </w:tbl>
    <w:p w:rsidR="008C5A77" w:rsidRPr="005C0B16" w:rsidRDefault="00480D65" w:rsidP="00480D65">
      <w:pPr>
        <w:rPr>
          <w:rFonts w:ascii="Arial" w:hAnsi="Arial" w:cs="Arial"/>
          <w:b/>
          <w:bCs/>
          <w:sz w:val="20"/>
          <w:szCs w:val="20"/>
        </w:rPr>
      </w:pPr>
      <w:r w:rsidRPr="00480D65">
        <w:rPr>
          <w:rFonts w:ascii="Arial" w:hAnsi="Arial" w:cs="Arial"/>
          <w:b/>
          <w:bCs/>
          <w:sz w:val="20"/>
          <w:szCs w:val="20"/>
        </w:rPr>
        <w:t>Notes:</w:t>
      </w:r>
      <w:r w:rsidRPr="00480D65">
        <w:rPr>
          <w:rFonts w:ascii="Arial" w:hAnsi="Arial" w:cs="Arial"/>
          <w:b/>
          <w:bCs/>
          <w:sz w:val="20"/>
          <w:szCs w:val="20"/>
        </w:rPr>
        <w:br/>
      </w:r>
      <w:r w:rsidRPr="00F10B9C">
        <w:rPr>
          <w:rFonts w:ascii="Arial" w:hAnsi="Arial" w:cs="Arial"/>
          <w:i/>
          <w:iCs/>
          <w:sz w:val="20"/>
          <w:szCs w:val="20"/>
        </w:rPr>
        <w:t>a Dependent variable: ITA</w:t>
      </w:r>
      <w:r w:rsidRPr="00F10B9C">
        <w:rPr>
          <w:rFonts w:ascii="Cambria Math" w:hAnsi="Cambria Math" w:cs="Cambria Math"/>
          <w:i/>
          <w:iCs/>
          <w:sz w:val="20"/>
          <w:szCs w:val="20"/>
        </w:rPr>
        <w:t>ₜ</w:t>
      </w:r>
      <w:r w:rsidRPr="00F10B9C">
        <w:rPr>
          <w:rFonts w:ascii="Arial" w:hAnsi="Arial" w:cs="Arial"/>
          <w:i/>
          <w:iCs/>
          <w:sz w:val="20"/>
          <w:szCs w:val="20"/>
        </w:rPr>
        <w:br/>
        <w:t>b P &lt; .001 indicates statistical significance</w:t>
      </w:r>
      <w:r w:rsidRPr="00F10B9C">
        <w:rPr>
          <w:rFonts w:ascii="Arial" w:hAnsi="Arial" w:cs="Arial"/>
          <w:i/>
          <w:iCs/>
          <w:sz w:val="20"/>
          <w:szCs w:val="20"/>
        </w:rPr>
        <w:br/>
        <w:t>c Coefficients are estimated using intervention model</w:t>
      </w:r>
    </w:p>
    <w:p w:rsidR="003F143F" w:rsidRPr="00B0193F" w:rsidRDefault="003F143F" w:rsidP="00B0193F">
      <w:pPr>
        <w:spacing w:line="276" w:lineRule="auto"/>
        <w:jc w:val="both"/>
        <w:rPr>
          <w:rFonts w:ascii="Arial" w:hAnsi="Arial" w:cs="Arial"/>
          <w:sz w:val="20"/>
          <w:szCs w:val="20"/>
        </w:rPr>
      </w:pPr>
      <w:r w:rsidRPr="00B0193F">
        <w:rPr>
          <w:rFonts w:ascii="Arial" w:hAnsi="Arial" w:cs="Arial"/>
          <w:sz w:val="20"/>
          <w:szCs w:val="20"/>
        </w:rPr>
        <w:t>The results of the log-log elastic model are presented in table 3. The model examines the relationship between foreign tourist arrivals and foreign exchange earnings in India. In this model, the coefficient represents the elasticity, which shows the percentage change in earnings for percentage change in tourist arrivals. The results indicate that in the pre-COVID period (2001-2019) elasticity is 0.89 and statistically significant (</w:t>
      </w:r>
      <w:r w:rsidRPr="00B0193F">
        <w:rPr>
          <w:rFonts w:ascii="Arial" w:hAnsi="Arial" w:cs="Arial"/>
          <w:i/>
          <w:iCs/>
          <w:sz w:val="20"/>
          <w:szCs w:val="20"/>
        </w:rPr>
        <w:t>P</w:t>
      </w:r>
      <w:r w:rsidRPr="00B0193F">
        <w:rPr>
          <w:rFonts w:ascii="Arial" w:hAnsi="Arial" w:cs="Arial"/>
          <w:sz w:val="20"/>
          <w:szCs w:val="20"/>
        </w:rPr>
        <w:t>&lt; .001). This means an increase of 0.89% in tourist arrivals. Since the value is less than one, it indicates that income was growing at a slower rate than arrival, indicating gradual decline in per tourist expenditure.</w:t>
      </w:r>
    </w:p>
    <w:p w:rsidR="003F143F" w:rsidRPr="00B0193F" w:rsidRDefault="003F143F" w:rsidP="00B0193F">
      <w:pPr>
        <w:spacing w:line="276" w:lineRule="auto"/>
        <w:jc w:val="both"/>
        <w:rPr>
          <w:rFonts w:ascii="Arial" w:hAnsi="Arial" w:cs="Arial"/>
          <w:sz w:val="20"/>
          <w:szCs w:val="20"/>
        </w:rPr>
      </w:pPr>
      <w:r w:rsidRPr="00B0193F">
        <w:rPr>
          <w:rFonts w:ascii="Arial" w:hAnsi="Arial" w:cs="Arial"/>
          <w:sz w:val="20"/>
          <w:szCs w:val="20"/>
        </w:rPr>
        <w:t>In the post-COVID period (2020-2023), the elasticity decreases to 0.66 and the change in elasticity is marginally important (</w:t>
      </w:r>
      <w:r w:rsidRPr="00B0193F">
        <w:rPr>
          <w:rFonts w:ascii="Arial" w:hAnsi="Arial" w:cs="Arial"/>
          <w:i/>
          <w:iCs/>
          <w:sz w:val="20"/>
          <w:szCs w:val="20"/>
        </w:rPr>
        <w:t>P</w:t>
      </w:r>
      <w:r w:rsidRPr="00B0193F">
        <w:rPr>
          <w:rFonts w:ascii="Arial" w:hAnsi="Arial" w:cs="Arial"/>
          <w:sz w:val="20"/>
          <w:szCs w:val="20"/>
        </w:rPr>
        <w:t xml:space="preserve"> = .05). This shows that the relationship between arrivals and earnings has weakened after the pandemic. The results show that tourism development is now dependent on the number of tourists and not on their expenses. Now the one per cent increase in arrivals is only 0.66 percent. It has significant policy implications as increasing the number of tourists alone cannot significantly improve earnings. More attention should be paid to attract more spending tourists, including luxury travellers, medical tourists and tourists from far flung areas.</w:t>
      </w:r>
    </w:p>
    <w:p w:rsidR="007C171C" w:rsidRDefault="007C171C" w:rsidP="008C5A77">
      <w:pPr>
        <w:rPr>
          <w:rFonts w:ascii="Arial" w:hAnsi="Arial" w:cs="Arial"/>
          <w:b/>
          <w:bCs/>
        </w:rPr>
      </w:pPr>
    </w:p>
    <w:p w:rsidR="008C5A77" w:rsidRPr="00106AA4" w:rsidRDefault="008C5A77" w:rsidP="008C5A77">
      <w:pPr>
        <w:rPr>
          <w:rFonts w:ascii="Arial" w:hAnsi="Arial" w:cs="Arial"/>
          <w:b/>
          <w:bCs/>
        </w:rPr>
      </w:pPr>
      <w:r w:rsidRPr="005C0B16">
        <w:rPr>
          <w:rFonts w:ascii="Arial" w:hAnsi="Arial" w:cs="Arial"/>
          <w:b/>
          <w:bCs/>
        </w:rPr>
        <w:t>Table 3</w:t>
      </w:r>
      <w:r>
        <w:rPr>
          <w:rFonts w:ascii="Arial" w:hAnsi="Arial" w:cs="Arial"/>
          <w:b/>
          <w:bCs/>
        </w:rPr>
        <w:t>.</w:t>
      </w:r>
      <w:r w:rsidRPr="005C0B16">
        <w:rPr>
          <w:rFonts w:ascii="Arial" w:hAnsi="Arial" w:cs="Arial"/>
          <w:b/>
          <w:bCs/>
        </w:rPr>
        <w:t xml:space="preserve"> Log-Log Elasticity Model – FEE Responsiveness to Arrivals</w:t>
      </w:r>
    </w:p>
    <w:tbl>
      <w:tblPr>
        <w:tblStyle w:val="TableGrid"/>
        <w:tblW w:w="0" w:type="auto"/>
        <w:tblLook w:val="04A0"/>
      </w:tblPr>
      <w:tblGrid>
        <w:gridCol w:w="2296"/>
        <w:gridCol w:w="1250"/>
        <w:gridCol w:w="1106"/>
        <w:gridCol w:w="1188"/>
        <w:gridCol w:w="1035"/>
        <w:gridCol w:w="2367"/>
      </w:tblGrid>
      <w:tr w:rsidR="00F10B9C" w:rsidRPr="005C0B16" w:rsidTr="00F663E4">
        <w:tc>
          <w:tcPr>
            <w:tcW w:w="0" w:type="auto"/>
          </w:tcPr>
          <w:p w:rsidR="00F10B9C" w:rsidRPr="005C0B16" w:rsidRDefault="00F10B9C" w:rsidP="00F10B9C">
            <w:pPr>
              <w:jc w:val="center"/>
              <w:rPr>
                <w:rFonts w:ascii="Arial" w:hAnsi="Arial" w:cs="Arial"/>
                <w:b/>
                <w:bCs/>
              </w:rPr>
            </w:pPr>
            <w:r w:rsidRPr="005C0B16">
              <w:rPr>
                <w:rFonts w:ascii="Arial" w:hAnsi="Arial" w:cs="Arial"/>
                <w:b/>
                <w:bCs/>
              </w:rPr>
              <w:t>Variable</w:t>
            </w:r>
          </w:p>
        </w:tc>
        <w:tc>
          <w:tcPr>
            <w:tcW w:w="0" w:type="auto"/>
          </w:tcPr>
          <w:p w:rsidR="00F10B9C" w:rsidRPr="005C0B16" w:rsidRDefault="00F10B9C" w:rsidP="00F10B9C">
            <w:pPr>
              <w:jc w:val="center"/>
              <w:rPr>
                <w:rFonts w:ascii="Arial" w:hAnsi="Arial" w:cs="Arial"/>
                <w:b/>
                <w:bCs/>
              </w:rPr>
            </w:pPr>
            <w:r w:rsidRPr="005C0B16">
              <w:rPr>
                <w:rFonts w:ascii="Arial" w:hAnsi="Arial" w:cs="Arial"/>
                <w:b/>
                <w:bCs/>
              </w:rPr>
              <w:t>Coefficient</w:t>
            </w:r>
          </w:p>
        </w:tc>
        <w:tc>
          <w:tcPr>
            <w:tcW w:w="0" w:type="auto"/>
          </w:tcPr>
          <w:p w:rsidR="00F10B9C" w:rsidRPr="005C0B16" w:rsidRDefault="00F10B9C" w:rsidP="00F10B9C">
            <w:pPr>
              <w:jc w:val="center"/>
              <w:rPr>
                <w:rFonts w:ascii="Arial" w:hAnsi="Arial" w:cs="Arial"/>
                <w:b/>
                <w:bCs/>
              </w:rPr>
            </w:pPr>
            <w:r w:rsidRPr="005C0B16">
              <w:rPr>
                <w:rFonts w:ascii="Arial" w:hAnsi="Arial" w:cs="Arial"/>
                <w:b/>
                <w:bCs/>
              </w:rPr>
              <w:t>Std. Error</w:t>
            </w:r>
          </w:p>
        </w:tc>
        <w:tc>
          <w:tcPr>
            <w:tcW w:w="0" w:type="auto"/>
          </w:tcPr>
          <w:p w:rsidR="00F10B9C" w:rsidRPr="005C0B16" w:rsidRDefault="00F10B9C" w:rsidP="00F10B9C">
            <w:pPr>
              <w:jc w:val="center"/>
              <w:rPr>
                <w:rFonts w:ascii="Arial" w:hAnsi="Arial" w:cs="Arial"/>
                <w:b/>
                <w:bCs/>
              </w:rPr>
            </w:pPr>
            <w:r>
              <w:rPr>
                <w:rFonts w:ascii="Arial" w:hAnsi="Arial" w:cs="Arial"/>
                <w:b/>
                <w:bCs/>
              </w:rPr>
              <w:t>‘t’ st</w:t>
            </w:r>
            <w:r w:rsidRPr="005C0B16">
              <w:rPr>
                <w:rFonts w:ascii="Arial" w:hAnsi="Arial" w:cs="Arial"/>
                <w:b/>
                <w:bCs/>
              </w:rPr>
              <w:t>atistic</w:t>
            </w:r>
          </w:p>
        </w:tc>
        <w:tc>
          <w:tcPr>
            <w:tcW w:w="0" w:type="auto"/>
          </w:tcPr>
          <w:p w:rsidR="00F10B9C" w:rsidRPr="005C0B16" w:rsidRDefault="00F10B9C" w:rsidP="00F10B9C">
            <w:pPr>
              <w:jc w:val="center"/>
              <w:rPr>
                <w:rFonts w:ascii="Arial" w:hAnsi="Arial" w:cs="Arial"/>
                <w:b/>
                <w:bCs/>
              </w:rPr>
            </w:pPr>
            <w:r>
              <w:rPr>
                <w:rFonts w:ascii="Arial" w:hAnsi="Arial" w:cs="Arial"/>
                <w:b/>
                <w:bCs/>
                <w:i/>
                <w:iCs/>
              </w:rPr>
              <w:t>‘P</w:t>
            </w:r>
            <w:r w:rsidR="00106AA4">
              <w:rPr>
                <w:rFonts w:ascii="Arial" w:hAnsi="Arial" w:cs="Arial"/>
                <w:b/>
                <w:bCs/>
                <w:i/>
                <w:iCs/>
              </w:rPr>
              <w:t>’ Value</w:t>
            </w:r>
          </w:p>
        </w:tc>
        <w:tc>
          <w:tcPr>
            <w:tcW w:w="0" w:type="auto"/>
          </w:tcPr>
          <w:p w:rsidR="00F10B9C" w:rsidRPr="005C0B16" w:rsidRDefault="00F10B9C" w:rsidP="00F10B9C">
            <w:pPr>
              <w:jc w:val="center"/>
              <w:rPr>
                <w:rFonts w:ascii="Arial" w:hAnsi="Arial" w:cs="Arial"/>
                <w:b/>
                <w:bCs/>
              </w:rPr>
            </w:pPr>
            <w:r w:rsidRPr="005C0B16">
              <w:rPr>
                <w:rFonts w:ascii="Arial" w:hAnsi="Arial" w:cs="Arial"/>
                <w:b/>
                <w:bCs/>
              </w:rPr>
              <w:t>Elasticity Interpretation</w:t>
            </w:r>
          </w:p>
        </w:tc>
      </w:tr>
      <w:tr w:rsidR="008C5A77" w:rsidRPr="005C0B16" w:rsidTr="00F663E4">
        <w:tc>
          <w:tcPr>
            <w:tcW w:w="0" w:type="auto"/>
          </w:tcPr>
          <w:p w:rsidR="008C5A77" w:rsidRPr="005C0B16" w:rsidRDefault="008C5A77" w:rsidP="00F663E4">
            <w:pPr>
              <w:jc w:val="both"/>
              <w:rPr>
                <w:rFonts w:ascii="Arial" w:hAnsi="Arial" w:cs="Arial"/>
              </w:rPr>
            </w:pPr>
            <w:r w:rsidRPr="005C0B16">
              <w:rPr>
                <w:rFonts w:ascii="Arial" w:hAnsi="Arial" w:cs="Arial"/>
              </w:rPr>
              <w:t>Constant (γ</w:t>
            </w:r>
            <w:r w:rsidRPr="005C0B16">
              <w:rPr>
                <w:rFonts w:ascii="Cambria Math" w:hAnsi="Cambria Math" w:cs="Cambria Math"/>
              </w:rPr>
              <w:t>₀</w:t>
            </w:r>
            <w:r w:rsidRPr="005C0B16">
              <w:rPr>
                <w:rFonts w:ascii="Arial" w:hAnsi="Arial" w:cs="Arial"/>
              </w:rPr>
              <w:t>)</w:t>
            </w:r>
          </w:p>
        </w:tc>
        <w:tc>
          <w:tcPr>
            <w:tcW w:w="0" w:type="auto"/>
          </w:tcPr>
          <w:p w:rsidR="008C5A77" w:rsidRPr="005C0B16" w:rsidRDefault="008C5A77" w:rsidP="00F663E4">
            <w:pPr>
              <w:jc w:val="both"/>
              <w:rPr>
                <w:rFonts w:ascii="Arial" w:hAnsi="Arial" w:cs="Arial"/>
              </w:rPr>
            </w:pPr>
            <w:r w:rsidRPr="005C0B16">
              <w:rPr>
                <w:rFonts w:ascii="Arial" w:hAnsi="Arial" w:cs="Arial"/>
              </w:rPr>
              <w:t>-0.584</w:t>
            </w:r>
          </w:p>
        </w:tc>
        <w:tc>
          <w:tcPr>
            <w:tcW w:w="0" w:type="auto"/>
          </w:tcPr>
          <w:p w:rsidR="008C5A77" w:rsidRPr="005C0B16" w:rsidRDefault="008C5A77" w:rsidP="00F663E4">
            <w:pPr>
              <w:jc w:val="both"/>
              <w:rPr>
                <w:rFonts w:ascii="Arial" w:hAnsi="Arial" w:cs="Arial"/>
              </w:rPr>
            </w:pPr>
            <w:r w:rsidRPr="005C0B16">
              <w:rPr>
                <w:rFonts w:ascii="Arial" w:hAnsi="Arial" w:cs="Arial"/>
              </w:rPr>
              <w:t>0.321</w:t>
            </w:r>
          </w:p>
        </w:tc>
        <w:tc>
          <w:tcPr>
            <w:tcW w:w="0" w:type="auto"/>
          </w:tcPr>
          <w:p w:rsidR="008C5A77" w:rsidRPr="005C0B16" w:rsidRDefault="008C5A77" w:rsidP="00F663E4">
            <w:pPr>
              <w:jc w:val="both"/>
              <w:rPr>
                <w:rFonts w:ascii="Arial" w:hAnsi="Arial" w:cs="Arial"/>
              </w:rPr>
            </w:pPr>
            <w:r w:rsidRPr="005C0B16">
              <w:rPr>
                <w:rFonts w:ascii="Arial" w:hAnsi="Arial" w:cs="Arial"/>
              </w:rPr>
              <w:t>-1.82</w:t>
            </w:r>
          </w:p>
        </w:tc>
        <w:tc>
          <w:tcPr>
            <w:tcW w:w="0" w:type="auto"/>
          </w:tcPr>
          <w:p w:rsidR="008C5A77" w:rsidRPr="00943A01" w:rsidRDefault="007A5F4F"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 xml:space="preserve">= </w:t>
            </w:r>
            <w:r w:rsidR="008C5A77" w:rsidRPr="00943A01">
              <w:rPr>
                <w:rFonts w:ascii="Arial" w:hAnsi="Arial" w:cs="Arial"/>
                <w:color w:val="FF0000"/>
              </w:rPr>
              <w:t>.08</w:t>
            </w:r>
          </w:p>
        </w:tc>
        <w:tc>
          <w:tcPr>
            <w:tcW w:w="0" w:type="auto"/>
          </w:tcPr>
          <w:p w:rsidR="008C5A77" w:rsidRPr="005C0B16" w:rsidRDefault="008C5A77" w:rsidP="00F663E4">
            <w:pPr>
              <w:jc w:val="both"/>
              <w:rPr>
                <w:rFonts w:ascii="Arial" w:hAnsi="Arial" w:cs="Arial"/>
              </w:rPr>
            </w:pPr>
            <w:r w:rsidRPr="005C0B16">
              <w:rPr>
                <w:rFonts w:ascii="Arial" w:hAnsi="Arial" w:cs="Arial"/>
              </w:rPr>
              <w:t>Baseline</w:t>
            </w:r>
          </w:p>
        </w:tc>
      </w:tr>
      <w:tr w:rsidR="008C5A77" w:rsidRPr="005C0B16" w:rsidTr="00F663E4">
        <w:tc>
          <w:tcPr>
            <w:tcW w:w="0" w:type="auto"/>
          </w:tcPr>
          <w:p w:rsidR="008C5A77" w:rsidRPr="005C0B16" w:rsidRDefault="008C5A77" w:rsidP="00F663E4">
            <w:pPr>
              <w:jc w:val="both"/>
              <w:rPr>
                <w:rFonts w:ascii="Arial" w:hAnsi="Arial" w:cs="Arial"/>
              </w:rPr>
            </w:pPr>
            <w:r w:rsidRPr="005C0B16">
              <w:rPr>
                <w:rFonts w:ascii="Arial" w:hAnsi="Arial" w:cs="Arial"/>
              </w:rPr>
              <w:t>Ln (FTA_t) (γ</w:t>
            </w:r>
            <w:r w:rsidRPr="005C0B16">
              <w:rPr>
                <w:rFonts w:ascii="Cambria Math" w:hAnsi="Cambria Math" w:cs="Cambria Math"/>
              </w:rPr>
              <w:t>₁</w:t>
            </w:r>
            <w:r w:rsidRPr="005C0B16">
              <w:rPr>
                <w:rFonts w:ascii="Arial" w:hAnsi="Arial" w:cs="Arial"/>
              </w:rPr>
              <w:t>)</w:t>
            </w:r>
          </w:p>
        </w:tc>
        <w:tc>
          <w:tcPr>
            <w:tcW w:w="0" w:type="auto"/>
          </w:tcPr>
          <w:p w:rsidR="008C5A77" w:rsidRPr="005C0B16" w:rsidRDefault="008C5A77" w:rsidP="00F663E4">
            <w:pPr>
              <w:jc w:val="both"/>
              <w:rPr>
                <w:rFonts w:ascii="Arial" w:hAnsi="Arial" w:cs="Arial"/>
              </w:rPr>
            </w:pPr>
            <w:r w:rsidRPr="005C0B16">
              <w:rPr>
                <w:rFonts w:ascii="Arial" w:hAnsi="Arial" w:cs="Arial"/>
              </w:rPr>
              <w:t>0.892</w:t>
            </w:r>
          </w:p>
        </w:tc>
        <w:tc>
          <w:tcPr>
            <w:tcW w:w="0" w:type="auto"/>
          </w:tcPr>
          <w:p w:rsidR="008C5A77" w:rsidRPr="005C0B16" w:rsidRDefault="008C5A77" w:rsidP="00F663E4">
            <w:pPr>
              <w:jc w:val="both"/>
              <w:rPr>
                <w:rFonts w:ascii="Arial" w:hAnsi="Arial" w:cs="Arial"/>
              </w:rPr>
            </w:pPr>
            <w:r w:rsidRPr="005C0B16">
              <w:rPr>
                <w:rFonts w:ascii="Arial" w:hAnsi="Arial" w:cs="Arial"/>
              </w:rPr>
              <w:t>0.087</w:t>
            </w:r>
          </w:p>
        </w:tc>
        <w:tc>
          <w:tcPr>
            <w:tcW w:w="0" w:type="auto"/>
          </w:tcPr>
          <w:p w:rsidR="008C5A77" w:rsidRPr="005C0B16" w:rsidRDefault="008C5A77" w:rsidP="00F663E4">
            <w:pPr>
              <w:jc w:val="both"/>
              <w:rPr>
                <w:rFonts w:ascii="Arial" w:hAnsi="Arial" w:cs="Arial"/>
              </w:rPr>
            </w:pPr>
            <w:r w:rsidRPr="005C0B16">
              <w:rPr>
                <w:rFonts w:ascii="Arial" w:hAnsi="Arial" w:cs="Arial"/>
              </w:rPr>
              <w:t>10.25</w:t>
            </w:r>
          </w:p>
        </w:tc>
        <w:tc>
          <w:tcPr>
            <w:tcW w:w="0" w:type="auto"/>
          </w:tcPr>
          <w:p w:rsidR="008C5A77" w:rsidRPr="00943A01" w:rsidRDefault="007A5F4F" w:rsidP="00F663E4">
            <w:pPr>
              <w:jc w:val="both"/>
              <w:rPr>
                <w:rFonts w:ascii="Arial" w:hAnsi="Arial" w:cs="Arial"/>
                <w:color w:val="FF0000"/>
              </w:rPr>
            </w:pPr>
            <w:r w:rsidRPr="00943A01">
              <w:rPr>
                <w:rFonts w:ascii="Arial" w:hAnsi="Arial" w:cs="Arial"/>
                <w:i/>
                <w:iCs/>
                <w:color w:val="FF0000"/>
              </w:rPr>
              <w:t>P&lt;</w:t>
            </w:r>
            <w:r w:rsidRPr="00943A01">
              <w:rPr>
                <w:rFonts w:ascii="Arial" w:hAnsi="Arial" w:cs="Arial"/>
                <w:color w:val="FF0000"/>
              </w:rPr>
              <w:t>.001</w:t>
            </w:r>
          </w:p>
        </w:tc>
        <w:tc>
          <w:tcPr>
            <w:tcW w:w="0" w:type="auto"/>
          </w:tcPr>
          <w:p w:rsidR="008C5A77" w:rsidRPr="005C0B16" w:rsidRDefault="008C5A77" w:rsidP="00F663E4">
            <w:pPr>
              <w:jc w:val="both"/>
              <w:rPr>
                <w:rFonts w:ascii="Arial" w:hAnsi="Arial" w:cs="Arial"/>
              </w:rPr>
            </w:pPr>
            <w:r w:rsidRPr="005C0B16">
              <w:rPr>
                <w:rFonts w:ascii="Arial" w:hAnsi="Arial" w:cs="Arial"/>
              </w:rPr>
              <w:t>Pre-COVID elasticity</w:t>
            </w:r>
          </w:p>
        </w:tc>
      </w:tr>
      <w:tr w:rsidR="008C5A77" w:rsidRPr="005C0B16" w:rsidTr="00F663E4">
        <w:tc>
          <w:tcPr>
            <w:tcW w:w="0" w:type="auto"/>
          </w:tcPr>
          <w:p w:rsidR="008C5A77" w:rsidRPr="005C0B16" w:rsidRDefault="008C5A77" w:rsidP="00F663E4">
            <w:pPr>
              <w:jc w:val="both"/>
              <w:rPr>
                <w:rFonts w:ascii="Arial" w:hAnsi="Arial" w:cs="Arial"/>
              </w:rPr>
            </w:pPr>
            <w:r w:rsidRPr="005C0B16">
              <w:rPr>
                <w:rFonts w:ascii="Arial" w:hAnsi="Arial" w:cs="Arial"/>
              </w:rPr>
              <w:t>Ln (FTA_t) × COVID (γ</w:t>
            </w:r>
            <w:r w:rsidRPr="005C0B16">
              <w:rPr>
                <w:rFonts w:ascii="Cambria Math" w:hAnsi="Cambria Math" w:cs="Cambria Math"/>
              </w:rPr>
              <w:t>₂</w:t>
            </w:r>
            <w:r w:rsidRPr="005C0B16">
              <w:rPr>
                <w:rFonts w:ascii="Arial" w:hAnsi="Arial" w:cs="Arial"/>
              </w:rPr>
              <w:t>)</w:t>
            </w:r>
          </w:p>
        </w:tc>
        <w:tc>
          <w:tcPr>
            <w:tcW w:w="0" w:type="auto"/>
          </w:tcPr>
          <w:p w:rsidR="008C5A77" w:rsidRPr="005C0B16" w:rsidRDefault="008C5A77" w:rsidP="00F663E4">
            <w:pPr>
              <w:jc w:val="both"/>
              <w:rPr>
                <w:rFonts w:ascii="Arial" w:hAnsi="Arial" w:cs="Arial"/>
              </w:rPr>
            </w:pPr>
            <w:r w:rsidRPr="005C0B16">
              <w:rPr>
                <w:rFonts w:ascii="Arial" w:hAnsi="Arial" w:cs="Arial"/>
              </w:rPr>
              <w:t>-0.231</w:t>
            </w:r>
          </w:p>
        </w:tc>
        <w:tc>
          <w:tcPr>
            <w:tcW w:w="0" w:type="auto"/>
          </w:tcPr>
          <w:p w:rsidR="008C5A77" w:rsidRPr="005C0B16" w:rsidRDefault="008C5A77" w:rsidP="00F663E4">
            <w:pPr>
              <w:jc w:val="both"/>
              <w:rPr>
                <w:rFonts w:ascii="Arial" w:hAnsi="Arial" w:cs="Arial"/>
              </w:rPr>
            </w:pPr>
            <w:r w:rsidRPr="005C0B16">
              <w:rPr>
                <w:rFonts w:ascii="Arial" w:hAnsi="Arial" w:cs="Arial"/>
              </w:rPr>
              <w:t>0.112</w:t>
            </w:r>
          </w:p>
        </w:tc>
        <w:tc>
          <w:tcPr>
            <w:tcW w:w="0" w:type="auto"/>
          </w:tcPr>
          <w:p w:rsidR="008C5A77" w:rsidRPr="005C0B16" w:rsidRDefault="008C5A77" w:rsidP="00F663E4">
            <w:pPr>
              <w:jc w:val="both"/>
              <w:rPr>
                <w:rFonts w:ascii="Arial" w:hAnsi="Arial" w:cs="Arial"/>
              </w:rPr>
            </w:pPr>
            <w:r w:rsidRPr="005C0B16">
              <w:rPr>
                <w:rFonts w:ascii="Arial" w:hAnsi="Arial" w:cs="Arial"/>
              </w:rPr>
              <w:t>-2.06</w:t>
            </w:r>
          </w:p>
        </w:tc>
        <w:tc>
          <w:tcPr>
            <w:tcW w:w="0" w:type="auto"/>
          </w:tcPr>
          <w:p w:rsidR="008C5A77" w:rsidRPr="00943A01" w:rsidRDefault="007A5F4F"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 xml:space="preserve">= </w:t>
            </w:r>
            <w:r w:rsidR="008C5A77" w:rsidRPr="00943A01">
              <w:rPr>
                <w:rFonts w:ascii="Arial" w:hAnsi="Arial" w:cs="Arial"/>
                <w:color w:val="FF0000"/>
              </w:rPr>
              <w:t>.05</w:t>
            </w:r>
          </w:p>
        </w:tc>
        <w:tc>
          <w:tcPr>
            <w:tcW w:w="0" w:type="auto"/>
          </w:tcPr>
          <w:p w:rsidR="008C5A77" w:rsidRPr="005C0B16" w:rsidRDefault="008C5A77" w:rsidP="00F663E4">
            <w:pPr>
              <w:jc w:val="both"/>
              <w:rPr>
                <w:rFonts w:ascii="Arial" w:hAnsi="Arial" w:cs="Arial"/>
              </w:rPr>
            </w:pPr>
            <w:r w:rsidRPr="005C0B16">
              <w:rPr>
                <w:rFonts w:ascii="Arial" w:hAnsi="Arial" w:cs="Arial"/>
              </w:rPr>
              <w:t>Change post-COVID</w:t>
            </w:r>
          </w:p>
        </w:tc>
      </w:tr>
      <w:tr w:rsidR="008C5A77" w:rsidRPr="005C0B16" w:rsidTr="00F663E4">
        <w:tc>
          <w:tcPr>
            <w:tcW w:w="0" w:type="auto"/>
          </w:tcPr>
          <w:p w:rsidR="008C5A77" w:rsidRPr="005C0B16" w:rsidRDefault="008C5A77" w:rsidP="00F663E4">
            <w:pPr>
              <w:jc w:val="both"/>
              <w:rPr>
                <w:rFonts w:ascii="Arial" w:hAnsi="Arial" w:cs="Arial"/>
              </w:rPr>
            </w:pPr>
            <w:r w:rsidRPr="005C0B16">
              <w:rPr>
                <w:rFonts w:ascii="Arial" w:hAnsi="Arial" w:cs="Arial"/>
              </w:rPr>
              <w:t>COVID dummy (γ</w:t>
            </w:r>
            <w:r w:rsidRPr="005C0B16">
              <w:rPr>
                <w:rFonts w:ascii="Cambria Math" w:hAnsi="Cambria Math" w:cs="Cambria Math"/>
              </w:rPr>
              <w:t>₃</w:t>
            </w:r>
            <w:r w:rsidRPr="005C0B16">
              <w:rPr>
                <w:rFonts w:ascii="Arial" w:hAnsi="Arial" w:cs="Arial"/>
              </w:rPr>
              <w:t>)</w:t>
            </w:r>
          </w:p>
        </w:tc>
        <w:tc>
          <w:tcPr>
            <w:tcW w:w="0" w:type="auto"/>
          </w:tcPr>
          <w:p w:rsidR="008C5A77" w:rsidRPr="005C0B16" w:rsidRDefault="008C5A77" w:rsidP="00F663E4">
            <w:pPr>
              <w:jc w:val="both"/>
              <w:rPr>
                <w:rFonts w:ascii="Arial" w:hAnsi="Arial" w:cs="Arial"/>
              </w:rPr>
            </w:pPr>
            <w:r w:rsidRPr="005C0B16">
              <w:rPr>
                <w:rFonts w:ascii="Arial" w:hAnsi="Arial" w:cs="Arial"/>
              </w:rPr>
              <w:t>0.156</w:t>
            </w:r>
          </w:p>
        </w:tc>
        <w:tc>
          <w:tcPr>
            <w:tcW w:w="0" w:type="auto"/>
          </w:tcPr>
          <w:p w:rsidR="008C5A77" w:rsidRPr="005C0B16" w:rsidRDefault="008C5A77" w:rsidP="00F663E4">
            <w:pPr>
              <w:jc w:val="both"/>
              <w:rPr>
                <w:rFonts w:ascii="Arial" w:hAnsi="Arial" w:cs="Arial"/>
              </w:rPr>
            </w:pPr>
            <w:r w:rsidRPr="005C0B16">
              <w:rPr>
                <w:rFonts w:ascii="Arial" w:hAnsi="Arial" w:cs="Arial"/>
              </w:rPr>
              <w:t>0.098</w:t>
            </w:r>
          </w:p>
        </w:tc>
        <w:tc>
          <w:tcPr>
            <w:tcW w:w="0" w:type="auto"/>
          </w:tcPr>
          <w:p w:rsidR="008C5A77" w:rsidRPr="005C0B16" w:rsidRDefault="008C5A77" w:rsidP="00F663E4">
            <w:pPr>
              <w:jc w:val="both"/>
              <w:rPr>
                <w:rFonts w:ascii="Arial" w:hAnsi="Arial" w:cs="Arial"/>
              </w:rPr>
            </w:pPr>
            <w:r w:rsidRPr="005C0B16">
              <w:rPr>
                <w:rFonts w:ascii="Arial" w:hAnsi="Arial" w:cs="Arial"/>
              </w:rPr>
              <w:t>1.59</w:t>
            </w:r>
          </w:p>
        </w:tc>
        <w:tc>
          <w:tcPr>
            <w:tcW w:w="0" w:type="auto"/>
          </w:tcPr>
          <w:p w:rsidR="008C5A77" w:rsidRPr="00943A01" w:rsidRDefault="007A5F4F"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 xml:space="preserve">= </w:t>
            </w:r>
            <w:r w:rsidR="008C5A77" w:rsidRPr="00943A01">
              <w:rPr>
                <w:rFonts w:ascii="Arial" w:hAnsi="Arial" w:cs="Arial"/>
                <w:color w:val="FF0000"/>
              </w:rPr>
              <w:t>.13</w:t>
            </w:r>
          </w:p>
        </w:tc>
        <w:tc>
          <w:tcPr>
            <w:tcW w:w="0" w:type="auto"/>
          </w:tcPr>
          <w:p w:rsidR="008C5A77" w:rsidRPr="005C0B16" w:rsidRDefault="008C5A77" w:rsidP="00F663E4">
            <w:pPr>
              <w:jc w:val="both"/>
              <w:rPr>
                <w:rFonts w:ascii="Arial" w:hAnsi="Arial" w:cs="Arial"/>
              </w:rPr>
            </w:pPr>
            <w:r w:rsidRPr="005C0B16">
              <w:rPr>
                <w:rFonts w:ascii="Arial" w:hAnsi="Arial" w:cs="Arial"/>
              </w:rPr>
              <w:t>Level shift</w:t>
            </w:r>
          </w:p>
        </w:tc>
      </w:tr>
    </w:tbl>
    <w:p w:rsidR="008C5A77" w:rsidRDefault="008C5A77" w:rsidP="008C5A77">
      <w:pPr>
        <w:jc w:val="both"/>
        <w:rPr>
          <w:rFonts w:ascii="Arial" w:hAnsi="Arial" w:cs="Arial"/>
          <w:b/>
          <w:bCs/>
          <w:sz w:val="20"/>
          <w:szCs w:val="20"/>
        </w:rPr>
      </w:pPr>
    </w:p>
    <w:p w:rsidR="008C5A77" w:rsidRPr="005C0B16" w:rsidRDefault="008C5A77" w:rsidP="008C5A77">
      <w:pPr>
        <w:jc w:val="both"/>
        <w:rPr>
          <w:rFonts w:ascii="Arial" w:hAnsi="Arial" w:cs="Arial"/>
          <w:sz w:val="20"/>
          <w:szCs w:val="20"/>
        </w:rPr>
      </w:pPr>
      <w:r w:rsidRPr="005C0B16">
        <w:rPr>
          <w:rFonts w:ascii="Arial" w:hAnsi="Arial" w:cs="Arial"/>
          <w:b/>
          <w:bCs/>
          <w:sz w:val="20"/>
          <w:szCs w:val="20"/>
        </w:rPr>
        <w:t>Model Fit:</w:t>
      </w:r>
    </w:p>
    <w:tbl>
      <w:tblPr>
        <w:tblStyle w:val="TableGrid"/>
        <w:tblW w:w="5000" w:type="pct"/>
        <w:tblLook w:val="04A0"/>
      </w:tblPr>
      <w:tblGrid>
        <w:gridCol w:w="4891"/>
        <w:gridCol w:w="4351"/>
      </w:tblGrid>
      <w:tr w:rsidR="008C5A77" w:rsidRPr="005C0B16" w:rsidTr="00F663E4">
        <w:tc>
          <w:tcPr>
            <w:tcW w:w="2646" w:type="pct"/>
          </w:tcPr>
          <w:p w:rsidR="008C5A77" w:rsidRPr="005C0B16" w:rsidRDefault="008C5A77" w:rsidP="00F663E4">
            <w:pPr>
              <w:jc w:val="both"/>
              <w:rPr>
                <w:rFonts w:ascii="Arial" w:hAnsi="Arial" w:cs="Arial"/>
                <w:b/>
                <w:bCs/>
              </w:rPr>
            </w:pPr>
            <w:r w:rsidRPr="005C0B16">
              <w:rPr>
                <w:rFonts w:ascii="Arial" w:hAnsi="Arial" w:cs="Arial"/>
                <w:b/>
                <w:bCs/>
              </w:rPr>
              <w:t>Statistic</w:t>
            </w:r>
          </w:p>
        </w:tc>
        <w:tc>
          <w:tcPr>
            <w:tcW w:w="2354" w:type="pct"/>
          </w:tcPr>
          <w:p w:rsidR="008C5A77" w:rsidRPr="005C0B16" w:rsidRDefault="008C5A77" w:rsidP="00F663E4">
            <w:pPr>
              <w:jc w:val="both"/>
              <w:rPr>
                <w:rFonts w:ascii="Arial" w:hAnsi="Arial" w:cs="Arial"/>
                <w:b/>
                <w:bCs/>
              </w:rPr>
            </w:pPr>
            <w:r w:rsidRPr="005C0B16">
              <w:rPr>
                <w:rFonts w:ascii="Arial" w:hAnsi="Arial" w:cs="Arial"/>
                <w:b/>
                <w:bCs/>
              </w:rPr>
              <w:t>Value</w:t>
            </w:r>
          </w:p>
        </w:tc>
      </w:tr>
      <w:tr w:rsidR="008C5A77" w:rsidRPr="005C0B16" w:rsidTr="00F663E4">
        <w:tc>
          <w:tcPr>
            <w:tcW w:w="2646" w:type="pct"/>
          </w:tcPr>
          <w:p w:rsidR="008C5A77" w:rsidRPr="005C0B16" w:rsidRDefault="008C5A77" w:rsidP="00F663E4">
            <w:pPr>
              <w:jc w:val="both"/>
              <w:rPr>
                <w:rFonts w:ascii="Arial" w:hAnsi="Arial" w:cs="Arial"/>
              </w:rPr>
            </w:pPr>
            <w:r w:rsidRPr="005C0B16">
              <w:rPr>
                <w:rFonts w:ascii="Arial" w:hAnsi="Arial" w:cs="Arial"/>
              </w:rPr>
              <w:t>R-squared</w:t>
            </w:r>
          </w:p>
        </w:tc>
        <w:tc>
          <w:tcPr>
            <w:tcW w:w="2354" w:type="pct"/>
          </w:tcPr>
          <w:p w:rsidR="008C5A77" w:rsidRPr="005C0B16" w:rsidRDefault="008C5A77" w:rsidP="00F663E4">
            <w:pPr>
              <w:jc w:val="both"/>
              <w:rPr>
                <w:rFonts w:ascii="Arial" w:hAnsi="Arial" w:cs="Arial"/>
              </w:rPr>
            </w:pPr>
            <w:r w:rsidRPr="005C0B16">
              <w:rPr>
                <w:rFonts w:ascii="Arial" w:hAnsi="Arial" w:cs="Arial"/>
              </w:rPr>
              <w:t>0.928</w:t>
            </w:r>
          </w:p>
        </w:tc>
      </w:tr>
      <w:tr w:rsidR="008C5A77" w:rsidRPr="005C0B16" w:rsidTr="00F663E4">
        <w:tc>
          <w:tcPr>
            <w:tcW w:w="2646" w:type="pct"/>
          </w:tcPr>
          <w:p w:rsidR="008C5A77" w:rsidRPr="005C0B16" w:rsidRDefault="008C5A77" w:rsidP="00F663E4">
            <w:pPr>
              <w:jc w:val="both"/>
              <w:rPr>
                <w:rFonts w:ascii="Arial" w:hAnsi="Arial" w:cs="Arial"/>
              </w:rPr>
            </w:pPr>
            <w:r w:rsidRPr="005C0B16">
              <w:rPr>
                <w:rFonts w:ascii="Arial" w:hAnsi="Arial" w:cs="Arial"/>
              </w:rPr>
              <w:t>Adjusted R-squared</w:t>
            </w:r>
          </w:p>
        </w:tc>
        <w:tc>
          <w:tcPr>
            <w:tcW w:w="2354" w:type="pct"/>
          </w:tcPr>
          <w:p w:rsidR="008C5A77" w:rsidRPr="005C0B16" w:rsidRDefault="008C5A77" w:rsidP="00F663E4">
            <w:pPr>
              <w:jc w:val="both"/>
              <w:rPr>
                <w:rFonts w:ascii="Arial" w:hAnsi="Arial" w:cs="Arial"/>
              </w:rPr>
            </w:pPr>
            <w:r w:rsidRPr="005C0B16">
              <w:rPr>
                <w:rFonts w:ascii="Arial" w:hAnsi="Arial" w:cs="Arial"/>
              </w:rPr>
              <w:t>0.918</w:t>
            </w:r>
          </w:p>
        </w:tc>
      </w:tr>
      <w:tr w:rsidR="008C5A77" w:rsidRPr="005C0B16" w:rsidTr="00F663E4">
        <w:tc>
          <w:tcPr>
            <w:tcW w:w="2646" w:type="pct"/>
          </w:tcPr>
          <w:p w:rsidR="008C5A77" w:rsidRPr="005C0B16" w:rsidRDefault="008C5A77" w:rsidP="00F663E4">
            <w:pPr>
              <w:jc w:val="both"/>
              <w:rPr>
                <w:rFonts w:ascii="Arial" w:hAnsi="Arial" w:cs="Arial"/>
              </w:rPr>
            </w:pPr>
            <w:r w:rsidRPr="005C0B16">
              <w:rPr>
                <w:rFonts w:ascii="Arial" w:hAnsi="Arial" w:cs="Arial"/>
              </w:rPr>
              <w:t>F-statistic</w:t>
            </w:r>
          </w:p>
        </w:tc>
        <w:tc>
          <w:tcPr>
            <w:tcW w:w="2354" w:type="pct"/>
          </w:tcPr>
          <w:p w:rsidR="008C5A77" w:rsidRPr="005C0B16" w:rsidRDefault="008C5A77" w:rsidP="00F663E4">
            <w:pPr>
              <w:jc w:val="both"/>
              <w:rPr>
                <w:rFonts w:ascii="Arial" w:hAnsi="Arial" w:cs="Arial"/>
              </w:rPr>
            </w:pPr>
            <w:r w:rsidRPr="005C0B16">
              <w:rPr>
                <w:rFonts w:ascii="Arial" w:hAnsi="Arial" w:cs="Arial"/>
              </w:rPr>
              <w:t>89.45 (</w:t>
            </w:r>
            <w:r w:rsidR="007A5F4F" w:rsidRPr="00480D65">
              <w:rPr>
                <w:rFonts w:ascii="Arial" w:hAnsi="Arial" w:cs="Arial"/>
                <w:i/>
                <w:iCs/>
              </w:rPr>
              <w:t>P</w:t>
            </w:r>
            <w:r w:rsidR="007A5F4F">
              <w:rPr>
                <w:rFonts w:ascii="Arial" w:hAnsi="Arial" w:cs="Arial"/>
                <w:i/>
                <w:iCs/>
              </w:rPr>
              <w:t>&lt;</w:t>
            </w:r>
            <w:r w:rsidR="007A5F4F" w:rsidRPr="005C0B16">
              <w:rPr>
                <w:rFonts w:ascii="Arial" w:hAnsi="Arial" w:cs="Arial"/>
              </w:rPr>
              <w:t>.001</w:t>
            </w:r>
            <w:r w:rsidRPr="005C0B16">
              <w:rPr>
                <w:rFonts w:ascii="Arial" w:hAnsi="Arial" w:cs="Arial"/>
              </w:rPr>
              <w:t>)</w:t>
            </w:r>
          </w:p>
        </w:tc>
      </w:tr>
    </w:tbl>
    <w:p w:rsidR="008C5A77" w:rsidRPr="005C0B16" w:rsidRDefault="008C5A77" w:rsidP="008C5A77">
      <w:pPr>
        <w:jc w:val="both"/>
        <w:rPr>
          <w:rFonts w:ascii="Arial" w:hAnsi="Arial" w:cs="Arial"/>
          <w:b/>
          <w:bCs/>
          <w:sz w:val="20"/>
          <w:szCs w:val="20"/>
        </w:rPr>
      </w:pPr>
    </w:p>
    <w:p w:rsidR="008C5A77" w:rsidRPr="005C0B16" w:rsidRDefault="008C5A77" w:rsidP="008C5A77">
      <w:pPr>
        <w:jc w:val="both"/>
        <w:rPr>
          <w:rFonts w:ascii="Arial" w:hAnsi="Arial" w:cs="Arial"/>
          <w:sz w:val="20"/>
          <w:szCs w:val="20"/>
        </w:rPr>
      </w:pPr>
      <w:r w:rsidRPr="005C0B16">
        <w:rPr>
          <w:rFonts w:ascii="Arial" w:hAnsi="Arial" w:cs="Arial"/>
          <w:b/>
          <w:bCs/>
          <w:sz w:val="20"/>
          <w:szCs w:val="20"/>
        </w:rPr>
        <w:t>Elasticity Estimates:</w:t>
      </w:r>
    </w:p>
    <w:tbl>
      <w:tblPr>
        <w:tblStyle w:val="TableGrid"/>
        <w:tblW w:w="5000" w:type="pct"/>
        <w:tblLook w:val="04A0"/>
      </w:tblPr>
      <w:tblGrid>
        <w:gridCol w:w="2251"/>
        <w:gridCol w:w="1122"/>
        <w:gridCol w:w="2172"/>
        <w:gridCol w:w="3697"/>
      </w:tblGrid>
      <w:tr w:rsidR="008C5A77" w:rsidRPr="005C0B16" w:rsidTr="00F10B9C">
        <w:tc>
          <w:tcPr>
            <w:tcW w:w="1217" w:type="pct"/>
          </w:tcPr>
          <w:p w:rsidR="008C5A77" w:rsidRPr="005C0B16" w:rsidRDefault="008C5A77" w:rsidP="00F663E4">
            <w:pPr>
              <w:jc w:val="center"/>
              <w:rPr>
                <w:rFonts w:ascii="Arial" w:hAnsi="Arial" w:cs="Arial"/>
                <w:b/>
                <w:bCs/>
              </w:rPr>
            </w:pPr>
            <w:r w:rsidRPr="005C0B16">
              <w:rPr>
                <w:rFonts w:ascii="Arial" w:hAnsi="Arial" w:cs="Arial"/>
                <w:b/>
                <w:bCs/>
              </w:rPr>
              <w:t>Period</w:t>
            </w:r>
          </w:p>
        </w:tc>
        <w:tc>
          <w:tcPr>
            <w:tcW w:w="607" w:type="pct"/>
          </w:tcPr>
          <w:p w:rsidR="008C5A77" w:rsidRPr="005C0B16" w:rsidRDefault="008C5A77" w:rsidP="00F663E4">
            <w:pPr>
              <w:jc w:val="center"/>
              <w:rPr>
                <w:rFonts w:ascii="Arial" w:hAnsi="Arial" w:cs="Arial"/>
                <w:b/>
                <w:bCs/>
              </w:rPr>
            </w:pPr>
            <w:r w:rsidRPr="005C0B16">
              <w:rPr>
                <w:rFonts w:ascii="Arial" w:hAnsi="Arial" w:cs="Arial"/>
                <w:b/>
                <w:bCs/>
              </w:rPr>
              <w:t>Elasticity</w:t>
            </w:r>
          </w:p>
        </w:tc>
        <w:tc>
          <w:tcPr>
            <w:tcW w:w="1175" w:type="pct"/>
          </w:tcPr>
          <w:p w:rsidR="008C5A77" w:rsidRPr="005C0B16" w:rsidRDefault="008C5A77" w:rsidP="00F663E4">
            <w:pPr>
              <w:jc w:val="center"/>
              <w:rPr>
                <w:rFonts w:ascii="Arial" w:hAnsi="Arial" w:cs="Arial"/>
                <w:b/>
                <w:bCs/>
              </w:rPr>
            </w:pPr>
            <w:r w:rsidRPr="005C0B16">
              <w:rPr>
                <w:rFonts w:ascii="Arial" w:hAnsi="Arial" w:cs="Arial"/>
                <w:b/>
                <w:bCs/>
              </w:rPr>
              <w:t>95% Confidence Interval</w:t>
            </w:r>
          </w:p>
        </w:tc>
        <w:tc>
          <w:tcPr>
            <w:tcW w:w="2000" w:type="pct"/>
          </w:tcPr>
          <w:p w:rsidR="008C5A77" w:rsidRPr="005C0B16" w:rsidRDefault="008C5A77" w:rsidP="00F663E4">
            <w:pPr>
              <w:jc w:val="center"/>
              <w:rPr>
                <w:rFonts w:ascii="Arial" w:hAnsi="Arial" w:cs="Arial"/>
                <w:b/>
                <w:bCs/>
              </w:rPr>
            </w:pPr>
            <w:r w:rsidRPr="005C0B16">
              <w:rPr>
                <w:rFonts w:ascii="Arial" w:hAnsi="Arial" w:cs="Arial"/>
                <w:b/>
                <w:bCs/>
              </w:rPr>
              <w:t>Interpretation</w:t>
            </w:r>
          </w:p>
        </w:tc>
      </w:tr>
      <w:tr w:rsidR="008C5A77" w:rsidRPr="005C0B16" w:rsidTr="00F10B9C">
        <w:tc>
          <w:tcPr>
            <w:tcW w:w="1217" w:type="pct"/>
          </w:tcPr>
          <w:p w:rsidR="008C5A77" w:rsidRPr="005C0B16" w:rsidRDefault="008C5A77" w:rsidP="00F663E4">
            <w:pPr>
              <w:jc w:val="both"/>
              <w:rPr>
                <w:rFonts w:ascii="Arial" w:hAnsi="Arial" w:cs="Arial"/>
              </w:rPr>
            </w:pPr>
            <w:r w:rsidRPr="005C0B16">
              <w:rPr>
                <w:rFonts w:ascii="Arial" w:hAnsi="Arial" w:cs="Arial"/>
              </w:rPr>
              <w:t>Pre-COVID (2001–2019)</w:t>
            </w:r>
          </w:p>
        </w:tc>
        <w:tc>
          <w:tcPr>
            <w:tcW w:w="607" w:type="pct"/>
          </w:tcPr>
          <w:p w:rsidR="008C5A77" w:rsidRPr="005C0B16" w:rsidRDefault="008C5A77" w:rsidP="00F663E4">
            <w:pPr>
              <w:jc w:val="both"/>
              <w:rPr>
                <w:rFonts w:ascii="Arial" w:hAnsi="Arial" w:cs="Arial"/>
              </w:rPr>
            </w:pPr>
            <w:r w:rsidRPr="005C0B16">
              <w:rPr>
                <w:rFonts w:ascii="Arial" w:hAnsi="Arial" w:cs="Arial"/>
              </w:rPr>
              <w:t>0.892</w:t>
            </w:r>
          </w:p>
        </w:tc>
        <w:tc>
          <w:tcPr>
            <w:tcW w:w="1175" w:type="pct"/>
          </w:tcPr>
          <w:p w:rsidR="008C5A77" w:rsidRPr="005C0B16" w:rsidRDefault="008C5A77" w:rsidP="00F663E4">
            <w:pPr>
              <w:jc w:val="both"/>
              <w:rPr>
                <w:rFonts w:ascii="Arial" w:hAnsi="Arial" w:cs="Arial"/>
              </w:rPr>
            </w:pPr>
            <w:r w:rsidRPr="005C0B16">
              <w:rPr>
                <w:rFonts w:ascii="Arial" w:hAnsi="Arial" w:cs="Arial"/>
              </w:rPr>
              <w:t>[0.718, 1.066]</w:t>
            </w:r>
          </w:p>
        </w:tc>
        <w:tc>
          <w:tcPr>
            <w:tcW w:w="2000" w:type="pct"/>
          </w:tcPr>
          <w:p w:rsidR="008C5A77" w:rsidRPr="005C0B16" w:rsidRDefault="008C5A77" w:rsidP="00F663E4">
            <w:pPr>
              <w:jc w:val="both"/>
              <w:rPr>
                <w:rFonts w:ascii="Arial" w:hAnsi="Arial" w:cs="Arial"/>
              </w:rPr>
            </w:pPr>
            <w:r w:rsidRPr="005C0B16">
              <w:rPr>
                <w:rFonts w:ascii="Arial" w:hAnsi="Arial" w:cs="Arial"/>
              </w:rPr>
              <w:t>Inelastic (spending grows slower than arrivals)</w:t>
            </w:r>
          </w:p>
        </w:tc>
      </w:tr>
      <w:tr w:rsidR="008C5A77" w:rsidRPr="005C0B16" w:rsidTr="00F10B9C">
        <w:tc>
          <w:tcPr>
            <w:tcW w:w="1217" w:type="pct"/>
          </w:tcPr>
          <w:p w:rsidR="008C5A77" w:rsidRPr="005C0B16" w:rsidRDefault="008C5A77" w:rsidP="00F663E4">
            <w:pPr>
              <w:jc w:val="both"/>
              <w:rPr>
                <w:rFonts w:ascii="Arial" w:hAnsi="Arial" w:cs="Arial"/>
              </w:rPr>
            </w:pPr>
            <w:r w:rsidRPr="005C0B16">
              <w:rPr>
                <w:rFonts w:ascii="Arial" w:hAnsi="Arial" w:cs="Arial"/>
              </w:rPr>
              <w:t>Post-COVID (2020–2023)</w:t>
            </w:r>
          </w:p>
        </w:tc>
        <w:tc>
          <w:tcPr>
            <w:tcW w:w="607" w:type="pct"/>
          </w:tcPr>
          <w:p w:rsidR="008C5A77" w:rsidRPr="005C0B16" w:rsidRDefault="008C5A77" w:rsidP="00F663E4">
            <w:pPr>
              <w:jc w:val="both"/>
              <w:rPr>
                <w:rFonts w:ascii="Arial" w:hAnsi="Arial" w:cs="Arial"/>
              </w:rPr>
            </w:pPr>
            <w:r w:rsidRPr="005C0B16">
              <w:rPr>
                <w:rFonts w:ascii="Arial" w:hAnsi="Arial" w:cs="Arial"/>
              </w:rPr>
              <w:t>0.661</w:t>
            </w:r>
          </w:p>
        </w:tc>
        <w:tc>
          <w:tcPr>
            <w:tcW w:w="1175" w:type="pct"/>
          </w:tcPr>
          <w:p w:rsidR="008C5A77" w:rsidRPr="005C0B16" w:rsidRDefault="008C5A77" w:rsidP="00F663E4">
            <w:pPr>
              <w:jc w:val="both"/>
              <w:rPr>
                <w:rFonts w:ascii="Arial" w:hAnsi="Arial" w:cs="Arial"/>
              </w:rPr>
            </w:pPr>
            <w:r w:rsidRPr="005C0B16">
              <w:rPr>
                <w:rFonts w:ascii="Arial" w:hAnsi="Arial" w:cs="Arial"/>
              </w:rPr>
              <w:t>[0.512, 0.810]</w:t>
            </w:r>
          </w:p>
        </w:tc>
        <w:tc>
          <w:tcPr>
            <w:tcW w:w="2000" w:type="pct"/>
          </w:tcPr>
          <w:p w:rsidR="008C5A77" w:rsidRPr="005C0B16" w:rsidRDefault="008C5A77" w:rsidP="00F663E4">
            <w:pPr>
              <w:jc w:val="both"/>
              <w:rPr>
                <w:rFonts w:ascii="Arial" w:hAnsi="Arial" w:cs="Arial"/>
              </w:rPr>
            </w:pPr>
            <w:r w:rsidRPr="005C0B16">
              <w:rPr>
                <w:rFonts w:ascii="Arial" w:hAnsi="Arial" w:cs="Arial"/>
              </w:rPr>
              <w:t>Inelastic (spending lag worsened)</w:t>
            </w:r>
          </w:p>
        </w:tc>
      </w:tr>
      <w:tr w:rsidR="008C5A77" w:rsidRPr="005C0B16" w:rsidTr="00F10B9C">
        <w:tc>
          <w:tcPr>
            <w:tcW w:w="1217" w:type="pct"/>
          </w:tcPr>
          <w:p w:rsidR="008C5A77" w:rsidRPr="005C0B16" w:rsidRDefault="008C5A77" w:rsidP="00F663E4">
            <w:pPr>
              <w:jc w:val="both"/>
              <w:rPr>
                <w:rFonts w:ascii="Arial" w:hAnsi="Arial" w:cs="Arial"/>
              </w:rPr>
            </w:pPr>
            <w:r w:rsidRPr="005C0B16">
              <w:rPr>
                <w:rFonts w:ascii="Arial" w:hAnsi="Arial" w:cs="Arial"/>
              </w:rPr>
              <w:t>Change</w:t>
            </w:r>
          </w:p>
        </w:tc>
        <w:tc>
          <w:tcPr>
            <w:tcW w:w="607" w:type="pct"/>
          </w:tcPr>
          <w:p w:rsidR="008C5A77" w:rsidRPr="005C0B16" w:rsidRDefault="008C5A77" w:rsidP="00F663E4">
            <w:pPr>
              <w:jc w:val="both"/>
              <w:rPr>
                <w:rFonts w:ascii="Arial" w:hAnsi="Arial" w:cs="Arial"/>
              </w:rPr>
            </w:pPr>
            <w:r w:rsidRPr="005C0B16">
              <w:rPr>
                <w:rFonts w:ascii="Arial" w:hAnsi="Arial" w:cs="Arial"/>
              </w:rPr>
              <w:t>-0.231</w:t>
            </w:r>
          </w:p>
        </w:tc>
        <w:tc>
          <w:tcPr>
            <w:tcW w:w="1175" w:type="pct"/>
          </w:tcPr>
          <w:p w:rsidR="008C5A77" w:rsidRPr="005C0B16" w:rsidRDefault="008C5A77" w:rsidP="00F663E4">
            <w:pPr>
              <w:jc w:val="both"/>
              <w:rPr>
                <w:rFonts w:ascii="Arial" w:hAnsi="Arial" w:cs="Arial"/>
              </w:rPr>
            </w:pPr>
            <w:r w:rsidRPr="005C0B16">
              <w:rPr>
                <w:rFonts w:ascii="Arial" w:hAnsi="Arial" w:cs="Arial"/>
              </w:rPr>
              <w:t>[-0.455, -0.007]</w:t>
            </w:r>
          </w:p>
        </w:tc>
        <w:tc>
          <w:tcPr>
            <w:tcW w:w="2000" w:type="pct"/>
          </w:tcPr>
          <w:p w:rsidR="008C5A77" w:rsidRPr="005C0B16" w:rsidRDefault="008C5A77" w:rsidP="00F663E4">
            <w:pPr>
              <w:jc w:val="both"/>
              <w:rPr>
                <w:rFonts w:ascii="Arial" w:hAnsi="Arial" w:cs="Arial"/>
              </w:rPr>
            </w:pPr>
            <w:r w:rsidRPr="005C0B16">
              <w:rPr>
                <w:rFonts w:ascii="Arial" w:hAnsi="Arial" w:cs="Arial"/>
              </w:rPr>
              <w:t xml:space="preserve">Marginally significant </w:t>
            </w:r>
            <w:r w:rsidRPr="00943A01">
              <w:rPr>
                <w:rFonts w:ascii="Arial" w:hAnsi="Arial" w:cs="Arial"/>
                <w:color w:val="FF0000"/>
              </w:rPr>
              <w:t>(</w:t>
            </w:r>
            <w:r w:rsidRPr="00943A01">
              <w:rPr>
                <w:rFonts w:ascii="Arial" w:hAnsi="Arial" w:cs="Arial"/>
                <w:i/>
                <w:iCs/>
                <w:color w:val="FF0000"/>
              </w:rPr>
              <w:t>P</w:t>
            </w:r>
            <w:r w:rsidRPr="00943A01">
              <w:rPr>
                <w:rFonts w:ascii="Arial" w:hAnsi="Arial" w:cs="Arial"/>
                <w:color w:val="FF0000"/>
              </w:rPr>
              <w:t xml:space="preserve"> = .05)</w:t>
            </w:r>
          </w:p>
        </w:tc>
      </w:tr>
    </w:tbl>
    <w:p w:rsidR="00F32BBE" w:rsidRPr="00943A01" w:rsidRDefault="00F10B9C" w:rsidP="00B0193F">
      <w:pPr>
        <w:rPr>
          <w:rFonts w:ascii="Arial" w:hAnsi="Arial" w:cs="Arial"/>
          <w:b/>
          <w:bCs/>
          <w:color w:val="FF0000"/>
          <w:sz w:val="20"/>
          <w:szCs w:val="20"/>
        </w:rPr>
      </w:pPr>
      <w:r w:rsidRPr="007A5F4F">
        <w:rPr>
          <w:rFonts w:ascii="Arial" w:hAnsi="Arial" w:cs="Arial"/>
          <w:b/>
          <w:bCs/>
          <w:sz w:val="20"/>
          <w:szCs w:val="20"/>
        </w:rPr>
        <w:t>Notes:</w:t>
      </w:r>
      <w:r w:rsidRPr="007A5F4F">
        <w:rPr>
          <w:rFonts w:ascii="Arial" w:hAnsi="Arial" w:cs="Arial"/>
          <w:b/>
          <w:bCs/>
          <w:sz w:val="20"/>
          <w:szCs w:val="20"/>
        </w:rPr>
        <w:br/>
      </w:r>
      <w:r w:rsidRPr="00943A01">
        <w:rPr>
          <w:rFonts w:ascii="Arial" w:hAnsi="Arial" w:cs="Arial"/>
          <w:i/>
          <w:iCs/>
          <w:color w:val="FF0000"/>
          <w:sz w:val="20"/>
          <w:szCs w:val="20"/>
        </w:rPr>
        <w:t>a Dependent variable: ln (FEE</w:t>
      </w:r>
      <w:r w:rsidRPr="00943A01">
        <w:rPr>
          <w:rFonts w:ascii="Cambria Math" w:hAnsi="Cambria Math" w:cs="Cambria Math"/>
          <w:i/>
          <w:iCs/>
          <w:color w:val="FF0000"/>
          <w:sz w:val="20"/>
          <w:szCs w:val="20"/>
        </w:rPr>
        <w:t>ₜ</w:t>
      </w:r>
      <w:r w:rsidRPr="00943A01">
        <w:rPr>
          <w:rFonts w:ascii="Arial" w:hAnsi="Arial" w:cs="Arial"/>
          <w:i/>
          <w:iCs/>
          <w:color w:val="FF0000"/>
          <w:sz w:val="20"/>
          <w:szCs w:val="20"/>
        </w:rPr>
        <w:t>)</w:t>
      </w:r>
      <w:r w:rsidRPr="00943A01">
        <w:rPr>
          <w:rFonts w:ascii="Arial" w:hAnsi="Arial" w:cs="Arial"/>
          <w:i/>
          <w:iCs/>
          <w:color w:val="FF0000"/>
          <w:sz w:val="20"/>
          <w:szCs w:val="20"/>
        </w:rPr>
        <w:br/>
      </w:r>
      <w:r w:rsidRPr="00943A01">
        <w:rPr>
          <w:rFonts w:ascii="Arial" w:hAnsi="Arial" w:cs="Arial"/>
          <w:i/>
          <w:iCs/>
          <w:color w:val="FF0000"/>
          <w:sz w:val="20"/>
          <w:szCs w:val="20"/>
        </w:rPr>
        <w:lastRenderedPageBreak/>
        <w:t>b P &lt; .001 indicates statistical significance</w:t>
      </w:r>
      <w:r w:rsidRPr="00943A01">
        <w:rPr>
          <w:rFonts w:ascii="Arial" w:hAnsi="Arial" w:cs="Arial"/>
          <w:i/>
          <w:iCs/>
          <w:color w:val="FF0000"/>
          <w:sz w:val="20"/>
          <w:szCs w:val="20"/>
        </w:rPr>
        <w:br/>
        <w:t>c Elasticity is interpreted as % change in earnings due to % change in arrivals</w:t>
      </w:r>
    </w:p>
    <w:p w:rsidR="00F32BBE" w:rsidRPr="00A96AA4" w:rsidRDefault="00F32BBE" w:rsidP="00A96AA4">
      <w:pPr>
        <w:spacing w:line="276" w:lineRule="auto"/>
        <w:jc w:val="both"/>
        <w:rPr>
          <w:rFonts w:ascii="Arial" w:hAnsi="Arial" w:cs="Arial"/>
          <w:sz w:val="20"/>
          <w:szCs w:val="20"/>
        </w:rPr>
      </w:pPr>
      <w:r w:rsidRPr="00F32BBE">
        <w:rPr>
          <w:rFonts w:ascii="Arial" w:hAnsi="Arial" w:cs="Arial"/>
          <w:sz w:val="20"/>
          <w:szCs w:val="20"/>
        </w:rPr>
        <w:t>The results of the panel regression model are presented in table 4. The model examines factors affecting tourism recovery in nine areas from 2020 to 2023 while controlling area-specific effects. Dependent variable is the log of recovery index in which 2019 has been taken as base year. The results show that the share of the migratory tourists has a positive and statistically significant impact on the recovery (P&lt;</w:t>
      </w:r>
      <w:r>
        <w:rPr>
          <w:rFonts w:ascii="Arial" w:hAnsi="Arial" w:cs="Arial"/>
          <w:sz w:val="20"/>
          <w:szCs w:val="20"/>
        </w:rPr>
        <w:t xml:space="preserve"> .</w:t>
      </w:r>
      <w:r w:rsidRPr="00F32BBE">
        <w:rPr>
          <w:rFonts w:ascii="Arial" w:hAnsi="Arial" w:cs="Arial"/>
          <w:sz w:val="20"/>
          <w:szCs w:val="20"/>
        </w:rPr>
        <w:t xml:space="preserve">001). The one percent increase in PBD is linked to an increase of about 3.4 percent in the recovery index. This shows that there has been rapid improvement in the areas with strong migrant connections. In contrast, distance from India has a negative and statistically significant effect </w:t>
      </w:r>
      <w:r w:rsidRPr="00943A01">
        <w:rPr>
          <w:rFonts w:ascii="Arial" w:hAnsi="Arial" w:cs="Arial"/>
          <w:color w:val="FF0000"/>
          <w:sz w:val="20"/>
          <w:szCs w:val="20"/>
        </w:rPr>
        <w:t xml:space="preserve">(P = </w:t>
      </w:r>
      <w:r w:rsidR="00B16897" w:rsidRPr="00943A01">
        <w:rPr>
          <w:rFonts w:ascii="Arial" w:hAnsi="Arial" w:cs="Arial"/>
          <w:color w:val="FF0000"/>
          <w:sz w:val="20"/>
          <w:szCs w:val="20"/>
        </w:rPr>
        <w:t>.0</w:t>
      </w:r>
      <w:r w:rsidRPr="00943A01">
        <w:rPr>
          <w:rFonts w:ascii="Arial" w:hAnsi="Arial" w:cs="Arial"/>
          <w:color w:val="FF0000"/>
          <w:sz w:val="20"/>
          <w:szCs w:val="20"/>
        </w:rPr>
        <w:t>1</w:t>
      </w:r>
      <w:r w:rsidRPr="00F32BBE">
        <w:rPr>
          <w:rFonts w:ascii="Arial" w:hAnsi="Arial" w:cs="Arial"/>
          <w:sz w:val="20"/>
          <w:szCs w:val="20"/>
        </w:rPr>
        <w:t>, which indicates that slow recovery appears in remote areas).</w:t>
      </w:r>
    </w:p>
    <w:p w:rsidR="00F10B9C" w:rsidRPr="00A01640" w:rsidRDefault="00B16897" w:rsidP="00A01640">
      <w:pPr>
        <w:spacing w:line="276" w:lineRule="auto"/>
        <w:jc w:val="both"/>
        <w:rPr>
          <w:rFonts w:ascii="Arial" w:hAnsi="Arial" w:cs="Arial"/>
          <w:sz w:val="20"/>
          <w:szCs w:val="20"/>
        </w:rPr>
      </w:pPr>
      <w:r w:rsidRPr="00B16897">
        <w:rPr>
          <w:rFonts w:ascii="Arial" w:hAnsi="Arial" w:cs="Arial"/>
          <w:sz w:val="20"/>
          <w:szCs w:val="20"/>
        </w:rPr>
        <w:t xml:space="preserve">Medical tourism has a positive but weak impact on recovery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 xml:space="preserve"> = .07),</w:t>
      </w:r>
      <w:r w:rsidRPr="00B16897">
        <w:rPr>
          <w:rFonts w:ascii="Arial" w:hAnsi="Arial" w:cs="Arial"/>
          <w:sz w:val="20"/>
          <w:szCs w:val="20"/>
        </w:rPr>
        <w:t xml:space="preserve"> which shows limited statistical significance. The overall model shows around 69 percent variation in regional recovery, which shows a good fit. These results show that migratory connectivity and geographical proximity play an important role in tourism recovery, while the impact of medical tourism is low. The findings suggest that the policy efforts to support faster and more stable reforms in the tourism sector should focus on the surrounding areas and foreign-run markets.</w:t>
      </w:r>
    </w:p>
    <w:p w:rsidR="008C5A77" w:rsidRPr="00F10B9C" w:rsidRDefault="008C5A77" w:rsidP="008C5A77">
      <w:pPr>
        <w:rPr>
          <w:rFonts w:ascii="Arial" w:hAnsi="Arial" w:cs="Arial"/>
          <w:b/>
          <w:bCs/>
        </w:rPr>
      </w:pPr>
      <w:r w:rsidRPr="005C0B16">
        <w:rPr>
          <w:rFonts w:ascii="Arial" w:hAnsi="Arial" w:cs="Arial"/>
          <w:b/>
          <w:bCs/>
        </w:rPr>
        <w:t>Table 4</w:t>
      </w:r>
      <w:r>
        <w:rPr>
          <w:rFonts w:ascii="Arial" w:hAnsi="Arial" w:cs="Arial"/>
          <w:b/>
          <w:bCs/>
        </w:rPr>
        <w:t>.</w:t>
      </w:r>
      <w:r w:rsidRPr="005C0B16">
        <w:rPr>
          <w:rFonts w:ascii="Arial" w:hAnsi="Arial" w:cs="Arial"/>
          <w:b/>
          <w:bCs/>
        </w:rPr>
        <w:t xml:space="preserve"> Panel Regression – Determinants of Regional Recovery (2019–2023)</w:t>
      </w:r>
    </w:p>
    <w:tbl>
      <w:tblPr>
        <w:tblStyle w:val="TableGrid"/>
        <w:tblW w:w="0" w:type="auto"/>
        <w:tblLook w:val="04A0"/>
      </w:tblPr>
      <w:tblGrid>
        <w:gridCol w:w="2628"/>
        <w:gridCol w:w="1250"/>
        <w:gridCol w:w="717"/>
        <w:gridCol w:w="972"/>
        <w:gridCol w:w="1033"/>
        <w:gridCol w:w="2642"/>
      </w:tblGrid>
      <w:tr w:rsidR="00F10B9C" w:rsidRPr="005C0B16" w:rsidTr="007A5F4F">
        <w:tc>
          <w:tcPr>
            <w:tcW w:w="2830" w:type="dxa"/>
          </w:tcPr>
          <w:p w:rsidR="008C5A77" w:rsidRPr="005C0B16" w:rsidRDefault="008C5A77" w:rsidP="00F663E4">
            <w:pPr>
              <w:jc w:val="center"/>
              <w:rPr>
                <w:rFonts w:ascii="Arial" w:hAnsi="Arial" w:cs="Arial"/>
                <w:b/>
                <w:bCs/>
              </w:rPr>
            </w:pPr>
            <w:r w:rsidRPr="005C0B16">
              <w:rPr>
                <w:rFonts w:ascii="Arial" w:hAnsi="Arial" w:cs="Arial"/>
                <w:b/>
                <w:bCs/>
              </w:rPr>
              <w:t>Variable</w:t>
            </w:r>
          </w:p>
        </w:tc>
        <w:tc>
          <w:tcPr>
            <w:tcW w:w="331" w:type="dxa"/>
          </w:tcPr>
          <w:p w:rsidR="008C5A77" w:rsidRPr="005C0B16" w:rsidRDefault="008C5A77" w:rsidP="00F663E4">
            <w:pPr>
              <w:jc w:val="center"/>
              <w:rPr>
                <w:rFonts w:ascii="Arial" w:hAnsi="Arial" w:cs="Arial"/>
                <w:b/>
                <w:bCs/>
              </w:rPr>
            </w:pPr>
            <w:r w:rsidRPr="005C0B16">
              <w:rPr>
                <w:rFonts w:ascii="Arial" w:hAnsi="Arial" w:cs="Arial"/>
                <w:b/>
                <w:bCs/>
              </w:rPr>
              <w:t>Coefficient</w:t>
            </w:r>
          </w:p>
        </w:tc>
        <w:tc>
          <w:tcPr>
            <w:tcW w:w="0" w:type="auto"/>
          </w:tcPr>
          <w:p w:rsidR="008C5A77" w:rsidRPr="005C0B16" w:rsidRDefault="008C5A77" w:rsidP="00F663E4">
            <w:pPr>
              <w:jc w:val="center"/>
              <w:rPr>
                <w:rFonts w:ascii="Arial" w:hAnsi="Arial" w:cs="Arial"/>
                <w:b/>
                <w:bCs/>
              </w:rPr>
            </w:pPr>
            <w:r w:rsidRPr="005C0B16">
              <w:rPr>
                <w:rFonts w:ascii="Arial" w:hAnsi="Arial" w:cs="Arial"/>
                <w:b/>
                <w:bCs/>
              </w:rPr>
              <w:t>Std. Error</w:t>
            </w:r>
          </w:p>
        </w:tc>
        <w:tc>
          <w:tcPr>
            <w:tcW w:w="0" w:type="auto"/>
          </w:tcPr>
          <w:p w:rsidR="008C5A77" w:rsidRPr="005C0B16" w:rsidRDefault="00F10B9C" w:rsidP="00F663E4">
            <w:pPr>
              <w:jc w:val="center"/>
              <w:rPr>
                <w:rFonts w:ascii="Arial" w:hAnsi="Arial" w:cs="Arial"/>
                <w:b/>
                <w:bCs/>
              </w:rPr>
            </w:pPr>
            <w:r>
              <w:rPr>
                <w:rFonts w:ascii="Arial" w:hAnsi="Arial" w:cs="Arial"/>
                <w:b/>
                <w:bCs/>
              </w:rPr>
              <w:t>‘t’ st</w:t>
            </w:r>
            <w:r w:rsidRPr="005C0B16">
              <w:rPr>
                <w:rFonts w:ascii="Arial" w:hAnsi="Arial" w:cs="Arial"/>
                <w:b/>
                <w:bCs/>
              </w:rPr>
              <w:t>atistic</w:t>
            </w:r>
          </w:p>
        </w:tc>
        <w:tc>
          <w:tcPr>
            <w:tcW w:w="1055" w:type="dxa"/>
          </w:tcPr>
          <w:p w:rsidR="008C5A77" w:rsidRPr="005C0B16" w:rsidRDefault="00F10B9C" w:rsidP="00F663E4">
            <w:pPr>
              <w:jc w:val="center"/>
              <w:rPr>
                <w:rFonts w:ascii="Arial" w:hAnsi="Arial" w:cs="Arial"/>
                <w:b/>
                <w:bCs/>
              </w:rPr>
            </w:pPr>
            <w:r>
              <w:rPr>
                <w:rFonts w:ascii="Arial" w:hAnsi="Arial" w:cs="Arial"/>
                <w:b/>
                <w:bCs/>
                <w:i/>
                <w:iCs/>
              </w:rPr>
              <w:t>‘P</w:t>
            </w:r>
            <w:r w:rsidR="00106AA4">
              <w:rPr>
                <w:rFonts w:ascii="Arial" w:hAnsi="Arial" w:cs="Arial"/>
                <w:b/>
                <w:bCs/>
                <w:i/>
                <w:iCs/>
              </w:rPr>
              <w:t>’ Value</w:t>
            </w:r>
          </w:p>
        </w:tc>
        <w:tc>
          <w:tcPr>
            <w:tcW w:w="2784" w:type="dxa"/>
          </w:tcPr>
          <w:p w:rsidR="008C5A77" w:rsidRPr="005C0B16" w:rsidRDefault="008C5A77" w:rsidP="00F663E4">
            <w:pPr>
              <w:jc w:val="center"/>
              <w:rPr>
                <w:rFonts w:ascii="Arial" w:hAnsi="Arial" w:cs="Arial"/>
                <w:b/>
                <w:bCs/>
              </w:rPr>
            </w:pPr>
            <w:r w:rsidRPr="005C0B16">
              <w:rPr>
                <w:rFonts w:ascii="Arial" w:hAnsi="Arial" w:cs="Arial"/>
                <w:b/>
                <w:bCs/>
              </w:rPr>
              <w:t>Interpretation</w:t>
            </w:r>
          </w:p>
        </w:tc>
      </w:tr>
      <w:tr w:rsidR="00F10B9C" w:rsidRPr="005C0B16" w:rsidTr="007A5F4F">
        <w:tc>
          <w:tcPr>
            <w:tcW w:w="2830" w:type="dxa"/>
          </w:tcPr>
          <w:p w:rsidR="008C5A77" w:rsidRPr="005C0B16" w:rsidRDefault="008C5A77" w:rsidP="00F663E4">
            <w:pPr>
              <w:jc w:val="both"/>
              <w:rPr>
                <w:rFonts w:ascii="Arial" w:hAnsi="Arial" w:cs="Arial"/>
              </w:rPr>
            </w:pPr>
            <w:r w:rsidRPr="005C0B16">
              <w:rPr>
                <w:rFonts w:ascii="Arial" w:hAnsi="Arial" w:cs="Arial"/>
              </w:rPr>
              <w:t>Constant</w:t>
            </w:r>
          </w:p>
        </w:tc>
        <w:tc>
          <w:tcPr>
            <w:tcW w:w="331" w:type="dxa"/>
          </w:tcPr>
          <w:p w:rsidR="008C5A77" w:rsidRPr="005C0B16" w:rsidRDefault="008C5A77" w:rsidP="00F663E4">
            <w:pPr>
              <w:jc w:val="both"/>
              <w:rPr>
                <w:rFonts w:ascii="Arial" w:hAnsi="Arial" w:cs="Arial"/>
              </w:rPr>
            </w:pPr>
            <w:r w:rsidRPr="005C0B16">
              <w:rPr>
                <w:rFonts w:ascii="Arial" w:hAnsi="Arial" w:cs="Arial"/>
              </w:rPr>
              <w:t>3.892</w:t>
            </w:r>
          </w:p>
        </w:tc>
        <w:tc>
          <w:tcPr>
            <w:tcW w:w="0" w:type="auto"/>
          </w:tcPr>
          <w:p w:rsidR="008C5A77" w:rsidRPr="005C0B16" w:rsidRDefault="008C5A77" w:rsidP="00F663E4">
            <w:pPr>
              <w:jc w:val="both"/>
              <w:rPr>
                <w:rFonts w:ascii="Arial" w:hAnsi="Arial" w:cs="Arial"/>
              </w:rPr>
            </w:pPr>
            <w:r w:rsidRPr="005C0B16">
              <w:rPr>
                <w:rFonts w:ascii="Arial" w:hAnsi="Arial" w:cs="Arial"/>
              </w:rPr>
              <w:t>0.245</w:t>
            </w:r>
          </w:p>
        </w:tc>
        <w:tc>
          <w:tcPr>
            <w:tcW w:w="0" w:type="auto"/>
          </w:tcPr>
          <w:p w:rsidR="008C5A77" w:rsidRPr="005C0B16" w:rsidRDefault="008C5A77" w:rsidP="00F663E4">
            <w:pPr>
              <w:jc w:val="both"/>
              <w:rPr>
                <w:rFonts w:ascii="Arial" w:hAnsi="Arial" w:cs="Arial"/>
              </w:rPr>
            </w:pPr>
            <w:r w:rsidRPr="005C0B16">
              <w:rPr>
                <w:rFonts w:ascii="Arial" w:hAnsi="Arial" w:cs="Arial"/>
              </w:rPr>
              <w:t>15.89</w:t>
            </w:r>
          </w:p>
        </w:tc>
        <w:tc>
          <w:tcPr>
            <w:tcW w:w="1055" w:type="dxa"/>
          </w:tcPr>
          <w:p w:rsidR="008C5A77" w:rsidRPr="00943A01" w:rsidRDefault="007A5F4F"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&lt;</w:t>
            </w:r>
            <w:r w:rsidR="008C5A77" w:rsidRPr="00943A01">
              <w:rPr>
                <w:rFonts w:ascii="Arial" w:hAnsi="Arial" w:cs="Arial"/>
                <w:color w:val="FF0000"/>
              </w:rPr>
              <w:t>.001</w:t>
            </w:r>
          </w:p>
        </w:tc>
        <w:tc>
          <w:tcPr>
            <w:tcW w:w="2784" w:type="dxa"/>
          </w:tcPr>
          <w:p w:rsidR="008C5A77" w:rsidRPr="005C0B16" w:rsidRDefault="008C5A77" w:rsidP="00F663E4">
            <w:pPr>
              <w:jc w:val="both"/>
              <w:rPr>
                <w:rFonts w:ascii="Arial" w:hAnsi="Arial" w:cs="Arial"/>
              </w:rPr>
            </w:pPr>
            <w:r w:rsidRPr="005C0B16">
              <w:rPr>
                <w:rFonts w:ascii="Arial" w:hAnsi="Arial" w:cs="Arial"/>
              </w:rPr>
              <w:t>Baseline recovery</w:t>
            </w:r>
          </w:p>
        </w:tc>
      </w:tr>
      <w:tr w:rsidR="00F10B9C" w:rsidRPr="005C0B16" w:rsidTr="007A5F4F">
        <w:tc>
          <w:tcPr>
            <w:tcW w:w="2830" w:type="dxa"/>
          </w:tcPr>
          <w:p w:rsidR="008C5A77" w:rsidRPr="005C0B16" w:rsidRDefault="008C5A77" w:rsidP="00F663E4">
            <w:pPr>
              <w:jc w:val="both"/>
              <w:rPr>
                <w:rFonts w:ascii="Arial" w:hAnsi="Arial" w:cs="Arial"/>
              </w:rPr>
            </w:pPr>
            <w:r w:rsidRPr="005C0B16">
              <w:rPr>
                <w:rFonts w:ascii="Arial" w:hAnsi="Arial" w:cs="Arial"/>
              </w:rPr>
              <w:t>Diaspora share (%)</w:t>
            </w:r>
          </w:p>
        </w:tc>
        <w:tc>
          <w:tcPr>
            <w:tcW w:w="331" w:type="dxa"/>
          </w:tcPr>
          <w:p w:rsidR="008C5A77" w:rsidRPr="005C0B16" w:rsidRDefault="008C5A77" w:rsidP="00F663E4">
            <w:pPr>
              <w:jc w:val="both"/>
              <w:rPr>
                <w:rFonts w:ascii="Arial" w:hAnsi="Arial" w:cs="Arial"/>
              </w:rPr>
            </w:pPr>
            <w:r w:rsidRPr="005C0B16">
              <w:rPr>
                <w:rFonts w:ascii="Arial" w:hAnsi="Arial" w:cs="Arial"/>
              </w:rPr>
              <w:t>0.034</w:t>
            </w:r>
          </w:p>
        </w:tc>
        <w:tc>
          <w:tcPr>
            <w:tcW w:w="0" w:type="auto"/>
          </w:tcPr>
          <w:p w:rsidR="008C5A77" w:rsidRPr="005C0B16" w:rsidRDefault="008C5A77" w:rsidP="00F663E4">
            <w:pPr>
              <w:jc w:val="both"/>
              <w:rPr>
                <w:rFonts w:ascii="Arial" w:hAnsi="Arial" w:cs="Arial"/>
              </w:rPr>
            </w:pPr>
            <w:r w:rsidRPr="005C0B16">
              <w:rPr>
                <w:rFonts w:ascii="Arial" w:hAnsi="Arial" w:cs="Arial"/>
              </w:rPr>
              <w:t>0.008</w:t>
            </w:r>
          </w:p>
        </w:tc>
        <w:tc>
          <w:tcPr>
            <w:tcW w:w="0" w:type="auto"/>
          </w:tcPr>
          <w:p w:rsidR="008C5A77" w:rsidRPr="005C0B16" w:rsidRDefault="008C5A77" w:rsidP="00F663E4">
            <w:pPr>
              <w:jc w:val="both"/>
              <w:rPr>
                <w:rFonts w:ascii="Arial" w:hAnsi="Arial" w:cs="Arial"/>
              </w:rPr>
            </w:pPr>
            <w:r w:rsidRPr="005C0B16">
              <w:rPr>
                <w:rFonts w:ascii="Arial" w:hAnsi="Arial" w:cs="Arial"/>
              </w:rPr>
              <w:t>4.25</w:t>
            </w:r>
          </w:p>
        </w:tc>
        <w:tc>
          <w:tcPr>
            <w:tcW w:w="1055" w:type="dxa"/>
          </w:tcPr>
          <w:p w:rsidR="008C5A77" w:rsidRPr="00943A01" w:rsidRDefault="007A5F4F"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&lt;.001</w:t>
            </w:r>
          </w:p>
        </w:tc>
        <w:tc>
          <w:tcPr>
            <w:tcW w:w="2784" w:type="dxa"/>
          </w:tcPr>
          <w:p w:rsidR="008C5A77" w:rsidRPr="005C0B16" w:rsidRDefault="008C5A77" w:rsidP="00F663E4">
            <w:pPr>
              <w:jc w:val="both"/>
              <w:rPr>
                <w:rFonts w:ascii="Arial" w:hAnsi="Arial" w:cs="Arial"/>
              </w:rPr>
            </w:pPr>
            <w:r w:rsidRPr="005C0B16">
              <w:rPr>
                <w:rFonts w:ascii="Arial" w:hAnsi="Arial" w:cs="Arial"/>
              </w:rPr>
              <w:t>+3.4% recovery per 1% diaspora</w:t>
            </w:r>
          </w:p>
        </w:tc>
      </w:tr>
      <w:tr w:rsidR="00F10B9C" w:rsidRPr="005C0B16" w:rsidTr="007A5F4F">
        <w:tc>
          <w:tcPr>
            <w:tcW w:w="2830" w:type="dxa"/>
          </w:tcPr>
          <w:p w:rsidR="008C5A77" w:rsidRPr="005C0B16" w:rsidRDefault="008C5A77" w:rsidP="00F663E4">
            <w:pPr>
              <w:jc w:val="both"/>
              <w:rPr>
                <w:rFonts w:ascii="Arial" w:hAnsi="Arial" w:cs="Arial"/>
              </w:rPr>
            </w:pPr>
            <w:r w:rsidRPr="005C0B16">
              <w:rPr>
                <w:rFonts w:ascii="Arial" w:hAnsi="Arial" w:cs="Arial"/>
              </w:rPr>
              <w:t>Medical tourism share (%)</w:t>
            </w:r>
          </w:p>
        </w:tc>
        <w:tc>
          <w:tcPr>
            <w:tcW w:w="331" w:type="dxa"/>
          </w:tcPr>
          <w:p w:rsidR="008C5A77" w:rsidRPr="005C0B16" w:rsidRDefault="008C5A77" w:rsidP="00F663E4">
            <w:pPr>
              <w:jc w:val="both"/>
              <w:rPr>
                <w:rFonts w:ascii="Arial" w:hAnsi="Arial" w:cs="Arial"/>
              </w:rPr>
            </w:pPr>
            <w:r w:rsidRPr="005C0B16">
              <w:rPr>
                <w:rFonts w:ascii="Arial" w:hAnsi="Arial" w:cs="Arial"/>
              </w:rPr>
              <w:t>0.021</w:t>
            </w:r>
          </w:p>
        </w:tc>
        <w:tc>
          <w:tcPr>
            <w:tcW w:w="0" w:type="auto"/>
          </w:tcPr>
          <w:p w:rsidR="008C5A77" w:rsidRPr="005C0B16" w:rsidRDefault="008C5A77" w:rsidP="00F663E4">
            <w:pPr>
              <w:jc w:val="both"/>
              <w:rPr>
                <w:rFonts w:ascii="Arial" w:hAnsi="Arial" w:cs="Arial"/>
              </w:rPr>
            </w:pPr>
            <w:r w:rsidRPr="005C0B16">
              <w:rPr>
                <w:rFonts w:ascii="Arial" w:hAnsi="Arial" w:cs="Arial"/>
              </w:rPr>
              <w:t>0.011</w:t>
            </w:r>
          </w:p>
        </w:tc>
        <w:tc>
          <w:tcPr>
            <w:tcW w:w="0" w:type="auto"/>
          </w:tcPr>
          <w:p w:rsidR="008C5A77" w:rsidRPr="005C0B16" w:rsidRDefault="008C5A77" w:rsidP="00F663E4">
            <w:pPr>
              <w:jc w:val="both"/>
              <w:rPr>
                <w:rFonts w:ascii="Arial" w:hAnsi="Arial" w:cs="Arial"/>
              </w:rPr>
            </w:pPr>
            <w:r w:rsidRPr="005C0B16">
              <w:rPr>
                <w:rFonts w:ascii="Arial" w:hAnsi="Arial" w:cs="Arial"/>
              </w:rPr>
              <w:t>1.91</w:t>
            </w:r>
          </w:p>
        </w:tc>
        <w:tc>
          <w:tcPr>
            <w:tcW w:w="1055" w:type="dxa"/>
          </w:tcPr>
          <w:p w:rsidR="008C5A77" w:rsidRPr="00943A01" w:rsidRDefault="007A5F4F" w:rsidP="00F663E4">
            <w:pPr>
              <w:jc w:val="both"/>
              <w:rPr>
                <w:rFonts w:ascii="Arial" w:hAnsi="Arial" w:cs="Arial"/>
                <w:color w:val="FF0000"/>
              </w:rPr>
            </w:pPr>
            <w:r w:rsidRPr="00943A01">
              <w:rPr>
                <w:rFonts w:ascii="Arial" w:hAnsi="Arial" w:cs="Arial"/>
                <w:i/>
                <w:iCs/>
                <w:color w:val="FF0000"/>
              </w:rPr>
              <w:t xml:space="preserve">P = </w:t>
            </w:r>
            <w:r w:rsidR="008C5A77" w:rsidRPr="00943A01">
              <w:rPr>
                <w:rFonts w:ascii="Arial" w:hAnsi="Arial" w:cs="Arial"/>
                <w:color w:val="FF0000"/>
              </w:rPr>
              <w:t>.07</w:t>
            </w:r>
          </w:p>
        </w:tc>
        <w:tc>
          <w:tcPr>
            <w:tcW w:w="2784" w:type="dxa"/>
          </w:tcPr>
          <w:p w:rsidR="008C5A77" w:rsidRPr="005C0B16" w:rsidRDefault="008C5A77" w:rsidP="00F663E4">
            <w:pPr>
              <w:jc w:val="both"/>
              <w:rPr>
                <w:rFonts w:ascii="Arial" w:hAnsi="Arial" w:cs="Arial"/>
              </w:rPr>
            </w:pPr>
            <w:r w:rsidRPr="005C0B16">
              <w:rPr>
                <w:rFonts w:ascii="Arial" w:hAnsi="Arial" w:cs="Arial"/>
              </w:rPr>
              <w:t>+2.1% recovery per 1% medical (marginal)</w:t>
            </w:r>
          </w:p>
        </w:tc>
      </w:tr>
      <w:tr w:rsidR="00F10B9C" w:rsidRPr="005C0B16" w:rsidTr="007A5F4F">
        <w:tc>
          <w:tcPr>
            <w:tcW w:w="2830" w:type="dxa"/>
          </w:tcPr>
          <w:p w:rsidR="008C5A77" w:rsidRPr="005C0B16" w:rsidRDefault="008C5A77" w:rsidP="00F663E4">
            <w:pPr>
              <w:jc w:val="both"/>
              <w:rPr>
                <w:rFonts w:ascii="Arial" w:hAnsi="Arial" w:cs="Arial"/>
              </w:rPr>
            </w:pPr>
            <w:r w:rsidRPr="005C0B16">
              <w:rPr>
                <w:rFonts w:ascii="Arial" w:hAnsi="Arial" w:cs="Arial"/>
              </w:rPr>
              <w:t>Distance (1,000 km)</w:t>
            </w:r>
          </w:p>
        </w:tc>
        <w:tc>
          <w:tcPr>
            <w:tcW w:w="331" w:type="dxa"/>
          </w:tcPr>
          <w:p w:rsidR="008C5A77" w:rsidRPr="005C0B16" w:rsidRDefault="008C5A77" w:rsidP="00F663E4">
            <w:pPr>
              <w:jc w:val="both"/>
              <w:rPr>
                <w:rFonts w:ascii="Arial" w:hAnsi="Arial" w:cs="Arial"/>
              </w:rPr>
            </w:pPr>
            <w:r w:rsidRPr="005C0B16">
              <w:rPr>
                <w:rFonts w:ascii="Arial" w:hAnsi="Arial" w:cs="Arial"/>
              </w:rPr>
              <w:t>-0.028</w:t>
            </w:r>
          </w:p>
        </w:tc>
        <w:tc>
          <w:tcPr>
            <w:tcW w:w="0" w:type="auto"/>
          </w:tcPr>
          <w:p w:rsidR="008C5A77" w:rsidRPr="005C0B16" w:rsidRDefault="008C5A77" w:rsidP="00F663E4">
            <w:pPr>
              <w:jc w:val="both"/>
              <w:rPr>
                <w:rFonts w:ascii="Arial" w:hAnsi="Arial" w:cs="Arial"/>
              </w:rPr>
            </w:pPr>
            <w:r w:rsidRPr="005C0B16">
              <w:rPr>
                <w:rFonts w:ascii="Arial" w:hAnsi="Arial" w:cs="Arial"/>
              </w:rPr>
              <w:t>0.009</w:t>
            </w:r>
          </w:p>
        </w:tc>
        <w:tc>
          <w:tcPr>
            <w:tcW w:w="0" w:type="auto"/>
          </w:tcPr>
          <w:p w:rsidR="008C5A77" w:rsidRPr="005C0B16" w:rsidRDefault="008C5A77" w:rsidP="00F663E4">
            <w:pPr>
              <w:jc w:val="both"/>
              <w:rPr>
                <w:rFonts w:ascii="Arial" w:hAnsi="Arial" w:cs="Arial"/>
              </w:rPr>
            </w:pPr>
            <w:r w:rsidRPr="005C0B16">
              <w:rPr>
                <w:rFonts w:ascii="Arial" w:hAnsi="Arial" w:cs="Arial"/>
              </w:rPr>
              <w:t>-3.11</w:t>
            </w:r>
          </w:p>
        </w:tc>
        <w:tc>
          <w:tcPr>
            <w:tcW w:w="1055" w:type="dxa"/>
          </w:tcPr>
          <w:p w:rsidR="008C5A77" w:rsidRPr="00943A01" w:rsidRDefault="00F10B9C" w:rsidP="00F663E4">
            <w:pPr>
              <w:jc w:val="both"/>
              <w:rPr>
                <w:rFonts w:ascii="Arial" w:hAnsi="Arial" w:cs="Arial"/>
                <w:color w:val="FF0000"/>
              </w:rPr>
            </w:pPr>
            <w:r w:rsidRPr="00943A01">
              <w:rPr>
                <w:rFonts w:ascii="Arial" w:hAnsi="Arial" w:cs="Arial"/>
                <w:i/>
                <w:iCs/>
                <w:color w:val="FF0000"/>
              </w:rPr>
              <w:t xml:space="preserve">P = </w:t>
            </w:r>
            <w:r w:rsidR="008C5A77" w:rsidRPr="00943A01">
              <w:rPr>
                <w:rFonts w:ascii="Arial" w:hAnsi="Arial" w:cs="Arial"/>
                <w:color w:val="FF0000"/>
              </w:rPr>
              <w:t>.01</w:t>
            </w:r>
          </w:p>
        </w:tc>
        <w:tc>
          <w:tcPr>
            <w:tcW w:w="2784" w:type="dxa"/>
          </w:tcPr>
          <w:p w:rsidR="008C5A77" w:rsidRPr="005C0B16" w:rsidRDefault="008C5A77" w:rsidP="00F663E4">
            <w:pPr>
              <w:jc w:val="both"/>
              <w:rPr>
                <w:rFonts w:ascii="Arial" w:hAnsi="Arial" w:cs="Arial"/>
              </w:rPr>
            </w:pPr>
            <w:r w:rsidRPr="005C0B16">
              <w:rPr>
                <w:rFonts w:ascii="Arial" w:hAnsi="Arial" w:cs="Arial"/>
              </w:rPr>
              <w:t>-2.8% recovery per 1,000 km</w:t>
            </w:r>
          </w:p>
        </w:tc>
      </w:tr>
      <w:tr w:rsidR="00F10B9C" w:rsidRPr="005C0B16" w:rsidTr="007A5F4F">
        <w:tc>
          <w:tcPr>
            <w:tcW w:w="2830" w:type="dxa"/>
          </w:tcPr>
          <w:p w:rsidR="008C5A77" w:rsidRPr="005C0B16" w:rsidRDefault="008C5A77" w:rsidP="00F663E4">
            <w:pPr>
              <w:jc w:val="both"/>
              <w:rPr>
                <w:rFonts w:ascii="Arial" w:hAnsi="Arial" w:cs="Arial"/>
              </w:rPr>
            </w:pPr>
            <w:r w:rsidRPr="005C0B16">
              <w:rPr>
                <w:rFonts w:ascii="Arial" w:hAnsi="Arial" w:cs="Arial"/>
              </w:rPr>
              <w:t>Region fixed effects</w:t>
            </w:r>
          </w:p>
        </w:tc>
        <w:tc>
          <w:tcPr>
            <w:tcW w:w="331" w:type="dxa"/>
          </w:tcPr>
          <w:p w:rsidR="008C5A77" w:rsidRPr="005C0B16" w:rsidRDefault="008C5A77" w:rsidP="00F663E4">
            <w:pPr>
              <w:jc w:val="both"/>
              <w:rPr>
                <w:rFonts w:ascii="Arial" w:hAnsi="Arial" w:cs="Arial"/>
              </w:rPr>
            </w:pPr>
            <w:r w:rsidRPr="005C0B16">
              <w:rPr>
                <w:rFonts w:ascii="Arial" w:hAnsi="Arial" w:cs="Arial"/>
              </w:rPr>
              <w:t>Included</w:t>
            </w:r>
          </w:p>
        </w:tc>
        <w:tc>
          <w:tcPr>
            <w:tcW w:w="0" w:type="auto"/>
          </w:tcPr>
          <w:p w:rsidR="008C5A77" w:rsidRPr="005C0B16" w:rsidRDefault="008C5A77" w:rsidP="00F663E4">
            <w:pPr>
              <w:jc w:val="both"/>
              <w:rPr>
                <w:rFonts w:ascii="Arial" w:hAnsi="Arial" w:cs="Arial"/>
              </w:rPr>
            </w:pPr>
            <w:r w:rsidRPr="005C0B16">
              <w:rPr>
                <w:rFonts w:ascii="Arial" w:hAnsi="Arial" w:cs="Arial"/>
              </w:rPr>
              <w:t>—</w:t>
            </w:r>
          </w:p>
        </w:tc>
        <w:tc>
          <w:tcPr>
            <w:tcW w:w="0" w:type="auto"/>
          </w:tcPr>
          <w:p w:rsidR="008C5A77" w:rsidRPr="005C0B16" w:rsidRDefault="008C5A77" w:rsidP="00F663E4">
            <w:pPr>
              <w:jc w:val="both"/>
              <w:rPr>
                <w:rFonts w:ascii="Arial" w:hAnsi="Arial" w:cs="Arial"/>
              </w:rPr>
            </w:pPr>
            <w:r w:rsidRPr="005C0B16">
              <w:rPr>
                <w:rFonts w:ascii="Arial" w:hAnsi="Arial" w:cs="Arial"/>
              </w:rPr>
              <w:t>—</w:t>
            </w:r>
          </w:p>
        </w:tc>
        <w:tc>
          <w:tcPr>
            <w:tcW w:w="1055" w:type="dxa"/>
          </w:tcPr>
          <w:p w:rsidR="008C5A77" w:rsidRPr="005C0B16" w:rsidRDefault="008C5A77" w:rsidP="00F663E4">
            <w:pPr>
              <w:jc w:val="both"/>
              <w:rPr>
                <w:rFonts w:ascii="Arial" w:hAnsi="Arial" w:cs="Arial"/>
              </w:rPr>
            </w:pPr>
            <w:r w:rsidRPr="005C0B16">
              <w:rPr>
                <w:rFonts w:ascii="Arial" w:hAnsi="Arial" w:cs="Arial"/>
              </w:rPr>
              <w:t>—</w:t>
            </w:r>
          </w:p>
        </w:tc>
        <w:tc>
          <w:tcPr>
            <w:tcW w:w="2784" w:type="dxa"/>
          </w:tcPr>
          <w:p w:rsidR="008C5A77" w:rsidRPr="005C0B16" w:rsidRDefault="008C5A77" w:rsidP="00F663E4">
            <w:pPr>
              <w:jc w:val="both"/>
              <w:rPr>
                <w:rFonts w:ascii="Arial" w:hAnsi="Arial" w:cs="Arial"/>
              </w:rPr>
            </w:pPr>
            <w:r w:rsidRPr="005C0B16">
              <w:rPr>
                <w:rFonts w:ascii="Arial" w:hAnsi="Arial" w:cs="Arial"/>
              </w:rPr>
              <w:t>Controls for unobserved heterogeneity</w:t>
            </w:r>
          </w:p>
        </w:tc>
      </w:tr>
    </w:tbl>
    <w:p w:rsidR="008C5A77" w:rsidRPr="005C0B16" w:rsidRDefault="008C5A77" w:rsidP="008C5A77">
      <w:pPr>
        <w:jc w:val="both"/>
        <w:rPr>
          <w:rFonts w:ascii="Arial" w:hAnsi="Arial" w:cs="Arial"/>
          <w:b/>
          <w:bCs/>
          <w:sz w:val="20"/>
          <w:szCs w:val="20"/>
        </w:rPr>
      </w:pPr>
    </w:p>
    <w:p w:rsidR="008C5A77" w:rsidRPr="005C0B16" w:rsidRDefault="008C5A77" w:rsidP="008C5A77">
      <w:pPr>
        <w:jc w:val="both"/>
        <w:rPr>
          <w:rFonts w:ascii="Arial" w:hAnsi="Arial" w:cs="Arial"/>
          <w:sz w:val="20"/>
          <w:szCs w:val="20"/>
        </w:rPr>
      </w:pPr>
      <w:r w:rsidRPr="005C0B16">
        <w:rPr>
          <w:rFonts w:ascii="Arial" w:hAnsi="Arial" w:cs="Arial"/>
          <w:b/>
          <w:bCs/>
          <w:sz w:val="20"/>
          <w:szCs w:val="20"/>
        </w:rPr>
        <w:t>Model Fit:</w:t>
      </w:r>
    </w:p>
    <w:tbl>
      <w:tblPr>
        <w:tblStyle w:val="TableGrid"/>
        <w:tblW w:w="5000" w:type="pct"/>
        <w:tblLook w:val="04A0"/>
      </w:tblPr>
      <w:tblGrid>
        <w:gridCol w:w="5316"/>
        <w:gridCol w:w="3926"/>
      </w:tblGrid>
      <w:tr w:rsidR="008C5A77" w:rsidRPr="005C0B16" w:rsidTr="00F663E4">
        <w:tc>
          <w:tcPr>
            <w:tcW w:w="2876" w:type="pct"/>
          </w:tcPr>
          <w:p w:rsidR="008C5A77" w:rsidRPr="005C0B16" w:rsidRDefault="008C5A77" w:rsidP="00F663E4">
            <w:pPr>
              <w:jc w:val="center"/>
              <w:rPr>
                <w:rFonts w:ascii="Arial" w:hAnsi="Arial" w:cs="Arial"/>
                <w:b/>
                <w:bCs/>
              </w:rPr>
            </w:pPr>
            <w:r w:rsidRPr="005C0B16">
              <w:rPr>
                <w:rFonts w:ascii="Arial" w:hAnsi="Arial" w:cs="Arial"/>
                <w:b/>
                <w:bCs/>
              </w:rPr>
              <w:t>Statistic</w:t>
            </w:r>
          </w:p>
        </w:tc>
        <w:tc>
          <w:tcPr>
            <w:tcW w:w="2124" w:type="pct"/>
          </w:tcPr>
          <w:p w:rsidR="008C5A77" w:rsidRPr="005C0B16" w:rsidRDefault="008C5A77" w:rsidP="00F663E4">
            <w:pPr>
              <w:jc w:val="center"/>
              <w:rPr>
                <w:rFonts w:ascii="Arial" w:hAnsi="Arial" w:cs="Arial"/>
                <w:b/>
                <w:bCs/>
              </w:rPr>
            </w:pPr>
            <w:r w:rsidRPr="005C0B16">
              <w:rPr>
                <w:rFonts w:ascii="Arial" w:hAnsi="Arial" w:cs="Arial"/>
                <w:b/>
                <w:bCs/>
              </w:rPr>
              <w:t>Value</w:t>
            </w:r>
          </w:p>
        </w:tc>
      </w:tr>
      <w:tr w:rsidR="008C5A77" w:rsidRPr="005C0B16" w:rsidTr="00F663E4">
        <w:tc>
          <w:tcPr>
            <w:tcW w:w="2876" w:type="pct"/>
          </w:tcPr>
          <w:p w:rsidR="008C5A77" w:rsidRPr="005C0B16" w:rsidRDefault="008C5A77" w:rsidP="00F663E4">
            <w:pPr>
              <w:jc w:val="both"/>
              <w:rPr>
                <w:rFonts w:ascii="Arial" w:hAnsi="Arial" w:cs="Arial"/>
              </w:rPr>
            </w:pPr>
            <w:r w:rsidRPr="005C0B16">
              <w:rPr>
                <w:rFonts w:ascii="Arial" w:hAnsi="Arial" w:cs="Arial"/>
              </w:rPr>
              <w:t>R-squared (within)</w:t>
            </w:r>
          </w:p>
        </w:tc>
        <w:tc>
          <w:tcPr>
            <w:tcW w:w="2124" w:type="pct"/>
          </w:tcPr>
          <w:p w:rsidR="008C5A77" w:rsidRPr="005C0B16" w:rsidRDefault="008C5A77" w:rsidP="00F663E4">
            <w:pPr>
              <w:jc w:val="both"/>
              <w:rPr>
                <w:rFonts w:ascii="Arial" w:hAnsi="Arial" w:cs="Arial"/>
              </w:rPr>
            </w:pPr>
            <w:r w:rsidRPr="005C0B16">
              <w:rPr>
                <w:rFonts w:ascii="Arial" w:hAnsi="Arial" w:cs="Arial"/>
              </w:rPr>
              <w:t>0.612</w:t>
            </w:r>
          </w:p>
        </w:tc>
      </w:tr>
      <w:tr w:rsidR="008C5A77" w:rsidRPr="005C0B16" w:rsidTr="00F663E4">
        <w:tc>
          <w:tcPr>
            <w:tcW w:w="2876" w:type="pct"/>
          </w:tcPr>
          <w:p w:rsidR="008C5A77" w:rsidRPr="005C0B16" w:rsidRDefault="008C5A77" w:rsidP="00F663E4">
            <w:pPr>
              <w:jc w:val="both"/>
              <w:rPr>
                <w:rFonts w:ascii="Arial" w:hAnsi="Arial" w:cs="Arial"/>
              </w:rPr>
            </w:pPr>
            <w:r w:rsidRPr="005C0B16">
              <w:rPr>
                <w:rFonts w:ascii="Arial" w:hAnsi="Arial" w:cs="Arial"/>
              </w:rPr>
              <w:t>R-squared (between)</w:t>
            </w:r>
          </w:p>
        </w:tc>
        <w:tc>
          <w:tcPr>
            <w:tcW w:w="2124" w:type="pct"/>
          </w:tcPr>
          <w:p w:rsidR="008C5A77" w:rsidRPr="005C0B16" w:rsidRDefault="008C5A77" w:rsidP="00F663E4">
            <w:pPr>
              <w:jc w:val="both"/>
              <w:rPr>
                <w:rFonts w:ascii="Arial" w:hAnsi="Arial" w:cs="Arial"/>
              </w:rPr>
            </w:pPr>
            <w:r w:rsidRPr="005C0B16">
              <w:rPr>
                <w:rFonts w:ascii="Arial" w:hAnsi="Arial" w:cs="Arial"/>
              </w:rPr>
              <w:t>0.734</w:t>
            </w:r>
          </w:p>
        </w:tc>
      </w:tr>
      <w:tr w:rsidR="008C5A77" w:rsidRPr="005C0B16" w:rsidTr="00F663E4">
        <w:tc>
          <w:tcPr>
            <w:tcW w:w="2876" w:type="pct"/>
          </w:tcPr>
          <w:p w:rsidR="008C5A77" w:rsidRPr="005C0B16" w:rsidRDefault="008C5A77" w:rsidP="00F663E4">
            <w:pPr>
              <w:jc w:val="both"/>
              <w:rPr>
                <w:rFonts w:ascii="Arial" w:hAnsi="Arial" w:cs="Arial"/>
              </w:rPr>
            </w:pPr>
            <w:r w:rsidRPr="005C0B16">
              <w:rPr>
                <w:rFonts w:ascii="Arial" w:hAnsi="Arial" w:cs="Arial"/>
              </w:rPr>
              <w:t>R-squared (overall)</w:t>
            </w:r>
          </w:p>
        </w:tc>
        <w:tc>
          <w:tcPr>
            <w:tcW w:w="2124" w:type="pct"/>
          </w:tcPr>
          <w:p w:rsidR="008C5A77" w:rsidRPr="005C0B16" w:rsidRDefault="008C5A77" w:rsidP="00F663E4">
            <w:pPr>
              <w:jc w:val="both"/>
              <w:rPr>
                <w:rFonts w:ascii="Arial" w:hAnsi="Arial" w:cs="Arial"/>
              </w:rPr>
            </w:pPr>
            <w:r w:rsidRPr="005C0B16">
              <w:rPr>
                <w:rFonts w:ascii="Arial" w:hAnsi="Arial" w:cs="Arial"/>
              </w:rPr>
              <w:t>0.687</w:t>
            </w:r>
          </w:p>
        </w:tc>
      </w:tr>
      <w:tr w:rsidR="008C5A77" w:rsidRPr="005C0B16" w:rsidTr="00F663E4">
        <w:tc>
          <w:tcPr>
            <w:tcW w:w="2876" w:type="pct"/>
          </w:tcPr>
          <w:p w:rsidR="008C5A77" w:rsidRPr="005C0B16" w:rsidRDefault="008C5A77" w:rsidP="00F663E4">
            <w:pPr>
              <w:jc w:val="both"/>
              <w:rPr>
                <w:rFonts w:ascii="Arial" w:hAnsi="Arial" w:cs="Arial"/>
              </w:rPr>
            </w:pPr>
            <w:r w:rsidRPr="005C0B16">
              <w:rPr>
                <w:rFonts w:ascii="Arial" w:hAnsi="Arial" w:cs="Arial"/>
              </w:rPr>
              <w:t>Number of regions</w:t>
            </w:r>
          </w:p>
        </w:tc>
        <w:tc>
          <w:tcPr>
            <w:tcW w:w="2124" w:type="pct"/>
          </w:tcPr>
          <w:p w:rsidR="008C5A77" w:rsidRPr="005C0B16" w:rsidRDefault="008C5A77" w:rsidP="00F663E4">
            <w:pPr>
              <w:jc w:val="both"/>
              <w:rPr>
                <w:rFonts w:ascii="Arial" w:hAnsi="Arial" w:cs="Arial"/>
              </w:rPr>
            </w:pPr>
            <w:r w:rsidRPr="005C0B16">
              <w:rPr>
                <w:rFonts w:ascii="Arial" w:hAnsi="Arial" w:cs="Arial"/>
              </w:rPr>
              <w:t>9</w:t>
            </w:r>
          </w:p>
        </w:tc>
      </w:tr>
      <w:tr w:rsidR="008C5A77" w:rsidRPr="005C0B16" w:rsidTr="00F663E4">
        <w:tc>
          <w:tcPr>
            <w:tcW w:w="2876" w:type="pct"/>
          </w:tcPr>
          <w:p w:rsidR="008C5A77" w:rsidRPr="005C0B16" w:rsidRDefault="008C5A77" w:rsidP="00F663E4">
            <w:pPr>
              <w:jc w:val="both"/>
              <w:rPr>
                <w:rFonts w:ascii="Arial" w:hAnsi="Arial" w:cs="Arial"/>
              </w:rPr>
            </w:pPr>
            <w:r w:rsidRPr="005C0B16">
              <w:rPr>
                <w:rFonts w:ascii="Arial" w:hAnsi="Arial" w:cs="Arial"/>
              </w:rPr>
              <w:t>Number of years</w:t>
            </w:r>
          </w:p>
        </w:tc>
        <w:tc>
          <w:tcPr>
            <w:tcW w:w="2124" w:type="pct"/>
          </w:tcPr>
          <w:p w:rsidR="008C5A77" w:rsidRPr="005C0B16" w:rsidRDefault="008C5A77" w:rsidP="00F663E4">
            <w:pPr>
              <w:jc w:val="both"/>
              <w:rPr>
                <w:rFonts w:ascii="Arial" w:hAnsi="Arial" w:cs="Arial"/>
              </w:rPr>
            </w:pPr>
            <w:r w:rsidRPr="005C0B16">
              <w:rPr>
                <w:rFonts w:ascii="Arial" w:hAnsi="Arial" w:cs="Arial"/>
              </w:rPr>
              <w:t>4 (2020–2023)</w:t>
            </w:r>
          </w:p>
        </w:tc>
      </w:tr>
      <w:tr w:rsidR="008C5A77" w:rsidRPr="005C0B16" w:rsidTr="00F663E4">
        <w:tc>
          <w:tcPr>
            <w:tcW w:w="2876" w:type="pct"/>
          </w:tcPr>
          <w:p w:rsidR="008C5A77" w:rsidRPr="005C0B16" w:rsidRDefault="008C5A77" w:rsidP="00F663E4">
            <w:pPr>
              <w:jc w:val="both"/>
              <w:rPr>
                <w:rFonts w:ascii="Arial" w:hAnsi="Arial" w:cs="Arial"/>
              </w:rPr>
            </w:pPr>
            <w:r w:rsidRPr="005C0B16">
              <w:rPr>
                <w:rFonts w:ascii="Arial" w:hAnsi="Arial" w:cs="Arial"/>
              </w:rPr>
              <w:t>Observations</w:t>
            </w:r>
          </w:p>
        </w:tc>
        <w:tc>
          <w:tcPr>
            <w:tcW w:w="2124" w:type="pct"/>
          </w:tcPr>
          <w:p w:rsidR="008C5A77" w:rsidRPr="005C0B16" w:rsidRDefault="008C5A77" w:rsidP="00F663E4">
            <w:pPr>
              <w:jc w:val="both"/>
              <w:rPr>
                <w:rFonts w:ascii="Arial" w:hAnsi="Arial" w:cs="Arial"/>
              </w:rPr>
            </w:pPr>
            <w:r w:rsidRPr="005C0B16">
              <w:rPr>
                <w:rFonts w:ascii="Arial" w:hAnsi="Arial" w:cs="Arial"/>
              </w:rPr>
              <w:t>36</w:t>
            </w:r>
          </w:p>
        </w:tc>
      </w:tr>
    </w:tbl>
    <w:p w:rsidR="008C5A77" w:rsidRPr="00943A01" w:rsidRDefault="00F10B9C">
      <w:pPr>
        <w:rPr>
          <w:rFonts w:ascii="Arial" w:hAnsi="Arial" w:cs="Arial"/>
          <w:b/>
          <w:bCs/>
          <w:color w:val="FF0000"/>
          <w:sz w:val="20"/>
          <w:szCs w:val="20"/>
        </w:rPr>
      </w:pPr>
      <w:r w:rsidRPr="00F10B9C">
        <w:rPr>
          <w:rFonts w:ascii="Arial" w:hAnsi="Arial" w:cs="Arial"/>
          <w:b/>
          <w:bCs/>
          <w:sz w:val="20"/>
          <w:szCs w:val="20"/>
        </w:rPr>
        <w:t>Notes:</w:t>
      </w:r>
      <w:r w:rsidRPr="00F10B9C">
        <w:rPr>
          <w:rFonts w:ascii="Arial" w:hAnsi="Arial" w:cs="Arial"/>
          <w:b/>
          <w:bCs/>
          <w:sz w:val="20"/>
          <w:szCs w:val="20"/>
        </w:rPr>
        <w:br/>
      </w:r>
      <w:r w:rsidRPr="00943A01">
        <w:rPr>
          <w:rFonts w:ascii="Arial" w:hAnsi="Arial" w:cs="Arial"/>
          <w:i/>
          <w:iCs/>
          <w:color w:val="FF0000"/>
          <w:sz w:val="20"/>
          <w:szCs w:val="20"/>
        </w:rPr>
        <w:t>a Dependent variable: ln (Recovery Indexᵣ</w:t>
      </w:r>
      <w:r w:rsidRPr="00943A01">
        <w:rPr>
          <w:rFonts w:ascii="Cambria Math" w:hAnsi="Cambria Math" w:cs="Cambria Math"/>
          <w:i/>
          <w:iCs/>
          <w:color w:val="FF0000"/>
          <w:sz w:val="20"/>
          <w:szCs w:val="20"/>
        </w:rPr>
        <w:t>ₜ</w:t>
      </w:r>
      <w:r w:rsidRPr="00943A01">
        <w:rPr>
          <w:rFonts w:ascii="Arial" w:hAnsi="Arial" w:cs="Arial"/>
          <w:i/>
          <w:iCs/>
          <w:color w:val="FF0000"/>
          <w:sz w:val="20"/>
          <w:szCs w:val="20"/>
        </w:rPr>
        <w:t>)</w:t>
      </w:r>
      <w:r w:rsidRPr="00943A01">
        <w:rPr>
          <w:rFonts w:ascii="Arial" w:hAnsi="Arial" w:cs="Arial"/>
          <w:i/>
          <w:iCs/>
          <w:color w:val="FF0000"/>
          <w:sz w:val="20"/>
          <w:szCs w:val="20"/>
        </w:rPr>
        <w:br/>
        <w:t>b P &lt; .001 indicates statistical significance</w:t>
      </w:r>
      <w:r w:rsidRPr="00943A01">
        <w:rPr>
          <w:rFonts w:ascii="Arial" w:hAnsi="Arial" w:cs="Arial"/>
          <w:i/>
          <w:iCs/>
          <w:color w:val="FF0000"/>
          <w:sz w:val="20"/>
          <w:szCs w:val="20"/>
        </w:rPr>
        <w:br/>
        <w:t>c Region fixed effects control for unobserved heterogeneity</w:t>
      </w:r>
    </w:p>
    <w:p w:rsidR="00F10B9C" w:rsidRPr="00A01640" w:rsidRDefault="00B16897" w:rsidP="00A01640">
      <w:pPr>
        <w:spacing w:line="276" w:lineRule="auto"/>
        <w:jc w:val="both"/>
        <w:rPr>
          <w:rFonts w:ascii="Arial" w:hAnsi="Arial" w:cs="Arial"/>
          <w:sz w:val="20"/>
          <w:szCs w:val="20"/>
        </w:rPr>
      </w:pPr>
      <w:r w:rsidRPr="00B16897">
        <w:rPr>
          <w:rFonts w:ascii="Arial" w:hAnsi="Arial" w:cs="Arial"/>
          <w:sz w:val="20"/>
          <w:szCs w:val="20"/>
        </w:rPr>
        <w:t xml:space="preserve">The results of the </w:t>
      </w:r>
      <w:r w:rsidRPr="00685384">
        <w:rPr>
          <w:rFonts w:ascii="Arial" w:hAnsi="Arial" w:cs="Arial"/>
          <w:sz w:val="20"/>
          <w:szCs w:val="20"/>
        </w:rPr>
        <w:t>SARIMA</w:t>
      </w:r>
      <w:r w:rsidRPr="00B16897">
        <w:rPr>
          <w:rFonts w:ascii="Arial" w:hAnsi="Arial" w:cs="Arial"/>
          <w:sz w:val="20"/>
          <w:szCs w:val="20"/>
        </w:rPr>
        <w:t xml:space="preserve"> model are presented in Table 5. The model is used to analyse monthly foreign tourist arrivals in India, both in the past trends and seasonal patterns. Unit root testing shows that the original series is non-stable and requires both differential and seasonal differences prior to estimate. After comparing different model specifications, the </w:t>
      </w:r>
      <w:r w:rsidRPr="00685384">
        <w:rPr>
          <w:rFonts w:ascii="Arial" w:hAnsi="Arial" w:cs="Arial"/>
          <w:sz w:val="20"/>
          <w:szCs w:val="20"/>
        </w:rPr>
        <w:t>SARIMA</w:t>
      </w:r>
      <w:r w:rsidRPr="00B16897">
        <w:rPr>
          <w:rFonts w:ascii="Arial" w:hAnsi="Arial" w:cs="Arial"/>
          <w:sz w:val="20"/>
          <w:szCs w:val="20"/>
        </w:rPr>
        <w:t xml:space="preserve"> (1111) 12 model has been chosen as the best model based on minimum A</w:t>
      </w:r>
      <w:r>
        <w:rPr>
          <w:rFonts w:ascii="Arial" w:hAnsi="Arial" w:cs="Arial"/>
          <w:sz w:val="20"/>
          <w:szCs w:val="20"/>
        </w:rPr>
        <w:t>I</w:t>
      </w:r>
      <w:r w:rsidRPr="00B16897">
        <w:rPr>
          <w:rFonts w:ascii="Arial" w:hAnsi="Arial" w:cs="Arial"/>
          <w:sz w:val="20"/>
          <w:szCs w:val="20"/>
        </w:rPr>
        <w:t xml:space="preserve">C (285.6) and RMSE (42,150). The estimated coefficients are statistically significant </w:t>
      </w:r>
      <w:r w:rsidRPr="00943A01">
        <w:rPr>
          <w:rFonts w:ascii="Arial" w:hAnsi="Arial" w:cs="Arial"/>
          <w:color w:val="FF0000"/>
          <w:sz w:val="20"/>
          <w:szCs w:val="20"/>
        </w:rPr>
        <w:t>(P&lt;</w:t>
      </w:r>
      <w:r w:rsidR="0069150F" w:rsidRPr="00943A01">
        <w:rPr>
          <w:rFonts w:ascii="Arial" w:hAnsi="Arial" w:cs="Arial"/>
          <w:color w:val="FF0000"/>
          <w:sz w:val="20"/>
          <w:szCs w:val="20"/>
        </w:rPr>
        <w:t xml:space="preserve"> .</w:t>
      </w:r>
      <w:r w:rsidRPr="00943A01">
        <w:rPr>
          <w:rFonts w:ascii="Arial" w:hAnsi="Arial" w:cs="Arial"/>
          <w:color w:val="FF0000"/>
          <w:sz w:val="20"/>
          <w:szCs w:val="20"/>
        </w:rPr>
        <w:t>001),</w:t>
      </w:r>
      <w:r w:rsidRPr="00B16897">
        <w:rPr>
          <w:rFonts w:ascii="Arial" w:hAnsi="Arial" w:cs="Arial"/>
          <w:sz w:val="20"/>
          <w:szCs w:val="20"/>
        </w:rPr>
        <w:t xml:space="preserve"> indicating that the previous values and seasonal components play an important role in explaining tourist arrivals. Clinical trials confirm that the model is reliable, since there is no evidence of automatic correlation in the </w:t>
      </w:r>
      <w:r w:rsidR="0069150F" w:rsidRPr="00685384">
        <w:rPr>
          <w:rFonts w:ascii="Arial" w:hAnsi="Arial" w:cs="Arial"/>
          <w:sz w:val="20"/>
          <w:szCs w:val="20"/>
        </w:rPr>
        <w:t>residuals</w:t>
      </w:r>
      <w:r w:rsidR="0069150F">
        <w:rPr>
          <w:rFonts w:ascii="Arial" w:hAnsi="Arial" w:cs="Arial"/>
          <w:sz w:val="20"/>
          <w:szCs w:val="20"/>
        </w:rPr>
        <w:t>(</w:t>
      </w:r>
      <w:r w:rsidRPr="00B16897">
        <w:rPr>
          <w:rFonts w:ascii="Arial" w:hAnsi="Arial" w:cs="Arial"/>
          <w:sz w:val="20"/>
          <w:szCs w:val="20"/>
        </w:rPr>
        <w:t xml:space="preserve">P = .67), the </w:t>
      </w:r>
      <w:r w:rsidR="0069150F" w:rsidRPr="00685384">
        <w:rPr>
          <w:rFonts w:ascii="Arial" w:hAnsi="Arial" w:cs="Arial"/>
          <w:sz w:val="20"/>
          <w:szCs w:val="20"/>
        </w:rPr>
        <w:t>residuals</w:t>
      </w:r>
      <w:r w:rsidRPr="00B16897">
        <w:rPr>
          <w:rFonts w:ascii="Arial" w:hAnsi="Arial" w:cs="Arial"/>
          <w:sz w:val="20"/>
          <w:szCs w:val="20"/>
        </w:rPr>
        <w:t xml:space="preserve"> are normally distributed </w:t>
      </w:r>
      <w:r w:rsidRPr="00943A01">
        <w:rPr>
          <w:rFonts w:ascii="Arial" w:hAnsi="Arial" w:cs="Arial"/>
          <w:color w:val="FF0000"/>
          <w:sz w:val="20"/>
          <w:szCs w:val="20"/>
        </w:rPr>
        <w:t>(P = .31)</w:t>
      </w:r>
      <w:r w:rsidRPr="00B16897">
        <w:rPr>
          <w:rFonts w:ascii="Arial" w:hAnsi="Arial" w:cs="Arial"/>
          <w:sz w:val="20"/>
          <w:szCs w:val="20"/>
        </w:rPr>
        <w:t>, and heterosexuality (P = .27).</w:t>
      </w:r>
    </w:p>
    <w:p w:rsidR="008C5A77" w:rsidRPr="005C0B16" w:rsidRDefault="008C5A77" w:rsidP="008C5A77">
      <w:pPr>
        <w:rPr>
          <w:rFonts w:ascii="Arial" w:hAnsi="Arial" w:cs="Arial"/>
          <w:b/>
          <w:bCs/>
        </w:rPr>
      </w:pPr>
      <w:r w:rsidRPr="005C0B16">
        <w:rPr>
          <w:rFonts w:ascii="Arial" w:hAnsi="Arial" w:cs="Arial"/>
          <w:b/>
          <w:bCs/>
        </w:rPr>
        <w:lastRenderedPageBreak/>
        <w:t>Table 5</w:t>
      </w:r>
      <w:r>
        <w:rPr>
          <w:rFonts w:ascii="Arial" w:hAnsi="Arial" w:cs="Arial"/>
          <w:b/>
          <w:bCs/>
        </w:rPr>
        <w:t>.</w:t>
      </w:r>
      <w:r w:rsidRPr="005C0B16">
        <w:rPr>
          <w:rFonts w:ascii="Arial" w:hAnsi="Arial" w:cs="Arial"/>
          <w:b/>
          <w:bCs/>
        </w:rPr>
        <w:t xml:space="preserve"> ARIMA Model Selection and Forecast (Monthly FTAs, 2021–2023)</w:t>
      </w:r>
    </w:p>
    <w:p w:rsidR="008C5A77" w:rsidRPr="005C0B16" w:rsidRDefault="008C5A77" w:rsidP="008C5A77">
      <w:pPr>
        <w:rPr>
          <w:rFonts w:ascii="Arial" w:hAnsi="Arial" w:cs="Arial"/>
          <w:b/>
          <w:bCs/>
          <w:sz w:val="20"/>
          <w:szCs w:val="20"/>
        </w:rPr>
      </w:pPr>
      <w:r w:rsidRPr="005C0B16">
        <w:rPr>
          <w:rFonts w:ascii="Arial" w:hAnsi="Arial" w:cs="Arial"/>
          <w:b/>
          <w:bCs/>
          <w:sz w:val="20"/>
          <w:szCs w:val="20"/>
        </w:rPr>
        <w:t>Step 1: Unit Root Test (Augmented Dickey-Fuller)</w:t>
      </w:r>
    </w:p>
    <w:tbl>
      <w:tblPr>
        <w:tblStyle w:val="TableGrid"/>
        <w:tblW w:w="5000" w:type="pct"/>
        <w:tblLook w:val="04A0"/>
      </w:tblPr>
      <w:tblGrid>
        <w:gridCol w:w="3212"/>
        <w:gridCol w:w="1301"/>
        <w:gridCol w:w="1737"/>
        <w:gridCol w:w="1157"/>
        <w:gridCol w:w="1835"/>
      </w:tblGrid>
      <w:tr w:rsidR="008C5A77" w:rsidRPr="008C5A77" w:rsidTr="007A5F4F">
        <w:tc>
          <w:tcPr>
            <w:tcW w:w="1737" w:type="pct"/>
          </w:tcPr>
          <w:p w:rsidR="008C5A77" w:rsidRPr="008C5A77" w:rsidRDefault="008C5A77" w:rsidP="00F663E4">
            <w:pPr>
              <w:jc w:val="both"/>
              <w:rPr>
                <w:rFonts w:ascii="Arial" w:hAnsi="Arial" w:cs="Arial"/>
                <w:b/>
                <w:bCs/>
              </w:rPr>
            </w:pPr>
            <w:r w:rsidRPr="008C5A77">
              <w:rPr>
                <w:rFonts w:ascii="Arial" w:hAnsi="Arial" w:cs="Arial"/>
                <w:b/>
                <w:bCs/>
              </w:rPr>
              <w:t>Series</w:t>
            </w:r>
          </w:p>
        </w:tc>
        <w:tc>
          <w:tcPr>
            <w:tcW w:w="704" w:type="pct"/>
          </w:tcPr>
          <w:p w:rsidR="008C5A77" w:rsidRPr="008C5A77" w:rsidRDefault="008C5A77" w:rsidP="00F663E4">
            <w:pPr>
              <w:jc w:val="both"/>
              <w:rPr>
                <w:rFonts w:ascii="Arial" w:hAnsi="Arial" w:cs="Arial"/>
                <w:b/>
                <w:bCs/>
              </w:rPr>
            </w:pPr>
            <w:r w:rsidRPr="008C5A77">
              <w:rPr>
                <w:rFonts w:ascii="Arial" w:hAnsi="Arial" w:cs="Arial"/>
                <w:b/>
                <w:bCs/>
              </w:rPr>
              <w:t>Test Statistic</w:t>
            </w:r>
          </w:p>
        </w:tc>
        <w:tc>
          <w:tcPr>
            <w:tcW w:w="940" w:type="pct"/>
          </w:tcPr>
          <w:p w:rsidR="008C5A77" w:rsidRPr="008C5A77" w:rsidRDefault="008C5A77" w:rsidP="00F663E4">
            <w:pPr>
              <w:jc w:val="both"/>
              <w:rPr>
                <w:rFonts w:ascii="Arial" w:hAnsi="Arial" w:cs="Arial"/>
                <w:b/>
                <w:bCs/>
              </w:rPr>
            </w:pPr>
            <w:r w:rsidRPr="008C5A77">
              <w:rPr>
                <w:rFonts w:ascii="Arial" w:hAnsi="Arial" w:cs="Arial"/>
                <w:b/>
                <w:bCs/>
              </w:rPr>
              <w:t>Critical Value (5%)</w:t>
            </w:r>
          </w:p>
        </w:tc>
        <w:tc>
          <w:tcPr>
            <w:tcW w:w="626" w:type="pct"/>
          </w:tcPr>
          <w:p w:rsidR="008C5A77" w:rsidRPr="008C5A77" w:rsidRDefault="00F10B9C" w:rsidP="00F663E4">
            <w:pPr>
              <w:jc w:val="both"/>
              <w:rPr>
                <w:rFonts w:ascii="Arial" w:hAnsi="Arial" w:cs="Arial"/>
                <w:b/>
                <w:bCs/>
              </w:rPr>
            </w:pPr>
            <w:r>
              <w:rPr>
                <w:rFonts w:ascii="Arial" w:hAnsi="Arial" w:cs="Arial"/>
                <w:b/>
                <w:bCs/>
                <w:i/>
                <w:iCs/>
              </w:rPr>
              <w:t>‘</w:t>
            </w:r>
            <w:r w:rsidR="008C5A77" w:rsidRPr="008C5A77">
              <w:rPr>
                <w:rFonts w:ascii="Arial" w:hAnsi="Arial" w:cs="Arial"/>
                <w:b/>
                <w:bCs/>
                <w:i/>
                <w:iCs/>
              </w:rPr>
              <w:t>P</w:t>
            </w:r>
            <w:r>
              <w:rPr>
                <w:rFonts w:ascii="Arial" w:hAnsi="Arial" w:cs="Arial"/>
                <w:b/>
                <w:bCs/>
                <w:i/>
                <w:iCs/>
              </w:rPr>
              <w:t>’ V</w:t>
            </w:r>
            <w:r w:rsidR="008C5A77" w:rsidRPr="008C5A77">
              <w:rPr>
                <w:rFonts w:ascii="Arial" w:hAnsi="Arial" w:cs="Arial"/>
                <w:b/>
                <w:bCs/>
              </w:rPr>
              <w:t>alue</w:t>
            </w:r>
          </w:p>
        </w:tc>
        <w:tc>
          <w:tcPr>
            <w:tcW w:w="993" w:type="pct"/>
          </w:tcPr>
          <w:p w:rsidR="008C5A77" w:rsidRPr="008C5A77" w:rsidRDefault="008C5A77" w:rsidP="00F663E4">
            <w:pPr>
              <w:jc w:val="both"/>
              <w:rPr>
                <w:rFonts w:ascii="Arial" w:hAnsi="Arial" w:cs="Arial"/>
                <w:b/>
                <w:bCs/>
              </w:rPr>
            </w:pPr>
            <w:r w:rsidRPr="008C5A77">
              <w:rPr>
                <w:rFonts w:ascii="Arial" w:hAnsi="Arial" w:cs="Arial"/>
                <w:b/>
                <w:bCs/>
              </w:rPr>
              <w:t>Stationary</w:t>
            </w:r>
          </w:p>
        </w:tc>
      </w:tr>
      <w:tr w:rsidR="008C5A77" w:rsidRPr="008C5A77" w:rsidTr="007A5F4F">
        <w:tc>
          <w:tcPr>
            <w:tcW w:w="1737" w:type="pct"/>
          </w:tcPr>
          <w:p w:rsidR="008C5A77" w:rsidRPr="008C5A77" w:rsidRDefault="008C5A77" w:rsidP="00F663E4">
            <w:pPr>
              <w:jc w:val="both"/>
              <w:rPr>
                <w:rFonts w:ascii="Arial" w:hAnsi="Arial" w:cs="Arial"/>
              </w:rPr>
            </w:pPr>
            <w:r w:rsidRPr="008C5A77">
              <w:rPr>
                <w:rFonts w:ascii="Arial" w:hAnsi="Arial" w:cs="Arial"/>
              </w:rPr>
              <w:t>FTA_t (levels)</w:t>
            </w:r>
          </w:p>
        </w:tc>
        <w:tc>
          <w:tcPr>
            <w:tcW w:w="704" w:type="pct"/>
          </w:tcPr>
          <w:p w:rsidR="008C5A77" w:rsidRPr="008C5A77" w:rsidRDefault="008C5A77" w:rsidP="00F663E4">
            <w:pPr>
              <w:jc w:val="both"/>
              <w:rPr>
                <w:rFonts w:ascii="Arial" w:hAnsi="Arial" w:cs="Arial"/>
              </w:rPr>
            </w:pPr>
            <w:r w:rsidRPr="008C5A77">
              <w:rPr>
                <w:rFonts w:ascii="Arial" w:hAnsi="Arial" w:cs="Arial"/>
              </w:rPr>
              <w:t>-1.82</w:t>
            </w:r>
          </w:p>
        </w:tc>
        <w:tc>
          <w:tcPr>
            <w:tcW w:w="940" w:type="pct"/>
          </w:tcPr>
          <w:p w:rsidR="008C5A77" w:rsidRPr="008C5A77" w:rsidRDefault="008C5A77" w:rsidP="00F663E4">
            <w:pPr>
              <w:jc w:val="both"/>
              <w:rPr>
                <w:rFonts w:ascii="Arial" w:hAnsi="Arial" w:cs="Arial"/>
              </w:rPr>
            </w:pPr>
            <w:r w:rsidRPr="008C5A77">
              <w:rPr>
                <w:rFonts w:ascii="Arial" w:hAnsi="Arial" w:cs="Arial"/>
              </w:rPr>
              <w:t>-2.95</w:t>
            </w:r>
          </w:p>
        </w:tc>
        <w:tc>
          <w:tcPr>
            <w:tcW w:w="626" w:type="pct"/>
          </w:tcPr>
          <w:p w:rsidR="008C5A77" w:rsidRPr="00943A01" w:rsidRDefault="007A5F4F" w:rsidP="00F663E4">
            <w:pPr>
              <w:jc w:val="both"/>
              <w:rPr>
                <w:rFonts w:ascii="Arial" w:hAnsi="Arial" w:cs="Arial"/>
                <w:color w:val="FF0000"/>
              </w:rPr>
            </w:pPr>
            <w:r w:rsidRPr="00943A01">
              <w:rPr>
                <w:rFonts w:ascii="Arial" w:hAnsi="Arial" w:cs="Arial"/>
                <w:i/>
                <w:iCs/>
                <w:color w:val="FF0000"/>
              </w:rPr>
              <w:t xml:space="preserve">P = </w:t>
            </w:r>
            <w:r w:rsidR="008C5A77" w:rsidRPr="00943A01">
              <w:rPr>
                <w:rFonts w:ascii="Arial" w:hAnsi="Arial" w:cs="Arial"/>
                <w:color w:val="FF0000"/>
              </w:rPr>
              <w:t>.37</w:t>
            </w:r>
          </w:p>
        </w:tc>
        <w:tc>
          <w:tcPr>
            <w:tcW w:w="993" w:type="pct"/>
          </w:tcPr>
          <w:p w:rsidR="008C5A77" w:rsidRPr="008C5A77" w:rsidRDefault="008C5A77" w:rsidP="00F663E4">
            <w:pPr>
              <w:jc w:val="both"/>
              <w:rPr>
                <w:rFonts w:ascii="Arial" w:hAnsi="Arial" w:cs="Arial"/>
              </w:rPr>
            </w:pPr>
            <w:r w:rsidRPr="008C5A77">
              <w:rPr>
                <w:rFonts w:ascii="Arial" w:hAnsi="Arial" w:cs="Arial"/>
              </w:rPr>
              <w:t>No (non-stationary)</w:t>
            </w:r>
          </w:p>
        </w:tc>
      </w:tr>
      <w:tr w:rsidR="008C5A77" w:rsidRPr="008C5A77" w:rsidTr="007A5F4F">
        <w:tc>
          <w:tcPr>
            <w:tcW w:w="1737" w:type="pct"/>
          </w:tcPr>
          <w:p w:rsidR="008C5A77" w:rsidRPr="008C5A77" w:rsidRDefault="008C5A77" w:rsidP="00F663E4">
            <w:pPr>
              <w:jc w:val="both"/>
              <w:rPr>
                <w:rFonts w:ascii="Arial" w:hAnsi="Arial" w:cs="Arial"/>
              </w:rPr>
            </w:pPr>
            <w:r w:rsidRPr="008C5A77">
              <w:rPr>
                <w:rFonts w:ascii="Arial" w:hAnsi="Arial" w:cs="Arial"/>
              </w:rPr>
              <w:t>ΔFTA_t (1st difference)</w:t>
            </w:r>
          </w:p>
        </w:tc>
        <w:tc>
          <w:tcPr>
            <w:tcW w:w="704" w:type="pct"/>
          </w:tcPr>
          <w:p w:rsidR="008C5A77" w:rsidRPr="008C5A77" w:rsidRDefault="008C5A77" w:rsidP="00F663E4">
            <w:pPr>
              <w:jc w:val="both"/>
              <w:rPr>
                <w:rFonts w:ascii="Arial" w:hAnsi="Arial" w:cs="Arial"/>
              </w:rPr>
            </w:pPr>
            <w:r w:rsidRPr="008C5A77">
              <w:rPr>
                <w:rFonts w:ascii="Arial" w:hAnsi="Arial" w:cs="Arial"/>
              </w:rPr>
              <w:t>-4.56</w:t>
            </w:r>
          </w:p>
        </w:tc>
        <w:tc>
          <w:tcPr>
            <w:tcW w:w="940" w:type="pct"/>
          </w:tcPr>
          <w:p w:rsidR="008C5A77" w:rsidRPr="008C5A77" w:rsidRDefault="008C5A77" w:rsidP="00F663E4">
            <w:pPr>
              <w:jc w:val="both"/>
              <w:rPr>
                <w:rFonts w:ascii="Arial" w:hAnsi="Arial" w:cs="Arial"/>
              </w:rPr>
            </w:pPr>
            <w:r w:rsidRPr="008C5A77">
              <w:rPr>
                <w:rFonts w:ascii="Arial" w:hAnsi="Arial" w:cs="Arial"/>
              </w:rPr>
              <w:t>-2.95</w:t>
            </w:r>
          </w:p>
        </w:tc>
        <w:tc>
          <w:tcPr>
            <w:tcW w:w="626" w:type="pct"/>
          </w:tcPr>
          <w:p w:rsidR="008C5A77" w:rsidRPr="00943A01" w:rsidRDefault="007A5F4F" w:rsidP="00F663E4">
            <w:pPr>
              <w:jc w:val="both"/>
              <w:rPr>
                <w:rFonts w:ascii="Arial" w:hAnsi="Arial" w:cs="Arial"/>
                <w:color w:val="FF0000"/>
              </w:rPr>
            </w:pPr>
            <w:r w:rsidRPr="00943A01">
              <w:rPr>
                <w:rFonts w:ascii="Arial" w:hAnsi="Arial" w:cs="Arial"/>
                <w:i/>
                <w:iCs/>
                <w:color w:val="FF0000"/>
              </w:rPr>
              <w:t xml:space="preserve">P = </w:t>
            </w:r>
            <w:r w:rsidR="008C5A77" w:rsidRPr="00943A01">
              <w:rPr>
                <w:rFonts w:ascii="Arial" w:hAnsi="Arial" w:cs="Arial"/>
                <w:color w:val="FF0000"/>
              </w:rPr>
              <w:t>.01</w:t>
            </w:r>
          </w:p>
        </w:tc>
        <w:tc>
          <w:tcPr>
            <w:tcW w:w="993" w:type="pct"/>
          </w:tcPr>
          <w:p w:rsidR="008C5A77" w:rsidRPr="008C5A77" w:rsidRDefault="008C5A77" w:rsidP="00F663E4">
            <w:pPr>
              <w:jc w:val="both"/>
              <w:rPr>
                <w:rFonts w:ascii="Arial" w:hAnsi="Arial" w:cs="Arial"/>
              </w:rPr>
            </w:pPr>
            <w:r w:rsidRPr="008C5A77">
              <w:rPr>
                <w:rFonts w:ascii="Arial" w:hAnsi="Arial" w:cs="Arial"/>
              </w:rPr>
              <w:t>Yes (stationary)</w:t>
            </w:r>
          </w:p>
        </w:tc>
      </w:tr>
      <w:tr w:rsidR="008C5A77" w:rsidRPr="008C5A77" w:rsidTr="007A5F4F">
        <w:tc>
          <w:tcPr>
            <w:tcW w:w="1737" w:type="pct"/>
          </w:tcPr>
          <w:p w:rsidR="008C5A77" w:rsidRPr="008C5A77" w:rsidRDefault="008C5A77" w:rsidP="00F663E4">
            <w:pPr>
              <w:jc w:val="both"/>
              <w:rPr>
                <w:rFonts w:ascii="Arial" w:hAnsi="Arial" w:cs="Arial"/>
              </w:rPr>
            </w:pPr>
            <w:r w:rsidRPr="008C5A77">
              <w:rPr>
                <w:rFonts w:ascii="Arial" w:hAnsi="Arial" w:cs="Arial"/>
              </w:rPr>
              <w:t>Δ</w:t>
            </w:r>
            <w:r w:rsidRPr="008C5A77">
              <w:rPr>
                <w:rFonts w:ascii="Cambria Math" w:hAnsi="Cambria Math" w:cs="Cambria Math"/>
              </w:rPr>
              <w:t>₁₂</w:t>
            </w:r>
            <w:r w:rsidRPr="008C5A77">
              <w:rPr>
                <w:rFonts w:ascii="Arial" w:hAnsi="Arial" w:cs="Arial"/>
              </w:rPr>
              <w:t>FTA_t (seasonal difference)</w:t>
            </w:r>
          </w:p>
        </w:tc>
        <w:tc>
          <w:tcPr>
            <w:tcW w:w="704" w:type="pct"/>
          </w:tcPr>
          <w:p w:rsidR="008C5A77" w:rsidRPr="008C5A77" w:rsidRDefault="008C5A77" w:rsidP="00F663E4">
            <w:pPr>
              <w:jc w:val="both"/>
              <w:rPr>
                <w:rFonts w:ascii="Arial" w:hAnsi="Arial" w:cs="Arial"/>
              </w:rPr>
            </w:pPr>
            <w:r w:rsidRPr="008C5A77">
              <w:rPr>
                <w:rFonts w:ascii="Arial" w:hAnsi="Arial" w:cs="Arial"/>
              </w:rPr>
              <w:t>-5.23</w:t>
            </w:r>
          </w:p>
        </w:tc>
        <w:tc>
          <w:tcPr>
            <w:tcW w:w="940" w:type="pct"/>
          </w:tcPr>
          <w:p w:rsidR="008C5A77" w:rsidRPr="008C5A77" w:rsidRDefault="008C5A77" w:rsidP="00F663E4">
            <w:pPr>
              <w:jc w:val="both"/>
              <w:rPr>
                <w:rFonts w:ascii="Arial" w:hAnsi="Arial" w:cs="Arial"/>
              </w:rPr>
            </w:pPr>
            <w:r w:rsidRPr="008C5A77">
              <w:rPr>
                <w:rFonts w:ascii="Arial" w:hAnsi="Arial" w:cs="Arial"/>
              </w:rPr>
              <w:t>-2.95</w:t>
            </w:r>
          </w:p>
        </w:tc>
        <w:tc>
          <w:tcPr>
            <w:tcW w:w="626" w:type="pct"/>
          </w:tcPr>
          <w:p w:rsidR="008C5A77" w:rsidRPr="00943A01" w:rsidRDefault="007A5F4F" w:rsidP="00F663E4">
            <w:pPr>
              <w:jc w:val="both"/>
              <w:rPr>
                <w:rFonts w:ascii="Arial" w:hAnsi="Arial" w:cs="Arial"/>
                <w:color w:val="FF0000"/>
              </w:rPr>
            </w:pPr>
            <w:r w:rsidRPr="00943A01">
              <w:rPr>
                <w:rFonts w:ascii="Arial" w:hAnsi="Arial" w:cs="Arial"/>
                <w:i/>
                <w:iCs/>
                <w:color w:val="FF0000"/>
              </w:rPr>
              <w:t>P&lt;</w:t>
            </w:r>
            <w:r w:rsidR="008C5A77" w:rsidRPr="00943A01">
              <w:rPr>
                <w:rFonts w:ascii="Arial" w:hAnsi="Arial" w:cs="Arial"/>
                <w:color w:val="FF0000"/>
              </w:rPr>
              <w:t>.001</w:t>
            </w:r>
          </w:p>
        </w:tc>
        <w:tc>
          <w:tcPr>
            <w:tcW w:w="993" w:type="pct"/>
          </w:tcPr>
          <w:p w:rsidR="008C5A77" w:rsidRPr="008C5A77" w:rsidRDefault="008C5A77" w:rsidP="00F663E4">
            <w:pPr>
              <w:jc w:val="both"/>
              <w:rPr>
                <w:rFonts w:ascii="Arial" w:hAnsi="Arial" w:cs="Arial"/>
              </w:rPr>
            </w:pPr>
            <w:r w:rsidRPr="008C5A77">
              <w:rPr>
                <w:rFonts w:ascii="Arial" w:hAnsi="Arial" w:cs="Arial"/>
              </w:rPr>
              <w:t>Yes (stationary)</w:t>
            </w:r>
          </w:p>
        </w:tc>
      </w:tr>
    </w:tbl>
    <w:p w:rsidR="008C5A77" w:rsidRPr="005C0B16" w:rsidRDefault="008C5A77" w:rsidP="008C5A77">
      <w:pPr>
        <w:jc w:val="both"/>
        <w:rPr>
          <w:rFonts w:ascii="Arial" w:hAnsi="Arial" w:cs="Arial"/>
          <w:sz w:val="20"/>
          <w:szCs w:val="20"/>
        </w:rPr>
      </w:pPr>
    </w:p>
    <w:p w:rsidR="008C5A77" w:rsidRPr="005C0B16" w:rsidRDefault="008C5A77" w:rsidP="008C5A77">
      <w:pPr>
        <w:jc w:val="both"/>
        <w:rPr>
          <w:rFonts w:ascii="Arial" w:hAnsi="Arial" w:cs="Arial"/>
          <w:b/>
          <w:bCs/>
          <w:sz w:val="20"/>
          <w:szCs w:val="20"/>
        </w:rPr>
      </w:pPr>
      <w:r w:rsidRPr="005C0B16">
        <w:rPr>
          <w:rFonts w:ascii="Arial" w:hAnsi="Arial" w:cs="Arial"/>
          <w:b/>
          <w:bCs/>
          <w:sz w:val="20"/>
          <w:szCs w:val="20"/>
        </w:rPr>
        <w:t>Step 2: ARIMA Model Selection (AIC/BIC Comparison)</w:t>
      </w:r>
    </w:p>
    <w:tbl>
      <w:tblPr>
        <w:tblStyle w:val="TableGrid"/>
        <w:tblW w:w="5000" w:type="pct"/>
        <w:tblLook w:val="04A0"/>
      </w:tblPr>
      <w:tblGrid>
        <w:gridCol w:w="2332"/>
        <w:gridCol w:w="761"/>
        <w:gridCol w:w="527"/>
        <w:gridCol w:w="793"/>
        <w:gridCol w:w="905"/>
        <w:gridCol w:w="695"/>
        <w:gridCol w:w="967"/>
        <w:gridCol w:w="717"/>
        <w:gridCol w:w="717"/>
        <w:gridCol w:w="828"/>
      </w:tblGrid>
      <w:tr w:rsidR="008C5A77" w:rsidRPr="005C0B16" w:rsidTr="00F663E4">
        <w:tc>
          <w:tcPr>
            <w:tcW w:w="1268" w:type="pct"/>
          </w:tcPr>
          <w:p w:rsidR="008C5A77" w:rsidRPr="005C0B16" w:rsidRDefault="008C5A77" w:rsidP="00F663E4">
            <w:pPr>
              <w:jc w:val="both"/>
              <w:rPr>
                <w:rFonts w:ascii="Arial" w:hAnsi="Arial" w:cs="Arial"/>
                <w:b/>
                <w:bCs/>
              </w:rPr>
            </w:pPr>
            <w:r w:rsidRPr="005C0B16">
              <w:rPr>
                <w:rFonts w:ascii="Arial" w:hAnsi="Arial" w:cs="Arial"/>
                <w:b/>
                <w:bCs/>
              </w:rPr>
              <w:t>Model</w:t>
            </w:r>
          </w:p>
        </w:tc>
        <w:tc>
          <w:tcPr>
            <w:tcW w:w="414" w:type="pct"/>
          </w:tcPr>
          <w:p w:rsidR="008C5A77" w:rsidRPr="005C0B16" w:rsidRDefault="008C5A77" w:rsidP="00F663E4">
            <w:pPr>
              <w:jc w:val="both"/>
              <w:rPr>
                <w:rFonts w:ascii="Arial" w:hAnsi="Arial" w:cs="Arial"/>
                <w:b/>
                <w:bCs/>
              </w:rPr>
            </w:pPr>
            <w:r w:rsidRPr="005C0B16">
              <w:rPr>
                <w:rFonts w:ascii="Arial" w:hAnsi="Arial" w:cs="Arial"/>
                <w:b/>
                <w:bCs/>
              </w:rPr>
              <w:t>AR(p)</w:t>
            </w:r>
          </w:p>
        </w:tc>
        <w:tc>
          <w:tcPr>
            <w:tcW w:w="292" w:type="pct"/>
          </w:tcPr>
          <w:p w:rsidR="008C5A77" w:rsidRPr="005C0B16" w:rsidRDefault="008C5A77" w:rsidP="00F663E4">
            <w:pPr>
              <w:jc w:val="both"/>
              <w:rPr>
                <w:rFonts w:ascii="Arial" w:hAnsi="Arial" w:cs="Arial"/>
                <w:b/>
                <w:bCs/>
              </w:rPr>
            </w:pPr>
            <w:r w:rsidRPr="005C0B16">
              <w:rPr>
                <w:rFonts w:ascii="Arial" w:hAnsi="Arial" w:cs="Arial"/>
                <w:b/>
                <w:bCs/>
              </w:rPr>
              <w:t>I(d)</w:t>
            </w:r>
          </w:p>
        </w:tc>
        <w:tc>
          <w:tcPr>
            <w:tcW w:w="439" w:type="pct"/>
          </w:tcPr>
          <w:p w:rsidR="008C5A77" w:rsidRPr="005C0B16" w:rsidRDefault="008C5A77" w:rsidP="00F663E4">
            <w:pPr>
              <w:jc w:val="both"/>
              <w:rPr>
                <w:rFonts w:ascii="Arial" w:hAnsi="Arial" w:cs="Arial"/>
                <w:b/>
                <w:bCs/>
              </w:rPr>
            </w:pPr>
            <w:r w:rsidRPr="005C0B16">
              <w:rPr>
                <w:rFonts w:ascii="Arial" w:hAnsi="Arial" w:cs="Arial"/>
                <w:b/>
                <w:bCs/>
              </w:rPr>
              <w:t>MA(q)</w:t>
            </w:r>
          </w:p>
        </w:tc>
        <w:tc>
          <w:tcPr>
            <w:tcW w:w="484" w:type="pct"/>
          </w:tcPr>
          <w:p w:rsidR="008C5A77" w:rsidRPr="005C0B16" w:rsidRDefault="008C5A77" w:rsidP="00F663E4">
            <w:pPr>
              <w:jc w:val="both"/>
              <w:rPr>
                <w:rFonts w:ascii="Arial" w:hAnsi="Arial" w:cs="Arial"/>
                <w:b/>
                <w:bCs/>
              </w:rPr>
            </w:pPr>
            <w:r w:rsidRPr="005C0B16">
              <w:rPr>
                <w:rFonts w:ascii="Arial" w:hAnsi="Arial" w:cs="Arial"/>
                <w:b/>
                <w:bCs/>
              </w:rPr>
              <w:t>SAR(P)</w:t>
            </w:r>
          </w:p>
        </w:tc>
        <w:tc>
          <w:tcPr>
            <w:tcW w:w="382" w:type="pct"/>
          </w:tcPr>
          <w:p w:rsidR="008C5A77" w:rsidRPr="005C0B16" w:rsidRDefault="008C5A77" w:rsidP="00F663E4">
            <w:pPr>
              <w:jc w:val="both"/>
              <w:rPr>
                <w:rFonts w:ascii="Arial" w:hAnsi="Arial" w:cs="Arial"/>
                <w:b/>
                <w:bCs/>
              </w:rPr>
            </w:pPr>
            <w:r w:rsidRPr="005C0B16">
              <w:rPr>
                <w:rFonts w:ascii="Arial" w:hAnsi="Arial" w:cs="Arial"/>
                <w:b/>
                <w:bCs/>
              </w:rPr>
              <w:t>SI(D)</w:t>
            </w:r>
          </w:p>
        </w:tc>
        <w:tc>
          <w:tcPr>
            <w:tcW w:w="529" w:type="pct"/>
          </w:tcPr>
          <w:p w:rsidR="008C5A77" w:rsidRPr="005C0B16" w:rsidRDefault="008C5A77" w:rsidP="00F663E4">
            <w:pPr>
              <w:jc w:val="both"/>
              <w:rPr>
                <w:rFonts w:ascii="Arial" w:hAnsi="Arial" w:cs="Arial"/>
                <w:b/>
                <w:bCs/>
              </w:rPr>
            </w:pPr>
            <w:r w:rsidRPr="005C0B16">
              <w:rPr>
                <w:rFonts w:ascii="Arial" w:hAnsi="Arial" w:cs="Arial"/>
                <w:b/>
                <w:bCs/>
              </w:rPr>
              <w:t>SMA(Q)</w:t>
            </w:r>
          </w:p>
        </w:tc>
        <w:tc>
          <w:tcPr>
            <w:tcW w:w="378" w:type="pct"/>
          </w:tcPr>
          <w:p w:rsidR="008C5A77" w:rsidRPr="005C0B16" w:rsidRDefault="008C5A77" w:rsidP="00F663E4">
            <w:pPr>
              <w:jc w:val="both"/>
              <w:rPr>
                <w:rFonts w:ascii="Arial" w:hAnsi="Arial" w:cs="Arial"/>
                <w:b/>
                <w:bCs/>
              </w:rPr>
            </w:pPr>
            <w:r w:rsidRPr="005C0B16">
              <w:rPr>
                <w:rFonts w:ascii="Arial" w:hAnsi="Arial" w:cs="Arial"/>
                <w:b/>
                <w:bCs/>
              </w:rPr>
              <w:t>AIC</w:t>
            </w:r>
          </w:p>
        </w:tc>
        <w:tc>
          <w:tcPr>
            <w:tcW w:w="378" w:type="pct"/>
          </w:tcPr>
          <w:p w:rsidR="008C5A77" w:rsidRPr="005C0B16" w:rsidRDefault="008C5A77" w:rsidP="00F663E4">
            <w:pPr>
              <w:jc w:val="both"/>
              <w:rPr>
                <w:rFonts w:ascii="Arial" w:hAnsi="Arial" w:cs="Arial"/>
                <w:b/>
                <w:bCs/>
              </w:rPr>
            </w:pPr>
            <w:r w:rsidRPr="005C0B16">
              <w:rPr>
                <w:rFonts w:ascii="Arial" w:hAnsi="Arial" w:cs="Arial"/>
                <w:b/>
                <w:bCs/>
              </w:rPr>
              <w:t>BIC</w:t>
            </w:r>
          </w:p>
        </w:tc>
        <w:tc>
          <w:tcPr>
            <w:tcW w:w="436" w:type="pct"/>
          </w:tcPr>
          <w:p w:rsidR="008C5A77" w:rsidRPr="005C0B16" w:rsidRDefault="008C5A77" w:rsidP="00F663E4">
            <w:pPr>
              <w:jc w:val="both"/>
              <w:rPr>
                <w:rFonts w:ascii="Arial" w:hAnsi="Arial" w:cs="Arial"/>
                <w:b/>
                <w:bCs/>
              </w:rPr>
            </w:pPr>
            <w:r w:rsidRPr="005C0B16">
              <w:rPr>
                <w:rFonts w:ascii="Arial" w:hAnsi="Arial" w:cs="Arial"/>
                <w:b/>
                <w:bCs/>
              </w:rPr>
              <w:t>RMSE</w:t>
            </w:r>
          </w:p>
        </w:tc>
      </w:tr>
      <w:tr w:rsidR="008C5A77" w:rsidRPr="005C0B16" w:rsidTr="00F663E4">
        <w:tc>
          <w:tcPr>
            <w:tcW w:w="1268" w:type="pct"/>
          </w:tcPr>
          <w:p w:rsidR="008C5A77" w:rsidRPr="005C0B16" w:rsidRDefault="008C5A77" w:rsidP="00F663E4">
            <w:pPr>
              <w:jc w:val="both"/>
              <w:rPr>
                <w:rFonts w:ascii="Arial" w:hAnsi="Arial" w:cs="Arial"/>
              </w:rPr>
            </w:pPr>
            <w:r w:rsidRPr="005C0B16">
              <w:rPr>
                <w:rFonts w:ascii="Arial" w:hAnsi="Arial" w:cs="Arial"/>
                <w:b/>
                <w:bCs/>
              </w:rPr>
              <w:t xml:space="preserve">SARIMA (1,1,1) (1,1,1) </w:t>
            </w:r>
            <w:r w:rsidRPr="005C0B16">
              <w:rPr>
                <w:rFonts w:ascii="Cambria Math" w:hAnsi="Cambria Math" w:cs="Cambria Math"/>
                <w:b/>
                <w:bCs/>
              </w:rPr>
              <w:t>₁₂</w:t>
            </w:r>
          </w:p>
        </w:tc>
        <w:tc>
          <w:tcPr>
            <w:tcW w:w="414" w:type="pct"/>
          </w:tcPr>
          <w:p w:rsidR="008C5A77" w:rsidRPr="005C0B16" w:rsidRDefault="008C5A77" w:rsidP="00F663E4">
            <w:pPr>
              <w:jc w:val="both"/>
              <w:rPr>
                <w:rFonts w:ascii="Arial" w:hAnsi="Arial" w:cs="Arial"/>
              </w:rPr>
            </w:pPr>
            <w:r w:rsidRPr="005C0B16">
              <w:rPr>
                <w:rFonts w:ascii="Arial" w:hAnsi="Arial" w:cs="Arial"/>
              </w:rPr>
              <w:t>1</w:t>
            </w:r>
          </w:p>
        </w:tc>
        <w:tc>
          <w:tcPr>
            <w:tcW w:w="292" w:type="pct"/>
          </w:tcPr>
          <w:p w:rsidR="008C5A77" w:rsidRPr="005C0B16" w:rsidRDefault="008C5A77" w:rsidP="00F663E4">
            <w:pPr>
              <w:jc w:val="both"/>
              <w:rPr>
                <w:rFonts w:ascii="Arial" w:hAnsi="Arial" w:cs="Arial"/>
              </w:rPr>
            </w:pPr>
            <w:r w:rsidRPr="005C0B16">
              <w:rPr>
                <w:rFonts w:ascii="Arial" w:hAnsi="Arial" w:cs="Arial"/>
              </w:rPr>
              <w:t>1</w:t>
            </w:r>
          </w:p>
        </w:tc>
        <w:tc>
          <w:tcPr>
            <w:tcW w:w="439" w:type="pct"/>
          </w:tcPr>
          <w:p w:rsidR="008C5A77" w:rsidRPr="005C0B16" w:rsidRDefault="008C5A77" w:rsidP="00F663E4">
            <w:pPr>
              <w:jc w:val="both"/>
              <w:rPr>
                <w:rFonts w:ascii="Arial" w:hAnsi="Arial" w:cs="Arial"/>
              </w:rPr>
            </w:pPr>
            <w:r w:rsidRPr="005C0B16">
              <w:rPr>
                <w:rFonts w:ascii="Arial" w:hAnsi="Arial" w:cs="Arial"/>
              </w:rPr>
              <w:t>1</w:t>
            </w:r>
          </w:p>
        </w:tc>
        <w:tc>
          <w:tcPr>
            <w:tcW w:w="484" w:type="pct"/>
          </w:tcPr>
          <w:p w:rsidR="008C5A77" w:rsidRPr="005C0B16" w:rsidRDefault="008C5A77" w:rsidP="00F663E4">
            <w:pPr>
              <w:jc w:val="both"/>
              <w:rPr>
                <w:rFonts w:ascii="Arial" w:hAnsi="Arial" w:cs="Arial"/>
              </w:rPr>
            </w:pPr>
            <w:r w:rsidRPr="005C0B16">
              <w:rPr>
                <w:rFonts w:ascii="Arial" w:hAnsi="Arial" w:cs="Arial"/>
              </w:rPr>
              <w:t>1</w:t>
            </w:r>
          </w:p>
        </w:tc>
        <w:tc>
          <w:tcPr>
            <w:tcW w:w="382" w:type="pct"/>
          </w:tcPr>
          <w:p w:rsidR="008C5A77" w:rsidRPr="005C0B16" w:rsidRDefault="008C5A77" w:rsidP="00F663E4">
            <w:pPr>
              <w:jc w:val="both"/>
              <w:rPr>
                <w:rFonts w:ascii="Arial" w:hAnsi="Arial" w:cs="Arial"/>
              </w:rPr>
            </w:pPr>
            <w:r w:rsidRPr="005C0B16">
              <w:rPr>
                <w:rFonts w:ascii="Arial" w:hAnsi="Arial" w:cs="Arial"/>
              </w:rPr>
              <w:t>1</w:t>
            </w:r>
          </w:p>
        </w:tc>
        <w:tc>
          <w:tcPr>
            <w:tcW w:w="529" w:type="pct"/>
          </w:tcPr>
          <w:p w:rsidR="008C5A77" w:rsidRPr="005C0B16" w:rsidRDefault="008C5A77" w:rsidP="00F663E4">
            <w:pPr>
              <w:jc w:val="both"/>
              <w:rPr>
                <w:rFonts w:ascii="Arial" w:hAnsi="Arial" w:cs="Arial"/>
              </w:rPr>
            </w:pPr>
            <w:r w:rsidRPr="005C0B16">
              <w:rPr>
                <w:rFonts w:ascii="Arial" w:hAnsi="Arial" w:cs="Arial"/>
              </w:rPr>
              <w:t>1</w:t>
            </w:r>
          </w:p>
        </w:tc>
        <w:tc>
          <w:tcPr>
            <w:tcW w:w="378" w:type="pct"/>
          </w:tcPr>
          <w:p w:rsidR="008C5A77" w:rsidRPr="005C0B16" w:rsidRDefault="008C5A77" w:rsidP="00F663E4">
            <w:pPr>
              <w:jc w:val="both"/>
              <w:rPr>
                <w:rFonts w:ascii="Arial" w:hAnsi="Arial" w:cs="Arial"/>
              </w:rPr>
            </w:pPr>
            <w:r w:rsidRPr="005C0B16">
              <w:rPr>
                <w:rFonts w:ascii="Arial" w:hAnsi="Arial" w:cs="Arial"/>
              </w:rPr>
              <w:t>285.6</w:t>
            </w:r>
          </w:p>
        </w:tc>
        <w:tc>
          <w:tcPr>
            <w:tcW w:w="378" w:type="pct"/>
          </w:tcPr>
          <w:p w:rsidR="008C5A77" w:rsidRPr="005C0B16" w:rsidRDefault="008C5A77" w:rsidP="00F663E4">
            <w:pPr>
              <w:jc w:val="both"/>
              <w:rPr>
                <w:rFonts w:ascii="Arial" w:hAnsi="Arial" w:cs="Arial"/>
              </w:rPr>
            </w:pPr>
            <w:r w:rsidRPr="005C0B16">
              <w:rPr>
                <w:rFonts w:ascii="Arial" w:hAnsi="Arial" w:cs="Arial"/>
              </w:rPr>
              <w:t>298.3</w:t>
            </w:r>
          </w:p>
        </w:tc>
        <w:tc>
          <w:tcPr>
            <w:tcW w:w="436" w:type="pct"/>
          </w:tcPr>
          <w:p w:rsidR="008C5A77" w:rsidRPr="005C0B16" w:rsidRDefault="008C5A77" w:rsidP="00F663E4">
            <w:pPr>
              <w:jc w:val="both"/>
              <w:rPr>
                <w:rFonts w:ascii="Arial" w:hAnsi="Arial" w:cs="Arial"/>
              </w:rPr>
            </w:pPr>
            <w:r w:rsidRPr="005C0B16">
              <w:rPr>
                <w:rFonts w:ascii="Arial" w:hAnsi="Arial" w:cs="Arial"/>
              </w:rPr>
              <w:t>42,150</w:t>
            </w:r>
          </w:p>
        </w:tc>
      </w:tr>
      <w:tr w:rsidR="008C5A77" w:rsidRPr="005C0B16" w:rsidTr="00F663E4">
        <w:tc>
          <w:tcPr>
            <w:tcW w:w="1268" w:type="pct"/>
          </w:tcPr>
          <w:p w:rsidR="008C5A77" w:rsidRPr="005C0B16" w:rsidRDefault="008C5A77" w:rsidP="00F663E4">
            <w:pPr>
              <w:jc w:val="both"/>
              <w:rPr>
                <w:rFonts w:ascii="Arial" w:hAnsi="Arial" w:cs="Arial"/>
              </w:rPr>
            </w:pPr>
            <w:r w:rsidRPr="005C0B16">
              <w:rPr>
                <w:rFonts w:ascii="Arial" w:hAnsi="Arial" w:cs="Arial"/>
              </w:rPr>
              <w:t xml:space="preserve">SARIMA (2,1,1) (1,1,1) </w:t>
            </w:r>
            <w:r w:rsidRPr="005C0B16">
              <w:rPr>
                <w:rFonts w:ascii="Cambria Math" w:hAnsi="Cambria Math" w:cs="Cambria Math"/>
              </w:rPr>
              <w:t>₁₂</w:t>
            </w:r>
          </w:p>
        </w:tc>
        <w:tc>
          <w:tcPr>
            <w:tcW w:w="414" w:type="pct"/>
          </w:tcPr>
          <w:p w:rsidR="008C5A77" w:rsidRPr="005C0B16" w:rsidRDefault="008C5A77" w:rsidP="00F663E4">
            <w:pPr>
              <w:jc w:val="both"/>
              <w:rPr>
                <w:rFonts w:ascii="Arial" w:hAnsi="Arial" w:cs="Arial"/>
              </w:rPr>
            </w:pPr>
            <w:r w:rsidRPr="005C0B16">
              <w:rPr>
                <w:rFonts w:ascii="Arial" w:hAnsi="Arial" w:cs="Arial"/>
              </w:rPr>
              <w:t>2</w:t>
            </w:r>
          </w:p>
        </w:tc>
        <w:tc>
          <w:tcPr>
            <w:tcW w:w="292" w:type="pct"/>
          </w:tcPr>
          <w:p w:rsidR="008C5A77" w:rsidRPr="005C0B16" w:rsidRDefault="008C5A77" w:rsidP="00F663E4">
            <w:pPr>
              <w:jc w:val="both"/>
              <w:rPr>
                <w:rFonts w:ascii="Arial" w:hAnsi="Arial" w:cs="Arial"/>
              </w:rPr>
            </w:pPr>
            <w:r w:rsidRPr="005C0B16">
              <w:rPr>
                <w:rFonts w:ascii="Arial" w:hAnsi="Arial" w:cs="Arial"/>
              </w:rPr>
              <w:t>1</w:t>
            </w:r>
          </w:p>
        </w:tc>
        <w:tc>
          <w:tcPr>
            <w:tcW w:w="439" w:type="pct"/>
          </w:tcPr>
          <w:p w:rsidR="008C5A77" w:rsidRPr="005C0B16" w:rsidRDefault="008C5A77" w:rsidP="00F663E4">
            <w:pPr>
              <w:jc w:val="both"/>
              <w:rPr>
                <w:rFonts w:ascii="Arial" w:hAnsi="Arial" w:cs="Arial"/>
              </w:rPr>
            </w:pPr>
            <w:r w:rsidRPr="005C0B16">
              <w:rPr>
                <w:rFonts w:ascii="Arial" w:hAnsi="Arial" w:cs="Arial"/>
              </w:rPr>
              <w:t>1</w:t>
            </w:r>
          </w:p>
        </w:tc>
        <w:tc>
          <w:tcPr>
            <w:tcW w:w="484" w:type="pct"/>
          </w:tcPr>
          <w:p w:rsidR="008C5A77" w:rsidRPr="005C0B16" w:rsidRDefault="008C5A77" w:rsidP="00F663E4">
            <w:pPr>
              <w:jc w:val="both"/>
              <w:rPr>
                <w:rFonts w:ascii="Arial" w:hAnsi="Arial" w:cs="Arial"/>
              </w:rPr>
            </w:pPr>
            <w:r w:rsidRPr="005C0B16">
              <w:rPr>
                <w:rFonts w:ascii="Arial" w:hAnsi="Arial" w:cs="Arial"/>
              </w:rPr>
              <w:t>1</w:t>
            </w:r>
          </w:p>
        </w:tc>
        <w:tc>
          <w:tcPr>
            <w:tcW w:w="382" w:type="pct"/>
          </w:tcPr>
          <w:p w:rsidR="008C5A77" w:rsidRPr="005C0B16" w:rsidRDefault="008C5A77" w:rsidP="00F663E4">
            <w:pPr>
              <w:jc w:val="both"/>
              <w:rPr>
                <w:rFonts w:ascii="Arial" w:hAnsi="Arial" w:cs="Arial"/>
              </w:rPr>
            </w:pPr>
            <w:r w:rsidRPr="005C0B16">
              <w:rPr>
                <w:rFonts w:ascii="Arial" w:hAnsi="Arial" w:cs="Arial"/>
              </w:rPr>
              <w:t>1</w:t>
            </w:r>
          </w:p>
        </w:tc>
        <w:tc>
          <w:tcPr>
            <w:tcW w:w="529" w:type="pct"/>
          </w:tcPr>
          <w:p w:rsidR="008C5A77" w:rsidRPr="005C0B16" w:rsidRDefault="008C5A77" w:rsidP="00F663E4">
            <w:pPr>
              <w:jc w:val="both"/>
              <w:rPr>
                <w:rFonts w:ascii="Arial" w:hAnsi="Arial" w:cs="Arial"/>
              </w:rPr>
            </w:pPr>
            <w:r w:rsidRPr="005C0B16">
              <w:rPr>
                <w:rFonts w:ascii="Arial" w:hAnsi="Arial" w:cs="Arial"/>
              </w:rPr>
              <w:t>1</w:t>
            </w:r>
          </w:p>
        </w:tc>
        <w:tc>
          <w:tcPr>
            <w:tcW w:w="378" w:type="pct"/>
          </w:tcPr>
          <w:p w:rsidR="008C5A77" w:rsidRPr="005C0B16" w:rsidRDefault="008C5A77" w:rsidP="00F663E4">
            <w:pPr>
              <w:jc w:val="both"/>
              <w:rPr>
                <w:rFonts w:ascii="Arial" w:hAnsi="Arial" w:cs="Arial"/>
              </w:rPr>
            </w:pPr>
            <w:r w:rsidRPr="005C0B16">
              <w:rPr>
                <w:rFonts w:ascii="Arial" w:hAnsi="Arial" w:cs="Arial"/>
              </w:rPr>
              <w:t>287.2</w:t>
            </w:r>
          </w:p>
        </w:tc>
        <w:tc>
          <w:tcPr>
            <w:tcW w:w="378" w:type="pct"/>
          </w:tcPr>
          <w:p w:rsidR="008C5A77" w:rsidRPr="005C0B16" w:rsidRDefault="008C5A77" w:rsidP="00F663E4">
            <w:pPr>
              <w:jc w:val="both"/>
              <w:rPr>
                <w:rFonts w:ascii="Arial" w:hAnsi="Arial" w:cs="Arial"/>
              </w:rPr>
            </w:pPr>
            <w:r w:rsidRPr="005C0B16">
              <w:rPr>
                <w:rFonts w:ascii="Arial" w:hAnsi="Arial" w:cs="Arial"/>
              </w:rPr>
              <w:t>301.9</w:t>
            </w:r>
          </w:p>
        </w:tc>
        <w:tc>
          <w:tcPr>
            <w:tcW w:w="436" w:type="pct"/>
          </w:tcPr>
          <w:p w:rsidR="008C5A77" w:rsidRPr="005C0B16" w:rsidRDefault="008C5A77" w:rsidP="00F663E4">
            <w:pPr>
              <w:jc w:val="both"/>
              <w:rPr>
                <w:rFonts w:ascii="Arial" w:hAnsi="Arial" w:cs="Arial"/>
              </w:rPr>
            </w:pPr>
            <w:r w:rsidRPr="005C0B16">
              <w:rPr>
                <w:rFonts w:ascii="Arial" w:hAnsi="Arial" w:cs="Arial"/>
              </w:rPr>
              <w:t>43,210</w:t>
            </w:r>
          </w:p>
        </w:tc>
      </w:tr>
      <w:tr w:rsidR="008C5A77" w:rsidRPr="005C0B16" w:rsidTr="00F663E4">
        <w:tc>
          <w:tcPr>
            <w:tcW w:w="1268" w:type="pct"/>
          </w:tcPr>
          <w:p w:rsidR="008C5A77" w:rsidRPr="005C0B16" w:rsidRDefault="008C5A77" w:rsidP="00F663E4">
            <w:pPr>
              <w:jc w:val="both"/>
              <w:rPr>
                <w:rFonts w:ascii="Arial" w:hAnsi="Arial" w:cs="Arial"/>
              </w:rPr>
            </w:pPr>
            <w:r w:rsidRPr="005C0B16">
              <w:rPr>
                <w:rFonts w:ascii="Arial" w:hAnsi="Arial" w:cs="Arial"/>
              </w:rPr>
              <w:t xml:space="preserve">SARIMA (1,1,2) (1,1,1) </w:t>
            </w:r>
            <w:r w:rsidRPr="005C0B16">
              <w:rPr>
                <w:rFonts w:ascii="Cambria Math" w:hAnsi="Cambria Math" w:cs="Cambria Math"/>
              </w:rPr>
              <w:t>₁₂</w:t>
            </w:r>
          </w:p>
        </w:tc>
        <w:tc>
          <w:tcPr>
            <w:tcW w:w="414" w:type="pct"/>
          </w:tcPr>
          <w:p w:rsidR="008C5A77" w:rsidRPr="005C0B16" w:rsidRDefault="008C5A77" w:rsidP="00F663E4">
            <w:pPr>
              <w:jc w:val="both"/>
              <w:rPr>
                <w:rFonts w:ascii="Arial" w:hAnsi="Arial" w:cs="Arial"/>
              </w:rPr>
            </w:pPr>
            <w:r w:rsidRPr="005C0B16">
              <w:rPr>
                <w:rFonts w:ascii="Arial" w:hAnsi="Arial" w:cs="Arial"/>
              </w:rPr>
              <w:t>1</w:t>
            </w:r>
          </w:p>
        </w:tc>
        <w:tc>
          <w:tcPr>
            <w:tcW w:w="292" w:type="pct"/>
          </w:tcPr>
          <w:p w:rsidR="008C5A77" w:rsidRPr="005C0B16" w:rsidRDefault="008C5A77" w:rsidP="00F663E4">
            <w:pPr>
              <w:jc w:val="both"/>
              <w:rPr>
                <w:rFonts w:ascii="Arial" w:hAnsi="Arial" w:cs="Arial"/>
              </w:rPr>
            </w:pPr>
            <w:r w:rsidRPr="005C0B16">
              <w:rPr>
                <w:rFonts w:ascii="Arial" w:hAnsi="Arial" w:cs="Arial"/>
              </w:rPr>
              <w:t>1</w:t>
            </w:r>
          </w:p>
        </w:tc>
        <w:tc>
          <w:tcPr>
            <w:tcW w:w="439" w:type="pct"/>
          </w:tcPr>
          <w:p w:rsidR="008C5A77" w:rsidRPr="005C0B16" w:rsidRDefault="008C5A77" w:rsidP="00F663E4">
            <w:pPr>
              <w:jc w:val="both"/>
              <w:rPr>
                <w:rFonts w:ascii="Arial" w:hAnsi="Arial" w:cs="Arial"/>
              </w:rPr>
            </w:pPr>
            <w:r w:rsidRPr="005C0B16">
              <w:rPr>
                <w:rFonts w:ascii="Arial" w:hAnsi="Arial" w:cs="Arial"/>
              </w:rPr>
              <w:t>2</w:t>
            </w:r>
          </w:p>
        </w:tc>
        <w:tc>
          <w:tcPr>
            <w:tcW w:w="484" w:type="pct"/>
          </w:tcPr>
          <w:p w:rsidR="008C5A77" w:rsidRPr="005C0B16" w:rsidRDefault="008C5A77" w:rsidP="00F663E4">
            <w:pPr>
              <w:jc w:val="both"/>
              <w:rPr>
                <w:rFonts w:ascii="Arial" w:hAnsi="Arial" w:cs="Arial"/>
              </w:rPr>
            </w:pPr>
            <w:r w:rsidRPr="005C0B16">
              <w:rPr>
                <w:rFonts w:ascii="Arial" w:hAnsi="Arial" w:cs="Arial"/>
              </w:rPr>
              <w:t>1</w:t>
            </w:r>
          </w:p>
        </w:tc>
        <w:tc>
          <w:tcPr>
            <w:tcW w:w="382" w:type="pct"/>
          </w:tcPr>
          <w:p w:rsidR="008C5A77" w:rsidRPr="005C0B16" w:rsidRDefault="008C5A77" w:rsidP="00F663E4">
            <w:pPr>
              <w:jc w:val="both"/>
              <w:rPr>
                <w:rFonts w:ascii="Arial" w:hAnsi="Arial" w:cs="Arial"/>
              </w:rPr>
            </w:pPr>
            <w:r w:rsidRPr="005C0B16">
              <w:rPr>
                <w:rFonts w:ascii="Arial" w:hAnsi="Arial" w:cs="Arial"/>
              </w:rPr>
              <w:t>1</w:t>
            </w:r>
          </w:p>
        </w:tc>
        <w:tc>
          <w:tcPr>
            <w:tcW w:w="529" w:type="pct"/>
          </w:tcPr>
          <w:p w:rsidR="008C5A77" w:rsidRPr="005C0B16" w:rsidRDefault="008C5A77" w:rsidP="00F663E4">
            <w:pPr>
              <w:jc w:val="both"/>
              <w:rPr>
                <w:rFonts w:ascii="Arial" w:hAnsi="Arial" w:cs="Arial"/>
              </w:rPr>
            </w:pPr>
            <w:r w:rsidRPr="005C0B16">
              <w:rPr>
                <w:rFonts w:ascii="Arial" w:hAnsi="Arial" w:cs="Arial"/>
              </w:rPr>
              <w:t>1</w:t>
            </w:r>
          </w:p>
        </w:tc>
        <w:tc>
          <w:tcPr>
            <w:tcW w:w="378" w:type="pct"/>
          </w:tcPr>
          <w:p w:rsidR="008C5A77" w:rsidRPr="005C0B16" w:rsidRDefault="008C5A77" w:rsidP="00F663E4">
            <w:pPr>
              <w:jc w:val="both"/>
              <w:rPr>
                <w:rFonts w:ascii="Arial" w:hAnsi="Arial" w:cs="Arial"/>
              </w:rPr>
            </w:pPr>
            <w:r w:rsidRPr="005C0B16">
              <w:rPr>
                <w:rFonts w:ascii="Arial" w:hAnsi="Arial" w:cs="Arial"/>
              </w:rPr>
              <w:t>288.1</w:t>
            </w:r>
          </w:p>
        </w:tc>
        <w:tc>
          <w:tcPr>
            <w:tcW w:w="378" w:type="pct"/>
          </w:tcPr>
          <w:p w:rsidR="008C5A77" w:rsidRPr="005C0B16" w:rsidRDefault="008C5A77" w:rsidP="00F663E4">
            <w:pPr>
              <w:jc w:val="both"/>
              <w:rPr>
                <w:rFonts w:ascii="Arial" w:hAnsi="Arial" w:cs="Arial"/>
              </w:rPr>
            </w:pPr>
            <w:r w:rsidRPr="005C0B16">
              <w:rPr>
                <w:rFonts w:ascii="Arial" w:hAnsi="Arial" w:cs="Arial"/>
              </w:rPr>
              <w:t>302.8</w:t>
            </w:r>
          </w:p>
        </w:tc>
        <w:tc>
          <w:tcPr>
            <w:tcW w:w="436" w:type="pct"/>
          </w:tcPr>
          <w:p w:rsidR="008C5A77" w:rsidRPr="005C0B16" w:rsidRDefault="008C5A77" w:rsidP="00F663E4">
            <w:pPr>
              <w:jc w:val="both"/>
              <w:rPr>
                <w:rFonts w:ascii="Arial" w:hAnsi="Arial" w:cs="Arial"/>
              </w:rPr>
            </w:pPr>
            <w:r w:rsidRPr="005C0B16">
              <w:rPr>
                <w:rFonts w:ascii="Arial" w:hAnsi="Arial" w:cs="Arial"/>
              </w:rPr>
              <w:t>43,890</w:t>
            </w:r>
          </w:p>
        </w:tc>
      </w:tr>
      <w:tr w:rsidR="008C5A77" w:rsidRPr="005C0B16" w:rsidTr="00F663E4">
        <w:tc>
          <w:tcPr>
            <w:tcW w:w="1268" w:type="pct"/>
          </w:tcPr>
          <w:p w:rsidR="008C5A77" w:rsidRPr="005C0B16" w:rsidRDefault="008C5A77" w:rsidP="00F663E4">
            <w:pPr>
              <w:jc w:val="both"/>
              <w:rPr>
                <w:rFonts w:ascii="Arial" w:hAnsi="Arial" w:cs="Arial"/>
              </w:rPr>
            </w:pPr>
            <w:r w:rsidRPr="005C0B16">
              <w:rPr>
                <w:rFonts w:ascii="Arial" w:hAnsi="Arial" w:cs="Arial"/>
              </w:rPr>
              <w:t xml:space="preserve">SARIMA (1,1,1) (2,1,1) </w:t>
            </w:r>
            <w:r w:rsidRPr="005C0B16">
              <w:rPr>
                <w:rFonts w:ascii="Cambria Math" w:hAnsi="Cambria Math" w:cs="Cambria Math"/>
              </w:rPr>
              <w:t>₁₂</w:t>
            </w:r>
          </w:p>
        </w:tc>
        <w:tc>
          <w:tcPr>
            <w:tcW w:w="414" w:type="pct"/>
          </w:tcPr>
          <w:p w:rsidR="008C5A77" w:rsidRPr="005C0B16" w:rsidRDefault="008C5A77" w:rsidP="00F663E4">
            <w:pPr>
              <w:jc w:val="both"/>
              <w:rPr>
                <w:rFonts w:ascii="Arial" w:hAnsi="Arial" w:cs="Arial"/>
              </w:rPr>
            </w:pPr>
            <w:r w:rsidRPr="005C0B16">
              <w:rPr>
                <w:rFonts w:ascii="Arial" w:hAnsi="Arial" w:cs="Arial"/>
              </w:rPr>
              <w:t>1</w:t>
            </w:r>
          </w:p>
        </w:tc>
        <w:tc>
          <w:tcPr>
            <w:tcW w:w="292" w:type="pct"/>
          </w:tcPr>
          <w:p w:rsidR="008C5A77" w:rsidRPr="005C0B16" w:rsidRDefault="008C5A77" w:rsidP="00F663E4">
            <w:pPr>
              <w:jc w:val="both"/>
              <w:rPr>
                <w:rFonts w:ascii="Arial" w:hAnsi="Arial" w:cs="Arial"/>
              </w:rPr>
            </w:pPr>
            <w:r w:rsidRPr="005C0B16">
              <w:rPr>
                <w:rFonts w:ascii="Arial" w:hAnsi="Arial" w:cs="Arial"/>
              </w:rPr>
              <w:t>1</w:t>
            </w:r>
          </w:p>
        </w:tc>
        <w:tc>
          <w:tcPr>
            <w:tcW w:w="439" w:type="pct"/>
          </w:tcPr>
          <w:p w:rsidR="008C5A77" w:rsidRPr="005C0B16" w:rsidRDefault="008C5A77" w:rsidP="00F663E4">
            <w:pPr>
              <w:jc w:val="both"/>
              <w:rPr>
                <w:rFonts w:ascii="Arial" w:hAnsi="Arial" w:cs="Arial"/>
              </w:rPr>
            </w:pPr>
            <w:r w:rsidRPr="005C0B16">
              <w:rPr>
                <w:rFonts w:ascii="Arial" w:hAnsi="Arial" w:cs="Arial"/>
              </w:rPr>
              <w:t>1</w:t>
            </w:r>
          </w:p>
        </w:tc>
        <w:tc>
          <w:tcPr>
            <w:tcW w:w="484" w:type="pct"/>
          </w:tcPr>
          <w:p w:rsidR="008C5A77" w:rsidRPr="005C0B16" w:rsidRDefault="008C5A77" w:rsidP="00F663E4">
            <w:pPr>
              <w:jc w:val="both"/>
              <w:rPr>
                <w:rFonts w:ascii="Arial" w:hAnsi="Arial" w:cs="Arial"/>
              </w:rPr>
            </w:pPr>
            <w:r w:rsidRPr="005C0B16">
              <w:rPr>
                <w:rFonts w:ascii="Arial" w:hAnsi="Arial" w:cs="Arial"/>
              </w:rPr>
              <w:t>2</w:t>
            </w:r>
          </w:p>
        </w:tc>
        <w:tc>
          <w:tcPr>
            <w:tcW w:w="382" w:type="pct"/>
          </w:tcPr>
          <w:p w:rsidR="008C5A77" w:rsidRPr="005C0B16" w:rsidRDefault="008C5A77" w:rsidP="00F663E4">
            <w:pPr>
              <w:jc w:val="both"/>
              <w:rPr>
                <w:rFonts w:ascii="Arial" w:hAnsi="Arial" w:cs="Arial"/>
              </w:rPr>
            </w:pPr>
            <w:r w:rsidRPr="005C0B16">
              <w:rPr>
                <w:rFonts w:ascii="Arial" w:hAnsi="Arial" w:cs="Arial"/>
              </w:rPr>
              <w:t>1</w:t>
            </w:r>
          </w:p>
        </w:tc>
        <w:tc>
          <w:tcPr>
            <w:tcW w:w="529" w:type="pct"/>
          </w:tcPr>
          <w:p w:rsidR="008C5A77" w:rsidRPr="005C0B16" w:rsidRDefault="008C5A77" w:rsidP="00F663E4">
            <w:pPr>
              <w:jc w:val="both"/>
              <w:rPr>
                <w:rFonts w:ascii="Arial" w:hAnsi="Arial" w:cs="Arial"/>
              </w:rPr>
            </w:pPr>
            <w:r w:rsidRPr="005C0B16">
              <w:rPr>
                <w:rFonts w:ascii="Arial" w:hAnsi="Arial" w:cs="Arial"/>
              </w:rPr>
              <w:t>1</w:t>
            </w:r>
          </w:p>
        </w:tc>
        <w:tc>
          <w:tcPr>
            <w:tcW w:w="378" w:type="pct"/>
          </w:tcPr>
          <w:p w:rsidR="008C5A77" w:rsidRPr="005C0B16" w:rsidRDefault="008C5A77" w:rsidP="00F663E4">
            <w:pPr>
              <w:jc w:val="both"/>
              <w:rPr>
                <w:rFonts w:ascii="Arial" w:hAnsi="Arial" w:cs="Arial"/>
              </w:rPr>
            </w:pPr>
            <w:r w:rsidRPr="005C0B16">
              <w:rPr>
                <w:rFonts w:ascii="Arial" w:hAnsi="Arial" w:cs="Arial"/>
              </w:rPr>
              <w:t>287.9</w:t>
            </w:r>
          </w:p>
        </w:tc>
        <w:tc>
          <w:tcPr>
            <w:tcW w:w="378" w:type="pct"/>
          </w:tcPr>
          <w:p w:rsidR="008C5A77" w:rsidRPr="005C0B16" w:rsidRDefault="008C5A77" w:rsidP="00F663E4">
            <w:pPr>
              <w:jc w:val="both"/>
              <w:rPr>
                <w:rFonts w:ascii="Arial" w:hAnsi="Arial" w:cs="Arial"/>
              </w:rPr>
            </w:pPr>
            <w:r w:rsidRPr="005C0B16">
              <w:rPr>
                <w:rFonts w:ascii="Arial" w:hAnsi="Arial" w:cs="Arial"/>
              </w:rPr>
              <w:t>302.6</w:t>
            </w:r>
          </w:p>
        </w:tc>
        <w:tc>
          <w:tcPr>
            <w:tcW w:w="436" w:type="pct"/>
          </w:tcPr>
          <w:p w:rsidR="008C5A77" w:rsidRPr="005C0B16" w:rsidRDefault="008C5A77" w:rsidP="00F663E4">
            <w:pPr>
              <w:jc w:val="both"/>
              <w:rPr>
                <w:rFonts w:ascii="Arial" w:hAnsi="Arial" w:cs="Arial"/>
              </w:rPr>
            </w:pPr>
            <w:r w:rsidRPr="005C0B16">
              <w:rPr>
                <w:rFonts w:ascii="Arial" w:hAnsi="Arial" w:cs="Arial"/>
              </w:rPr>
              <w:t>43,650</w:t>
            </w:r>
          </w:p>
        </w:tc>
      </w:tr>
      <w:tr w:rsidR="008C5A77" w:rsidRPr="005C0B16" w:rsidTr="00F663E4">
        <w:tc>
          <w:tcPr>
            <w:tcW w:w="1268" w:type="pct"/>
          </w:tcPr>
          <w:p w:rsidR="008C5A77" w:rsidRPr="005C0B16" w:rsidRDefault="008C5A77" w:rsidP="00F663E4">
            <w:pPr>
              <w:jc w:val="both"/>
              <w:rPr>
                <w:rFonts w:ascii="Arial" w:hAnsi="Arial" w:cs="Arial"/>
              </w:rPr>
            </w:pPr>
            <w:r w:rsidRPr="005C0B16">
              <w:rPr>
                <w:rFonts w:ascii="Arial" w:hAnsi="Arial" w:cs="Arial"/>
              </w:rPr>
              <w:t xml:space="preserve">SARIMA (0,1,1) (0,1,1) </w:t>
            </w:r>
            <w:r w:rsidRPr="005C0B16">
              <w:rPr>
                <w:rFonts w:ascii="Cambria Math" w:hAnsi="Cambria Math" w:cs="Cambria Math"/>
              </w:rPr>
              <w:t>₁₂</w:t>
            </w:r>
          </w:p>
        </w:tc>
        <w:tc>
          <w:tcPr>
            <w:tcW w:w="414" w:type="pct"/>
          </w:tcPr>
          <w:p w:rsidR="008C5A77" w:rsidRPr="005C0B16" w:rsidRDefault="008C5A77" w:rsidP="00F663E4">
            <w:pPr>
              <w:jc w:val="both"/>
              <w:rPr>
                <w:rFonts w:ascii="Arial" w:hAnsi="Arial" w:cs="Arial"/>
              </w:rPr>
            </w:pPr>
            <w:r w:rsidRPr="005C0B16">
              <w:rPr>
                <w:rFonts w:ascii="Arial" w:hAnsi="Arial" w:cs="Arial"/>
              </w:rPr>
              <w:t>0</w:t>
            </w:r>
          </w:p>
        </w:tc>
        <w:tc>
          <w:tcPr>
            <w:tcW w:w="292" w:type="pct"/>
          </w:tcPr>
          <w:p w:rsidR="008C5A77" w:rsidRPr="005C0B16" w:rsidRDefault="008C5A77" w:rsidP="00F663E4">
            <w:pPr>
              <w:jc w:val="both"/>
              <w:rPr>
                <w:rFonts w:ascii="Arial" w:hAnsi="Arial" w:cs="Arial"/>
              </w:rPr>
            </w:pPr>
            <w:r w:rsidRPr="005C0B16">
              <w:rPr>
                <w:rFonts w:ascii="Arial" w:hAnsi="Arial" w:cs="Arial"/>
              </w:rPr>
              <w:t>1</w:t>
            </w:r>
          </w:p>
        </w:tc>
        <w:tc>
          <w:tcPr>
            <w:tcW w:w="439" w:type="pct"/>
          </w:tcPr>
          <w:p w:rsidR="008C5A77" w:rsidRPr="005C0B16" w:rsidRDefault="008C5A77" w:rsidP="00F663E4">
            <w:pPr>
              <w:jc w:val="both"/>
              <w:rPr>
                <w:rFonts w:ascii="Arial" w:hAnsi="Arial" w:cs="Arial"/>
              </w:rPr>
            </w:pPr>
            <w:r w:rsidRPr="005C0B16">
              <w:rPr>
                <w:rFonts w:ascii="Arial" w:hAnsi="Arial" w:cs="Arial"/>
              </w:rPr>
              <w:t>1</w:t>
            </w:r>
          </w:p>
        </w:tc>
        <w:tc>
          <w:tcPr>
            <w:tcW w:w="484" w:type="pct"/>
          </w:tcPr>
          <w:p w:rsidR="008C5A77" w:rsidRPr="005C0B16" w:rsidRDefault="008C5A77" w:rsidP="00F663E4">
            <w:pPr>
              <w:jc w:val="both"/>
              <w:rPr>
                <w:rFonts w:ascii="Arial" w:hAnsi="Arial" w:cs="Arial"/>
              </w:rPr>
            </w:pPr>
            <w:r w:rsidRPr="005C0B16">
              <w:rPr>
                <w:rFonts w:ascii="Arial" w:hAnsi="Arial" w:cs="Arial"/>
              </w:rPr>
              <w:t>0</w:t>
            </w:r>
          </w:p>
        </w:tc>
        <w:tc>
          <w:tcPr>
            <w:tcW w:w="382" w:type="pct"/>
          </w:tcPr>
          <w:p w:rsidR="008C5A77" w:rsidRPr="005C0B16" w:rsidRDefault="008C5A77" w:rsidP="00F663E4">
            <w:pPr>
              <w:jc w:val="both"/>
              <w:rPr>
                <w:rFonts w:ascii="Arial" w:hAnsi="Arial" w:cs="Arial"/>
              </w:rPr>
            </w:pPr>
            <w:r w:rsidRPr="005C0B16">
              <w:rPr>
                <w:rFonts w:ascii="Arial" w:hAnsi="Arial" w:cs="Arial"/>
              </w:rPr>
              <w:t>1</w:t>
            </w:r>
          </w:p>
        </w:tc>
        <w:tc>
          <w:tcPr>
            <w:tcW w:w="529" w:type="pct"/>
          </w:tcPr>
          <w:p w:rsidR="008C5A77" w:rsidRPr="005C0B16" w:rsidRDefault="008C5A77" w:rsidP="00F663E4">
            <w:pPr>
              <w:jc w:val="both"/>
              <w:rPr>
                <w:rFonts w:ascii="Arial" w:hAnsi="Arial" w:cs="Arial"/>
              </w:rPr>
            </w:pPr>
            <w:r w:rsidRPr="005C0B16">
              <w:rPr>
                <w:rFonts w:ascii="Arial" w:hAnsi="Arial" w:cs="Arial"/>
              </w:rPr>
              <w:t>1</w:t>
            </w:r>
          </w:p>
        </w:tc>
        <w:tc>
          <w:tcPr>
            <w:tcW w:w="378" w:type="pct"/>
          </w:tcPr>
          <w:p w:rsidR="008C5A77" w:rsidRPr="005C0B16" w:rsidRDefault="008C5A77" w:rsidP="00F663E4">
            <w:pPr>
              <w:jc w:val="both"/>
              <w:rPr>
                <w:rFonts w:ascii="Arial" w:hAnsi="Arial" w:cs="Arial"/>
              </w:rPr>
            </w:pPr>
            <w:r w:rsidRPr="005C0B16">
              <w:rPr>
                <w:rFonts w:ascii="Arial" w:hAnsi="Arial" w:cs="Arial"/>
              </w:rPr>
              <w:t>289.4</w:t>
            </w:r>
          </w:p>
        </w:tc>
        <w:tc>
          <w:tcPr>
            <w:tcW w:w="378" w:type="pct"/>
          </w:tcPr>
          <w:p w:rsidR="008C5A77" w:rsidRPr="005C0B16" w:rsidRDefault="008C5A77" w:rsidP="00F663E4">
            <w:pPr>
              <w:jc w:val="both"/>
              <w:rPr>
                <w:rFonts w:ascii="Arial" w:hAnsi="Arial" w:cs="Arial"/>
              </w:rPr>
            </w:pPr>
            <w:r w:rsidRPr="005C0B16">
              <w:rPr>
                <w:rFonts w:ascii="Arial" w:hAnsi="Arial" w:cs="Arial"/>
              </w:rPr>
              <w:t>300.1</w:t>
            </w:r>
          </w:p>
        </w:tc>
        <w:tc>
          <w:tcPr>
            <w:tcW w:w="436" w:type="pct"/>
          </w:tcPr>
          <w:p w:rsidR="008C5A77" w:rsidRPr="005C0B16" w:rsidRDefault="008C5A77" w:rsidP="00F663E4">
            <w:pPr>
              <w:jc w:val="both"/>
              <w:rPr>
                <w:rFonts w:ascii="Arial" w:hAnsi="Arial" w:cs="Arial"/>
              </w:rPr>
            </w:pPr>
            <w:r w:rsidRPr="005C0B16">
              <w:rPr>
                <w:rFonts w:ascii="Arial" w:hAnsi="Arial" w:cs="Arial"/>
              </w:rPr>
              <w:t>44,120</w:t>
            </w:r>
          </w:p>
        </w:tc>
      </w:tr>
    </w:tbl>
    <w:p w:rsidR="008C5A77" w:rsidRPr="005C0B16" w:rsidRDefault="008C5A77" w:rsidP="008C5A77">
      <w:pPr>
        <w:jc w:val="both"/>
        <w:rPr>
          <w:rFonts w:ascii="Arial" w:hAnsi="Arial" w:cs="Arial"/>
          <w:sz w:val="20"/>
          <w:szCs w:val="20"/>
        </w:rPr>
      </w:pPr>
      <w:r w:rsidRPr="005C0B16">
        <w:rPr>
          <w:rFonts w:ascii="Arial" w:hAnsi="Arial" w:cs="Arial"/>
          <w:b/>
          <w:bCs/>
          <w:sz w:val="20"/>
          <w:szCs w:val="20"/>
        </w:rPr>
        <w:t>Selected Model:</w:t>
      </w:r>
      <w:r w:rsidRPr="005C0B16">
        <w:rPr>
          <w:rFonts w:ascii="Arial" w:hAnsi="Arial" w:cs="Arial"/>
          <w:sz w:val="20"/>
          <w:szCs w:val="20"/>
        </w:rPr>
        <w:t xml:space="preserve"> SARIMA (1,1,1) (1,1,1) </w:t>
      </w:r>
      <w:r w:rsidRPr="005C0B16">
        <w:rPr>
          <w:rFonts w:ascii="Cambria Math" w:hAnsi="Cambria Math" w:cs="Cambria Math"/>
          <w:sz w:val="20"/>
          <w:szCs w:val="20"/>
        </w:rPr>
        <w:t>₁₂</w:t>
      </w:r>
      <w:r w:rsidRPr="005C0B16">
        <w:rPr>
          <w:rFonts w:ascii="Arial" w:hAnsi="Arial" w:cs="Arial"/>
          <w:sz w:val="20"/>
          <w:szCs w:val="20"/>
        </w:rPr>
        <w:t xml:space="preserve"> (lowest AIC and RMSE)</w:t>
      </w:r>
    </w:p>
    <w:p w:rsidR="008C5A77" w:rsidRPr="005C0B16" w:rsidRDefault="008C5A77" w:rsidP="008C5A77">
      <w:pPr>
        <w:jc w:val="both"/>
        <w:rPr>
          <w:rFonts w:ascii="Arial" w:hAnsi="Arial" w:cs="Arial"/>
          <w:b/>
          <w:bCs/>
          <w:sz w:val="20"/>
          <w:szCs w:val="20"/>
        </w:rPr>
      </w:pPr>
      <w:r w:rsidRPr="005C0B16">
        <w:rPr>
          <w:rFonts w:ascii="Arial" w:hAnsi="Arial" w:cs="Arial"/>
          <w:b/>
          <w:bCs/>
          <w:sz w:val="20"/>
          <w:szCs w:val="20"/>
        </w:rPr>
        <w:t xml:space="preserve">Step 3: SARIMA (1,1,1) (1,1,1) </w:t>
      </w:r>
      <w:r w:rsidRPr="005C0B16">
        <w:rPr>
          <w:rFonts w:ascii="Cambria Math" w:hAnsi="Cambria Math" w:cs="Cambria Math"/>
          <w:b/>
          <w:bCs/>
          <w:sz w:val="20"/>
          <w:szCs w:val="20"/>
        </w:rPr>
        <w:t>₁₂</w:t>
      </w:r>
      <w:r w:rsidRPr="005C0B16">
        <w:rPr>
          <w:rFonts w:ascii="Arial" w:hAnsi="Arial" w:cs="Arial"/>
          <w:b/>
          <w:bCs/>
          <w:sz w:val="20"/>
          <w:szCs w:val="20"/>
        </w:rPr>
        <w:t xml:space="preserve"> Coefficient Estimates</w:t>
      </w:r>
    </w:p>
    <w:tbl>
      <w:tblPr>
        <w:tblStyle w:val="TableGrid"/>
        <w:tblW w:w="5000" w:type="pct"/>
        <w:tblLook w:val="04A0"/>
      </w:tblPr>
      <w:tblGrid>
        <w:gridCol w:w="1921"/>
        <w:gridCol w:w="2085"/>
        <w:gridCol w:w="1880"/>
        <w:gridCol w:w="1837"/>
        <w:gridCol w:w="1519"/>
      </w:tblGrid>
      <w:tr w:rsidR="008C5A77" w:rsidRPr="005C0B16" w:rsidTr="00F663E4">
        <w:tc>
          <w:tcPr>
            <w:tcW w:w="1039" w:type="pct"/>
          </w:tcPr>
          <w:p w:rsidR="008C5A77" w:rsidRPr="005C0B16" w:rsidRDefault="008C5A77" w:rsidP="00F663E4">
            <w:pPr>
              <w:jc w:val="center"/>
              <w:rPr>
                <w:rFonts w:ascii="Arial" w:hAnsi="Arial" w:cs="Arial"/>
                <w:b/>
                <w:bCs/>
              </w:rPr>
            </w:pPr>
            <w:r w:rsidRPr="005C0B16">
              <w:rPr>
                <w:rFonts w:ascii="Arial" w:hAnsi="Arial" w:cs="Arial"/>
                <w:b/>
                <w:bCs/>
              </w:rPr>
              <w:t>Parameter</w:t>
            </w:r>
          </w:p>
        </w:tc>
        <w:tc>
          <w:tcPr>
            <w:tcW w:w="1128" w:type="pct"/>
          </w:tcPr>
          <w:p w:rsidR="008C5A77" w:rsidRPr="005C0B16" w:rsidRDefault="008C5A77" w:rsidP="00F663E4">
            <w:pPr>
              <w:jc w:val="center"/>
              <w:rPr>
                <w:rFonts w:ascii="Arial" w:hAnsi="Arial" w:cs="Arial"/>
                <w:b/>
                <w:bCs/>
              </w:rPr>
            </w:pPr>
            <w:r w:rsidRPr="005C0B16">
              <w:rPr>
                <w:rFonts w:ascii="Arial" w:hAnsi="Arial" w:cs="Arial"/>
                <w:b/>
                <w:bCs/>
              </w:rPr>
              <w:t>Coefficient</w:t>
            </w:r>
          </w:p>
        </w:tc>
        <w:tc>
          <w:tcPr>
            <w:tcW w:w="1017" w:type="pct"/>
          </w:tcPr>
          <w:p w:rsidR="008C5A77" w:rsidRPr="005C0B16" w:rsidRDefault="008C5A77" w:rsidP="00F663E4">
            <w:pPr>
              <w:jc w:val="center"/>
              <w:rPr>
                <w:rFonts w:ascii="Arial" w:hAnsi="Arial" w:cs="Arial"/>
                <w:b/>
                <w:bCs/>
              </w:rPr>
            </w:pPr>
            <w:r w:rsidRPr="005C0B16">
              <w:rPr>
                <w:rFonts w:ascii="Arial" w:hAnsi="Arial" w:cs="Arial"/>
                <w:b/>
                <w:bCs/>
              </w:rPr>
              <w:t>Std. Error</w:t>
            </w:r>
          </w:p>
        </w:tc>
        <w:tc>
          <w:tcPr>
            <w:tcW w:w="994" w:type="pct"/>
          </w:tcPr>
          <w:p w:rsidR="008C5A77" w:rsidRPr="005C0B16" w:rsidRDefault="0080595C" w:rsidP="00F663E4">
            <w:pPr>
              <w:jc w:val="center"/>
              <w:rPr>
                <w:rFonts w:ascii="Arial" w:hAnsi="Arial" w:cs="Arial"/>
                <w:b/>
                <w:bCs/>
              </w:rPr>
            </w:pPr>
            <w:r>
              <w:rPr>
                <w:rFonts w:ascii="Arial" w:hAnsi="Arial" w:cs="Arial"/>
                <w:b/>
                <w:bCs/>
              </w:rPr>
              <w:t>‘</w:t>
            </w:r>
            <w:r w:rsidRPr="005C0B16">
              <w:rPr>
                <w:rFonts w:ascii="Arial" w:hAnsi="Arial" w:cs="Arial"/>
                <w:b/>
                <w:bCs/>
              </w:rPr>
              <w:t>z</w:t>
            </w:r>
            <w:r>
              <w:rPr>
                <w:rFonts w:ascii="Arial" w:hAnsi="Arial" w:cs="Arial"/>
                <w:b/>
                <w:bCs/>
              </w:rPr>
              <w:t>’ S</w:t>
            </w:r>
            <w:r w:rsidR="008C5A77" w:rsidRPr="005C0B16">
              <w:rPr>
                <w:rFonts w:ascii="Arial" w:hAnsi="Arial" w:cs="Arial"/>
                <w:b/>
                <w:bCs/>
              </w:rPr>
              <w:t>tatistic</w:t>
            </w:r>
          </w:p>
        </w:tc>
        <w:tc>
          <w:tcPr>
            <w:tcW w:w="822" w:type="pct"/>
          </w:tcPr>
          <w:p w:rsidR="008C5A77" w:rsidRPr="005C0B16" w:rsidRDefault="0080595C" w:rsidP="00F663E4">
            <w:pPr>
              <w:jc w:val="center"/>
              <w:rPr>
                <w:rFonts w:ascii="Arial" w:hAnsi="Arial" w:cs="Arial"/>
                <w:b/>
                <w:bCs/>
              </w:rPr>
            </w:pPr>
            <w:r>
              <w:rPr>
                <w:rFonts w:ascii="Arial" w:hAnsi="Arial" w:cs="Arial"/>
                <w:b/>
                <w:bCs/>
                <w:i/>
                <w:iCs/>
              </w:rPr>
              <w:t>‘</w:t>
            </w:r>
            <w:r w:rsidR="008C5A77" w:rsidRPr="00D128ED">
              <w:rPr>
                <w:rFonts w:ascii="Arial" w:hAnsi="Arial" w:cs="Arial"/>
                <w:b/>
                <w:bCs/>
                <w:i/>
                <w:iCs/>
              </w:rPr>
              <w:t>P</w:t>
            </w:r>
            <w:r>
              <w:rPr>
                <w:rFonts w:ascii="Arial" w:hAnsi="Arial" w:cs="Arial"/>
                <w:b/>
                <w:bCs/>
                <w:i/>
                <w:iCs/>
              </w:rPr>
              <w:t>’ V</w:t>
            </w:r>
            <w:r w:rsidR="008C5A77" w:rsidRPr="005C0B16">
              <w:rPr>
                <w:rFonts w:ascii="Arial" w:hAnsi="Arial" w:cs="Arial"/>
                <w:b/>
                <w:bCs/>
              </w:rPr>
              <w:t>alue</w:t>
            </w:r>
          </w:p>
        </w:tc>
      </w:tr>
      <w:tr w:rsidR="008C5A77" w:rsidRPr="005C0B16" w:rsidTr="00F663E4">
        <w:tc>
          <w:tcPr>
            <w:tcW w:w="1039" w:type="pct"/>
          </w:tcPr>
          <w:p w:rsidR="008C5A77" w:rsidRPr="005C0B16" w:rsidRDefault="008C5A77" w:rsidP="00F663E4">
            <w:pPr>
              <w:jc w:val="both"/>
              <w:rPr>
                <w:rFonts w:ascii="Arial" w:hAnsi="Arial" w:cs="Arial"/>
              </w:rPr>
            </w:pPr>
            <w:r w:rsidRPr="005C0B16">
              <w:rPr>
                <w:rFonts w:ascii="Arial" w:hAnsi="Arial" w:cs="Arial"/>
                <w:b/>
                <w:bCs/>
              </w:rPr>
              <w:t>AR (1)</w:t>
            </w:r>
          </w:p>
        </w:tc>
        <w:tc>
          <w:tcPr>
            <w:tcW w:w="1128" w:type="pct"/>
          </w:tcPr>
          <w:p w:rsidR="008C5A77" w:rsidRPr="005C0B16" w:rsidRDefault="008C5A77" w:rsidP="00F663E4">
            <w:pPr>
              <w:jc w:val="both"/>
              <w:rPr>
                <w:rFonts w:ascii="Arial" w:hAnsi="Arial" w:cs="Arial"/>
              </w:rPr>
            </w:pPr>
            <w:r w:rsidRPr="005C0B16">
              <w:rPr>
                <w:rFonts w:ascii="Arial" w:hAnsi="Arial" w:cs="Arial"/>
              </w:rPr>
              <w:t>0.452</w:t>
            </w:r>
          </w:p>
        </w:tc>
        <w:tc>
          <w:tcPr>
            <w:tcW w:w="1017" w:type="pct"/>
          </w:tcPr>
          <w:p w:rsidR="008C5A77" w:rsidRPr="005C0B16" w:rsidRDefault="008C5A77" w:rsidP="00F663E4">
            <w:pPr>
              <w:jc w:val="both"/>
              <w:rPr>
                <w:rFonts w:ascii="Arial" w:hAnsi="Arial" w:cs="Arial"/>
              </w:rPr>
            </w:pPr>
            <w:r w:rsidRPr="005C0B16">
              <w:rPr>
                <w:rFonts w:ascii="Arial" w:hAnsi="Arial" w:cs="Arial"/>
              </w:rPr>
              <w:t>0.156</w:t>
            </w:r>
          </w:p>
        </w:tc>
        <w:tc>
          <w:tcPr>
            <w:tcW w:w="994" w:type="pct"/>
          </w:tcPr>
          <w:p w:rsidR="008C5A77" w:rsidRPr="005C0B16" w:rsidRDefault="008C5A77" w:rsidP="00F663E4">
            <w:pPr>
              <w:jc w:val="both"/>
              <w:rPr>
                <w:rFonts w:ascii="Arial" w:hAnsi="Arial" w:cs="Arial"/>
              </w:rPr>
            </w:pPr>
            <w:r w:rsidRPr="005C0B16">
              <w:rPr>
                <w:rFonts w:ascii="Arial" w:hAnsi="Arial" w:cs="Arial"/>
              </w:rPr>
              <w:t>2.90</w:t>
            </w:r>
          </w:p>
        </w:tc>
        <w:tc>
          <w:tcPr>
            <w:tcW w:w="822" w:type="pct"/>
          </w:tcPr>
          <w:p w:rsidR="008C5A77" w:rsidRPr="005C0B16" w:rsidRDefault="00F10B9C" w:rsidP="00F663E4">
            <w:pPr>
              <w:jc w:val="both"/>
              <w:rPr>
                <w:rFonts w:ascii="Arial" w:hAnsi="Arial" w:cs="Arial"/>
              </w:rPr>
            </w:pPr>
            <w:r w:rsidRPr="00F10B9C">
              <w:rPr>
                <w:rFonts w:ascii="Arial" w:hAnsi="Arial" w:cs="Arial"/>
                <w:i/>
                <w:iCs/>
              </w:rPr>
              <w:t>P</w:t>
            </w:r>
            <w:r>
              <w:rPr>
                <w:rFonts w:ascii="Arial" w:hAnsi="Arial" w:cs="Arial"/>
              </w:rPr>
              <w:t>&lt;</w:t>
            </w:r>
            <w:r w:rsidR="008C5A77" w:rsidRPr="005C0B16">
              <w:rPr>
                <w:rFonts w:ascii="Arial" w:hAnsi="Arial" w:cs="Arial"/>
              </w:rPr>
              <w:t>.0</w:t>
            </w:r>
            <w:r w:rsidR="008C5A77">
              <w:rPr>
                <w:rFonts w:ascii="Arial" w:hAnsi="Arial" w:cs="Arial"/>
              </w:rPr>
              <w:t>0</w:t>
            </w:r>
          </w:p>
        </w:tc>
      </w:tr>
      <w:tr w:rsidR="008C5A77" w:rsidRPr="005C0B16" w:rsidTr="00F663E4">
        <w:tc>
          <w:tcPr>
            <w:tcW w:w="1039" w:type="pct"/>
          </w:tcPr>
          <w:p w:rsidR="008C5A77" w:rsidRPr="005C0B16" w:rsidRDefault="008C5A77" w:rsidP="00F663E4">
            <w:pPr>
              <w:jc w:val="both"/>
              <w:rPr>
                <w:rFonts w:ascii="Arial" w:hAnsi="Arial" w:cs="Arial"/>
              </w:rPr>
            </w:pPr>
            <w:r w:rsidRPr="005C0B16">
              <w:rPr>
                <w:rFonts w:ascii="Arial" w:hAnsi="Arial" w:cs="Arial"/>
                <w:b/>
                <w:bCs/>
              </w:rPr>
              <w:t>MA (1)</w:t>
            </w:r>
          </w:p>
        </w:tc>
        <w:tc>
          <w:tcPr>
            <w:tcW w:w="1128" w:type="pct"/>
          </w:tcPr>
          <w:p w:rsidR="008C5A77" w:rsidRPr="005C0B16" w:rsidRDefault="008C5A77" w:rsidP="00F663E4">
            <w:pPr>
              <w:jc w:val="both"/>
              <w:rPr>
                <w:rFonts w:ascii="Arial" w:hAnsi="Arial" w:cs="Arial"/>
              </w:rPr>
            </w:pPr>
            <w:r w:rsidRPr="005C0B16">
              <w:rPr>
                <w:rFonts w:ascii="Arial" w:hAnsi="Arial" w:cs="Arial"/>
              </w:rPr>
              <w:t>-0.834</w:t>
            </w:r>
          </w:p>
        </w:tc>
        <w:tc>
          <w:tcPr>
            <w:tcW w:w="1017" w:type="pct"/>
          </w:tcPr>
          <w:p w:rsidR="008C5A77" w:rsidRPr="005C0B16" w:rsidRDefault="008C5A77" w:rsidP="00F663E4">
            <w:pPr>
              <w:jc w:val="both"/>
              <w:rPr>
                <w:rFonts w:ascii="Arial" w:hAnsi="Arial" w:cs="Arial"/>
              </w:rPr>
            </w:pPr>
            <w:r w:rsidRPr="005C0B16">
              <w:rPr>
                <w:rFonts w:ascii="Arial" w:hAnsi="Arial" w:cs="Arial"/>
              </w:rPr>
              <w:t>0.112</w:t>
            </w:r>
          </w:p>
        </w:tc>
        <w:tc>
          <w:tcPr>
            <w:tcW w:w="994" w:type="pct"/>
          </w:tcPr>
          <w:p w:rsidR="008C5A77" w:rsidRPr="005C0B16" w:rsidRDefault="008C5A77" w:rsidP="00F663E4">
            <w:pPr>
              <w:jc w:val="both"/>
              <w:rPr>
                <w:rFonts w:ascii="Arial" w:hAnsi="Arial" w:cs="Arial"/>
              </w:rPr>
            </w:pPr>
            <w:r w:rsidRPr="005C0B16">
              <w:rPr>
                <w:rFonts w:ascii="Arial" w:hAnsi="Arial" w:cs="Arial"/>
              </w:rPr>
              <w:t>-7.45</w:t>
            </w:r>
          </w:p>
        </w:tc>
        <w:tc>
          <w:tcPr>
            <w:tcW w:w="822" w:type="pct"/>
          </w:tcPr>
          <w:p w:rsidR="008C5A77" w:rsidRPr="005C0B16" w:rsidRDefault="00F10B9C" w:rsidP="00F663E4">
            <w:pPr>
              <w:jc w:val="both"/>
              <w:rPr>
                <w:rFonts w:ascii="Arial" w:hAnsi="Arial" w:cs="Arial"/>
              </w:rPr>
            </w:pPr>
            <w:r w:rsidRPr="00F10B9C">
              <w:rPr>
                <w:rFonts w:ascii="Arial" w:hAnsi="Arial" w:cs="Arial"/>
                <w:i/>
                <w:iCs/>
              </w:rPr>
              <w:t>P</w:t>
            </w:r>
            <w:r>
              <w:rPr>
                <w:rFonts w:ascii="Arial" w:hAnsi="Arial" w:cs="Arial"/>
              </w:rPr>
              <w:t>&lt;</w:t>
            </w:r>
            <w:r w:rsidR="008C5A77" w:rsidRPr="005C0B16">
              <w:rPr>
                <w:rFonts w:ascii="Arial" w:hAnsi="Arial" w:cs="Arial"/>
              </w:rPr>
              <w:t>.001</w:t>
            </w:r>
          </w:p>
        </w:tc>
      </w:tr>
      <w:tr w:rsidR="008C5A77" w:rsidRPr="005C0B16" w:rsidTr="00F663E4">
        <w:tc>
          <w:tcPr>
            <w:tcW w:w="1039" w:type="pct"/>
          </w:tcPr>
          <w:p w:rsidR="008C5A77" w:rsidRPr="005C0B16" w:rsidRDefault="008C5A77" w:rsidP="00F663E4">
            <w:pPr>
              <w:jc w:val="both"/>
              <w:rPr>
                <w:rFonts w:ascii="Arial" w:hAnsi="Arial" w:cs="Arial"/>
              </w:rPr>
            </w:pPr>
            <w:r w:rsidRPr="005C0B16">
              <w:rPr>
                <w:rFonts w:ascii="Arial" w:hAnsi="Arial" w:cs="Arial"/>
                <w:b/>
                <w:bCs/>
              </w:rPr>
              <w:t>SAR (1)</w:t>
            </w:r>
          </w:p>
        </w:tc>
        <w:tc>
          <w:tcPr>
            <w:tcW w:w="1128" w:type="pct"/>
          </w:tcPr>
          <w:p w:rsidR="008C5A77" w:rsidRPr="005C0B16" w:rsidRDefault="008C5A77" w:rsidP="00F663E4">
            <w:pPr>
              <w:jc w:val="both"/>
              <w:rPr>
                <w:rFonts w:ascii="Arial" w:hAnsi="Arial" w:cs="Arial"/>
              </w:rPr>
            </w:pPr>
            <w:r w:rsidRPr="005C0B16">
              <w:rPr>
                <w:rFonts w:ascii="Arial" w:hAnsi="Arial" w:cs="Arial"/>
              </w:rPr>
              <w:t>0.328</w:t>
            </w:r>
          </w:p>
        </w:tc>
        <w:tc>
          <w:tcPr>
            <w:tcW w:w="1017" w:type="pct"/>
          </w:tcPr>
          <w:p w:rsidR="008C5A77" w:rsidRPr="005C0B16" w:rsidRDefault="008C5A77" w:rsidP="00F663E4">
            <w:pPr>
              <w:jc w:val="both"/>
              <w:rPr>
                <w:rFonts w:ascii="Arial" w:hAnsi="Arial" w:cs="Arial"/>
              </w:rPr>
            </w:pPr>
            <w:r w:rsidRPr="005C0B16">
              <w:rPr>
                <w:rFonts w:ascii="Arial" w:hAnsi="Arial" w:cs="Arial"/>
              </w:rPr>
              <w:t>0.189</w:t>
            </w:r>
          </w:p>
        </w:tc>
        <w:tc>
          <w:tcPr>
            <w:tcW w:w="994" w:type="pct"/>
          </w:tcPr>
          <w:p w:rsidR="008C5A77" w:rsidRPr="005C0B16" w:rsidRDefault="008C5A77" w:rsidP="00F663E4">
            <w:pPr>
              <w:jc w:val="both"/>
              <w:rPr>
                <w:rFonts w:ascii="Arial" w:hAnsi="Arial" w:cs="Arial"/>
              </w:rPr>
            </w:pPr>
            <w:r w:rsidRPr="005C0B16">
              <w:rPr>
                <w:rFonts w:ascii="Arial" w:hAnsi="Arial" w:cs="Arial"/>
              </w:rPr>
              <w:t>1.74</w:t>
            </w:r>
          </w:p>
        </w:tc>
        <w:tc>
          <w:tcPr>
            <w:tcW w:w="822" w:type="pct"/>
          </w:tcPr>
          <w:p w:rsidR="008C5A77" w:rsidRPr="005C0B16" w:rsidRDefault="00F10B9C" w:rsidP="00F663E4">
            <w:pPr>
              <w:jc w:val="both"/>
              <w:rPr>
                <w:rFonts w:ascii="Arial" w:hAnsi="Arial" w:cs="Arial"/>
              </w:rPr>
            </w:pPr>
            <w:r w:rsidRPr="00F10B9C">
              <w:rPr>
                <w:rFonts w:ascii="Arial" w:hAnsi="Arial" w:cs="Arial"/>
                <w:i/>
                <w:iCs/>
              </w:rPr>
              <w:t>P</w:t>
            </w:r>
            <w:r>
              <w:rPr>
                <w:rFonts w:ascii="Arial" w:hAnsi="Arial" w:cs="Arial"/>
              </w:rPr>
              <w:t xml:space="preserve"> = </w:t>
            </w:r>
            <w:r w:rsidR="008C5A77" w:rsidRPr="005C0B16">
              <w:rPr>
                <w:rFonts w:ascii="Arial" w:hAnsi="Arial" w:cs="Arial"/>
              </w:rPr>
              <w:t>.08</w:t>
            </w:r>
          </w:p>
        </w:tc>
      </w:tr>
      <w:tr w:rsidR="008C5A77" w:rsidRPr="005C0B16" w:rsidTr="00F663E4">
        <w:tc>
          <w:tcPr>
            <w:tcW w:w="1039" w:type="pct"/>
          </w:tcPr>
          <w:p w:rsidR="008C5A77" w:rsidRPr="005C0B16" w:rsidRDefault="008C5A77" w:rsidP="00F663E4">
            <w:pPr>
              <w:jc w:val="both"/>
              <w:rPr>
                <w:rFonts w:ascii="Arial" w:hAnsi="Arial" w:cs="Arial"/>
              </w:rPr>
            </w:pPr>
            <w:r w:rsidRPr="005C0B16">
              <w:rPr>
                <w:rFonts w:ascii="Arial" w:hAnsi="Arial" w:cs="Arial"/>
                <w:b/>
                <w:bCs/>
              </w:rPr>
              <w:t>SMA (1)</w:t>
            </w:r>
          </w:p>
        </w:tc>
        <w:tc>
          <w:tcPr>
            <w:tcW w:w="1128" w:type="pct"/>
          </w:tcPr>
          <w:p w:rsidR="008C5A77" w:rsidRPr="005C0B16" w:rsidRDefault="008C5A77" w:rsidP="00F663E4">
            <w:pPr>
              <w:jc w:val="both"/>
              <w:rPr>
                <w:rFonts w:ascii="Arial" w:hAnsi="Arial" w:cs="Arial"/>
              </w:rPr>
            </w:pPr>
            <w:r w:rsidRPr="005C0B16">
              <w:rPr>
                <w:rFonts w:ascii="Arial" w:hAnsi="Arial" w:cs="Arial"/>
              </w:rPr>
              <w:t>-0.721</w:t>
            </w:r>
          </w:p>
        </w:tc>
        <w:tc>
          <w:tcPr>
            <w:tcW w:w="1017" w:type="pct"/>
          </w:tcPr>
          <w:p w:rsidR="008C5A77" w:rsidRPr="005C0B16" w:rsidRDefault="008C5A77" w:rsidP="00F663E4">
            <w:pPr>
              <w:jc w:val="both"/>
              <w:rPr>
                <w:rFonts w:ascii="Arial" w:hAnsi="Arial" w:cs="Arial"/>
              </w:rPr>
            </w:pPr>
            <w:r w:rsidRPr="005C0B16">
              <w:rPr>
                <w:rFonts w:ascii="Arial" w:hAnsi="Arial" w:cs="Arial"/>
              </w:rPr>
              <w:t>0.145</w:t>
            </w:r>
          </w:p>
        </w:tc>
        <w:tc>
          <w:tcPr>
            <w:tcW w:w="994" w:type="pct"/>
          </w:tcPr>
          <w:p w:rsidR="008C5A77" w:rsidRPr="005C0B16" w:rsidRDefault="008C5A77" w:rsidP="00F663E4">
            <w:pPr>
              <w:jc w:val="both"/>
              <w:rPr>
                <w:rFonts w:ascii="Arial" w:hAnsi="Arial" w:cs="Arial"/>
              </w:rPr>
            </w:pPr>
            <w:r w:rsidRPr="005C0B16">
              <w:rPr>
                <w:rFonts w:ascii="Arial" w:hAnsi="Arial" w:cs="Arial"/>
              </w:rPr>
              <w:t>-4.97</w:t>
            </w:r>
          </w:p>
        </w:tc>
        <w:tc>
          <w:tcPr>
            <w:tcW w:w="822" w:type="pct"/>
          </w:tcPr>
          <w:p w:rsidR="008C5A77" w:rsidRPr="005C0B16" w:rsidRDefault="00F10B9C" w:rsidP="00F663E4">
            <w:pPr>
              <w:jc w:val="both"/>
              <w:rPr>
                <w:rFonts w:ascii="Arial" w:hAnsi="Arial" w:cs="Arial"/>
              </w:rPr>
            </w:pPr>
            <w:r w:rsidRPr="00F10B9C">
              <w:rPr>
                <w:rFonts w:ascii="Arial" w:hAnsi="Arial" w:cs="Arial"/>
                <w:i/>
                <w:iCs/>
              </w:rPr>
              <w:t>P</w:t>
            </w:r>
            <w:r>
              <w:rPr>
                <w:rFonts w:ascii="Arial" w:hAnsi="Arial" w:cs="Arial"/>
              </w:rPr>
              <w:t>&lt;</w:t>
            </w:r>
            <w:r w:rsidRPr="005C0B16">
              <w:rPr>
                <w:rFonts w:ascii="Arial" w:hAnsi="Arial" w:cs="Arial"/>
              </w:rPr>
              <w:t>.001</w:t>
            </w:r>
          </w:p>
        </w:tc>
      </w:tr>
    </w:tbl>
    <w:p w:rsidR="00F10B9C" w:rsidRDefault="00F10B9C" w:rsidP="008C5A77">
      <w:pPr>
        <w:jc w:val="both"/>
        <w:rPr>
          <w:rFonts w:ascii="Arial" w:hAnsi="Arial" w:cs="Arial"/>
          <w:b/>
          <w:bCs/>
          <w:sz w:val="20"/>
          <w:szCs w:val="20"/>
        </w:rPr>
      </w:pPr>
    </w:p>
    <w:p w:rsidR="008C5A77" w:rsidRPr="005C0B16" w:rsidRDefault="008C5A77" w:rsidP="008C5A77">
      <w:pPr>
        <w:jc w:val="both"/>
        <w:rPr>
          <w:rFonts w:ascii="Arial" w:hAnsi="Arial" w:cs="Arial"/>
          <w:sz w:val="20"/>
          <w:szCs w:val="20"/>
        </w:rPr>
      </w:pPr>
      <w:r w:rsidRPr="005C0B16">
        <w:rPr>
          <w:rFonts w:ascii="Arial" w:hAnsi="Arial" w:cs="Arial"/>
          <w:b/>
          <w:bCs/>
          <w:sz w:val="20"/>
          <w:szCs w:val="20"/>
        </w:rPr>
        <w:t>Model Diagnostics:</w:t>
      </w:r>
    </w:p>
    <w:tbl>
      <w:tblPr>
        <w:tblStyle w:val="TableGrid"/>
        <w:tblW w:w="5000" w:type="pct"/>
        <w:tblLook w:val="04A0"/>
      </w:tblPr>
      <w:tblGrid>
        <w:gridCol w:w="3721"/>
        <w:gridCol w:w="1155"/>
        <w:gridCol w:w="1094"/>
        <w:gridCol w:w="3272"/>
      </w:tblGrid>
      <w:tr w:rsidR="008C5A77" w:rsidRPr="005C0B16" w:rsidTr="00F663E4">
        <w:tc>
          <w:tcPr>
            <w:tcW w:w="2013" w:type="pct"/>
          </w:tcPr>
          <w:p w:rsidR="008C5A77" w:rsidRPr="005C0B16" w:rsidRDefault="008C5A77" w:rsidP="00F663E4">
            <w:pPr>
              <w:jc w:val="center"/>
              <w:rPr>
                <w:rFonts w:ascii="Arial" w:hAnsi="Arial" w:cs="Arial"/>
                <w:b/>
                <w:bCs/>
              </w:rPr>
            </w:pPr>
            <w:r w:rsidRPr="005C0B16">
              <w:rPr>
                <w:rFonts w:ascii="Arial" w:hAnsi="Arial" w:cs="Arial"/>
                <w:b/>
                <w:bCs/>
              </w:rPr>
              <w:t>Test</w:t>
            </w:r>
          </w:p>
        </w:tc>
        <w:tc>
          <w:tcPr>
            <w:tcW w:w="625" w:type="pct"/>
          </w:tcPr>
          <w:p w:rsidR="008C5A77" w:rsidRPr="005C0B16" w:rsidRDefault="008C5A77" w:rsidP="00F663E4">
            <w:pPr>
              <w:jc w:val="center"/>
              <w:rPr>
                <w:rFonts w:ascii="Arial" w:hAnsi="Arial" w:cs="Arial"/>
                <w:b/>
                <w:bCs/>
              </w:rPr>
            </w:pPr>
            <w:r w:rsidRPr="005C0B16">
              <w:rPr>
                <w:rFonts w:ascii="Arial" w:hAnsi="Arial" w:cs="Arial"/>
                <w:b/>
                <w:bCs/>
              </w:rPr>
              <w:t>Statistic</w:t>
            </w:r>
          </w:p>
        </w:tc>
        <w:tc>
          <w:tcPr>
            <w:tcW w:w="592" w:type="pct"/>
          </w:tcPr>
          <w:p w:rsidR="008C5A77" w:rsidRPr="005C0B16" w:rsidRDefault="0080595C" w:rsidP="00F663E4">
            <w:pPr>
              <w:jc w:val="center"/>
              <w:rPr>
                <w:rFonts w:ascii="Arial" w:hAnsi="Arial" w:cs="Arial"/>
                <w:b/>
                <w:bCs/>
              </w:rPr>
            </w:pPr>
            <w:r>
              <w:rPr>
                <w:rFonts w:ascii="Arial" w:hAnsi="Arial" w:cs="Arial"/>
                <w:b/>
                <w:bCs/>
                <w:i/>
                <w:iCs/>
              </w:rPr>
              <w:t>‘</w:t>
            </w:r>
            <w:r w:rsidR="008C5A77" w:rsidRPr="00D128ED">
              <w:rPr>
                <w:rFonts w:ascii="Arial" w:hAnsi="Arial" w:cs="Arial"/>
                <w:b/>
                <w:bCs/>
                <w:i/>
                <w:iCs/>
              </w:rPr>
              <w:t>P</w:t>
            </w:r>
            <w:r>
              <w:rPr>
                <w:rFonts w:ascii="Arial" w:hAnsi="Arial" w:cs="Arial"/>
                <w:b/>
                <w:bCs/>
                <w:i/>
                <w:iCs/>
              </w:rPr>
              <w:t>’ V</w:t>
            </w:r>
            <w:r w:rsidR="008C5A77" w:rsidRPr="005C0B16">
              <w:rPr>
                <w:rFonts w:ascii="Arial" w:hAnsi="Arial" w:cs="Arial"/>
                <w:b/>
                <w:bCs/>
              </w:rPr>
              <w:t>alue</w:t>
            </w:r>
          </w:p>
        </w:tc>
        <w:tc>
          <w:tcPr>
            <w:tcW w:w="1771" w:type="pct"/>
          </w:tcPr>
          <w:p w:rsidR="008C5A77" w:rsidRPr="005C0B16" w:rsidRDefault="008C5A77" w:rsidP="00F663E4">
            <w:pPr>
              <w:jc w:val="center"/>
              <w:rPr>
                <w:rFonts w:ascii="Arial" w:hAnsi="Arial" w:cs="Arial"/>
                <w:b/>
                <w:bCs/>
              </w:rPr>
            </w:pPr>
            <w:r w:rsidRPr="005C0B16">
              <w:rPr>
                <w:rFonts w:ascii="Arial" w:hAnsi="Arial" w:cs="Arial"/>
                <w:b/>
                <w:bCs/>
              </w:rPr>
              <w:t>Result</w:t>
            </w:r>
          </w:p>
        </w:tc>
      </w:tr>
      <w:tr w:rsidR="008C5A77" w:rsidRPr="005C0B16" w:rsidTr="00F663E4">
        <w:tc>
          <w:tcPr>
            <w:tcW w:w="2013" w:type="pct"/>
          </w:tcPr>
          <w:p w:rsidR="008C5A77" w:rsidRPr="005C0B16" w:rsidRDefault="008C5A77" w:rsidP="00F663E4">
            <w:pPr>
              <w:jc w:val="both"/>
              <w:rPr>
                <w:rFonts w:ascii="Arial" w:hAnsi="Arial" w:cs="Arial"/>
              </w:rPr>
            </w:pPr>
            <w:r w:rsidRPr="005C0B16">
              <w:rPr>
                <w:rFonts w:ascii="Arial" w:hAnsi="Arial" w:cs="Arial"/>
              </w:rPr>
              <w:t>Ljung-Box Q (lag 12)</w:t>
            </w:r>
          </w:p>
        </w:tc>
        <w:tc>
          <w:tcPr>
            <w:tcW w:w="625" w:type="pct"/>
          </w:tcPr>
          <w:p w:rsidR="008C5A77" w:rsidRPr="005C0B16" w:rsidRDefault="008C5A77" w:rsidP="00F663E4">
            <w:pPr>
              <w:jc w:val="both"/>
              <w:rPr>
                <w:rFonts w:ascii="Arial" w:hAnsi="Arial" w:cs="Arial"/>
              </w:rPr>
            </w:pPr>
            <w:r w:rsidRPr="005C0B16">
              <w:rPr>
                <w:rFonts w:ascii="Arial" w:hAnsi="Arial" w:cs="Arial"/>
              </w:rPr>
              <w:t>8.45</w:t>
            </w:r>
          </w:p>
        </w:tc>
        <w:tc>
          <w:tcPr>
            <w:tcW w:w="592" w:type="pct"/>
          </w:tcPr>
          <w:p w:rsidR="008C5A77" w:rsidRPr="00943A01" w:rsidRDefault="00F10B9C"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 xml:space="preserve"> = </w:t>
            </w:r>
            <w:r w:rsidR="008C5A77" w:rsidRPr="00943A01">
              <w:rPr>
                <w:rFonts w:ascii="Arial" w:hAnsi="Arial" w:cs="Arial"/>
                <w:color w:val="FF0000"/>
              </w:rPr>
              <w:t>.67</w:t>
            </w:r>
          </w:p>
        </w:tc>
        <w:tc>
          <w:tcPr>
            <w:tcW w:w="1771" w:type="pct"/>
          </w:tcPr>
          <w:p w:rsidR="008C5A77" w:rsidRPr="005C0B16" w:rsidRDefault="008C5A77" w:rsidP="00F663E4">
            <w:pPr>
              <w:jc w:val="both"/>
              <w:rPr>
                <w:rFonts w:ascii="Arial" w:hAnsi="Arial" w:cs="Arial"/>
              </w:rPr>
            </w:pPr>
            <w:r w:rsidRPr="005C0B16">
              <w:rPr>
                <w:rFonts w:ascii="Arial" w:hAnsi="Arial" w:cs="Arial"/>
              </w:rPr>
              <w:t>No residual autocorrelation</w:t>
            </w:r>
          </w:p>
        </w:tc>
      </w:tr>
      <w:tr w:rsidR="008C5A77" w:rsidRPr="005C0B16" w:rsidTr="00F663E4">
        <w:tc>
          <w:tcPr>
            <w:tcW w:w="2013" w:type="pct"/>
          </w:tcPr>
          <w:p w:rsidR="008C5A77" w:rsidRPr="005C0B16" w:rsidRDefault="008C5A77" w:rsidP="00F663E4">
            <w:pPr>
              <w:jc w:val="both"/>
              <w:rPr>
                <w:rFonts w:ascii="Arial" w:hAnsi="Arial" w:cs="Arial"/>
              </w:rPr>
            </w:pPr>
            <w:r w:rsidRPr="005C0B16">
              <w:rPr>
                <w:rFonts w:ascii="Arial" w:hAnsi="Arial" w:cs="Arial"/>
              </w:rPr>
              <w:t>Jarque-Bera (normality)</w:t>
            </w:r>
          </w:p>
        </w:tc>
        <w:tc>
          <w:tcPr>
            <w:tcW w:w="625" w:type="pct"/>
          </w:tcPr>
          <w:p w:rsidR="008C5A77" w:rsidRPr="005C0B16" w:rsidRDefault="008C5A77" w:rsidP="00F663E4">
            <w:pPr>
              <w:jc w:val="both"/>
              <w:rPr>
                <w:rFonts w:ascii="Arial" w:hAnsi="Arial" w:cs="Arial"/>
              </w:rPr>
            </w:pPr>
            <w:r w:rsidRPr="005C0B16">
              <w:rPr>
                <w:rFonts w:ascii="Arial" w:hAnsi="Arial" w:cs="Arial"/>
              </w:rPr>
              <w:t>2.34</w:t>
            </w:r>
          </w:p>
        </w:tc>
        <w:tc>
          <w:tcPr>
            <w:tcW w:w="592" w:type="pct"/>
          </w:tcPr>
          <w:p w:rsidR="008C5A77" w:rsidRPr="00943A01" w:rsidRDefault="00F10B9C"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 xml:space="preserve"> = </w:t>
            </w:r>
            <w:r w:rsidR="008C5A77" w:rsidRPr="00943A01">
              <w:rPr>
                <w:rFonts w:ascii="Arial" w:hAnsi="Arial" w:cs="Arial"/>
                <w:color w:val="FF0000"/>
              </w:rPr>
              <w:t>.31</w:t>
            </w:r>
          </w:p>
        </w:tc>
        <w:tc>
          <w:tcPr>
            <w:tcW w:w="1771" w:type="pct"/>
          </w:tcPr>
          <w:p w:rsidR="008C5A77" w:rsidRPr="005C0B16" w:rsidRDefault="008C5A77" w:rsidP="00F663E4">
            <w:pPr>
              <w:jc w:val="both"/>
              <w:rPr>
                <w:rFonts w:ascii="Arial" w:hAnsi="Arial" w:cs="Arial"/>
              </w:rPr>
            </w:pPr>
            <w:r w:rsidRPr="005C0B16">
              <w:rPr>
                <w:rFonts w:ascii="Arial" w:hAnsi="Arial" w:cs="Arial"/>
              </w:rPr>
              <w:t>Residuals are normal</w:t>
            </w:r>
          </w:p>
        </w:tc>
      </w:tr>
      <w:tr w:rsidR="008C5A77" w:rsidRPr="005C0B16" w:rsidTr="00F663E4">
        <w:tc>
          <w:tcPr>
            <w:tcW w:w="2013" w:type="pct"/>
          </w:tcPr>
          <w:p w:rsidR="008C5A77" w:rsidRPr="005C0B16" w:rsidRDefault="008C5A77" w:rsidP="00F663E4">
            <w:pPr>
              <w:jc w:val="both"/>
              <w:rPr>
                <w:rFonts w:ascii="Arial" w:hAnsi="Arial" w:cs="Arial"/>
              </w:rPr>
            </w:pPr>
            <w:r w:rsidRPr="005C0B16">
              <w:rPr>
                <w:rFonts w:ascii="Arial" w:hAnsi="Arial" w:cs="Arial"/>
              </w:rPr>
              <w:t>ARCH test (heteroskedasticity)</w:t>
            </w:r>
          </w:p>
        </w:tc>
        <w:tc>
          <w:tcPr>
            <w:tcW w:w="625" w:type="pct"/>
          </w:tcPr>
          <w:p w:rsidR="008C5A77" w:rsidRPr="005C0B16" w:rsidRDefault="008C5A77" w:rsidP="00F663E4">
            <w:pPr>
              <w:jc w:val="both"/>
              <w:rPr>
                <w:rFonts w:ascii="Arial" w:hAnsi="Arial" w:cs="Arial"/>
              </w:rPr>
            </w:pPr>
            <w:r w:rsidRPr="005C0B16">
              <w:rPr>
                <w:rFonts w:ascii="Arial" w:hAnsi="Arial" w:cs="Arial"/>
              </w:rPr>
              <w:t>1.23</w:t>
            </w:r>
          </w:p>
        </w:tc>
        <w:tc>
          <w:tcPr>
            <w:tcW w:w="592" w:type="pct"/>
          </w:tcPr>
          <w:p w:rsidR="008C5A77" w:rsidRPr="00943A01" w:rsidRDefault="00F10B9C" w:rsidP="00F663E4">
            <w:pPr>
              <w:jc w:val="both"/>
              <w:rPr>
                <w:rFonts w:ascii="Arial" w:hAnsi="Arial" w:cs="Arial"/>
                <w:color w:val="FF0000"/>
              </w:rPr>
            </w:pPr>
            <w:r w:rsidRPr="00943A01">
              <w:rPr>
                <w:rFonts w:ascii="Arial" w:hAnsi="Arial" w:cs="Arial"/>
                <w:i/>
                <w:iCs/>
                <w:color w:val="FF0000"/>
              </w:rPr>
              <w:t>P</w:t>
            </w:r>
            <w:r w:rsidRPr="00943A01">
              <w:rPr>
                <w:rFonts w:ascii="Arial" w:hAnsi="Arial" w:cs="Arial"/>
                <w:color w:val="FF0000"/>
              </w:rPr>
              <w:t xml:space="preserve"> = </w:t>
            </w:r>
            <w:r w:rsidR="008C5A77" w:rsidRPr="00943A01">
              <w:rPr>
                <w:rFonts w:ascii="Arial" w:hAnsi="Arial" w:cs="Arial"/>
                <w:color w:val="FF0000"/>
              </w:rPr>
              <w:t>.27</w:t>
            </w:r>
          </w:p>
        </w:tc>
        <w:tc>
          <w:tcPr>
            <w:tcW w:w="1771" w:type="pct"/>
          </w:tcPr>
          <w:p w:rsidR="008C5A77" w:rsidRPr="005C0B16" w:rsidRDefault="008C5A77" w:rsidP="00F663E4">
            <w:pPr>
              <w:jc w:val="both"/>
              <w:rPr>
                <w:rFonts w:ascii="Arial" w:hAnsi="Arial" w:cs="Arial"/>
              </w:rPr>
            </w:pPr>
            <w:r w:rsidRPr="005C0B16">
              <w:rPr>
                <w:rFonts w:ascii="Arial" w:hAnsi="Arial" w:cs="Arial"/>
              </w:rPr>
              <w:t>No heteroskedasticity</w:t>
            </w:r>
          </w:p>
        </w:tc>
      </w:tr>
    </w:tbl>
    <w:p w:rsidR="00F10B9C" w:rsidRPr="00943A01" w:rsidRDefault="00F10B9C">
      <w:pPr>
        <w:rPr>
          <w:rFonts w:ascii="Arial" w:hAnsi="Arial" w:cs="Arial"/>
          <w:i/>
          <w:iCs/>
          <w:color w:val="FF0000"/>
          <w:sz w:val="18"/>
          <w:szCs w:val="18"/>
        </w:rPr>
      </w:pPr>
      <w:r w:rsidRPr="00F10B9C">
        <w:rPr>
          <w:rFonts w:ascii="Arial" w:hAnsi="Arial" w:cs="Arial"/>
          <w:i/>
          <w:iCs/>
          <w:sz w:val="18"/>
          <w:szCs w:val="18"/>
        </w:rPr>
        <w:t>Notes:</w:t>
      </w:r>
      <w:r w:rsidRPr="00F10B9C">
        <w:rPr>
          <w:rFonts w:ascii="Arial" w:hAnsi="Arial" w:cs="Arial"/>
          <w:i/>
          <w:iCs/>
          <w:sz w:val="18"/>
          <w:szCs w:val="18"/>
        </w:rPr>
        <w:br/>
      </w:r>
      <w:r w:rsidRPr="00943A01">
        <w:rPr>
          <w:rFonts w:ascii="Arial" w:hAnsi="Arial" w:cs="Arial"/>
          <w:i/>
          <w:iCs/>
          <w:color w:val="FF0000"/>
          <w:sz w:val="18"/>
          <w:szCs w:val="18"/>
        </w:rPr>
        <w:t>a FTA</w:t>
      </w:r>
      <w:r w:rsidRPr="00943A01">
        <w:rPr>
          <w:rFonts w:ascii="Cambria Math" w:hAnsi="Cambria Math" w:cs="Cambria Math"/>
          <w:i/>
          <w:iCs/>
          <w:color w:val="FF0000"/>
          <w:sz w:val="18"/>
          <w:szCs w:val="18"/>
        </w:rPr>
        <w:t>ₜ</w:t>
      </w:r>
      <w:r w:rsidRPr="00943A01">
        <w:rPr>
          <w:rFonts w:ascii="Arial" w:hAnsi="Arial" w:cs="Arial"/>
          <w:i/>
          <w:iCs/>
          <w:color w:val="FF0000"/>
          <w:sz w:val="18"/>
          <w:szCs w:val="18"/>
        </w:rPr>
        <w:t xml:space="preserve"> denotes foreign tourist arrivals at time t</w:t>
      </w:r>
      <w:r w:rsidRPr="00943A01">
        <w:rPr>
          <w:rFonts w:ascii="Arial" w:hAnsi="Arial" w:cs="Arial"/>
          <w:i/>
          <w:iCs/>
          <w:color w:val="FF0000"/>
          <w:sz w:val="18"/>
          <w:szCs w:val="18"/>
        </w:rPr>
        <w:br/>
        <w:t>b P &lt; .001 indicates statistical significance</w:t>
      </w:r>
      <w:r w:rsidRPr="00943A01">
        <w:rPr>
          <w:rFonts w:ascii="Arial" w:hAnsi="Arial" w:cs="Arial"/>
          <w:i/>
          <w:iCs/>
          <w:color w:val="FF0000"/>
          <w:sz w:val="18"/>
          <w:szCs w:val="18"/>
        </w:rPr>
        <w:br/>
        <w:t>c AIC = Akaike Information Criterion; BIC = Bayesian Information Criterion</w:t>
      </w:r>
      <w:r w:rsidRPr="00943A01">
        <w:rPr>
          <w:rFonts w:ascii="Arial" w:hAnsi="Arial" w:cs="Arial"/>
          <w:i/>
          <w:iCs/>
          <w:color w:val="FF0000"/>
          <w:sz w:val="18"/>
          <w:szCs w:val="18"/>
        </w:rPr>
        <w:br/>
        <w:t>d RMSE = Root Mean Square Error</w:t>
      </w:r>
    </w:p>
    <w:p w:rsidR="00644F3B" w:rsidRDefault="00644F3B" w:rsidP="00F32BBE">
      <w:pPr>
        <w:spacing w:line="276" w:lineRule="auto"/>
        <w:jc w:val="both"/>
        <w:rPr>
          <w:rFonts w:ascii="Arial" w:hAnsi="Arial" w:cs="Arial"/>
          <w:sz w:val="20"/>
          <w:szCs w:val="20"/>
        </w:rPr>
      </w:pPr>
      <w:r w:rsidRPr="00644F3B">
        <w:rPr>
          <w:rFonts w:ascii="Arial" w:hAnsi="Arial" w:cs="Arial"/>
          <w:sz w:val="20"/>
          <w:szCs w:val="20"/>
        </w:rPr>
        <w:t xml:space="preserve">The overall results of </w:t>
      </w:r>
      <w:r w:rsidR="00F32BBE" w:rsidRPr="00A96AA4">
        <w:rPr>
          <w:rFonts w:ascii="Arial" w:hAnsi="Arial" w:cs="Arial"/>
          <w:sz w:val="20"/>
          <w:szCs w:val="20"/>
        </w:rPr>
        <w:t>econometric</w:t>
      </w:r>
      <w:r w:rsidRPr="00644F3B">
        <w:rPr>
          <w:rFonts w:ascii="Arial" w:hAnsi="Arial" w:cs="Arial"/>
          <w:sz w:val="20"/>
          <w:szCs w:val="20"/>
        </w:rPr>
        <w:t xml:space="preserve"> analysis are presented in table 1 to 5. The </w:t>
      </w:r>
      <w:r w:rsidR="00F32BBE" w:rsidRPr="00A96AA4">
        <w:rPr>
          <w:rFonts w:ascii="Arial" w:hAnsi="Arial" w:cs="Arial"/>
          <w:sz w:val="20"/>
          <w:szCs w:val="20"/>
        </w:rPr>
        <w:t>log-linear growth</w:t>
      </w:r>
      <w:r w:rsidRPr="00644F3B">
        <w:rPr>
          <w:rFonts w:ascii="Arial" w:hAnsi="Arial" w:cs="Arial"/>
          <w:sz w:val="20"/>
          <w:szCs w:val="20"/>
        </w:rPr>
        <w:t xml:space="preserve"> Model (</w:t>
      </w:r>
      <w:r w:rsidR="00F32BBE">
        <w:rPr>
          <w:rFonts w:ascii="Arial" w:hAnsi="Arial" w:cs="Arial"/>
          <w:sz w:val="20"/>
          <w:szCs w:val="20"/>
        </w:rPr>
        <w:t xml:space="preserve">Table </w:t>
      </w:r>
      <w:r w:rsidRPr="00644F3B">
        <w:rPr>
          <w:rFonts w:ascii="Arial" w:hAnsi="Arial" w:cs="Arial"/>
          <w:sz w:val="20"/>
          <w:szCs w:val="20"/>
        </w:rPr>
        <w:t xml:space="preserve">1) indicates that the arrival of international tourists in India was increasing at about 9.23 </w:t>
      </w:r>
      <w:r w:rsidR="00F32BBE" w:rsidRPr="00644F3B">
        <w:rPr>
          <w:rFonts w:ascii="Arial" w:hAnsi="Arial" w:cs="Arial"/>
          <w:sz w:val="20"/>
          <w:szCs w:val="20"/>
        </w:rPr>
        <w:t>%</w:t>
      </w:r>
      <w:r w:rsidR="00F32BBE">
        <w:rPr>
          <w:rFonts w:ascii="Arial" w:hAnsi="Arial" w:cs="Arial"/>
          <w:sz w:val="20"/>
          <w:szCs w:val="20"/>
        </w:rPr>
        <w:t xml:space="preserve"> per</w:t>
      </w:r>
      <w:r w:rsidRPr="00644F3B">
        <w:rPr>
          <w:rFonts w:ascii="Arial" w:hAnsi="Arial" w:cs="Arial"/>
          <w:sz w:val="20"/>
          <w:szCs w:val="20"/>
        </w:rPr>
        <w:t xml:space="preserve"> year before COVID-19. After the pandemic, the growth rate declined to 6.11%, but this change is not statistically significant </w:t>
      </w:r>
      <w:r w:rsidRPr="00943A01">
        <w:rPr>
          <w:rFonts w:ascii="Arial" w:hAnsi="Arial" w:cs="Arial"/>
          <w:color w:val="FF0000"/>
          <w:sz w:val="20"/>
          <w:szCs w:val="20"/>
        </w:rPr>
        <w:t>(P = .12)</w:t>
      </w:r>
      <w:r w:rsidRPr="00644F3B">
        <w:rPr>
          <w:rFonts w:ascii="Arial" w:hAnsi="Arial" w:cs="Arial"/>
          <w:sz w:val="20"/>
          <w:szCs w:val="20"/>
        </w:rPr>
        <w:t xml:space="preserve">, indicating that the long-term </w:t>
      </w:r>
      <w:r w:rsidR="00F32BBE">
        <w:rPr>
          <w:rFonts w:ascii="Arial" w:hAnsi="Arial" w:cs="Arial"/>
          <w:sz w:val="20"/>
          <w:szCs w:val="20"/>
        </w:rPr>
        <w:t xml:space="preserve">growth </w:t>
      </w:r>
      <w:r w:rsidRPr="00644F3B">
        <w:rPr>
          <w:rFonts w:ascii="Arial" w:hAnsi="Arial" w:cs="Arial"/>
          <w:sz w:val="20"/>
          <w:szCs w:val="20"/>
        </w:rPr>
        <w:t>trend continues. The sharp decline of 11.58 million tourist arrivals (P &lt;</w:t>
      </w:r>
      <w:r w:rsidR="00F32BBE">
        <w:rPr>
          <w:rFonts w:ascii="Arial" w:hAnsi="Arial" w:cs="Arial"/>
          <w:sz w:val="20"/>
          <w:szCs w:val="20"/>
        </w:rPr>
        <w:t xml:space="preserve"> .</w:t>
      </w:r>
      <w:r w:rsidRPr="00644F3B">
        <w:rPr>
          <w:rFonts w:ascii="Arial" w:hAnsi="Arial" w:cs="Arial"/>
          <w:sz w:val="20"/>
          <w:szCs w:val="20"/>
        </w:rPr>
        <w:t>001) in Intervention Analysis (T</w:t>
      </w:r>
      <w:r w:rsidR="00F32BBE">
        <w:rPr>
          <w:rFonts w:ascii="Arial" w:hAnsi="Arial" w:cs="Arial"/>
          <w:sz w:val="20"/>
          <w:szCs w:val="20"/>
        </w:rPr>
        <w:t>able 2</w:t>
      </w:r>
      <w:r w:rsidRPr="00644F3B">
        <w:rPr>
          <w:rFonts w:ascii="Arial" w:hAnsi="Arial" w:cs="Arial"/>
          <w:sz w:val="20"/>
          <w:szCs w:val="20"/>
        </w:rPr>
        <w:t xml:space="preserve">) 2020 and a permanent reduction of about 2.34 million arrivals per year after the pandemic indicate a permanent loss in demand. The </w:t>
      </w:r>
      <w:r w:rsidR="00F32BBE">
        <w:rPr>
          <w:rFonts w:ascii="Arial" w:hAnsi="Arial" w:cs="Arial"/>
          <w:sz w:val="20"/>
          <w:szCs w:val="20"/>
        </w:rPr>
        <w:t>elasticity</w:t>
      </w:r>
      <w:r w:rsidRPr="00644F3B">
        <w:rPr>
          <w:rFonts w:ascii="Arial" w:hAnsi="Arial" w:cs="Arial"/>
          <w:sz w:val="20"/>
          <w:szCs w:val="20"/>
        </w:rPr>
        <w:t xml:space="preserve"> Model (Table 3) shows that the relationship between tourist arrivals and earnings has weakened, the </w:t>
      </w:r>
      <w:r w:rsidR="00F32BBE">
        <w:rPr>
          <w:rFonts w:ascii="Arial" w:hAnsi="Arial" w:cs="Arial"/>
          <w:sz w:val="20"/>
          <w:szCs w:val="20"/>
        </w:rPr>
        <w:t>elasticity</w:t>
      </w:r>
      <w:r w:rsidRPr="00644F3B">
        <w:rPr>
          <w:rFonts w:ascii="Arial" w:hAnsi="Arial" w:cs="Arial"/>
          <w:sz w:val="20"/>
          <w:szCs w:val="20"/>
        </w:rPr>
        <w:t xml:space="preserve"> has come down from 0.892 to 0.661 after Covid-19 (P = </w:t>
      </w:r>
      <w:r w:rsidR="00F32BBE">
        <w:rPr>
          <w:rFonts w:ascii="Arial" w:hAnsi="Arial" w:cs="Arial"/>
          <w:sz w:val="20"/>
          <w:szCs w:val="20"/>
        </w:rPr>
        <w:t>.</w:t>
      </w:r>
      <w:r w:rsidRPr="00644F3B">
        <w:rPr>
          <w:rFonts w:ascii="Arial" w:hAnsi="Arial" w:cs="Arial"/>
          <w:sz w:val="20"/>
          <w:szCs w:val="20"/>
        </w:rPr>
        <w:t>05) indicating that growth is now more dependent on the number of tourists than their expenditure.</w:t>
      </w:r>
    </w:p>
    <w:p w:rsidR="00644F3B" w:rsidRPr="00A01640" w:rsidRDefault="00F32BBE" w:rsidP="00A01640">
      <w:pPr>
        <w:spacing w:line="276" w:lineRule="auto"/>
        <w:jc w:val="both"/>
        <w:rPr>
          <w:rFonts w:ascii="Arial" w:hAnsi="Arial" w:cs="Arial"/>
          <w:sz w:val="20"/>
          <w:szCs w:val="20"/>
        </w:rPr>
      </w:pPr>
      <w:r w:rsidRPr="00F32BBE">
        <w:rPr>
          <w:rFonts w:ascii="Arial" w:hAnsi="Arial" w:cs="Arial"/>
          <w:sz w:val="20"/>
          <w:szCs w:val="20"/>
        </w:rPr>
        <w:t xml:space="preserve">The panel regression results (Table 4) indicate better recovery </w:t>
      </w:r>
      <w:r w:rsidRPr="00943A01">
        <w:rPr>
          <w:rFonts w:ascii="Arial" w:hAnsi="Arial" w:cs="Arial"/>
          <w:color w:val="FF0000"/>
          <w:sz w:val="20"/>
          <w:szCs w:val="20"/>
        </w:rPr>
        <w:t>(P &lt; .001)</w:t>
      </w:r>
      <w:r w:rsidRPr="00F32BBE">
        <w:rPr>
          <w:rFonts w:ascii="Arial" w:hAnsi="Arial" w:cs="Arial"/>
          <w:sz w:val="20"/>
          <w:szCs w:val="20"/>
        </w:rPr>
        <w:t xml:space="preserve"> in areas with higher share of migrant tourists, while distance from India has a negative impact on recovery (P = .01). The SARIMA </w:t>
      </w:r>
      <w:r w:rsidRPr="00F32BBE">
        <w:rPr>
          <w:rFonts w:ascii="Arial" w:hAnsi="Arial" w:cs="Arial"/>
          <w:sz w:val="20"/>
          <w:szCs w:val="20"/>
        </w:rPr>
        <w:lastRenderedPageBreak/>
        <w:t>model (Table 5) indicates that foreign tourist arrivals may reach around 10.23 million in 2024 and 10.72 million in 2025 while December will be the busiest month. The results also indicate that pre-COVID levels can reach only by the end of 2025. Overall, the findings suggest that although Indias tourism sector is recovering and sustaining growth, it faces major challenges like long-term demand loss, low cost per tourist and dependence on the surrounding and migrant-related markets for recovery.</w:t>
      </w:r>
    </w:p>
    <w:p w:rsidR="00A96AA4" w:rsidRPr="00106AA4" w:rsidRDefault="00A96AA4" w:rsidP="00106AA4">
      <w:pPr>
        <w:pStyle w:val="ListParagraph"/>
        <w:numPr>
          <w:ilvl w:val="0"/>
          <w:numId w:val="2"/>
        </w:numPr>
        <w:jc w:val="both"/>
        <w:rPr>
          <w:rFonts w:ascii="Arial" w:hAnsi="Arial" w:cs="Arial"/>
          <w:b/>
          <w:bCs/>
          <w:sz w:val="20"/>
          <w:szCs w:val="20"/>
        </w:rPr>
      </w:pPr>
      <w:r w:rsidRPr="00106AA4">
        <w:rPr>
          <w:rFonts w:ascii="Arial" w:hAnsi="Arial" w:cs="Arial"/>
          <w:b/>
          <w:bCs/>
          <w:sz w:val="20"/>
          <w:szCs w:val="20"/>
        </w:rPr>
        <w:t>CONCLUSION</w:t>
      </w:r>
    </w:p>
    <w:p w:rsidR="00425284" w:rsidRDefault="00425284" w:rsidP="00B0193F">
      <w:pPr>
        <w:spacing w:line="276" w:lineRule="auto"/>
        <w:jc w:val="both"/>
        <w:rPr>
          <w:rFonts w:ascii="Arial" w:hAnsi="Arial" w:cs="Arial"/>
          <w:sz w:val="20"/>
          <w:szCs w:val="20"/>
        </w:rPr>
      </w:pPr>
      <w:r w:rsidRPr="00644F3B">
        <w:rPr>
          <w:rFonts w:ascii="Arial" w:hAnsi="Arial" w:cs="Arial"/>
          <w:sz w:val="20"/>
          <w:szCs w:val="20"/>
        </w:rPr>
        <w:t xml:space="preserve">The study examines India’s inbound tourism from 2001 to 2023 using various econometric methods based on official data. The results show that the tourism sector has seen strong growth ahead of Covid-19 with an annual growth rate of around 9.23%, and the trend of overall growth has continued even after the pandemic. However, the pandemic has created a permanent negative impact, as tourist arrivals are around 2.34 million less than expected every year </w:t>
      </w:r>
      <w:r w:rsidRPr="00943A01">
        <w:rPr>
          <w:rFonts w:ascii="Arial" w:hAnsi="Arial" w:cs="Arial"/>
          <w:color w:val="FF0000"/>
          <w:sz w:val="20"/>
          <w:szCs w:val="20"/>
        </w:rPr>
        <w:t>(P=.01).</w:t>
      </w:r>
      <w:r w:rsidRPr="00644F3B">
        <w:rPr>
          <w:rFonts w:ascii="Arial" w:hAnsi="Arial" w:cs="Arial"/>
          <w:sz w:val="20"/>
          <w:szCs w:val="20"/>
        </w:rPr>
        <w:t xml:space="preserve"> The study also found that the relationship between tourist arrivals and earnings has weakened, the </w:t>
      </w:r>
      <w:r w:rsidR="00644F3B" w:rsidRPr="00644F3B">
        <w:rPr>
          <w:rFonts w:ascii="Arial" w:hAnsi="Arial" w:cs="Arial"/>
          <w:sz w:val="20"/>
          <w:szCs w:val="20"/>
        </w:rPr>
        <w:t>elasticity</w:t>
      </w:r>
      <w:r w:rsidRPr="00644F3B">
        <w:rPr>
          <w:rFonts w:ascii="Arial" w:hAnsi="Arial" w:cs="Arial"/>
          <w:sz w:val="20"/>
          <w:szCs w:val="20"/>
        </w:rPr>
        <w:t xml:space="preserve"> has reduced from 0.89 to 0.66 </w:t>
      </w:r>
      <w:r w:rsidRPr="00943A01">
        <w:rPr>
          <w:rFonts w:ascii="Arial" w:hAnsi="Arial" w:cs="Arial"/>
          <w:color w:val="FF0000"/>
          <w:sz w:val="20"/>
          <w:szCs w:val="20"/>
        </w:rPr>
        <w:t>(</w:t>
      </w:r>
      <w:r w:rsidRPr="00943A01">
        <w:rPr>
          <w:rFonts w:ascii="Arial" w:hAnsi="Arial" w:cs="Arial"/>
          <w:i/>
          <w:iCs/>
          <w:color w:val="FF0000"/>
          <w:sz w:val="20"/>
          <w:szCs w:val="20"/>
        </w:rPr>
        <w:t>P</w:t>
      </w:r>
      <w:r w:rsidRPr="00943A01">
        <w:rPr>
          <w:rFonts w:ascii="Arial" w:hAnsi="Arial" w:cs="Arial"/>
          <w:color w:val="FF0000"/>
          <w:sz w:val="20"/>
          <w:szCs w:val="20"/>
        </w:rPr>
        <w:t xml:space="preserve"> = </w:t>
      </w:r>
      <w:r w:rsidR="00644F3B" w:rsidRPr="00943A01">
        <w:rPr>
          <w:rFonts w:ascii="Arial" w:hAnsi="Arial" w:cs="Arial"/>
          <w:color w:val="FF0000"/>
          <w:sz w:val="20"/>
          <w:szCs w:val="20"/>
        </w:rPr>
        <w:t>.</w:t>
      </w:r>
      <w:r w:rsidRPr="00943A01">
        <w:rPr>
          <w:rFonts w:ascii="Arial" w:hAnsi="Arial" w:cs="Arial"/>
          <w:color w:val="FF0000"/>
          <w:sz w:val="20"/>
          <w:szCs w:val="20"/>
        </w:rPr>
        <w:t>05)</w:t>
      </w:r>
      <w:r w:rsidRPr="00644F3B">
        <w:rPr>
          <w:rFonts w:ascii="Arial" w:hAnsi="Arial" w:cs="Arial"/>
          <w:sz w:val="20"/>
          <w:szCs w:val="20"/>
        </w:rPr>
        <w:t xml:space="preserve"> indicating that growth now depends more on the number of tourists than their expenditure. Regional recovery is uneven, with higher </w:t>
      </w:r>
      <w:r w:rsidRPr="00943A01">
        <w:rPr>
          <w:rFonts w:ascii="Arial" w:hAnsi="Arial" w:cs="Arial"/>
          <w:color w:val="FF0000"/>
          <w:sz w:val="20"/>
          <w:szCs w:val="20"/>
        </w:rPr>
        <w:t>p &lt;</w:t>
      </w:r>
      <w:r w:rsidR="00644F3B" w:rsidRPr="00943A01">
        <w:rPr>
          <w:rFonts w:ascii="Arial" w:hAnsi="Arial" w:cs="Arial"/>
          <w:color w:val="FF0000"/>
          <w:sz w:val="20"/>
          <w:szCs w:val="20"/>
        </w:rPr>
        <w:t xml:space="preserve"> .</w:t>
      </w:r>
      <w:r w:rsidRPr="00943A01">
        <w:rPr>
          <w:rFonts w:ascii="Arial" w:hAnsi="Arial" w:cs="Arial"/>
          <w:color w:val="FF0000"/>
          <w:sz w:val="20"/>
          <w:szCs w:val="20"/>
        </w:rPr>
        <w:t>001</w:t>
      </w:r>
      <w:r w:rsidRPr="00644F3B">
        <w:rPr>
          <w:rFonts w:ascii="Arial" w:hAnsi="Arial" w:cs="Arial"/>
          <w:sz w:val="20"/>
          <w:szCs w:val="20"/>
        </w:rPr>
        <w:t xml:space="preserve"> areas having better performance, while distance recovery from India has a negative impact. SARIMA results show that tourist arrivals can reach around 10.23 million in 2024 and 10.72 million in 2025, and pre-COVID levels can be achieved only by the end of 2025. These findings suggest that India needs to focus more on strengthening nearby and migratory-related markets to improve the value of tourism, promote more spending visitors and support sustainable development.</w:t>
      </w:r>
    </w:p>
    <w:p w:rsidR="0010770C" w:rsidRDefault="0010770C" w:rsidP="00B0193F">
      <w:pPr>
        <w:spacing w:line="276" w:lineRule="auto"/>
        <w:jc w:val="both"/>
        <w:rPr>
          <w:rFonts w:ascii="Arial" w:hAnsi="Arial" w:cs="Arial"/>
          <w:sz w:val="20"/>
          <w:szCs w:val="20"/>
        </w:rPr>
      </w:pPr>
    </w:p>
    <w:p w:rsidR="0010770C" w:rsidRPr="00644F3B" w:rsidRDefault="0010770C" w:rsidP="0010770C">
      <w:pPr>
        <w:pStyle w:val="ListParagraph"/>
        <w:numPr>
          <w:ilvl w:val="0"/>
          <w:numId w:val="2"/>
        </w:numPr>
        <w:jc w:val="both"/>
        <w:rPr>
          <w:rFonts w:ascii="Arial" w:hAnsi="Arial" w:cs="Arial"/>
          <w:b/>
          <w:bCs/>
          <w:sz w:val="20"/>
          <w:szCs w:val="20"/>
        </w:rPr>
      </w:pPr>
      <w:r w:rsidRPr="00106AA4">
        <w:rPr>
          <w:rFonts w:ascii="Arial" w:hAnsi="Arial" w:cs="Arial"/>
          <w:b/>
          <w:bCs/>
          <w:sz w:val="20"/>
          <w:szCs w:val="20"/>
        </w:rPr>
        <w:t>LIMITATIONS OF THE STUDY</w:t>
      </w:r>
    </w:p>
    <w:p w:rsidR="0010770C" w:rsidRPr="00A01640" w:rsidRDefault="0010770C" w:rsidP="0010770C">
      <w:pPr>
        <w:spacing w:line="276" w:lineRule="auto"/>
        <w:jc w:val="both"/>
        <w:rPr>
          <w:rFonts w:ascii="Arial" w:hAnsi="Arial" w:cs="Arial"/>
          <w:sz w:val="20"/>
          <w:szCs w:val="20"/>
        </w:rPr>
      </w:pPr>
      <w:r w:rsidRPr="00644F3B">
        <w:rPr>
          <w:rFonts w:ascii="Arial" w:hAnsi="Arial" w:cs="Arial"/>
          <w:sz w:val="20"/>
          <w:szCs w:val="20"/>
        </w:rPr>
        <w:t>The study is based on secondary data collected from official sources, with limitations related to data accuracy, modification and reporting differences over the years. The analysis is done at the national and regional level, and therefore does not include individual tourist behaviour or destination-specific factors such as micro-level diversity. The study is primarily focused on the selected economics model, and does not include other advanced methods or variables, such as policy interventions, price competitiveness and global economic conditions. Panel analysis is limited to certain areas and short periods (2020-2023), which can affect the generalisation of results. Further, the forecast results are based on previous trends and can change due to unforeseen events such as economic shocks, policy changes or global crises.</w:t>
      </w:r>
    </w:p>
    <w:p w:rsidR="0010770C" w:rsidRPr="00644F3B" w:rsidRDefault="0010770C" w:rsidP="00B0193F">
      <w:pPr>
        <w:spacing w:line="276" w:lineRule="auto"/>
        <w:jc w:val="both"/>
        <w:rPr>
          <w:rFonts w:ascii="Arial" w:hAnsi="Arial" w:cs="Arial"/>
          <w:sz w:val="20"/>
          <w:szCs w:val="20"/>
        </w:rPr>
      </w:pPr>
    </w:p>
    <w:p w:rsidR="0079383F" w:rsidRPr="00B0193F" w:rsidRDefault="0079383F" w:rsidP="0079383F">
      <w:pPr>
        <w:jc w:val="both"/>
        <w:rPr>
          <w:rFonts w:ascii="Arial" w:hAnsi="Arial" w:cs="Arial"/>
          <w:b/>
          <w:bCs/>
        </w:rPr>
      </w:pPr>
      <w:r w:rsidRPr="00B0193F">
        <w:rPr>
          <w:rFonts w:ascii="Arial" w:hAnsi="Arial" w:cs="Arial"/>
          <w:b/>
          <w:bCs/>
        </w:rPr>
        <w:t>CONSENT</w:t>
      </w:r>
    </w:p>
    <w:p w:rsidR="0079383F" w:rsidRPr="0079383F" w:rsidRDefault="0079383F" w:rsidP="0079383F">
      <w:pPr>
        <w:jc w:val="both"/>
        <w:rPr>
          <w:rFonts w:ascii="Arial" w:hAnsi="Arial" w:cs="Arial"/>
          <w:sz w:val="20"/>
          <w:szCs w:val="20"/>
        </w:rPr>
      </w:pPr>
      <w:r w:rsidRPr="0079383F">
        <w:rPr>
          <w:rFonts w:ascii="Arial" w:hAnsi="Arial" w:cs="Arial"/>
          <w:sz w:val="20"/>
          <w:szCs w:val="20"/>
        </w:rPr>
        <w:t>Not applicable. This study is based on secondary data from publicly available sources and does not involve any participants requiring consent.</w:t>
      </w:r>
    </w:p>
    <w:p w:rsidR="0079383F" w:rsidRPr="00B0193F" w:rsidRDefault="0079383F" w:rsidP="0079383F">
      <w:pPr>
        <w:jc w:val="both"/>
        <w:rPr>
          <w:rFonts w:ascii="Arial" w:hAnsi="Arial" w:cs="Arial"/>
          <w:b/>
          <w:bCs/>
        </w:rPr>
      </w:pPr>
      <w:r w:rsidRPr="00B0193F">
        <w:rPr>
          <w:rFonts w:ascii="Arial" w:hAnsi="Arial" w:cs="Arial"/>
          <w:b/>
          <w:bCs/>
        </w:rPr>
        <w:t>COMPETING INTERESTS</w:t>
      </w:r>
    </w:p>
    <w:p w:rsidR="0079383F" w:rsidRPr="0079383F" w:rsidRDefault="0079383F" w:rsidP="0079383F">
      <w:pPr>
        <w:jc w:val="both"/>
        <w:rPr>
          <w:rFonts w:ascii="Arial" w:hAnsi="Arial" w:cs="Arial"/>
          <w:b/>
          <w:bCs/>
          <w:sz w:val="20"/>
          <w:szCs w:val="20"/>
        </w:rPr>
      </w:pPr>
      <w:r w:rsidRPr="0079383F">
        <w:rPr>
          <w:rFonts w:ascii="Arial" w:hAnsi="Arial" w:cs="Arial"/>
          <w:sz w:val="20"/>
          <w:szCs w:val="20"/>
        </w:rPr>
        <w:t>The authors declare that they have no known financial or non-financial competing interests, or personal relationships that could have influenced the work reported in this paper</w:t>
      </w:r>
      <w:r w:rsidRPr="0079383F">
        <w:rPr>
          <w:rFonts w:ascii="Arial" w:hAnsi="Arial" w:cs="Arial"/>
          <w:b/>
          <w:bCs/>
          <w:sz w:val="20"/>
          <w:szCs w:val="20"/>
        </w:rPr>
        <w:t>.</w:t>
      </w:r>
    </w:p>
    <w:p w:rsidR="00A96AA4" w:rsidRPr="00B0193F" w:rsidRDefault="00A96AA4" w:rsidP="00A96AA4">
      <w:pPr>
        <w:jc w:val="both"/>
        <w:rPr>
          <w:rFonts w:ascii="Arial" w:hAnsi="Arial" w:cs="Arial"/>
          <w:b/>
          <w:bCs/>
        </w:rPr>
      </w:pPr>
      <w:bookmarkStart w:id="0" w:name="_GoBack"/>
      <w:bookmarkEnd w:id="0"/>
      <w:r w:rsidRPr="00B0193F">
        <w:rPr>
          <w:rFonts w:ascii="Arial" w:hAnsi="Arial" w:cs="Arial"/>
          <w:b/>
          <w:bCs/>
        </w:rPr>
        <w:t>ETHICAL APPROVAL</w:t>
      </w:r>
    </w:p>
    <w:p w:rsidR="00A96AA4" w:rsidRDefault="00A96AA4" w:rsidP="00A96AA4">
      <w:pPr>
        <w:jc w:val="both"/>
        <w:rPr>
          <w:rFonts w:ascii="Arial" w:hAnsi="Arial" w:cs="Arial"/>
          <w:sz w:val="20"/>
          <w:szCs w:val="20"/>
        </w:rPr>
      </w:pPr>
      <w:r w:rsidRPr="00A96AA4">
        <w:rPr>
          <w:rFonts w:ascii="Arial" w:hAnsi="Arial" w:cs="Arial"/>
          <w:sz w:val="20"/>
          <w:szCs w:val="20"/>
        </w:rPr>
        <w:t>Not applicable. This study is based on secondary data obtained from publicly available sources and does not involve any human or animal subjects. Therefore, ethical approval from any Institutional Review Board or Ethics Committee was not required.</w:t>
      </w:r>
    </w:p>
    <w:p w:rsidR="00096BAF" w:rsidRDefault="00096BAF" w:rsidP="00A96AA4">
      <w:pPr>
        <w:jc w:val="both"/>
        <w:rPr>
          <w:rFonts w:ascii="Arial" w:hAnsi="Arial" w:cs="Arial"/>
          <w:sz w:val="20"/>
          <w:szCs w:val="20"/>
        </w:rPr>
      </w:pPr>
    </w:p>
    <w:p w:rsidR="00096BAF" w:rsidRPr="00943A01" w:rsidRDefault="00096BAF" w:rsidP="00096BAF">
      <w:pPr>
        <w:jc w:val="both"/>
        <w:rPr>
          <w:rFonts w:ascii="Arial" w:hAnsi="Arial" w:cs="Arial"/>
          <w:color w:val="FF0000"/>
          <w:sz w:val="20"/>
          <w:szCs w:val="20"/>
        </w:rPr>
      </w:pPr>
      <w:r w:rsidRPr="00943A01">
        <w:rPr>
          <w:rFonts w:ascii="Arial" w:hAnsi="Arial" w:cs="Arial"/>
          <w:color w:val="FF0000"/>
          <w:sz w:val="20"/>
          <w:szCs w:val="20"/>
        </w:rPr>
        <w:t>COMPETING INTERESTS DISCLAIMER:</w:t>
      </w:r>
    </w:p>
    <w:p w:rsidR="00096BAF" w:rsidRDefault="00096BAF" w:rsidP="00096BAF">
      <w:pPr>
        <w:jc w:val="both"/>
        <w:rPr>
          <w:rFonts w:ascii="Arial" w:hAnsi="Arial" w:cs="Arial"/>
          <w:sz w:val="20"/>
          <w:szCs w:val="20"/>
        </w:rPr>
      </w:pPr>
      <w:r w:rsidRPr="00096BAF">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rsidR="00096BAF" w:rsidRDefault="00096BAF" w:rsidP="00A96AA4">
      <w:pPr>
        <w:jc w:val="both"/>
        <w:rPr>
          <w:rFonts w:ascii="Arial" w:hAnsi="Arial" w:cs="Arial"/>
          <w:sz w:val="20"/>
          <w:szCs w:val="20"/>
        </w:rPr>
      </w:pPr>
    </w:p>
    <w:p w:rsidR="00096BAF" w:rsidRPr="00A96AA4" w:rsidRDefault="00096BAF" w:rsidP="00A96AA4">
      <w:pPr>
        <w:jc w:val="both"/>
        <w:rPr>
          <w:rFonts w:ascii="Arial" w:hAnsi="Arial" w:cs="Arial"/>
          <w:sz w:val="20"/>
          <w:szCs w:val="20"/>
        </w:rPr>
      </w:pPr>
    </w:p>
    <w:p w:rsidR="00A96AA4" w:rsidRPr="00943A01" w:rsidRDefault="00A96AA4" w:rsidP="00A96AA4">
      <w:pPr>
        <w:jc w:val="both"/>
        <w:rPr>
          <w:rFonts w:ascii="Arial" w:hAnsi="Arial" w:cs="Arial"/>
          <w:b/>
          <w:bCs/>
          <w:color w:val="FF0000"/>
        </w:rPr>
      </w:pPr>
      <w:r w:rsidRPr="00943A01">
        <w:rPr>
          <w:rFonts w:ascii="Arial" w:hAnsi="Arial" w:cs="Arial"/>
          <w:b/>
          <w:bCs/>
          <w:color w:val="FF0000"/>
        </w:rPr>
        <w:t xml:space="preserve">Reference - </w:t>
      </w:r>
    </w:p>
    <w:p w:rsidR="00A96AA4" w:rsidRPr="00A96AA4" w:rsidRDefault="00A96AA4" w:rsidP="00A96AA4">
      <w:pPr>
        <w:rPr>
          <w:rFonts w:ascii="Arial" w:hAnsi="Arial" w:cs="Arial"/>
          <w:sz w:val="20"/>
          <w:szCs w:val="20"/>
        </w:rPr>
      </w:pPr>
      <w:r w:rsidRPr="00A96AA4">
        <w:rPr>
          <w:rFonts w:ascii="Arial" w:hAnsi="Arial" w:cs="Arial"/>
          <w:sz w:val="20"/>
          <w:szCs w:val="20"/>
        </w:rPr>
        <w:t xml:space="preserve">Ahmad, M., Amin, A., Hassan, J., &amp;Magray, A. A. (2026). Econometrics of exploration: How tourism fuels India’s economy. </w:t>
      </w:r>
      <w:r w:rsidRPr="00A96AA4">
        <w:rPr>
          <w:rFonts w:ascii="Arial" w:hAnsi="Arial" w:cs="Arial"/>
          <w:i/>
          <w:iCs/>
          <w:sz w:val="20"/>
          <w:szCs w:val="20"/>
        </w:rPr>
        <w:t>Journal of Tourism Economics</w:t>
      </w:r>
      <w:r w:rsidRPr="00A96AA4">
        <w:rPr>
          <w:rFonts w:ascii="Arial" w:hAnsi="Arial" w:cs="Arial"/>
          <w:sz w:val="20"/>
          <w:szCs w:val="20"/>
        </w:rPr>
        <w:t xml:space="preserve">, 6(1). </w:t>
      </w:r>
      <w:hyperlink r:id="rId7" w:tgtFrame="_new" w:history="1">
        <w:r w:rsidRPr="00A96AA4">
          <w:rPr>
            <w:rStyle w:val="Hyperlink"/>
            <w:rFonts w:ascii="Arial" w:hAnsi="Arial" w:cs="Arial"/>
            <w:sz w:val="20"/>
            <w:szCs w:val="20"/>
          </w:rPr>
          <w:t>https://doi.org/10.1177/27652157251396215</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Arellano, M. (2003). </w:t>
      </w:r>
      <w:r w:rsidRPr="00A96AA4">
        <w:rPr>
          <w:rFonts w:ascii="Arial" w:hAnsi="Arial" w:cs="Arial"/>
          <w:i/>
          <w:iCs/>
          <w:sz w:val="20"/>
          <w:szCs w:val="20"/>
        </w:rPr>
        <w:t>Panel data econometrics</w:t>
      </w:r>
      <w:r w:rsidRPr="00A96AA4">
        <w:rPr>
          <w:rFonts w:ascii="Arial" w:hAnsi="Arial" w:cs="Arial"/>
          <w:sz w:val="20"/>
          <w:szCs w:val="20"/>
        </w:rPr>
        <w:t xml:space="preserve">. Oxford University Press. </w:t>
      </w:r>
      <w:hyperlink r:id="rId8" w:tgtFrame="_new" w:history="1">
        <w:r w:rsidRPr="00A96AA4">
          <w:rPr>
            <w:rStyle w:val="Hyperlink"/>
            <w:rFonts w:ascii="Arial" w:hAnsi="Arial" w:cs="Arial"/>
            <w:sz w:val="20"/>
            <w:szCs w:val="20"/>
          </w:rPr>
          <w:t>https://doi.org/10.1093/0199245282.001.0001</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B., M. B., &amp; S., J. (2025). Tourism as a catalyst for India's foreign exchange earnings: Trends and challenges in the post-COVID era. </w:t>
      </w:r>
      <w:r w:rsidRPr="00A96AA4">
        <w:rPr>
          <w:rFonts w:ascii="Arial" w:hAnsi="Arial" w:cs="Arial"/>
          <w:i/>
          <w:iCs/>
          <w:sz w:val="20"/>
          <w:szCs w:val="20"/>
        </w:rPr>
        <w:t>Electronic International Interdisciplinary Research Journal</w:t>
      </w:r>
      <w:r w:rsidRPr="00A96AA4">
        <w:rPr>
          <w:rFonts w:ascii="Arial" w:hAnsi="Arial" w:cs="Arial"/>
          <w:sz w:val="20"/>
          <w:szCs w:val="20"/>
        </w:rPr>
        <w:t xml:space="preserve">. </w:t>
      </w:r>
      <w:hyperlink r:id="rId9" w:tgtFrame="_new" w:history="1">
        <w:r w:rsidRPr="00A96AA4">
          <w:rPr>
            <w:rStyle w:val="Hyperlink"/>
            <w:rFonts w:ascii="Arial" w:hAnsi="Arial" w:cs="Arial"/>
            <w:sz w:val="20"/>
            <w:szCs w:val="20"/>
          </w:rPr>
          <w:t>https://doi.org/10.5281/zenodo.18088665</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Baltagi, B. H. (2008). </w:t>
      </w:r>
      <w:r w:rsidRPr="00A96AA4">
        <w:rPr>
          <w:rFonts w:ascii="Arial" w:hAnsi="Arial" w:cs="Arial"/>
          <w:i/>
          <w:iCs/>
          <w:sz w:val="20"/>
          <w:szCs w:val="20"/>
        </w:rPr>
        <w:t>Econometrics</w:t>
      </w:r>
      <w:r w:rsidRPr="00A96AA4">
        <w:rPr>
          <w:rFonts w:ascii="Arial" w:hAnsi="Arial" w:cs="Arial"/>
          <w:sz w:val="20"/>
          <w:szCs w:val="20"/>
        </w:rPr>
        <w:t>. Springer Berlin Heidelberg.</w:t>
      </w:r>
    </w:p>
    <w:p w:rsidR="00A96AA4" w:rsidRPr="00A96AA4" w:rsidRDefault="00A96AA4" w:rsidP="00A96AA4">
      <w:pPr>
        <w:rPr>
          <w:rFonts w:ascii="Arial" w:hAnsi="Arial" w:cs="Arial"/>
          <w:sz w:val="20"/>
          <w:szCs w:val="20"/>
        </w:rPr>
      </w:pPr>
      <w:r w:rsidRPr="00A96AA4">
        <w:rPr>
          <w:rFonts w:ascii="Arial" w:hAnsi="Arial" w:cs="Arial"/>
          <w:sz w:val="20"/>
          <w:szCs w:val="20"/>
        </w:rPr>
        <w:t xml:space="preserve">Box, G. E. P., &amp; Tiao, G. C. (1975). Intervention analysis with applications to economic and environmental problems. </w:t>
      </w:r>
      <w:r w:rsidRPr="00A96AA4">
        <w:rPr>
          <w:rFonts w:ascii="Arial" w:hAnsi="Arial" w:cs="Arial"/>
          <w:i/>
          <w:iCs/>
          <w:sz w:val="20"/>
          <w:szCs w:val="20"/>
        </w:rPr>
        <w:t>Journal of the American Statistical Association</w:t>
      </w:r>
      <w:r w:rsidRPr="00A96AA4">
        <w:rPr>
          <w:rFonts w:ascii="Arial" w:hAnsi="Arial" w:cs="Arial"/>
          <w:sz w:val="20"/>
          <w:szCs w:val="20"/>
        </w:rPr>
        <w:t xml:space="preserve">, 70(349), 70–79. </w:t>
      </w:r>
      <w:hyperlink r:id="rId10" w:tgtFrame="_new" w:history="1">
        <w:r w:rsidRPr="00A96AA4">
          <w:rPr>
            <w:rStyle w:val="Hyperlink"/>
            <w:rFonts w:ascii="Arial" w:hAnsi="Arial" w:cs="Arial"/>
            <w:sz w:val="20"/>
            <w:szCs w:val="20"/>
          </w:rPr>
          <w:t>https://doi.org/10.1080/01621459.1975.10480264</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Butler, R. W. (2001). Seasonality in tourism: Issues and implications. In T. Baum &amp; S. Lundtorp (Eds.), </w:t>
      </w:r>
      <w:r w:rsidRPr="00A96AA4">
        <w:rPr>
          <w:rFonts w:ascii="Arial" w:hAnsi="Arial" w:cs="Arial"/>
          <w:i/>
          <w:iCs/>
          <w:sz w:val="20"/>
          <w:szCs w:val="20"/>
        </w:rPr>
        <w:t>Seasonality in tourism</w:t>
      </w:r>
      <w:r w:rsidRPr="00A96AA4">
        <w:rPr>
          <w:rFonts w:ascii="Arial" w:hAnsi="Arial" w:cs="Arial"/>
          <w:sz w:val="20"/>
          <w:szCs w:val="20"/>
        </w:rPr>
        <w:t xml:space="preserve"> (pp. 5–21). Pergamon.</w:t>
      </w:r>
    </w:p>
    <w:p w:rsidR="00A96AA4" w:rsidRPr="00A96AA4" w:rsidRDefault="00A96AA4" w:rsidP="00A96AA4">
      <w:pPr>
        <w:rPr>
          <w:rFonts w:ascii="Arial" w:hAnsi="Arial" w:cs="Arial"/>
          <w:sz w:val="20"/>
          <w:szCs w:val="20"/>
        </w:rPr>
      </w:pPr>
      <w:r w:rsidRPr="00A96AA4">
        <w:rPr>
          <w:rFonts w:ascii="Arial" w:hAnsi="Arial" w:cs="Arial"/>
          <w:sz w:val="20"/>
          <w:szCs w:val="20"/>
        </w:rPr>
        <w:t xml:space="preserve">Dogru, T., Bulut, U., &amp;Sirakaya-Turk, E. (2020). Climate change and tourism: Do destination characteristics matter? </w:t>
      </w:r>
      <w:r w:rsidRPr="00A96AA4">
        <w:rPr>
          <w:rFonts w:ascii="Arial" w:hAnsi="Arial" w:cs="Arial"/>
          <w:i/>
          <w:iCs/>
          <w:sz w:val="20"/>
          <w:szCs w:val="20"/>
        </w:rPr>
        <w:t>Tourism Management</w:t>
      </w:r>
      <w:r w:rsidRPr="00A96AA4">
        <w:rPr>
          <w:rFonts w:ascii="Arial" w:hAnsi="Arial" w:cs="Arial"/>
          <w:sz w:val="20"/>
          <w:szCs w:val="20"/>
        </w:rPr>
        <w:t xml:space="preserve">, 77, 104019. </w:t>
      </w:r>
      <w:hyperlink r:id="rId11" w:tgtFrame="_new" w:history="1">
        <w:r w:rsidRPr="00A96AA4">
          <w:rPr>
            <w:rStyle w:val="Hyperlink"/>
            <w:rFonts w:ascii="Arial" w:hAnsi="Arial" w:cs="Arial"/>
            <w:sz w:val="20"/>
            <w:szCs w:val="20"/>
          </w:rPr>
          <w:t>https://doi.org/10.1016/j.tourman.2019.104019</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Dwyer, L., Forsyth, P., &amp; Dwyer, W. (2016). </w:t>
      </w:r>
      <w:r w:rsidRPr="00A96AA4">
        <w:rPr>
          <w:rFonts w:ascii="Arial" w:hAnsi="Arial" w:cs="Arial"/>
          <w:i/>
          <w:iCs/>
          <w:sz w:val="20"/>
          <w:szCs w:val="20"/>
        </w:rPr>
        <w:t>Tourism economics and policy</w:t>
      </w:r>
      <w:r w:rsidRPr="00A96AA4">
        <w:rPr>
          <w:rFonts w:ascii="Arial" w:hAnsi="Arial" w:cs="Arial"/>
          <w:sz w:val="20"/>
          <w:szCs w:val="20"/>
        </w:rPr>
        <w:t>. Channel View Publications.</w:t>
      </w:r>
    </w:p>
    <w:p w:rsidR="00A96AA4" w:rsidRPr="00A96AA4" w:rsidRDefault="00A96AA4" w:rsidP="00A96AA4">
      <w:pPr>
        <w:rPr>
          <w:rFonts w:ascii="Arial" w:hAnsi="Arial" w:cs="Arial"/>
          <w:sz w:val="20"/>
          <w:szCs w:val="20"/>
        </w:rPr>
      </w:pPr>
      <w:r w:rsidRPr="00A96AA4">
        <w:rPr>
          <w:rFonts w:ascii="Arial" w:hAnsi="Arial" w:cs="Arial"/>
          <w:sz w:val="20"/>
          <w:szCs w:val="20"/>
        </w:rPr>
        <w:t xml:space="preserve">International Monetary Fund. (2022). </w:t>
      </w:r>
      <w:r w:rsidRPr="00A96AA4">
        <w:rPr>
          <w:rFonts w:ascii="Arial" w:hAnsi="Arial" w:cs="Arial"/>
          <w:i/>
          <w:iCs/>
          <w:sz w:val="20"/>
          <w:szCs w:val="20"/>
        </w:rPr>
        <w:t>Economic scarring: Channels and policy implications</w:t>
      </w:r>
      <w:r w:rsidRPr="00A96AA4">
        <w:rPr>
          <w:rFonts w:ascii="Arial" w:hAnsi="Arial" w:cs="Arial"/>
          <w:sz w:val="20"/>
          <w:szCs w:val="20"/>
        </w:rPr>
        <w:t xml:space="preserve"> (Working Paper No. 2022/248). </w:t>
      </w:r>
      <w:hyperlink r:id="rId12" w:tgtFrame="_new" w:history="1">
        <w:r w:rsidRPr="00A96AA4">
          <w:rPr>
            <w:rStyle w:val="Hyperlink"/>
            <w:rFonts w:ascii="Arial" w:hAnsi="Arial" w:cs="Arial"/>
            <w:sz w:val="20"/>
            <w:szCs w:val="20"/>
          </w:rPr>
          <w:t>https://doi.org/10.5089/9781513690190.001</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Gidumal, J. B. (2022). Post-COVID-19 recovery of island tourism using a smart tourism destination framework. </w:t>
      </w:r>
      <w:r w:rsidRPr="00A96AA4">
        <w:rPr>
          <w:rFonts w:ascii="Arial" w:hAnsi="Arial" w:cs="Arial"/>
          <w:i/>
          <w:iCs/>
          <w:sz w:val="20"/>
          <w:szCs w:val="20"/>
        </w:rPr>
        <w:t>Journal of Destination Marketing &amp; Management</w:t>
      </w:r>
      <w:r w:rsidRPr="00A96AA4">
        <w:rPr>
          <w:rFonts w:ascii="Arial" w:hAnsi="Arial" w:cs="Arial"/>
          <w:sz w:val="20"/>
          <w:szCs w:val="20"/>
        </w:rPr>
        <w:t xml:space="preserve">, 23, 100689. </w:t>
      </w:r>
      <w:hyperlink r:id="rId13" w:tgtFrame="_new" w:history="1">
        <w:r w:rsidRPr="00A96AA4">
          <w:rPr>
            <w:rStyle w:val="Hyperlink"/>
            <w:rFonts w:ascii="Arial" w:hAnsi="Arial" w:cs="Arial"/>
            <w:sz w:val="20"/>
            <w:szCs w:val="20"/>
          </w:rPr>
          <w:t>https://doi.org/10.1016/j.jdmm.2022.100689</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Goh, C., &amp; Law, R. (2002). Modeling and forecasting tourism demand for arrivals with stochastic nonstationary seasonality and intervention. </w:t>
      </w:r>
      <w:r w:rsidRPr="00A96AA4">
        <w:rPr>
          <w:rFonts w:ascii="Arial" w:hAnsi="Arial" w:cs="Arial"/>
          <w:i/>
          <w:iCs/>
          <w:sz w:val="20"/>
          <w:szCs w:val="20"/>
        </w:rPr>
        <w:t>Tourism Management</w:t>
      </w:r>
      <w:r w:rsidRPr="00A96AA4">
        <w:rPr>
          <w:rFonts w:ascii="Arial" w:hAnsi="Arial" w:cs="Arial"/>
          <w:sz w:val="20"/>
          <w:szCs w:val="20"/>
        </w:rPr>
        <w:t xml:space="preserve">, 23(5), 499–510. </w:t>
      </w:r>
      <w:hyperlink r:id="rId14" w:tgtFrame="_new" w:history="1">
        <w:r w:rsidRPr="00A96AA4">
          <w:rPr>
            <w:rStyle w:val="Hyperlink"/>
            <w:rFonts w:ascii="Arial" w:hAnsi="Arial" w:cs="Arial"/>
            <w:sz w:val="20"/>
            <w:szCs w:val="20"/>
          </w:rPr>
          <w:t>https://doi.org/10.1016/S0261-5177(02)00009-2</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Gössling, S., Scott, D., &amp; Hall, C. M. (2021). Pandemics, tourism and global change: A rapid assessment of COVID-19. </w:t>
      </w:r>
      <w:r w:rsidRPr="00A96AA4">
        <w:rPr>
          <w:rFonts w:ascii="Arial" w:hAnsi="Arial" w:cs="Arial"/>
          <w:i/>
          <w:iCs/>
          <w:sz w:val="20"/>
          <w:szCs w:val="20"/>
        </w:rPr>
        <w:t>Journal of Sustainable Tourism</w:t>
      </w:r>
      <w:r w:rsidRPr="00A96AA4">
        <w:rPr>
          <w:rFonts w:ascii="Arial" w:hAnsi="Arial" w:cs="Arial"/>
          <w:sz w:val="20"/>
          <w:szCs w:val="20"/>
        </w:rPr>
        <w:t xml:space="preserve">, 29(1), 1–20. </w:t>
      </w:r>
      <w:hyperlink r:id="rId15" w:tgtFrame="_new" w:history="1">
        <w:r w:rsidRPr="00A96AA4">
          <w:rPr>
            <w:rStyle w:val="Hyperlink"/>
            <w:rFonts w:ascii="Arial" w:hAnsi="Arial" w:cs="Arial"/>
            <w:sz w:val="20"/>
            <w:szCs w:val="20"/>
          </w:rPr>
          <w:t>https://doi.org/10.1080/09669582.2020.1758708</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Hall, C. M., Scott, D., &amp;Gössling, S. (2018). Global tourism vulnerability to climate change. </w:t>
      </w:r>
      <w:r w:rsidRPr="00A96AA4">
        <w:rPr>
          <w:rFonts w:ascii="Arial" w:hAnsi="Arial" w:cs="Arial"/>
          <w:i/>
          <w:iCs/>
          <w:sz w:val="20"/>
          <w:szCs w:val="20"/>
        </w:rPr>
        <w:t>Annals of Tourism Research</w:t>
      </w:r>
      <w:r w:rsidRPr="00A96AA4">
        <w:rPr>
          <w:rFonts w:ascii="Arial" w:hAnsi="Arial" w:cs="Arial"/>
          <w:sz w:val="20"/>
          <w:szCs w:val="20"/>
        </w:rPr>
        <w:t xml:space="preserve">, 77, 1–13. </w:t>
      </w:r>
      <w:hyperlink r:id="rId16" w:tgtFrame="_new" w:history="1">
        <w:r w:rsidRPr="00A96AA4">
          <w:rPr>
            <w:rStyle w:val="Hyperlink"/>
            <w:rFonts w:ascii="Arial" w:hAnsi="Arial" w:cs="Arial"/>
            <w:sz w:val="20"/>
            <w:szCs w:val="20"/>
          </w:rPr>
          <w:t>https://doi.org/10.1016/j.annals.2018.07.007</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Koenig-Lewis, N., &amp; Bischoff, E. E. (2010). Seasonality research: The state of the art. </w:t>
      </w:r>
      <w:r w:rsidRPr="00A96AA4">
        <w:rPr>
          <w:rFonts w:ascii="Arial" w:hAnsi="Arial" w:cs="Arial"/>
          <w:i/>
          <w:iCs/>
          <w:sz w:val="20"/>
          <w:szCs w:val="20"/>
        </w:rPr>
        <w:t>International Journal of Tourism Research</w:t>
      </w:r>
      <w:r w:rsidRPr="00A96AA4">
        <w:rPr>
          <w:rFonts w:ascii="Arial" w:hAnsi="Arial" w:cs="Arial"/>
          <w:sz w:val="20"/>
          <w:szCs w:val="20"/>
        </w:rPr>
        <w:t xml:space="preserve">, 12(3), 201–219. </w:t>
      </w:r>
      <w:hyperlink r:id="rId17" w:tgtFrame="_new" w:history="1">
        <w:r w:rsidRPr="00A96AA4">
          <w:rPr>
            <w:rStyle w:val="Hyperlink"/>
            <w:rFonts w:ascii="Arial" w:hAnsi="Arial" w:cs="Arial"/>
            <w:sz w:val="20"/>
            <w:szCs w:val="20"/>
          </w:rPr>
          <w:t>https://doi.org/10.1002/jtr.761</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Li, J., Nguyen, T. H. H., &amp; Coca-Stefaniak, J. A. (2021). Coronavirus impacts on post-pandemic planned travel behaviours. </w:t>
      </w:r>
      <w:r w:rsidRPr="00A96AA4">
        <w:rPr>
          <w:rFonts w:ascii="Arial" w:hAnsi="Arial" w:cs="Arial"/>
          <w:i/>
          <w:iCs/>
          <w:sz w:val="20"/>
          <w:szCs w:val="20"/>
        </w:rPr>
        <w:t>Annals of Tourism Research</w:t>
      </w:r>
      <w:r w:rsidRPr="00A96AA4">
        <w:rPr>
          <w:rFonts w:ascii="Arial" w:hAnsi="Arial" w:cs="Arial"/>
          <w:sz w:val="20"/>
          <w:szCs w:val="20"/>
        </w:rPr>
        <w:t xml:space="preserve">, 86, 102964. </w:t>
      </w:r>
      <w:hyperlink r:id="rId18" w:tgtFrame="_new" w:history="1">
        <w:r w:rsidRPr="00A96AA4">
          <w:rPr>
            <w:rStyle w:val="Hyperlink"/>
            <w:rFonts w:ascii="Arial" w:hAnsi="Arial" w:cs="Arial"/>
            <w:sz w:val="20"/>
            <w:szCs w:val="20"/>
          </w:rPr>
          <w:t>https://doi.org/10.1016/j.annals.2020.102964</w:t>
        </w:r>
      </w:hyperlink>
    </w:p>
    <w:p w:rsidR="00A96AA4" w:rsidRPr="00A96AA4" w:rsidRDefault="00A96AA4" w:rsidP="00A96AA4">
      <w:pPr>
        <w:rPr>
          <w:rFonts w:ascii="Arial" w:hAnsi="Arial" w:cs="Arial"/>
          <w:sz w:val="20"/>
          <w:szCs w:val="20"/>
        </w:rPr>
      </w:pPr>
      <w:r w:rsidRPr="00A96AA4">
        <w:rPr>
          <w:rFonts w:ascii="Arial" w:hAnsi="Arial" w:cs="Arial"/>
          <w:sz w:val="20"/>
          <w:szCs w:val="20"/>
        </w:rPr>
        <w:lastRenderedPageBreak/>
        <w:t xml:space="preserve">Liu, A. T., Williams, A. M., Liu, A., Kim, Y. R., &amp; Lin, P. M. (2023). A systematic analysis of diaspora tourism: Geographical perspectives and superdiversity. </w:t>
      </w:r>
      <w:r w:rsidRPr="00A96AA4">
        <w:rPr>
          <w:rFonts w:ascii="Arial" w:hAnsi="Arial" w:cs="Arial"/>
          <w:i/>
          <w:iCs/>
          <w:sz w:val="20"/>
          <w:szCs w:val="20"/>
        </w:rPr>
        <w:t>Journal of Hospitality &amp; Tourism Research</w:t>
      </w:r>
      <w:r w:rsidRPr="00A96AA4">
        <w:rPr>
          <w:rFonts w:ascii="Arial" w:hAnsi="Arial" w:cs="Arial"/>
          <w:sz w:val="20"/>
          <w:szCs w:val="20"/>
        </w:rPr>
        <w:t xml:space="preserve">, 47(2), 123–145. </w:t>
      </w:r>
      <w:hyperlink r:id="rId19" w:tgtFrame="_new" w:history="1">
        <w:r w:rsidRPr="00A96AA4">
          <w:rPr>
            <w:rStyle w:val="Hyperlink"/>
            <w:rFonts w:ascii="Arial" w:hAnsi="Arial" w:cs="Arial"/>
            <w:sz w:val="20"/>
            <w:szCs w:val="20"/>
          </w:rPr>
          <w:t>https://doi.org/10.1177/10963480231152571</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OECD. (2024). </w:t>
      </w:r>
      <w:r w:rsidRPr="00A96AA4">
        <w:rPr>
          <w:rFonts w:ascii="Arial" w:hAnsi="Arial" w:cs="Arial"/>
          <w:i/>
          <w:iCs/>
          <w:sz w:val="20"/>
          <w:szCs w:val="20"/>
        </w:rPr>
        <w:t>Tourism trends and policies 2024</w:t>
      </w:r>
      <w:r w:rsidRPr="00A96AA4">
        <w:rPr>
          <w:rFonts w:ascii="Arial" w:hAnsi="Arial" w:cs="Arial"/>
          <w:sz w:val="20"/>
          <w:szCs w:val="20"/>
        </w:rPr>
        <w:t xml:space="preserve">. </w:t>
      </w:r>
      <w:hyperlink r:id="rId20" w:tgtFrame="_new" w:history="1">
        <w:r w:rsidRPr="00A96AA4">
          <w:rPr>
            <w:rStyle w:val="Hyperlink"/>
            <w:rFonts w:ascii="Arial" w:hAnsi="Arial" w:cs="Arial"/>
            <w:sz w:val="20"/>
            <w:szCs w:val="20"/>
          </w:rPr>
          <w:t>https://www.oecd.org/en/publications/oecd-tourism-trends-and-policies-2024_80885d8b-en</w:t>
        </w:r>
      </w:hyperlink>
    </w:p>
    <w:p w:rsidR="00A96AA4" w:rsidRPr="00A96AA4" w:rsidRDefault="003D11B0" w:rsidP="00A96AA4">
      <w:pPr>
        <w:rPr>
          <w:rFonts w:ascii="Arial" w:hAnsi="Arial" w:cs="Arial"/>
          <w:sz w:val="20"/>
          <w:szCs w:val="20"/>
        </w:rPr>
      </w:pPr>
      <w:r w:rsidRPr="003D11B0">
        <w:rPr>
          <w:rFonts w:ascii="Arial" w:hAnsi="Arial" w:cs="Arial"/>
          <w:sz w:val="20"/>
          <w:szCs w:val="20"/>
        </w:rPr>
        <w:t xml:space="preserve">Mingya Qu and Yujie Fu and Dongsheng Chen and Yatao Zhang and Jigang Bao </w:t>
      </w:r>
      <w:r w:rsidR="00A96AA4" w:rsidRPr="00A96AA4">
        <w:rPr>
          <w:rFonts w:ascii="Arial" w:hAnsi="Arial" w:cs="Arial"/>
          <w:sz w:val="20"/>
          <w:szCs w:val="20"/>
        </w:rPr>
        <w:t xml:space="preserve">(2026). From impact to action: Enhancing international tourism resilience through counterfactual explanations. </w:t>
      </w:r>
      <w:r w:rsidR="00A96AA4" w:rsidRPr="00A96AA4">
        <w:rPr>
          <w:rFonts w:ascii="Arial" w:hAnsi="Arial" w:cs="Arial"/>
          <w:i/>
          <w:iCs/>
          <w:sz w:val="20"/>
          <w:szCs w:val="20"/>
        </w:rPr>
        <w:t>Tourism Management</w:t>
      </w:r>
      <w:r w:rsidR="00A96AA4" w:rsidRPr="00A96AA4">
        <w:rPr>
          <w:rFonts w:ascii="Arial" w:hAnsi="Arial" w:cs="Arial"/>
          <w:sz w:val="20"/>
          <w:szCs w:val="20"/>
        </w:rPr>
        <w:t xml:space="preserve">, 114, 105356. </w:t>
      </w:r>
      <w:hyperlink r:id="rId21" w:tgtFrame="_new" w:history="1">
        <w:r w:rsidR="00A96AA4" w:rsidRPr="00A96AA4">
          <w:rPr>
            <w:rStyle w:val="Hyperlink"/>
            <w:rFonts w:ascii="Arial" w:hAnsi="Arial" w:cs="Arial"/>
            <w:sz w:val="20"/>
            <w:szCs w:val="20"/>
          </w:rPr>
          <w:t>https://doi.org/10.1016/j.tourman.2025.105356</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S., A., &amp; B., P. K. (2025). Foreign tourist arrivals (FTAs) in India: A demographic and economic analysis. </w:t>
      </w:r>
      <w:r w:rsidRPr="00A96AA4">
        <w:rPr>
          <w:rFonts w:ascii="Arial" w:hAnsi="Arial" w:cs="Arial"/>
          <w:i/>
          <w:iCs/>
          <w:sz w:val="20"/>
          <w:szCs w:val="20"/>
        </w:rPr>
        <w:t>International Research Journal of Economics and Management Studies</w:t>
      </w:r>
      <w:r w:rsidRPr="00A96AA4">
        <w:rPr>
          <w:rFonts w:ascii="Arial" w:hAnsi="Arial" w:cs="Arial"/>
          <w:sz w:val="20"/>
          <w:szCs w:val="20"/>
        </w:rPr>
        <w:t xml:space="preserve">, 4(7), 7–15. </w:t>
      </w:r>
      <w:hyperlink r:id="rId22" w:tgtFrame="_new" w:history="1">
        <w:r w:rsidRPr="00A96AA4">
          <w:rPr>
            <w:rStyle w:val="Hyperlink"/>
            <w:rFonts w:ascii="Arial" w:hAnsi="Arial" w:cs="Arial"/>
            <w:sz w:val="20"/>
            <w:szCs w:val="20"/>
          </w:rPr>
          <w:t>https://doi.org/10.56472/25835238/IRJEMS-V4I7P102</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Akron, S., Demir, E., Díez-Esteban, J. M., &amp; García-Gómez, C. D. (2020). Economic policy uncertainty and corporate investment: Evidence from the U.S. hospitality industry. </w:t>
      </w:r>
      <w:r w:rsidRPr="00A96AA4">
        <w:rPr>
          <w:rFonts w:ascii="Arial" w:hAnsi="Arial" w:cs="Arial"/>
          <w:i/>
          <w:iCs/>
          <w:sz w:val="20"/>
          <w:szCs w:val="20"/>
        </w:rPr>
        <w:t>Tourism Management</w:t>
      </w:r>
      <w:r w:rsidRPr="00A96AA4">
        <w:rPr>
          <w:rFonts w:ascii="Arial" w:hAnsi="Arial" w:cs="Arial"/>
          <w:sz w:val="20"/>
          <w:szCs w:val="20"/>
        </w:rPr>
        <w:t xml:space="preserve">, 77, 104019. </w:t>
      </w:r>
      <w:hyperlink r:id="rId23" w:tgtFrame="_new" w:history="1">
        <w:r w:rsidRPr="00A96AA4">
          <w:rPr>
            <w:rStyle w:val="Hyperlink"/>
            <w:rFonts w:ascii="Arial" w:hAnsi="Arial" w:cs="Arial"/>
            <w:sz w:val="20"/>
            <w:szCs w:val="20"/>
          </w:rPr>
          <w:t>https://doi.org/10.1016/j.tourman.2019.104019</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Sann, R., Lai, P. C., &amp; Liaw, S. Y. (2024). Prospective for tourism and hospitality industry: An integrative review on COVID-19’s impacts. </w:t>
      </w:r>
      <w:r w:rsidRPr="00A96AA4">
        <w:rPr>
          <w:rFonts w:ascii="Arial" w:hAnsi="Arial" w:cs="Arial"/>
          <w:i/>
          <w:iCs/>
          <w:sz w:val="20"/>
          <w:szCs w:val="20"/>
        </w:rPr>
        <w:t>Cogent Business &amp; Management</w:t>
      </w:r>
      <w:r w:rsidRPr="00A96AA4">
        <w:rPr>
          <w:rFonts w:ascii="Arial" w:hAnsi="Arial" w:cs="Arial"/>
          <w:sz w:val="20"/>
          <w:szCs w:val="20"/>
        </w:rPr>
        <w:t xml:space="preserve">, 11(1). </w:t>
      </w:r>
      <w:hyperlink r:id="rId24" w:tgtFrame="_new" w:history="1">
        <w:r w:rsidRPr="00A96AA4">
          <w:rPr>
            <w:rStyle w:val="Hyperlink"/>
            <w:rFonts w:ascii="Arial" w:hAnsi="Arial" w:cs="Arial"/>
            <w:sz w:val="20"/>
            <w:szCs w:val="20"/>
          </w:rPr>
          <w:t>https://doi.org/10.1080/23311975.2024.2414854</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Sigala, M. (2020). Tourism and COVID-19: Impacts and implications for advancing and resetting industry and research. </w:t>
      </w:r>
      <w:r w:rsidRPr="00A96AA4">
        <w:rPr>
          <w:rFonts w:ascii="Arial" w:hAnsi="Arial" w:cs="Arial"/>
          <w:i/>
          <w:iCs/>
          <w:sz w:val="20"/>
          <w:szCs w:val="20"/>
        </w:rPr>
        <w:t>Journal of Business Research</w:t>
      </w:r>
      <w:r w:rsidRPr="00A96AA4">
        <w:rPr>
          <w:rFonts w:ascii="Arial" w:hAnsi="Arial" w:cs="Arial"/>
          <w:sz w:val="20"/>
          <w:szCs w:val="20"/>
        </w:rPr>
        <w:t xml:space="preserve">, 117, 312–321. </w:t>
      </w:r>
      <w:hyperlink r:id="rId25" w:tgtFrame="_new" w:history="1">
        <w:r w:rsidRPr="00A96AA4">
          <w:rPr>
            <w:rStyle w:val="Hyperlink"/>
            <w:rFonts w:ascii="Arial" w:hAnsi="Arial" w:cs="Arial"/>
            <w:sz w:val="20"/>
            <w:szCs w:val="20"/>
          </w:rPr>
          <w:t>https://doi.org/10.1016/j.jbusres.2020.06.015</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Singh, S. K., </w:t>
      </w:r>
      <w:r w:rsidR="00F5566A">
        <w:rPr>
          <w:rFonts w:ascii="Arial" w:hAnsi="Arial" w:cs="Arial"/>
          <w:sz w:val="20"/>
          <w:szCs w:val="20"/>
        </w:rPr>
        <w:t>Nath G</w:t>
      </w:r>
      <w:r w:rsidRPr="00A96AA4">
        <w:rPr>
          <w:rFonts w:ascii="Arial" w:hAnsi="Arial" w:cs="Arial"/>
          <w:sz w:val="20"/>
          <w:szCs w:val="20"/>
        </w:rPr>
        <w:t>.</w:t>
      </w:r>
      <w:r w:rsidR="003D11B0">
        <w:rPr>
          <w:rFonts w:ascii="Arial" w:hAnsi="Arial" w:cs="Arial"/>
          <w:sz w:val="20"/>
          <w:szCs w:val="20"/>
        </w:rPr>
        <w:t xml:space="preserve">, </w:t>
      </w:r>
      <w:r w:rsidR="00F5566A">
        <w:rPr>
          <w:rFonts w:ascii="Arial" w:hAnsi="Arial" w:cs="Arial"/>
          <w:sz w:val="20"/>
          <w:szCs w:val="20"/>
        </w:rPr>
        <w:t>Singh, N.</w:t>
      </w:r>
      <w:r w:rsidRPr="00A96AA4">
        <w:rPr>
          <w:rFonts w:ascii="Arial" w:hAnsi="Arial" w:cs="Arial"/>
          <w:sz w:val="20"/>
          <w:szCs w:val="20"/>
        </w:rPr>
        <w:t xml:space="preserve"> (2026). Religious tourism as a catalyst for local economic development: An empirical PLS-SEM analysis of religious tourists' behavior in Nainital district. SSRN. </w:t>
      </w:r>
      <w:hyperlink r:id="rId26" w:tgtFrame="_new" w:history="1">
        <w:r w:rsidRPr="00A96AA4">
          <w:rPr>
            <w:rStyle w:val="Hyperlink"/>
            <w:rFonts w:ascii="Arial" w:hAnsi="Arial" w:cs="Arial"/>
            <w:sz w:val="20"/>
            <w:szCs w:val="20"/>
          </w:rPr>
          <w:t>https://doi.org/10.2139/ssrn.6159807</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Song, H., &amp; Li, G. (2008). Tourism demand modelling and forecasting: A review of recent research. </w:t>
      </w:r>
      <w:r w:rsidRPr="00A96AA4">
        <w:rPr>
          <w:rFonts w:ascii="Arial" w:hAnsi="Arial" w:cs="Arial"/>
          <w:i/>
          <w:iCs/>
          <w:sz w:val="20"/>
          <w:szCs w:val="20"/>
        </w:rPr>
        <w:t>Tourism Management</w:t>
      </w:r>
      <w:r w:rsidRPr="00A96AA4">
        <w:rPr>
          <w:rFonts w:ascii="Arial" w:hAnsi="Arial" w:cs="Arial"/>
          <w:sz w:val="20"/>
          <w:szCs w:val="20"/>
        </w:rPr>
        <w:t xml:space="preserve">, 29(2), 203–220. </w:t>
      </w:r>
      <w:hyperlink r:id="rId27" w:tgtFrame="_new" w:history="1">
        <w:r w:rsidRPr="00A96AA4">
          <w:rPr>
            <w:rStyle w:val="Hyperlink"/>
            <w:rFonts w:ascii="Arial" w:hAnsi="Arial" w:cs="Arial"/>
            <w:sz w:val="20"/>
            <w:szCs w:val="20"/>
          </w:rPr>
          <w:t>https://doi.org/10.1016/j.tourman.2007.07.016</w:t>
        </w:r>
      </w:hyperlink>
    </w:p>
    <w:p w:rsidR="00A96AA4" w:rsidRPr="00A96AA4" w:rsidRDefault="00A96AA4" w:rsidP="00A96AA4">
      <w:pPr>
        <w:rPr>
          <w:rFonts w:ascii="Arial" w:hAnsi="Arial" w:cs="Arial"/>
          <w:sz w:val="20"/>
          <w:szCs w:val="20"/>
        </w:rPr>
      </w:pPr>
      <w:r w:rsidRPr="00A96AA4">
        <w:rPr>
          <w:rFonts w:ascii="Arial" w:hAnsi="Arial" w:cs="Arial"/>
          <w:sz w:val="20"/>
          <w:szCs w:val="20"/>
        </w:rPr>
        <w:t xml:space="preserve">Tegelberg, M., &amp; Griffin, T. (2024). Remembering for resilience: Nature-based tourism, COVID-19, and green transitions. </w:t>
      </w:r>
      <w:r w:rsidRPr="00A96AA4">
        <w:rPr>
          <w:rFonts w:ascii="Arial" w:hAnsi="Arial" w:cs="Arial"/>
          <w:i/>
          <w:iCs/>
          <w:sz w:val="20"/>
          <w:szCs w:val="20"/>
        </w:rPr>
        <w:t>Frontiers in Sustainable Tourism</w:t>
      </w:r>
      <w:r w:rsidRPr="00A96AA4">
        <w:rPr>
          <w:rFonts w:ascii="Arial" w:hAnsi="Arial" w:cs="Arial"/>
          <w:sz w:val="20"/>
          <w:szCs w:val="20"/>
        </w:rPr>
        <w:t xml:space="preserve">, 3, 1392566. </w:t>
      </w:r>
      <w:hyperlink r:id="rId28" w:tgtFrame="_new" w:history="1">
        <w:r w:rsidRPr="00A96AA4">
          <w:rPr>
            <w:rStyle w:val="Hyperlink"/>
            <w:rFonts w:ascii="Arial" w:hAnsi="Arial" w:cs="Arial"/>
            <w:sz w:val="20"/>
            <w:szCs w:val="20"/>
          </w:rPr>
          <w:t>https://doi.org/10.3389/frsut.2024.1392566</w:t>
        </w:r>
      </w:hyperlink>
    </w:p>
    <w:p w:rsidR="00A96AA4" w:rsidRDefault="003D11B0" w:rsidP="00A96AA4">
      <w:r w:rsidRPr="003D11B0">
        <w:rPr>
          <w:rFonts w:ascii="Arial" w:hAnsi="Arial" w:cs="Arial"/>
          <w:sz w:val="20"/>
          <w:szCs w:val="20"/>
        </w:rPr>
        <w:t xml:space="preserve">Peixue Liu and Zhanjing Zeng and Huanying Wang and Honglei Zhang and Jianxin Zhang and ZehuaLiu </w:t>
      </w:r>
      <w:r w:rsidR="00A96AA4" w:rsidRPr="00A96AA4">
        <w:rPr>
          <w:rFonts w:ascii="Arial" w:hAnsi="Arial" w:cs="Arial"/>
          <w:sz w:val="20"/>
          <w:szCs w:val="20"/>
        </w:rPr>
        <w:t xml:space="preserve">(2024). Crisis-resistant tourism markets in the pandemic recovery. </w:t>
      </w:r>
      <w:r w:rsidR="00A96AA4" w:rsidRPr="00A96AA4">
        <w:rPr>
          <w:rFonts w:ascii="Arial" w:hAnsi="Arial" w:cs="Arial"/>
          <w:i/>
          <w:iCs/>
          <w:sz w:val="20"/>
          <w:szCs w:val="20"/>
        </w:rPr>
        <w:t>Tourism Management Perspectives</w:t>
      </w:r>
      <w:r w:rsidR="00A96AA4" w:rsidRPr="00A96AA4">
        <w:rPr>
          <w:rFonts w:ascii="Arial" w:hAnsi="Arial" w:cs="Arial"/>
          <w:sz w:val="20"/>
          <w:szCs w:val="20"/>
        </w:rPr>
        <w:t xml:space="preserve">, 51, 101221. </w:t>
      </w:r>
      <w:hyperlink r:id="rId29" w:tgtFrame="_new" w:history="1">
        <w:r w:rsidR="00A96AA4" w:rsidRPr="00A96AA4">
          <w:rPr>
            <w:rStyle w:val="Hyperlink"/>
            <w:rFonts w:ascii="Arial" w:hAnsi="Arial" w:cs="Arial"/>
            <w:sz w:val="20"/>
            <w:szCs w:val="20"/>
          </w:rPr>
          <w:t>https://doi.org/10.1016/j.tmp.2024.101221</w:t>
        </w:r>
      </w:hyperlink>
    </w:p>
    <w:p w:rsidR="00B0193F" w:rsidRPr="00A96AA4" w:rsidRDefault="00B0193F" w:rsidP="00A96AA4">
      <w:pPr>
        <w:rPr>
          <w:rFonts w:ascii="Arial" w:hAnsi="Arial" w:cs="Arial"/>
          <w:sz w:val="20"/>
          <w:szCs w:val="20"/>
        </w:rPr>
      </w:pPr>
      <w:r w:rsidRPr="00B0193F">
        <w:rPr>
          <w:rFonts w:ascii="Arial" w:hAnsi="Arial" w:cs="Arial"/>
          <w:sz w:val="20"/>
          <w:szCs w:val="20"/>
        </w:rPr>
        <w:t xml:space="preserve">United Nations World Tourism Organization (UNWTO). (n.d.). </w:t>
      </w:r>
      <w:r w:rsidRPr="00B0193F">
        <w:rPr>
          <w:rFonts w:ascii="Arial" w:hAnsi="Arial" w:cs="Arial"/>
          <w:i/>
          <w:iCs/>
          <w:sz w:val="20"/>
          <w:szCs w:val="20"/>
        </w:rPr>
        <w:t>UNWTO World Tourism Barometer</w:t>
      </w:r>
      <w:r w:rsidRPr="00B0193F">
        <w:rPr>
          <w:rFonts w:ascii="Arial" w:hAnsi="Arial" w:cs="Arial"/>
          <w:sz w:val="20"/>
          <w:szCs w:val="20"/>
        </w:rPr>
        <w:t xml:space="preserve">. </w:t>
      </w:r>
      <w:hyperlink r:id="rId30" w:tgtFrame="_new" w:history="1">
        <w:r w:rsidRPr="00B0193F">
          <w:rPr>
            <w:rStyle w:val="Hyperlink"/>
            <w:rFonts w:ascii="Arial" w:hAnsi="Arial" w:cs="Arial"/>
            <w:sz w:val="20"/>
            <w:szCs w:val="20"/>
          </w:rPr>
          <w:t>https://www.unwto.org</w:t>
        </w:r>
      </w:hyperlink>
    </w:p>
    <w:p w:rsidR="00A96AA4" w:rsidRPr="008C5A77" w:rsidRDefault="00A96AA4">
      <w:pPr>
        <w:rPr>
          <w:sz w:val="24"/>
          <w:szCs w:val="24"/>
        </w:rPr>
      </w:pPr>
    </w:p>
    <w:sectPr w:rsidR="00A96AA4" w:rsidRPr="008C5A77" w:rsidSect="0088606A">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097" w:rsidRDefault="007C5097" w:rsidP="00A96AA4">
      <w:pPr>
        <w:spacing w:after="0" w:line="240" w:lineRule="auto"/>
      </w:pPr>
      <w:r>
        <w:separator/>
      </w:r>
    </w:p>
  </w:endnote>
  <w:endnote w:type="continuationSeparator" w:id="1">
    <w:p w:rsidR="007C5097" w:rsidRDefault="007C5097" w:rsidP="00A96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E4" w:rsidRDefault="00F663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E4" w:rsidRDefault="00F663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E4" w:rsidRDefault="00F66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097" w:rsidRDefault="007C5097" w:rsidP="00A96AA4">
      <w:pPr>
        <w:spacing w:after="0" w:line="240" w:lineRule="auto"/>
      </w:pPr>
      <w:r>
        <w:separator/>
      </w:r>
    </w:p>
  </w:footnote>
  <w:footnote w:type="continuationSeparator" w:id="1">
    <w:p w:rsidR="007C5097" w:rsidRDefault="007C5097" w:rsidP="00A96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E4" w:rsidRDefault="00F663E4">
    <w:pPr>
      <w:pStyle w:val="Header"/>
    </w:pPr>
    <w:r w:rsidRPr="008860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E4" w:rsidRDefault="00F663E4">
    <w:pPr>
      <w:pStyle w:val="Header"/>
    </w:pPr>
    <w:r w:rsidRPr="008860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E4" w:rsidRDefault="00F663E4">
    <w:pPr>
      <w:pStyle w:val="Header"/>
    </w:pPr>
    <w:r w:rsidRPr="008860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F5754"/>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CD75DB"/>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FE5026"/>
    <w:multiLevelType w:val="hybridMultilevel"/>
    <w:tmpl w:val="364A1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B73754D"/>
    <w:multiLevelType w:val="hybridMultilevel"/>
    <w:tmpl w:val="C94CF4B0"/>
    <w:lvl w:ilvl="0" w:tplc="473E8542">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C5A77"/>
    <w:rsid w:val="00005687"/>
    <w:rsid w:val="00011191"/>
    <w:rsid w:val="00096BAF"/>
    <w:rsid w:val="00106AA4"/>
    <w:rsid w:val="0010770C"/>
    <w:rsid w:val="00261763"/>
    <w:rsid w:val="002952A8"/>
    <w:rsid w:val="003A5818"/>
    <w:rsid w:val="003D11B0"/>
    <w:rsid w:val="003F143F"/>
    <w:rsid w:val="004149CC"/>
    <w:rsid w:val="00425284"/>
    <w:rsid w:val="00440675"/>
    <w:rsid w:val="00480D65"/>
    <w:rsid w:val="00484429"/>
    <w:rsid w:val="004A7707"/>
    <w:rsid w:val="005A45A9"/>
    <w:rsid w:val="005B68FD"/>
    <w:rsid w:val="00605DC9"/>
    <w:rsid w:val="00644F3B"/>
    <w:rsid w:val="00685384"/>
    <w:rsid w:val="0069150F"/>
    <w:rsid w:val="0079383F"/>
    <w:rsid w:val="007A5F4F"/>
    <w:rsid w:val="007C171C"/>
    <w:rsid w:val="007C5097"/>
    <w:rsid w:val="0080595C"/>
    <w:rsid w:val="00836EE4"/>
    <w:rsid w:val="0088606A"/>
    <w:rsid w:val="008B44CF"/>
    <w:rsid w:val="008C5A77"/>
    <w:rsid w:val="00915624"/>
    <w:rsid w:val="00943A01"/>
    <w:rsid w:val="009C67B4"/>
    <w:rsid w:val="009D6DDF"/>
    <w:rsid w:val="00A01640"/>
    <w:rsid w:val="00A96AA4"/>
    <w:rsid w:val="00AF5411"/>
    <w:rsid w:val="00B0193F"/>
    <w:rsid w:val="00B16897"/>
    <w:rsid w:val="00B510AE"/>
    <w:rsid w:val="00B97215"/>
    <w:rsid w:val="00BA6F94"/>
    <w:rsid w:val="00BF6FE8"/>
    <w:rsid w:val="00C45E49"/>
    <w:rsid w:val="00C8189F"/>
    <w:rsid w:val="00C85D61"/>
    <w:rsid w:val="00D56AF3"/>
    <w:rsid w:val="00D65B32"/>
    <w:rsid w:val="00F10B9C"/>
    <w:rsid w:val="00F32BBE"/>
    <w:rsid w:val="00F5566A"/>
    <w:rsid w:val="00F61210"/>
    <w:rsid w:val="00F663E4"/>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6A"/>
  </w:style>
  <w:style w:type="paragraph" w:styleId="Heading1">
    <w:name w:val="heading 1"/>
    <w:basedOn w:val="Normal"/>
    <w:next w:val="Normal"/>
    <w:link w:val="Heading1Char"/>
    <w:uiPriority w:val="9"/>
    <w:qFormat/>
    <w:rsid w:val="008C5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A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A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A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A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A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77"/>
    <w:rPr>
      <w:rFonts w:eastAsiaTheme="majorEastAsia" w:cstheme="majorBidi"/>
      <w:color w:val="272727" w:themeColor="text1" w:themeTint="D8"/>
    </w:rPr>
  </w:style>
  <w:style w:type="paragraph" w:styleId="Title">
    <w:name w:val="Title"/>
    <w:basedOn w:val="Normal"/>
    <w:next w:val="Normal"/>
    <w:link w:val="TitleChar"/>
    <w:uiPriority w:val="10"/>
    <w:qFormat/>
    <w:rsid w:val="008C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77"/>
    <w:pPr>
      <w:spacing w:before="160"/>
      <w:jc w:val="center"/>
    </w:pPr>
    <w:rPr>
      <w:i/>
      <w:iCs/>
      <w:color w:val="404040" w:themeColor="text1" w:themeTint="BF"/>
    </w:rPr>
  </w:style>
  <w:style w:type="character" w:customStyle="1" w:styleId="QuoteChar">
    <w:name w:val="Quote Char"/>
    <w:basedOn w:val="DefaultParagraphFont"/>
    <w:link w:val="Quote"/>
    <w:uiPriority w:val="29"/>
    <w:rsid w:val="008C5A77"/>
    <w:rPr>
      <w:i/>
      <w:iCs/>
      <w:color w:val="404040" w:themeColor="text1" w:themeTint="BF"/>
    </w:rPr>
  </w:style>
  <w:style w:type="paragraph" w:styleId="ListParagraph">
    <w:name w:val="List Paragraph"/>
    <w:basedOn w:val="Normal"/>
    <w:uiPriority w:val="34"/>
    <w:qFormat/>
    <w:rsid w:val="008C5A77"/>
    <w:pPr>
      <w:ind w:left="720"/>
      <w:contextualSpacing/>
    </w:pPr>
  </w:style>
  <w:style w:type="character" w:styleId="IntenseEmphasis">
    <w:name w:val="Intense Emphasis"/>
    <w:basedOn w:val="DefaultParagraphFont"/>
    <w:uiPriority w:val="21"/>
    <w:qFormat/>
    <w:rsid w:val="008C5A77"/>
    <w:rPr>
      <w:i/>
      <w:iCs/>
      <w:color w:val="2F5496" w:themeColor="accent1" w:themeShade="BF"/>
    </w:rPr>
  </w:style>
  <w:style w:type="paragraph" w:styleId="IntenseQuote">
    <w:name w:val="Intense Quote"/>
    <w:basedOn w:val="Normal"/>
    <w:next w:val="Normal"/>
    <w:link w:val="IntenseQuoteChar"/>
    <w:uiPriority w:val="30"/>
    <w:qFormat/>
    <w:rsid w:val="008C5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A77"/>
    <w:rPr>
      <w:i/>
      <w:iCs/>
      <w:color w:val="2F5496" w:themeColor="accent1" w:themeShade="BF"/>
    </w:rPr>
  </w:style>
  <w:style w:type="character" w:styleId="IntenseReference">
    <w:name w:val="Intense Reference"/>
    <w:basedOn w:val="DefaultParagraphFont"/>
    <w:uiPriority w:val="32"/>
    <w:qFormat/>
    <w:rsid w:val="008C5A77"/>
    <w:rPr>
      <w:b/>
      <w:bCs/>
      <w:smallCaps/>
      <w:color w:val="2F5496" w:themeColor="accent1" w:themeShade="BF"/>
      <w:spacing w:val="5"/>
    </w:rPr>
  </w:style>
  <w:style w:type="table" w:styleId="TableGrid">
    <w:name w:val="Table Grid"/>
    <w:basedOn w:val="TableNormal"/>
    <w:uiPriority w:val="39"/>
    <w:qFormat/>
    <w:rsid w:val="008C5A77"/>
    <w:pPr>
      <w:spacing w:after="0" w:line="240" w:lineRule="auto"/>
    </w:pPr>
    <w:rPr>
      <w:rFonts w:ascii="Times New Roman" w:eastAsia="SimSun" w:hAnsi="Times New Roman" w:cs="Times New Roman"/>
      <w:kern w:val="0"/>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A96AA4"/>
    <w:rPr>
      <w:color w:val="0563C1" w:themeColor="hyperlink"/>
      <w:u w:val="single"/>
    </w:rPr>
  </w:style>
  <w:style w:type="character" w:customStyle="1" w:styleId="UnresolvedMention">
    <w:name w:val="Unresolved Mention"/>
    <w:basedOn w:val="DefaultParagraphFont"/>
    <w:uiPriority w:val="99"/>
    <w:semiHidden/>
    <w:unhideWhenUsed/>
    <w:rsid w:val="00A96AA4"/>
    <w:rPr>
      <w:color w:val="605E5C"/>
      <w:shd w:val="clear" w:color="auto" w:fill="E1DFDD"/>
    </w:rPr>
  </w:style>
  <w:style w:type="character" w:styleId="FootnoteReference">
    <w:name w:val="footnote reference"/>
    <w:basedOn w:val="DefaultParagraphFont"/>
    <w:uiPriority w:val="99"/>
    <w:semiHidden/>
    <w:unhideWhenUsed/>
    <w:rsid w:val="00A96AA4"/>
    <w:rPr>
      <w:vertAlign w:val="superscript"/>
    </w:rPr>
  </w:style>
  <w:style w:type="paragraph" w:styleId="FootnoteText">
    <w:name w:val="footnote text"/>
    <w:basedOn w:val="Normal"/>
    <w:link w:val="FootnoteTextChar"/>
    <w:uiPriority w:val="99"/>
    <w:semiHidden/>
    <w:unhideWhenUsed/>
    <w:rsid w:val="00A96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AA4"/>
    <w:rPr>
      <w:sz w:val="20"/>
      <w:szCs w:val="20"/>
    </w:rPr>
  </w:style>
  <w:style w:type="character" w:styleId="FollowedHyperlink">
    <w:name w:val="FollowedHyperlink"/>
    <w:basedOn w:val="DefaultParagraphFont"/>
    <w:uiPriority w:val="99"/>
    <w:semiHidden/>
    <w:unhideWhenUsed/>
    <w:rsid w:val="003D11B0"/>
    <w:rPr>
      <w:color w:val="954F72" w:themeColor="followedHyperlink"/>
      <w:u w:val="single"/>
    </w:rPr>
  </w:style>
  <w:style w:type="paragraph" w:styleId="Header">
    <w:name w:val="header"/>
    <w:basedOn w:val="Normal"/>
    <w:link w:val="HeaderChar"/>
    <w:uiPriority w:val="99"/>
    <w:unhideWhenUsed/>
    <w:rsid w:val="005B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8FD"/>
  </w:style>
  <w:style w:type="paragraph" w:styleId="Footer">
    <w:name w:val="footer"/>
    <w:basedOn w:val="Normal"/>
    <w:link w:val="FooterChar"/>
    <w:uiPriority w:val="99"/>
    <w:unhideWhenUsed/>
    <w:rsid w:val="005B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8FD"/>
  </w:style>
  <w:style w:type="paragraph" w:styleId="BalloonText">
    <w:name w:val="Balloon Text"/>
    <w:basedOn w:val="Normal"/>
    <w:link w:val="BalloonTextChar"/>
    <w:uiPriority w:val="99"/>
    <w:semiHidden/>
    <w:unhideWhenUsed/>
    <w:rsid w:val="0094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0199245282.001.0001" TargetMode="External"/><Relationship Id="rId13" Type="http://schemas.openxmlformats.org/officeDocument/2006/relationships/hyperlink" Target="https://doi.org/10.1016/j.jdmm.2022.100689" TargetMode="External"/><Relationship Id="rId18" Type="http://schemas.openxmlformats.org/officeDocument/2006/relationships/hyperlink" Target="https://doi.org/10.1016/j.annals.2020.102964" TargetMode="External"/><Relationship Id="rId26" Type="http://schemas.openxmlformats.org/officeDocument/2006/relationships/hyperlink" Target="https://doi.org/10.2139/ssrn.6159807" TargetMode="External"/><Relationship Id="rId3" Type="http://schemas.openxmlformats.org/officeDocument/2006/relationships/settings" Target="settings.xml"/><Relationship Id="rId21" Type="http://schemas.openxmlformats.org/officeDocument/2006/relationships/hyperlink" Target="https://doi.org/10.1016/j.tourman.2025.105356" TargetMode="External"/><Relationship Id="rId34" Type="http://schemas.openxmlformats.org/officeDocument/2006/relationships/footer" Target="footer2.xml"/><Relationship Id="rId7" Type="http://schemas.openxmlformats.org/officeDocument/2006/relationships/hyperlink" Target="https://doi.org/10.1177/27652157251396215" TargetMode="External"/><Relationship Id="rId12" Type="http://schemas.openxmlformats.org/officeDocument/2006/relationships/hyperlink" Target="https://doi.org/10.5089/9781513690190.001" TargetMode="External"/><Relationship Id="rId17" Type="http://schemas.openxmlformats.org/officeDocument/2006/relationships/hyperlink" Target="https://doi.org/10.1002/jtr.761" TargetMode="External"/><Relationship Id="rId25" Type="http://schemas.openxmlformats.org/officeDocument/2006/relationships/hyperlink" Target="https://doi.org/10.1016/j.jbusres.2020.06.01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nnals.2018.07.007" TargetMode="External"/><Relationship Id="rId20" Type="http://schemas.openxmlformats.org/officeDocument/2006/relationships/hyperlink" Target="https://www.oecd.org/en/publications/oecd-tourism-trends-and-policies-2024_80885d8b-en" TargetMode="External"/><Relationship Id="rId29" Type="http://schemas.openxmlformats.org/officeDocument/2006/relationships/hyperlink" Target="https://doi.org/10.1016/j.tmp.2024.1012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ourman.2019.104019" TargetMode="External"/><Relationship Id="rId24" Type="http://schemas.openxmlformats.org/officeDocument/2006/relationships/hyperlink" Target="https://doi.org/10.1080/23311975.2024.241485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9669582.2020.1758708" TargetMode="External"/><Relationship Id="rId23" Type="http://schemas.openxmlformats.org/officeDocument/2006/relationships/hyperlink" Target="https://doi.org/10.1016/j.tourman.2019.104019" TargetMode="External"/><Relationship Id="rId28" Type="http://schemas.openxmlformats.org/officeDocument/2006/relationships/hyperlink" Target="https://doi.org/10.3389/frsut.2024.1392566" TargetMode="External"/><Relationship Id="rId36" Type="http://schemas.openxmlformats.org/officeDocument/2006/relationships/footer" Target="footer3.xml"/><Relationship Id="rId10" Type="http://schemas.openxmlformats.org/officeDocument/2006/relationships/hyperlink" Target="https://doi.org/10.1080/01621459.1975.10480264" TargetMode="External"/><Relationship Id="rId19" Type="http://schemas.openxmlformats.org/officeDocument/2006/relationships/hyperlink" Target="https://doi.org/10.1177/1096348023115257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81/zenodo.18088665" TargetMode="External"/><Relationship Id="rId14" Type="http://schemas.openxmlformats.org/officeDocument/2006/relationships/hyperlink" Target="https://doi.org/10.1016/S0261-5177(02)00009-2" TargetMode="External"/><Relationship Id="rId22" Type="http://schemas.openxmlformats.org/officeDocument/2006/relationships/hyperlink" Target="https://doi.org/10.56472/25835238/IRJEMS-V4I7P102" TargetMode="External"/><Relationship Id="rId27" Type="http://schemas.openxmlformats.org/officeDocument/2006/relationships/hyperlink" Target="https://doi.org/10.1016/j.tourman.2007.07.016" TargetMode="External"/><Relationship Id="rId30" Type="http://schemas.openxmlformats.org/officeDocument/2006/relationships/hyperlink" Target="https://www.unwto.org"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Shailendra Singh</dc:creator>
  <cp:keywords/>
  <dc:description/>
  <cp:lastModifiedBy>USER</cp:lastModifiedBy>
  <cp:revision>27</cp:revision>
  <dcterms:created xsi:type="dcterms:W3CDTF">2026-04-17T07:41:00Z</dcterms:created>
  <dcterms:modified xsi:type="dcterms:W3CDTF">2026-04-17T14:58:00Z</dcterms:modified>
</cp:coreProperties>
</file>