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74B54" w:rsidRPr="00AC48A7" w14:paraId="3CFC481F" w14:textId="77777777">
        <w:trPr>
          <w:trHeight w:val="20"/>
          <w:jc w:val="center"/>
        </w:trPr>
        <w:tc>
          <w:tcPr>
            <w:tcW w:w="1186" w:type="pct"/>
          </w:tcPr>
          <w:p w14:paraId="1C04BE4A" w14:textId="77777777" w:rsidR="00974B54" w:rsidRPr="00AC48A7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48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D04D214" w14:textId="77777777" w:rsidR="00974B54" w:rsidRPr="00AC48A7" w:rsidRDefault="002E60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D726A" w:rsidRPr="00AC48A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Dental Sciences</w:t>
              </w:r>
            </w:hyperlink>
          </w:p>
        </w:tc>
      </w:tr>
      <w:tr w:rsidR="00974B54" w:rsidRPr="00AC48A7" w14:paraId="01513130" w14:textId="77777777">
        <w:trPr>
          <w:trHeight w:val="20"/>
          <w:jc w:val="center"/>
        </w:trPr>
        <w:tc>
          <w:tcPr>
            <w:tcW w:w="1186" w:type="pct"/>
          </w:tcPr>
          <w:p w14:paraId="356794AB" w14:textId="77777777" w:rsidR="00974B54" w:rsidRPr="00AC48A7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48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1BF41EE" w14:textId="77777777" w:rsidR="00974B54" w:rsidRPr="00AC48A7" w:rsidRDefault="00540F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Ms_AJDS_156883</w:t>
            </w:r>
          </w:p>
        </w:tc>
      </w:tr>
      <w:tr w:rsidR="00974B54" w:rsidRPr="00AC48A7" w14:paraId="08708099" w14:textId="77777777">
        <w:trPr>
          <w:trHeight w:val="20"/>
          <w:jc w:val="center"/>
        </w:trPr>
        <w:tc>
          <w:tcPr>
            <w:tcW w:w="1186" w:type="pct"/>
          </w:tcPr>
          <w:p w14:paraId="22D8BD3B" w14:textId="77777777" w:rsidR="00974B54" w:rsidRPr="00AC48A7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48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FE03C26" w14:textId="77777777" w:rsidR="00974B54" w:rsidRPr="00AC48A7" w:rsidRDefault="00540F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Comparative Assessment of Triclosan-Coated, Chlorhexidine-Coated, and Un-Coated Resorbable Sutures: An In-Vitro Observational Study</w:t>
            </w:r>
          </w:p>
        </w:tc>
      </w:tr>
      <w:tr w:rsidR="00974B54" w:rsidRPr="00AC48A7" w14:paraId="5E712ABC" w14:textId="77777777">
        <w:trPr>
          <w:trHeight w:val="20"/>
          <w:jc w:val="center"/>
        </w:trPr>
        <w:tc>
          <w:tcPr>
            <w:tcW w:w="1186" w:type="pct"/>
          </w:tcPr>
          <w:p w14:paraId="5F020FF9" w14:textId="77777777" w:rsidR="00974B54" w:rsidRPr="00AC48A7" w:rsidRDefault="00B17EF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48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D2BAB9B" w14:textId="77777777" w:rsidR="00974B54" w:rsidRPr="00AC48A7" w:rsidRDefault="00B17E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F634595" w14:textId="77777777" w:rsidR="00974B54" w:rsidRPr="00AC48A7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68164AF" w14:textId="77777777" w:rsidR="00974B54" w:rsidRPr="00AC48A7" w:rsidRDefault="00974B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D00671E" w14:textId="77777777" w:rsidR="00974B54" w:rsidRPr="00AC48A7" w:rsidRDefault="00974B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3809FB3" w14:textId="77777777" w:rsidR="00974B54" w:rsidRPr="00AC48A7" w:rsidRDefault="00974B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7CDA529" w14:textId="77777777" w:rsidR="00974B54" w:rsidRPr="00AC48A7" w:rsidRDefault="00974B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745F069" w14:textId="77777777" w:rsidR="00974B54" w:rsidRPr="00AC48A7" w:rsidRDefault="00974B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124AFCF" w14:textId="77777777" w:rsidR="00974B54" w:rsidRPr="00AC48A7" w:rsidRDefault="00B17EF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C48A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C48A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7794C80" w14:textId="77777777" w:rsidR="00974B54" w:rsidRPr="00AC48A7" w:rsidRDefault="00974B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74B54" w:rsidRPr="00AC48A7" w14:paraId="1534F023" w14:textId="77777777">
        <w:trPr>
          <w:trHeight w:val="20"/>
          <w:jc w:val="center"/>
        </w:trPr>
        <w:tc>
          <w:tcPr>
            <w:tcW w:w="1789" w:type="pct"/>
            <w:noWrap/>
          </w:tcPr>
          <w:p w14:paraId="13789C1A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5093D82" w14:textId="77777777" w:rsidR="00974B54" w:rsidRPr="00AC48A7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48A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E895036" w14:textId="77777777" w:rsidR="00974B54" w:rsidRPr="00AC48A7" w:rsidRDefault="00B17EF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C48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C48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4D6F2FF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2AE7C961" w14:textId="77777777">
        <w:trPr>
          <w:trHeight w:val="20"/>
          <w:jc w:val="center"/>
        </w:trPr>
        <w:tc>
          <w:tcPr>
            <w:tcW w:w="1789" w:type="pct"/>
            <w:noWrap/>
          </w:tcPr>
          <w:p w14:paraId="2AED3DD7" w14:textId="77777777" w:rsidR="00974B54" w:rsidRPr="00AC48A7" w:rsidRDefault="00B17EF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C48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A6A33C0" w14:textId="454CE152" w:rsidR="00974B54" w:rsidRPr="00AC48A7" w:rsidRDefault="0066141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evaluates the antimicrobial efficacy of triclosan- and chlorhexidine-coated resorbable sutures compared to uncoated ones in an in-vitro model simulating oral surgical conditions, addressing a critical need in preventing surgical site infections (SSIs) in dentistry. Its standardization of suture length (5 cm) and time points (up to 7 days) fills gaps in prior low-quality studies, many industry-sponsored, providing objective data on dose-dependent effects against key oral pathogens like S. aureus and P. aeruginosa. This contributes valuable preliminary evidence for clinical guidelines, potentially reducing SSI rates (higher in India at 23-38%) and antibiotic reliance in oral/maxillofacial surgery. For the scientific community in periodontology and oral surgery, it supports WHO recommendations on antimicrobial sutures while highlighting differential efficacy (triclosan better for Gram-positive, chlorhexidine for Gram-negative), paving the way for in-vivo validation.</w:t>
            </w:r>
          </w:p>
        </w:tc>
        <w:tc>
          <w:tcPr>
            <w:tcW w:w="1367" w:type="pct"/>
          </w:tcPr>
          <w:p w14:paraId="07503401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255EDD" w14:textId="77777777" w:rsidR="00974B54" w:rsidRPr="00AC48A7" w:rsidRDefault="00974B54">
      <w:pPr>
        <w:rPr>
          <w:rFonts w:ascii="Arial" w:hAnsi="Arial" w:cs="Arial"/>
          <w:sz w:val="20"/>
          <w:szCs w:val="20"/>
          <w:lang w:val="en-GB"/>
        </w:rPr>
      </w:pPr>
    </w:p>
    <w:p w14:paraId="49B508D8" w14:textId="77777777" w:rsidR="00974B54" w:rsidRPr="00AC48A7" w:rsidRDefault="00974B54">
      <w:pPr>
        <w:rPr>
          <w:rFonts w:ascii="Arial" w:hAnsi="Arial" w:cs="Arial"/>
          <w:sz w:val="20"/>
          <w:szCs w:val="20"/>
          <w:lang w:val="en-GB"/>
        </w:rPr>
      </w:pPr>
    </w:p>
    <w:p w14:paraId="41212807" w14:textId="77777777" w:rsidR="00974B54" w:rsidRPr="00AC48A7" w:rsidRDefault="00974B54">
      <w:pPr>
        <w:rPr>
          <w:rFonts w:ascii="Arial" w:hAnsi="Arial" w:cs="Arial"/>
          <w:sz w:val="20"/>
          <w:szCs w:val="20"/>
          <w:lang w:val="en-GB"/>
        </w:rPr>
      </w:pPr>
    </w:p>
    <w:p w14:paraId="30095B0D" w14:textId="77777777" w:rsidR="00974B54" w:rsidRPr="00AC48A7" w:rsidRDefault="00B17EF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C48A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1F6D8A3" w14:textId="77777777" w:rsidR="00974B54" w:rsidRPr="00AC48A7" w:rsidRDefault="00974B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74B54" w:rsidRPr="00AC48A7" w14:paraId="22FA19C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5E1DA08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4761F46" w14:textId="77777777" w:rsidR="00974B54" w:rsidRPr="00AC48A7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48A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29AAD61" w14:textId="77777777" w:rsidR="00974B54" w:rsidRPr="00AC48A7" w:rsidRDefault="00B17EF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C48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74B54" w:rsidRPr="00AC48A7" w14:paraId="4BEA19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BB182B" w14:textId="77777777" w:rsidR="00974B54" w:rsidRPr="00AC48A7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79B0AA6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48B34" w14:textId="77777777" w:rsidR="00974B54" w:rsidRPr="00AC48A7" w:rsidRDefault="00B17E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8CF7F8" w14:textId="487954B0" w:rsidR="00974B54" w:rsidRPr="00AC48A7" w:rsidRDefault="006614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Clearly describes the comparative in-vitro assessment of coated vs. uncoated sutures.</w:t>
            </w:r>
          </w:p>
        </w:tc>
        <w:tc>
          <w:tcPr>
            <w:tcW w:w="1367" w:type="pct"/>
          </w:tcPr>
          <w:p w14:paraId="5411DA21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4EC705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E8CF93" w14:textId="77777777" w:rsidR="00974B54" w:rsidRPr="00AC48A7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48A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4703BA7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AD5C3F" w14:textId="77777777" w:rsidR="00974B54" w:rsidRPr="00AC48A7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B8A9FC" w14:textId="666E4A1E" w:rsidR="00974B54" w:rsidRPr="00AC48A7" w:rsidRDefault="006614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Covers purpose, methods, results (e.g., Day 7 CFU means), and conclusions effectively, though minor inconsistencies in days listed.</w:t>
            </w:r>
          </w:p>
        </w:tc>
        <w:tc>
          <w:tcPr>
            <w:tcW w:w="1367" w:type="pct"/>
          </w:tcPr>
          <w:p w14:paraId="785E2539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68C248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2ADAD6" w14:textId="77777777" w:rsidR="00974B54" w:rsidRPr="00AC48A7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48A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B1A2DB1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57B2FE" w14:textId="77777777" w:rsidR="00974B54" w:rsidRPr="00AC48A7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7AB65B" w14:textId="3E76B6F8" w:rsidR="00974B54" w:rsidRPr="00AC48A7" w:rsidRDefault="006614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Relevant terms like "surgical-site infections," "triclosan-coated sutures" directly match study focus</w:t>
            </w:r>
          </w:p>
        </w:tc>
        <w:tc>
          <w:tcPr>
            <w:tcW w:w="1367" w:type="pct"/>
          </w:tcPr>
          <w:p w14:paraId="07B2931C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033F8A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6AF4D6" w14:textId="77777777" w:rsidR="00974B54" w:rsidRPr="00AC48A7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48A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23F5D02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FD018" w14:textId="77777777" w:rsidR="00974B54" w:rsidRPr="00AC48A7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3F212A" w14:textId="5DDF9EFD" w:rsidR="00974B54" w:rsidRPr="00AC48A7" w:rsidRDefault="006614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Well-cites SSI epidemiology, WHO guidelines, and literature gaps; logical flow but some repetition.</w:t>
            </w:r>
          </w:p>
        </w:tc>
        <w:tc>
          <w:tcPr>
            <w:tcW w:w="1367" w:type="pct"/>
          </w:tcPr>
          <w:p w14:paraId="4CE834D4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15E87D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B1100A" w14:textId="77777777" w:rsidR="00974B54" w:rsidRPr="00AC48A7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48A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EC12AAD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8EED8F" w14:textId="77777777" w:rsidR="00974B54" w:rsidRPr="00AC48A7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3C886D" w14:textId="69EE0A80" w:rsidR="00974B54" w:rsidRPr="00AC48A7" w:rsidRDefault="006614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Primary/secondary aims and hypothesis on coating efficacy over time explicitly stated.</w:t>
            </w:r>
          </w:p>
        </w:tc>
        <w:tc>
          <w:tcPr>
            <w:tcW w:w="1367" w:type="pct"/>
          </w:tcPr>
          <w:p w14:paraId="264A92A5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66DEEE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28AAD0" w14:textId="77777777" w:rsidR="00974B54" w:rsidRPr="00AC48A7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48A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A2DA3D0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F22985" w14:textId="77777777" w:rsidR="00974B54" w:rsidRPr="00AC48A7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2FADAE" w14:textId="294053F3" w:rsidR="00974B54" w:rsidRPr="00AC48A7" w:rsidRDefault="006614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Covers key studies (e.g., 2024 reviews) up to 2024; relevant to oral SSIs but some older refs (2008).</w:t>
            </w:r>
          </w:p>
        </w:tc>
        <w:tc>
          <w:tcPr>
            <w:tcW w:w="1367" w:type="pct"/>
          </w:tcPr>
          <w:p w14:paraId="2C26C84D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5792B3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710ECE" w14:textId="77777777" w:rsidR="00974B54" w:rsidRPr="00AC48A7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48A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951A7F0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A47762" w14:textId="77777777" w:rsidR="00974B54" w:rsidRPr="00AC48A7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84B23C" w14:textId="0EA1B731" w:rsidR="00974B54" w:rsidRPr="00AC48A7" w:rsidRDefault="006614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Suitable in-vitro design with CFU counts, ANOVA, sterile protocols; sample size (241) justified by funding, no blinding noted but mitigated by quantitative measures.</w:t>
            </w:r>
          </w:p>
        </w:tc>
        <w:tc>
          <w:tcPr>
            <w:tcW w:w="1367" w:type="pct"/>
          </w:tcPr>
          <w:p w14:paraId="29B67427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3D6486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F03889" w14:textId="77777777" w:rsidR="00974B54" w:rsidRPr="00AC48A7" w:rsidRDefault="00B17EF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48A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7B5B749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454B5A" w14:textId="77777777" w:rsidR="00974B54" w:rsidRPr="00AC48A7" w:rsidRDefault="00B17EF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68A1C0" w14:textId="18C05889" w:rsidR="00974B54" w:rsidRPr="00AC48A7" w:rsidRDefault="0066141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Adheres to Helsinki, institutional approval obtained; no human/animal subjects, disclosures clear</w:t>
            </w:r>
          </w:p>
        </w:tc>
        <w:tc>
          <w:tcPr>
            <w:tcW w:w="1367" w:type="pct"/>
          </w:tcPr>
          <w:p w14:paraId="3B12055D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5EC3B8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8D4053" w14:textId="77777777" w:rsidR="00974B54" w:rsidRPr="00AC48A7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9E9A3B1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99A97" w14:textId="77777777" w:rsidR="00974B54" w:rsidRPr="00AC48A7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EC4BCC" w14:textId="1078E4B3" w:rsidR="00974B54" w:rsidRPr="00AC48A7" w:rsidRDefault="0066141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  <w:t>Tables detail means/SD per strain/day with p&lt;0.001 significance; some table formatting issues in text.</w:t>
            </w:r>
          </w:p>
        </w:tc>
        <w:tc>
          <w:tcPr>
            <w:tcW w:w="1367" w:type="pct"/>
          </w:tcPr>
          <w:p w14:paraId="4B24D31C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5D19FF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91C1F0" w14:textId="77777777" w:rsidR="00974B54" w:rsidRPr="00AC48A7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3C9C0EC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FAE212" w14:textId="77777777" w:rsidR="00974B54" w:rsidRPr="00AC48A7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BF9930" w14:textId="4A3A0810" w:rsidR="00974B54" w:rsidRPr="00AC48A7" w:rsidRDefault="0066141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4</w:t>
            </w: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  <w:t>Table 1/2 show CFU data effectively; Fig 1-3 illustrate sutures/media; necessary but described imperfectly.</w:t>
            </w:r>
          </w:p>
        </w:tc>
        <w:tc>
          <w:tcPr>
            <w:tcW w:w="1367" w:type="pct"/>
          </w:tcPr>
          <w:p w14:paraId="3D64BFAC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2A5C16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631FCF" w14:textId="77777777" w:rsidR="00974B54" w:rsidRPr="00AC48A7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AC819F1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983945" w14:textId="77777777" w:rsidR="00974B54" w:rsidRPr="00AC48A7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D9FCB0" w14:textId="4712FCC7" w:rsidR="00974B54" w:rsidRPr="00AC48A7" w:rsidRDefault="00DB77C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  <w:t xml:space="preserve">Strong links to studies (e.g., </w:t>
            </w:r>
            <w:proofErr w:type="spellStart"/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Karde</w:t>
            </w:r>
            <w:proofErr w:type="spellEnd"/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2019, Wu 2016) explaining differential efficacy and resistance risks.</w:t>
            </w:r>
          </w:p>
        </w:tc>
        <w:tc>
          <w:tcPr>
            <w:tcW w:w="1367" w:type="pct"/>
          </w:tcPr>
          <w:p w14:paraId="38BF9FA4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3408FD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E336C6" w14:textId="77777777" w:rsidR="00974B54" w:rsidRPr="00AC48A7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CB91948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0BA058" w14:textId="77777777" w:rsidR="00974B54" w:rsidRPr="00AC48A7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132ADB" w14:textId="0E44F605" w:rsidR="00974B54" w:rsidRPr="00AC48A7" w:rsidRDefault="00DB77C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  <w:t>Align with data (e.g., 5 cm suffices, triclosan vs. Gram+).</w:t>
            </w:r>
          </w:p>
        </w:tc>
        <w:tc>
          <w:tcPr>
            <w:tcW w:w="1367" w:type="pct"/>
          </w:tcPr>
          <w:p w14:paraId="235FFA10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716A48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00277B" w14:textId="77777777" w:rsidR="00974B54" w:rsidRPr="00AC48A7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8F780DD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75654" w14:textId="77777777" w:rsidR="00974B54" w:rsidRPr="00AC48A7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57CFA0" w14:textId="00CE7F2C" w:rsidR="00974B54" w:rsidRPr="00AC48A7" w:rsidRDefault="00DB77C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  <w:t>Acknowledges in-vitro limits (no saliva/mastication); calls for in-vivo Phase 2.</w:t>
            </w:r>
          </w:p>
        </w:tc>
        <w:tc>
          <w:tcPr>
            <w:tcW w:w="1367" w:type="pct"/>
          </w:tcPr>
          <w:p w14:paraId="6FC4F14F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0E4F25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76D57C" w14:textId="77777777" w:rsidR="00974B54" w:rsidRPr="00AC48A7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AE8ABC6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128779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E3FDCE" w14:textId="77777777" w:rsidR="00974B54" w:rsidRPr="00AC48A7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771D9C4" w14:textId="77777777" w:rsidR="00DB77C5" w:rsidRPr="00AC48A7" w:rsidRDefault="00DB77C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  <w:t>31 refs, mostly pertinent/recent (2016-2024); sufficient</w:t>
            </w:r>
          </w:p>
          <w:p w14:paraId="067FBB32" w14:textId="77777777" w:rsidR="00DB77C5" w:rsidRPr="00AC48A7" w:rsidRDefault="00DB77C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58CA14D" w14:textId="35BBF3AB" w:rsidR="00974B54" w:rsidRPr="00AC48A7" w:rsidRDefault="00DB77C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number but some pre-2010.</w:t>
            </w:r>
          </w:p>
        </w:tc>
        <w:tc>
          <w:tcPr>
            <w:tcW w:w="1367" w:type="pct"/>
          </w:tcPr>
          <w:p w14:paraId="6F14DC2A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59ABFF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54FAF8" w14:textId="77777777" w:rsidR="00974B54" w:rsidRPr="00AC48A7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02CB318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DF5FA3" w14:textId="77777777" w:rsidR="00974B54" w:rsidRPr="00AC48A7" w:rsidRDefault="00B17EF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64A15F" w14:textId="77777777" w:rsidR="00974B54" w:rsidRPr="00AC48A7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88F72FC" w14:textId="3CC7ABC7" w:rsidR="00974B54" w:rsidRPr="00AC48A7" w:rsidRDefault="00DB77C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  <w:t>Understandable but formatting errors (e.g., underlines, run-ons, date reversal 2024-2022), typos.</w:t>
            </w:r>
          </w:p>
        </w:tc>
        <w:tc>
          <w:tcPr>
            <w:tcW w:w="1367" w:type="pct"/>
          </w:tcPr>
          <w:p w14:paraId="723AED3C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68014D7" w14:textId="77777777" w:rsidR="00974B54" w:rsidRPr="00AC48A7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AC41A3" w14:textId="77777777" w:rsidR="00974B54" w:rsidRPr="00AC48A7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5EF9A1" w14:textId="77777777" w:rsidR="00974B54" w:rsidRPr="00AC48A7" w:rsidRDefault="00974B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9B9982" w14:textId="77777777" w:rsidR="00974B54" w:rsidRPr="00AC48A7" w:rsidRDefault="00B17EF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C48A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F5D1287" w14:textId="77777777" w:rsidR="00974B54" w:rsidRPr="00AC48A7" w:rsidRDefault="00974B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74B54" w:rsidRPr="00AC48A7" w14:paraId="6FACEA9F" w14:textId="77777777">
        <w:trPr>
          <w:trHeight w:val="20"/>
          <w:jc w:val="center"/>
        </w:trPr>
        <w:tc>
          <w:tcPr>
            <w:tcW w:w="1672" w:type="pct"/>
            <w:noWrap/>
          </w:tcPr>
          <w:p w14:paraId="709C9A15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2D01E0D" w14:textId="77777777" w:rsidR="00974B54" w:rsidRPr="00AC48A7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48A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51DAD77" w14:textId="77777777" w:rsidR="00974B54" w:rsidRPr="00AC48A7" w:rsidRDefault="00974B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E9498C8" w14:textId="77777777" w:rsidR="00974B54" w:rsidRPr="00AC48A7" w:rsidRDefault="00B17EF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C48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C48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B5EF5F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38128C0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7B1D12B" w14:textId="77777777" w:rsidR="00974B54" w:rsidRPr="00AC48A7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B23EC1" w14:textId="77777777" w:rsidR="00974B54" w:rsidRPr="00AC48A7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1E4DAD" w14:textId="77777777" w:rsidR="00974B54" w:rsidRPr="00AC48A7" w:rsidRDefault="00B17EF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48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596BE58" w14:textId="55A3EA54" w:rsidR="00974B54" w:rsidRPr="00AC48A7" w:rsidRDefault="00D622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310D6F1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541FF008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92D664" w14:textId="77777777" w:rsidR="00974B54" w:rsidRPr="00AC48A7" w:rsidRDefault="00B17EF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C48A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E378FBF" w14:textId="77777777" w:rsidR="00974B54" w:rsidRPr="00AC48A7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926EED" w14:textId="77777777" w:rsidR="00974B54" w:rsidRPr="00AC48A7" w:rsidRDefault="00B17E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0B63A17" w14:textId="4560EBA6" w:rsidR="00974B54" w:rsidRPr="00AC48A7" w:rsidRDefault="00D622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9DF3C7B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0CAC15A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8484955" w14:textId="77777777" w:rsidR="00974B54" w:rsidRPr="00AC48A7" w:rsidRDefault="00B17EF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C48A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C48A7">
              <w:rPr>
                <w:rFonts w:ascii="Arial" w:hAnsi="Arial" w:cs="Arial"/>
                <w:lang w:val="en-GB" w:eastAsia="en-US"/>
              </w:rPr>
              <w:br/>
            </w:r>
          </w:p>
          <w:p w14:paraId="38322755" w14:textId="77777777" w:rsidR="00974B54" w:rsidRPr="00AC48A7" w:rsidRDefault="00B17EF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87980C" w14:textId="77777777" w:rsidR="00D62269" w:rsidRPr="00AC48A7" w:rsidRDefault="00D62269" w:rsidP="00D62269">
            <w:pPr>
              <w:pStyle w:val="ListParagraph"/>
              <w:rPr>
                <w:rFonts w:ascii="Arial" w:hAnsi="Arial" w:cs="Arial"/>
                <w:b/>
                <w:sz w:val="20"/>
                <w:szCs w:val="20"/>
                <w:lang w:val="en-IN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IN"/>
              </w:rPr>
              <w:t>YES. Methods align with standards (McFarland, CFU via plating/VITEK), stats appropriate (ANOVA/Bonferroni, p&lt;0.05), results consistent with literature (e.g., triclosan &gt; Gram+).</w:t>
            </w:r>
          </w:p>
          <w:p w14:paraId="771BBF78" w14:textId="77777777" w:rsidR="00974B54" w:rsidRPr="00AC48A7" w:rsidRDefault="00974B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E8D4564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2DEBF56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0C65E30" w14:textId="77777777" w:rsidR="00974B54" w:rsidRPr="00AC48A7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51820B8" w14:textId="77777777" w:rsidR="00974B54" w:rsidRPr="00AC48A7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ABFF0B" w14:textId="77777777" w:rsidR="00974B54" w:rsidRPr="00AC48A7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643EC9" w14:textId="77777777" w:rsidR="00974B54" w:rsidRPr="00AC48A7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7CE025B" w14:textId="77777777" w:rsidR="00D62269" w:rsidRPr="00AC48A7" w:rsidRDefault="00D62269" w:rsidP="00D622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YES. Includes 2024 reviews/meta-analyses alongside classics; ~70% post-2016.</w:t>
            </w:r>
          </w:p>
          <w:p w14:paraId="3EC96D2D" w14:textId="77777777" w:rsidR="00974B54" w:rsidRPr="00AC48A7" w:rsidRDefault="00974B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06E2E1D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74B54" w:rsidRPr="00AC48A7" w14:paraId="53FD199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032A60B" w14:textId="77777777" w:rsidR="00974B54" w:rsidRPr="00AC48A7" w:rsidRDefault="00B17EF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218D939" w14:textId="77777777" w:rsidR="00974B54" w:rsidRPr="00AC48A7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E5248C2" w14:textId="77777777" w:rsidR="00974B54" w:rsidRPr="00AC48A7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BE0747" w14:textId="77777777" w:rsidR="00974B54" w:rsidRPr="00AC48A7" w:rsidRDefault="00B17E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62A0F9A" w14:textId="77777777" w:rsidR="00974B54" w:rsidRPr="00AC48A7" w:rsidRDefault="00974B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6A5547F" w14:textId="2E8B0208" w:rsidR="00974B54" w:rsidRPr="00AC48A7" w:rsidRDefault="00D6226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sz w:val="20"/>
                <w:szCs w:val="20"/>
                <w:lang w:val="en-GB"/>
              </w:rPr>
              <w:t>NO. Proper approvals, no subjects involved, no competing interests.</w:t>
            </w:r>
          </w:p>
        </w:tc>
        <w:tc>
          <w:tcPr>
            <w:tcW w:w="1543" w:type="pct"/>
          </w:tcPr>
          <w:p w14:paraId="7FA765E6" w14:textId="77777777" w:rsidR="00974B54" w:rsidRPr="00AC48A7" w:rsidRDefault="00974B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FCCC659" w14:textId="77777777" w:rsidR="00974B54" w:rsidRPr="00AC48A7" w:rsidRDefault="00974B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DE21926" w14:textId="77777777" w:rsidR="00974B54" w:rsidRPr="00AC48A7" w:rsidRDefault="00974B54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14:paraId="45EBB852" w14:textId="77777777" w:rsidR="00974B54" w:rsidRPr="00AC48A7" w:rsidRDefault="00974B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5B87499" w14:textId="2F1DC3F3" w:rsidR="00974B54" w:rsidRPr="00AC48A7" w:rsidRDefault="00B17EFE" w:rsidP="007E1A52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AC48A7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405DF683" w14:textId="77777777" w:rsidR="00974B54" w:rsidRPr="00AC48A7" w:rsidRDefault="00974B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74B54" w:rsidRPr="00AC48A7" w14:paraId="6857FCC2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FC6CCD7" w14:textId="77777777" w:rsidR="00974B54" w:rsidRPr="00AC48A7" w:rsidRDefault="00B17E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8AD385C" w14:textId="77777777" w:rsidR="00974B54" w:rsidRPr="00AC48A7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74B54" w:rsidRPr="00AC48A7" w14:paraId="1A60BFF7" w14:textId="77777777">
        <w:trPr>
          <w:trHeight w:val="20"/>
          <w:jc w:val="center"/>
        </w:trPr>
        <w:tc>
          <w:tcPr>
            <w:tcW w:w="2784" w:type="pct"/>
            <w:noWrap/>
          </w:tcPr>
          <w:p w14:paraId="1288886E" w14:textId="77777777" w:rsidR="00974B54" w:rsidRPr="00AC48A7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AE6914C" w14:textId="77777777" w:rsidR="00974B54" w:rsidRPr="00AC48A7" w:rsidRDefault="00B17EF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74B54" w:rsidRPr="00AC48A7" w14:paraId="5490C5E6" w14:textId="77777777">
        <w:trPr>
          <w:trHeight w:val="20"/>
          <w:jc w:val="center"/>
        </w:trPr>
        <w:tc>
          <w:tcPr>
            <w:tcW w:w="2784" w:type="pct"/>
            <w:noWrap/>
          </w:tcPr>
          <w:p w14:paraId="0CB138C8" w14:textId="77777777" w:rsidR="00974B54" w:rsidRPr="00AC48A7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DC002A" w14:textId="77777777" w:rsidR="00974B54" w:rsidRPr="00AC48A7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E24487" w14:textId="4B84832F" w:rsidR="0015224B" w:rsidRPr="00AC48A7" w:rsidRDefault="0015224B" w:rsidP="0015224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Suggest proofreading for formatting (e.g., underlines, table alignment), date correction (March 2024-February 2022 illogical), and minor methodological clarifications (e.g., exact n per group/time). Strong potential for oral surgery field.</w:t>
            </w:r>
          </w:p>
          <w:p w14:paraId="35A98B80" w14:textId="445976C8" w:rsidR="0015224B" w:rsidRPr="00AC48A7" w:rsidRDefault="0015224B" w:rsidP="0015224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AC48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Robust data addresses key gaps; revisions for polish/language/tables needed.</w:t>
            </w:r>
          </w:p>
          <w:p w14:paraId="63FF04E0" w14:textId="77777777" w:rsidR="00974B54" w:rsidRPr="00AC48A7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6AF95D" w14:textId="77777777" w:rsidR="00974B54" w:rsidRPr="00AC48A7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7ED4585" w14:textId="77777777" w:rsidR="00974B54" w:rsidRPr="00AC48A7" w:rsidRDefault="00974B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104E670" w14:textId="605E9333" w:rsidR="00974B54" w:rsidRPr="00AC48A7" w:rsidRDefault="00974B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26C8370" w14:textId="77777777" w:rsidR="00C856A5" w:rsidRPr="00AC48A7" w:rsidRDefault="00C856A5" w:rsidP="00C856A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C48A7">
        <w:rPr>
          <w:rFonts w:ascii="Arial" w:hAnsi="Arial" w:cs="Arial"/>
          <w:b/>
          <w:u w:val="single"/>
        </w:rPr>
        <w:t>Reviewer details:</w:t>
      </w:r>
    </w:p>
    <w:p w14:paraId="2741E837" w14:textId="57FB38ED" w:rsidR="00C856A5" w:rsidRPr="00AC48A7" w:rsidRDefault="00C856A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BC3C2BF" w14:textId="1AE54119" w:rsidR="00C856A5" w:rsidRPr="00AC48A7" w:rsidRDefault="00C856A5" w:rsidP="00C856A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AC48A7">
        <w:rPr>
          <w:rFonts w:ascii="Arial" w:eastAsia="Arial Unicode MS" w:hAnsi="Arial" w:cs="Arial"/>
          <w:b/>
          <w:bCs/>
          <w:sz w:val="20"/>
          <w:szCs w:val="20"/>
          <w:lang w:val="en-GB"/>
        </w:rPr>
        <w:t>Dhirendra Kumar Singh</w:t>
      </w:r>
      <w:r w:rsidRPr="00AC48A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C48A7">
        <w:rPr>
          <w:rFonts w:ascii="Arial" w:eastAsia="Arial Unicode MS" w:hAnsi="Arial" w:cs="Arial"/>
          <w:b/>
          <w:bCs/>
          <w:sz w:val="20"/>
          <w:szCs w:val="20"/>
          <w:lang w:val="en-GB"/>
        </w:rPr>
        <w:t>Heritage Institute of Medical Sciences &amp; Hospital, India</w:t>
      </w:r>
    </w:p>
    <w:sectPr w:rsidR="00C856A5" w:rsidRPr="00AC48A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D13A5" w14:textId="77777777" w:rsidR="002E6049" w:rsidRDefault="002E6049">
      <w:r>
        <w:separator/>
      </w:r>
    </w:p>
  </w:endnote>
  <w:endnote w:type="continuationSeparator" w:id="0">
    <w:p w14:paraId="4F68E7C5" w14:textId="77777777" w:rsidR="002E6049" w:rsidRDefault="002E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91A57" w14:textId="77777777" w:rsidR="00974B54" w:rsidRDefault="00974B54">
    <w:pPr>
      <w:pStyle w:val="Footer"/>
      <w:jc w:val="right"/>
    </w:pPr>
  </w:p>
  <w:p w14:paraId="6C843F30" w14:textId="77777777" w:rsidR="00974B54" w:rsidRDefault="00B17EF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8790E80" w14:textId="77777777" w:rsidR="00974B54" w:rsidRDefault="00B17EF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72DFF78" w14:textId="77777777" w:rsidR="00974B54" w:rsidRDefault="00974B54">
    <w:pPr>
      <w:pStyle w:val="Footer"/>
      <w:jc w:val="right"/>
    </w:pPr>
  </w:p>
  <w:p w14:paraId="4AAE768F" w14:textId="77777777" w:rsidR="00974B54" w:rsidRDefault="00974B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173C2" w14:textId="77777777" w:rsidR="002E6049" w:rsidRDefault="002E6049">
      <w:r>
        <w:separator/>
      </w:r>
    </w:p>
  </w:footnote>
  <w:footnote w:type="continuationSeparator" w:id="0">
    <w:p w14:paraId="6CC1055A" w14:textId="77777777" w:rsidR="002E6049" w:rsidRDefault="002E6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310F3" w14:textId="77777777" w:rsidR="00974B54" w:rsidRDefault="00974B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45E19A9" w14:textId="77777777" w:rsidR="00974B54" w:rsidRDefault="00B17EF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B54"/>
    <w:rsid w:val="00030E5B"/>
    <w:rsid w:val="00144A32"/>
    <w:rsid w:val="0015224B"/>
    <w:rsid w:val="00221739"/>
    <w:rsid w:val="002E6049"/>
    <w:rsid w:val="004D726A"/>
    <w:rsid w:val="00540F85"/>
    <w:rsid w:val="0054407B"/>
    <w:rsid w:val="00586975"/>
    <w:rsid w:val="005E2388"/>
    <w:rsid w:val="00661414"/>
    <w:rsid w:val="007E1A52"/>
    <w:rsid w:val="00974B54"/>
    <w:rsid w:val="00A0417F"/>
    <w:rsid w:val="00AC48A7"/>
    <w:rsid w:val="00B17EFE"/>
    <w:rsid w:val="00C81773"/>
    <w:rsid w:val="00C856A5"/>
    <w:rsid w:val="00C87568"/>
    <w:rsid w:val="00D62269"/>
    <w:rsid w:val="00DB77C5"/>
    <w:rsid w:val="00D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4421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856A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1097</Words>
  <Characters>6256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19</cp:revision>
  <dcterms:created xsi:type="dcterms:W3CDTF">2026-03-24T06:15:00Z</dcterms:created>
  <dcterms:modified xsi:type="dcterms:W3CDTF">2026-04-20T04:36:00Z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