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80B5B" w14:paraId="0E986C8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2056B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826ABC4" w14:textId="77777777" w:rsidR="00580B5B" w:rsidRDefault="00B373E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F1C6E" w:rsidRPr="00EF1C6E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Dental Sciences</w:t>
              </w:r>
            </w:hyperlink>
          </w:p>
        </w:tc>
      </w:tr>
      <w:tr w:rsidR="00580B5B" w14:paraId="3D62132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8872C5E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4BDB8A9" w14:textId="77777777" w:rsidR="00580B5B" w:rsidRDefault="0067032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7032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Ms_AJDS_156549</w:t>
            </w:r>
          </w:p>
        </w:tc>
      </w:tr>
      <w:tr w:rsidR="00580B5B" w14:paraId="23147B9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6864869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894E4A6" w14:textId="77777777" w:rsidR="00580B5B" w:rsidRDefault="0067032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7032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From Monolayer to Biomimetic Mastery: The Multilayer Injection Concept</w:t>
            </w:r>
          </w:p>
        </w:tc>
      </w:tr>
      <w:tr w:rsidR="00580B5B" w14:paraId="6C9C9A6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3D5132F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04DE40B" w14:textId="77777777" w:rsidR="00580B5B" w:rsidRDefault="003F22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47323809" w14:textId="77777777" w:rsidR="00580B5B" w:rsidRDefault="00580B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A4F81DB" w14:textId="77777777" w:rsidR="00580B5B" w:rsidRDefault="00580B5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735979C" w14:textId="77777777" w:rsidR="00580B5B" w:rsidRDefault="003F220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E06087A" w14:textId="77777777" w:rsidR="00580B5B" w:rsidRDefault="00580B5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687FEAC3" w14:textId="77777777" w:rsidR="00580B5B" w:rsidRDefault="00580B5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80B5B" w14:paraId="74D9F72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E5E2EC2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E347BE0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E813171" w14:textId="77777777" w:rsidR="00580B5B" w:rsidRDefault="003F220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529990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7B2537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8EBD588" w14:textId="77777777"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A6BA324" w14:textId="77777777" w:rsidR="00580B5B" w:rsidRDefault="00580B5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4E5E62A9" w14:textId="51AB53DA" w:rsidR="00580B5B" w:rsidRPr="00436FE8" w:rsidRDefault="00436FE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36FE8">
              <w:rPr>
                <w:sz w:val="20"/>
                <w:szCs w:val="20"/>
              </w:rPr>
              <w:t xml:space="preserve">This review examines the conceptual progression from monolayer paradigms to biomimetic multilayer injectable architectures. </w:t>
            </w:r>
            <w:r w:rsidR="00CF5E2D">
              <w:rPr>
                <w:sz w:val="20"/>
                <w:szCs w:val="20"/>
              </w:rPr>
              <w:t>Also, t</w:t>
            </w:r>
            <w:r w:rsidRPr="00436FE8">
              <w:rPr>
                <w:sz w:val="20"/>
                <w:szCs w:val="20"/>
              </w:rPr>
              <w:t>his article explore</w:t>
            </w:r>
            <w:r w:rsidR="00CF5E2D">
              <w:rPr>
                <w:sz w:val="20"/>
                <w:szCs w:val="20"/>
              </w:rPr>
              <w:t xml:space="preserve">s </w:t>
            </w:r>
            <w:r w:rsidRPr="00436FE8">
              <w:rPr>
                <w:sz w:val="20"/>
                <w:szCs w:val="20"/>
              </w:rPr>
              <w:t xml:space="preserve">the biological rationale, material platforms, crosslinking strategies, and gradient engineering principles that </w:t>
            </w:r>
            <w:r w:rsidR="00CF5E2D">
              <w:rPr>
                <w:sz w:val="20"/>
                <w:szCs w:val="20"/>
              </w:rPr>
              <w:t>support</w:t>
            </w:r>
            <w:r w:rsidRPr="00436FE8">
              <w:rPr>
                <w:sz w:val="20"/>
                <w:szCs w:val="20"/>
              </w:rPr>
              <w:t xml:space="preserve"> this approach. Applications spanning osteochondral tissue engineering, vascular repair, neural regeneration, and dermal reconstruction are critically evaluated, alongside an assessment of prevailing challenges related to </w:t>
            </w:r>
            <w:proofErr w:type="spellStart"/>
            <w:r w:rsidRPr="00436FE8">
              <w:rPr>
                <w:sz w:val="20"/>
                <w:szCs w:val="20"/>
              </w:rPr>
              <w:t>vascularisation</w:t>
            </w:r>
            <w:proofErr w:type="spellEnd"/>
            <w:r w:rsidRPr="00436FE8">
              <w:rPr>
                <w:sz w:val="20"/>
                <w:szCs w:val="20"/>
              </w:rPr>
              <w:t>, mechanical integration, scalability, and clinical translation.</w:t>
            </w:r>
          </w:p>
        </w:tc>
        <w:tc>
          <w:tcPr>
            <w:tcW w:w="1367" w:type="pct"/>
            <w:shd w:val="clear" w:color="auto" w:fill="auto"/>
          </w:tcPr>
          <w:p w14:paraId="15FBCB48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F399D15" w14:textId="77777777" w:rsidR="00580B5B" w:rsidRDefault="00580B5B">
      <w:pPr>
        <w:rPr>
          <w:sz w:val="20"/>
          <w:szCs w:val="20"/>
          <w:lang w:val="en-GB"/>
        </w:rPr>
      </w:pPr>
    </w:p>
    <w:p w14:paraId="304BEACC" w14:textId="77777777" w:rsidR="00580B5B" w:rsidRDefault="00580B5B">
      <w:pPr>
        <w:rPr>
          <w:sz w:val="20"/>
          <w:szCs w:val="20"/>
          <w:lang w:val="en-GB"/>
        </w:rPr>
      </w:pPr>
    </w:p>
    <w:p w14:paraId="6B7B687A" w14:textId="77777777" w:rsidR="00580B5B" w:rsidRDefault="00580B5B">
      <w:pPr>
        <w:rPr>
          <w:sz w:val="20"/>
          <w:szCs w:val="20"/>
          <w:lang w:val="en-GB"/>
        </w:rPr>
      </w:pPr>
    </w:p>
    <w:p w14:paraId="7863FE63" w14:textId="77777777" w:rsidR="00580B5B" w:rsidRDefault="003F220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2F2315BA" w14:textId="77777777" w:rsidR="00580B5B" w:rsidRDefault="00580B5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80B5B" w14:paraId="3DF2D8E5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0053A7D" w14:textId="77777777" w:rsidR="00580B5B" w:rsidRDefault="00580B5B">
            <w:pPr>
              <w:rPr>
                <w:sz w:val="22"/>
                <w:szCs w:val="22"/>
                <w:lang w:val="en-GB"/>
              </w:rPr>
            </w:pPr>
          </w:p>
          <w:p w14:paraId="13A1B6EA" w14:textId="77777777" w:rsidR="00580B5B" w:rsidRDefault="00580B5B">
            <w:pPr>
              <w:rPr>
                <w:sz w:val="20"/>
                <w:szCs w:val="20"/>
                <w:lang w:val="en-GB"/>
              </w:rPr>
            </w:pPr>
          </w:p>
        </w:tc>
      </w:tr>
      <w:tr w:rsidR="00580B5B" w14:paraId="49D36A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779146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E0CFA3B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2E86E12" w14:textId="77777777" w:rsidR="00580B5B" w:rsidRDefault="003F220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0B5B" w14:paraId="57EEEED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B13DC7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09BD297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EA8F6B" w14:textId="77777777" w:rsidR="00580B5B" w:rsidRDefault="003F220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8CEE49" w14:textId="3E616DC1" w:rsidR="00580B5B" w:rsidRDefault="00436F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A9E59FB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1FB8DCA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4E77B8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15382BE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B9602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C467C2F" w14:textId="3ABC6373" w:rsidR="00580B5B" w:rsidRDefault="00436F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716C60E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4B23C6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F5DD25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0318C31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DBECAC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135727" w14:textId="6840008D" w:rsidR="00580B5B" w:rsidRDefault="00436F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0356BF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FEEEC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86433B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7CE06FF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F594E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41B1B2" w14:textId="7A620FE3" w:rsidR="00580B5B" w:rsidRDefault="00436F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54AC185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51C9EF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F69467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0DA7F489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CD953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0A2FC7" w14:textId="1F088289" w:rsidR="00580B5B" w:rsidRDefault="00436F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9D7AB0E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4B3551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FCDDDF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1D890EC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3C9090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82D48E" w14:textId="24847A0B" w:rsidR="00580B5B" w:rsidRDefault="00436F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821292D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63C4A8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9016FD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4DCEC8DE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CC824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96B83D" w14:textId="094ABB49" w:rsidR="00580B5B" w:rsidRDefault="00436F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26C79D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5E680A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8127DF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17E342AC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17DDB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C5E4F7" w14:textId="39AC33E8" w:rsidR="00580B5B" w:rsidRDefault="00E96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0EDD098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0AA32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5DE11C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2491E14A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C9FDD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0D9BCE" w14:textId="410E43BF" w:rsidR="00580B5B" w:rsidRDefault="00E96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01F025A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90856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67EE8B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A372B87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8DBC80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8547E6" w14:textId="3EF39527" w:rsidR="00580B5B" w:rsidRDefault="00436F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52434C0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651034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E4D7A4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9318379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D8B15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1D5B1A" w14:textId="21ADE18C" w:rsidR="00580B5B" w:rsidRDefault="00436F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13CD050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449B1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C2943D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8BDC07F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8ECE43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8B9936" w14:textId="26B26C50" w:rsidR="00580B5B" w:rsidRDefault="00436F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581814A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16961C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1BF548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D9DA5E5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21AC3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9F952C6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CE96F03" w14:textId="25F1F23C" w:rsidR="00580B5B" w:rsidRDefault="00436F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5254B44F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35B5FF0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BE36E0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74BEC4A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4C693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32BA43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5207368" w14:textId="4DE6B1FA" w:rsidR="00580B5B" w:rsidRDefault="00436F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F8392C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205E300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E22B99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AF7A0D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EA2D07" w14:textId="77777777" w:rsidR="00580B5B" w:rsidRDefault="003F220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5CE1307" w14:textId="77777777" w:rsidR="00580B5B" w:rsidRDefault="00580B5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580B5B" w14:paraId="47F7377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DBCB0D5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7AD8CB8B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A05908D" w14:textId="77777777" w:rsidR="00580B5B" w:rsidRDefault="00580B5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72875134" w14:textId="77777777" w:rsidR="00580B5B" w:rsidRDefault="003F220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432BE1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614652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217E389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810305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055DA139" w14:textId="77777777" w:rsidR="00580B5B" w:rsidRDefault="003F220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3FEC957" w14:textId="2F01E168" w:rsidR="00580B5B" w:rsidRDefault="00436F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07F134F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18741B9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77AB1B7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90073DA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716938C6" w14:textId="77777777" w:rsidR="00580B5B" w:rsidRDefault="003F220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CB4082D" w14:textId="34B4EAEC" w:rsidR="00580B5B" w:rsidRDefault="00436F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1AA971D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6DC47F2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95414FA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9B58479" w14:textId="77777777" w:rsidR="00580B5B" w:rsidRDefault="003F220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AE21B8B" w14:textId="77777777" w:rsidR="00580B5B" w:rsidRDefault="008C54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There are some issues which can be improved: </w:t>
            </w:r>
          </w:p>
          <w:p w14:paraId="5DFB986F" w14:textId="77777777" w:rsidR="008C54EA" w:rsidRDefault="008C54EA" w:rsidP="008C54E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8C54EA">
              <w:rPr>
                <w:sz w:val="20"/>
                <w:szCs w:val="20"/>
              </w:rPr>
              <w:t xml:space="preserve">The manuscript provides an extensive narrative synthesis; however, it lacks sufficient critical </w:t>
            </w:r>
            <w:proofErr w:type="spellStart"/>
            <w:r w:rsidRPr="008C54E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naloisys</w:t>
            </w:r>
            <w:proofErr w:type="spellEnd"/>
            <w:r w:rsidRPr="008C54EA">
              <w:rPr>
                <w:sz w:val="20"/>
                <w:szCs w:val="20"/>
              </w:rPr>
              <w:t xml:space="preserve"> of the cited literature.</w:t>
            </w:r>
          </w:p>
          <w:p w14:paraId="1B922E5C" w14:textId="77777777" w:rsidR="008C54EA" w:rsidRDefault="008C54EA" w:rsidP="008C54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2- there are no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comprative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tables</w:t>
            </w:r>
          </w:p>
          <w:p w14:paraId="03D4BEDF" w14:textId="77777777" w:rsidR="008C54EA" w:rsidRDefault="008C54EA" w:rsidP="008C54E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3- </w:t>
            </w:r>
            <w:r w:rsidRPr="008C54EA">
              <w:rPr>
                <w:sz w:val="20"/>
                <w:szCs w:val="20"/>
              </w:rPr>
              <w:t>The discussion would benefit from deeper analysis of conflicting findings, limitations of existing studies, and comparative evaluation of different approaches.</w:t>
            </w:r>
          </w:p>
          <w:p w14:paraId="73A804FF" w14:textId="63259396" w:rsidR="00E9685B" w:rsidRPr="008C54EA" w:rsidRDefault="00E9685B" w:rsidP="008C54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4-</w:t>
            </w:r>
            <w:r w:rsidRPr="00E9685B">
              <w:rPr>
                <w:sz w:val="20"/>
                <w:szCs w:val="20"/>
              </w:rPr>
              <w:t>Some figures and diagrams might have helped readers understand the concepts more effectively</w:t>
            </w:r>
            <w:r>
              <w:t>.</w:t>
            </w:r>
          </w:p>
        </w:tc>
        <w:tc>
          <w:tcPr>
            <w:tcW w:w="1523" w:type="pct"/>
            <w:shd w:val="clear" w:color="auto" w:fill="auto"/>
          </w:tcPr>
          <w:p w14:paraId="0FD4B22F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58AF7CA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64FD3D7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7EA78F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18EF0B98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59C7640" w14:textId="6D9657B0" w:rsidR="00580B5B" w:rsidRDefault="008C54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E713948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F21435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F4E42D3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86673EA" w14:textId="77777777"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D79BAFC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720753B9" w14:textId="77777777"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23DBEB" w14:textId="77777777" w:rsidR="00580B5B" w:rsidRDefault="00580B5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60B875A6" w14:textId="411F3A42" w:rsidR="00580B5B" w:rsidRDefault="008C54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1F8652C0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48C6F55" w14:textId="77777777" w:rsidR="00190D6F" w:rsidRDefault="00190D6F" w:rsidP="00190D6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lang w:val="en-GB"/>
        </w:rPr>
        <w:br/>
      </w: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A97BC02" w14:textId="77777777" w:rsidR="00190D6F" w:rsidRDefault="00190D6F" w:rsidP="00190D6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A149867" w14:textId="77777777" w:rsidR="00190D6F" w:rsidRDefault="00190D6F" w:rsidP="00190D6F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Reza Sayyad </w:t>
      </w:r>
      <w:proofErr w:type="spellStart"/>
      <w:r>
        <w:rPr>
          <w:rFonts w:ascii="Calibri" w:hAnsi="Calibri" w:cs="Calibri"/>
          <w:color w:val="000000"/>
        </w:rPr>
        <w:t>Soufdoost</w:t>
      </w:r>
      <w:proofErr w:type="spellEnd"/>
      <w:r>
        <w:rPr>
          <w:rFonts w:ascii="Calibri" w:hAnsi="Calibri" w:cs="Calibri"/>
          <w:color w:val="000000"/>
        </w:rPr>
        <w:t>, Azad University, Iran</w:t>
      </w:r>
      <w:r>
        <w:rPr>
          <w:rFonts w:ascii="Calibri" w:hAnsi="Calibri" w:cs="Calibri"/>
          <w:color w:val="000000"/>
        </w:rPr>
        <w:br/>
      </w:r>
    </w:p>
    <w:p w14:paraId="3A22997C" w14:textId="12B37775" w:rsidR="00580B5B" w:rsidRDefault="00580B5B">
      <w:pPr>
        <w:rPr>
          <w:lang w:val="en-GB"/>
        </w:rPr>
      </w:pPr>
      <w:bookmarkStart w:id="0" w:name="_GoBack"/>
      <w:bookmarkEnd w:id="0"/>
    </w:p>
    <w:sectPr w:rsidR="00580B5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C3690" w14:textId="77777777" w:rsidR="00B373E2" w:rsidRDefault="00B373E2">
      <w:r>
        <w:separator/>
      </w:r>
    </w:p>
  </w:endnote>
  <w:endnote w:type="continuationSeparator" w:id="0">
    <w:p w14:paraId="7BB44F98" w14:textId="77777777" w:rsidR="00B373E2" w:rsidRDefault="00B3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ED00" w14:textId="77777777" w:rsidR="00580B5B" w:rsidRDefault="003F22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53507BF" w14:textId="77777777" w:rsidR="00580B5B" w:rsidRDefault="00580B5B">
    <w:pPr>
      <w:pStyle w:val="Footer"/>
      <w:jc w:val="right"/>
    </w:pPr>
  </w:p>
  <w:p w14:paraId="2E76EFD9" w14:textId="77777777" w:rsidR="00580B5B" w:rsidRDefault="00580B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9B9BE" w14:textId="77777777" w:rsidR="00B373E2" w:rsidRDefault="00B373E2">
      <w:r>
        <w:separator/>
      </w:r>
    </w:p>
  </w:footnote>
  <w:footnote w:type="continuationSeparator" w:id="0">
    <w:p w14:paraId="22D830C2" w14:textId="77777777" w:rsidR="00B373E2" w:rsidRDefault="00B3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008C2" w14:textId="77777777" w:rsidR="00580B5B" w:rsidRDefault="00580B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9CDFB4" w14:textId="77777777" w:rsidR="00580B5B" w:rsidRDefault="003F220F">
    <w:pPr>
      <w:spacing w:before="100" w:beforeAutospacing="1" w:after="100" w:afterAutospacing="1"/>
      <w:jc w:val="center"/>
      <w:rPr>
        <w:color w:val="000000"/>
        <w:sz w:val="20"/>
      </w:rPr>
    </w:pPr>
    <w:r w:rsidRPr="0047639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6C2F"/>
    <w:multiLevelType w:val="hybridMultilevel"/>
    <w:tmpl w:val="38D6ECC6"/>
    <w:lvl w:ilvl="0" w:tplc="021AD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A0F37"/>
    <w:multiLevelType w:val="hybridMultilevel"/>
    <w:tmpl w:val="80FCB916"/>
    <w:lvl w:ilvl="0" w:tplc="98E04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5B"/>
    <w:rsid w:val="00190D6F"/>
    <w:rsid w:val="003A0075"/>
    <w:rsid w:val="003F220F"/>
    <w:rsid w:val="00436FE8"/>
    <w:rsid w:val="0047639D"/>
    <w:rsid w:val="00580B5B"/>
    <w:rsid w:val="00624BD9"/>
    <w:rsid w:val="00670323"/>
    <w:rsid w:val="008C54EA"/>
    <w:rsid w:val="00B373E2"/>
    <w:rsid w:val="00B56FE9"/>
    <w:rsid w:val="00CF5E2D"/>
    <w:rsid w:val="00E9685B"/>
    <w:rsid w:val="00E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D43A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90D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4</cp:revision>
  <dcterms:created xsi:type="dcterms:W3CDTF">2026-04-14T18:55:00Z</dcterms:created>
  <dcterms:modified xsi:type="dcterms:W3CDTF">2026-04-16T13:00:00Z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