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D2E" w:rsidRDefault="008E0D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8E0D2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8E0D2E" w:rsidRDefault="00C40D20">
            <w:pPr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Asian Journal of Case Reports in Surgery</w:t>
            </w:r>
          </w:p>
        </w:tc>
      </w:tr>
      <w:tr w:rsidR="008E0D2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Ms_AJCRS_156446</w:t>
            </w:r>
          </w:p>
        </w:tc>
      </w:tr>
      <w:tr w:rsidR="008E0D2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0" w:name="_3f9pzey0qvig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>Extensive Iatrogenic Tracheal Laceration Following Difficult Intubation in Elective Surgery: A Comprehensive Case Study and Clinical Review</w:t>
            </w:r>
          </w:p>
        </w:tc>
      </w:tr>
      <w:tr w:rsidR="008E0D2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8E0D2E" w:rsidRDefault="008E0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E0D2E" w:rsidRDefault="00C40D2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2"/>
          <w:szCs w:val="22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8E0D2E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8E0D2E" w:rsidRDefault="00C40D2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8E0D2E" w:rsidRDefault="008E0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8E0D2E" w:rsidRDefault="008E0D2E">
      <w:pPr>
        <w:rPr>
          <w:sz w:val="22"/>
          <w:szCs w:val="22"/>
        </w:rPr>
      </w:pPr>
    </w:p>
    <w:p w:rsidR="008E0D2E" w:rsidRDefault="008E0D2E">
      <w:pPr>
        <w:rPr>
          <w:sz w:val="22"/>
          <w:szCs w:val="22"/>
        </w:rPr>
      </w:pPr>
    </w:p>
    <w:p w:rsidR="008E0D2E" w:rsidRDefault="008E0D2E">
      <w:pPr>
        <w:rPr>
          <w:sz w:val="22"/>
          <w:szCs w:val="22"/>
        </w:rPr>
      </w:pPr>
    </w:p>
    <w:p w:rsidR="008E0D2E" w:rsidRDefault="00C40D20">
      <w:pPr>
        <w:pStyle w:val="Heading2"/>
        <w:jc w:val="left"/>
        <w:rPr>
          <w:rFonts w:ascii="Times New Roman" w:eastAsia="Times New Roman" w:hAnsi="Times New Roman" w:cs="Times New Roman"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2.1 (Objective Evaluation)</w:t>
      </w:r>
    </w:p>
    <w:p w:rsidR="008E0D2E" w:rsidRDefault="008E0D2E">
      <w:pPr>
        <w:rPr>
          <w:sz w:val="28"/>
          <w:szCs w:val="28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8E0D2E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8E0D2E" w:rsidRDefault="00C40D20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:rsidR="00AE7F75" w:rsidRDefault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The title accurately reflects the content and scope of the manuscript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:rsidR="00AE7F75" w:rsidRDefault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The abstract succinctly summarizes the case, key clinical features, and the significance of the report. Consider adding a brief statement on the clinical implications or recommendations to enhance impact.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8E0D2E" w:rsidRDefault="008E0D2E">
            <w:pPr>
              <w:ind w:left="360"/>
            </w:pP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</w:pPr>
          </w:p>
          <w:p w:rsidR="008E0D2E" w:rsidRDefault="008E0D2E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The introduction provides a clear and concise overview of iatrogenic tracheal rupture (ITR), its incidence, anatomical considerations, and risk factors.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The inclusion of epidemiological data and anatomical vulnerability sets a strong foundation for the case report.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</w:p>
          <w:p w:rsid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Minor suggestion: Consider clarifying the abbreviation “PITI” early on or avoid inconsistency as it appears without prior definition.</w:t>
            </w:r>
          </w:p>
        </w:tc>
        <w:tc>
          <w:tcPr>
            <w:tcW w:w="3798" w:type="dxa"/>
            <w:shd w:val="clear" w:color="auto" w:fill="auto"/>
          </w:tcPr>
          <w:p w:rsidR="00AE7F75" w:rsidRDefault="00AE7F75" w:rsidP="00AE7F75">
            <w:pPr>
              <w:pStyle w:val="Heading2"/>
              <w:jc w:val="left"/>
            </w:pPr>
          </w:p>
          <w:p w:rsidR="008E0D2E" w:rsidRDefault="008E0D2E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The case is detailed and well-structured, providing relevant clinical data, diagnostic steps, imaging findings, and therapeutic interventions.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The timeline of symptom progression and diagnostic challenges is clearly presented.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Figures (CT scan, bronchoscopy, intraoperative view) are appropriately referenced and enhance understanding.</w:t>
            </w:r>
          </w:p>
          <w:p w:rsidR="00AE7F75" w:rsidRP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The decision-making process, including exploratory laparoscopy and endoscopy to rule out abdominal causes, is well explained.</w:t>
            </w:r>
          </w:p>
          <w:p w:rsidR="00AE7F75" w:rsidRDefault="00AE7F75" w:rsidP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•</w:t>
            </w:r>
            <w:r w:rsidRPr="00AE7F75">
              <w:rPr>
                <w:b/>
                <w:bCs/>
                <w:sz w:val="20"/>
                <w:szCs w:val="20"/>
              </w:rPr>
              <w:tab/>
              <w:t>Consider including more details on the patient’s baseline airway assessment to strengthen the discussion on prevention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 w:rsidP="00AE7F75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:rsidR="00AE7F75" w:rsidRDefault="00AE7F75">
            <w:pPr>
              <w:ind w:left="360"/>
              <w:rPr>
                <w:b/>
                <w:bCs/>
                <w:sz w:val="20"/>
                <w:szCs w:val="20"/>
              </w:rPr>
            </w:pPr>
            <w:r w:rsidRPr="00AE7F75">
              <w:rPr>
                <w:b/>
                <w:bCs/>
                <w:sz w:val="20"/>
                <w:szCs w:val="20"/>
              </w:rPr>
              <w:t>Consent and ethical approval statements are clearly included and comply with standards.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</w:t>
            </w:r>
          </w:p>
          <w:p w:rsidR="00AE7F75" w:rsidRDefault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Figures and diagrams are valuable additions but ensure high-resolution images for publication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The discussion thoroughly addresses pathophysiology, diagnostic challenges, classification, management options, and prevention strategies.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The explanation of pneumoperitoneum as a diagnostic distractor is insightful and clinically relevant.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 xml:space="preserve">The use of Cardillo classification is appropriate and </w:t>
            </w:r>
            <w:proofErr w:type="spellStart"/>
            <w:r w:rsidRPr="00AE7F75">
              <w:rPr>
                <w:color w:val="000000"/>
                <w:sz w:val="20"/>
                <w:szCs w:val="20"/>
              </w:rPr>
              <w:t>well integrated</w:t>
            </w:r>
            <w:proofErr w:type="spellEnd"/>
            <w:r w:rsidRPr="00AE7F75">
              <w:rPr>
                <w:color w:val="000000"/>
                <w:sz w:val="20"/>
                <w:szCs w:val="20"/>
              </w:rPr>
              <w:t xml:space="preserve"> into the management rationale.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The review of interventional bronchoscopy techniques and their indications is up-to-date and balanced.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Prevention section effectively emphasizes airway assessment and cuff pressure monitoring.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Suggest expanding on the role of multidisciplinary collaboration in managing such complex cases.</w:t>
            </w:r>
          </w:p>
          <w:p w:rsid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Minor editorial note: A few typographical issues (e.g., “</w:t>
            </w:r>
            <w:proofErr w:type="spellStart"/>
            <w:r w:rsidRPr="00AE7F75">
              <w:rPr>
                <w:color w:val="000000"/>
                <w:sz w:val="20"/>
                <w:szCs w:val="20"/>
              </w:rPr>
              <w:t>Imagin</w:t>
            </w:r>
            <w:proofErr w:type="spellEnd"/>
            <w:r w:rsidRPr="00AE7F75">
              <w:rPr>
                <w:color w:val="000000"/>
                <w:sz w:val="20"/>
                <w:szCs w:val="20"/>
              </w:rPr>
              <w:t>” instead of “Imaging” in the diagnostic algorithm) should be corrected.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 w:rsidP="00AE7F75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The conclusion effectively reiterates the clinical importance of early diagnosis and appropriate management.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The emphasis on prevention and training is well placed.</w:t>
            </w:r>
          </w:p>
          <w:p w:rsid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Consider a brief statement on future directions or recommendations for clinical practice guidelines.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 w:rsidP="00AE7F75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  <w:p w:rsidR="00AE7F75" w:rsidRP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The reference list is comprehensive and relevant.</w:t>
            </w:r>
          </w:p>
          <w:p w:rsidR="00AE7F75" w:rsidRDefault="00AE7F75" w:rsidP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•</w:t>
            </w:r>
            <w:r w:rsidRPr="00AE7F75">
              <w:rPr>
                <w:color w:val="000000"/>
                <w:sz w:val="20"/>
                <w:szCs w:val="20"/>
              </w:rPr>
              <w:tab/>
              <w:t>Ensure consistency in formatting and check for any minor typographical errors.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 w:rsidP="00AE7F75">
            <w:pPr>
              <w:pStyle w:val="Heading2"/>
              <w:jc w:val="left"/>
            </w:pPr>
          </w:p>
        </w:tc>
      </w:tr>
      <w:tr w:rsidR="008E0D2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0D2E" w:rsidRDefault="00C40D20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  <w:p w:rsidR="00AE7F75" w:rsidRDefault="00AE7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E7F75">
              <w:rPr>
                <w:color w:val="000000"/>
                <w:sz w:val="20"/>
                <w:szCs w:val="20"/>
              </w:rPr>
              <w:t>Language is formal and appropriate for the target academic audience. Minor proofreading for grammar and typographical errors is recommended.</w:t>
            </w:r>
          </w:p>
        </w:tc>
        <w:tc>
          <w:tcPr>
            <w:tcW w:w="3798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8E0D2E" w:rsidRDefault="008E0D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8E0D2E" w:rsidRDefault="00C40D20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2.2 (Subjective Evaluation)</w:t>
      </w:r>
    </w:p>
    <w:p w:rsidR="008E0D2E" w:rsidRDefault="008E0D2E"/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8E0D2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8E0D2E" w:rsidRDefault="008E0D2E">
            <w:pPr>
              <w:rPr>
                <w:sz w:val="22"/>
                <w:szCs w:val="22"/>
              </w:rPr>
            </w:pPr>
          </w:p>
        </w:tc>
        <w:tc>
          <w:tcPr>
            <w:tcW w:w="4284" w:type="dxa"/>
            <w:shd w:val="clear" w:color="auto" w:fill="auto"/>
          </w:tcPr>
          <w:p w:rsidR="008E0D2E" w:rsidRDefault="00C40D2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8E0D2E" w:rsidRDefault="008E0D2E">
            <w:pPr>
              <w:rPr>
                <w:sz w:val="20"/>
                <w:szCs w:val="20"/>
              </w:rPr>
            </w:pPr>
          </w:p>
          <w:p w:rsidR="008E0D2E" w:rsidRDefault="00C40D20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8E0D2E" w:rsidRDefault="008E0D2E">
            <w:pPr>
              <w:rPr>
                <w:sz w:val="20"/>
                <w:szCs w:val="20"/>
              </w:rPr>
            </w:pPr>
          </w:p>
          <w:p w:rsidR="008E0D2E" w:rsidRDefault="00C40D2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0D2E" w:rsidRDefault="00C40D2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8E0D2E" w:rsidRDefault="00C40D20">
            <w:pPr>
              <w:rPr>
                <w:b/>
                <w:bCs/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8E0D2E" w:rsidRDefault="008E0D2E">
            <w:pPr>
              <w:rPr>
                <w:sz w:val="20"/>
                <w:szCs w:val="20"/>
              </w:rPr>
            </w:pPr>
          </w:p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E0D2E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8E0D2E" w:rsidRDefault="00C40D2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8E0D2E" w:rsidRDefault="008E0D2E">
            <w:pPr>
              <w:rPr>
                <w:sz w:val="20"/>
                <w:szCs w:val="20"/>
              </w:rPr>
            </w:pPr>
          </w:p>
          <w:p w:rsidR="008E0D2E" w:rsidRDefault="00C40D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:rsidR="008E0D2E" w:rsidRDefault="008E0D2E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8E0D2E" w:rsidRDefault="00C40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0D2E" w:rsidRDefault="008E0D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8E0D2E" w:rsidRDefault="008E0D2E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p w:rsidR="006A411C" w:rsidRPr="005F4EDD" w:rsidRDefault="006A411C" w:rsidP="006A411C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6A411C" w:rsidRDefault="006A411C" w:rsidP="006A411C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6A411C" w:rsidRPr="00C931DD" w:rsidRDefault="006A411C" w:rsidP="006A411C">
      <w:pPr>
        <w:rPr>
          <w:rFonts w:asciiTheme="minorHAnsi" w:hAnsiTheme="minorHAnsi"/>
        </w:rPr>
      </w:pPr>
      <w:r>
        <w:rPr>
          <w:rFonts w:ascii="Calibri" w:hAnsi="Calibri" w:cs="Calibri"/>
          <w:color w:val="000000"/>
        </w:rPr>
        <w:t>Mahmoud Ibrahim Mohamed Mahmoud</w:t>
      </w:r>
      <w:r>
        <w:rPr>
          <w:rFonts w:asciiTheme="minorHAnsi" w:hAnsiTheme="minorHAnsi"/>
        </w:rPr>
        <w:t xml:space="preserve">, </w:t>
      </w:r>
      <w:r>
        <w:rPr>
          <w:rFonts w:ascii="Calibri" w:hAnsi="Calibri" w:cs="Calibri"/>
          <w:color w:val="000000"/>
        </w:rPr>
        <w:t>Beni-</w:t>
      </w:r>
      <w:proofErr w:type="spellStart"/>
      <w:r>
        <w:rPr>
          <w:rFonts w:ascii="Calibri" w:hAnsi="Calibri" w:cs="Calibri"/>
          <w:color w:val="000000"/>
        </w:rPr>
        <w:t>Suef</w:t>
      </w:r>
      <w:proofErr w:type="spellEnd"/>
      <w:r>
        <w:rPr>
          <w:rFonts w:ascii="Calibri" w:hAnsi="Calibri" w:cs="Calibri"/>
          <w:color w:val="000000"/>
        </w:rPr>
        <w:t xml:space="preserve"> University, Egypt</w:t>
      </w:r>
      <w:r>
        <w:rPr>
          <w:rFonts w:ascii="Calibri" w:hAnsi="Calibri" w:cs="Calibri"/>
          <w:color w:val="000000"/>
        </w:rPr>
        <w:br/>
      </w:r>
    </w:p>
    <w:p w:rsidR="006A411C" w:rsidRPr="006A411C" w:rsidRDefault="006A411C" w:rsidP="006A411C">
      <w:pPr>
        <w:rPr>
          <w:highlight w:val="yellow"/>
        </w:rPr>
      </w:pPr>
      <w:bookmarkStart w:id="1" w:name="_GoBack"/>
      <w:bookmarkEnd w:id="1"/>
    </w:p>
    <w:sectPr w:rsidR="006A411C" w:rsidRPr="006A411C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E60" w:rsidRDefault="00910E60">
      <w:r>
        <w:separator/>
      </w:r>
    </w:p>
  </w:endnote>
  <w:endnote w:type="continuationSeparator" w:id="0">
    <w:p w:rsidR="00910E60" w:rsidRDefault="0091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Bold r:id="rId1" w:fontKey="{EE97450D-65BA-449E-AB24-54680975EE01}"/>
  </w:font>
  <w:font w:name="Arimo">
    <w:charset w:val="00"/>
    <w:family w:val="auto"/>
    <w:pitch w:val="default"/>
    <w:embedBold r:id="rId2" w:fontKey="{E967C527-72F4-4E54-AE98-2A89CEEDC00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9837E12-AD25-437A-ADF3-3F270BC0E6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EAA9AB-625C-4170-80CB-F963742E2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81E839-281E-4FA4-8AC3-0C5E15C05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D2E" w:rsidRDefault="008E0D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E0D2E" w:rsidRDefault="00C40D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AE7F7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AE7F7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8E0D2E" w:rsidRDefault="00C40D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8E0D2E" w:rsidRDefault="008E0D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E0D2E" w:rsidRDefault="008E0D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E60" w:rsidRDefault="00910E60">
      <w:r>
        <w:separator/>
      </w:r>
    </w:p>
  </w:footnote>
  <w:footnote w:type="continuationSeparator" w:id="0">
    <w:p w:rsidR="00910E60" w:rsidRDefault="00910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D2E" w:rsidRDefault="008E0D2E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8E0D2E" w:rsidRDefault="00C40D20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D2E"/>
    <w:rsid w:val="006A411C"/>
    <w:rsid w:val="008E0D2E"/>
    <w:rsid w:val="00910E60"/>
    <w:rsid w:val="00AE4ED4"/>
    <w:rsid w:val="00AE7F75"/>
    <w:rsid w:val="00C40D20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011A"/>
  <w15:docId w15:val="{CC23A34B-D53E-414C-B01A-B889638F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E7F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F75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A411C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1015</Words>
  <Characters>5788</Characters>
  <Application>Microsoft Office Word</Application>
  <DocSecurity>0</DocSecurity>
  <Lines>48</Lines>
  <Paragraphs>13</Paragraphs>
  <ScaleCrop>false</ScaleCrop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2026-04-09T08:24:00Z</dcterms:created>
  <dcterms:modified xsi:type="dcterms:W3CDTF">2026-04-13T05:56:00Z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