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14:paraId="1327D0D7" w14:textId="77777777">
        <w:trPr>
          <w:trHeight w:val="20"/>
          <w:jc w:val="center"/>
        </w:trPr>
        <w:tc>
          <w:tcPr>
            <w:tcW w:w="1186" w:type="pct"/>
          </w:tcPr>
          <w:p w14:paraId="177DA9B0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E375B7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0D1DF9F5" w14:textId="77777777">
        <w:trPr>
          <w:trHeight w:val="20"/>
          <w:jc w:val="center"/>
        </w:trPr>
        <w:tc>
          <w:tcPr>
            <w:tcW w:w="1186" w:type="pct"/>
          </w:tcPr>
          <w:p w14:paraId="79837609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541E5F" w14:textId="77777777" w:rsidR="005244B9" w:rsidRDefault="00264F4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64F4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Ms_AJCRS_156446</w:t>
            </w:r>
          </w:p>
        </w:tc>
      </w:tr>
      <w:tr w:rsidR="005244B9" w14:paraId="518D72DE" w14:textId="77777777">
        <w:trPr>
          <w:trHeight w:val="20"/>
          <w:jc w:val="center"/>
        </w:trPr>
        <w:tc>
          <w:tcPr>
            <w:tcW w:w="1186" w:type="pct"/>
          </w:tcPr>
          <w:p w14:paraId="520ADE81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06E50A" w14:textId="77777777" w:rsidR="005244B9" w:rsidRDefault="00264F4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64F4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Extensive Iatrogenic Tracheal Laceration Following Difficult Intubation in Elective Surgery: A Comprehensive Case Study and Clinical Review</w:t>
            </w:r>
          </w:p>
        </w:tc>
      </w:tr>
      <w:tr w:rsidR="005244B9" w14:paraId="6350093F" w14:textId="77777777">
        <w:trPr>
          <w:trHeight w:val="20"/>
          <w:jc w:val="center"/>
        </w:trPr>
        <w:tc>
          <w:tcPr>
            <w:tcW w:w="1186" w:type="pct"/>
          </w:tcPr>
          <w:p w14:paraId="3A7C9E5E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D44F51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0F3C818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07FAF80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3DD56F4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D5D7F45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14:paraId="47B744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E84F7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93E249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00E4E7B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E5A35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3FED91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BB6B16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F366C22" w14:textId="77777777" w:rsid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BF46E0">
              <w:rPr>
                <w:sz w:val="20"/>
                <w:szCs w:val="20"/>
                <w:lang w:val="en-GB"/>
              </w:rPr>
              <w:t xml:space="preserve">This manuscript highlights the clinical significance of iatrogenic tracheal laceration, a rare but potentially life-threatening complication associated with difficult intubation during elective surgical procedures. </w:t>
            </w:r>
          </w:p>
          <w:p w14:paraId="01D329BA" w14:textId="77777777" w:rsid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7EF5F438" w14:textId="77777777" w:rsid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BF46E0">
              <w:rPr>
                <w:sz w:val="20"/>
                <w:szCs w:val="20"/>
                <w:lang w:val="en-GB"/>
              </w:rPr>
              <w:t xml:space="preserve">By presenting a comprehensive case study alongside a detailed clinical review, it provides valuable insights into early diagnosis, risk factors, and evidence-based management strategies. </w:t>
            </w:r>
          </w:p>
          <w:p w14:paraId="155D8549" w14:textId="77777777" w:rsid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6CF1AC32" w14:textId="77777777" w:rsid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BF46E0">
              <w:rPr>
                <w:sz w:val="20"/>
                <w:szCs w:val="20"/>
                <w:lang w:val="en-GB"/>
              </w:rPr>
              <w:t xml:space="preserve">The findings contribute to improved awareness among </w:t>
            </w:r>
            <w:proofErr w:type="spellStart"/>
            <w:r w:rsidRPr="00BF46E0">
              <w:rPr>
                <w:sz w:val="20"/>
                <w:szCs w:val="20"/>
                <w:lang w:val="en-GB"/>
              </w:rPr>
              <w:t>anesthesiologists</w:t>
            </w:r>
            <w:proofErr w:type="spellEnd"/>
            <w:r w:rsidRPr="00BF46E0">
              <w:rPr>
                <w:sz w:val="20"/>
                <w:szCs w:val="20"/>
                <w:lang w:val="en-GB"/>
              </w:rPr>
              <w:t xml:space="preserve">, surgeons, and critical care specialists, ultimately promoting safer airway management practices. </w:t>
            </w:r>
          </w:p>
          <w:p w14:paraId="43F47161" w14:textId="77777777" w:rsid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1D081132" w14:textId="5A93E20E" w:rsidR="005244B9" w:rsidRPr="00BF46E0" w:rsidRDefault="00BF46E0" w:rsidP="00BF46E0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BF46E0">
              <w:rPr>
                <w:sz w:val="20"/>
                <w:szCs w:val="20"/>
                <w:lang w:val="en-GB"/>
              </w:rPr>
              <w:t>his work serves as an important reference for developing preventive protocols and guiding timely intervention, thereby enhancing patient outcomes and reducing morbidity in perioperative care.</w:t>
            </w:r>
          </w:p>
        </w:tc>
        <w:tc>
          <w:tcPr>
            <w:tcW w:w="1367" w:type="pct"/>
          </w:tcPr>
          <w:p w14:paraId="59887BB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DA6D38" w14:textId="77777777" w:rsidR="005244B9" w:rsidRDefault="005244B9">
      <w:pPr>
        <w:rPr>
          <w:sz w:val="22"/>
          <w:szCs w:val="20"/>
          <w:lang w:val="en-GB"/>
        </w:rPr>
      </w:pPr>
    </w:p>
    <w:p w14:paraId="509CC37A" w14:textId="77777777" w:rsidR="005244B9" w:rsidRDefault="005244B9">
      <w:pPr>
        <w:rPr>
          <w:sz w:val="22"/>
          <w:szCs w:val="20"/>
          <w:lang w:val="en-GB"/>
        </w:rPr>
      </w:pPr>
    </w:p>
    <w:p w14:paraId="2903F9C3" w14:textId="77777777" w:rsidR="005244B9" w:rsidRDefault="005244B9">
      <w:pPr>
        <w:rPr>
          <w:sz w:val="22"/>
          <w:szCs w:val="20"/>
          <w:lang w:val="en-GB"/>
        </w:rPr>
      </w:pPr>
    </w:p>
    <w:p w14:paraId="18916A89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DB0C231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14:paraId="5E9AAEA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116A30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C78F31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13D337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48DE79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2A6BE5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7A116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959FA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DBE4F" w14:textId="01851D55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37ACB8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B3F2C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E728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BAD9ED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324C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96A037" w14:textId="72F9934C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28D213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24190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87FC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C9AC57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64DB5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2FECAD" w14:textId="57B6943B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E976D1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893DA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5EF88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E720EA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89D1E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A0652F" w14:textId="23141CD2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F569B6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807AD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28359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09DD82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9026B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E7E96" w14:textId="4A1FDAA4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F2B37C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82A08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089A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ECD46F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7A11C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C77ED" w14:textId="05210E36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971A74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725CD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87D26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8A08F0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B6A1D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42B653" w14:textId="602AD926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D59553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DFE8B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45E6B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4B210A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63D72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029A4" w14:textId="0BAF195B" w:rsidR="005244B9" w:rsidRDefault="00BF46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FAA294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23A1E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3C2BE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6D706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CC77A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D5A6D" w14:textId="559B2928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882EFE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F0F99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AD12B6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B399E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4C95B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4D5AA3" w14:textId="48108581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19AE9F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68116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A4AD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661B9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E681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52CC4F3" w14:textId="55EE5BB3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 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18C82C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B4E7E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3DBEE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D180F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DE79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A58F5" w14:textId="0DBEA6A0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AF3855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9F3DC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4D05AF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DFCE2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4CE9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A64CA6" w14:textId="06881A20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2D7556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2632F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5B5E04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32B04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21C3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21443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420050" w14:textId="4EB2AFEC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A12E83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0A71F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301FBB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3E18B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7BFF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9B135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427A9A" w14:textId="24541662" w:rsidR="005244B9" w:rsidRDefault="00DC65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="00BF46E0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466390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669CC87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D85047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8C89BD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8CD840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450D8C2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14:paraId="7263D9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98453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8A45EC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4D474DA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5937508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FDA9B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4A61C3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A8240D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7C141C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3F1C6D15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91A2A9" w14:textId="50068584" w:rsidR="005244B9" w:rsidRDefault="006E4C5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       </w:t>
            </w:r>
            <w:r w:rsidR="00BF46E0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19F3A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9DFD0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95918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BFC7AD9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2001C760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4A811E" w14:textId="07F6A878" w:rsidR="005244B9" w:rsidRDefault="0019644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DC6512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848548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8D7DD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48081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86A876A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D99E10" w14:textId="665547BE" w:rsidR="005244B9" w:rsidRPr="00DC6512" w:rsidRDefault="00DC6512" w:rsidP="00DC651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</w:t>
            </w:r>
            <w:r w:rsidR="00196448">
              <w:rPr>
                <w:b/>
                <w:sz w:val="20"/>
                <w:szCs w:val="20"/>
                <w:lang w:val="en-GB"/>
              </w:rPr>
              <w:t xml:space="preserve">          </w:t>
            </w: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 w:rsidRPr="00DC6512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919A4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EDC3D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46089D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C5510B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DC2DCF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7A33AD4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C14CE39" w14:textId="2369075C" w:rsidR="005244B9" w:rsidRPr="00DC6512" w:rsidRDefault="00DC6512" w:rsidP="00DC651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 w:rsidR="00196448">
              <w:rPr>
                <w:b/>
                <w:sz w:val="20"/>
                <w:szCs w:val="20"/>
                <w:lang w:val="en-GB"/>
              </w:rPr>
              <w:t xml:space="preserve">           </w:t>
            </w: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 w:rsidRPr="00DC6512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38608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E44120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221571B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176AEB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16D977C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04593FED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F60C56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4423A5" w14:textId="5A92C8EC" w:rsidR="005244B9" w:rsidRPr="00DC6512" w:rsidRDefault="00DC6512" w:rsidP="00DC651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</w:t>
            </w:r>
            <w:r w:rsidR="00196448">
              <w:rPr>
                <w:b/>
                <w:sz w:val="20"/>
                <w:szCs w:val="20"/>
                <w:lang w:val="en-GB"/>
              </w:rPr>
              <w:t xml:space="preserve">           </w:t>
            </w: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DC6512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1185A1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2C33050" w14:textId="4C962881" w:rsidR="005244B9" w:rsidRDefault="005244B9" w:rsidP="00EB576E"/>
    <w:p w14:paraId="07F6E068" w14:textId="77777777" w:rsidR="007E3DA9" w:rsidRPr="005F4EDD" w:rsidRDefault="007E3DA9" w:rsidP="007E3DA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50BA630" w14:textId="77777777" w:rsidR="007E3DA9" w:rsidRDefault="007E3DA9" w:rsidP="007E3DA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AF33FF3" w14:textId="77777777" w:rsidR="007E3DA9" w:rsidRPr="007E3DA9" w:rsidRDefault="007E3DA9" w:rsidP="007E3DA9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Jeevan R. </w:t>
      </w:r>
      <w:proofErr w:type="spellStart"/>
      <w:r>
        <w:rPr>
          <w:rFonts w:ascii="Calibri" w:hAnsi="Calibri" w:cs="Calibri"/>
          <w:color w:val="000000"/>
        </w:rPr>
        <w:t>Rajguru</w:t>
      </w:r>
      <w:proofErr w:type="spellEnd"/>
      <w:r>
        <w:rPr>
          <w:rFonts w:ascii="Calibri" w:hAnsi="Calibri" w:cs="Calibri"/>
          <w:color w:val="000000"/>
        </w:rPr>
        <w:t>, CCRD Delight Institute of Pharmacy, India</w:t>
      </w:r>
      <w:r>
        <w:rPr>
          <w:rFonts w:ascii="Calibri" w:hAnsi="Calibri" w:cs="Calibri"/>
          <w:color w:val="000000"/>
        </w:rPr>
        <w:br/>
      </w:r>
    </w:p>
    <w:p w14:paraId="379CC64A" w14:textId="77777777" w:rsidR="007E3DA9" w:rsidRDefault="007E3DA9" w:rsidP="00EB576E">
      <w:bookmarkStart w:id="0" w:name="_GoBack"/>
      <w:bookmarkEnd w:id="0"/>
    </w:p>
    <w:sectPr w:rsidR="007E3D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789A4" w14:textId="77777777" w:rsidR="00B92DEF" w:rsidRDefault="00B92DEF">
      <w:r>
        <w:separator/>
      </w:r>
    </w:p>
  </w:endnote>
  <w:endnote w:type="continuationSeparator" w:id="0">
    <w:p w14:paraId="45C28E51" w14:textId="77777777" w:rsidR="00B92DEF" w:rsidRDefault="00B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5742" w14:textId="77777777" w:rsidR="005244B9" w:rsidRDefault="005244B9">
    <w:pPr>
      <w:pStyle w:val="Footer"/>
      <w:jc w:val="right"/>
    </w:pPr>
  </w:p>
  <w:p w14:paraId="39A37391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E954D6D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C840F0" w14:textId="77777777" w:rsidR="005244B9" w:rsidRDefault="005244B9">
    <w:pPr>
      <w:pStyle w:val="Footer"/>
      <w:jc w:val="right"/>
    </w:pPr>
  </w:p>
  <w:p w14:paraId="2D701812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1A43E" w14:textId="77777777" w:rsidR="00B92DEF" w:rsidRDefault="00B92DEF">
      <w:r>
        <w:separator/>
      </w:r>
    </w:p>
  </w:footnote>
  <w:footnote w:type="continuationSeparator" w:id="0">
    <w:p w14:paraId="1521530D" w14:textId="77777777" w:rsidR="00B92DEF" w:rsidRDefault="00B9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3A0E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10FBDB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4282D"/>
    <w:rsid w:val="00196448"/>
    <w:rsid w:val="00214C60"/>
    <w:rsid w:val="00264F4A"/>
    <w:rsid w:val="005244B9"/>
    <w:rsid w:val="005366BE"/>
    <w:rsid w:val="00550E3E"/>
    <w:rsid w:val="006E4C52"/>
    <w:rsid w:val="007E3DA9"/>
    <w:rsid w:val="00924310"/>
    <w:rsid w:val="00A0266C"/>
    <w:rsid w:val="00AF7775"/>
    <w:rsid w:val="00B92DEF"/>
    <w:rsid w:val="00BC76DE"/>
    <w:rsid w:val="00BF46E0"/>
    <w:rsid w:val="00C02B7F"/>
    <w:rsid w:val="00DC6512"/>
    <w:rsid w:val="00EB576E"/>
    <w:rsid w:val="00F4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B1B1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E3D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