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4C13" w:rsidRPr="00107C72" w14:paraId="0D51092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99CCC3" w14:textId="77777777" w:rsidR="00FF4C13" w:rsidRPr="00892893" w:rsidRDefault="00FF4C13" w:rsidP="00892893">
            <w:pPr>
              <w:rPr>
                <w:lang w:val="en-GB"/>
              </w:rPr>
            </w:pPr>
          </w:p>
        </w:tc>
      </w:tr>
      <w:tr w:rsidR="00FF4C13" w:rsidRPr="00107C72" w14:paraId="324C1F6A" w14:textId="77777777" w:rsidTr="00107C72">
        <w:trPr>
          <w:trHeight w:val="290"/>
        </w:trPr>
        <w:tc>
          <w:tcPr>
            <w:tcW w:w="1186" w:type="pct"/>
          </w:tcPr>
          <w:p w14:paraId="78D87BAC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6E45" w14:textId="77777777" w:rsidR="00FF4C13" w:rsidRPr="00107C72" w:rsidRDefault="00DF7AD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F4C1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Case Reports in Surgery </w:t>
              </w:r>
            </w:hyperlink>
          </w:p>
        </w:tc>
      </w:tr>
      <w:tr w:rsidR="00FF4C13" w:rsidRPr="00107C72" w14:paraId="7777E9DA" w14:textId="77777777" w:rsidTr="00107C72">
        <w:trPr>
          <w:trHeight w:val="290"/>
        </w:trPr>
        <w:tc>
          <w:tcPr>
            <w:tcW w:w="1186" w:type="pct"/>
          </w:tcPr>
          <w:p w14:paraId="2D5DF0E3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03F8" w14:textId="77777777" w:rsidR="00FF4C13" w:rsidRPr="00107C72" w:rsidRDefault="002A006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A006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Ms_AJCRS_155972</w:t>
            </w:r>
          </w:p>
        </w:tc>
      </w:tr>
      <w:tr w:rsidR="00FF4C13" w:rsidRPr="00107C72" w14:paraId="774F2553" w14:textId="77777777" w:rsidTr="00107C72">
        <w:trPr>
          <w:trHeight w:val="650"/>
        </w:trPr>
        <w:tc>
          <w:tcPr>
            <w:tcW w:w="1186" w:type="pct"/>
          </w:tcPr>
          <w:p w14:paraId="4E534934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3737" w14:textId="77777777" w:rsidR="00FF4C13" w:rsidRPr="00107C72" w:rsidRDefault="002A006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A006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Brunner's Gland Hyperplasia of the Periampullary Region Mimicking Carcinoma and Leading to Pancreaticoduodenectomy: A Diagnostic Pitfall for Surgeons</w:t>
            </w:r>
          </w:p>
        </w:tc>
      </w:tr>
      <w:tr w:rsidR="00FF4C13" w:rsidRPr="00107C72" w14:paraId="57B3BF70" w14:textId="77777777" w:rsidTr="00107C72">
        <w:trPr>
          <w:trHeight w:val="332"/>
        </w:trPr>
        <w:tc>
          <w:tcPr>
            <w:tcW w:w="1186" w:type="pct"/>
          </w:tcPr>
          <w:p w14:paraId="3257D42B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890" w14:textId="77777777" w:rsidR="00FF4C13" w:rsidRPr="00107C72" w:rsidRDefault="00FF4C1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5C400BC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5CE5FD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401EDA" w14:textId="77777777" w:rsidR="00FF4C13" w:rsidRPr="00107C72" w:rsidRDefault="00FF4C13" w:rsidP="00FF4C1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4EC6B0A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7CD309F0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7313BF1" w14:textId="77777777" w:rsidR="00FF4C13" w:rsidRPr="00107C72" w:rsidRDefault="00FF4C13" w:rsidP="00FF4C1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F4C13" w:rsidRPr="00107C72" w14:paraId="327DAA83" w14:textId="77777777" w:rsidTr="00770EEE">
        <w:tc>
          <w:tcPr>
            <w:tcW w:w="1789" w:type="pct"/>
            <w:noWrap/>
          </w:tcPr>
          <w:p w14:paraId="46D55ADA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20B2FEC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23A123B" w14:textId="77777777" w:rsidR="00FF4C13" w:rsidRPr="00107C72" w:rsidRDefault="00FF4C1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DA1C55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4A1AFD0" w14:textId="77777777" w:rsidTr="00770EEE">
        <w:trPr>
          <w:trHeight w:val="1264"/>
        </w:trPr>
        <w:tc>
          <w:tcPr>
            <w:tcW w:w="1789" w:type="pct"/>
            <w:noWrap/>
          </w:tcPr>
          <w:p w14:paraId="1A033A4E" w14:textId="77777777" w:rsidR="00FF4C13" w:rsidRPr="00107C72" w:rsidRDefault="00FF4C1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8E07404" w14:textId="77777777" w:rsidR="00FF4C13" w:rsidRPr="00107C72" w:rsidRDefault="00FF4C1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5CF8157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9E283CB" w14:textId="77777777" w:rsidR="00FF4C13" w:rsidRDefault="00FF4C13" w:rsidP="00FF4C13">
      <w:pPr>
        <w:rPr>
          <w:sz w:val="20"/>
          <w:szCs w:val="20"/>
          <w:lang w:val="en-GB"/>
        </w:rPr>
      </w:pPr>
    </w:p>
    <w:p w14:paraId="5F2FE58C" w14:textId="77777777" w:rsidR="00FF4C13" w:rsidRDefault="00FF4C13" w:rsidP="00FF4C13">
      <w:pPr>
        <w:rPr>
          <w:sz w:val="20"/>
          <w:szCs w:val="20"/>
          <w:lang w:val="en-GB"/>
        </w:rPr>
      </w:pPr>
    </w:p>
    <w:p w14:paraId="4B86235F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p w14:paraId="7407C27C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p w14:paraId="68BCFA1E" w14:textId="77777777" w:rsidR="00FF4C13" w:rsidRPr="00107C72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34D44078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FF4C13" w:rsidRPr="00107C72" w14:paraId="71EF941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BA00D4" w14:textId="77777777" w:rsidR="00FF4C13" w:rsidRPr="00107C72" w:rsidRDefault="00FF4C13" w:rsidP="00177B84">
            <w:pPr>
              <w:rPr>
                <w:lang w:val="en-GB"/>
              </w:rPr>
            </w:pPr>
          </w:p>
          <w:p w14:paraId="73BE988F" w14:textId="77777777" w:rsidR="00FF4C13" w:rsidRPr="00107C72" w:rsidRDefault="00FF4C13">
            <w:pPr>
              <w:rPr>
                <w:sz w:val="20"/>
                <w:szCs w:val="20"/>
                <w:lang w:val="en-GB"/>
              </w:rPr>
            </w:pPr>
          </w:p>
        </w:tc>
      </w:tr>
      <w:tr w:rsidR="00FF4C13" w:rsidRPr="00107C72" w14:paraId="48A8EFE8" w14:textId="77777777" w:rsidTr="00107C72">
        <w:tc>
          <w:tcPr>
            <w:tcW w:w="1790" w:type="pct"/>
            <w:noWrap/>
          </w:tcPr>
          <w:p w14:paraId="0F113729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27DDCAA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1872525" w14:textId="77777777" w:rsidR="00FF4C13" w:rsidRPr="00107C72" w:rsidRDefault="00FF4C1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4C13" w:rsidRPr="00107C72" w14:paraId="138B2A1B" w14:textId="77777777" w:rsidTr="00107C72">
        <w:trPr>
          <w:trHeight w:val="1262"/>
        </w:trPr>
        <w:tc>
          <w:tcPr>
            <w:tcW w:w="1790" w:type="pct"/>
            <w:noWrap/>
          </w:tcPr>
          <w:p w14:paraId="14086D9A" w14:textId="77777777" w:rsidR="00FF4C13" w:rsidRPr="00107C72" w:rsidRDefault="00FF4C1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616A04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CD05B" w14:textId="77777777" w:rsidR="00FF4C13" w:rsidRPr="00107C72" w:rsidRDefault="00FF4C1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1EFAC" w14:textId="7850E52A" w:rsidR="00FF4C13" w:rsidRPr="00442FBB" w:rsidRDefault="00442FBB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3</w:t>
            </w:r>
            <w:r w:rsidR="001B5EEC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; Since the authors 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mainly </w:t>
            </w:r>
            <w:r w:rsidR="001B5EEC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write the difficulty to get correct diagnosis of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Brunner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’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s gland hyperplasia located at 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periampullary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region despite several imaging features which may </w:t>
            </w:r>
            <w:proofErr w:type="spellStart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favor</w:t>
            </w:r>
            <w:proofErr w:type="spellEnd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a benign lesion over </w:t>
            </w:r>
            <w:proofErr w:type="gramStart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carcinoma,  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“</w:t>
            </w:r>
            <w:proofErr w:type="gramEnd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A disease of diagnostic 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dilemma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and its current knowledge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”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is </w:t>
            </w:r>
            <w:proofErr w:type="spellStart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bettern</w:t>
            </w:r>
            <w:proofErr w:type="spellEnd"/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than 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“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a diagnostic pitfall for surgeons</w:t>
            </w:r>
            <w:r w:rsidR="00A433AA"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”</w:t>
            </w:r>
            <w:r w:rsidR="00A433AA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 </w:t>
            </w:r>
            <w:r w:rsidR="001B5EEC"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</w:t>
            </w:r>
          </w:p>
        </w:tc>
        <w:tc>
          <w:tcPr>
            <w:tcW w:w="1367" w:type="pct"/>
          </w:tcPr>
          <w:p w14:paraId="449497AA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2E6DC11" w14:textId="77777777" w:rsidTr="00107C72">
        <w:trPr>
          <w:trHeight w:val="1262"/>
        </w:trPr>
        <w:tc>
          <w:tcPr>
            <w:tcW w:w="1790" w:type="pct"/>
            <w:noWrap/>
          </w:tcPr>
          <w:p w14:paraId="5CDAFD03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829469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4E06C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26E77" w14:textId="32138058" w:rsidR="00FF4C13" w:rsidRPr="00442FBB" w:rsidRDefault="00442FBB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3874C643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4CFDC040" w14:textId="77777777" w:rsidTr="00107C72">
        <w:trPr>
          <w:trHeight w:val="1262"/>
        </w:trPr>
        <w:tc>
          <w:tcPr>
            <w:tcW w:w="1790" w:type="pct"/>
            <w:noWrap/>
          </w:tcPr>
          <w:p w14:paraId="1D956F50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8DC22B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C6102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248BE" w14:textId="312F805E" w:rsidR="00FF4C13" w:rsidRPr="00442FBB" w:rsidRDefault="00442FBB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367" w:type="pct"/>
          </w:tcPr>
          <w:p w14:paraId="23FD71A6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192D7CA7" w14:textId="77777777" w:rsidTr="00107C72">
        <w:trPr>
          <w:trHeight w:val="1262"/>
        </w:trPr>
        <w:tc>
          <w:tcPr>
            <w:tcW w:w="1790" w:type="pct"/>
            <w:noWrap/>
          </w:tcPr>
          <w:p w14:paraId="3DC53403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1692BFC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934AB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660F6" w14:textId="065C6C2C" w:rsidR="00FF4C13" w:rsidRPr="00442FBB" w:rsidRDefault="00442FBB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3DF272DE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04A9075D" w14:textId="77777777" w:rsidTr="00107C72">
        <w:trPr>
          <w:trHeight w:val="1262"/>
        </w:trPr>
        <w:tc>
          <w:tcPr>
            <w:tcW w:w="1790" w:type="pct"/>
            <w:noWrap/>
          </w:tcPr>
          <w:p w14:paraId="0113C985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F26A54B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00E02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626FC" w14:textId="22AE752E" w:rsidR="00FF4C13" w:rsidRPr="00442FBB" w:rsidRDefault="00442FBB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71527D97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1FC7710F" w14:textId="77777777" w:rsidTr="00107C72">
        <w:trPr>
          <w:trHeight w:val="1262"/>
        </w:trPr>
        <w:tc>
          <w:tcPr>
            <w:tcW w:w="1790" w:type="pct"/>
            <w:noWrap/>
          </w:tcPr>
          <w:p w14:paraId="638C37DA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547817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E487B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F94DD" w14:textId="6C94F52B" w:rsidR="00FF4C13" w:rsidRPr="001B5EEC" w:rsidRDefault="001B5EEC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proofErr w:type="gramStart"/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2;  Needs</w:t>
            </w:r>
            <w:proofErr w:type="gramEnd"/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more recent reference to strengthen the authors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’</w:t>
            </w: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 manuscript. </w:t>
            </w:r>
          </w:p>
        </w:tc>
        <w:tc>
          <w:tcPr>
            <w:tcW w:w="1367" w:type="pct"/>
          </w:tcPr>
          <w:p w14:paraId="4EAEB7A1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2A6F4A5" w14:textId="77777777" w:rsidTr="00107C72">
        <w:trPr>
          <w:trHeight w:val="1262"/>
        </w:trPr>
        <w:tc>
          <w:tcPr>
            <w:tcW w:w="1790" w:type="pct"/>
            <w:noWrap/>
          </w:tcPr>
          <w:p w14:paraId="4149108F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B0D1C1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A4AAF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FF03F" w14:textId="0C38A084" w:rsidR="00FF4C13" w:rsidRPr="00A433AA" w:rsidRDefault="00A433AA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37805E1B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2F59C0A" w14:textId="77777777" w:rsidTr="00107C72">
        <w:trPr>
          <w:trHeight w:val="1262"/>
        </w:trPr>
        <w:tc>
          <w:tcPr>
            <w:tcW w:w="1790" w:type="pct"/>
            <w:noWrap/>
          </w:tcPr>
          <w:p w14:paraId="6A0438AD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EFF43C7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7F797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4254F1" w14:textId="76F99467" w:rsidR="00FF4C13" w:rsidRPr="00A433AA" w:rsidRDefault="00A433AA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2; Not addressed.</w:t>
            </w:r>
          </w:p>
        </w:tc>
        <w:tc>
          <w:tcPr>
            <w:tcW w:w="1367" w:type="pct"/>
          </w:tcPr>
          <w:p w14:paraId="4CC16968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2310B11" w14:textId="77777777" w:rsidTr="00107C72">
        <w:trPr>
          <w:trHeight w:val="703"/>
        </w:trPr>
        <w:tc>
          <w:tcPr>
            <w:tcW w:w="1790" w:type="pct"/>
            <w:noWrap/>
          </w:tcPr>
          <w:p w14:paraId="136FFCA2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3B93E4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55EC7" w14:textId="77777777" w:rsidR="00FF4C13" w:rsidRPr="00107C72" w:rsidRDefault="00FF4C1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1E709" w14:textId="5FBF2070" w:rsidR="00FF4C13" w:rsidRPr="00A433AA" w:rsidRDefault="00A433AA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46792FF1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4BD0D7A" w14:textId="77777777" w:rsidTr="00107C72">
        <w:trPr>
          <w:trHeight w:val="703"/>
        </w:trPr>
        <w:tc>
          <w:tcPr>
            <w:tcW w:w="1790" w:type="pct"/>
            <w:noWrap/>
          </w:tcPr>
          <w:p w14:paraId="1E824ED7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174269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B6160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398A8" w14:textId="128DACA9" w:rsidR="00FF4C13" w:rsidRPr="00A433AA" w:rsidRDefault="00A433AA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lastRenderedPageBreak/>
              <w:t xml:space="preserve">2; The proliferative glands at the </w:t>
            </w:r>
            <w:proofErr w:type="spellStart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center</w:t>
            </w:r>
            <w:proofErr w:type="spellEnd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of the Figure 3 looks like accessory glands of the 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ampullary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common duct (or ampullary pancreatic/bile duct)</w:t>
            </w:r>
            <w:r w:rsidR="0099621B"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rather than Brunner</w:t>
            </w:r>
            <w:r w:rsidR="0099621B"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’</w:t>
            </w:r>
            <w:r w:rsidR="0099621B"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s gland hyperplasia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, since these glands are 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lastRenderedPageBreak/>
              <w:t>surrounded by Oddi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’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s sphincter muscle and with less cytoplasmic mucin</w:t>
            </w:r>
            <w:r w:rsidR="0099621B"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. Revise, needed.</w:t>
            </w:r>
          </w:p>
        </w:tc>
        <w:tc>
          <w:tcPr>
            <w:tcW w:w="1367" w:type="pct"/>
          </w:tcPr>
          <w:p w14:paraId="57F45DBD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627B835F" w14:textId="77777777" w:rsidTr="00107C72">
        <w:trPr>
          <w:trHeight w:val="703"/>
        </w:trPr>
        <w:tc>
          <w:tcPr>
            <w:tcW w:w="1790" w:type="pct"/>
            <w:noWrap/>
          </w:tcPr>
          <w:p w14:paraId="73BAD7C9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F52B62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E4810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F5227" w14:textId="60258857" w:rsidR="00FF4C13" w:rsidRPr="0099621B" w:rsidRDefault="0099621B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5FAF4874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3793C79" w14:textId="77777777" w:rsidTr="00107C72">
        <w:trPr>
          <w:trHeight w:val="703"/>
        </w:trPr>
        <w:tc>
          <w:tcPr>
            <w:tcW w:w="1790" w:type="pct"/>
            <w:noWrap/>
          </w:tcPr>
          <w:p w14:paraId="376BCFAB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0AAC23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A8C76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6B6B3B" w14:textId="1AEC4D3F" w:rsidR="00FF4C13" w:rsidRPr="0099621B" w:rsidRDefault="0099621B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367" w:type="pct"/>
          </w:tcPr>
          <w:p w14:paraId="55FD5A2C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6658E40" w14:textId="77777777" w:rsidTr="00107C72">
        <w:trPr>
          <w:trHeight w:val="703"/>
        </w:trPr>
        <w:tc>
          <w:tcPr>
            <w:tcW w:w="1790" w:type="pct"/>
            <w:noWrap/>
          </w:tcPr>
          <w:p w14:paraId="0D11DCC8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4F8AA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6B94D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FA540" w14:textId="0FD5B117" w:rsidR="00FF4C13" w:rsidRPr="0099621B" w:rsidRDefault="0099621B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2; I think the limitations of this study is, the authors could not detect new key methods to recognize Brunner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’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s gland hyperplasia at periampullary region from their experience of this case. The authors may write about it.  </w:t>
            </w:r>
          </w:p>
        </w:tc>
        <w:tc>
          <w:tcPr>
            <w:tcW w:w="1367" w:type="pct"/>
          </w:tcPr>
          <w:p w14:paraId="35F36B3B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623603A" w14:textId="77777777" w:rsidTr="00107C72">
        <w:trPr>
          <w:trHeight w:val="703"/>
        </w:trPr>
        <w:tc>
          <w:tcPr>
            <w:tcW w:w="1790" w:type="pct"/>
            <w:noWrap/>
          </w:tcPr>
          <w:p w14:paraId="110F0299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356CA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5477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148AE3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20DF56" w14:textId="075DEF66" w:rsidR="00FF4C13" w:rsidRPr="0099621B" w:rsidRDefault="0099621B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2; </w:t>
            </w:r>
            <w:r w:rsidRPr="0099621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Needs more recent reference to strengthen the authors</w:t>
            </w:r>
            <w:r w:rsidRPr="0099621B"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  <w:t>’</w:t>
            </w:r>
            <w:r w:rsidRPr="0099621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 manuscript.</w:t>
            </w:r>
          </w:p>
        </w:tc>
        <w:tc>
          <w:tcPr>
            <w:tcW w:w="1367" w:type="pct"/>
          </w:tcPr>
          <w:p w14:paraId="6224BAE9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6A7C59A7" w14:textId="77777777" w:rsidTr="00107C72">
        <w:trPr>
          <w:trHeight w:val="703"/>
        </w:trPr>
        <w:tc>
          <w:tcPr>
            <w:tcW w:w="1790" w:type="pct"/>
            <w:noWrap/>
          </w:tcPr>
          <w:p w14:paraId="062F53E9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B2C605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38662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272BE8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D42E51" w14:textId="77777777" w:rsidR="00AC2CC7" w:rsidRDefault="00E469CC">
            <w:pPr>
              <w:pStyle w:val="ListParagraph"/>
              <w:ind w:left="0"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2</w:t>
            </w:r>
            <w:r w:rsidR="0099621B"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;  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This</w:t>
            </w:r>
            <w:proofErr w:type="gramEnd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manuscript gives the impression of being redundant, especially at Discussion part. Please reconstruct the discussion part, for example, (first) brief 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summary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of Brunner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’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s gland hyperplasia and of Brunner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’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s gland hyperplasia of 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periampullary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lesion, (</w:t>
            </w:r>
            <w:r>
              <w:rPr>
                <w:rFonts w:eastAsiaTheme="minorEastAsia"/>
                <w:bCs/>
                <w:sz w:val="20"/>
                <w:szCs w:val="20"/>
                <w:lang w:val="en-GB" w:eastAsia="ja-JP"/>
              </w:rPr>
              <w:t>second</w:t>
            </w: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) Current knowledge on some imaging clue to get correct diagnosis, and their </w:t>
            </w:r>
            <w:proofErr w:type="gramStart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limitation ,</w:t>
            </w:r>
            <w:proofErr w:type="gramEnd"/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</w:t>
            </w:r>
            <w:r w:rsidRPr="00E469CC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(third)  </w:t>
            </w:r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Treatment or examination options when benign o</w:t>
            </w:r>
            <w:r w:rsidR="00AC2CC7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r malignant </w:t>
            </w:r>
            <w:r w:rsidR="00AC2CC7">
              <w:rPr>
                <w:rFonts w:eastAsia="Yu Mincho"/>
                <w:bCs/>
                <w:sz w:val="20"/>
                <w:szCs w:val="20"/>
                <w:lang w:val="en-GB" w:eastAsia="ja-JP"/>
              </w:rPr>
              <w:t>cannot</w:t>
            </w:r>
            <w:r w:rsidR="00AC2CC7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be determined preoperatively and s</w:t>
            </w:r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urgical perspective,</w:t>
            </w:r>
            <w:r w:rsidR="00AC2CC7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(forth) limitation of this study. </w:t>
            </w:r>
          </w:p>
          <w:p w14:paraId="3F4A4044" w14:textId="77777777" w:rsidR="00AC2CC7" w:rsidRDefault="00AC2CC7">
            <w:pPr>
              <w:pStyle w:val="ListParagraph"/>
              <w:ind w:left="0"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</w:p>
          <w:p w14:paraId="77CC0FA3" w14:textId="5504F08E" w:rsidR="00FF4C13" w:rsidRPr="0099621B" w:rsidRDefault="00AC2CC7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Minor: The term </w:t>
            </w:r>
            <w:r>
              <w:rPr>
                <w:rFonts w:eastAsia="Yu Mincho"/>
                <w:bCs/>
                <w:sz w:val="20"/>
                <w:szCs w:val="20"/>
                <w:lang w:val="en-GB" w:eastAsia="ja-JP"/>
              </w:rPr>
              <w:t>“</w:t>
            </w:r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However</w:t>
            </w:r>
            <w:r>
              <w:rPr>
                <w:rFonts w:eastAsia="Yu Mincho"/>
                <w:bCs/>
                <w:sz w:val="20"/>
                <w:szCs w:val="20"/>
                <w:lang w:val="en-GB" w:eastAsia="ja-JP"/>
              </w:rPr>
              <w:t>”</w:t>
            </w:r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(Discussion part, 3rd line</w:t>
            </w:r>
            <w:proofErr w:type="gramStart"/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) ;</w:t>
            </w:r>
            <w:proofErr w:type="gramEnd"/>
            <w:r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is it appropriate?  </w:t>
            </w:r>
            <w:r w:rsidR="00E469CC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 </w:t>
            </w:r>
            <w:r w:rsidR="00E469CC"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 xml:space="preserve"> </w:t>
            </w:r>
          </w:p>
        </w:tc>
        <w:tc>
          <w:tcPr>
            <w:tcW w:w="1367" w:type="pct"/>
          </w:tcPr>
          <w:p w14:paraId="6A80CE6F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F8859FF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F16EEA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38FAB3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F669E2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490089" w14:textId="77777777" w:rsidR="00FF4C13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50A63DF1" w14:textId="77777777" w:rsidR="00FF4C13" w:rsidRDefault="00FF4C13" w:rsidP="00FF4C1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FF4C13" w:rsidRPr="00EC7A1F" w14:paraId="66D806F5" w14:textId="77777777" w:rsidTr="002E3E2C">
        <w:tc>
          <w:tcPr>
            <w:tcW w:w="1265" w:type="pct"/>
            <w:noWrap/>
          </w:tcPr>
          <w:p w14:paraId="14A32CE8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2FE7867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75DE322" w14:textId="77777777" w:rsidR="00FF4C13" w:rsidRPr="00EC7A1F" w:rsidRDefault="00FF4C1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7DF4F6B" w14:textId="77777777" w:rsidR="00FF4C13" w:rsidRPr="00EC7A1F" w:rsidRDefault="00FF4C1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F67AF7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568179C9" w14:textId="77777777" w:rsidTr="002E3E2C">
        <w:trPr>
          <w:trHeight w:val="1262"/>
        </w:trPr>
        <w:tc>
          <w:tcPr>
            <w:tcW w:w="1265" w:type="pct"/>
            <w:noWrap/>
          </w:tcPr>
          <w:p w14:paraId="088FCBCF" w14:textId="77777777" w:rsidR="00FF4C13" w:rsidRPr="000B20E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8A7FC5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F546B8D" w14:textId="77777777" w:rsidR="00FF4C13" w:rsidRPr="00EC7A1F" w:rsidRDefault="00FF4C1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4AEE8E5" w14:textId="26186FE9" w:rsidR="00FF4C13" w:rsidRPr="0099621B" w:rsidRDefault="0099621B" w:rsidP="002E3E2C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NO; after </w:t>
            </w:r>
            <w:proofErr w:type="gramStart"/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colon(</w:t>
            </w:r>
            <w:proofErr w:type="gramEnd"/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 xml:space="preserve">:), I think 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  <w:t>“</w:t>
            </w:r>
            <w:r w:rsidRPr="0099621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A disease of diagnostic </w:t>
            </w:r>
            <w:r w:rsidRPr="0099621B"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  <w:t>dilemma</w:t>
            </w:r>
            <w:r w:rsidRPr="0099621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 and its current knowledge</w:t>
            </w:r>
            <w:r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  <w:t>”</w:t>
            </w:r>
            <w:r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 may be better.</w:t>
            </w:r>
          </w:p>
        </w:tc>
        <w:tc>
          <w:tcPr>
            <w:tcW w:w="1523" w:type="pct"/>
          </w:tcPr>
          <w:p w14:paraId="75298FE0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37CF675D" w14:textId="77777777" w:rsidTr="002E3E2C">
        <w:trPr>
          <w:trHeight w:val="1262"/>
        </w:trPr>
        <w:tc>
          <w:tcPr>
            <w:tcW w:w="1265" w:type="pct"/>
            <w:noWrap/>
          </w:tcPr>
          <w:p w14:paraId="402A0623" w14:textId="77777777" w:rsidR="00FF4C13" w:rsidRDefault="00FF4C1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73A38B2" w14:textId="77777777" w:rsidR="00FF4C13" w:rsidRDefault="00FF4C1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F9DBF2E" w14:textId="77777777" w:rsidR="00FF4C13" w:rsidRPr="00EC7A1F" w:rsidRDefault="00FF4C1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1BC4297" w14:textId="421B8A83" w:rsidR="00FF4C13" w:rsidRPr="0099621B" w:rsidRDefault="0099621B" w:rsidP="002E3E2C">
            <w:pPr>
              <w:ind w:left="360"/>
              <w:rPr>
                <w:rFonts w:eastAsiaTheme="minorEastAsia"/>
                <w:b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1523" w:type="pct"/>
          </w:tcPr>
          <w:p w14:paraId="0E5396DD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163A5410" w14:textId="77777777" w:rsidTr="002E3E2C">
        <w:trPr>
          <w:trHeight w:val="704"/>
        </w:trPr>
        <w:tc>
          <w:tcPr>
            <w:tcW w:w="1265" w:type="pct"/>
            <w:noWrap/>
          </w:tcPr>
          <w:p w14:paraId="2ABD34C7" w14:textId="77777777" w:rsidR="00FF4C13" w:rsidRPr="00914761" w:rsidRDefault="00FF4C1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79E6F8A" w14:textId="77777777" w:rsidR="00FF4C13" w:rsidRPr="00C46811" w:rsidRDefault="00FF4C1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5429D247" w14:textId="3F622FAE" w:rsidR="00FF4C13" w:rsidRPr="0099621B" w:rsidRDefault="0099621B" w:rsidP="002E3E2C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1523" w:type="pct"/>
          </w:tcPr>
          <w:p w14:paraId="6374E321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756C711B" w14:textId="77777777" w:rsidTr="002E3E2C">
        <w:trPr>
          <w:trHeight w:val="703"/>
        </w:trPr>
        <w:tc>
          <w:tcPr>
            <w:tcW w:w="1265" w:type="pct"/>
            <w:noWrap/>
          </w:tcPr>
          <w:p w14:paraId="56B7B2F1" w14:textId="77777777" w:rsidR="00FF4C1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58AC2E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4D23861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FC9A8A5" w14:textId="77777777" w:rsidR="00FF4C13" w:rsidRPr="00EC7A1F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6579FC1" w14:textId="38CBA585" w:rsidR="00FF4C13" w:rsidRPr="0099621B" w:rsidRDefault="0099621B" w:rsidP="002E3E2C">
            <w:pPr>
              <w:pStyle w:val="ListParagraph"/>
              <w:ind w:left="0"/>
              <w:rPr>
                <w:rFonts w:eastAsiaTheme="minorEastAsia"/>
                <w:bCs/>
                <w:sz w:val="20"/>
                <w:szCs w:val="20"/>
                <w:lang w:val="en-GB"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GB" w:eastAsia="ja-JP"/>
              </w:rPr>
              <w:t>No (Not recent enough).</w:t>
            </w:r>
          </w:p>
        </w:tc>
        <w:tc>
          <w:tcPr>
            <w:tcW w:w="1523" w:type="pct"/>
          </w:tcPr>
          <w:p w14:paraId="6A987279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3C2140" w14:textId="77777777" w:rsidR="00FF4C13" w:rsidRPr="000B20E3" w:rsidRDefault="00FF4C13" w:rsidP="00FF4C13">
      <w:pPr>
        <w:rPr>
          <w:lang w:val="en-GB"/>
        </w:rPr>
      </w:pPr>
    </w:p>
    <w:p w14:paraId="09D48B9D" w14:textId="77777777" w:rsidR="00FF4C13" w:rsidRDefault="00FF4C13" w:rsidP="00FF4C1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9FCC713" w14:textId="77777777" w:rsidR="00FF4C13" w:rsidRDefault="00FF4C13" w:rsidP="00FF4C1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FF4C13" w:rsidRPr="00107C72" w14:paraId="0F09691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7DDB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E40E67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4C13" w:rsidRPr="00107C72" w14:paraId="1BC7866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C7DB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011C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4C13" w:rsidRPr="00107C72" w14:paraId="51F3F61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3711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FC5C5F" w14:textId="2DE3AD25" w:rsidR="00FF4C13" w:rsidRPr="00107C72" w:rsidRDefault="005925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25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 3 (pathological figure of Brunner’s gland hyperplasia) should be replaced.</w:t>
            </w:r>
          </w:p>
          <w:p w14:paraId="69707024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8B07CC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D41C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348183" w14:textId="77777777" w:rsidR="00FF4C13" w:rsidRPr="00107C72" w:rsidRDefault="00FF4C13" w:rsidP="00FF4C1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550A9C9" w14:textId="07C599E5" w:rsid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42AD9193" w14:textId="0B5DFE0B" w:rsidR="00DE2BAB" w:rsidRDefault="00DE2BAB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2FE7B474" w14:textId="727C99BC" w:rsidR="00DE2BAB" w:rsidRDefault="00DE2BAB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3122BECE" w14:textId="77777777" w:rsidR="00DE2BAB" w:rsidRPr="00B14565" w:rsidRDefault="00DE2BAB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C55E27" w:rsidRPr="00C55E27" w14:paraId="18B26DF5" w14:textId="77777777" w:rsidTr="00C55E2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F692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55E2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55E2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EA119B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55E27" w:rsidRPr="00C55E27" w14:paraId="358F4E9B" w14:textId="77777777" w:rsidTr="00C55E2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1338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FC32" w14:textId="77777777" w:rsidR="00C55E27" w:rsidRPr="00C55E27" w:rsidRDefault="00C55E27" w:rsidP="00C55E2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5E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F47D" w14:textId="77777777" w:rsidR="00C55E27" w:rsidRPr="00C55E27" w:rsidRDefault="00C55E27" w:rsidP="00C55E2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5E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5E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D52F95" w14:textId="77777777" w:rsidR="00C55E27" w:rsidRPr="00C55E27" w:rsidRDefault="00C55E27" w:rsidP="00C55E2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5E27" w:rsidRPr="00C55E27" w14:paraId="6C373F98" w14:textId="77777777" w:rsidTr="00C55E2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643A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55E2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5CEFB1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4559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5E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5E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5E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C53E54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B92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327C94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E1F9C2" w14:textId="77777777" w:rsidR="00C55E27" w:rsidRPr="00C55E27" w:rsidRDefault="00C55E27" w:rsidP="00C55E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E8FAC4C" w14:textId="77777777" w:rsidR="00C55E27" w:rsidRPr="00C55E27" w:rsidRDefault="00C55E27" w:rsidP="00C55E27"/>
    <w:p w14:paraId="08D19FAD" w14:textId="77777777" w:rsidR="00C55E27" w:rsidRPr="00C55E27" w:rsidRDefault="00C55E27" w:rsidP="00C55E27"/>
    <w:p w14:paraId="6CE76EEF" w14:textId="77777777" w:rsidR="00C55E27" w:rsidRPr="00C55E27" w:rsidRDefault="00C55E27" w:rsidP="00C55E27">
      <w:pPr>
        <w:rPr>
          <w:bCs/>
          <w:u w:val="single"/>
          <w:lang w:val="en-GB"/>
        </w:rPr>
      </w:pPr>
    </w:p>
    <w:bookmarkEnd w:id="1"/>
    <w:p w14:paraId="671225B0" w14:textId="77777777" w:rsidR="00DE2BAB" w:rsidRPr="00356C0A" w:rsidRDefault="00DE2BAB" w:rsidP="00DE2B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3CCF31" w14:textId="77777777" w:rsidR="00DE2BAB" w:rsidRPr="00356C0A" w:rsidRDefault="00DE2BAB" w:rsidP="00DE2B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6C0A">
        <w:rPr>
          <w:rFonts w:ascii="Arial" w:hAnsi="Arial" w:cs="Arial"/>
          <w:b/>
          <w:u w:val="single"/>
        </w:rPr>
        <w:t>Reviewer details:</w:t>
      </w:r>
    </w:p>
    <w:p w14:paraId="3DE5671D" w14:textId="77777777" w:rsidR="00DE2BAB" w:rsidRPr="00356C0A" w:rsidRDefault="00DE2BAB" w:rsidP="00DE2BA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4B194FC" w14:textId="77777777" w:rsidR="00DE2BAB" w:rsidRDefault="00DE2BAB" w:rsidP="00DE2BAB">
      <w:r w:rsidRPr="00356C0A">
        <w:rPr>
          <w:rFonts w:ascii="Calibri" w:hAnsi="Calibri" w:cs="Calibri"/>
          <w:color w:val="000000"/>
          <w:sz w:val="20"/>
          <w:szCs w:val="20"/>
        </w:rPr>
        <w:t xml:space="preserve">Yuki </w:t>
      </w:r>
      <w:proofErr w:type="spellStart"/>
      <w:r w:rsidRPr="00356C0A">
        <w:rPr>
          <w:rFonts w:ascii="Calibri" w:hAnsi="Calibri" w:cs="Calibri"/>
          <w:color w:val="000000"/>
          <w:sz w:val="20"/>
          <w:szCs w:val="20"/>
        </w:rPr>
        <w:t>Fukumura</w:t>
      </w:r>
      <w:proofErr w:type="spellEnd"/>
      <w:r w:rsidRPr="00356C0A">
        <w:rPr>
          <w:rFonts w:ascii="Calibri" w:hAnsi="Calibri" w:cs="Calibri"/>
          <w:color w:val="000000"/>
          <w:sz w:val="20"/>
          <w:szCs w:val="20"/>
        </w:rPr>
        <w:t>, Juntendo University, Japan</w:t>
      </w:r>
      <w:r w:rsidRPr="00356C0A">
        <w:rPr>
          <w:rFonts w:ascii="Calibri" w:hAnsi="Calibri" w:cs="Calibri"/>
          <w:color w:val="000000"/>
          <w:sz w:val="20"/>
          <w:szCs w:val="20"/>
        </w:rPr>
        <w:br/>
      </w:r>
    </w:p>
    <w:p w14:paraId="0597C4C8" w14:textId="77777777" w:rsidR="00C55E27" w:rsidRPr="00C55E27" w:rsidRDefault="00C55E27" w:rsidP="00C55E27">
      <w:bookmarkStart w:id="2" w:name="_GoBack"/>
      <w:bookmarkEnd w:id="2"/>
    </w:p>
    <w:p w14:paraId="228E4489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46E7FE4E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4D13DB90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0DDB0C5E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27761897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789A134C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49E33E86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2DE27485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  <w:r w:rsidRPr="00B14565">
        <w:rPr>
          <w:rFonts w:ascii="Calibri" w:eastAsia="Calibri" w:hAnsi="Calibri"/>
          <w:kern w:val="2"/>
          <w:sz w:val="22"/>
          <w:szCs w:val="22"/>
          <w:lang w:val="en-IN"/>
        </w:rPr>
        <w:tab/>
      </w:r>
    </w:p>
    <w:p w14:paraId="639CE3FD" w14:textId="77777777" w:rsidR="00B14565" w:rsidRPr="00B14565" w:rsidRDefault="00B14565" w:rsidP="00B1456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14D8C732" w14:textId="77777777" w:rsidR="008913D5" w:rsidRPr="00FF4C13" w:rsidRDefault="008913D5" w:rsidP="00B14565"/>
    <w:sectPr w:rsidR="008913D5" w:rsidRPr="00FF4C1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DD516" w14:textId="77777777" w:rsidR="00DF7AD4" w:rsidRPr="0000007A" w:rsidRDefault="00DF7AD4" w:rsidP="0099583E">
      <w:r>
        <w:separator/>
      </w:r>
    </w:p>
  </w:endnote>
  <w:endnote w:type="continuationSeparator" w:id="0">
    <w:p w14:paraId="21ABBC0E" w14:textId="77777777" w:rsidR="00DF7AD4" w:rsidRPr="0000007A" w:rsidRDefault="00DF7A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96DB" w14:textId="77777777" w:rsidR="00FF4C13" w:rsidRDefault="00FF4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6645" w14:textId="77777777" w:rsidR="00FF4C13" w:rsidRDefault="00FF4C13" w:rsidP="00FF4C13">
    <w:pPr>
      <w:pStyle w:val="Footer"/>
      <w:jc w:val="right"/>
    </w:pPr>
  </w:p>
  <w:p w14:paraId="35D1188B" w14:textId="74981F9D" w:rsidR="00FF4C13" w:rsidRDefault="00FF4C13" w:rsidP="00FF4C1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D1307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D130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1A75E2C" w14:textId="77777777" w:rsidR="00FF4C13" w:rsidRDefault="00FF4C13" w:rsidP="00FF4C1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D47F65" w14:textId="77777777" w:rsidR="00FF4C13" w:rsidRDefault="00FF4C13" w:rsidP="00FF4C13">
    <w:pPr>
      <w:pStyle w:val="Footer"/>
      <w:jc w:val="right"/>
    </w:pPr>
  </w:p>
  <w:p w14:paraId="7F28357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ADBD" w14:textId="77777777" w:rsidR="00FF4C13" w:rsidRDefault="00FF4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1A81" w14:textId="77777777" w:rsidR="00DF7AD4" w:rsidRPr="0000007A" w:rsidRDefault="00DF7AD4" w:rsidP="0099583E">
      <w:r>
        <w:separator/>
      </w:r>
    </w:p>
  </w:footnote>
  <w:footnote w:type="continuationSeparator" w:id="0">
    <w:p w14:paraId="4DE4B43A" w14:textId="77777777" w:rsidR="00DF7AD4" w:rsidRPr="0000007A" w:rsidRDefault="00DF7A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B353" w14:textId="77777777" w:rsidR="00FF4C13" w:rsidRDefault="00FF4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B5C4" w14:textId="77777777" w:rsidR="00FF4C13" w:rsidRDefault="00FF4C13" w:rsidP="00FF4C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0B1697" w14:textId="77777777" w:rsidR="00B62F41" w:rsidRPr="00642DC6" w:rsidRDefault="00FF4C13" w:rsidP="00FF4C1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E8B2" w14:textId="77777777" w:rsidR="00FF4C13" w:rsidRDefault="00FF4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17F5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5EEC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BB5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06D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5CB4"/>
    <w:rsid w:val="0042465A"/>
    <w:rsid w:val="00424D6C"/>
    <w:rsid w:val="004356CC"/>
    <w:rsid w:val="00435B36"/>
    <w:rsid w:val="00441931"/>
    <w:rsid w:val="00442B24"/>
    <w:rsid w:val="00442FBB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25C1"/>
    <w:rsid w:val="005A5BE0"/>
    <w:rsid w:val="005B12E0"/>
    <w:rsid w:val="005C25A0"/>
    <w:rsid w:val="005D230D"/>
    <w:rsid w:val="00602F7D"/>
    <w:rsid w:val="00605952"/>
    <w:rsid w:val="00613CC2"/>
    <w:rsid w:val="00620677"/>
    <w:rsid w:val="006219F0"/>
    <w:rsid w:val="00624032"/>
    <w:rsid w:val="00642DC6"/>
    <w:rsid w:val="006457E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1307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21B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33AA"/>
    <w:rsid w:val="00A519D1"/>
    <w:rsid w:val="00A6343B"/>
    <w:rsid w:val="00A65C50"/>
    <w:rsid w:val="00A66DD2"/>
    <w:rsid w:val="00A74818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2CC7"/>
    <w:rsid w:val="00AD6C51"/>
    <w:rsid w:val="00AF3016"/>
    <w:rsid w:val="00B03A45"/>
    <w:rsid w:val="00B1456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5E27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BAB"/>
    <w:rsid w:val="00DF7AD4"/>
    <w:rsid w:val="00E1327B"/>
    <w:rsid w:val="00E34922"/>
    <w:rsid w:val="00E451EA"/>
    <w:rsid w:val="00E469CC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045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11BE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2B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2026-03-30T11:32:00Z</dcterms:created>
  <dcterms:modified xsi:type="dcterms:W3CDTF">2026-04-02T10:58:00Z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