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spacing w:after="0" w:line="276" w:lineRule="auto"/>
        <w:jc w:val="center"/>
        <w:rPr>
          <w:rFonts w:hAnsi="Times New Roman" w:ascii="Times New Roman" w:cs="Times New Roman"/>
          <w:b/>
          <w:bCs/>
          <w:sz w:val="32"/>
          <w:szCs w:val="32"/>
          <w:u w:val="single"/>
        </w:rPr>
      </w:pPr>
      <w:r>
        <w:rPr>
          <w:rFonts w:hAnsi="Times New Roman" w:ascii="Times New Roman" w:cs="Times New Roman"/>
          <w:b/>
          <w:bCs/>
          <w:i w:val="0"/>
          <w:strike w:val="0"/>
          <w:dstrike w:val="0"/>
          <w:emboss w:val="0"/>
          <w:imprint w:val="0"/>
          <w:outline w:val="0"/>
          <w:shadow w:val="0"/>
          <w:sz w:val="32"/>
          <w:szCs w:val="32"/>
          <w:u w:val="single"/>
        </w:rPr>
        <w:t xml:space="preserve">Review Article </w:t>
      </w:r>
    </w:p>
    <w:p>
      <w:pPr>
        <w:spacing w:after="0" w:line="276"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Exploring the Role of Quantum Dot–Based Nanotechnologies for Nematode Detection and Management: A Review</w:t>
      </w:r>
    </w:p>
    <w:p>
      <w:pPr>
        <w:spacing w:after="0" w:line="276" w:lineRule="auto"/>
        <w:jc w:val="center"/>
        <w:rPr>
          <w:rFonts w:hAnsi="Times New Roman" w:ascii="Times New Roman" w:cs="Times New Roman"/>
          <w:b/>
          <w:bCs/>
          <w:sz w:val="32"/>
          <w:szCs w:val="32"/>
        </w:rPr>
      </w:pPr>
    </w:p>
    <w:p>
      <w:pPr>
        <w:jc w:val="center"/>
        <w:rPr>
          <w:rFonts w:hAnsi="Times New Roman" w:ascii="Times New Roman" w:cs="Times New Roman"/>
          <w:b/>
          <w:bCs/>
          <w:i/>
          <w:iCs/>
          <w:sz w:val="24"/>
          <w:szCs w:val="24"/>
        </w:rPr>
      </w:pPr>
    </w:p>
    <w:p>
      <w:pPr>
        <w:jc w:val="center"/>
        <w:rPr>
          <w:rFonts w:hAnsi="Times New Roman" w:ascii="Times New Roman" w:cs="Times New Roman"/>
          <w:b/>
          <w:bCs/>
          <w:i/>
          <w:iCs/>
          <w:sz w:val="24"/>
          <w:szCs w:val="24"/>
        </w:rPr>
      </w:pPr>
      <w:r>
        <w:rPr>
          <w:highlight w:val="yellow"/>
          <w:rFonts w:hAnsi="Times New Roman" w:ascii="Times New Roman" w:cs="Times New Roman"/>
          <w:b/>
          <w:bCs/>
          <w:i/>
          <w:iCs/>
          <w:strike w:val="0"/>
          <w:dstrike w:val="0"/>
          <w:emboss w:val="0"/>
          <w:imprint w:val="0"/>
          <w:outline w:val="0"/>
          <w:shadow w:val="0"/>
          <w:sz w:val="24"/>
          <w:szCs w:val="24"/>
          <w:u w:val="none"/>
        </w:rPr>
        <w:t xml:space="preserve">Abstract</w:t>
      </w:r>
      <w:r>
        <w:rPr>
          <w:color w:val="FF0000"/>
          <w:highlight w:val="yellow"/>
          <w:rFonts w:ascii="Times New Roman"/>
          <w:b/>
          <w:i/>
          <w:strike w:val="0"/>
          <w:dstrike w:val="0"/>
          <w:emboss w:val="0"/>
          <w:imprint w:val="0"/>
          <w:outline w:val="0"/>
          <w:shadow w:val="0"/>
          <w:sz w:val="24"/>
          <w:szCs w:val="24"/>
          <w:u w:val="none"/>
        </w:rPr>
        <w:t xml:space="preserve"> </w:t>
      </w:r>
      <w:r>
        <w:rPr>
          <w:color w:val="FF0000"/>
          <w:highlight w:val="white"/>
          <w:rFonts w:ascii="Times New Roman"/>
          <w:b/>
          <w:i w:val="0"/>
          <w:strike w:val="0"/>
          <w:dstrike w:val="0"/>
          <w:emboss w:val="0"/>
          <w:imprint w:val="0"/>
          <w:outline w:val="0"/>
          <w:shadow w:val="0"/>
          <w:sz w:val="24"/>
          <w:szCs w:val="24"/>
          <w:u w:val="single"/>
        </w:rPr>
        <w:t xml:space="preserve">N</w:t>
      </w:r>
      <w:r>
        <w:rPr>
          <w:color w:val="FF0000"/>
          <w:highlight w:val="white"/>
          <w:rFonts w:ascii="Times New Roman"/>
          <w:b/>
          <w:i w:val="0"/>
          <w:strike w:val="0"/>
          <w:dstrike w:val="0"/>
          <w:emboss w:val="0"/>
          <w:imprint w:val="0"/>
          <w:outline w:val="0"/>
          <w:shadow w:val="0"/>
          <w:sz w:val="24"/>
          <w:szCs w:val="24"/>
          <w:u w:val="single"/>
        </w:rPr>
        <w:t xml:space="preserve">o</w:t>
      </w:r>
      <w:r>
        <w:rPr>
          <w:color w:val="FF0000"/>
          <w:highlight w:val="white"/>
          <w:rFonts w:ascii="Times New Roman"/>
          <w:b/>
          <w:i w:val="0"/>
          <w:strike w:val="0"/>
          <w:dstrike w:val="0"/>
          <w:emboss w:val="0"/>
          <w:imprint w:val="0"/>
          <w:outline w:val="0"/>
          <w:shadow w:val="0"/>
          <w:sz w:val="24"/>
          <w:szCs w:val="24"/>
          <w:u w:val="single"/>
        </w:rPr>
        <w:t xml:space="preserve">t </w:t>
      </w:r>
      <w:r>
        <w:rPr>
          <w:color w:val="FF0000"/>
          <w:highlight w:val="white"/>
          <w:rFonts w:ascii="Times New Roman"/>
          <w:b/>
          <w:i w:val="0"/>
          <w:strike w:val="0"/>
          <w:dstrike w:val="0"/>
          <w:emboss w:val="0"/>
          <w:imprint w:val="0"/>
          <w:outline w:val="0"/>
          <w:shadow w:val="0"/>
          <w:sz w:val="24"/>
          <w:szCs w:val="24"/>
          <w:u w:val="single"/>
        </w:rPr>
        <w:t xml:space="preserve">Italic</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Nematodes are among the most extensive metazoan species groups because their populations exist in various habitats which include soil, freshwater, marine, agricultural and forest locations. The study of nematodes presents challenges because researchers need to study their biological functions and behaviour patterns and their capacity to move and grow their populations but face difficulties because the organisms remain hidden at microscopic dimensions and there are no working devices that enable researchers to observe their activities in real time. The management of plant-parasitic nematodes requires the use of chemical nematicides which create major dangers that affect both environmental ecosystems and human health. The new quantum dot-based nanotechnology of carbon quantum dots (CQDs) provides a solution for current technological challenges present in this field. The review presents an extensive analysis which evaluates current research that demonstrates how quantum dots function in nematode detection and visualisation and physiological assessment and management. The research demonstrated that CQDs present two different functions which depend on their concentration level according to the results of recent case studies that examined three types of nematodes which included plant-parasitic nematodes (</w:t>
      </w:r>
      <w:r>
        <w:rPr>
          <w:rFonts w:hAnsi="Times New Roman" w:ascii="Times New Roman" w:cs="Times New Roman"/>
          <w:b w:val="0"/>
          <w:i/>
          <w:iCs/>
          <w:strike w:val="0"/>
          <w:dstrike w:val="0"/>
          <w:emboss w:val="0"/>
          <w:imprint w:val="0"/>
          <w:outline w:val="0"/>
          <w:shadow w:val="0"/>
          <w:sz w:val="24"/>
          <w:szCs w:val="24"/>
          <w:u w:val="none"/>
        </w:rPr>
        <w:t xml:space="preserve">Bursaphelenchus xylophilus</w:t>
      </w:r>
      <w:r>
        <w:rPr>
          <w:rFonts w:hAnsi="Times New Roman" w:ascii="Times New Roman" w:cs="Times New Roman"/>
          <w:b w:val="0"/>
          <w:i w:val="0"/>
          <w:strike w:val="0"/>
          <w:dstrike w:val="0"/>
          <w:emboss w:val="0"/>
          <w:imprint w:val="0"/>
          <w:outline w:val="0"/>
          <w:shadow w:val="0"/>
          <w:sz w:val="24"/>
          <w:szCs w:val="24"/>
          <w:u w:val="none"/>
        </w:rPr>
        <w:t xml:space="preserve">), entomopathogenic nematodes (</w:t>
      </w:r>
      <w:r>
        <w:rPr>
          <w:rFonts w:hAnsi="Times New Roman" w:ascii="Times New Roman" w:cs="Times New Roman"/>
          <w:b w:val="0"/>
          <w:i/>
          <w:iCs/>
          <w:strike w:val="0"/>
          <w:dstrike w:val="0"/>
          <w:emboss w:val="0"/>
          <w:imprint w:val="0"/>
          <w:outline w:val="0"/>
          <w:shadow w:val="0"/>
          <w:sz w:val="24"/>
          <w:szCs w:val="24"/>
          <w:u w:val="none"/>
        </w:rPr>
        <w:t xml:space="preserve">Steinernema</w:t>
      </w:r>
      <w:r>
        <w:rPr>
          <w:rFonts w:hAnsi="Times New Roman" w:ascii="Times New Roman" w:cs="Times New Roman"/>
          <w:b w:val="0"/>
          <w:i w:val="0"/>
          <w:strike w:val="0"/>
          <w:dstrike w:val="0"/>
          <w:emboss w:val="0"/>
          <w:imprint w:val="0"/>
          <w:outline w:val="0"/>
          <w:shadow w:val="0"/>
          <w:sz w:val="24"/>
          <w:szCs w:val="24"/>
          <w:u w:val="none"/>
        </w:rPr>
        <w:t xml:space="preserve"> spp.) and model nematodes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At low concentrations, CQDs function as biocompatible fluorescent labels which permit in vivo tracking and ecological research because they do not produce lethal or sublethal or transgenerational effects. The extended exposure of organisms to high CQD concentrations results in physiological stress which leads to locomotion and reproduction problems. Accordingly, this review stresses on the multifunctional capacity CQDs as bridging tools between nematode detection and sustainable management. It also gives the future research directions and challenges regarding their safe and effective applications. </w:t>
      </w: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bookmarkStart w:id="0" w:name="_GoBack"/>
      <w:bookmarkEnd w:id="0"/>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drawing>
          <wp:anchor simplePos="0" relativeHeight="251670528" behindDoc="0" locked="0" layoutInCell="1" allowOverlap="1">
            <wp:simplePos x="0" y="0"/>
            <wp:positionH relativeFrom="margin">
              <wp:posOffset>1198880</wp:posOffset>
            </wp:positionH>
            <wp:positionV relativeFrom="paragraph">
              <wp:posOffset>-564509</wp:posOffset>
            </wp:positionV>
            <wp:extent cx="3638554" cy="2425568"/>
            <wp:effectExtent l="0" t="0" r="0" b="0"/>
            <wp:wrapNone/>
            <wp:docPr id="118698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746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8550" cy="2425566"/>
                    </a:xfrm>
                    <a:prstGeom prst="rect">
                      <a:avLst/>
                    </a:prstGeom>
                  </pic:spPr>
                </pic:pic>
              </a:graphicData>
            </a:graphic>
          </wp:anchor>
        </w:drawing>
      </w: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shapetype w14:anchorId="65417A9E" id="_x0000_t202" coordsize="21600,21600" o:spt="202" path="m,l,21600r21600,l21600,xe">
            <v:stroke joinstyle="miter"/>
            <v:path gradientshapeok="t" o:connecttype="rect"/>
          </v:shapetype>
          <v:shape id="Text Box 7" o:spid="_x0000_s1026" type="#_x0000_t202" style="position:absolute;left:0;text-align:left;margin-left:147.80pt;margin-top:0.55pt;width:170.5pt;height:22.5pt;z-index:251671552;visibility:visible;mso-wrap-style:square;mso-height-percent:0;mso-wrap-distance-left:9pt;mso-wrap-distance-top:0;mso-wrap-distance-right:9pt;mso-wrap-distance-bottom:0;mso-height-percent:0;mso-height-relative:margin;v-text-anchor:top;mso-position-horizontal-relative:margin;mso-position-horizontal:absolute;mso-position-vertical:absolut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FHy5UAIAAKoEAAAOAAAAZHJzL2Uyb0RvYy54bWysVE1PGzEQvVfqf7B8L5uEfEDEBqUgqkoI kKDi7Hi9yapej2s72aW/vs/eTQjQU9WLd778PPNmZi8u21qznXK+IpPz4cmAM2UkFZVZ5/zH082X M858EKYQmozK+Yvy/HLx+dNFY+dqRBvShXIMIMbPG5vzTQh2nmVeblQt/AlZZeAsydUiQHXrrHCi AXqts9FgMM0acoV1JJX3sF53Tr5I+GWpZLgvS68C0zlHbiGdLp2reGaLCzFfO2E3lezTEP+QRS0q g0cPUNciCLZ11QeoupKOPJXhRFKdUVlWUqUaUM1w8K6ax42wKtUCcrw90OT/H6y82z04VhXo3ex0 MpmeT8/RMSNq9OpJtYF9pZbNIk2N9XNEP1rEhxZmXNnbPYyx+rZ0dfyiLgY/CH85kBzBJIyj4XRy OoFLwjc6m8wgAz57vW2dD98U1SwKOXdoYuJW7G596EL3IfExT7oqbiqtkxIHR11px3YCLdch5Qjw N1HasCbn05jGB4QIfbi/0kL+7NM7QgCeNsg5ctLVHqXQrtqeqBUVL+DJUTdw3sqbCri3wocH4TBh qB9bE+5xlJqQDPUSZxtyv/9mj/FoPLycNZjYnPtfW+EUZ/q7wUicD8fjOOJJGU9mIyju2LM69pht fUVgaIj9tDKJMT7ovVg6qp+xXMv4KlzCSLyd87AXr0K3R1hOqZbLFIShtiLcmkcrI3QkN/L51D4L Z/t+BkzCHe1nW8zftbWLjTcNLbeByir1PBLcsdrzjoVIU9Mvb9y4Yz1Fvf5iFn8AAAD//wMAUEsD BBQABgAIAAAAIQDcDWTq2wAAAAgBAAAPAAAAZHJzL2Rvd25yZXYueG1sTI/BTsMwEETvSPyDtUjc qJMCUZrGqQAVLpwoiLMbu7bVeB3Zbhr+nuVEj6M3mn3bbmY/sEnH5AIKKBcFMI19UA6NgK/P17sa WMoSlRwCagE/OsGmu75qZaPCGT/0tMuG0QimRgqwOY8N56m32su0CKNGYocQvcwUo+EqyjON+4Ev i6LiXjqkC1aO+sXq/rg7eQHbZ7MyfS2j3dbKuWn+PrybNyFub+anNbCs5/xfhj99UoeOnPbhhCqx QcBy9VhRlUAJjHh1X1HeC3ioSuBdyy8f6H4BAAD//wMAUEsBAi0AFAAGAAgAAAAhALaDOJL+AAAA 4QEAABMAAAAAAAAAAAAAAAAAAAAAAFtDb250ZW50X1R5cGVzXS54bWxQSwECLQAUAAYACAAAACEA OP0h/9YAAACUAQAACwAAAAAAAAAAAAAAAAAvAQAAX3JlbHMvLnJlbHNQSwECLQAUAAYACAAAACEA HBR8uVACAACqBAAADgAAAAAAAAAAAAAAAAAuAgAAZHJzL2Uyb0RvYy54bWxQSwECLQAUAAYACAAA ACEA3A1k6tsAAAAIAQAADwAAAAAAAAAAAAAAAACqBAAAZHJzL2Rvd25yZXYueG1sUEsFBgAAAAAE AAQA8wAAALIFAAAAAA== " fillcolor="white [3201]" strokeweight=".5pt">
            <v:textbox>
              <w:txbxContent>
                <w:p>
                  <w:pPr>
                    <w:jc w:val="cente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Graphical Abstract</w:t>
                  </w:r>
                </w:p>
              </w:txbxContent>
            </v:textbox>
            <w10:wrap anchorx="margin"/>
          </v:shape>
        </w:pict>
      </w:r>
    </w:p>
    <w:p>
      <w:pPr>
        <w:jc w:val="both"/>
        <w:rPr>
          <w:rFonts w:hAnsi="Times New Roman" w:ascii="Times New Roman" w:cs="Times New Roman"/>
          <w:b/>
          <w:bCs/>
          <w:sz w:val="24"/>
          <w:szCs w:val="24"/>
        </w:rPr>
      </w:pPr>
    </w:p>
    <w:p>
      <w:pPr>
        <w:jc w:val="both"/>
      </w:pPr>
      <w:r>
        <w:rPr>
          <w:highlight w:val="yellow"/>
          <w:rFonts w:hAnsi="Times New Roman" w:ascii="Times New Roman" w:cs="Times New Roman"/>
          <w:b/>
          <w:bCs/>
          <w:i w:val="0"/>
          <w:strike w:val="0"/>
          <w:dstrike w:val="0"/>
          <w:emboss w:val="0"/>
          <w:imprint w:val="0"/>
          <w:outline w:val="0"/>
          <w:shadow w:val="0"/>
          <w:sz w:val="24"/>
          <w:szCs w:val="24"/>
          <w:u w:val="none"/>
        </w:rPr>
        <w:t xml:space="preserve">Keywords-</w:t>
      </w:r>
      <w:r>
        <w:rPr>
          <w:highlight w:val="yellow"/>
          <w:rFonts w:hAnsi="Times New Roman" w:ascii="Times New Roman" w:cs="Times New Roman"/>
          <w:b w:val="0"/>
          <w:i w:val="0"/>
          <w:strike w:val="0"/>
          <w:dstrike w:val="0"/>
          <w:emboss w:val="0"/>
          <w:imprint w:val="0"/>
          <w:outline w:val="0"/>
          <w:shadow w:val="0"/>
          <w:sz w:val="24"/>
          <w:szCs w:val="24"/>
          <w:u w:val="none"/>
        </w:rPr>
        <w:t xml:space="preserve"> Quantum dots</w:t>
      </w:r>
      <w:r>
        <w:rPr>
          <w:highlight w:val="yellow"/>
          <w:rFonts w:ascii="Calibri"/>
          <w:b w:val="0"/>
          <w:i w:val="0"/>
          <w:strike w:val="0"/>
          <w:dstrike w:val="0"/>
          <w:emboss w:val="0"/>
          <w:imprint w:val="0"/>
          <w:outline w:val="0"/>
          <w:shadow w:val="0"/>
          <w:sz w:val="22"/>
          <w:szCs w:val="22"/>
          <w:u w:val="none"/>
        </w:rPr>
        <w:t xml:space="preserve">, </w:t>
      </w:r>
      <w:r>
        <w:rPr>
          <w:highlight w:val="yellow"/>
          <w:rFonts w:hAnsi="Times New Roman" w:ascii="Times New Roman" w:cs="Times New Roman"/>
          <w:b w:val="0"/>
          <w:i w:val="0"/>
          <w:strike w:val="0"/>
          <w:dstrike w:val="0"/>
          <w:emboss w:val="0"/>
          <w:imprint w:val="0"/>
          <w:outline w:val="0"/>
          <w:shadow w:val="0"/>
          <w:sz w:val="24"/>
          <w:szCs w:val="24"/>
          <w:u w:val="none"/>
        </w:rPr>
        <w:t xml:space="preserve">nematode detection</w:t>
      </w:r>
      <w:r>
        <w:rPr>
          <w:highlight w:val="yellow"/>
          <w:rFonts w:ascii="Calibri"/>
          <w:b w:val="0"/>
          <w:i w:val="0"/>
          <w:strike w:val="0"/>
          <w:dstrike w:val="0"/>
          <w:emboss w:val="0"/>
          <w:imprint w:val="0"/>
          <w:outline w:val="0"/>
          <w:shadow w:val="0"/>
          <w:sz w:val="22"/>
          <w:szCs w:val="22"/>
          <w:u w:val="none"/>
        </w:rPr>
        <w:t xml:space="preserve">, </w:t>
      </w:r>
      <w:r>
        <w:rPr>
          <w:highlight w:val="yellow"/>
          <w:rFonts w:hAnsi="Times New Roman" w:ascii="Times New Roman" w:cs="Times New Roman"/>
          <w:b w:val="0"/>
          <w:i w:val="0"/>
          <w:strike w:val="0"/>
          <w:dstrike w:val="0"/>
          <w:emboss w:val="0"/>
          <w:imprint w:val="0"/>
          <w:outline w:val="0"/>
          <w:shadow w:val="0"/>
          <w:sz w:val="24"/>
          <w:szCs w:val="24"/>
          <w:u w:val="none"/>
        </w:rPr>
        <w:t xml:space="preserve">nanotoxicology,</w:t>
      </w:r>
      <w:r>
        <w:rPr>
          <w:highlight w:val="yellow"/>
          <w:rFonts w:ascii="Calibri"/>
          <w:b w:val="0"/>
          <w:i w:val="0"/>
          <w:strike w:val="0"/>
          <w:dstrike w:val="0"/>
          <w:emboss w:val="0"/>
          <w:imprint w:val="0"/>
          <w:outline w:val="0"/>
          <w:shadow w:val="0"/>
          <w:sz w:val="22"/>
          <w:szCs w:val="22"/>
          <w:u w:val="none"/>
        </w:rPr>
        <w:t xml:space="preserve"> </w:t>
      </w:r>
      <w:r>
        <w:rPr>
          <w:highlight w:val="yellow"/>
          <w:rFonts w:hAnsi="Times New Roman" w:ascii="Times New Roman" w:cs="Times New Roman"/>
          <w:b w:val="0"/>
          <w:i w:val="0"/>
          <w:strike w:val="0"/>
          <w:dstrike w:val="0"/>
          <w:emboss w:val="0"/>
          <w:imprint w:val="0"/>
          <w:outline w:val="0"/>
          <w:shadow w:val="0"/>
          <w:sz w:val="24"/>
          <w:szCs w:val="24"/>
          <w:u w:val="none"/>
        </w:rPr>
        <w:t xml:space="preserve">xenobiotic metabolism sustainable nematode management</w:t>
      </w:r>
      <w:r>
        <w:rPr>
          <w:color w:val="FF0000"/>
          <w:highlight w:val="yellow"/>
          <w:rFonts w:ascii="Calibri"/>
          <w:b w:val="0"/>
          <w:i w:val="0"/>
          <w:strike w:val="0"/>
          <w:dstrike w:val="0"/>
          <w:emboss w:val="0"/>
          <w:imprint w:val="0"/>
          <w:outline w:val="0"/>
          <w:shadow w:val="0"/>
          <w:sz w:val="22"/>
          <w:szCs w:val="22"/>
          <w:u w:val="none"/>
        </w:rPr>
        <w:t xml:space="preserve"> </w:t>
      </w:r>
      <w:r>
        <w:rPr>
          <w:color w:val="FF0000"/>
          <w:highlight w:val="white"/>
          <w:rFonts w:ascii="Calibri"/>
          <w:b w:val="0"/>
          <w:i w:val="0"/>
          <w:strike w:val="0"/>
          <w:dstrike w:val="0"/>
          <w:emboss w:val="0"/>
          <w:imprint w:val="0"/>
          <w:outline w:val="0"/>
          <w:shadow w:val="0"/>
          <w:sz w:val="22"/>
          <w:szCs w:val="22"/>
          <w:u w:val="single"/>
        </w:rPr>
        <w:t xml:space="preserve">I</w:t>
      </w:r>
      <w:r>
        <w:rPr>
          <w:color w:val="FF0000"/>
          <w:highlight w:val="white"/>
          <w:rFonts w:ascii="Calibri"/>
          <w:b w:val="0"/>
          <w:i w:val="0"/>
          <w:strike w:val="0"/>
          <w:dstrike w:val="0"/>
          <w:emboss w:val="0"/>
          <w:imprint w:val="0"/>
          <w:outline w:val="0"/>
          <w:shadow w:val="0"/>
          <w:sz w:val="22"/>
          <w:szCs w:val="22"/>
          <w:u w:val="single"/>
        </w:rPr>
        <w:t xml:space="preserve">t</w:t>
      </w:r>
      <w:r>
        <w:rPr>
          <w:color w:val="FF0000"/>
          <w:highlight w:val="white"/>
          <w:rFonts w:ascii="Calibri"/>
          <w:b w:val="0"/>
          <w:i w:val="0"/>
          <w:strike w:val="0"/>
          <w:dstrike w:val="0"/>
          <w:emboss w:val="0"/>
          <w:imprint w:val="0"/>
          <w:outline w:val="0"/>
          <w:shadow w:val="0"/>
          <w:sz w:val="22"/>
          <w:szCs w:val="22"/>
          <w:u w:val="single"/>
        </w:rPr>
        <w:t xml:space="preserve">a</w:t>
      </w:r>
      <w:r>
        <w:rPr>
          <w:color w:val="FF0000"/>
          <w:highlight w:val="white"/>
          <w:rFonts w:ascii="Calibri"/>
          <w:b w:val="0"/>
          <w:i w:val="0"/>
          <w:strike w:val="0"/>
          <w:dstrike w:val="0"/>
          <w:emboss w:val="0"/>
          <w:imprint w:val="0"/>
          <w:outline w:val="0"/>
          <w:shadow w:val="0"/>
          <w:sz w:val="22"/>
          <w:szCs w:val="22"/>
          <w:u w:val="single"/>
        </w:rPr>
        <w:t xml:space="preserve">l</w:t>
      </w:r>
      <w:r>
        <w:rPr>
          <w:color w:val="FF0000"/>
          <w:highlight w:val="white"/>
          <w:rFonts w:ascii="Calibri"/>
          <w:b w:val="0"/>
          <w:i w:val="0"/>
          <w:strike w:val="0"/>
          <w:dstrike w:val="0"/>
          <w:emboss w:val="0"/>
          <w:imprint w:val="0"/>
          <w:outline w:val="0"/>
          <w:shadow w:val="0"/>
          <w:sz w:val="22"/>
          <w:szCs w:val="22"/>
          <w:u w:val="single"/>
        </w:rPr>
        <w:t xml:space="preserve">i</w:t>
      </w:r>
      <w:r>
        <w:rPr>
          <w:color w:val="FF0000"/>
          <w:highlight w:val="white"/>
          <w:rFonts w:ascii="Calibri"/>
          <w:b w:val="0"/>
          <w:i w:val="0"/>
          <w:strike w:val="0"/>
          <w:dstrike w:val="0"/>
          <w:emboss w:val="0"/>
          <w:imprint w:val="0"/>
          <w:outline w:val="0"/>
          <w:shadow w:val="0"/>
          <w:sz w:val="22"/>
          <w:szCs w:val="22"/>
          <w:u w:val="single"/>
        </w:rPr>
        <w:t xml:space="preserve">c</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1. Introduction</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Nematodes are among the most numerous animals globally, with millions of individuals estimated per square meter of soil and present in almost all trophic levels (Hoogen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2019). Nematodes in agro-ecosystems play various roles where free-living species support nutrient cycling and soil health, entomopathogenic nematodes (EPNs) such as </w:t>
      </w:r>
      <w:r>
        <w:rPr>
          <w:rFonts w:hAnsi="Times New Roman" w:ascii="Times New Roman" w:cs="Times New Roman"/>
          <w:b w:val="0"/>
          <w:i/>
          <w:iCs/>
          <w:strike w:val="0"/>
          <w:dstrike w:val="0"/>
          <w:emboss w:val="0"/>
          <w:imprint w:val="0"/>
          <w:outline w:val="0"/>
          <w:shadow w:val="0"/>
          <w:sz w:val="24"/>
          <w:szCs w:val="24"/>
          <w:u w:val="none"/>
        </w:rPr>
        <w:t xml:space="preserve">Steinernema </w:t>
      </w:r>
      <w:r>
        <w:rPr>
          <w:rFonts w:hAnsi="Times New Roman" w:ascii="Times New Roman" w:cs="Times New Roman"/>
          <w:b w:val="0"/>
          <w:i w:val="0"/>
          <w:strike w:val="0"/>
          <w:dstrike w:val="0"/>
          <w:emboss w:val="0"/>
          <w:imprint w:val="0"/>
          <w:outline w:val="0"/>
          <w:shadow w:val="0"/>
          <w:sz w:val="24"/>
          <w:szCs w:val="24"/>
          <w:u w:val="none"/>
        </w:rPr>
        <w:t xml:space="preserve">and </w:t>
      </w:r>
      <w:r>
        <w:rPr>
          <w:rFonts w:hAnsi="Times New Roman" w:ascii="Times New Roman" w:cs="Times New Roman"/>
          <w:b w:val="0"/>
          <w:i/>
          <w:iCs/>
          <w:strike w:val="0"/>
          <w:dstrike w:val="0"/>
          <w:emboss w:val="0"/>
          <w:imprint w:val="0"/>
          <w:outline w:val="0"/>
          <w:shadow w:val="0"/>
          <w:sz w:val="24"/>
          <w:szCs w:val="24"/>
          <w:u w:val="none"/>
        </w:rPr>
        <w:t xml:space="preserve">Heterorhabditis </w:t>
      </w:r>
      <w:r>
        <w:rPr>
          <w:rFonts w:hAnsi="Times New Roman" w:ascii="Times New Roman" w:cs="Times New Roman"/>
          <w:b w:val="0"/>
          <w:i w:val="0"/>
          <w:strike w:val="0"/>
          <w:dstrike w:val="0"/>
          <w:emboss w:val="0"/>
          <w:imprint w:val="0"/>
          <w:outline w:val="0"/>
          <w:shadow w:val="0"/>
          <w:sz w:val="24"/>
          <w:szCs w:val="24"/>
          <w:u w:val="none"/>
        </w:rPr>
        <w:t xml:space="preserve">spp. are significant biological control agents, as well as plant parasitic nematodes like </w:t>
      </w:r>
      <w:r>
        <w:rPr>
          <w:rFonts w:hAnsi="Times New Roman" w:ascii="Times New Roman" w:cs="Times New Roman"/>
          <w:b w:val="0"/>
          <w:i/>
          <w:iCs/>
          <w:strike w:val="0"/>
          <w:dstrike w:val="0"/>
          <w:emboss w:val="0"/>
          <w:imprint w:val="0"/>
          <w:outline w:val="0"/>
          <w:shadow w:val="0"/>
          <w:sz w:val="24"/>
          <w:szCs w:val="24"/>
          <w:u w:val="none"/>
        </w:rPr>
        <w:t xml:space="preserve">Meloidogyne</w:t>
      </w:r>
      <w:r>
        <w:rPr>
          <w:rFonts w:hAnsi="Times New Roman" w:ascii="Times New Roman" w:cs="Times New Roman"/>
          <w:b w:val="0"/>
          <w:i w:val="0"/>
          <w:strike w:val="0"/>
          <w:dstrike w:val="0"/>
          <w:emboss w:val="0"/>
          <w:imprint w:val="0"/>
          <w:outline w:val="0"/>
          <w:shadow w:val="0"/>
          <w:sz w:val="24"/>
          <w:szCs w:val="24"/>
          <w:u w:val="none"/>
        </w:rPr>
        <w:t xml:space="preserve"> spp and </w:t>
      </w:r>
      <w:r>
        <w:rPr>
          <w:rFonts w:hAnsi="Times New Roman" w:ascii="Times New Roman" w:cs="Times New Roman"/>
          <w:b w:val="0"/>
          <w:i/>
          <w:iCs/>
          <w:strike w:val="0"/>
          <w:dstrike w:val="0"/>
          <w:emboss w:val="0"/>
          <w:imprint w:val="0"/>
          <w:outline w:val="0"/>
          <w:shadow w:val="0"/>
          <w:sz w:val="24"/>
          <w:szCs w:val="24"/>
          <w:u w:val="none"/>
        </w:rPr>
        <w:t xml:space="preserve">Bursaphelenchus xylophilus</w:t>
      </w:r>
      <w:r>
        <w:rPr>
          <w:rFonts w:hAnsi="Times New Roman" w:ascii="Times New Roman" w:cs="Times New Roman"/>
          <w:b w:val="0"/>
          <w:i w:val="0"/>
          <w:strike w:val="0"/>
          <w:dstrike w:val="0"/>
          <w:emboss w:val="0"/>
          <w:imprint w:val="0"/>
          <w:outline w:val="0"/>
          <w:shadow w:val="0"/>
          <w:sz w:val="24"/>
          <w:szCs w:val="24"/>
          <w:u w:val="none"/>
        </w:rPr>
        <w:t xml:space="preserve"> that cause debilitating yield losses in crops and forests (Hazir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2024; Jones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2013; Kikuchi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2011). However, nematode research faces persistent technical challenges. Traditional methods of identification and tracking rely on morphological taxonomy or molecular diagnostics, which consume much time, require special expertise and are hardly applicable to vast population numbers or field conditions (Kikuchi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2011; Espada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2016). </w:t>
      </w:r>
      <w:r>
        <w:rPr>
          <w:rFonts w:hAnsi="Times New Roman" w:ascii="Times New Roman" w:cs="Times New Roman"/>
          <w:b w:val="0"/>
          <w:i/>
          <w:iCs/>
          <w:strike w:val="0"/>
          <w:dstrike w:val="0"/>
          <w:emboss w:val="0"/>
          <w:imprint w:val="0"/>
          <w:outline w:val="0"/>
          <w:shadow w:val="0"/>
          <w:sz w:val="24"/>
          <w:szCs w:val="24"/>
          <w:u w:val="none"/>
        </w:rPr>
        <w:t xml:space="preserve">Caenorhabditis elegans </w:t>
      </w:r>
      <w:r>
        <w:rPr>
          <w:rFonts w:hAnsi="Times New Roman" w:ascii="Times New Roman" w:cs="Times New Roman"/>
          <w:b w:val="0"/>
          <w:i w:val="0"/>
          <w:strike w:val="0"/>
          <w:dstrike w:val="0"/>
          <w:emboss w:val="0"/>
          <w:imprint w:val="0"/>
          <w:outline w:val="0"/>
          <w:shadow w:val="0"/>
          <w:sz w:val="24"/>
          <w:szCs w:val="24"/>
          <w:u w:val="none"/>
        </w:rPr>
        <w:t xml:space="preserve">is a very helpful model organism to study the biosafety, uptake, biodistribution, transgenerational effects and molecular mechanisms of the biological responses to nanomaterials like quantum dots and carbon, based nanoparticles (Wu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2019; Li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2021). The study of nematode movement, survival and interactions in soil is similarly constrained by the lack of effective </w:t>
      </w:r>
      <w:r>
        <w:rPr>
          <w:rFonts w:hAnsi="Times New Roman" w:ascii="Times New Roman" w:cs="Times New Roman"/>
          <w:b w:val="0"/>
          <w:i/>
          <w:iCs/>
          <w:strike w:val="0"/>
          <w:dstrike w:val="0"/>
          <w:emboss w:val="0"/>
          <w:imprint w:val="0"/>
          <w:outline w:val="0"/>
          <w:shadow w:val="0"/>
          <w:sz w:val="24"/>
          <w:szCs w:val="24"/>
          <w:u w:val="none"/>
        </w:rPr>
        <w:t xml:space="preserve">in vivo</w:t>
      </w:r>
      <w:r>
        <w:rPr>
          <w:rFonts w:hAnsi="Times New Roman" w:ascii="Times New Roman" w:cs="Times New Roman"/>
          <w:b w:val="0"/>
          <w:i w:val="0"/>
          <w:strike w:val="0"/>
          <w:dstrike w:val="0"/>
          <w:emboss w:val="0"/>
          <w:imprint w:val="0"/>
          <w:outline w:val="0"/>
          <w:shadow w:val="0"/>
          <w:sz w:val="24"/>
          <w:szCs w:val="24"/>
          <w:u w:val="none"/>
        </w:rPr>
        <w:t xml:space="preserve"> labelling methods. Alongside these challenges, nematode control has traditionally revolved around chemical nematicides, including organophosphates, carbamates and macrocyclic lactones, with many posing significant concerns about environmental persistence, toxicity to non-target organisms and human health implications (Kang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2012; Rajasekharan &amp; Ramesh, 2017). </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Nanotechnology has emerged as a revolutionary approach in agriculture and biological sciences to provide novel materials having unique physicochemical properties. Lim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 Wang and Hu, 2014). Although the first semiconductor QDs based on cadmium and selenium provided excellent imaging results, the associated toxicity limited their use in the environment (Feliu</w:t>
      </w:r>
      <w:r>
        <w:rPr>
          <w:rFonts w:hAnsi="Times New Roman" w:ascii="Times New Roman" w:cs="Times New Roman"/>
          <w:b w:val="0"/>
          <w:i/>
          <w:iCs/>
          <w:strike w:val="0"/>
          <w:dstrike w:val="0"/>
          <w:emboss w:val="0"/>
          <w:imprint w:val="0"/>
          <w:outline w:val="0"/>
          <w:shadow w:val="0"/>
          <w:sz w:val="24"/>
          <w:szCs w:val="24"/>
          <w:u w:val="none"/>
        </w:rPr>
        <w:t xml:space="preserve"> et al., </w:t>
      </w:r>
      <w:r>
        <w:rPr>
          <w:rFonts w:hAnsi="Times New Roman" w:ascii="Times New Roman" w:cs="Times New Roman"/>
          <w:b w:val="0"/>
          <w:i w:val="0"/>
          <w:strike w:val="0"/>
          <w:dstrike w:val="0"/>
          <w:emboss w:val="0"/>
          <w:imprint w:val="0"/>
          <w:outline w:val="0"/>
          <w:shadow w:val="0"/>
          <w:sz w:val="24"/>
          <w:szCs w:val="24"/>
          <w:u w:val="none"/>
        </w:rPr>
        <w:t xml:space="preserve">2016; Liang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2022). Carbon quantum dots (CQDs), which are mostly composed of carbon, hydrogen and oxygen, are safer alternatives with a high degree of biocompatibility, inexpensive and have more options in terms of synthesis (Sun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2006; Cao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2012).  For the purpose of nematode detection and management, this review focusses specifically on carbon quantum dots and critically assesses recent developments in quantum dot-based nanotechnologies. Based on imaging, behavioural and transcriptomic evidence, the present review aims to critically evaluate the recent advances in quantum dot–based nanotechnologies with respect to nematode detection and management and to show how carbon quantum dots (CQDs) can serve the dual role of innocuous bio-labels and potent stressors relevant to nematode control depending on the mode of exposure to the QD nanoparticles. </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3. Quantum Dots Used in Nematology: Types, Properties and Biological Relevance</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3.1 Types of Quantum Dots Applied in Nematode Research</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To this end, a variety of quantum dots have been employed in nematode-based nanotechnological studies, using the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model organism to assess uptake, biodistribution, toxicity and transgenerational effects. These quantum dots have been classified as carbon-based, metal-based semiconductor, graphene-related, silicon-based and polymer-functionalized. Carbon quantum dots (CQDs) are the most widely studied classes in nematology due to their low intrinsic toxicity, high water solubility and strong fluorescence. CQDs with glucose, citric acid and other biomass precursors have been successfully employed for in-vivo labelling, long-term tracking and physiology pertinence determinations in </w:t>
      </w:r>
      <w:r>
        <w:rPr>
          <w:rFonts w:hAnsi="Times New Roman" w:ascii="Times New Roman" w:cs="Times New Roman"/>
          <w:b w:val="0"/>
          <w:i/>
          <w:iCs/>
          <w:strike w:val="0"/>
          <w:dstrike w:val="0"/>
          <w:emboss w:val="0"/>
          <w:imprint w:val="0"/>
          <w:outline w:val="0"/>
          <w:shadow w:val="0"/>
          <w:sz w:val="24"/>
          <w:szCs w:val="24"/>
          <w:u w:val="none"/>
        </w:rPr>
        <w:t xml:space="preserve">C.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Bursaphelenchus xylophilus</w:t>
      </w:r>
      <w:r>
        <w:rPr>
          <w:rFonts w:hAnsi="Times New Roman" w:ascii="Times New Roman" w:cs="Times New Roman"/>
          <w:b w:val="0"/>
          <w:i w:val="0"/>
          <w:strike w:val="0"/>
          <w:dstrike w:val="0"/>
          <w:emboss w:val="0"/>
          <w:imprint w:val="0"/>
          <w:outline w:val="0"/>
          <w:shadow w:val="0"/>
          <w:sz w:val="24"/>
          <w:szCs w:val="24"/>
          <w:u w:val="none"/>
        </w:rPr>
        <w:t xml:space="preserve"> and entomopathogenic nematodes (</w:t>
      </w:r>
      <w:r>
        <w:rPr>
          <w:rFonts w:hAnsi="Times New Roman" w:ascii="Times New Roman" w:cs="Times New Roman"/>
          <w:b w:val="0"/>
          <w:i/>
          <w:iCs/>
          <w:strike w:val="0"/>
          <w:dstrike w:val="0"/>
          <w:emboss w:val="0"/>
          <w:imprint w:val="0"/>
          <w:outline w:val="0"/>
          <w:shadow w:val="0"/>
          <w:sz w:val="24"/>
          <w:szCs w:val="24"/>
          <w:u w:val="none"/>
        </w:rPr>
        <w:t xml:space="preserve">Steinernema</w:t>
      </w:r>
      <w:r>
        <w:rPr>
          <w:rFonts w:hAnsi="Times New Roman" w:ascii="Times New Roman" w:cs="Times New Roman"/>
          <w:b w:val="0"/>
          <w:i w:val="0"/>
          <w:strike w:val="0"/>
          <w:dstrike w:val="0"/>
          <w:emboss w:val="0"/>
          <w:imprint w:val="0"/>
          <w:outline w:val="0"/>
          <w:shadow w:val="0"/>
          <w:sz w:val="24"/>
          <w:szCs w:val="24"/>
          <w:u w:val="none"/>
        </w:rPr>
        <w:t xml:space="preserve"> spp.) with predominantly intestinal uptake and dose-dependent biotic effects (Kang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 Han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2021; San-Blas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2025). </w:t>
      </w: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Metal-based semiconductor quantum dots such as CdS, CdSe, CdTe and CdS/ZnS core-shell have also been studied in the nematode systems mainly for nanotoxicological purposes. </w:t>
      </w:r>
      <w:r>
        <w:rPr>
          <w:rFonts w:hAnsi="Times New Roman" w:ascii="Times New Roman" w:cs="Times New Roman"/>
          <w:b w:val="0"/>
          <w:i/>
          <w:iCs/>
          <w:strike w:val="0"/>
          <w:dstrike w:val="0"/>
          <w:emboss w:val="0"/>
          <w:imprint w:val="0"/>
          <w:outline w:val="0"/>
          <w:shadow w:val="0"/>
          <w:sz w:val="24"/>
          <w:szCs w:val="24"/>
          <w:u w:val="none"/>
        </w:rPr>
        <w:t xml:space="preserve">C. elegans</w:t>
      </w:r>
      <w:r>
        <w:rPr>
          <w:rFonts w:hAnsi="Times New Roman" w:ascii="Times New Roman" w:cs="Times New Roman"/>
          <w:b w:val="0"/>
          <w:i w:val="0"/>
          <w:strike w:val="0"/>
          <w:dstrike w:val="0"/>
          <w:emboss w:val="0"/>
          <w:imprint w:val="0"/>
          <w:outline w:val="0"/>
          <w:shadow w:val="0"/>
          <w:sz w:val="24"/>
          <w:szCs w:val="24"/>
          <w:u w:val="none"/>
        </w:rPr>
        <w:t xml:space="preserve"> studies have also established that these quantum dots cause oxidative stress, delay in development, reduced fertility and shortened lifespan, factors that are linked to cadmium ion leakage and reactive oxygen species (Qu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2011; Zhao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 Their high toxicity outweighs their optical benefits against environmental or agricultural nematological application.  Graphene quantum dots (GQDs), which are composed of a few-layer graphene fragments, have been investigated as a type of intermediate regime that retains the advantage of a carbon-based material but with higher crystallinity. The biocompatibility of graphene quantum dots (GQDs) with Caenorhabditis elegans was better than with cadmium-based quantum dots but worse than carbon quantum dots (CQDs), as exposure to oxidized and doped GQDs caused moderate toxicity, increased reactive oxygen species</w:t>
        <w:t xml:space="preserve"> and behavioural impairment at high concentrations (Deng </w:t>
      </w:r>
      <w:r>
        <w:rPr>
          <w:rFonts w:hAnsi="Times New Roman" w:ascii="Times New Roman" w:cs="Times New Roman"/>
          <w:b w:val="0"/>
          <w:i/>
          <w:iCs/>
          <w:strike w:val="0"/>
          <w:dstrike w:val="0"/>
          <w:emboss w:val="0"/>
          <w:imprint w:val="0"/>
          <w:outline w:val="0"/>
          <w:shadow w:val="0"/>
          <w:sz w:val="24"/>
          <w:szCs w:val="24"/>
          <w:u w:val="none"/>
        </w:rPr>
        <w:t xml:space="preserve">et al., </w:t>
      </w:r>
      <w:r>
        <w:rPr>
          <w:rFonts w:hAnsi="Times New Roman" w:ascii="Times New Roman" w:cs="Times New Roman"/>
          <w:b w:val="0"/>
          <w:i w:val="0"/>
          <w:strike w:val="0"/>
          <w:dstrike w:val="0"/>
          <w:emboss w:val="0"/>
          <w:imprint w:val="0"/>
          <w:outline w:val="0"/>
          <w:shadow w:val="0"/>
          <w:sz w:val="24"/>
          <w:szCs w:val="24"/>
          <w:u w:val="none"/>
        </w:rPr>
        <w:t xml:space="preserve">2018; Qu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2019). </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roundrect w14:anchorId="083913DB" id="Rounded Rectangle 3" o:spid="_x0000_s1027" style="position:absolute;left:0;text-align:left;margin-left:71.75pt;margin-top:135.05pt;width:283pt;height:28pt;z-index:251661312;visibility:visible;mso-wrap-style:square;mso-width-percent:0;mso-height-percent:0;mso-wrap-distance-left:9pt;mso-wrap-distance-top:0;mso-wrap-distance-right:9pt;mso-wrap-distance-bottom:0;mso-width-percent:0;mso-height-percent:0;mso-width-relative:margin;mso-height-relative:margin;v-text-anchor:middle;mso-position-horizontal-relative:margin;mso-position-horizontal:absolute;mso-position-vertical:absolut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yyP6QEAAB4EAAAOAAAAZHJzL2Uyb0RvYy54bWysU9uO2yAQfa/Uf0C8N85ls2qjOKtqV+1L 1a6y2w8geIiRgKFAYufvO2CvU7WVVqr6ggHPOXPmzLC9661hZwhRo6v5YjbnDJzERrtjzb8/f3r3 nrOYhGuEQQc1v0Dkd7u3b7ad38ASWzQNBEYkLm46X/M2Jb+pqihbsCLO0IOjnwqDFYmO4Vg1QXTE bk21nM9vqw5D4wNKiJFuH4affFf4lQKZvikVITFTc9KWyhrKeshrtduKzTEI32o5yhD/oMIK7Sjp RPUgkmCnoP+gsloGjKjSTKKtUCktodRA1Szmv1Xz1AoPpRYyJ/rJpvj/aOXX82Nguqn5DWdOWGrR Hk+ugYbtyTzhjgbYKtvU+bih6Cf/GMZTpG2uuVfB5i9Vw/pi7WWyFvrEJF2u1h9uFnPqgKR/q/X6 lvZEU13RPsT0GdCyvKl5yCqyhGKrOH+JaYh/iSNwljSIKLt0MZB1GLcHRTVR2kVBl2mCexPYWdAc CCnBpcWYv0RnmNLGTMDV68AxPkOhTNoEXr4OnhAlM7o0ga12GP5GYCbJaoh/cWCoO1uQ+kNfmlmK yzcHbC7U4I4mvObxx0kE4Cwkc4/DgxBOtkjvQaYhp8OPp4RKF7OvBGMqGsLSs/HB5Cn/9Vyirs96 9xMAAP//AwBQSwMEFAAGAAgAAAAhADTFrSneAAAACwEAAA8AAABkcnMvZG93bnJldi54bWxMj8FO wzAQRO9I/IO1SFwqaictaRviVAip4py2H7BNnDgiXkex24a/ZznBcXZnZ98U+9kN4mam0HvSkCwV CEO1b3rqNJxPh5ctiBCRGhw8GQ3fJsC+fHwoMG/8nSpzO8ZOcAiFHDXYGMdcylBb4zAs/WiId62f HEaWUyebCe8c7gaZKpVJhz3xB4uj+bCm/jpeHWMs2spuq3a2ihanc7rGz90h0/r5aX5/AxHNHP/M 8IvPN1Ay08VfqQliYL1evbJVQ7pRCQh2bNSOJxcNqzRLQJaF/N+h/AEAAP//AwBQSwECLQAUAAYA CAAAACEAtoM4kv4AAADhAQAAEwAAAAAAAAAAAAAAAAAAAAAAW0NvbnRlbnRfVHlwZXNdLnhtbFBL AQItABQABgAIAAAAIQA4/SH/1gAAAJQBAAALAAAAAAAAAAAAAAAAAC8BAABfcmVscy8ucmVsc1BL AQItABQABgAIAAAAIQDlcyyP6QEAAB4EAAAOAAAAAAAAAAAAAAAAAC4CAABkcnMvZTJvRG9jLnht bFBLAQItABQABgAIAAAAIQA0xa0p3gAAAAsBAAAPAAAAAAAAAAAAAAAAAEMEAABkcnMvZG93bnJl di54bWxQSwUGAAAAAAQABADzAAAATgUAAAAA " fillcolor="#4f7ac7 [3028]" strokecolor="#4472c4 [3204]" strokeweight=".5pt">
            <v:fill color2="#416fc3 [3172]" rotate="t" colors="0 #6083cb;.5 #3e70ca;1 #2e61ba" focus="100%" type="gradient"/>
            <v:stroke joinstyle="miter"/>
            <v:textbox>
              <w:txbxContent>
                <w:p>
                  <w:pPr>
                    <w:jc w:val="center"/>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Quantum Dots Used in Nematology</w:t>
                  </w:r>
                </w:p>
              </w:txbxContent>
            </v:textbox>
            <w10:wrap anchorx="margin"/>
          </v:roundrect>
        </w:pict>
      </w:r>
      <w:r>
        <w:rPr>
          <w:rFonts w:hAnsi="Times New Roman" w:ascii="Times New Roman" w:cs="Times New Roman"/>
          <w:b w:val="0"/>
          <w:i w:val="0"/>
          <w:strike w:val="0"/>
          <w:dstrike w:val="0"/>
          <w:emboss w:val="0"/>
          <w:imprint w:val="0"/>
          <w:outline w:val="0"/>
          <w:shadow w:val="0"/>
          <w:sz w:val="24"/>
          <w:szCs w:val="24"/>
          <w:u w:val="none"/>
        </w:rPr>
        <w:t xml:space="preserve">Studies with silicon quantum dots (Si-QDs) have been assessed in very few nematode studies, primarily the comparative biosafety evaluation. These non-metallic semiconductor quantum dots show less toxicity than cadmium ones but, on the whole, have much weaker fluorescence intensity, limiting their scope of use to strictly laboratory-controlled investigations (Li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2013). In addition, polymer-coated and surface-functionalized QDs-including PEGylated and ligand-modified systems have been employed in </w:t>
      </w:r>
      <w:r>
        <w:rPr>
          <w:rFonts w:hAnsi="Times New Roman" w:ascii="Times New Roman" w:cs="Times New Roman"/>
          <w:b w:val="0"/>
          <w:i/>
          <w:iCs/>
          <w:strike w:val="0"/>
          <w:dstrike w:val="0"/>
          <w:emboss w:val="0"/>
          <w:imprint w:val="0"/>
          <w:outline w:val="0"/>
          <w:shadow w:val="0"/>
          <w:sz w:val="24"/>
          <w:szCs w:val="24"/>
          <w:u w:val="none"/>
        </w:rPr>
        <w:t xml:space="preserve">C. elegans</w:t>
      </w:r>
      <w:r>
        <w:rPr>
          <w:rFonts w:hAnsi="Times New Roman" w:ascii="Times New Roman" w:cs="Times New Roman"/>
          <w:b w:val="0"/>
          <w:i w:val="0"/>
          <w:strike w:val="0"/>
          <w:dstrike w:val="0"/>
          <w:emboss w:val="0"/>
          <w:imprint w:val="0"/>
          <w:outline w:val="0"/>
          <w:shadow w:val="0"/>
          <w:sz w:val="24"/>
          <w:szCs w:val="24"/>
          <w:u w:val="none"/>
        </w:rPr>
        <w:t xml:space="preserve">. The evidence suggests that surface functionalization can completely alleviate acute toxicity but cannot circumvent bioaccumulation and long-term physiological implications (Feliu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2016). </w:t>
      </w:r>
    </w:p>
    <w:p>
      <w:pPr>
        <w:jc w:val="both"/>
        <w:rPr>
          <w:rFonts w:hAnsi="Times New Roman" w:ascii="Times New Roman" w:cs="Times New Roman"/>
          <w:sz w:val="24"/>
          <w:szCs w:val="24"/>
        </w:rPr>
      </w:pP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roundrect w14:anchorId="2A43048C" id="Rounded Rectangle 6" o:spid="_x0000_s1028" style="position:absolute;left:0;text-align:left;margin-left:322.50pt;margin-top:12.75pt;width:172.5pt;height:69.5pt;z-index:251664384;visibility:visible;mso-wrap-style:square;mso-width-percent:0;mso-height-percent:0;mso-wrap-distance-left:9pt;mso-wrap-distance-top:0;mso-wrap-distance-right:9pt;mso-wrap-distance-bottom:0;mso-width-percent:0;mso-height-percent:0;mso-width-relative:margin;mso-height-relative:margin;v-text-anchor:middle;mso-position-horizontal-relative:margin;mso-position-horizontal:absolute;mso-position-vertical:absolut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yy6gEAAB4EAAAOAAAAZHJzL2Uyb0RvYy54bWysU8GO0zAQvSPxD5bvNG0Q3VI1XaFdwQXB ahc+wHXGjSXbY2y3Sf+esZNmESCthLg4djzvzZs3493tYA07Q4gaXcNXiyVn4CS22h0b/v3bxzcb zmISrhUGHTT8ApHf7l+/2vV+CzV2aFoIjEhc3Pa+4V1KfltVUXZgRVygB0eXCoMViY7hWLVB9MRu TVUvl+uqx9D6gBJipL/34yXfF36lQKavSkVIzDSctKWyhrIe8lrtd2J7DMJ3Wk4yxD+osEI7SjpT 3Ysk2CnoP6islgEjqrSQaCtUSksoNVA1q+Vv1Tx1wkOphcyJfrYp/j9a+eX8EJhuG37DmROWWvSI J9dCyx7JPOGOBtg629T7uKXoJ/8QplOkba55UMHmL1XDhmLtZbYWhsQk/axX75c376gDku42m3pN e6KpntE+xPQJ0LK8aXjIKrKEYqs4f45pjL/GEThLGkWUXboYyDqMewRFNVHaVUGXaYI7E9hZ0BwI KcGl1ZS/RGeY0sbMwLcvA6f4DIUyaTO4fhk8I0pmdGkGW+0w/I3AzJLVGH91YKw7W5CGw1CaWV87 dsD2Qg3uacIbHn+cRADOQjJ3OD4I4WSH9B5kGnM6/HBKqHQxO1OOBFMqGsLSs+nB5Cn/9Vyinp/1 /icAAAD//wMAUEsDBBQABgAIAAAAIQBS3eJE3AAAAAoBAAAPAAAAZHJzL2Rvd25yZXYueG1sTI/B boMwEETvlfoP1kbqJWpMUUCBYqKqUtQzST5ggw1GwWuEnYT+fben9rg7s7Nvqv3iRnE3cxg8KXjb JCAMtV4P1Cs4nw6vOxAhImkcPRkF3ybAvn5+qrDU/kGNuR9jLziEQokKbIxTKWVorXEYNn4yxFrn Z4eRx7mXesYHh7tRpkmSS4cD8QeLk/m0pr0eb44x1l1jd0232ITWp3O6xa/ikCv1slo+3kFEs8Q/ M/zi8w3UzHTxN9JBjArybcZdooI0y0CwoSgSXlzYyRLIupL/K9Q/AAAA//8DAFBLAQItABQABgAI AAAAIQC2gziS/gAAAOEBAAATAAAAAAAAAAAAAAAAAAAAAABbQ29udGVudF9UeXBlc10ueG1sUEsB Ai0AFAAGAAgAAAAhADj9If/WAAAAlAEAAAsAAAAAAAAAAAAAAAAALwEAAF9yZWxzLy5yZWxzUEsB Ai0AFAAGAAgAAAAhAHj8nLLqAQAAHgQAAA4AAAAAAAAAAAAAAAAALgIAAGRycy9lMm9Eb2MueG1s UEsBAi0AFAAGAAgAAAAhAFLd4kTcAAAACgEAAA8AAAAAAAAAAAAAAAAARAQAAGRycy9kb3ducmV2 LnhtbFBLBQYAAAAABAAEAPMAAABNBQAAAAA= " fillcolor="#4f7ac7 [3028]" strokecolor="#4472c4 [3204]" strokeweight=".5pt">
            <v:fill color2="#416fc3 [3172]" rotate="t" colors="0 #6083cb;.5 #3e70ca;1 #2e61ba" focus="100%" type="gradient"/>
            <v:stroke joinstyle="miter"/>
            <v:textbox>
              <w:txbxContent>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Surface-Functionalized QDs</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PEGylated</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Amino-functionalized</w:t>
                  </w:r>
                </w:p>
              </w:txbxContent>
            </v:textbox>
            <w10:wrap anchorx="margin"/>
          </v:roundrect>
        </w:pict>
      </w:r>
      <w:r>
        <w:rPr>
          <w:rFonts w:hAnsi="Times New Roman" w:ascii="Times New Roman" w:cs="Times New Roman"/>
          <w:b w:val="0"/>
          <w:i w:val="0"/>
          <w:strike w:val="0"/>
          <w:dstrike w:val="0"/>
          <w:emboss w:val="0"/>
          <w:imprint w:val="0"/>
          <w:outline w:val="0"/>
          <w:shadow w:val="0"/>
          <w:sz w:val="24"/>
          <w:szCs w:val="24"/>
          <w:u w:val="none"/>
        </w:rPr>
        <w:pict>
          <v:roundrect w14:anchorId="00D06B15" id="Rounded Rectangle 4" o:spid="_x0000_s1029" style="position:absolute;left:0;text-align:left;margin-left:-38.00pt;margin-top:10.80pt;width:204pt;height:75.5pt;z-index:251662336;visibility:visible;mso-wrap-style:square;mso-width-percent:0;mso-height-percent:0;mso-wrap-distance-left:9pt;mso-wrap-distance-top:0;mso-wrap-distance-right:9pt;mso-wrap-distance-bottom:0;mso-width-percent:0;mso-height-percent:0;mso-width-relative:margin;mso-height-relative:margin;v-text-anchor:middle;mso-position-horizontal-relative:column;mso-position-horizontal:absolute;mso-position-vertical:absolut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lsuf7QEAAB4EAAAOAAAAZHJzL2Uyb0RvYy54bWysU8GO2yAQvVfqPyDujZ1sU2WjOKtqV+2l alfZ9gMIHmIkYCiQ2Pn7DjjxrtpKK1W9YDDz3rx5M2zuBmvYCULU6Bo+n9WcgZPYando+I/vn96t OItJuFYYdNDwM0R+t337ZtP7NSywQ9NCYETi4rr3De9S8uuqirIDK+IMPTi6VBisSHQMh6oNoid2 a6pFXX+oegytDyghRvr7MF7ybeFXCmT6plSExEzDSVsqayjrPq/VdiPWhyB8p+VFhvgHFVZoR0kn qgeRBDsG/QeV1TJgRJVmEm2FSmkJpQaqZl7/Vs1TJzyUWsic6Ceb4v+jlV9Pj4HptuFLzpyw1KId Hl0LLduRecIdDLD32abexzVFP/nHcDlF2uaaBxVs/lI1bCjWnidrYUhM0s/F8rZe1dQBSXe3y9Vq WbyvntE+xPQZ0LK8aXjIKrKEYqs4fYmJ0lL8NY4OWdIoouzS2UDWYdwOFNVEaecFXaYJ7k1gJ0Fz IKQEl+a5KOIr0RmmtDET8OZ14CU+Q6FM2gRevA6eECUzujSBrXYY/kZgJslqjL86MNadLUjDfijN vLl2bI/tmRrc04Q3PP48igCchWTucXwQwskO6T3INOZ0+PGYUOlidqYcCS6paAiLZ5cHk6f85blE PT/r7S8AAAD//wMAUEsDBBQABgAIAAAAIQB1X9U33QAAAAoBAAAPAAAAZHJzL2Rvd25yZXYueG1s TI/BTsMwEETvSPyDtUhcqtapi9wS4lQIqeKcth/gJps4Il5HsduGv2c5wXF3Z2bfFPvZD+KGU+wD GVivMhBIdWh66gycT4flDkRMlho7BEID3xhhXz4+FDZvwp0qvB1TJziEYm4NuJTGXMpYO/Q2rsKI xLc2TN4mHqdONpO9c7gfpMoyLb3tiT84O+KHw/rrePWMsWgrt6va2WW0OJ3Vi/18PWhjnp/m9zcQ Cef0J4ZffPZAyUyXcKUmisHAcqu5SzKg1hoECzYbxYsLK7dKgywL+b9C+QMAAP//AwBQSwECLQAU AAYACAAAACEAtoM4kv4AAADhAQAAEwAAAAAAAAAAAAAAAAAAAAAAW0NvbnRlbnRfVHlwZXNdLnht bFBLAQItABQABgAIAAAAIQA4/SH/1gAAAJQBAAALAAAAAAAAAAAAAAAAAC8BAABfcmVscy8ucmVs c1BLAQItABQABgAIAAAAIQDTlsuf7QEAAB4EAAAOAAAAAAAAAAAAAAAAAC4CAABkcnMvZTJvRG9j LnhtbFBLAQItABQABgAIAAAAIQB1X9U33QAAAAoBAAAPAAAAAAAAAAAAAAAAAEcEAABkcnMvZG93 bnJldi54bWxQSwUGAAAAAAQABADzAAAAUQUAAAAA " fillcolor="#4f7ac7 [3028]" strokecolor="#4472c4 [3204]" strokeweight=".5pt">
            <v:fill color2="#416fc3 [3172]" rotate="t" colors="0 #6083cb;.5 #3e70ca;1 #2e61ba" focus="100%" type="gradient"/>
            <v:stroke joinstyle="miter"/>
            <v:textbox>
              <w:txbxContent>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Carbon-Based QDs</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Carbon Quantum Dots (CQDs)</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Graphene Quantum Dots (GQDs)</w:t>
                  </w:r>
                </w:p>
              </w:txbxContent>
            </v:textbox>
          </v:roundrect>
        </w:pict>
      </w:r>
      <w:r>
        <w:rPr>
          <w:rFonts w:hAnsi="Times New Roman" w:ascii="Times New Roman" w:cs="Times New Roman"/>
          <w:b w:val="0"/>
          <w:i w:val="0"/>
          <w:strike w:val="0"/>
          <w:dstrike w:val="0"/>
          <w:emboss w:val="0"/>
          <w:imprint w:val="0"/>
          <w:outline w:val="0"/>
          <w:shadow w:val="0"/>
          <w:sz w:val="24"/>
          <w:szCs w:val="24"/>
          <w:u w:val="none"/>
        </w:rPr>
        <w:pict>
          <v:roundrect w14:anchorId="241E594A" id="Rounded Rectangle 5" o:spid="_x0000_s1030" style="position:absolute;left:0;text-align:left;margin-left:169.00pt;margin-top:12.75pt;width:149.5pt;height:73.5pt;z-index:251663360;visibility:visible;mso-wrap-style:square;mso-width-percent:0;mso-height-percent:0;mso-wrap-distance-left:9pt;mso-wrap-distance-top:0;mso-wrap-distance-right:9pt;mso-wrap-distance-bottom:0;mso-width-percent:0;mso-height-percent:0;mso-width-relative:margin;mso-height-relative:margin;v-text-anchor:middle;mso-position-horizontal-relative:column;mso-position-horizontal:absolute;mso-position-vertical:absolut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hkw6gEAAB4EAAAOAAAAZHJzL2Uyb0RvYy54bWysU8tu2zAQvBfoPxC81/IjMRzBclAkaC9F GzjtB9DU0iJAclWStuS/75KSlaAtEKDohSLFndnZ2eX2vreGncEHja7ii9mcM3ASa+2OFf/x/dOH DWchClcLgw4qfoHA73fv3227toQlNmhq8IxIXCi7tuJNjG1ZFEE2YEWYYQuOLhV6KyId/bGoveiI 3ZpiOZ+viw593XqUEAL9fRwu+S7zKwUyflMqQGSm4qQt5tXn9ZDWYrcV5dGLttFylCH+QYUV2lHS iepRRMFOXv9BZbX0GFDFmURboFJaQq6BqlnMf6vmuREt5FrInNBONoX/Ryu/np8803XF15w5YalF ezy5Gmq2J/OEOxpgt8mmrg0lRT+3T348BdqmmnvlbfpSNazP1l4ma6GPTNLPxeZus76lDki6u1ut bmhPNMULuvUhfga0LG0q7pOKJCHbKs5fQhzir3EETpIGEXkXLwaSDuP2oKimlDaj8zTBg/HsLGgO hJTg4mLMn6MTTGljJuDqbeAYn6CQJ20CL98GT4icGV2cwFY79H8jMJNkNcRfHRjqThbE/tDnZt5c O3bA+kIN7mjCKx5+noQHznw0Dzg8COFkg/QeZBxyOvx4iqh0NjtRDgRjKhrC3LPxwaQpf33OUS/P evcLAAD//wMAUEsDBBQABgAIAAAAIQBYhBqv3QAAAAoBAAAPAAAAZHJzL2Rvd25yZXYueG1sTI/B boMwEETvlfoP1lbqJWpMoRBKMFFVKeqZJB+wAYNR8BphJ6F/3+2pPe7uzOybcrfYUdz07AdHCl7X EQhNjWsH6hWcjvuXHIQPSC2OjrSCb+1hVz0+lFi07k61vh1CLziEfIEKTAhTIaVvjLbo127SxLfO zRYDj3Mv2xnvHG5HGUdRJi0OxB8MTvrT6OZyuFrGWHW1yetuMRGtjqf4Db/e95lSz0/LxxZE0Ev4 E8MvPnugYqazu1LrxaggSXLuEhTEaQqCBVmy4cWZlZs4BVmV8n+F6gcAAP//AwBQSwECLQAUAAYA CAAAACEAtoM4kv4AAADhAQAAEwAAAAAAAAAAAAAAAAAAAAAAW0NvbnRlbnRfVHlwZXNdLnhtbFBL AQItABQABgAIAAAAIQA4/SH/1gAAAJQBAAALAAAAAAAAAAAAAAAAAC8BAABfcmVscy8ucmVsc1BL AQItABQABgAIAAAAIQAGIhkw6gEAAB4EAAAOAAAAAAAAAAAAAAAAAC4CAABkcnMvZTJvRG9jLnht bFBLAQItABQABgAIAAAAIQBYhBqv3QAAAAoBAAAPAAAAAAAAAAAAAAAAAEQEAABkcnMvZG93bnJl di54bWxQSwUGAAAAAAQABADzAAAATgUAAAAA " fillcolor="#4f7ac7 [3028]" strokecolor="#4472c4 [3204]" strokeweight=".5pt">
            <v:fill color2="#416fc3 [3172]" rotate="t" colors="0 #6083cb;.5 #3e70ca;1 #2e61ba" focus="100%" type="gradient"/>
            <v:stroke joinstyle="miter"/>
            <v:textbox>
              <w:txbxContent>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Semiconductor QDs</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CdSe</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CdTe</w:t>
                  </w:r>
                </w:p>
                <w:p>
                  <w:pPr>
                    <w:spacing w:after="0"/>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ZnS</w:t>
                  </w:r>
                </w:p>
              </w:txbxContent>
            </v:textbox>
          </v:roundrect>
        </w:pict>
      </w:r>
      <w:r>
        <w:rPr>
          <w:rFonts w:hAnsi="Times New Roman" w:ascii="Times New Roman" w:cs="Times New Roman"/>
          <w:b w:val="0"/>
          <w:i w:val="0"/>
          <w:strike w:val="0"/>
          <w:dstrike w:val="0"/>
          <w:emboss w:val="0"/>
          <w:imprint w:val="0"/>
          <w:outline w:val="0"/>
          <w:shadow w:val="0"/>
          <w:sz w:val="24"/>
          <w:szCs w:val="24"/>
          <w:u w:val="none"/>
        </w:rPr>
        <w:pict>
          <v:rect w14:anchorId="5E9B0308" id="Title 1" o:spid="_x0000_s1026" style="position:absolute;margin-left:0.00pt;margin-top:0.00pt;width:9in;height:90pt;z-index:251659264;visibility:visible;mso-wrap-style:square;mso-wrap-distance-left:9pt;mso-wrap-distance-top:0;mso-wrap-distance-right:9pt;mso-wrap-distance-bottom:0;v-text-anchor:middle;mso-position-horizontal-relative:column;mso-position-horizontal:absolute;mso-position-vertical:absolut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3VyemwEAAC4DAAAOAAAAZHJzL2Uyb0RvYy54bWysUttu2zAMfR/QfxD03viyrGuNOMXQosWA YivQ7QMUWYqNWaJAqnGyrx+luGm3vQ17IXRE6ujwkKvrvRvFziAN4FtZLUopjNfQDX7byu/f7s4v paCofKdG8KaVB0Pyen32bjWFxtTQw9gZFEziqZlCK/sYQ1MUpHvjFC0gGM9JC+hUZIjbokM1Mbsb i7osL4oJsAsI2hDx7e0xKdeZ31qj41dryUQxtpK1xRwxx02KxXqlmi2q0A96lqH+QYVTg+dPT1S3 KirxjMNfVG7QCAQ2LjS4AqwdtMk9cDdV+Uc3T70KJvfC5lA42UT/j1Z/2T2FR0zSKTyA/kHCwz3y JKrkTTEFak41CdBcvbfo0ituQeyzn4eTn2YfhebLy7q+uijZds25qlq+LxkkVtW8PA9I8d6AE+nQ SuSBZR/V7oHisfSlZFZzFJCkbKA7PGLaPn7ZA/6UYvzs2ZyrarlMw85g+eFjzQDfZja/ZeJ4A8f1 UF4zTyt1xKzC8959eo5gh6zl9dNZCw8ldzMvUJr6W5yrXtd8/QsAAP//AwBQSwMEFAAGAAgAAAAh AHabOqbXAAAABgEAAA8AAABkcnMvZG93bnJldi54bWxMj0FPwzAMhe9I/IfISNxY0h2mUZpOMLQL NwbSrl7jtRWJUzVZV/49Hhe4WH561vP3qs0cvJpoTH1kC8XCgCJuouu5tfD5sXtYg0oZ2aGPTBa+ KcGmvr2psHTxwu807XOrJIRTiRa6nIdS69R0FDAt4kAs3imOAbPIsdVuxIuEB6+Xxqx0wJ7lQ4cD bTtqvvbnYGF+OaCOvqMT6mDepl3xWmy9tfd38/MTqExz/juGK76gQy1Mx3hml5S3IEXy77x6y8eV 6KNsa2NA15X+j1//AAAA//8DAFBLAQItABQABgAIAAAAIQC2gziS/gAAAOEBAAATAAAAAAAAAAAA AAAAAAAAAABbQ29udGVudF9UeXBlc10ueG1sUEsBAi0AFAAGAAgAAAAhADj9If/WAAAAlAEAAAsA AAAAAAAAAAAAAAAALwEAAF9yZWxzLy5yZWxzUEsBAi0AFAAGAAgAAAAhABXdXJ6bAQAALgMAAA4A AAAAAAAAAAAAAAAALgIAAGRycy9lMm9Eb2MueG1sUEsBAi0AFAAGAAgAAAAhAHabOqbXAAAABgEA AA8AAAAAAAAAAAAAAAAA9QMAAGRycy9kb3ducmV2LnhtbFBLBQYAAAAABAAEAPMAAAD5BAAAAAA= " filled="f" stroked="f"/>
        </w:pict>
      </w: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pict>
          <v:roundrect w14:anchorId="1BCD22A1" id="Rounded Rectangle 7" o:spid="_x0000_s1031" style="position:absolute;left:0;text-align:left;margin-left:136.50pt;margin-top:2.20pt;width:3in;height:56pt;z-index:251665408;visibility:visible;mso-wrap-style:square;mso-height-percent:0;mso-wrap-distance-left:9pt;mso-wrap-distance-top:0;mso-wrap-distance-right:9pt;mso-wrap-distance-bottom:0;mso-height-percent:0;mso-height-relative:margin;v-text-anchor:middle;mso-position-horizontal-relative:column;mso-position-horizontal:absolute;mso-position-vertical:absolut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PyW3gEAABAEAAAOAAAAZHJzL2Uyb0RvYy54bWysU8GO0zAQvSPxD5bvNE0XKKqartCu4IJg 1YUPcJ1xY8n2WLbbpH/P2EmzCJBWWu3FseN5b968GW9vB2vYGULU6BpeL5acgZPYands+K+fX959 4iwm4Vph0EHDLxD57e7tm23vN7DCDk0LgRGJi5veN7xLyW+qKsoOrIgL9ODoUmGwItExHKs2iJ7Y ralWy+XHqsfQ+oASYqS/9+Ml3xV+pUCmH0pFSMw0nLSlsoayHvJa7bZicwzCd1pOMsQLVFihHSWd qe5FEuwU9D9UVsuAEVVaSLQVKqUllBqomnr5VzWPnfBQaiFzop9tiq9HK7+fHwLTbcOpUU5YatEe T66Flu3JPOGOBtg629T7uKHoR/8QplOkba55UMHmL1XDhmLtZbYWhsQk/Vyt399QvziTdLeu67wn muoJ7UNMXwEty5uGh6wiSyi2ivO3mMb4axyBs6RRRNmli4Gsw7g9KKqJ0tYFXaYJ7kxgZ0FzIKQE l+opf4nOMKWNmYE3zwOn+AyFMmkzePU8eEaUzOjSDLbaYfgfgZklqzH+6sBYd7YgDYehNPPDtWMH bC/U4JDMHY5PQDjZIb0AmcYsDj+fEipd7M0kI2Qip7ErXZqeSJ7rP88l6ukh734DAAD//wMAUEsD BBQABgAIAAAAIQBll67O3AAAAAkBAAAPAAAAZHJzL2Rvd25yZXYueG1sTI/BTsMwEETvSPyDtUhc Kuo0hLQNcSqEVHFO2w/Yxk4cNV5HsduGv2c5wXE0s7Nvyt3sBnEzU+g9KVgtExCGGq976hScjvuX DYgQkTQOnoyCbxNgVz0+lFhof6fa3A6xE1xCoUAFNsaxkDI01jgMSz8aYq/1k8PIcuqknvDO5W6Q aZLk0mFP/MHiaD6taS6Hq2OMRVvbTd3ONqHF8ZRm+LXd50o9P80f7yCimeNfGH7x+QYqZjr7K+kg BgXp+pW3RAVZBoL9dfLG+szBVZ6BrEr5f0H1AwAA//8DAFBLAQItABQABgAIAAAAIQC2gziS/gAA AOEBAAATAAAAAAAAAAAAAAAAAAAAAABbQ29udGVudF9UeXBlc10ueG1sUEsBAi0AFAAGAAgAAAAh ADj9If/WAAAAlAEAAAsAAAAAAAAAAAAAAAAALwEAAF9yZWxzLy5yZWxzUEsBAi0AFAAGAAgAAAAh ABZY/JbeAQAAEAQAAA4AAAAAAAAAAAAAAAAALgIAAGRycy9lMm9Eb2MueG1sUEsBAi0AFAAGAAgA AAAhAGWXrs7cAAAACQEAAA8AAAAAAAAAAAAAAAAAOAQAAGRycy9kb3ducmV2LnhtbFBLBQYAAAAA BAAEAPMAAABBBQAAAAA= " fillcolor="#4f7ac7 [3028]" strokecolor="#4472c4 [3204]" strokeweight=".5pt">
            <v:fill color2="#416fc3 [3172]" rotate="t" colors="0 #6083cb;.5 #3e70ca;1 #2e61ba" focus="100%" type="gradient"/>
            <v:stroke joinstyle="miter"/>
            <v:textbox>
              <w:txbxContent>
                <w:p>
                  <w:pPr>
                    <w:spacing w:after="0"/>
                    <w:jc w:val="center"/>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Doped Quantum Dots</w:t>
                  </w:r>
                </w:p>
                <w:p>
                  <w:pPr>
                    <w:spacing w:after="0"/>
                    <w:jc w:val="center"/>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N-doped</w:t>
                  </w:r>
                </w:p>
                <w:p>
                  <w:pPr>
                    <w:spacing w:after="0"/>
                    <w:jc w:val="center"/>
                    <w:rPr>
                      <w:color w:val="FFFFFF" w:themeColor="light1"/>
                      <w:rFonts w:hAnsi="Times New Roman" w:ascii="Times New Roman" w:cs="Times New Roman"/>
                      <w:b/>
                      <w:bCs/>
                      <w:sz w:val="24"/>
                      <w:szCs w:val="24"/>
                    </w:rPr>
                  </w:pPr>
                  <w:r>
                    <w:rPr>
                      <w:color w:val="FFFFFF"/>
                      <w:rFonts w:hAnsi="Times New Roman" w:ascii="Times New Roman" w:cs="Times New Roman"/>
                      <w:b/>
                      <w:bCs/>
                      <w:i w:val="0"/>
                      <w:strike w:val="0"/>
                      <w:dstrike w:val="0"/>
                      <w:emboss w:val="0"/>
                      <w:imprint w:val="0"/>
                      <w:outline w:val="0"/>
                      <w:shadow w:val="0"/>
                      <w:sz w:val="24"/>
                      <w:szCs w:val="24"/>
                      <w:u w:val="none"/>
                    </w:rPr>
                    <w:t xml:space="preserve">• S-doped</w:t>
                  </w:r>
                </w:p>
              </w:txbxContent>
            </v:textbox>
          </v:roundrect>
        </w:pict>
      </w: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center"/>
        <w:rPr>
          <w:color w:val="000000" w:themeColor="text1"/>
          <w:rFonts w:hAnsi="Times New Roman" w:ascii="Times New Roman" w:cs="Times New Roman"/>
          <w:sz w:val="24"/>
          <w:szCs w:val="24"/>
          <w:u w:val="single"/>
        </w:rPr>
      </w:pPr>
      <w:r>
        <w:rPr>
          <w:color w:val="000000"/>
          <w:rFonts w:hAnsi="Times New Roman" w:ascii="Times New Roman" w:cs="Times New Roman"/>
          <w:b w:val="0"/>
          <w:i w:val="0"/>
          <w:strike w:val="0"/>
          <w:dstrike w:val="0"/>
          <w:emboss w:val="0"/>
          <w:imprint w:val="0"/>
          <w:outline w:val="0"/>
          <w:shadow w:val="0"/>
          <w:sz w:val="24"/>
          <w:szCs w:val="24"/>
          <w:u w:val="single"/>
        </w:rPr>
        <w:t xml:space="preserve">Figure 1 – Classification of Quantum Dots Used in Nematology</w:t>
      </w:r>
    </w:p>
    <w:p>
      <w:pPr>
        <w:rPr>
          <w:color w:val="000000" w:themeColor="text1"/>
          <w:rFonts w:hAnsi="Times New Roman" w:ascii="Times New Roman" w:cs="Times New Roman"/>
          <w:sz w:val="24"/>
          <w:szCs w:val="24"/>
          <w:u w:val="single"/>
        </w:rPr>
      </w:pPr>
    </w:p>
    <w:tbl>
      <w:tblPr>
        <w:tblStyle w:val="TableGrid"/>
        <w:tblpPr w:horzAnchor="margin" w:tblpXSpec="center" w:vertAnchor="page" w:tblpY="7872"/>
        <w:tblW w:w="0" w:type="auto"/>
        <w:tblLook w:val="04A0"/>
      </w:tblPr>
      <w:tblGrid>
        <w:gridCol w:w="1376"/>
        <w:gridCol w:w="1553"/>
        <w:gridCol w:w="1746"/>
        <w:gridCol w:w="1834"/>
        <w:gridCol w:w="1198"/>
        <w:gridCol w:w="1309"/>
      </w:tblGrid>
      <w:tr>
        <w:trPr>
          <w:trHeight w:val="725"/>
        </w:trPr>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Type of QD</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Composition</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Main Model Nematode</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Primary Application</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Toxicity Level</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Key Reference</w:t>
            </w:r>
          </w:p>
        </w:tc>
      </w:tr>
      <w:tr>
        <w:trPr>
          <w:trHeight w:val="1288"/>
        </w:trPr>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CQDs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Carbon-based</w:t>
            </w:r>
          </w:p>
        </w:tc>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C. elegans, B. xylophilus, Steinernema spp.</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Imaging, dual role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Low–Moderate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Han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2021</w:t>
            </w:r>
          </w:p>
        </w:tc>
      </w:tr>
      <w:tr>
        <w:trPr>
          <w:trHeight w:val="716"/>
        </w:trPr>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CdSe/CdTe QDs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Cadmium-based</w:t>
            </w:r>
          </w:p>
        </w:tc>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C. elegans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Nanotoxicology</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High</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Qu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2011</w:t>
            </w:r>
          </w:p>
        </w:tc>
      </w:tr>
      <w:tr>
        <w:trPr>
          <w:trHeight w:val="725"/>
        </w:trPr>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GQDs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Graphene-based</w:t>
            </w:r>
          </w:p>
        </w:tc>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C. elegans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Oxidative stress study</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Moderate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Deng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2018</w:t>
            </w:r>
          </w:p>
        </w:tc>
      </w:tr>
      <w:tr>
        <w:trPr>
          <w:trHeight w:val="716"/>
        </w:trPr>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Si-QDs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Silicon-based</w:t>
            </w:r>
          </w:p>
        </w:tc>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C. elegans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Comparative biosafety</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Low</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Li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2013</w:t>
            </w:r>
          </w:p>
        </w:tc>
      </w:tr>
    </w:tbl>
    <w:p>
      <w:pPr>
        <w:jc w:val="center"/>
        <w:rPr>
          <w:color w:val="000000" w:themeColor="text1"/>
          <w:rFonts w:hAnsi="Times New Roman" w:ascii="Times New Roman" w:cs="Times New Roman"/>
          <w:sz w:val="24"/>
          <w:szCs w:val="24"/>
          <w:u w:val="single"/>
        </w:rPr>
      </w:pPr>
      <w:r>
        <w:rPr>
          <w:color w:val="000000"/>
          <w:rFonts w:hAnsi="Times New Roman" w:ascii="Times New Roman" w:cs="Times New Roman"/>
          <w:b w:val="0"/>
          <w:i w:val="0"/>
          <w:strike w:val="0"/>
          <w:dstrike w:val="0"/>
          <w:emboss w:val="0"/>
          <w:imprint w:val="0"/>
          <w:outline w:val="0"/>
          <w:shadow w:val="0"/>
          <w:sz w:val="24"/>
          <w:szCs w:val="24"/>
          <w:u w:val="single"/>
        </w:rPr>
        <w:t xml:space="preserve">Table 1. Types of quantum dots investigated in nematode research and their biological relevance</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3.2 Quantum Dots and Carbon Quantum Dots: Properties Relevant to Nematode Studies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Quantum dots are nanoscale (less than 20 nm) particles that experience quantum confinement and, therefore, have size-dependent absorption and emission spectra (Brus, 1983; Ekimov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1985). Their high brightness, resistance to photobleaching and broad excitation coupled to narrow emission bands have led to numerous applications in bioimaging and sensing (Sadhu and Patra, 2013; Song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2019). </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Carbon quantum dots are compositionally and, in terms of toxicity differ from metal-based QDs. Examples of common precursors for the hydrothermal, microwave-assisted, or pyrolytic QD synthesis include glucose, citric acid, urea, or biomass and many surface functional groups exist on CQDs to facilitate water solubility and biological interactions (Atchudan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2018; Lim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 CQDs demonstrate low cytotoxicity compared to cadmium QDs in various biological models, including zebrafish, mice and nematodes (Kang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 Singh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2018).  For nematode research, CQDs present an advantageous aptitude of (i) strong intrinsic fluorescence for the transparent organism, (ii) long-term photostability for extended periods of observation and (iii) tunable size and surface chemistry which can be altered to influence biological uptake and effects (Xu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2018; Cong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2019).</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4. Carbon Quantum Dots for In Vivo Labelling and Visualisation: Case Studies</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4.1 Labelling of Entomopathogenic Nematodes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research conducted by San-Blas </w:t>
      </w:r>
      <w:r>
        <w:rPr>
          <w:rFonts w:hAnsi="Times New Roman" w:ascii="Times New Roman" w:cs="Times New Roman"/>
          <w:b w:val="0"/>
          <w:i/>
          <w:iCs/>
          <w:strike w:val="0"/>
          <w:dstrike w:val="0"/>
          <w:emboss w:val="0"/>
          <w:imprint w:val="0"/>
          <w:outline w:val="0"/>
          <w:shadow w:val="0"/>
          <w:sz w:val="24"/>
          <w:szCs w:val="24"/>
          <w:u w:val="none"/>
        </w:rPr>
        <w:t xml:space="preserve">et al</w:t>
      </w:r>
      <w:r>
        <w:rPr>
          <w:highlight w:val="yellow"/>
          <w:rFonts w:hAnsi="Times New Roman" w:ascii="Times New Roman" w:cs="Times New Roman"/>
          <w:b w:val="0"/>
          <w:i/>
          <w:iCs/>
          <w:strike w:val="0"/>
          <w:dstrike w:val="0"/>
          <w:emboss w:val="0"/>
          <w:imprint w:val="0"/>
          <w:outline w:val="0"/>
          <w:shadow w:val="0"/>
          <w:sz w:val="24"/>
          <w:szCs w:val="24"/>
          <w:u w:val="none"/>
        </w:rPr>
        <w:t xml:space="preserve">.</w:t>
      </w:r>
      <w:r>
        <w:rPr>
          <w:highlight w:val="yellow"/>
          <w:rFonts w:hAnsi="Times New Roman" w:ascii="Times New Roman" w:cs="Times New Roman"/>
          <w:b w:val="0"/>
          <w:i w:val="0"/>
          <w:strike w:val="0"/>
          <w:dstrike w:val="0"/>
          <w:emboss w:val="0"/>
          <w:imprint w:val="0"/>
          <w:outline w:val="0"/>
          <w:shadow w:val="0"/>
          <w:sz w:val="24"/>
          <w:szCs w:val="24"/>
          <w:u w:val="none"/>
        </w:rPr>
        <w:t xml:space="preserve"> </w:t>
      </w:r>
      <w:r>
        <w:rPr>
          <w:color w:val="FF0000"/>
          <w:rFonts w:hAnsi="Times New Roman" w:ascii="Times New Roman" w:cs="Times New Roman"/>
          <w:b w:val="0"/>
          <w:i w:val="0"/>
          <w:strike w:val="0"/>
          <w:dstrike w:val="0"/>
          <w:emboss w:val="0"/>
          <w:imprint w:val="0"/>
          <w:outline w:val="0"/>
          <w:shadow w:val="0"/>
          <w:sz w:val="24"/>
          <w:szCs w:val="24"/>
          <w:u w:val="single"/>
        </w:rPr>
        <w:t xml:space="preserve">Comma </w:t>
      </w:r>
      <w:r>
        <w:rPr>
          <w:rFonts w:hAnsi="Times New Roman" w:ascii="Times New Roman" w:cs="Times New Roman"/>
          <w:b w:val="0"/>
          <w:i w:val="0"/>
          <w:strike w:val="0"/>
          <w:dstrike w:val="0"/>
          <w:emboss w:val="0"/>
          <w:imprint w:val="0"/>
          <w:outline w:val="0"/>
          <w:shadow w:val="0"/>
          <w:sz w:val="24"/>
          <w:szCs w:val="24"/>
          <w:u w:val="none"/>
        </w:rPr>
        <w:t xml:space="preserve">in 2025 established a groundbreaking achievement which enabled scientists to use two carbon quantum dot types for successful in vivo labelling of </w:t>
      </w:r>
      <w:r>
        <w:rPr>
          <w:rFonts w:hAnsi="Times New Roman" w:ascii="Times New Roman" w:cs="Times New Roman"/>
          <w:b w:val="0"/>
          <w:i/>
          <w:iCs/>
          <w:strike w:val="0"/>
          <w:dstrike w:val="0"/>
          <w:emboss w:val="0"/>
          <w:imprint w:val="0"/>
          <w:outline w:val="0"/>
          <w:shadow w:val="0"/>
          <w:sz w:val="24"/>
          <w:szCs w:val="24"/>
          <w:u w:val="none"/>
        </w:rPr>
        <w:t xml:space="preserve">Steinernema feltiae</w:t>
      </w:r>
      <w:r>
        <w:rPr>
          <w:rFonts w:hAnsi="Times New Roman" w:ascii="Times New Roman" w:cs="Times New Roman"/>
          <w:b w:val="0"/>
          <w:i w:val="0"/>
          <w:strike w:val="0"/>
          <w:dstrike w:val="0"/>
          <w:emboss w:val="0"/>
          <w:imprint w:val="0"/>
          <w:outline w:val="0"/>
          <w:shadow w:val="0"/>
          <w:sz w:val="24"/>
          <w:szCs w:val="24"/>
          <w:u w:val="none"/>
        </w:rPr>
        <w:t xml:space="preserve"> infective juvenile (IJ) specimens. The CQDs showed a gradual increase in fluorescent capacity during in vitro tests because they mostly concentrated in lysosome-like organelles found inside intestinal cells. The fluorescence intensity reached its highest point after about fourteen days which stayed visible for multiple months and maintained visibility even when the nematodes were moved to uncontaminated water. The study found no lethal effects or sublethal effects or transgenerational effects because all three tested abilities showed no changes across different generations. The research shows that traditional dyes and heavy-metal QDs lead to negative effects on nematode fitness while displaying fast photobleaching properties according to </w:t>
        <w:t xml:space="preserve">Chazotte (2011) and Shaner </w:t>
      </w:r>
      <w:r>
        <w:rPr>
          <w:rFonts w:hAnsi="Times New Roman" w:ascii="Times New Roman" w:cs="Times New Roman"/>
          <w:b w:val="0"/>
          <w:i/>
          <w:iCs/>
          <w:strike w:val="0"/>
          <w:dstrike w:val="0"/>
          <w:emboss w:val="0"/>
          <w:imprint w:val="0"/>
          <w:outline w:val="0"/>
          <w:shadow w:val="0"/>
          <w:sz w:val="24"/>
          <w:szCs w:val="24"/>
          <w:u w:val="none"/>
        </w:rPr>
        <w:t xml:space="preserve">et al</w:t>
      </w:r>
      <w:r>
        <w:rPr>
          <w:highlight w:val="yellow"/>
          <w:rFonts w:hAnsi="Times New Roman" w:ascii="Times New Roman" w:cs="Times New Roman"/>
          <w:b w:val="0"/>
          <w:i/>
          <w:iCs/>
          <w:strike w:val="0"/>
          <w:dstrike w:val="0"/>
          <w:emboss w:val="0"/>
          <w:imprint w:val="0"/>
          <w:outline w:val="0"/>
          <w:shadow w:val="0"/>
          <w:sz w:val="24"/>
          <w:szCs w:val="24"/>
          <w:u w:val="none"/>
        </w:rPr>
        <w:t xml:space="preserve">.</w:t>
      </w:r>
      <w:r>
        <w:rPr>
          <w:highlight w:val="yellow"/>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(2005). The authors showed that non-experts could identify and separate labelled EPNs from unlabelled or morphologically similar nematodes through their method which displayed successful soil matrix application.</w:t>
      </w:r>
    </w:p>
    <w:p>
      <w:pPr>
        <w:jc w:val="both"/>
      </w:pPr>
      <w:r>
        <w:rPr>
          <w:rFonts w:ascii="Calibri"/>
          <w:b w:val="0"/>
          <w:i w:val="0"/>
          <w:strike w:val="0"/>
          <w:dstrike w:val="0"/>
          <w:emboss w:val="0"/>
          <w:imprint w:val="0"/>
          <w:outline w:val="0"/>
          <w:shadow w:val="0"/>
          <w:sz w:val="22"/>
          <w:szCs w:val="22"/>
          <w:u w:val="none"/>
        </w:rPr>
        <w:drawing>
          <wp:anchor simplePos="0" relativeHeight="251667456" behindDoc="0" locked="0" layoutInCell="1" allowOverlap="1">
            <wp:simplePos x="0" y="0"/>
            <wp:positionH relativeFrom="margin">
              <wp:posOffset>0</wp:posOffset>
            </wp:positionH>
            <wp:positionV relativeFrom="paragraph">
              <wp:posOffset>12696</wp:posOffset>
            </wp:positionV>
            <wp:extent cx="5727696" cy="2762245"/>
            <wp:effectExtent l="0" t="0" r="6350" b="0"/>
            <wp:wrapNone/>
            <wp:docPr id="40533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re are my nematodes? labelling and visualising entomopathogenic nematodes  in vivo using carbon quantum dots - ScienceDi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noFill/>
                    </a:ln>
                  </pic:spPr>
                </pic:pic>
              </a:graphicData>
            </a:graphic>
          </wp:anchor>
        </w:drawing>
      </w:r>
    </w:p>
    <w:p>
      <w:pPr>
        <w:jc w:val="both"/>
      </w:pPr>
    </w:p>
    <w:p>
      <w:pPr>
        <w:jc w:val="both"/>
      </w:pPr>
    </w:p>
    <w:p>
      <w:pPr>
        <w:jc w:val="both"/>
      </w:pPr>
    </w:p>
    <w:p>
      <w:pPr>
        <w:jc w:val="both"/>
      </w:pPr>
    </w:p>
    <w:p>
      <w:pPr>
        <w:jc w:val="both"/>
      </w:pPr>
    </w:p>
    <w:p>
      <w:pPr>
        <w:jc w:val="both"/>
      </w:pPr>
    </w:p>
    <w:p>
      <w:pPr>
        <w:jc w:val="both"/>
      </w:pPr>
    </w:p>
    <w:p>
      <w:pPr>
        <w:jc w:val="both"/>
      </w:pPr>
      <w:r>
        <w:rPr>
          <w:rFonts w:ascii="Calibri"/>
          <w:b w:val="0"/>
          <w:i w:val="0"/>
          <w:strike w:val="0"/>
          <w:dstrike w:val="0"/>
          <w:emboss w:val="0"/>
          <w:imprint w:val="0"/>
          <w:outline w:val="0"/>
          <w:shadow w:val="0"/>
          <w:sz w:val="22"/>
          <w:szCs w:val="22"/>
          <w:u w:val="none"/>
        </w:rPr>
        <w:t xml:space="preserve">  </w:t>
      </w:r>
    </w:p>
    <w:p>
      <w:pPr>
        <w:jc w:val="both"/>
        <w:rPr>
          <w:color w:val="000000" w:themeColor="text1"/>
          <w:rFonts w:hAnsi="Times New Roman" w:ascii="Times New Roman" w:cs="Times New Roman"/>
          <w:sz w:val="24"/>
          <w:szCs w:val="24"/>
        </w:rPr>
      </w:pPr>
    </w:p>
    <w:p>
      <w:pPr>
        <w:jc w:val="both"/>
        <w:rPr>
          <w:color w:val="EE0000"/>
          <w:rFonts w:hAnsi="Times New Roman" w:ascii="Times New Roman" w:cs="Times New Roman"/>
          <w:b/>
          <w:bCs/>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Figure 2. Fluorescence microscopy image of Steinernema feltiae infective juveniles after being treated with carbon quantum dots (CQDs) in vivo. The intestinal region is brightly fluorescent, which suggests that the carbon quantum dots have accumulated inside lysosome, like organelles. This picture shows that the nematodes not only successfully ingested the dots but also that the fluorescence remained stable inside them. Thus, carbon quantum dots can be used as bioimaging probes for long, term in vivo studies. </w:t>
        <w:t xml:space="preserve">Adopted from San-Blas </w:t>
      </w:r>
      <w:r>
        <w:rPr>
          <w:color w:val="000000"/>
          <w:rFonts w:hAnsi="Times New Roman" w:ascii="Times New Roman" w:cs="Times New Roman"/>
          <w:b w:val="0"/>
          <w:i/>
          <w:iCs/>
          <w:strike w:val="0"/>
          <w:dstrike w:val="0"/>
          <w:emboss w:val="0"/>
          <w:imprint w:val="0"/>
          <w:outline w:val="0"/>
          <w:shadow w:val="0"/>
          <w:sz w:val="24"/>
          <w:szCs w:val="24"/>
          <w:u w:val="none"/>
        </w:rPr>
        <w:t xml:space="preserve">et al</w:t>
      </w:r>
      <w:r>
        <w:rPr>
          <w:color w:val="000000"/>
          <w:highlight w:val="yellow"/>
          <w:rFonts w:hAnsi="Times New Roman" w:ascii="Times New Roman" w:cs="Times New Roman"/>
          <w:b w:val="0"/>
          <w:i/>
          <w:iCs/>
          <w:strike w:val="0"/>
          <w:dstrike w:val="0"/>
          <w:emboss w:val="0"/>
          <w:imprint w:val="0"/>
          <w:outline w:val="0"/>
          <w:shadow w:val="0"/>
          <w:sz w:val="24"/>
          <w:szCs w:val="24"/>
          <w:u w:val="none"/>
        </w:rPr>
        <w:t xml:space="preserve">.</w:t>
      </w:r>
      <w:r>
        <w:rPr>
          <w:color w:val="000000"/>
          <w:highlight w:val="yellow"/>
          <w:rFonts w:hAnsi="Times New Roman" w:ascii="Times New Roman" w:cs="Times New Roman"/>
          <w:b w:val="0"/>
          <w:i w:val="0"/>
          <w:strike w:val="0"/>
          <w:dstrike w:val="0"/>
          <w:emboss w:val="0"/>
          <w:imprint w:val="0"/>
          <w:outline w:val="0"/>
          <w:shadow w:val="0"/>
          <w:sz w:val="24"/>
          <w:szCs w:val="24"/>
          <w:u w:val="none"/>
        </w:rPr>
        <w:t xml:space="preserve"> </w:t>
      </w:r>
      <w:r>
        <w:rPr>
          <w:color w:val="000000"/>
          <w:rFonts w:hAnsi="Times New Roman" w:ascii="Times New Roman" w:cs="Times New Roman"/>
          <w:b w:val="0"/>
          <w:i w:val="0"/>
          <w:strike w:val="0"/>
          <w:dstrike w:val="0"/>
          <w:emboss w:val="0"/>
          <w:imprint w:val="0"/>
          <w:outline w:val="0"/>
          <w:shadow w:val="0"/>
          <w:sz w:val="24"/>
          <w:szCs w:val="24"/>
          <w:u w:val="none"/>
        </w:rPr>
        <w:t xml:space="preserve">(2025)</w:t>
      </w:r>
    </w:p>
    <w:p>
      <w:pPr>
        <w:jc w:val="both"/>
        <w:rPr>
          <w:color w:val="EE0000"/>
          <w:rFonts w:hAnsi="Times New Roman" w:ascii="Times New Roman" w:cs="Times New Roman"/>
          <w:b/>
          <w:bCs/>
          <w:sz w:val="24"/>
          <w:szCs w:val="24"/>
        </w:rPr>
      </w:pPr>
    </w:p>
    <w:p>
      <w:pPr>
        <w:jc w:val="both"/>
        <w:rPr>
          <w:color w:val="000000" w:themeColor="text1"/>
          <w:rFonts w:hAnsi="Times New Roman" w:ascii="Times New Roman" w:cs="Times New Roman"/>
          <w:b/>
          <w:bCs/>
          <w:sz w:val="24"/>
          <w:szCs w:val="24"/>
        </w:rPr>
      </w:pPr>
      <w:r>
        <w:rPr>
          <w:color w:val="000000"/>
          <w:rFonts w:hAnsi="Times New Roman" w:ascii="Times New Roman" w:cs="Times New Roman"/>
          <w:b/>
          <w:bCs/>
          <w:i w:val="0"/>
          <w:strike w:val="0"/>
          <w:dstrike w:val="0"/>
          <w:emboss w:val="0"/>
          <w:imprint w:val="0"/>
          <w:outline w:val="0"/>
          <w:shadow w:val="0"/>
          <w:sz w:val="24"/>
          <w:szCs w:val="24"/>
          <w:u w:val="none"/>
        </w:rPr>
        <w:lastRenderedPageBreak/>
        <w:t xml:space="preserve">4.2 Semiconductor Quantum Dot–Labelled Nanocarriers for In Vivo Imaging in Nematodes –</w:t>
      </w:r>
    </w:p>
    <w:p>
      <w:pPr>
        <w:jc w:val="both"/>
        <w:rPr>
          <w:color w:val="000000" w:themeColor="text1"/>
          <w:rFonts w:hAnsi="Times New Roman" w:ascii="Times New Roman" w:cs="Times New Roman"/>
          <w:b/>
          <w:bCs/>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One highly communicable case of semiconductor quantum dot, assisted imaging in nematodes is the work of Stavitskaya </w:t>
      </w:r>
      <w:r>
        <w:rPr>
          <w:color w:val="000000"/>
          <w:rFonts w:hAnsi="Times New Roman" w:ascii="Times New Roman" w:cs="Times New Roman"/>
          <w:b w:val="0"/>
          <w:i/>
          <w:iCs/>
          <w:strike w:val="0"/>
          <w:dstrike w:val="0"/>
          <w:emboss w:val="0"/>
          <w:imprint w:val="0"/>
          <w:outline w:val="0"/>
          <w:shadow w:val="0"/>
          <w:sz w:val="24"/>
          <w:szCs w:val="24"/>
          <w:u w:val="none"/>
        </w:rPr>
        <w:t xml:space="preserve">et al</w:t>
      </w:r>
      <w:r>
        <w:rPr>
          <w:color w:val="000000"/>
          <w:highlight w:val="yellow"/>
          <w:rFonts w:hAnsi="Times New Roman" w:ascii="Times New Roman" w:cs="Times New Roman"/>
          <w:b w:val="0"/>
          <w:i/>
          <w:iCs/>
          <w:strike w:val="0"/>
          <w:dstrike w:val="0"/>
          <w:emboss w:val="0"/>
          <w:imprint w:val="0"/>
          <w:outline w:val="0"/>
          <w:shadow w:val="0"/>
          <w:sz w:val="24"/>
          <w:szCs w:val="24"/>
          <w:u w:val="none"/>
        </w:rPr>
        <w:t xml:space="preserve">.</w:t>
      </w:r>
      <w:r>
        <w:rPr>
          <w:color w:val="000000"/>
          <w:highlight w:val="yellow"/>
          <w:rFonts w:hAnsi="Times New Roman" w:ascii="Times New Roman" w:cs="Times New Roman"/>
          <w:b w:val="0"/>
          <w:i w:val="0"/>
          <w:strike w:val="0"/>
          <w:dstrike w:val="0"/>
          <w:emboss w:val="0"/>
          <w:imprint w:val="0"/>
          <w:outline w:val="0"/>
          <w:shadow w:val="0"/>
          <w:sz w:val="24"/>
          <w:szCs w:val="24"/>
          <w:u w:val="none"/>
        </w:rPr>
        <w:t xml:space="preserve"> </w:t>
      </w:r>
      <w:r>
        <w:rPr>
          <w:color w:val="000000"/>
          <w:rFonts w:hAnsi="Times New Roman" w:ascii="Times New Roman" w:cs="Times New Roman"/>
          <w:b w:val="0"/>
          <w:i w:val="0"/>
          <w:strike w:val="0"/>
          <w:dstrike w:val="0"/>
          <w:emboss w:val="0"/>
          <w:imprint w:val="0"/>
          <w:outline w:val="0"/>
          <w:shadow w:val="0"/>
          <w:sz w:val="24"/>
          <w:szCs w:val="24"/>
          <w:u w:val="none"/>
        </w:rPr>
        <w:t xml:space="preserve">(2021), who explored the in vivo distribution of label CdS and Cd₀.₇Zn₀.₃S quantum dot, tagged halloysite nanotubes (HNTs) in </w:t>
      </w:r>
      <w:r>
        <w:rPr>
          <w:color w:val="000000"/>
          <w:rFonts w:hAnsi="Times New Roman" w:ascii="Times New Roman" w:cs="Times New Roman"/>
          <w:b w:val="0"/>
          <w:i/>
          <w:iCs/>
          <w:strike w:val="0"/>
          <w:dstrike w:val="0"/>
          <w:emboss w:val="0"/>
          <w:imprint w:val="0"/>
          <w:outline w:val="0"/>
          <w:shadow w:val="0"/>
          <w:sz w:val="24"/>
          <w:szCs w:val="24"/>
          <w:u w:val="none"/>
        </w:rPr>
        <w:t xml:space="preserve">Caenorhabditis elegans</w:t>
      </w:r>
      <w:r>
        <w:rPr>
          <w:color w:val="000000"/>
          <w:rFonts w:hAnsi="Times New Roman" w:ascii="Times New Roman" w:cs="Times New Roman"/>
          <w:b w:val="0"/>
          <w:i w:val="0"/>
          <w:strike w:val="0"/>
          <w:dstrike w:val="0"/>
          <w:emboss w:val="0"/>
          <w:imprint w:val="0"/>
          <w:outline w:val="0"/>
          <w:shadow w:val="0"/>
          <w:sz w:val="24"/>
          <w:szCs w:val="24"/>
          <w:u w:val="none"/>
        </w:rPr>
        <w:t xml:space="preserve">. Here, HNTs were decorated with fluorescent semiconductor quantum dots and given to the worms through feeding. Fluorescence microscopy made it possible to observe the nanoparticles' entry and distribution inside the nematodes in real time. The strongest pharyngeal region and tail fluorescence signals showed the nanocomposites' uptake and later internal transport. The comparative imaging, optical, fluorescence, and then merged overlay images, confirmed the presence of CdS/HNT, Azine, Cd₀.₇Zn₀.₃S/HNT, Azine and </w:t>
        <w:t xml:space="preserve">CdS/HNT, NH inside the nematodes while pristine halloysite nanotubes revealed only a dim fluorescence. The use of semiconductor quantum dot, functionalized nanotubes allow in vivo tracking, biodistribution studies and nanotoxicological evaluation of nematodes with high sensitivity and accuracy. In this respect, the strategy may be considered as an invaluable tool for furthering the investigation of nanoparticle delivery and the bioimaging of nematodes.</w:t>
      </w: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b/>
          <w:bCs/>
          <w:sz w:val="24"/>
          <w:szCs w:val="24"/>
        </w:rPr>
      </w:pPr>
    </w:p>
    <w:p>
      <w:pPr>
        <w:jc w:val="both"/>
        <w:rPr>
          <w:color w:val="000000" w:themeColor="text1"/>
          <w:rFonts w:hAnsi="Times New Roman" w:ascii="Times New Roman" w:cs="Times New Roman"/>
          <w:sz w:val="24"/>
          <w:szCs w:val="24"/>
        </w:rPr>
      </w:pPr>
      <w:r>
        <w:rPr>
          <w:rFonts w:ascii="Calibri"/>
          <w:b w:val="0"/>
          <w:i w:val="0"/>
          <w:strike w:val="0"/>
          <w:dstrike w:val="0"/>
          <w:emboss w:val="0"/>
          <w:imprint w:val="0"/>
          <w:outline w:val="0"/>
          <w:shadow w:val="0"/>
          <w:sz w:val="22"/>
          <w:szCs w:val="22"/>
          <w:u w:val="none"/>
        </w:rPr>
        <w:drawing>
          <wp:anchor simplePos="0" relativeHeight="251666432" behindDoc="0" locked="0" layoutInCell="1" allowOverlap="1">
            <wp:simplePos x="0" y="0"/>
            <wp:positionH relativeFrom="margin">
              <wp:posOffset>-191765</wp:posOffset>
            </wp:positionH>
            <wp:positionV relativeFrom="paragraph">
              <wp:posOffset>-749940</wp:posOffset>
            </wp:positionV>
            <wp:extent cx="5731505" cy="3437259"/>
            <wp:effectExtent l="0" t="0" r="2540" b="0"/>
            <wp:wrapNone/>
            <wp:docPr id="1434384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s 14 05469 g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anchor>
        </w:drawing>
      </w: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p>
    <w:p>
      <w:pPr>
        <w:jc w:val="both"/>
        <w:rPr>
          <w:color w:val="000000" w:themeColor="text1"/>
          <w:rFonts w:hAnsi="Times New Roman" w:ascii="Times New Roman" w:cs="Times New Roman"/>
          <w:sz w:val="24"/>
          <w:szCs w:val="24"/>
        </w:rPr>
      </w:pPr>
      <w:r>
        <w:rPr>
          <w:color w:val="000000"/>
          <w:rFonts w:hAnsi="Times New Roman" w:ascii="Times New Roman" w:cs="Times New Roman"/>
          <w:b w:val="0"/>
          <w:i w:val="0"/>
          <w:strike w:val="0"/>
          <w:dstrike w:val="0"/>
          <w:emboss w:val="0"/>
          <w:imprint w:val="0"/>
          <w:outline w:val="0"/>
          <w:shadow w:val="0"/>
          <w:sz w:val="24"/>
          <w:szCs w:val="24"/>
          <w:u w:val="none"/>
        </w:rPr>
        <w:t xml:space="preserve">Figure 3. Representative micrographs of </w:t>
      </w:r>
      <w:r>
        <w:rPr>
          <w:color w:val="000000"/>
          <w:rFonts w:hAnsi="Times New Roman" w:ascii="Times New Roman" w:cs="Times New Roman"/>
          <w:b w:val="0"/>
          <w:i/>
          <w:iCs/>
          <w:strike w:val="0"/>
          <w:dstrike w:val="0"/>
          <w:emboss w:val="0"/>
          <w:imprint w:val="0"/>
          <w:outline w:val="0"/>
          <w:shadow w:val="0"/>
          <w:sz w:val="24"/>
          <w:szCs w:val="24"/>
          <w:u w:val="none"/>
        </w:rPr>
        <w:t xml:space="preserve">Caenorhabditis elegans</w:t>
      </w:r>
      <w:r>
        <w:rPr>
          <w:color w:val="000000"/>
          <w:rFonts w:hAnsi="Times New Roman" w:ascii="Times New Roman" w:cs="Times New Roman"/>
          <w:b w:val="0"/>
          <w:i w:val="0"/>
          <w:strike w:val="0"/>
          <w:dstrike w:val="0"/>
          <w:emboss w:val="0"/>
          <w:imprint w:val="0"/>
          <w:outline w:val="0"/>
          <w:shadow w:val="0"/>
          <w:sz w:val="24"/>
          <w:szCs w:val="24"/>
          <w:u w:val="none"/>
        </w:rPr>
        <w:t xml:space="preserve"> following ingestion of fluorescently labelled halloysite nanotubes. (a) Pharyngeal region and (b) tail region of the nematodes. For each treatment: A- bright-field (optical) images; B- fluorescence images; C- merged images showing alignment of optical and fluorescence signals. Treatments include (1) pristine halloysite, (2) CdS/HNT-Azine, (3) Cd₀.₇Zn₀.₃S/HNT-Azine, (4) CdS/HNT-NH₂ nanocomposites. Adapted from Stavitskaya </w:t>
      </w:r>
      <w:r>
        <w:rPr>
          <w:color w:val="000000"/>
          <w:rFonts w:hAnsi="Times New Roman" w:ascii="Times New Roman" w:cs="Times New Roman"/>
          <w:b w:val="0"/>
          <w:i/>
          <w:iCs/>
          <w:strike w:val="0"/>
          <w:dstrike w:val="0"/>
          <w:emboss w:val="0"/>
          <w:imprint w:val="0"/>
          <w:outline w:val="0"/>
          <w:shadow w:val="0"/>
          <w:sz w:val="24"/>
          <w:szCs w:val="24"/>
          <w:u w:val="none"/>
        </w:rPr>
        <w:t xml:space="preserve">et al</w:t>
      </w:r>
      <w:r>
        <w:rPr>
          <w:color w:val="000000"/>
          <w:highlight w:val="yellow"/>
          <w:rFonts w:hAnsi="Times New Roman" w:ascii="Times New Roman" w:cs="Times New Roman"/>
          <w:b w:val="0"/>
          <w:i/>
          <w:iCs/>
          <w:strike w:val="0"/>
          <w:dstrike w:val="0"/>
          <w:emboss w:val="0"/>
          <w:imprint w:val="0"/>
          <w:outline w:val="0"/>
          <w:shadow w:val="0"/>
          <w:sz w:val="24"/>
          <w:szCs w:val="24"/>
          <w:u w:val="none"/>
        </w:rPr>
        <w:t xml:space="preserve">.</w:t>
      </w:r>
      <w:r>
        <w:rPr>
          <w:color w:val="000000"/>
          <w:highlight w:val="yellow"/>
          <w:rFonts w:hAnsi="Times New Roman" w:ascii="Times New Roman" w:cs="Times New Roman"/>
          <w:b w:val="0"/>
          <w:i w:val="0"/>
          <w:strike w:val="0"/>
          <w:dstrike w:val="0"/>
          <w:emboss w:val="0"/>
          <w:imprint w:val="0"/>
          <w:outline w:val="0"/>
          <w:shadow w:val="0"/>
          <w:sz w:val="24"/>
          <w:szCs w:val="24"/>
          <w:u w:val="none"/>
        </w:rPr>
        <w:t xml:space="preserve"> </w:t>
      </w:r>
      <w:r>
        <w:rPr>
          <w:color w:val="000000"/>
          <w:rFonts w:hAnsi="Times New Roman" w:ascii="Times New Roman" w:cs="Times New Roman"/>
          <w:b w:val="0"/>
          <w:i w:val="0"/>
          <w:strike w:val="0"/>
          <w:dstrike w:val="0"/>
          <w:emboss w:val="0"/>
          <w:imprint w:val="0"/>
          <w:outline w:val="0"/>
          <w:shadow w:val="0"/>
          <w:sz w:val="24"/>
          <w:szCs w:val="24"/>
          <w:u w:val="none"/>
        </w:rPr>
        <w:t xml:space="preserve">(2021)</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4.3 Implications for Ecological and Applied Research</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Being able to label and track nematodes in large numbers and at a very low cost is a great breakthrough in technology that will benefit both ecological research and applied nematode control. Initially, nematology researchers depended on traditional observation as well as indirect diagnostic methods which limited the level of detail at which they could understand nematode movement and behaviour (Smits, 1996). Currently, the usage of nanotechnology and fluorescent nanoparticle tools is revolutionizing this area.</w:t>
        <w:t xml:space="preserve"> It has been demonstrated that the labeling of entomopathogenic nematodes with carbon quantum dots (CQD) is not only highly efficient, but also that CQDs do not cause toxicity and can be used for the visualization of the movement and longevity of nematodes in soil and water (San-Blas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2025). Besides that, nanomaterial, based methods with the use of CQDs or other types of engineered nanoparticles have been tested for the development of nematode control methods, example-nematicidal activity against larval and egg stages, thereby opening the possibility of combining imaging and management applications (Fakheri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2025). Therefore, the combination of quantum dot, based imaging with eco, friendly nematode control techniques signify a move from traditional methods to new, high, resolution tools for both scientific research and biological control.</w:t>
      </w:r>
    </w:p>
    <w:p>
      <w:pPr>
        <w:jc w:val="both"/>
        <w:rPr>
          <w:rFonts w:hAnsi="Times New Roman" w:ascii="Times New Roman" w:cs="Times New Roman"/>
          <w:sz w:val="24"/>
          <w:szCs w:val="24"/>
        </w:rPr>
      </w:pPr>
      <w:r>
        <w:rPr>
          <w:rFonts w:hAnsi="Times New Roman" w:ascii="Times New Roman" w:cs="Times New Roman"/>
          <w:b/>
          <w:bCs/>
          <w:i w:val="0"/>
          <w:strike w:val="0"/>
          <w:dstrike w:val="0"/>
          <w:emboss w:val="0"/>
          <w:imprint w:val="0"/>
          <w:outline w:val="0"/>
          <w:shadow w:val="0"/>
          <w:sz w:val="24"/>
          <w:szCs w:val="24"/>
          <w:u w:val="none"/>
        </w:rPr>
        <w:t xml:space="preserve">5. Carbon Quantum Dots as Stress-Inducing and Nematicidal Agents: Case Studies</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5.1 Physiological and Behavioural Effects in </w:t>
      </w:r>
      <w:r>
        <w:rPr>
          <w:rFonts w:hAnsi="Times New Roman" w:ascii="Times New Roman" w:cs="Times New Roman"/>
          <w:b/>
          <w:bCs/>
          <w:i/>
          <w:iCs/>
          <w:strike w:val="0"/>
          <w:dstrike w:val="0"/>
          <w:emboss w:val="0"/>
          <w:imprint w:val="0"/>
          <w:outline w:val="0"/>
          <w:shadow w:val="0"/>
          <w:sz w:val="24"/>
          <w:szCs w:val="24"/>
          <w:u w:val="none"/>
        </w:rPr>
        <w:t xml:space="preserve">Bursaphelenchus xylophilus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research conducted by Han and his collaborators in 2021 presents the most complete study about CQD toxicity to plant-parasitic nematodes. The researchers used CQDs derived from glucose to assess how B. xylophilus lifespan and mobility and reproductive capacity and body distribution and gene expression patterns were affected. Bioimaging displayed that CQDs spread throughout the entire body of the nematode while the intestine emerged as the main area where CQDs collected. The behavioural tests demonstrated that both the concentration of the substance and the duration of exposure determined the test results. The study discovered that when organisms faced CQDs present at concentrations &gt;4 mg mL⁻¹ their survival rate dropped after they went through extended exposure that lasted more than 72 hours and their thrashing activity decreased while their egg-laying ability dropped to a significant extent. They found that the analysis showed that all three ways of testing showed that the nanoparticles and heavy-metal quantum dots and their effects on nematodes created similar results to those found in previous studies (Qu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2011; Zhao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5.2 Transcriptomic Insights into CQD-Induced Stress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analysis of transcriptome data discovered more than 1600 genes which showed differential expression after CQD treatment and showed strong activation of detoxification pathways. The research found that genes which code for cytochrome P450s and glutathione S-transferases and UDP-glucuronosyl transferases showed significant up-regulation because their expression activated foreign substance metabolic processes (Han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2021). The study showed that nanoparticle-induced stress increased fatty-acid β-oxidation and energy metabolism through the over-expression of related genes.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drawing>
          <wp:anchor simplePos="0" relativeHeight="251668480" behindDoc="0" locked="0" layoutInCell="1" allowOverlap="1">
            <wp:simplePos x="0" y="0"/>
            <wp:positionH relativeFrom="margin">
              <wp:posOffset>-42527</wp:posOffset>
            </wp:positionH>
            <wp:positionV relativeFrom="paragraph">
              <wp:posOffset>334</wp:posOffset>
            </wp:positionV>
            <wp:extent cx="5725157" cy="2457450"/>
            <wp:effectExtent l="0" t="0" r="8890" b="0"/>
            <wp:wrapTight wrapText="bothSides">
              <wp:wrapPolygon edited="0">
                <wp:start x="0" y="0"/>
                <wp:lineTo x="0" y="21433"/>
                <wp:lineTo x="21562" y="21433"/>
                <wp:lineTo x="21562" y="0"/>
                <wp:lineTo x="0" y="0"/>
              </wp:wrapPolygon>
            </wp:wrapTight>
            <wp:docPr id="131907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5418" name=""/>
                    <pic:cNvPicPr/>
                  </pic:nvPicPr>
                  <pic:blipFill rotWithShape="1">
                    <a:blip r:embed="rId10" cstate="print">
                      <a:extLst>
                        <a:ext uri="{28A0092B-C50C-407E-A947-70E740481C1C}">
                          <a14:useLocalDpi xmlns:a14="http://schemas.microsoft.com/office/drawing/2010/main" val="0"/>
                        </a:ext>
                      </a:extLst>
                    </a:blip>
                    <a:srcRect l="5096" r="4277" b="17838"/>
                    <a:stretch>
                      <a:fillRect/>
                    </a:stretch>
                  </pic:blipFill>
                  <pic:spPr bwMode="auto">
                    <a:xfrm>
                      <a:off x="0" y="0"/>
                      <a:ext cx="5725160" cy="2457450"/>
                    </a:xfrm>
                    <a:prstGeom prst="rect">
                      <a:avLst/>
                    </a:prstGeom>
                    <a:ln>
                      <a:noFill/>
                    </a:ln>
                    <a:extLst>
                      <a:ext uri="{53640926-AAD7-44D8-BBD7-CCE9431645EC}">
                        <a14:shadowObscured xmlns:a14="http://schemas.microsoft.com/office/drawing/2010/main"/>
                      </a:ext>
                    </a:extLst>
                  </pic:spPr>
                </pic:pic>
              </a:graphicData>
            </a:graphic>
          </wp:anchor>
        </w:drawing>
      </w:r>
    </w:p>
    <w:p>
      <w:pPr>
        <w:jc w:val="both"/>
        <w:rPr>
          <w:rFonts w:hAnsi="Times New Roman" w:ascii="Times New Roman" w:cs="Times New Roman"/>
          <w:sz w:val="24"/>
          <w:szCs w:val="24"/>
        </w:rPr>
      </w:pPr>
    </w:p>
    <w:p>
      <w:pPr>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4- Differential gene expression pattern in nematode exposed to high concentration of CQDs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The study found that genes linked to locomotion and reproduction showed different expression patterns which established a genetic foundation for the detected changes in behaviour. The research found that Caenorhabditis elegans and zebrafish exhibited similar detoxification mechanisms after they were exposed to graphene and carbon-based quantum dots, which demonstrated the widespread nature of these biological processes (Deng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2018; Qu et </w:t>
      </w:r>
      <w:r>
        <w:rPr>
          <w:rFonts w:hAnsi="Times New Roman" w:ascii="Times New Roman" w:cs="Times New Roman"/>
          <w:b w:val="0"/>
          <w:i/>
          <w:iCs/>
          <w:strike w:val="0"/>
          <w:dstrike w:val="0"/>
          <w:emboss w:val="0"/>
          <w:imprint w:val="0"/>
          <w:outline w:val="0"/>
          <w:shadow w:val="0"/>
          <w:sz w:val="24"/>
          <w:szCs w:val="24"/>
          <w:u w:val="none"/>
        </w:rPr>
        <w:t xml:space="preserve">al.,</w:t>
      </w:r>
      <w:r>
        <w:rPr>
          <w:rFonts w:hAnsi="Times New Roman" w:ascii="Times New Roman" w:cs="Times New Roman"/>
          <w:b w:val="0"/>
          <w:i w:val="0"/>
          <w:strike w:val="0"/>
          <w:dstrike w:val="0"/>
          <w:emboss w:val="0"/>
          <w:imprint w:val="0"/>
          <w:outline w:val="0"/>
          <w:shadow w:val="0"/>
          <w:sz w:val="24"/>
          <w:szCs w:val="24"/>
          <w:u w:val="none"/>
        </w:rPr>
        <w:t xml:space="preserve"> 2019).</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drawing>
          <wp:inline>
            <wp:extent cx="5731505" cy="4864098"/>
            <wp:effectExtent l="0" t="0" r="2540" b="0"/>
            <wp:docPr id="10834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27836" name=""/>
                    <pic:cNvPicPr/>
                  </pic:nvPicPr>
                  <pic:blipFill rotWithShape="1">
                    <a:blip r:embed="rId11"/>
                    <a:srcRect b="9755"/>
                    <a:stretch>
                      <a:fillRect/>
                    </a:stretch>
                  </pic:blipFill>
                  <pic:spPr bwMode="auto">
                    <a:xfrm>
                      <a:off x="0" y="0"/>
                      <a:ext cx="5731510" cy="4864100"/>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Figure 5- Proposed mechanistic model of CQD-induced oxidative stress and detoxification pathways in nematodes</w:t>
      </w:r>
    </w:p>
    <w:tbl>
      <w:tblPr>
        <w:tblStyle w:val="TableGrid"/>
        <w:tblW w:w="10349" w:type="dxa"/>
        <w:tblInd w:w="-402" w:type="dxa"/>
        <w:tblLook w:val="04A0"/>
      </w:tblPr>
      <w:tblGrid>
        <w:gridCol w:w="1526"/>
        <w:gridCol w:w="1796"/>
        <w:gridCol w:w="1977"/>
        <w:gridCol w:w="1811"/>
        <w:gridCol w:w="1836"/>
        <w:gridCol w:w="1403"/>
      </w:tblGrid>
      <w:tr>
        <w:trPr>
          <w:trHeight w:val="846"/>
        </w:trPr>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Nematode Species</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CQD Concentration</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Exposure Duration</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Observed Effect</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Mechanism Involved</w:t>
            </w:r>
          </w:p>
        </w:tc>
        <w:tc>
          <w:tcPr>
            <w:tcW w:w="0" w:type="auto"/>
          </w:tcPr>
          <w:p>
            <w:pPr>
              <w:spacing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Reference</w:t>
            </w:r>
          </w:p>
        </w:tc>
      </w:tr>
      <w:tr>
        <w:trPr>
          <w:trHeight w:val="854"/>
        </w:trPr>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B. xylophilus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&gt;4 mg/mL</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72 h</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Reduced survival</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ROS, detox gene activation</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Han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2021</w:t>
            </w:r>
          </w:p>
        </w:tc>
      </w:tr>
      <w:tr>
        <w:trPr>
          <w:trHeight w:val="604"/>
        </w:trPr>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C. elegans</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Variable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Multigenerational</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Reproduction decline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P450 upregulation</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Zhao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2015</w:t>
            </w:r>
          </w:p>
        </w:tc>
      </w:tr>
      <w:tr>
        <w:trPr>
          <w:trHeight w:val="854"/>
        </w:trPr>
        <w:tc>
          <w:tcPr>
            <w:tcW w:w="0" w:type="auto"/>
          </w:tcPr>
          <w:p>
            <w:pPr>
              <w:spacing w:line="259" w:lineRule="auto"/>
              <w:jc w:val="both"/>
              <w:rPr>
                <w:rFonts w:hAnsi="Times New Roman" w:ascii="Times New Roman" w:cs="Times New Roman"/>
                <w:i/>
                <w:iCs/>
                <w:sz w:val="24"/>
                <w:szCs w:val="24"/>
              </w:rPr>
            </w:pPr>
            <w:r>
              <w:rPr>
                <w:rFonts w:hAnsi="Times New Roman" w:ascii="Times New Roman" w:cs="Times New Roman"/>
                <w:b w:val="0"/>
                <w:i/>
                <w:iCs/>
                <w:strike w:val="0"/>
                <w:dstrike w:val="0"/>
                <w:emboss w:val="0"/>
                <w:imprint w:val="0"/>
                <w:outline w:val="0"/>
                <w:shadow w:val="0"/>
                <w:sz w:val="24"/>
                <w:szCs w:val="24"/>
                <w:u w:val="none"/>
              </w:rPr>
              <w:t xml:space="preserve">Steinernema feltiae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Low dose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Long-term</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 toxicity, stable fluorescence</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Biocompatible labeling</w:t>
            </w:r>
          </w:p>
        </w:tc>
        <w:tc>
          <w:tcPr>
            <w:tcW w:w="0" w:type="auto"/>
          </w:tcPr>
          <w:p>
            <w:pPr>
              <w:spacing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San-Blas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2025</w:t>
            </w:r>
          </w:p>
        </w:tc>
      </w:tr>
    </w:tbl>
    <w:p>
      <w:pPr>
        <w:jc w:val="both"/>
        <w:rPr>
          <w:rFonts w:hAnsi="Times New Roman" w:ascii="Times New Roman" w:cs="Times New Roman"/>
          <w:sz w:val="24"/>
          <w:szCs w:val="24"/>
          <w:u w:val="single"/>
        </w:rPr>
      </w:pPr>
      <w:r>
        <w:rPr>
          <w:rFonts w:hAnsi="Times New Roman" w:ascii="Times New Roman" w:cs="Times New Roman"/>
          <w:b w:val="0"/>
          <w:i w:val="0"/>
          <w:strike w:val="0"/>
          <w:dstrike w:val="0"/>
          <w:emboss w:val="0"/>
          <w:imprint w:val="0"/>
          <w:outline w:val="0"/>
          <w:shadow w:val="0"/>
          <w:sz w:val="24"/>
          <w:szCs w:val="24"/>
          <w:u w:val="single"/>
        </w:rPr>
        <w:t xml:space="preserve">Table 2. Concentration-dependent biological effects of carbon quantum dots in nematodes</w:t>
      </w:r>
    </w:p>
    <w:p>
      <w:pPr>
        <w:jc w:val="both"/>
        <w:rPr>
          <w:rFonts w:hAnsi="Times New Roman" w:ascii="Times New Roman" w:cs="Times New Roman"/>
          <w:b/>
          <w:bCs/>
          <w:sz w:val="24"/>
          <w:szCs w:val="24"/>
        </w:rPr>
      </w:pPr>
    </w:p>
    <w:p>
      <w:pPr>
        <w:jc w:val="both"/>
        <w:rPr>
          <w:rFonts w:hAnsi="Times New Roman" w:ascii="Times New Roman" w:cs="Times New Roman"/>
          <w:b/>
          <w:bCs/>
          <w:sz w:val="24"/>
          <w:szCs w:val="24"/>
        </w:rPr>
      </w:pPr>
    </w:p>
    <w:p>
      <w:pPr>
        <w:jc w:val="both"/>
        <w:rPr>
          <w:rFonts w:hAnsi="Times New Roman" w:ascii="Times New Roman" w:cs="Times New Roman"/>
          <w:b/>
          <w:bCs/>
          <w:sz w:val="24"/>
          <w:szCs w:val="24"/>
        </w:rPr>
      </w:pPr>
    </w:p>
    <w:p>
      <w:pPr>
        <w:jc w:val="both"/>
        <w:rPr>
          <w:rFonts w:hAnsi="Times New Roman" w:ascii="Times New Roman" w:cs="Times New Roman"/>
          <w:b/>
          <w:bCs/>
          <w:sz w:val="24"/>
          <w:szCs w:val="24"/>
        </w:rPr>
      </w:pP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lastRenderedPageBreak/>
        <w:t xml:space="preserve">6. Detection versus Management: A Concentration-Dependent Dual Role of CQDs</w:t>
      </w:r>
    </w:p>
    <w:p>
      <w:pPr>
        <w:jc w:val="both"/>
        <w:rPr>
          <w:rFonts w:hAnsi="Times New Roman" w:ascii="Times New Roman" w:cs="Times New Roman"/>
          <w:sz w:val="24"/>
          <w:szCs w:val="24"/>
        </w:rPr>
      </w:pPr>
      <w:r>
        <w:rPr>
          <w:color w:val="EE0000"/>
          <w:rFonts w:hAnsi="Times New Roman" w:ascii="Times New Roman" w:cs="Times New Roman"/>
          <w:b/>
          <w:bCs/>
          <w:i w:val="0"/>
          <w:strike w:val="0"/>
          <w:dstrike w:val="0"/>
          <w:emboss w:val="0"/>
          <w:imprint w:val="0"/>
          <w:outline w:val="0"/>
          <w:shadow w:val="0"/>
          <w:sz w:val="24"/>
          <w:szCs w:val="24"/>
          <w:u w:val="none"/>
        </w:rPr>
        <w:drawing>
          <wp:anchor simplePos="0" relativeHeight="251669504" behindDoc="0" locked="0" layoutInCell="1" allowOverlap="1">
            <wp:simplePos x="0" y="0"/>
            <wp:positionH relativeFrom="margin">
              <wp:posOffset>0</wp:posOffset>
            </wp:positionH>
            <wp:positionV relativeFrom="paragraph">
              <wp:posOffset>102872</wp:posOffset>
            </wp:positionV>
            <wp:extent cx="5613396" cy="2751139"/>
            <wp:effectExtent l="0" t="0" r="6350" b="0"/>
            <wp:wrapNone/>
            <wp:docPr id="208202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286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7455" cy="2762927"/>
                    </a:xfrm>
                    <a:prstGeom prst="rect">
                      <a:avLst/>
                    </a:prstGeom>
                  </pic:spPr>
                </pic:pic>
              </a:graphicData>
            </a:graphic>
          </wp:anchor>
        </w:drawing>
      </w: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both"/>
        <w:rPr>
          <w:rFonts w:hAnsi="Times New Roman" w:ascii="Times New Roman" w:cs="Times New Roman"/>
          <w:sz w:val="24"/>
          <w:szCs w:val="24"/>
        </w:rPr>
      </w:pPr>
    </w:p>
    <w:p>
      <w:pPr>
        <w:jc w:val="center"/>
        <w:rPr>
          <w:color w:val="000000" w:themeColor="text1"/>
          <w:rFonts w:hAnsi="Times New Roman" w:ascii="Times New Roman" w:cs="Times New Roman"/>
          <w:sz w:val="24"/>
          <w:szCs w:val="24"/>
          <w:u w:val="single"/>
        </w:rPr>
      </w:pPr>
      <w:r>
        <w:rPr>
          <w:color w:val="000000"/>
          <w:rFonts w:hAnsi="Times New Roman" w:ascii="Times New Roman" w:cs="Times New Roman"/>
          <w:b w:val="0"/>
          <w:i w:val="0"/>
          <w:strike w:val="0"/>
          <w:dstrike w:val="0"/>
          <w:emboss w:val="0"/>
          <w:imprint w:val="0"/>
          <w:outline w:val="0"/>
          <w:shadow w:val="0"/>
          <w:sz w:val="24"/>
          <w:szCs w:val="24"/>
          <w:u w:val="single"/>
        </w:rPr>
        <w:t xml:space="preserve">Figure 6 – Concentration-Dependent Dual Role Model</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Basically, current findings have been shown that carbon quantum dots have a potential ambivalent action with nematodes which depends on the concentration level. At low, optimized doses carbon quantum dots might be applied as highly biocompatible fluorescent tracers for long, term in vivo labelling and ecological studies of nematodes. Carbon quantum dots at high doses or for a longer time would trigger chronic physiological stress and hence the behaviour and reproduction are changed, detoxification pathways are turned on</w:t>
        <w:t xml:space="preserve"> and finally, the fitness of nematodes is lowered.</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This is a very significant issue for sustainable agriculture. CQDs allow an easy way to follow entomopathogenic nematodes in soil thus a better evaluation and optimization of biological control strategies become possible. However, since they induce stress in plant, parasitic nematodes, it suggests their potential usage as green nematicidal agents or as one of the components of integrated pest management systems only if the impact on non, target organisms is thoroughly assessed.</w:t>
      </w:r>
    </w:p>
    <w:p>
      <w:pPr>
        <w:jc w:val="both"/>
        <w:rPr>
          <w:rFonts w:hAnsi="Times New Roman" w:ascii="Times New Roman" w:cs="Times New Roman"/>
          <w:sz w:val="24"/>
          <w:szCs w:val="24"/>
        </w:rPr>
      </w:pPr>
    </w:p>
    <w:p>
      <w:pPr>
        <w:jc w:val="both"/>
        <w:rPr>
          <w:rFonts w:hAnsi="Times New Roman" w:ascii="Times New Roman" w:cs="Times New Roman"/>
          <w:sz w:val="24"/>
          <w:szCs w:val="24"/>
        </w:rPr>
      </w:pPr>
    </w:p>
    <w:tbl>
      <w:tblPr>
        <w:tblStyle w:val="TableGridLight"/>
        <w:tblW w:w="0" w:type="auto"/>
        <w:tblLook w:val="04A0"/>
      </w:tblPr>
      <w:tblGrid>
        <w:gridCol w:w="1768"/>
        <w:gridCol w:w="2270"/>
        <w:gridCol w:w="2500"/>
        <w:gridCol w:w="2478"/>
      </w:tblGrid>
      <w:tr>
        <w:tc>
          <w:tcPr>
            <w:tcW w:w="0" w:type="auto"/>
          </w:tcPr>
          <w:p>
            <w:pPr>
              <w:spacing w:after="160"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Application</w:t>
            </w:r>
          </w:p>
        </w:tc>
        <w:tc>
          <w:tcPr>
            <w:tcW w:w="0" w:type="auto"/>
          </w:tcPr>
          <w:p>
            <w:pPr>
              <w:spacing w:after="160"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Advantage</w:t>
            </w:r>
          </w:p>
        </w:tc>
        <w:tc>
          <w:tcPr>
            <w:tcW w:w="0" w:type="auto"/>
          </w:tcPr>
          <w:p>
            <w:pPr>
              <w:spacing w:after="160"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Limitation</w:t>
            </w:r>
          </w:p>
        </w:tc>
        <w:tc>
          <w:tcPr>
            <w:tcW w:w="0" w:type="auto"/>
          </w:tcPr>
          <w:p>
            <w:pPr>
              <w:spacing w:after="160" w:line="259" w:lineRule="auto"/>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Research Gap</w:t>
            </w:r>
          </w:p>
        </w:tc>
      </w:tr>
      <w:tr>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In vivo labeling</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Stable fluorescence</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Environmental fate unknown</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Soil persistence studies needed</w:t>
            </w:r>
          </w:p>
        </w:tc>
      </w:tr>
      <w:tr>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Stress induction</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Potential green nematicide</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Non-target risk</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Field validation</w:t>
            </w:r>
          </w:p>
        </w:tc>
      </w:tr>
      <w:tr>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Transcriptomics</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Mechanistic clarity</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Cost</w:t>
            </w:r>
          </w:p>
        </w:tc>
        <w:tc>
          <w:tcPr>
            <w:tcW w:w="0" w:type="auto"/>
          </w:tcPr>
          <w:p>
            <w:pPr>
              <w:spacing w:after="160" w:line="259" w:lineRule="auto"/>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Omics-field integration</w:t>
            </w:r>
          </w:p>
        </w:tc>
      </w:tr>
    </w:tbl>
    <w:p>
      <w:pPr>
        <w:jc w:val="both"/>
        <w:rPr>
          <w:rFonts w:hAnsi="Times New Roman" w:ascii="Times New Roman" w:cs="Times New Roman"/>
          <w:sz w:val="24"/>
          <w:szCs w:val="24"/>
        </w:rPr>
      </w:pPr>
    </w:p>
    <w:p>
      <w:pPr>
        <w:jc w:val="center"/>
        <w:rPr>
          <w:rFonts w:hAnsi="Times New Roman" w:ascii="Times New Roman" w:cs="Times New Roman"/>
          <w:sz w:val="24"/>
          <w:szCs w:val="24"/>
          <w:u w:val="single"/>
        </w:rPr>
      </w:pPr>
      <w:r>
        <w:rPr>
          <w:rFonts w:hAnsi="Times New Roman" w:ascii="Times New Roman" w:cs="Times New Roman"/>
          <w:b w:val="0"/>
          <w:i w:val="0"/>
          <w:strike w:val="0"/>
          <w:dstrike w:val="0"/>
          <w:emboss w:val="0"/>
          <w:imprint w:val="0"/>
          <w:outline w:val="0"/>
          <w:shadow w:val="0"/>
          <w:sz w:val="24"/>
          <w:szCs w:val="24"/>
          <w:u w:val="single"/>
        </w:rPr>
        <w:t xml:space="preserve">Table 3. Opportunities and challenges of CQDs in nematode detection and management</w:t>
      </w: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lastRenderedPageBreak/>
        <w:t xml:space="preserve">8. Conclusions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Carbon quantum dots offer an adaptable nanotechnology platform for advancing the study of nematodes. Several case studies have shown that CQDs can be employed as non, toxic, stable fluorescence tags for live detection and ecological tracking as well as being able to induce stress and, at the proper dose, have a nematicidal effect. By combining detection and management, the application of CQD in the technologies is highly desirable in the deepening of ecological knowledge, increasing the effectiveness of biological control measures</w:t>
        <w:t xml:space="preserve"> and transitioning to more sustainable methods of dealing with nematode problems in crop and forest production.</w:t>
      </w:r>
    </w:p>
    <w:p>
      <w:pPr>
        <w:jc w:val="both"/>
        <w:rPr>
          <w:rFonts w:hAnsi="Times New Roman" w:ascii="Times New Roman" w:cs="Times New Roman"/>
          <w:sz w:val="24"/>
          <w:szCs w:val="24"/>
        </w:rPr>
      </w:pP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7. Future Perspectives and Challenges</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So far, at the frontline of nematode research and management, CQDs hold a major promise yet several challenges need to be addressed before their wide application. To ensure reproducibility among different studies, standardisation of synthesis, characterisation and dosing protocols is a must. Systematic investigation of long, term environmental fate, interactions with soil microbiota and effects on non, target organisms is warranted by this work (Contreras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2013; Yao </w:t>
      </w:r>
      <w:r>
        <w:rPr>
          <w:rFonts w:hAnsi="Times New Roman" w:ascii="Times New Roman" w:cs="Times New Roman"/>
          <w:b w:val="0"/>
          <w:i/>
          <w:iCs/>
          <w:strike w:val="0"/>
          <w:dstrike w:val="0"/>
          <w:emboss w:val="0"/>
          <w:imprint w:val="0"/>
          <w:outline w:val="0"/>
          <w:shadow w:val="0"/>
          <w:sz w:val="24"/>
          <w:szCs w:val="24"/>
          <w:u w:val="none"/>
        </w:rPr>
        <w:t xml:space="preserve">et al.,</w:t>
      </w:r>
      <w:r>
        <w:rPr>
          <w:rFonts w:hAnsi="Times New Roman" w:ascii="Times New Roman" w:cs="Times New Roman"/>
          <w:b w:val="0"/>
          <w:i w:val="0"/>
          <w:strike w:val="0"/>
          <w:dstrike w:val="0"/>
          <w:emboss w:val="0"/>
          <w:imprint w:val="0"/>
          <w:outline w:val="0"/>
          <w:shadow w:val="0"/>
          <w:sz w:val="24"/>
          <w:szCs w:val="24"/>
          <w:u w:val="none"/>
        </w:rPr>
        <w:t xml:space="preserve"> 2018). In the coming years, research should combine the labelling with CQDs with high, resolution imaging, molecular biology tools and field experiments. Another way to use the toolbox is through functionalised and doped CQDs that can facilitate targeted interactions or provide better fluorescence properties.</w:t>
      </w:r>
    </w:p>
    <w:p>
      <w:pPr>
        <w:jc w:val="both"/>
        <w:rPr>
          <w:rFonts w:hAnsi="Times New Roman" w:ascii="Times New Roman" w:cs="Times New Roman"/>
          <w:sz w:val="24"/>
          <w:szCs w:val="24"/>
        </w:rPr>
      </w:pP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COMPETING INTERESTS DISCLAIMER:</w:t>
      </w:r>
    </w:p>
    <w:p>
      <w:pPr>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Authors have declared that they have no known competing financial interests OR non-financial interests OR personal relationships that could have appeared to influence the work reported in this paper.</w:t>
      </w:r>
    </w:p>
    <w:p>
      <w:pPr>
        <w:jc w:val="both"/>
        <w:rPr>
          <w:rFonts w:hAnsi="Times New Roman" w:ascii="Times New Roman" w:cs="Times New Roman"/>
          <w:sz w:val="24"/>
          <w:szCs w:val="24"/>
        </w:rPr>
      </w:pPr>
    </w:p>
    <w:p>
      <w:pPr>
        <w:jc w:val="both"/>
        <w:rPr>
          <w:rFonts w:hAnsi="Times New Roman" w:ascii="Times New Roman" w:cs="Times New Roman"/>
          <w:b/>
          <w:bCs/>
          <w:sz w:val="24"/>
          <w:szCs w:val="24"/>
        </w:rPr>
      </w:pPr>
      <w:r>
        <w:rPr>
          <w:rFonts w:hAnsi="Times New Roman" w:ascii="Times New Roman" w:cs="Times New Roman"/>
          <w:b/>
          <w:bCs/>
          <w:i w:val="0"/>
          <w:strike w:val="0"/>
          <w:dstrike w:val="0"/>
          <w:emboss w:val="0"/>
          <w:imprint w:val="0"/>
          <w:outline w:val="0"/>
          <w:shadow w:val="0"/>
          <w:sz w:val="24"/>
          <w:szCs w:val="24"/>
          <w:u w:val="none"/>
        </w:rPr>
        <w:t xml:space="preserve">References</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Atchudan, R., Edison, T. N. J. I., Lee, Y. R., &amp; Shanmugam, M. (2018). Green synthesis of fluorescent carbon quantum dots from </w:t>
      </w:r>
      <w:r>
        <w:rPr>
          <w:rFonts w:hAnsi="Times New Roman" w:ascii="Times New Roman" w:cs="Times New Roman"/>
          <w:b w:val="0"/>
          <w:i/>
          <w:iCs/>
          <w:strike w:val="0"/>
          <w:dstrike w:val="0"/>
          <w:emboss w:val="0"/>
          <w:imprint w:val="0"/>
          <w:outline w:val="0"/>
          <w:shadow w:val="0"/>
          <w:sz w:val="24"/>
          <w:szCs w:val="24"/>
          <w:u w:val="none"/>
        </w:rPr>
        <w:t xml:space="preserve">Ginkgo biloba</w:t>
      </w:r>
      <w:r>
        <w:rPr>
          <w:rFonts w:hAnsi="Times New Roman" w:ascii="Times New Roman" w:cs="Times New Roman"/>
          <w:b w:val="0"/>
          <w:i w:val="0"/>
          <w:strike w:val="0"/>
          <w:dstrike w:val="0"/>
          <w:emboss w:val="0"/>
          <w:imprint w:val="0"/>
          <w:outline w:val="0"/>
          <w:shadow w:val="0"/>
          <w:sz w:val="24"/>
          <w:szCs w:val="24"/>
          <w:u w:val="none"/>
        </w:rPr>
        <w:t xml:space="preserve"> leaves for bioimaging and sensing applications. </w:t>
      </w:r>
      <w:r>
        <w:rPr>
          <w:rFonts w:hAnsi="Times New Roman" w:ascii="Times New Roman" w:cs="Times New Roman"/>
          <w:b w:val="0"/>
          <w:i/>
          <w:iCs/>
          <w:strike w:val="0"/>
          <w:dstrike w:val="0"/>
          <w:emboss w:val="0"/>
          <w:imprint w:val="0"/>
          <w:outline w:val="0"/>
          <w:shadow w:val="0"/>
          <w:sz w:val="24"/>
          <w:szCs w:val="24"/>
          <w:u w:val="none"/>
        </w:rPr>
        <w:t xml:space="preserve">Journal of Photochemistry and Photobiology B: Biology, </w:t>
      </w:r>
      <w:r>
        <w:rPr>
          <w:highlight w:val="yellow"/>
          <w:rFonts w:hAnsi="Times New Roman" w:ascii="Times New Roman" w:cs="Times New Roman"/>
          <w:b w:val="0"/>
          <w:i/>
          <w:iCs/>
          <w:strike w:val="0"/>
          <w:dstrike w:val="0"/>
          <w:emboss w:val="0"/>
          <w:imprint w:val="0"/>
          <w:outline w:val="0"/>
          <w:shadow w:val="0"/>
          <w:sz w:val="24"/>
          <w:szCs w:val="24"/>
          <w:u w:val="none"/>
        </w:rPr>
        <w:t xml:space="preserve">183</w:t>
      </w:r>
      <w:r>
        <w:rPr>
          <w:rFonts w:hAnsi="Times New Roman" w:ascii="Times New Roman" w:cs="Times New Roman"/>
          <w:b w:val="0"/>
          <w:i w:val="0"/>
          <w:strike w:val="0"/>
          <w:dstrike w:val="0"/>
          <w:emboss w:val="0"/>
          <w:imprint w:val="0"/>
          <w:outline w:val="0"/>
          <w:shadow w:val="0"/>
          <w:sz w:val="24"/>
          <w:szCs w:val="24"/>
          <w:u w:val="none"/>
        </w:rPr>
        <w:t xml:space="preserve">, </w:t>
      </w:r>
      <w:r>
        <w:rPr>
          <w:color w:val="FF0000"/>
          <w:rFonts w:hAnsi="Times New Roman" w:ascii="Times New Roman" w:cs="Times New Roman"/>
          <w:b w:val="0"/>
          <w:i w:val="0"/>
          <w:strike w:val="0"/>
          <w:dstrike w:val="0"/>
          <w:emboss w:val="0"/>
          <w:imprint w:val="0"/>
          <w:outline w:val="0"/>
          <w:shadow w:val="0"/>
          <w:sz w:val="24"/>
          <w:szCs w:val="24"/>
          <w:u w:val="single"/>
        </w:rPr>
        <w:t xml:space="preserve">Not Italic</w:t>
      </w:r>
      <w:r>
        <w:rPr>
          <w:rFonts w:hAnsi="Times New Roman" w:ascii="Times New Roman" w:cs="Times New Roman"/>
          <w:b w:val="0"/>
          <w:i w:val="0"/>
          <w:strike w:val="0"/>
          <w:dstrike w:val="0"/>
          <w:emboss w:val="0"/>
          <w:imprint w:val="0"/>
          <w:outline w:val="0"/>
          <w:shadow w:val="0"/>
          <w:sz w:val="24"/>
          <w:szCs w:val="24"/>
          <w:u w:val="none"/>
        </w:rPr>
        <w:t xml:space="preserve"> 39–45. </w:t>
      </w:r>
      <w:hyperlink r:id="rId13">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https://doi.org/10.1016/j.jphotobiol.2018.04.015</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Brus, L. E. (1983). A simple model for the ionization potential, electron affinity and aqueous redox potentials of small semiconductor crystallites. </w:t>
      </w:r>
      <w:r>
        <w:rPr>
          <w:rFonts w:hAnsi="Times New Roman" w:ascii="Times New Roman" w:cs="Times New Roman"/>
          <w:b w:val="0"/>
          <w:i/>
          <w:iCs/>
          <w:strike w:val="0"/>
          <w:dstrike w:val="0"/>
          <w:emboss w:val="0"/>
          <w:imprint w:val="0"/>
          <w:outline w:val="0"/>
          <w:shadow w:val="0"/>
          <w:sz w:val="24"/>
          <w:szCs w:val="24"/>
          <w:u w:val="none"/>
        </w:rPr>
        <w:t xml:space="preserve">The Journal of Chemical Physics, </w:t>
      </w:r>
      <w:r>
        <w:rPr>
          <w:highlight w:val="yellow"/>
          <w:rFonts w:hAnsi="Times New Roman" w:ascii="Times New Roman" w:cs="Times New Roman"/>
          <w:b w:val="0"/>
          <w:i/>
          <w:iCs/>
          <w:strike w:val="0"/>
          <w:dstrike w:val="0"/>
          <w:emboss w:val="0"/>
          <w:imprint w:val="0"/>
          <w:outline w:val="0"/>
          <w:shadow w:val="0"/>
          <w:sz w:val="24"/>
          <w:szCs w:val="24"/>
          <w:u w:val="none"/>
        </w:rPr>
        <w:t xml:space="preserve">79</w:t>
      </w:r>
      <w:r>
        <w:rPr>
          <w:rFonts w:hAnsi="Times New Roman" w:ascii="Times New Roman" w:cs="Times New Roman"/>
          <w:b w:val="0"/>
          <w:i w:val="0"/>
          <w:strike w:val="0"/>
          <w:dstrike w:val="0"/>
          <w:emboss w:val="0"/>
          <w:imprint w:val="0"/>
          <w:outline w:val="0"/>
          <w:shadow w:val="0"/>
          <w:sz w:val="24"/>
          <w:szCs w:val="24"/>
          <w:u w:val="none"/>
        </w:rPr>
        <w:t xml:space="preserve">(11), 5566–5571. </w:t>
      </w:r>
      <w:hyperlink r:id="rId14">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https://doi.org/10.1063/1.445676</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Cao, L., Meziani, M. J., Sahu, S., &amp; Sun, Y.-P. (2012). Photoluminescence properties of graphene versus other carbon nanomaterials. </w:t>
      </w:r>
      <w:r>
        <w:rPr>
          <w:rFonts w:hAnsi="Times New Roman" w:ascii="Times New Roman" w:cs="Times New Roman"/>
          <w:b w:val="0"/>
          <w:i/>
          <w:iCs/>
          <w:strike w:val="0"/>
          <w:dstrike w:val="0"/>
          <w:emboss w:val="0"/>
          <w:imprint w:val="0"/>
          <w:outline w:val="0"/>
          <w:shadow w:val="0"/>
          <w:sz w:val="24"/>
          <w:szCs w:val="24"/>
          <w:u w:val="none"/>
        </w:rPr>
        <w:t xml:space="preserve">Accounts of Chemical Research, </w:t>
      </w:r>
      <w:r>
        <w:rPr>
          <w:highlight w:val="yellow"/>
          <w:rFonts w:hAnsi="Times New Roman" w:ascii="Times New Roman" w:cs="Times New Roman"/>
          <w:b w:val="0"/>
          <w:i/>
          <w:iCs/>
          <w:strike w:val="0"/>
          <w:dstrike w:val="0"/>
          <w:emboss w:val="0"/>
          <w:imprint w:val="0"/>
          <w:outline w:val="0"/>
          <w:shadow w:val="0"/>
          <w:sz w:val="24"/>
          <w:szCs w:val="24"/>
          <w:u w:val="none"/>
        </w:rPr>
        <w:t xml:space="preserve">46</w:t>
      </w:r>
      <w:r>
        <w:rPr>
          <w:rFonts w:hAnsi="Times New Roman" w:ascii="Times New Roman" w:cs="Times New Roman"/>
          <w:b w:val="0"/>
          <w:i w:val="0"/>
          <w:strike w:val="0"/>
          <w:dstrike w:val="0"/>
          <w:emboss w:val="0"/>
          <w:imprint w:val="0"/>
          <w:outline w:val="0"/>
          <w:shadow w:val="0"/>
          <w:sz w:val="24"/>
          <w:szCs w:val="24"/>
          <w:u w:val="none"/>
        </w:rPr>
        <w:t xml:space="preserve">(1), 171–180. </w:t>
      </w:r>
      <w:hyperlink r:id="rId15">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https://doi.org/10.1021/ar300128j</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Chazotte, B. (2011). Labeling cellular organelles with fluorescent dyes. </w:t>
      </w:r>
      <w:r>
        <w:rPr>
          <w:rFonts w:hAnsi="Times New Roman" w:ascii="Times New Roman" w:cs="Times New Roman"/>
          <w:b w:val="0"/>
          <w:i/>
          <w:iCs/>
          <w:strike w:val="0"/>
          <w:dstrike w:val="0"/>
          <w:emboss w:val="0"/>
          <w:imprint w:val="0"/>
          <w:outline w:val="0"/>
          <w:shadow w:val="0"/>
          <w:sz w:val="24"/>
          <w:szCs w:val="24"/>
          <w:u w:val="none"/>
        </w:rPr>
        <w:t xml:space="preserve">Cold Spring Harbor Protocols, </w:t>
      </w:r>
      <w:r>
        <w:rPr>
          <w:highlight w:val="yellow"/>
          <w:rFonts w:hAnsi="Times New Roman" w:ascii="Times New Roman" w:cs="Times New Roman"/>
          <w:b w:val="0"/>
          <w:i/>
          <w:iCs/>
          <w:strike w:val="0"/>
          <w:dstrike w:val="0"/>
          <w:emboss w:val="0"/>
          <w:imprint w:val="0"/>
          <w:outline w:val="0"/>
          <w:shadow w:val="0"/>
          <w:sz w:val="24"/>
          <w:szCs w:val="24"/>
          <w:u w:val="none"/>
        </w:rPr>
        <w:t xml:space="preserve">2011</w:t>
      </w:r>
      <w:r>
        <w:rPr>
          <w:color w:val="FF0000"/>
          <w:rFonts w:hAnsi="Times New Roman" w:ascii="Times New Roman" w:cs="Times New Roman"/>
          <w:b w:val="0"/>
          <w:i w:val="0"/>
          <w:strike w:val="0"/>
          <w:dstrike w:val="0"/>
          <w:emboss w:val="0"/>
          <w:imprint w:val="0"/>
          <w:outline w:val="0"/>
          <w:shadow w:val="0"/>
          <w:sz w:val="24"/>
          <w:szCs w:val="24"/>
          <w:u w:val="single"/>
        </w:rPr>
        <w:t xml:space="preserve">N</w:t>
      </w:r>
      <w:r>
        <w:rPr>
          <w:color w:val="FF0000"/>
          <w:rFonts w:hAnsi="Times New Roman" w:ascii="Times New Roman" w:cs="Times New Roman"/>
          <w:b w:val="0"/>
          <w:i w:val="0"/>
          <w:strike w:val="0"/>
          <w:dstrike w:val="0"/>
          <w:emboss w:val="0"/>
          <w:imprint w:val="0"/>
          <w:outline w:val="0"/>
          <w:shadow w:val="0"/>
          <w:sz w:val="24"/>
          <w:szCs w:val="24"/>
          <w:u w:val="single"/>
        </w:rPr>
        <w:t xml:space="preserve">o</w:t>
      </w:r>
      <w:r>
        <w:rPr>
          <w:color w:val="FF0000"/>
          <w:rFonts w:hAnsi="Times New Roman" w:ascii="Times New Roman" w:cs="Times New Roman"/>
          <w:b w:val="0"/>
          <w:i w:val="0"/>
          <w:strike w:val="0"/>
          <w:dstrike w:val="0"/>
          <w:emboss w:val="0"/>
          <w:imprint w:val="0"/>
          <w:outline w:val="0"/>
          <w:shadow w:val="0"/>
          <w:sz w:val="24"/>
          <w:szCs w:val="24"/>
          <w:u w:val="single"/>
        </w:rPr>
        <w:t xml:space="preserve">t</w:t>
      </w:r>
      <w:r>
        <w:rPr>
          <w:color w:val="FF0000"/>
          <w:rFonts w:hAnsi="Times New Roman" w:ascii="Times New Roman" w:cs="Times New Roman"/>
          <w:b w:val="0"/>
          <w:i w:val="0"/>
          <w:strike w:val="0"/>
          <w:dstrike w:val="0"/>
          <w:emboss w:val="0"/>
          <w:imprint w:val="0"/>
          <w:outline w:val="0"/>
          <w:shadow w:val="0"/>
          <w:sz w:val="24"/>
          <w:szCs w:val="24"/>
          <w:u w:val="single"/>
        </w:rPr>
        <w:t xml:space="preserve"> </w:t>
      </w:r>
      <w:r>
        <w:rPr>
          <w:color w:val="FF0000"/>
          <w:rFonts w:hAnsi="Times New Roman" w:ascii="Times New Roman" w:cs="Times New Roman"/>
          <w:b w:val="0"/>
          <w:i w:val="0"/>
          <w:strike w:val="0"/>
          <w:dstrike w:val="0"/>
          <w:emboss w:val="0"/>
          <w:imprint w:val="0"/>
          <w:outline w:val="0"/>
          <w:shadow w:val="0"/>
          <w:sz w:val="24"/>
          <w:szCs w:val="24"/>
          <w:u w:val="single"/>
        </w:rPr>
        <w:t xml:space="preserve">y</w:t>
      </w:r>
      <w:r>
        <w:rPr>
          <w:color w:val="FF0000"/>
          <w:rFonts w:hAnsi="Times New Roman" w:ascii="Times New Roman" w:cs="Times New Roman"/>
          <w:b w:val="0"/>
          <w:i w:val="0"/>
          <w:strike w:val="0"/>
          <w:dstrike w:val="0"/>
          <w:emboss w:val="0"/>
          <w:imprint w:val="0"/>
          <w:outline w:val="0"/>
          <w:shadow w:val="0"/>
          <w:sz w:val="24"/>
          <w:szCs w:val="24"/>
          <w:u w:val="single"/>
        </w:rPr>
        <w:t xml:space="preserve">e</w:t>
      </w:r>
      <w:r>
        <w:rPr>
          <w:color w:val="FF0000"/>
          <w:rFonts w:hAnsi="Times New Roman" w:ascii="Times New Roman" w:cs="Times New Roman"/>
          <w:b w:val="0"/>
          <w:i w:val="0"/>
          <w:strike w:val="0"/>
          <w:dstrike w:val="0"/>
          <w:emboss w:val="0"/>
          <w:imprint w:val="0"/>
          <w:outline w:val="0"/>
          <w:shadow w:val="0"/>
          <w:sz w:val="24"/>
          <w:szCs w:val="24"/>
          <w:u w:val="single"/>
        </w:rPr>
        <w:t xml:space="preserve">a</w:t>
      </w:r>
      <w:r>
        <w:rPr>
          <w:color w:val="FF0000"/>
          <w:rFonts w:hAnsi="Times New Roman" w:ascii="Times New Roman" w:cs="Times New Roman"/>
          <w:b w:val="0"/>
          <w:i w:val="0"/>
          <w:strike w:val="0"/>
          <w:dstrike w:val="0"/>
          <w:emboss w:val="0"/>
          <w:imprint w:val="0"/>
          <w:outline w:val="0"/>
          <w:shadow w:val="0"/>
          <w:sz w:val="24"/>
          <w:szCs w:val="24"/>
          <w:u w:val="single"/>
        </w:rPr>
        <w:t xml:space="preserve">r</w:t>
      </w:r>
      <w:r>
        <w:rPr>
          <w:color w:val="FF0000"/>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val="0"/>
          <w:strike w:val="0"/>
          <w:dstrike w:val="0"/>
          <w:emboss w:val="0"/>
          <w:imprint w:val="0"/>
          <w:outline w:val="0"/>
          <w:shadow w:val="0"/>
          <w:sz w:val="24"/>
          <w:szCs w:val="24"/>
          <w:u w:val="none"/>
        </w:rPr>
        <w:t xml:space="preserve">(9), pdb.top115. </w:t>
      </w:r>
      <w:hyperlink r:id="rId16">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https://doi.org/10.1101/pdb.top115</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Cong, S., Tian, Y., Li, Q., Zhao, Z., &amp; Geng, F. (2019). Single-crystalline graphitic carbon nitride quantum dots with efficient photoluminescence. </w:t>
      </w:r>
      <w:r>
        <w:rPr>
          <w:rFonts w:hAnsi="Times New Roman" w:ascii="Times New Roman" w:cs="Times New Roman"/>
          <w:b w:val="0"/>
          <w:i/>
          <w:iCs/>
          <w:strike w:val="0"/>
          <w:dstrike w:val="0"/>
          <w:emboss w:val="0"/>
          <w:imprint w:val="0"/>
          <w:outline w:val="0"/>
          <w:shadow w:val="0"/>
          <w:sz w:val="24"/>
          <w:szCs w:val="24"/>
          <w:u w:val="none"/>
        </w:rPr>
        <w:t xml:space="preserve">Advanced Materials, </w:t>
      </w:r>
      <w:r>
        <w:rPr>
          <w:highlight w:val="yellow"/>
          <w:rFonts w:hAnsi="Times New Roman" w:ascii="Times New Roman" w:cs="Times New Roman"/>
          <w:b w:val="0"/>
          <w:i/>
          <w:iCs/>
          <w:strike w:val="0"/>
          <w:dstrike w:val="0"/>
          <w:emboss w:val="0"/>
          <w:imprint w:val="0"/>
          <w:outline w:val="0"/>
          <w:shadow w:val="0"/>
          <w:sz w:val="24"/>
          <w:szCs w:val="24"/>
          <w:u w:val="none"/>
        </w:rPr>
        <w:t xml:space="preserve">26</w:t>
      </w:r>
      <w:r>
        <w:rPr>
          <w:rFonts w:hAnsi="Times New Roman" w:ascii="Times New Roman" w:cs="Times New Roman"/>
          <w:b w:val="0"/>
          <w:i w:val="0"/>
          <w:strike w:val="0"/>
          <w:dstrike w:val="0"/>
          <w:emboss w:val="0"/>
          <w:imprint w:val="0"/>
          <w:outline w:val="0"/>
          <w:shadow w:val="0"/>
          <w:sz w:val="24"/>
          <w:szCs w:val="24"/>
          <w:u w:val="none"/>
        </w:rPr>
        <w:t xml:space="preserve">(25), 4260–4267. </w:t>
      </w:r>
      <w:hyperlink r:id="rId17">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https://doi.org/10.1002/adma.201400363</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Contreras, E. Q., Puppala, H. L., Escalera, G., Zhong, W., &amp; Colvin, V. L. (2013). Size-dependent impacts of silver nanoparticles on the lifespan, fertility, growth and locomotion of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Environmental Toxicology and Chemistry, </w:t>
      </w:r>
      <w:r>
        <w:rPr>
          <w:highlight w:val="yellow"/>
          <w:rFonts w:hAnsi="Times New Roman" w:ascii="Times New Roman" w:cs="Times New Roman"/>
          <w:b w:val="0"/>
          <w:i/>
          <w:iCs/>
          <w:strike w:val="0"/>
          <w:dstrike w:val="0"/>
          <w:emboss w:val="0"/>
          <w:imprint w:val="0"/>
          <w:outline w:val="0"/>
          <w:shadow w:val="0"/>
          <w:sz w:val="24"/>
          <w:szCs w:val="24"/>
          <w:u w:val="none"/>
        </w:rPr>
        <w:t xml:space="preserve">32</w:t>
      </w:r>
      <w:r>
        <w:rPr>
          <w:rFonts w:hAnsi="Times New Roman" w:ascii="Times New Roman" w:cs="Times New Roman"/>
          <w:b w:val="0"/>
          <w:i w:val="0"/>
          <w:strike w:val="0"/>
          <w:dstrike w:val="0"/>
          <w:emboss w:val="0"/>
          <w:imprint w:val="0"/>
          <w:outline w:val="0"/>
          <w:shadow w:val="0"/>
          <w:sz w:val="24"/>
          <w:szCs w:val="24"/>
          <w:u w:val="none"/>
        </w:rPr>
        <w:t xml:space="preserve">(12), 2716–2723. </w:t>
      </w:r>
      <w:hyperlink r:id="rId18">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https://doi.org/10.1002/etc.2361</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Deng, Y., Petersen, E. J., Challis, K. E., Rabb, S. A., Holbrook, R. D., Ranville, J. F., &amp; Nelson, B. C. (2018). Multiple-method analysis of TiO₂ nanoparticle uptake in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Environmental Science &amp; Technology, </w:t>
      </w:r>
      <w:r>
        <w:rPr>
          <w:highlight w:val="yellow"/>
          <w:rFonts w:hAnsi="Times New Roman" w:ascii="Times New Roman" w:cs="Times New Roman"/>
          <w:b w:val="0"/>
          <w:i/>
          <w:iCs/>
          <w:strike w:val="0"/>
          <w:dstrike w:val="0"/>
          <w:emboss w:val="0"/>
          <w:imprint w:val="0"/>
          <w:outline w:val="0"/>
          <w:shadow w:val="0"/>
          <w:sz w:val="24"/>
          <w:szCs w:val="24"/>
          <w:u w:val="none"/>
        </w:rPr>
        <w:t xml:space="preserve">51</w:t>
      </w:r>
      <w:r>
        <w:rPr>
          <w:rFonts w:hAnsi="Times New Roman" w:ascii="Times New Roman" w:cs="Times New Roman"/>
          <w:b w:val="0"/>
          <w:i w:val="0"/>
          <w:strike w:val="0"/>
          <w:dstrike w:val="0"/>
          <w:emboss w:val="0"/>
          <w:imprint w:val="0"/>
          <w:outline w:val="0"/>
          <w:shadow w:val="0"/>
          <w:sz w:val="24"/>
          <w:szCs w:val="24"/>
          <w:u w:val="none"/>
        </w:rPr>
        <w:t xml:space="preserve">(18), 10675–10683. </w:t>
      </w:r>
      <w:hyperlink r:id="rId19">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https://doi.org/10.1021/acs.est.7b02452</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Ekimov, A. I., Efros, A. L., &amp; Onushchenko, A. A. (1985). Quantum size effect in semiconductor microcrystals. </w:t>
      </w:r>
      <w:r>
        <w:rPr>
          <w:rFonts w:hAnsi="Times New Roman" w:ascii="Times New Roman" w:cs="Times New Roman"/>
          <w:b w:val="0"/>
          <w:i/>
          <w:iCs/>
          <w:strike w:val="0"/>
          <w:dstrike w:val="0"/>
          <w:emboss w:val="0"/>
          <w:imprint w:val="0"/>
          <w:outline w:val="0"/>
          <w:shadow w:val="0"/>
          <w:sz w:val="24"/>
          <w:szCs w:val="24"/>
          <w:u w:val="none"/>
        </w:rPr>
        <w:t xml:space="preserve">Solid State Communications, </w:t>
      </w:r>
      <w:r>
        <w:rPr>
          <w:highlight w:val="yellow"/>
          <w:rFonts w:hAnsi="Times New Roman" w:ascii="Times New Roman" w:cs="Times New Roman"/>
          <w:b w:val="0"/>
          <w:i/>
          <w:iCs/>
          <w:strike w:val="0"/>
          <w:dstrike w:val="0"/>
          <w:emboss w:val="0"/>
          <w:imprint w:val="0"/>
          <w:outline w:val="0"/>
          <w:shadow w:val="0"/>
          <w:sz w:val="24"/>
          <w:szCs w:val="24"/>
          <w:u w:val="none"/>
        </w:rPr>
        <w:t xml:space="preserve">56</w:t>
      </w:r>
      <w:r>
        <w:rPr>
          <w:rFonts w:hAnsi="Times New Roman" w:ascii="Times New Roman" w:cs="Times New Roman"/>
          <w:b w:val="0"/>
          <w:i w:val="0"/>
          <w:strike w:val="0"/>
          <w:dstrike w:val="0"/>
          <w:emboss w:val="0"/>
          <w:imprint w:val="0"/>
          <w:outline w:val="0"/>
          <w:shadow w:val="0"/>
          <w:sz w:val="24"/>
          <w:szCs w:val="24"/>
          <w:u w:val="none"/>
        </w:rPr>
        <w:t xml:space="preserve">(11), 921–924. </w:t>
      </w:r>
      <w:hyperlink r:id="rId20">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https://doi.org/10.1016/0038-1098(85)90695-9</w:t>
        </w:r>
      </w:hyperlink>
    </w:p>
    <w:p>
      <w:pPr>
        <w:ind w:left="720" w:hanging="720"/>
        <w:jc w:val="both"/>
      </w:pPr>
      <w:r>
        <w:rPr>
          <w:rFonts w:hAnsi="Times New Roman" w:ascii="Times New Roman" w:cs="Times New Roman"/>
          <w:b w:val="0"/>
          <w:i w:val="0"/>
          <w:strike w:val="0"/>
          <w:dstrike w:val="0"/>
          <w:emboss w:val="0"/>
          <w:imprint w:val="0"/>
          <w:outline w:val="0"/>
          <w:shadow w:val="0"/>
          <w:sz w:val="24"/>
          <w:szCs w:val="24"/>
          <w:u w:val="none"/>
        </w:rPr>
        <w:t xml:space="preserve">Espada, M., Silva, A. C., Eves-van den Akker, S., Cock, P. J. A., Mota, M., &amp; Jones, J. T. (2016). Identification and characterization of parasitism genes from the pinewood nematode </w:t>
      </w:r>
      <w:r>
        <w:rPr>
          <w:rFonts w:hAnsi="Times New Roman" w:ascii="Times New Roman" w:cs="Times New Roman"/>
          <w:b w:val="0"/>
          <w:i/>
          <w:iCs/>
          <w:strike w:val="0"/>
          <w:dstrike w:val="0"/>
          <w:emboss w:val="0"/>
          <w:imprint w:val="0"/>
          <w:outline w:val="0"/>
          <w:shadow w:val="0"/>
          <w:sz w:val="24"/>
          <w:szCs w:val="24"/>
          <w:u w:val="none"/>
        </w:rPr>
        <w:t xml:space="preserve">Bursaphelenchus xylophilus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Molecular Plant Pathology, </w:t>
      </w:r>
      <w:r>
        <w:rPr>
          <w:highlight w:val="yellow"/>
          <w:rFonts w:hAnsi="Times New Roman" w:ascii="Times New Roman" w:cs="Times New Roman"/>
          <w:b w:val="0"/>
          <w:i/>
          <w:iCs/>
          <w:strike w:val="0"/>
          <w:dstrike w:val="0"/>
          <w:emboss w:val="0"/>
          <w:imprint w:val="0"/>
          <w:outline w:val="0"/>
          <w:shadow w:val="0"/>
          <w:sz w:val="24"/>
          <w:szCs w:val="24"/>
          <w:u w:val="none"/>
        </w:rPr>
        <w:t xml:space="preserve">17</w:t>
      </w:r>
      <w:r>
        <w:rPr>
          <w:rFonts w:hAnsi="Times New Roman" w:ascii="Times New Roman" w:cs="Times New Roman"/>
          <w:b w:val="0"/>
          <w:i w:val="0"/>
          <w:strike w:val="0"/>
          <w:dstrike w:val="0"/>
          <w:emboss w:val="0"/>
          <w:imprint w:val="0"/>
          <w:outline w:val="0"/>
          <w:shadow w:val="0"/>
          <w:sz w:val="24"/>
          <w:szCs w:val="24"/>
          <w:u w:val="none"/>
        </w:rPr>
        <w:t xml:space="preserve">(6), 844–856. </w:t>
      </w:r>
      <w:hyperlink r:id="rId21">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https://doi.org/10.1111/mpp.12329</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Fakheri, R., Ahmadi, M., Hosseini, S. A., &amp; Karimi, A. (2025). Nematicidal activity of carbon quantum dot–based nanocomposites against strongyle nematodes: In vitro evaluation of larval and egg stages. </w:t>
      </w:r>
      <w:r>
        <w:rPr>
          <w:rFonts w:hAnsi="Times New Roman" w:ascii="Times New Roman" w:cs="Times New Roman"/>
          <w:b w:val="0"/>
          <w:i/>
          <w:iCs/>
          <w:strike w:val="0"/>
          <w:dstrike w:val="0"/>
          <w:emboss w:val="0"/>
          <w:imprint w:val="0"/>
          <w:outline w:val="0"/>
          <w:shadow w:val="0"/>
          <w:sz w:val="24"/>
          <w:szCs w:val="24"/>
          <w:u w:val="none"/>
        </w:rPr>
        <w:t xml:space="preserve">BMC Veterinary Research, </w:t>
      </w:r>
      <w:r>
        <w:rPr>
          <w:highlight w:val="yellow"/>
          <w:rFonts w:hAnsi="Times New Roman" w:ascii="Times New Roman" w:cs="Times New Roman"/>
          <w:b w:val="0"/>
          <w:i/>
          <w:iCs/>
          <w:strike w:val="0"/>
          <w:dstrike w:val="0"/>
          <w:emboss w:val="0"/>
          <w:imprint w:val="0"/>
          <w:outline w:val="0"/>
          <w:shadow w:val="0"/>
          <w:sz w:val="24"/>
          <w:szCs w:val="24"/>
          <w:u w:val="none"/>
        </w:rPr>
        <w:t xml:space="preserve">21</w:t>
      </w:r>
      <w:r>
        <w:rPr>
          <w:rFonts w:hAnsi="Times New Roman" w:ascii="Times New Roman" w:cs="Times New Roman"/>
          <w:b w:val="0"/>
          <w:i w:val="0"/>
          <w:strike w:val="0"/>
          <w:dstrike w:val="0"/>
          <w:emboss w:val="0"/>
          <w:imprint w:val="0"/>
          <w:outline w:val="0"/>
          <w:shadow w:val="0"/>
          <w:sz w:val="24"/>
          <w:szCs w:val="24"/>
          <w:u w:val="none"/>
        </w:rPr>
        <w:t xml:space="preserve">, Article 94. </w:t>
      </w:r>
      <w:hyperlink r:id="rId22">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https://doi.org/10.1186/s12917-025-04494-5</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Feliu, N., Docter, D., Heine, M., del Pino, P., Ashraf, S., Kolosnjaj-Tabi, J., Macchiarini, P., Nielsen, P., Alloyeau, D., Gazeau, F., Stauber, R. H., &amp; Parak, W. J. (2016). In vivo degeneration and the fate of inorganic nanoparticles. </w:t>
      </w:r>
      <w:r>
        <w:rPr>
          <w:rFonts w:hAnsi="Times New Roman" w:ascii="Times New Roman" w:cs="Times New Roman"/>
          <w:b w:val="0"/>
          <w:i/>
          <w:iCs/>
          <w:strike w:val="0"/>
          <w:dstrike w:val="0"/>
          <w:emboss w:val="0"/>
          <w:imprint w:val="0"/>
          <w:outline w:val="0"/>
          <w:shadow w:val="0"/>
          <w:sz w:val="24"/>
          <w:szCs w:val="24"/>
          <w:u w:val="none"/>
        </w:rPr>
        <w:t xml:space="preserve">Chemical Society Reviews, </w:t>
      </w:r>
      <w:r>
        <w:rPr>
          <w:highlight w:val="yellow"/>
          <w:rFonts w:hAnsi="Times New Roman" w:ascii="Times New Roman" w:cs="Times New Roman"/>
          <w:b w:val="0"/>
          <w:i/>
          <w:iCs/>
          <w:strike w:val="0"/>
          <w:dstrike w:val="0"/>
          <w:emboss w:val="0"/>
          <w:imprint w:val="0"/>
          <w:outline w:val="0"/>
          <w:shadow w:val="0"/>
          <w:sz w:val="24"/>
          <w:szCs w:val="24"/>
          <w:u w:val="none"/>
        </w:rPr>
        <w:t xml:space="preserve">45</w:t>
      </w:r>
      <w:r>
        <w:rPr>
          <w:rFonts w:hAnsi="Times New Roman" w:ascii="Times New Roman" w:cs="Times New Roman"/>
          <w:b w:val="0"/>
          <w:i w:val="0"/>
          <w:strike w:val="0"/>
          <w:dstrike w:val="0"/>
          <w:emboss w:val="0"/>
          <w:imprint w:val="0"/>
          <w:outline w:val="0"/>
          <w:shadow w:val="0"/>
          <w:sz w:val="24"/>
          <w:szCs w:val="24"/>
          <w:u w:val="none"/>
        </w:rPr>
        <w:t xml:space="preserve">(9), 2440–2457. </w:t>
      </w:r>
      <w:hyperlink r:id="rId23">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https://doi.org/10.1039/C5CS00699F</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Han, Y., Wang, J., Li, S., Zhang, X., &amp; Wu, Q. (2021). Toxicity of carbon quantum dots to </w:t>
      </w:r>
      <w:r>
        <w:rPr>
          <w:rFonts w:hAnsi="Times New Roman" w:ascii="Times New Roman" w:cs="Times New Roman"/>
          <w:b w:val="0"/>
          <w:i/>
          <w:iCs/>
          <w:strike w:val="0"/>
          <w:dstrike w:val="0"/>
          <w:emboss w:val="0"/>
          <w:imprint w:val="0"/>
          <w:outline w:val="0"/>
          <w:shadow w:val="0"/>
          <w:sz w:val="24"/>
          <w:szCs w:val="24"/>
          <w:u w:val="none"/>
        </w:rPr>
        <w:t xml:space="preserve">Bursaphelenchus xylophilus</w:t>
      </w:r>
      <w:r>
        <w:rPr>
          <w:rFonts w:hAnsi="Times New Roman" w:ascii="Times New Roman" w:cs="Times New Roman"/>
          <w:b w:val="0"/>
          <w:i w:val="0"/>
          <w:strike w:val="0"/>
          <w:dstrike w:val="0"/>
          <w:emboss w:val="0"/>
          <w:imprint w:val="0"/>
          <w:outline w:val="0"/>
          <w:shadow w:val="0"/>
          <w:sz w:val="24"/>
          <w:szCs w:val="24"/>
          <w:u w:val="none"/>
        </w:rPr>
        <w:t xml:space="preserve">: Physiological and transcriptomic responses. </w:t>
      </w:r>
      <w:r>
        <w:rPr>
          <w:rFonts w:hAnsi="Times New Roman" w:ascii="Times New Roman" w:cs="Times New Roman"/>
          <w:b w:val="0"/>
          <w:i/>
          <w:iCs/>
          <w:strike w:val="0"/>
          <w:dstrike w:val="0"/>
          <w:emboss w:val="0"/>
          <w:imprint w:val="0"/>
          <w:outline w:val="0"/>
          <w:shadow w:val="0"/>
          <w:sz w:val="24"/>
          <w:szCs w:val="24"/>
          <w:u w:val="none"/>
        </w:rPr>
        <w:t xml:space="preserve">RSC Advances, </w:t>
      </w:r>
      <w:r>
        <w:rPr>
          <w:highlight w:val="yellow"/>
          <w:rFonts w:hAnsi="Times New Roman" w:ascii="Times New Roman" w:cs="Times New Roman"/>
          <w:b w:val="0"/>
          <w:i/>
          <w:iCs/>
          <w:strike w:val="0"/>
          <w:dstrike w:val="0"/>
          <w:emboss w:val="0"/>
          <w:imprint w:val="0"/>
          <w:outline w:val="0"/>
          <w:shadow w:val="0"/>
          <w:sz w:val="24"/>
          <w:szCs w:val="24"/>
          <w:u w:val="none"/>
        </w:rPr>
        <w:t xml:space="preserve">11</w:t>
      </w:r>
      <w:r>
        <w:rPr>
          <w:rFonts w:hAnsi="Times New Roman" w:ascii="Times New Roman" w:cs="Times New Roman"/>
          <w:b w:val="0"/>
          <w:i w:val="0"/>
          <w:strike w:val="0"/>
          <w:dstrike w:val="0"/>
          <w:emboss w:val="0"/>
          <w:imprint w:val="0"/>
          <w:outline w:val="0"/>
          <w:shadow w:val="0"/>
          <w:sz w:val="24"/>
          <w:szCs w:val="24"/>
          <w:u w:val="none"/>
        </w:rPr>
        <w:t xml:space="preserve">(11), 6410–6421. </w:t>
      </w:r>
      <w:hyperlink r:id="rId24">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https://doi.org/10.1039/D0RA10688A</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Hazir, S., Kaya, H.K., Stock, S.P., &amp; Keskin, N. (2024). Entomopathogenic nematodes for biological control: Recent advances and future prospects. </w:t>
      </w:r>
      <w:r>
        <w:rPr>
          <w:rFonts w:hAnsi="Times New Roman" w:ascii="Times New Roman" w:cs="Times New Roman"/>
          <w:b w:val="0"/>
          <w:i/>
          <w:iCs/>
          <w:strike w:val="0"/>
          <w:dstrike w:val="0"/>
          <w:emboss w:val="0"/>
          <w:imprint w:val="0"/>
          <w:outline w:val="0"/>
          <w:shadow w:val="0"/>
          <w:sz w:val="24"/>
          <w:szCs w:val="24"/>
          <w:u w:val="none"/>
        </w:rPr>
        <w:t xml:space="preserve">Biological Control, </w:t>
      </w:r>
      <w:r>
        <w:rPr>
          <w:highlight w:val="yellow"/>
          <w:rFonts w:hAnsi="Times New Roman" w:ascii="Times New Roman" w:cs="Times New Roman"/>
          <w:b w:val="0"/>
          <w:i/>
          <w:iCs/>
          <w:strike w:val="0"/>
          <w:dstrike w:val="0"/>
          <w:emboss w:val="0"/>
          <w:imprint w:val="0"/>
          <w:outline w:val="0"/>
          <w:shadow w:val="0"/>
          <w:sz w:val="24"/>
          <w:szCs w:val="24"/>
          <w:u w:val="none"/>
        </w:rPr>
        <w:t xml:space="preserve">189</w:t>
      </w:r>
      <w:r>
        <w:rPr>
          <w:rFonts w:hAnsi="Times New Roman" w:ascii="Times New Roman" w:cs="Times New Roman"/>
          <w:b w:val="0"/>
          <w:i w:val="0"/>
          <w:strike w:val="0"/>
          <w:dstrike w:val="0"/>
          <w:emboss w:val="0"/>
          <w:imprint w:val="0"/>
          <w:outline w:val="0"/>
          <w:shadow w:val="0"/>
          <w:sz w:val="24"/>
          <w:szCs w:val="24"/>
          <w:u w:val="none"/>
        </w:rPr>
        <w:t xml:space="preserve">, 105364. </w:t>
      </w:r>
      <w:hyperlink r:id="rId25">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https://doi.org/10.1016/j.biocontrol.2023.105364</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Jones, J.T., Haegeman, A., Danchin, E.G.J., Gaur, H.S., Helder, J., Jones, M. G. K., … Perry, R. N. (2013). Top 10 plant-parasitic nematodes in molecular plant pathology. </w:t>
      </w:r>
      <w:r>
        <w:rPr>
          <w:rFonts w:hAnsi="Times New Roman" w:ascii="Times New Roman" w:cs="Times New Roman"/>
          <w:b w:val="0"/>
          <w:i/>
          <w:iCs/>
          <w:strike w:val="0"/>
          <w:dstrike w:val="0"/>
          <w:emboss w:val="0"/>
          <w:imprint w:val="0"/>
          <w:outline w:val="0"/>
          <w:shadow w:val="0"/>
          <w:sz w:val="24"/>
          <w:szCs w:val="24"/>
          <w:u w:val="none"/>
        </w:rPr>
        <w:t xml:space="preserve">Molecular Plant Pathology, </w:t>
      </w:r>
      <w:r>
        <w:rPr>
          <w:highlight w:val="yellow"/>
          <w:rFonts w:hAnsi="Times New Roman" w:ascii="Times New Roman" w:cs="Times New Roman"/>
          <w:b w:val="0"/>
          <w:i/>
          <w:iCs/>
          <w:strike w:val="0"/>
          <w:dstrike w:val="0"/>
          <w:emboss w:val="0"/>
          <w:imprint w:val="0"/>
          <w:outline w:val="0"/>
          <w:shadow w:val="0"/>
          <w:sz w:val="24"/>
          <w:szCs w:val="24"/>
          <w:u w:val="none"/>
        </w:rPr>
        <w:t xml:space="preserve">14</w:t>
      </w:r>
      <w:r>
        <w:rPr>
          <w:rFonts w:hAnsi="Times New Roman" w:ascii="Times New Roman" w:cs="Times New Roman"/>
          <w:b w:val="0"/>
          <w:i w:val="0"/>
          <w:strike w:val="0"/>
          <w:dstrike w:val="0"/>
          <w:emboss w:val="0"/>
          <w:imprint w:val="0"/>
          <w:outline w:val="0"/>
          <w:shadow w:val="0"/>
          <w:sz w:val="24"/>
          <w:szCs w:val="24"/>
          <w:u w:val="none"/>
        </w:rPr>
        <w:t xml:space="preserve">(9), 946–961. </w:t>
      </w:r>
      <w:hyperlink r:id="rId26">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https://doi.org/10.1111/mpp.12057</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Kang, Y.F., Fang, Y.W., Li, Y.H., Li, Y., &amp; Wang, J. (2015). Toxicity evaluation of carbon quantum dots using multiple in vivo and in vitro systems. </w:t>
      </w:r>
      <w:r>
        <w:rPr>
          <w:rFonts w:hAnsi="Times New Roman" w:ascii="Times New Roman" w:cs="Times New Roman"/>
          <w:b w:val="0"/>
          <w:i/>
          <w:iCs/>
          <w:strike w:val="0"/>
          <w:dstrike w:val="0"/>
          <w:emboss w:val="0"/>
          <w:imprint w:val="0"/>
          <w:outline w:val="0"/>
          <w:shadow w:val="0"/>
          <w:sz w:val="24"/>
          <w:szCs w:val="24"/>
          <w:u w:val="none"/>
        </w:rPr>
        <w:t xml:space="preserve">Scientific Reports, </w:t>
      </w:r>
      <w:r>
        <w:rPr>
          <w:highlight w:val="yellow"/>
          <w:rFonts w:hAnsi="Times New Roman" w:ascii="Times New Roman" w:cs="Times New Roman"/>
          <w:b w:val="0"/>
          <w:i/>
          <w:iCs/>
          <w:strike w:val="0"/>
          <w:dstrike w:val="0"/>
          <w:emboss w:val="0"/>
          <w:imprint w:val="0"/>
          <w:outline w:val="0"/>
          <w:shadow w:val="0"/>
          <w:sz w:val="24"/>
          <w:szCs w:val="24"/>
          <w:u w:val="none"/>
        </w:rPr>
        <w:t xml:space="preserve">5</w:t>
      </w:r>
      <w:r>
        <w:rPr>
          <w:rFonts w:hAnsi="Times New Roman" w:ascii="Times New Roman" w:cs="Times New Roman"/>
          <w:b w:val="0"/>
          <w:i w:val="0"/>
          <w:strike w:val="0"/>
          <w:dstrike w:val="0"/>
          <w:emboss w:val="0"/>
          <w:imprint w:val="0"/>
          <w:outline w:val="0"/>
          <w:shadow w:val="0"/>
          <w:sz w:val="24"/>
          <w:szCs w:val="24"/>
          <w:u w:val="none"/>
        </w:rPr>
        <w:t xml:space="preserve">, 16767. </w:t>
      </w:r>
      <w:hyperlink r:id="rId27">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https://doi.org/10.1038/srep16767</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Kang, S., Herzberg, M., Rodrigues, D. F., &amp; Elimelech, M. (2012). Antibacterial effects of carbon nanotubes: Size does matter! </w:t>
      </w:r>
      <w:r>
        <w:rPr>
          <w:rFonts w:hAnsi="Times New Roman" w:ascii="Times New Roman" w:cs="Times New Roman"/>
          <w:b w:val="0"/>
          <w:i/>
          <w:iCs/>
          <w:strike w:val="0"/>
          <w:dstrike w:val="0"/>
          <w:emboss w:val="0"/>
          <w:imprint w:val="0"/>
          <w:outline w:val="0"/>
          <w:shadow w:val="0"/>
          <w:sz w:val="24"/>
          <w:szCs w:val="24"/>
          <w:u w:val="none"/>
        </w:rPr>
        <w:t xml:space="preserve">Langmuir, </w:t>
      </w:r>
      <w:r>
        <w:rPr>
          <w:highlight w:val="yellow"/>
          <w:rFonts w:hAnsi="Times New Roman" w:ascii="Times New Roman" w:cs="Times New Roman"/>
          <w:b w:val="0"/>
          <w:i/>
          <w:iCs/>
          <w:strike w:val="0"/>
          <w:dstrike w:val="0"/>
          <w:emboss w:val="0"/>
          <w:imprint w:val="0"/>
          <w:outline w:val="0"/>
          <w:shadow w:val="0"/>
          <w:sz w:val="24"/>
          <w:szCs w:val="24"/>
          <w:u w:val="none"/>
        </w:rPr>
        <w:t xml:space="preserve">24</w:t>
      </w:r>
      <w:r>
        <w:rPr>
          <w:rFonts w:hAnsi="Times New Roman" w:ascii="Times New Roman" w:cs="Times New Roman"/>
          <w:b w:val="0"/>
          <w:i w:val="0"/>
          <w:strike w:val="0"/>
          <w:dstrike w:val="0"/>
          <w:emboss w:val="0"/>
          <w:imprint w:val="0"/>
          <w:outline w:val="0"/>
          <w:shadow w:val="0"/>
          <w:sz w:val="24"/>
          <w:szCs w:val="24"/>
          <w:u w:val="none"/>
        </w:rPr>
        <w:t xml:space="preserve">(13), 6409–6413. </w:t>
      </w:r>
      <w:hyperlink r:id="rId28">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https://doi.org/10.1021/la800951v</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Kikuchi, T., Cotton, J. A., Dalzell, J. J., Hasegawa, K., Kanzaki, N., McVeigh, P., … Jones, J. T. (2011). Genomic insights into the origin of parasitism in the emerging plant pathogen </w:t>
      </w:r>
      <w:r>
        <w:rPr>
          <w:rFonts w:hAnsi="Times New Roman" w:ascii="Times New Roman" w:cs="Times New Roman"/>
          <w:b w:val="0"/>
          <w:i/>
          <w:iCs/>
          <w:strike w:val="0"/>
          <w:dstrike w:val="0"/>
          <w:emboss w:val="0"/>
          <w:imprint w:val="0"/>
          <w:outline w:val="0"/>
          <w:shadow w:val="0"/>
          <w:sz w:val="24"/>
          <w:szCs w:val="24"/>
          <w:u w:val="none"/>
        </w:rPr>
        <w:t xml:space="preserve">Bursaphelenchus xylophilus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PLoS Pathogens, </w:t>
      </w:r>
      <w:r>
        <w:rPr>
          <w:highlight w:val="yellow"/>
          <w:rFonts w:hAnsi="Times New Roman" w:ascii="Times New Roman" w:cs="Times New Roman"/>
          <w:b w:val="0"/>
          <w:i/>
          <w:iCs/>
          <w:strike w:val="0"/>
          <w:dstrike w:val="0"/>
          <w:emboss w:val="0"/>
          <w:imprint w:val="0"/>
          <w:outline w:val="0"/>
          <w:shadow w:val="0"/>
          <w:sz w:val="24"/>
          <w:szCs w:val="24"/>
          <w:u w:val="none"/>
        </w:rPr>
        <w:t xml:space="preserve">7</w:t>
      </w:r>
      <w:r>
        <w:rPr>
          <w:rFonts w:hAnsi="Times New Roman" w:ascii="Times New Roman" w:cs="Times New Roman"/>
          <w:b w:val="0"/>
          <w:i w:val="0"/>
          <w:strike w:val="0"/>
          <w:dstrike w:val="0"/>
          <w:emboss w:val="0"/>
          <w:imprint w:val="0"/>
          <w:outline w:val="0"/>
          <w:shadow w:val="0"/>
          <w:sz w:val="24"/>
          <w:szCs w:val="24"/>
          <w:u w:val="none"/>
        </w:rPr>
        <w:t xml:space="preserve">(9), e1002219. </w:t>
      </w:r>
      <w:hyperlink r:id="rId29">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https://doi.org/10.1371/journal.ppat.1002219</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Lim, S. Y., Shen, W., &amp; Gao, Z. (2015). Carbon quantum dots and their applications. </w:t>
      </w:r>
      <w:r>
        <w:rPr>
          <w:rFonts w:hAnsi="Times New Roman" w:ascii="Times New Roman" w:cs="Times New Roman"/>
          <w:b w:val="0"/>
          <w:i/>
          <w:iCs/>
          <w:strike w:val="0"/>
          <w:dstrike w:val="0"/>
          <w:emboss w:val="0"/>
          <w:imprint w:val="0"/>
          <w:outline w:val="0"/>
          <w:shadow w:val="0"/>
          <w:sz w:val="24"/>
          <w:szCs w:val="24"/>
          <w:u w:val="none"/>
        </w:rPr>
        <w:t xml:space="preserve">Chemical Society Reviews, </w:t>
      </w:r>
      <w:r>
        <w:rPr>
          <w:highlight w:val="yellow"/>
          <w:rFonts w:hAnsi="Times New Roman" w:ascii="Times New Roman" w:cs="Times New Roman"/>
          <w:b w:val="0"/>
          <w:i/>
          <w:iCs/>
          <w:strike w:val="0"/>
          <w:dstrike w:val="0"/>
          <w:emboss w:val="0"/>
          <w:imprint w:val="0"/>
          <w:outline w:val="0"/>
          <w:shadow w:val="0"/>
          <w:sz w:val="24"/>
          <w:szCs w:val="24"/>
          <w:u w:val="none"/>
        </w:rPr>
        <w:t xml:space="preserve">44</w:t>
      </w:r>
      <w:r>
        <w:rPr>
          <w:rFonts w:hAnsi="Times New Roman" w:ascii="Times New Roman" w:cs="Times New Roman"/>
          <w:b w:val="0"/>
          <w:i w:val="0"/>
          <w:strike w:val="0"/>
          <w:dstrike w:val="0"/>
          <w:emboss w:val="0"/>
          <w:imprint w:val="0"/>
          <w:outline w:val="0"/>
          <w:shadow w:val="0"/>
          <w:sz w:val="24"/>
          <w:szCs w:val="24"/>
          <w:u w:val="none"/>
        </w:rPr>
        <w:t xml:space="preserve">(1), 362–381. </w:t>
      </w:r>
      <w:hyperlink r:id="rId30">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https://doi.org/10.1039/C4CS00269E</w:t>
        </w:r>
      </w:hyperlink>
    </w:p>
    <w:p>
      <w:pPr>
        <w:ind w:left="720" w:hanging="720"/>
        <w:jc w:val="both"/>
        <w:rPr>
          <w:color w:val="EE0000"/>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Li, Y., Zhong, L., Zhang, L., Shen, X., Kong, L., &amp; Wu, T. (2021). Research advances on the adverse effects of nanomaterials in a model organism,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Environmental Toxicology and Chemistry, </w:t>
      </w:r>
      <w:r>
        <w:rPr>
          <w:highlight w:val="yellow"/>
          <w:rFonts w:hAnsi="Times New Roman" w:ascii="Times New Roman" w:cs="Times New Roman"/>
          <w:b w:val="0"/>
          <w:i/>
          <w:iCs/>
          <w:strike w:val="0"/>
          <w:dstrike w:val="0"/>
          <w:emboss w:val="0"/>
          <w:imprint w:val="0"/>
          <w:outline w:val="0"/>
          <w:shadow w:val="0"/>
          <w:sz w:val="24"/>
          <w:szCs w:val="24"/>
          <w:u w:val="none"/>
        </w:rPr>
        <w:t xml:space="preserve">40</w:t>
      </w:r>
      <w:r>
        <w:rPr>
          <w:rFonts w:hAnsi="Times New Roman" w:ascii="Times New Roman" w:cs="Times New Roman"/>
          <w:b w:val="0"/>
          <w:i w:val="0"/>
          <w:strike w:val="0"/>
          <w:dstrike w:val="0"/>
          <w:emboss w:val="0"/>
          <w:imprint w:val="0"/>
          <w:outline w:val="0"/>
          <w:shadow w:val="0"/>
          <w:sz w:val="24"/>
          <w:szCs w:val="24"/>
          <w:u w:val="none"/>
        </w:rPr>
        <w:t xml:space="preserve">, 2406–2424. </w:t>
      </w:r>
      <w:hyperlink r:id="rId31">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https://doi.org/10.1002/etc.5130</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Li, C., Tang, M., &amp; Wang, D. (2013). </w:t>
      </w:r>
      <w:r>
        <w:rPr>
          <w:rFonts w:hAnsi="Times New Roman" w:ascii="Times New Roman" w:cs="Times New Roman"/>
          <w:b w:val="0"/>
          <w:i/>
          <w:iCs/>
          <w:strike w:val="0"/>
          <w:dstrike w:val="0"/>
          <w:emboss w:val="0"/>
          <w:imprint w:val="0"/>
          <w:outline w:val="0"/>
          <w:shadow w:val="0"/>
          <w:sz w:val="24"/>
          <w:szCs w:val="24"/>
          <w:u w:val="none"/>
        </w:rPr>
        <w:t xml:space="preserve">Translocation and neurotoxicity of CdTe quantum dots in RMEs motor neurons in nematode 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Journal of Hazardous Materials, </w:t>
      </w:r>
      <w:r>
        <w:rPr>
          <w:highlight w:val="yellow"/>
          <w:rFonts w:hAnsi="Times New Roman" w:ascii="Times New Roman" w:cs="Times New Roman"/>
          <w:b w:val="0"/>
          <w:i/>
          <w:iCs/>
          <w:strike w:val="0"/>
          <w:dstrike w:val="0"/>
          <w:emboss w:val="0"/>
          <w:imprint w:val="0"/>
          <w:outline w:val="0"/>
          <w:shadow w:val="0"/>
          <w:sz w:val="24"/>
          <w:szCs w:val="24"/>
          <w:u w:val="none"/>
        </w:rPr>
        <w:t xml:space="preserve">283</w:t>
      </w:r>
      <w:r>
        <w:rPr>
          <w:rFonts w:hAnsi="Times New Roman" w:ascii="Times New Roman" w:cs="Times New Roman"/>
          <w:b w:val="0"/>
          <w:i w:val="0"/>
          <w:strike w:val="0"/>
          <w:dstrike w:val="0"/>
          <w:emboss w:val="0"/>
          <w:imprint w:val="0"/>
          <w:outline w:val="0"/>
          <w:shadow w:val="0"/>
          <w:sz w:val="24"/>
          <w:szCs w:val="24"/>
          <w:u w:val="none"/>
        </w:rPr>
        <w:t xml:space="preserve">, 480–489. </w:t>
      </w:r>
      <w:hyperlink r:id="rId32">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https://doi.org/10.1016/j.jhazmat.2014.09.063</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Liang, Y., Liu, H., Xia, W., &amp; Chen, Z. (2022). Environmental behavior and toxicity of quantum dots. </w:t>
      </w:r>
      <w:r>
        <w:rPr>
          <w:rFonts w:hAnsi="Times New Roman" w:ascii="Times New Roman" w:cs="Times New Roman"/>
          <w:b w:val="0"/>
          <w:i/>
          <w:iCs/>
          <w:strike w:val="0"/>
          <w:dstrike w:val="0"/>
          <w:emboss w:val="0"/>
          <w:imprint w:val="0"/>
          <w:outline w:val="0"/>
          <w:shadow w:val="0"/>
          <w:sz w:val="24"/>
          <w:szCs w:val="24"/>
          <w:u w:val="none"/>
        </w:rPr>
        <w:t xml:space="preserve">Environmental Pollution, </w:t>
      </w:r>
      <w:r>
        <w:rPr>
          <w:highlight w:val="yellow"/>
          <w:rFonts w:hAnsi="Times New Roman" w:ascii="Times New Roman" w:cs="Times New Roman"/>
          <w:b w:val="0"/>
          <w:i/>
          <w:iCs/>
          <w:strike w:val="0"/>
          <w:dstrike w:val="0"/>
          <w:emboss w:val="0"/>
          <w:imprint w:val="0"/>
          <w:outline w:val="0"/>
          <w:shadow w:val="0"/>
          <w:sz w:val="24"/>
          <w:szCs w:val="24"/>
          <w:u w:val="none"/>
        </w:rPr>
        <w:t xml:space="preserve">292</w:t>
      </w:r>
      <w:r>
        <w:rPr>
          <w:rFonts w:hAnsi="Times New Roman" w:ascii="Times New Roman" w:cs="Times New Roman"/>
          <w:b w:val="0"/>
          <w:i w:val="0"/>
          <w:strike w:val="0"/>
          <w:dstrike w:val="0"/>
          <w:emboss w:val="0"/>
          <w:imprint w:val="0"/>
          <w:outline w:val="0"/>
          <w:shadow w:val="0"/>
          <w:sz w:val="24"/>
          <w:szCs w:val="24"/>
          <w:u w:val="none"/>
        </w:rPr>
        <w:t xml:space="preserve">, 118357. </w:t>
      </w:r>
      <w:hyperlink r:id="rId33">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https://doi.org/10.1016/j.envpol.2021.118357</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Qu, M., Li, W., &amp; Li, Y. (2011). Toxicity of quantum dots to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Journal of Nanoscience and Nanotechnology, </w:t>
      </w:r>
      <w:r>
        <w:rPr>
          <w:highlight w:val="yellow"/>
          <w:rFonts w:hAnsi="Times New Roman" w:ascii="Times New Roman" w:cs="Times New Roman"/>
          <w:b w:val="0"/>
          <w:i/>
          <w:iCs/>
          <w:strike w:val="0"/>
          <w:dstrike w:val="0"/>
          <w:emboss w:val="0"/>
          <w:imprint w:val="0"/>
          <w:outline w:val="0"/>
          <w:shadow w:val="0"/>
          <w:sz w:val="24"/>
          <w:szCs w:val="24"/>
          <w:u w:val="none"/>
        </w:rPr>
        <w:t xml:space="preserve">11</w:t>
      </w:r>
      <w:r>
        <w:rPr>
          <w:rFonts w:hAnsi="Times New Roman" w:ascii="Times New Roman" w:cs="Times New Roman"/>
          <w:b w:val="0"/>
          <w:i w:val="0"/>
          <w:strike w:val="0"/>
          <w:dstrike w:val="0"/>
          <w:emboss w:val="0"/>
          <w:imprint w:val="0"/>
          <w:outline w:val="0"/>
          <w:shadow w:val="0"/>
          <w:sz w:val="24"/>
          <w:szCs w:val="24"/>
          <w:u w:val="none"/>
        </w:rPr>
        <w:t xml:space="preserve">(3), 2393–2399. </w:t>
      </w:r>
      <w:hyperlink r:id="rId34">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https://doi.org/10.1166/jnn.2011.3612</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Qu, G., Liu, S., Zhang, S., Wang, L., Wang, X., Sun, B., … Jiang, G. (2019). Graphene oxide induces oxidative stress and apoptosis in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Environmental Science &amp; Technology, </w:t>
      </w:r>
      <w:r>
        <w:rPr>
          <w:highlight w:val="yellow"/>
          <w:rFonts w:hAnsi="Times New Roman" w:ascii="Times New Roman" w:cs="Times New Roman"/>
          <w:b w:val="0"/>
          <w:i/>
          <w:iCs/>
          <w:strike w:val="0"/>
          <w:dstrike w:val="0"/>
          <w:emboss w:val="0"/>
          <w:imprint w:val="0"/>
          <w:outline w:val="0"/>
          <w:shadow w:val="0"/>
          <w:sz w:val="24"/>
          <w:szCs w:val="24"/>
          <w:u w:val="none"/>
        </w:rPr>
        <w:t xml:space="preserve">46</w:t>
      </w:r>
      <w:r>
        <w:rPr>
          <w:rFonts w:hAnsi="Times New Roman" w:ascii="Times New Roman" w:cs="Times New Roman"/>
          <w:b w:val="0"/>
          <w:i w:val="0"/>
          <w:strike w:val="0"/>
          <w:dstrike w:val="0"/>
          <w:emboss w:val="0"/>
          <w:imprint w:val="0"/>
          <w:outline w:val="0"/>
          <w:shadow w:val="0"/>
          <w:sz w:val="24"/>
          <w:szCs w:val="24"/>
          <w:u w:val="none"/>
        </w:rPr>
        <w:t xml:space="preserve">(11), 6068–6076. </w:t>
      </w:r>
      <w:hyperlink r:id="rId35">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https://doi.org/10.1021/es300772p</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Rajasekharan, S. K., &amp; Ramesh, S. (2017). Nematode management and environmental sustainability. </w:t>
      </w:r>
      <w:r>
        <w:rPr>
          <w:rFonts w:hAnsi="Times New Roman" w:ascii="Times New Roman" w:cs="Times New Roman"/>
          <w:b w:val="0"/>
          <w:i/>
          <w:iCs/>
          <w:strike w:val="0"/>
          <w:dstrike w:val="0"/>
          <w:emboss w:val="0"/>
          <w:imprint w:val="0"/>
          <w:outline w:val="0"/>
          <w:shadow w:val="0"/>
          <w:sz w:val="24"/>
          <w:szCs w:val="24"/>
          <w:u w:val="none"/>
        </w:rPr>
        <w:t xml:space="preserve">Journal of Environmental Management, </w:t>
      </w:r>
      <w:r>
        <w:rPr>
          <w:highlight w:val="yellow"/>
          <w:rFonts w:hAnsi="Times New Roman" w:ascii="Times New Roman" w:cs="Times New Roman"/>
          <w:b w:val="0"/>
          <w:i/>
          <w:iCs/>
          <w:strike w:val="0"/>
          <w:dstrike w:val="0"/>
          <w:emboss w:val="0"/>
          <w:imprint w:val="0"/>
          <w:outline w:val="0"/>
          <w:shadow w:val="0"/>
          <w:sz w:val="24"/>
          <w:szCs w:val="24"/>
          <w:u w:val="none"/>
        </w:rPr>
        <w:t xml:space="preserve">190</w:t>
      </w:r>
      <w:r>
        <w:rPr>
          <w:rFonts w:hAnsi="Times New Roman" w:ascii="Times New Roman" w:cs="Times New Roman"/>
          <w:b w:val="0"/>
          <w:i w:val="0"/>
          <w:strike w:val="0"/>
          <w:dstrike w:val="0"/>
          <w:emboss w:val="0"/>
          <w:imprint w:val="0"/>
          <w:outline w:val="0"/>
          <w:shadow w:val="0"/>
          <w:sz w:val="24"/>
          <w:szCs w:val="24"/>
          <w:u w:val="none"/>
        </w:rPr>
        <w:t xml:space="preserve">, 188–197. </w:t>
      </w:r>
      <w:hyperlink r:id="rId36">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https://doi.org/10.1016/j.jenvman.2016.12.033</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San-Blas, E., Morales-Maza, A., &amp; Campos-Herrera, R. (2025). In vivo labeling of entomopathogenic nematodes using carbon quantum dots for long-term ecological studies. </w:t>
      </w:r>
      <w:r>
        <w:rPr>
          <w:rFonts w:hAnsi="Times New Roman" w:ascii="Times New Roman" w:cs="Times New Roman"/>
          <w:b w:val="0"/>
          <w:i/>
          <w:iCs/>
          <w:strike w:val="0"/>
          <w:dstrike w:val="0"/>
          <w:emboss w:val="0"/>
          <w:imprint w:val="0"/>
          <w:outline w:val="0"/>
          <w:shadow w:val="0"/>
          <w:sz w:val="24"/>
          <w:szCs w:val="24"/>
          <w:u w:val="none"/>
        </w:rPr>
        <w:t xml:space="preserve">Journal of Invertebrate Pathology, </w:t>
      </w:r>
      <w:r>
        <w:rPr>
          <w:highlight w:val="yellow"/>
          <w:rFonts w:hAnsi="Times New Roman" w:ascii="Times New Roman" w:cs="Times New Roman"/>
          <w:b w:val="0"/>
          <w:i/>
          <w:iCs/>
          <w:strike w:val="0"/>
          <w:dstrike w:val="0"/>
          <w:emboss w:val="0"/>
          <w:imprint w:val="0"/>
          <w:outline w:val="0"/>
          <w:shadow w:val="0"/>
          <w:sz w:val="24"/>
          <w:szCs w:val="24"/>
          <w:u w:val="none"/>
        </w:rPr>
        <w:t xml:space="preserve">196</w:t>
      </w:r>
      <w:r>
        <w:rPr>
          <w:rFonts w:hAnsi="Times New Roman" w:ascii="Times New Roman" w:cs="Times New Roman"/>
          <w:b w:val="0"/>
          <w:i w:val="0"/>
          <w:strike w:val="0"/>
          <w:dstrike w:val="0"/>
          <w:emboss w:val="0"/>
          <w:imprint w:val="0"/>
          <w:outline w:val="0"/>
          <w:shadow w:val="0"/>
          <w:sz w:val="24"/>
          <w:szCs w:val="24"/>
          <w:u w:val="none"/>
        </w:rPr>
        <w:t xml:space="preserve">, 108031. </w:t>
      </w:r>
      <w:hyperlink r:id="rId37">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https://doi.org/10.1016/j.jip.2024.108031</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Sadhu, S., &amp; Patra, A. (2013). </w:t>
      </w:r>
      <w:r>
        <w:rPr>
          <w:rFonts w:hAnsi="Times New Roman" w:ascii="Times New Roman" w:cs="Times New Roman"/>
          <w:b w:val="0"/>
          <w:i/>
          <w:iCs/>
          <w:strike w:val="0"/>
          <w:dstrike w:val="0"/>
          <w:emboss w:val="0"/>
          <w:imprint w:val="0"/>
          <w:outline w:val="0"/>
          <w:shadow w:val="0"/>
          <w:sz w:val="24"/>
          <w:szCs w:val="24"/>
          <w:u w:val="none"/>
        </w:rPr>
        <w:t xml:space="preserve">Quenching of quantum dot emission by fluorescent gold clusters: What it does and does not share with the Förster formalism</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The Journal of Physical Chemistry C, </w:t>
      </w:r>
      <w:r>
        <w:rPr>
          <w:highlight w:val="yellow"/>
          <w:rFonts w:hAnsi="Times New Roman" w:ascii="Times New Roman" w:cs="Times New Roman"/>
          <w:b w:val="0"/>
          <w:i/>
          <w:iCs/>
          <w:strike w:val="0"/>
          <w:dstrike w:val="0"/>
          <w:emboss w:val="0"/>
          <w:imprint w:val="0"/>
          <w:outline w:val="0"/>
          <w:shadow w:val="0"/>
          <w:sz w:val="24"/>
          <w:szCs w:val="24"/>
          <w:u w:val="none"/>
        </w:rPr>
        <w:t xml:space="preserve">117</w:t>
      </w:r>
      <w:r>
        <w:rPr>
          <w:rFonts w:hAnsi="Times New Roman" w:ascii="Times New Roman" w:cs="Times New Roman"/>
          <w:b w:val="0"/>
          <w:i w:val="0"/>
          <w:strike w:val="0"/>
          <w:dstrike w:val="0"/>
          <w:emboss w:val="0"/>
          <w:imprint w:val="0"/>
          <w:outline w:val="0"/>
          <w:shadow w:val="0"/>
          <w:sz w:val="24"/>
          <w:szCs w:val="24"/>
          <w:u w:val="none"/>
        </w:rPr>
        <w:t xml:space="preserve">(29), 15429–15437. </w:t>
      </w:r>
      <w:hyperlink r:id="rId38">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https://doi.org/10.1021/jp404952p</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Shaner, N. C., Steinbach, P. A., &amp; Tsien, R. Y. (2005). A guide to choosing fluorescent proteins. </w:t>
      </w:r>
      <w:r>
        <w:rPr>
          <w:rFonts w:hAnsi="Times New Roman" w:ascii="Times New Roman" w:cs="Times New Roman"/>
          <w:b w:val="0"/>
          <w:i/>
          <w:iCs/>
          <w:strike w:val="0"/>
          <w:dstrike w:val="0"/>
          <w:emboss w:val="0"/>
          <w:imprint w:val="0"/>
          <w:outline w:val="0"/>
          <w:shadow w:val="0"/>
          <w:sz w:val="24"/>
          <w:szCs w:val="24"/>
          <w:u w:val="none"/>
        </w:rPr>
        <w:t xml:space="preserve">Nature Methods, </w:t>
      </w:r>
      <w:r>
        <w:rPr>
          <w:highlight w:val="yellow"/>
          <w:rFonts w:hAnsi="Times New Roman" w:ascii="Times New Roman" w:cs="Times New Roman"/>
          <w:b w:val="0"/>
          <w:i/>
          <w:iCs/>
          <w:strike w:val="0"/>
          <w:dstrike w:val="0"/>
          <w:emboss w:val="0"/>
          <w:imprint w:val="0"/>
          <w:outline w:val="0"/>
          <w:shadow w:val="0"/>
          <w:sz w:val="24"/>
          <w:szCs w:val="24"/>
          <w:u w:val="none"/>
        </w:rPr>
        <w:t xml:space="preserve">2</w:t>
      </w:r>
      <w:r>
        <w:rPr>
          <w:rFonts w:hAnsi="Times New Roman" w:ascii="Times New Roman" w:cs="Times New Roman"/>
          <w:b w:val="0"/>
          <w:i w:val="0"/>
          <w:strike w:val="0"/>
          <w:dstrike w:val="0"/>
          <w:emboss w:val="0"/>
          <w:imprint w:val="0"/>
          <w:outline w:val="0"/>
          <w:shadow w:val="0"/>
          <w:sz w:val="24"/>
          <w:szCs w:val="24"/>
          <w:u w:val="none"/>
        </w:rPr>
        <w:t xml:space="preserve">(12), 905–909. </w:t>
      </w:r>
      <w:hyperlink r:id="rId39">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https://doi.org/10.1038/nmeth819</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Singh, R., Dutta, S., &amp; Narayan, R. (2018). Biocompatibility and biosafety of carbon quantum dots. </w:t>
      </w:r>
      <w:r>
        <w:rPr>
          <w:rFonts w:hAnsi="Times New Roman" w:ascii="Times New Roman" w:cs="Times New Roman"/>
          <w:b w:val="0"/>
          <w:i/>
          <w:iCs/>
          <w:strike w:val="0"/>
          <w:dstrike w:val="0"/>
          <w:emboss w:val="0"/>
          <w:imprint w:val="0"/>
          <w:outline w:val="0"/>
          <w:shadow w:val="0"/>
          <w:sz w:val="24"/>
          <w:szCs w:val="24"/>
          <w:u w:val="none"/>
        </w:rPr>
        <w:t xml:space="preserve">Journal of Nanobiotechnology, </w:t>
      </w:r>
      <w:r>
        <w:rPr>
          <w:highlight w:val="yellow"/>
          <w:rFonts w:hAnsi="Times New Roman" w:ascii="Times New Roman" w:cs="Times New Roman"/>
          <w:b w:val="0"/>
          <w:i/>
          <w:iCs/>
          <w:strike w:val="0"/>
          <w:dstrike w:val="0"/>
          <w:emboss w:val="0"/>
          <w:imprint w:val="0"/>
          <w:outline w:val="0"/>
          <w:shadow w:val="0"/>
          <w:sz w:val="24"/>
          <w:szCs w:val="24"/>
          <w:u w:val="none"/>
        </w:rPr>
        <w:t xml:space="preserve">16</w:t>
      </w:r>
      <w:r>
        <w:rPr>
          <w:rFonts w:hAnsi="Times New Roman" w:ascii="Times New Roman" w:cs="Times New Roman"/>
          <w:b w:val="0"/>
          <w:i w:val="0"/>
          <w:strike w:val="0"/>
          <w:dstrike w:val="0"/>
          <w:emboss w:val="0"/>
          <w:imprint w:val="0"/>
          <w:outline w:val="0"/>
          <w:shadow w:val="0"/>
          <w:sz w:val="24"/>
          <w:szCs w:val="24"/>
          <w:u w:val="none"/>
        </w:rPr>
        <w:t xml:space="preserve">, 55. </w:t>
      </w:r>
      <w:hyperlink r:id="rId40">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https://doi.org/10.1186/s12951-018-0389-9</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Smits, P. H. (1996). Post-application persistence of entomopathogenic nematodes. </w:t>
      </w:r>
      <w:r>
        <w:rPr>
          <w:rFonts w:hAnsi="Times New Roman" w:ascii="Times New Roman" w:cs="Times New Roman"/>
          <w:b w:val="0"/>
          <w:i/>
          <w:iCs/>
          <w:strike w:val="0"/>
          <w:dstrike w:val="0"/>
          <w:emboss w:val="0"/>
          <w:imprint w:val="0"/>
          <w:outline w:val="0"/>
          <w:shadow w:val="0"/>
          <w:sz w:val="24"/>
          <w:szCs w:val="24"/>
          <w:u w:val="none"/>
        </w:rPr>
        <w:t xml:space="preserve">Biocontrol Science and Technology, </w:t>
      </w:r>
      <w:r>
        <w:rPr>
          <w:highlight w:val="yellow"/>
          <w:rFonts w:hAnsi="Times New Roman" w:ascii="Times New Roman" w:cs="Times New Roman"/>
          <w:b w:val="0"/>
          <w:i/>
          <w:iCs/>
          <w:strike w:val="0"/>
          <w:dstrike w:val="0"/>
          <w:emboss w:val="0"/>
          <w:imprint w:val="0"/>
          <w:outline w:val="0"/>
          <w:shadow w:val="0"/>
          <w:sz w:val="24"/>
          <w:szCs w:val="24"/>
          <w:u w:val="none"/>
        </w:rPr>
        <w:t xml:space="preserve">6</w:t>
      </w:r>
      <w:r>
        <w:rPr>
          <w:rFonts w:hAnsi="Times New Roman" w:ascii="Times New Roman" w:cs="Times New Roman"/>
          <w:b w:val="0"/>
          <w:i w:val="0"/>
          <w:strike w:val="0"/>
          <w:dstrike w:val="0"/>
          <w:emboss w:val="0"/>
          <w:imprint w:val="0"/>
          <w:outline w:val="0"/>
          <w:shadow w:val="0"/>
          <w:sz w:val="24"/>
          <w:szCs w:val="24"/>
          <w:u w:val="none"/>
        </w:rPr>
        <w:t xml:space="preserve">(3), 379–387. </w:t>
      </w:r>
      <w:hyperlink r:id="rId41">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https://doi.org/10.1080/09583159631326</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lastRenderedPageBreak/>
        <w:t xml:space="preserve">Song, X., Shen, W., Xu, L., Wang, Y., &amp; Yang, B. (2019). Quantum dots for bioimaging and photodynamic therapy. </w:t>
      </w:r>
      <w:r>
        <w:rPr>
          <w:rFonts w:hAnsi="Times New Roman" w:ascii="Times New Roman" w:cs="Times New Roman"/>
          <w:b w:val="0"/>
          <w:i/>
          <w:iCs/>
          <w:strike w:val="0"/>
          <w:dstrike w:val="0"/>
          <w:emboss w:val="0"/>
          <w:imprint w:val="0"/>
          <w:outline w:val="0"/>
          <w:shadow w:val="0"/>
          <w:sz w:val="24"/>
          <w:szCs w:val="24"/>
          <w:u w:val="none"/>
        </w:rPr>
        <w:t xml:space="preserve">Journal of Materials Chemistry C, </w:t>
      </w:r>
      <w:r>
        <w:rPr>
          <w:highlight w:val="yellow"/>
          <w:rFonts w:hAnsi="Times New Roman" w:ascii="Times New Roman" w:cs="Times New Roman"/>
          <w:b w:val="0"/>
          <w:i/>
          <w:iCs/>
          <w:strike w:val="0"/>
          <w:dstrike w:val="0"/>
          <w:emboss w:val="0"/>
          <w:imprint w:val="0"/>
          <w:outline w:val="0"/>
          <w:shadow w:val="0"/>
          <w:sz w:val="24"/>
          <w:szCs w:val="24"/>
          <w:u w:val="none"/>
        </w:rPr>
        <w:t xml:space="preserve">7</w:t>
      </w:r>
      <w:r>
        <w:rPr>
          <w:rFonts w:hAnsi="Times New Roman" w:ascii="Times New Roman" w:cs="Times New Roman"/>
          <w:b w:val="0"/>
          <w:i w:val="0"/>
          <w:strike w:val="0"/>
          <w:dstrike w:val="0"/>
          <w:emboss w:val="0"/>
          <w:imprint w:val="0"/>
          <w:outline w:val="0"/>
          <w:shadow w:val="0"/>
          <w:sz w:val="24"/>
          <w:szCs w:val="24"/>
          <w:u w:val="none"/>
        </w:rPr>
        <w:t xml:space="preserve">(5), 1234–1245</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Stavitskaya, A., Fakhrullina, G., Nigamatzyanova, L., Sitmukhanova, E., Khusnetdenova, E., Fakhrullin, R., &amp; Vinokurov, V. (2021). Biodistribution of Quantum Dots-Labelled Halloysite Nanotubes: A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In Vivo Study. </w:t>
      </w:r>
      <w:r>
        <w:rPr>
          <w:rFonts w:hAnsi="Times New Roman" w:ascii="Times New Roman" w:cs="Times New Roman"/>
          <w:b w:val="0"/>
          <w:i/>
          <w:iCs/>
          <w:strike w:val="0"/>
          <w:dstrike w:val="0"/>
          <w:emboss w:val="0"/>
          <w:imprint w:val="0"/>
          <w:outline w:val="0"/>
          <w:shadow w:val="0"/>
          <w:sz w:val="24"/>
          <w:szCs w:val="24"/>
          <w:u w:val="none"/>
        </w:rPr>
        <w:t xml:space="preserve">Materials</w:t>
      </w:r>
      <w:r>
        <w:rPr>
          <w:rFonts w:hAnsi="Times New Roman" w:ascii="Times New Roman" w:cs="Times New Roman"/>
          <w:b w:val="0"/>
          <w:i w:val="0"/>
          <w:strike w:val="0"/>
          <w:dstrike w:val="0"/>
          <w:emboss w:val="0"/>
          <w:imprint w:val="0"/>
          <w:outline w:val="0"/>
          <w:shadow w:val="0"/>
          <w:sz w:val="24"/>
          <w:szCs w:val="24"/>
          <w:u w:val="none"/>
        </w:rPr>
        <w:t xml:space="preserve">, </w:t>
      </w:r>
      <w:r>
        <w:rPr>
          <w:highlight w:val="yellow"/>
          <w:rFonts w:hAnsi="Times New Roman" w:ascii="Times New Roman" w:cs="Times New Roman"/>
          <w:b w:val="0"/>
          <w:i/>
          <w:iCs/>
          <w:strike w:val="0"/>
          <w:dstrike w:val="0"/>
          <w:emboss w:val="0"/>
          <w:imprint w:val="0"/>
          <w:outline w:val="0"/>
          <w:shadow w:val="0"/>
          <w:sz w:val="24"/>
          <w:szCs w:val="24"/>
          <w:u w:val="none"/>
        </w:rPr>
        <w:t xml:space="preserve">14</w:t>
      </w:r>
      <w:r>
        <w:rPr>
          <w:rFonts w:hAnsi="Times New Roman" w:ascii="Times New Roman" w:cs="Times New Roman"/>
          <w:b w:val="0"/>
          <w:i w:val="0"/>
          <w:strike w:val="0"/>
          <w:dstrike w:val="0"/>
          <w:emboss w:val="0"/>
          <w:imprint w:val="0"/>
          <w:outline w:val="0"/>
          <w:shadow w:val="0"/>
          <w:sz w:val="24"/>
          <w:szCs w:val="24"/>
          <w:u w:val="none"/>
        </w:rPr>
        <w:t xml:space="preserve">(19), 5469. </w:t>
      </w:r>
      <w:hyperlink r:id="rId42">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https://doi.org/10.3390/ma14195469</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Sun, Y.-P., Zhou, B., Lin, Y., Wang, W., Fernando, K. A. S., Pathak, P., … Wang, H. (2006). Quantum-sized carbon dots for bright and colorful photoluminescence. </w:t>
      </w:r>
      <w:r>
        <w:rPr>
          <w:rFonts w:hAnsi="Times New Roman" w:ascii="Times New Roman" w:cs="Times New Roman"/>
          <w:b w:val="0"/>
          <w:i/>
          <w:iCs/>
          <w:strike w:val="0"/>
          <w:dstrike w:val="0"/>
          <w:emboss w:val="0"/>
          <w:imprint w:val="0"/>
          <w:outline w:val="0"/>
          <w:shadow w:val="0"/>
          <w:sz w:val="24"/>
          <w:szCs w:val="24"/>
          <w:u w:val="none"/>
        </w:rPr>
        <w:t xml:space="preserve">Journal of the American Chemical Society, </w:t>
      </w:r>
      <w:r>
        <w:rPr>
          <w:highlight w:val="yellow"/>
          <w:rFonts w:hAnsi="Times New Roman" w:ascii="Times New Roman" w:cs="Times New Roman"/>
          <w:b w:val="0"/>
          <w:i/>
          <w:iCs/>
          <w:strike w:val="0"/>
          <w:dstrike w:val="0"/>
          <w:emboss w:val="0"/>
          <w:imprint w:val="0"/>
          <w:outline w:val="0"/>
          <w:shadow w:val="0"/>
          <w:sz w:val="24"/>
          <w:szCs w:val="24"/>
          <w:u w:val="none"/>
        </w:rPr>
        <w:t xml:space="preserve">128</w:t>
      </w:r>
      <w:r>
        <w:rPr>
          <w:rFonts w:hAnsi="Times New Roman" w:ascii="Times New Roman" w:cs="Times New Roman"/>
          <w:b w:val="0"/>
          <w:i w:val="0"/>
          <w:strike w:val="0"/>
          <w:dstrike w:val="0"/>
          <w:emboss w:val="0"/>
          <w:imprint w:val="0"/>
          <w:outline w:val="0"/>
          <w:shadow w:val="0"/>
          <w:sz w:val="24"/>
          <w:szCs w:val="24"/>
          <w:u w:val="none"/>
        </w:rPr>
        <w:t xml:space="preserve">(24), 7756–7757. </w:t>
      </w:r>
      <w:hyperlink r:id="rId43">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https://doi.org/10.1021/ja062677d</w:t>
        </w:r>
      </w:hyperlink>
    </w:p>
    <w:p>
      <w:pPr>
        <w:ind w:left="720" w:hanging="720"/>
        <w:jc w:val="both"/>
        <w:rPr>
          <w:color w:val="EE0000"/>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van den Hoogen, J., Geisen, S., Routh, D., Ferris, H., Traunspurger, W., Wardle, D. A., … Crowther, T. W. (2019). Soil nematode abundance and functional group composition at a global scale. </w:t>
      </w:r>
      <w:r>
        <w:rPr>
          <w:rFonts w:hAnsi="Times New Roman" w:ascii="Times New Roman" w:cs="Times New Roman"/>
          <w:b w:val="0"/>
          <w:i/>
          <w:iCs/>
          <w:strike w:val="0"/>
          <w:dstrike w:val="0"/>
          <w:emboss w:val="0"/>
          <w:imprint w:val="0"/>
          <w:outline w:val="0"/>
          <w:shadow w:val="0"/>
          <w:sz w:val="24"/>
          <w:szCs w:val="24"/>
          <w:u w:val="none"/>
        </w:rPr>
        <w:t xml:space="preserve">Nature, </w:t>
      </w:r>
      <w:r>
        <w:rPr>
          <w:highlight w:val="yellow"/>
          <w:rFonts w:hAnsi="Times New Roman" w:ascii="Times New Roman" w:cs="Times New Roman"/>
          <w:b w:val="0"/>
          <w:i/>
          <w:iCs/>
          <w:strike w:val="0"/>
          <w:dstrike w:val="0"/>
          <w:emboss w:val="0"/>
          <w:imprint w:val="0"/>
          <w:outline w:val="0"/>
          <w:shadow w:val="0"/>
          <w:sz w:val="24"/>
          <w:szCs w:val="24"/>
          <w:u w:val="none"/>
        </w:rPr>
        <w:t xml:space="preserve">572</w:t>
      </w:r>
      <w:r>
        <w:rPr>
          <w:rFonts w:hAnsi="Times New Roman" w:ascii="Times New Roman" w:cs="Times New Roman"/>
          <w:b w:val="0"/>
          <w:i w:val="0"/>
          <w:strike w:val="0"/>
          <w:dstrike w:val="0"/>
          <w:emboss w:val="0"/>
          <w:imprint w:val="0"/>
          <w:outline w:val="0"/>
          <w:shadow w:val="0"/>
          <w:sz w:val="24"/>
          <w:szCs w:val="24"/>
          <w:u w:val="none"/>
        </w:rPr>
        <w:t xml:space="preserve">, 194–198. </w:t>
      </w:r>
      <w:hyperlink r:id="rId44">
        <w:r>
          <w:rPr>
            <w:rStyle w:val="Hyperlink"/>
            <w:color w:val="2F76B3" w:themeShade="BF"/>
            <w:rFonts w:hAnsi="Times New Roman" w:ascii="Times New Roman" w:cs="Times New Roman"/>
            <w:b w:val="0"/>
            <w:i w:val="0"/>
            <w:strike w:val="0"/>
            <w:dstrike w:val="0"/>
            <w:emboss w:val="0"/>
            <w:imprint w:val="0"/>
            <w:outline w:val="0"/>
            <w:shadow w:val="0"/>
            <w:sz w:val="24"/>
            <w:szCs w:val="24"/>
            <w:u w:val="single"/>
          </w:rPr>
          <w:t xml:space="preserve">https://doi.org/10.1038/s41586-019-1418-6</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Wang, Y., &amp; Hu, A. (2014). Carbon quantum dots: Synthesis, properties and applications. </w:t>
      </w:r>
      <w:r>
        <w:rPr>
          <w:rFonts w:hAnsi="Times New Roman" w:ascii="Times New Roman" w:cs="Times New Roman"/>
          <w:b w:val="0"/>
          <w:i/>
          <w:iCs/>
          <w:strike w:val="0"/>
          <w:dstrike w:val="0"/>
          <w:emboss w:val="0"/>
          <w:imprint w:val="0"/>
          <w:outline w:val="0"/>
          <w:shadow w:val="0"/>
          <w:sz w:val="24"/>
          <w:szCs w:val="24"/>
          <w:u w:val="none"/>
        </w:rPr>
        <w:t xml:space="preserve">Journal of Materials Chemistry C, </w:t>
      </w:r>
      <w:r>
        <w:rPr>
          <w:highlight w:val="yellow"/>
          <w:rFonts w:hAnsi="Times New Roman" w:ascii="Times New Roman" w:cs="Times New Roman"/>
          <w:b w:val="0"/>
          <w:i/>
          <w:iCs/>
          <w:strike w:val="0"/>
          <w:dstrike w:val="0"/>
          <w:emboss w:val="0"/>
          <w:imprint w:val="0"/>
          <w:outline w:val="0"/>
          <w:shadow w:val="0"/>
          <w:sz w:val="24"/>
          <w:szCs w:val="24"/>
          <w:u w:val="none"/>
        </w:rPr>
        <w:t xml:space="preserve">2</w:t>
      </w:r>
      <w:r>
        <w:rPr>
          <w:rFonts w:hAnsi="Times New Roman" w:ascii="Times New Roman" w:cs="Times New Roman"/>
          <w:b w:val="0"/>
          <w:i w:val="0"/>
          <w:strike w:val="0"/>
          <w:dstrike w:val="0"/>
          <w:emboss w:val="0"/>
          <w:imprint w:val="0"/>
          <w:outline w:val="0"/>
          <w:shadow w:val="0"/>
          <w:sz w:val="24"/>
          <w:szCs w:val="24"/>
          <w:u w:val="none"/>
        </w:rPr>
        <w:t xml:space="preserve">(34), 6921–6939. </w:t>
      </w:r>
      <w:hyperlink r:id="rId45">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https://doi.org/10.1039/C4TC00988F</w:t>
        </w:r>
      </w:hyperlink>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Wu, T., Xu, H., Liang, X., &amp; Tang, M. (2019).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as a complete model organism for biosafety assessments of nanoparticles. </w:t>
      </w:r>
      <w:r>
        <w:rPr>
          <w:rFonts w:hAnsi="Times New Roman" w:ascii="Times New Roman" w:cs="Times New Roman"/>
          <w:b w:val="0"/>
          <w:i/>
          <w:iCs/>
          <w:strike w:val="0"/>
          <w:dstrike w:val="0"/>
          <w:emboss w:val="0"/>
          <w:imprint w:val="0"/>
          <w:outline w:val="0"/>
          <w:shadow w:val="0"/>
          <w:sz w:val="24"/>
          <w:szCs w:val="24"/>
          <w:u w:val="none"/>
        </w:rPr>
        <w:t xml:space="preserve">Chemosphere, </w:t>
      </w:r>
      <w:r>
        <w:rPr>
          <w:highlight w:val="yellow"/>
          <w:rFonts w:hAnsi="Times New Roman" w:ascii="Times New Roman" w:cs="Times New Roman"/>
          <w:b w:val="0"/>
          <w:i/>
          <w:iCs/>
          <w:strike w:val="0"/>
          <w:dstrike w:val="0"/>
          <w:emboss w:val="0"/>
          <w:imprint w:val="0"/>
          <w:outline w:val="0"/>
          <w:shadow w:val="0"/>
          <w:sz w:val="24"/>
          <w:szCs w:val="24"/>
          <w:u w:val="none"/>
        </w:rPr>
        <w:t xml:space="preserve">221</w:t>
      </w:r>
      <w:r>
        <w:rPr>
          <w:rFonts w:hAnsi="Times New Roman" w:ascii="Times New Roman" w:cs="Times New Roman"/>
          <w:b w:val="0"/>
          <w:i w:val="0"/>
          <w:strike w:val="0"/>
          <w:dstrike w:val="0"/>
          <w:emboss w:val="0"/>
          <w:imprint w:val="0"/>
          <w:outline w:val="0"/>
          <w:shadow w:val="0"/>
          <w:sz w:val="24"/>
          <w:szCs w:val="24"/>
          <w:u w:val="none"/>
        </w:rPr>
        <w:t xml:space="preserve">, 708–726. </w:t>
      </w:r>
      <w:hyperlink r:id="rId46">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https://doi.org/10.1016/j.chemosphere.2019.01.096</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Xu, J., Wang, L., Mu, Y., Zhang, Y., Wang, M., Wang, Q., Wang, K., Guan, S., &amp; Li, J. (2018). Carbon quantum dots as fluorescent probes for imaging and detecting free radicals in </w:t>
      </w:r>
      <w:r>
        <w:rPr>
          <w:rFonts w:hAnsi="Times New Roman" w:ascii="Times New Roman" w:cs="Times New Roman"/>
          <w:b w:val="0"/>
          <w:i/>
          <w:iCs/>
          <w:strike w:val="0"/>
          <w:dstrike w:val="0"/>
          <w:emboss w:val="0"/>
          <w:imprint w:val="0"/>
          <w:outline w:val="0"/>
          <w:shadow w:val="0"/>
          <w:sz w:val="24"/>
          <w:szCs w:val="24"/>
          <w:u w:val="none"/>
        </w:rPr>
        <w:t xml:space="preserve">Caenorhabditis elegans</w:t>
      </w:r>
      <w:r>
        <w:rPr>
          <w:rFonts w:hAnsi="Times New Roman" w:ascii="Times New Roman" w:cs="Times New Roman"/>
          <w:b w:val="0"/>
          <w:i w:val="0"/>
          <w:strike w:val="0"/>
          <w:dstrike w:val="0"/>
          <w:emboss w:val="0"/>
          <w:imprint w:val="0"/>
          <w:outline w:val="0"/>
          <w:shadow w:val="0"/>
          <w:sz w:val="24"/>
          <w:szCs w:val="24"/>
          <w:u w:val="none"/>
        </w:rPr>
        <w:t xml:space="preserve">. </w:t>
      </w:r>
      <w:r>
        <w:rPr>
          <w:rFonts w:hAnsi="Times New Roman" w:ascii="Times New Roman" w:cs="Times New Roman"/>
          <w:b w:val="0"/>
          <w:i/>
          <w:iCs/>
          <w:strike w:val="0"/>
          <w:dstrike w:val="0"/>
          <w:emboss w:val="0"/>
          <w:imprint w:val="0"/>
          <w:outline w:val="0"/>
          <w:shadow w:val="0"/>
          <w:sz w:val="24"/>
          <w:szCs w:val="24"/>
          <w:u w:val="none"/>
        </w:rPr>
        <w:t xml:space="preserve">Journal of Nanoscience and Nanotechnology, </w:t>
      </w:r>
      <w:r>
        <w:rPr>
          <w:highlight w:val="yellow"/>
          <w:rFonts w:hAnsi="Times New Roman" w:ascii="Times New Roman" w:cs="Times New Roman"/>
          <w:b w:val="0"/>
          <w:i/>
          <w:iCs/>
          <w:strike w:val="0"/>
          <w:dstrike w:val="0"/>
          <w:emboss w:val="0"/>
          <w:imprint w:val="0"/>
          <w:outline w:val="0"/>
          <w:shadow w:val="0"/>
          <w:sz w:val="24"/>
          <w:szCs w:val="24"/>
          <w:u w:val="none"/>
        </w:rPr>
        <w:t xml:space="preserve">18</w:t>
      </w:r>
      <w:r>
        <w:rPr>
          <w:rFonts w:hAnsi="Times New Roman" w:ascii="Times New Roman" w:cs="Times New Roman"/>
          <w:b w:val="0"/>
          <w:i w:val="0"/>
          <w:strike w:val="0"/>
          <w:dstrike w:val="0"/>
          <w:emboss w:val="0"/>
          <w:imprint w:val="0"/>
          <w:outline w:val="0"/>
          <w:shadow w:val="0"/>
          <w:sz w:val="24"/>
          <w:szCs w:val="24"/>
          <w:u w:val="none"/>
        </w:rPr>
        <w:t xml:space="preserve">(2), 763–771. </w:t>
      </w:r>
      <w:hyperlink r:id="rId47">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https://doi.org/10.1166/jnn.2018.15190</w:t>
        </w:r>
      </w:hyperlink>
      <w:r>
        <w:rPr>
          <w:rFonts w:hAnsi="Times New Roman" w:ascii="Times New Roman" w:cs="Times New Roman"/>
          <w:b w:val="0"/>
          <w:i w:val="0"/>
          <w:strike w:val="0"/>
          <w:dstrike w:val="0"/>
          <w:emboss w:val="0"/>
          <w:imprint w:val="0"/>
          <w:outline w:val="0"/>
          <w:shadow w:val="0"/>
          <w:sz w:val="24"/>
          <w:szCs w:val="24"/>
          <w:u w:val="none"/>
        </w:rPr>
        <w:t xml:space="preserve"> </w:t>
      </w:r>
    </w:p>
    <w:p>
      <w:pPr>
        <w:ind w:left="720" w:hanging="720"/>
        <w:jc w:val="both"/>
        <w:rPr>
          <w:rFonts w:hAnsi="Times New Roman" w:ascii="Times New Roman" w:cs="Times New Roman"/>
          <w:sz w:val="24"/>
          <w:szCs w:val="24"/>
        </w:rPr>
      </w:pPr>
      <w:r>
        <w:rPr>
          <w:rFonts w:hAnsi="Times New Roman" w:ascii="Times New Roman" w:cs="Times New Roman"/>
          <w:b w:val="0"/>
          <w:i w:val="0"/>
          <w:strike w:val="0"/>
          <w:dstrike w:val="0"/>
          <w:emboss w:val="0"/>
          <w:imprint w:val="0"/>
          <w:outline w:val="0"/>
          <w:shadow w:val="0"/>
          <w:sz w:val="24"/>
          <w:szCs w:val="24"/>
          <w:u w:val="none"/>
        </w:rPr>
        <w:t xml:space="preserve">Yao, Y., Costa, M., &amp; Konrad, J. (2018). Environmental fate and ecotoxicity of nanomaterials. </w:t>
      </w:r>
      <w:r>
        <w:rPr>
          <w:rFonts w:hAnsi="Times New Roman" w:ascii="Times New Roman" w:cs="Times New Roman"/>
          <w:b w:val="0"/>
          <w:i/>
          <w:iCs/>
          <w:strike w:val="0"/>
          <w:dstrike w:val="0"/>
          <w:emboss w:val="0"/>
          <w:imprint w:val="0"/>
          <w:outline w:val="0"/>
          <w:shadow w:val="0"/>
          <w:sz w:val="24"/>
          <w:szCs w:val="24"/>
          <w:u w:val="none"/>
        </w:rPr>
        <w:t xml:space="preserve">Environmental Toxicology and Chemistry, </w:t>
      </w:r>
      <w:r>
        <w:rPr>
          <w:highlight w:val="yellow"/>
          <w:rFonts w:hAnsi="Times New Roman" w:ascii="Times New Roman" w:cs="Times New Roman"/>
          <w:b w:val="0"/>
          <w:i/>
          <w:iCs/>
          <w:strike w:val="0"/>
          <w:dstrike w:val="0"/>
          <w:emboss w:val="0"/>
          <w:imprint w:val="0"/>
          <w:outline w:val="0"/>
          <w:shadow w:val="0"/>
          <w:sz w:val="24"/>
          <w:szCs w:val="24"/>
          <w:u w:val="none"/>
        </w:rPr>
        <w:t xml:space="preserve">37</w:t>
      </w:r>
      <w:r>
        <w:rPr>
          <w:rFonts w:hAnsi="Times New Roman" w:ascii="Times New Roman" w:cs="Times New Roman"/>
          <w:b w:val="0"/>
          <w:i w:val="0"/>
          <w:strike w:val="0"/>
          <w:dstrike w:val="0"/>
          <w:emboss w:val="0"/>
          <w:imprint w:val="0"/>
          <w:outline w:val="0"/>
          <w:shadow w:val="0"/>
          <w:sz w:val="24"/>
          <w:szCs w:val="24"/>
          <w:u w:val="none"/>
        </w:rPr>
        <w:t xml:space="preserve">(1), 35–47. </w:t>
      </w:r>
      <w:hyperlink r:id="rId48">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https://doi.org/10.1002/etc.3960</w:t>
        </w:r>
      </w:hyperlink>
    </w:p>
    <w:p>
      <w:pPr>
        <w:ind w:left="720" w:hanging="720"/>
        <w:jc w:val="both"/>
      </w:pPr>
      <w:r>
        <w:rPr>
          <w:rFonts w:hAnsi="Times New Roman" w:ascii="Times New Roman" w:cs="Times New Roman"/>
          <w:b w:val="0"/>
          <w:i w:val="0"/>
          <w:strike w:val="0"/>
          <w:dstrike w:val="0"/>
          <w:emboss w:val="0"/>
          <w:imprint w:val="0"/>
          <w:outline w:val="0"/>
          <w:shadow w:val="0"/>
          <w:sz w:val="24"/>
          <w:szCs w:val="24"/>
          <w:u w:val="none"/>
        </w:rPr>
        <w:t xml:space="preserve">Zhao, Y., Wu, Q., Li, Y., &amp; Wang, D. (2015). Transgenerational effects of nanoparticle exposure in nematodes. </w:t>
      </w:r>
      <w:r>
        <w:rPr>
          <w:rFonts w:hAnsi="Times New Roman" w:ascii="Times New Roman" w:cs="Times New Roman"/>
          <w:b w:val="0"/>
          <w:i/>
          <w:iCs/>
          <w:strike w:val="0"/>
          <w:dstrike w:val="0"/>
          <w:emboss w:val="0"/>
          <w:imprint w:val="0"/>
          <w:outline w:val="0"/>
          <w:shadow w:val="0"/>
          <w:sz w:val="24"/>
          <w:szCs w:val="24"/>
          <w:u w:val="none"/>
        </w:rPr>
        <w:t xml:space="preserve">Nanotoxicology, </w:t>
      </w:r>
      <w:r>
        <w:rPr>
          <w:highlight w:val="yellow"/>
          <w:rFonts w:hAnsi="Times New Roman" w:ascii="Times New Roman" w:cs="Times New Roman"/>
          <w:b w:val="0"/>
          <w:i/>
          <w:iCs/>
          <w:strike w:val="0"/>
          <w:dstrike w:val="0"/>
          <w:emboss w:val="0"/>
          <w:imprint w:val="0"/>
          <w:outline w:val="0"/>
          <w:shadow w:val="0"/>
          <w:sz w:val="24"/>
          <w:szCs w:val="24"/>
          <w:u w:val="none"/>
        </w:rPr>
        <w:t xml:space="preserve">9</w:t>
      </w:r>
      <w:r>
        <w:rPr>
          <w:rFonts w:hAnsi="Times New Roman" w:ascii="Times New Roman" w:cs="Times New Roman"/>
          <w:b w:val="0"/>
          <w:i w:val="0"/>
          <w:strike w:val="0"/>
          <w:dstrike w:val="0"/>
          <w:emboss w:val="0"/>
          <w:imprint w:val="0"/>
          <w:outline w:val="0"/>
          <w:shadow w:val="0"/>
          <w:sz w:val="24"/>
          <w:szCs w:val="24"/>
          <w:u w:val="none"/>
        </w:rPr>
        <w:t xml:space="preserve">(4), 512–520. </w:t>
      </w:r>
      <w:hyperlink r:id="rId49">
        <w:r>
          <w:rPr>
            <w:rStyle w:val="Hyperlink"/>
            <w:color w:val="0563C1"/>
            <w:rFonts w:hAnsi="Times New Roman" w:ascii="Times New Roman" w:cs="Times New Roman"/>
            <w:b w:val="0"/>
            <w:i w:val="0"/>
            <w:strike w:val="0"/>
            <w:dstrike w:val="0"/>
            <w:emboss w:val="0"/>
            <w:imprint w:val="0"/>
            <w:outline w:val="0"/>
            <w:shadow w:val="0"/>
            <w:sz w:val="24"/>
            <w:szCs w:val="24"/>
            <w:u w:val="single"/>
          </w:rPr>
          <w:t xml:space="preserve">https://doi.org/10.3109/17435390.2014.950916</w:t>
        </w:r>
      </w:hyperlink>
    </w:p>
    <w:p>
      <w:pPr>
        <w:jc w:val="both"/>
      </w:pPr>
    </w:p>
    <w:sectPr w:rsidR="00EF1790">
      <w:headerReference w:type="default" r:id="rId51"/>
      <w:footerReference w:type="default" r:id="rId53"/>
      <w:pgSz w:w="11906" w:h="16838"/>
      <w:pgMar w:top="1440" w:right="1440" w:bottom="1440" w:left="1440" w:header="708" w:footer="708"/>
      <w:cols w:space="708"/>
    </w:sectPr>
  </w:body>
</w:document>
</file>

<file path=word/endnotes.xml><?xml version="1.0" encoding="utf-8"?>
<w:end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endnote w:type="separator" w:id="-1">
    <w:p>
      <w:pPr>
        <w:spacing w:after="0" w:line="240" w:lineRule="auto"/>
      </w:pPr>
      <w:r>
        <w:rPr>
          <w:rFonts w:ascii="Calibri"/>
          <w:b w:val="0"/>
          <w:i w:val="0"/>
          <w:strike w:val="0"/>
          <w:dstrike w:val="0"/>
          <w:emboss w:val="0"/>
          <w:imprint w:val="0"/>
          <w:outline w:val="0"/>
          <w:shadow w:val="0"/>
          <w:sz w:val="22"/>
          <w:szCs w:val="22"/>
          <w:u w:val="none"/>
        </w:rPr>
        <w:separator/>
      </w:r>
    </w:p>
  </w:endnote>
  <w:end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2.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p>
    <w:pPr>
      <w:pStyle w:val="Footer"/>
    </w:pPr>
  </w:p>
</w:ftr>
</file>

<file path=word/footnotes.xml><?xml version="1.0" encoding="utf-8"?>
<w:foot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footnote w:type="separator" w:id="-1">
    <w:p>
      <w:pPr>
        <w:spacing w:after="0" w:line="240" w:lineRule="auto"/>
      </w:pPr>
      <w:r>
        <w:rPr>
          <w:rFonts w:ascii="Calibri"/>
          <w:b w:val="0"/>
          <w:i w:val="0"/>
          <w:strike w:val="0"/>
          <w:dstrike w:val="0"/>
          <w:emboss w:val="0"/>
          <w:imprint w:val="0"/>
          <w:outline w:val="0"/>
          <w:shadow w:val="0"/>
          <w:sz w:val="22"/>
          <w:szCs w:val="22"/>
          <w:u w:val="none"/>
        </w:rPr>
        <w:separator/>
      </w:r>
    </w:p>
  </w:footnote>
  <w:foot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footnote>
</w:footnotes>
</file>

<file path=word/header2.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p>
    <w:pPr>
      <w:pStyle w:val="Header"/>
    </w:pPr>
  </w:p>
</w:hdr>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37C54F66"/>
    <w:multiLevelType w:val="hybridMultilevel"/>
    <w:tmpl w:val="63EE2CC0"/>
    <w:lvl w:ilvl="0" w:tplc="40090001">
      <w:start w:val="1"/>
      <w:numFmt w:val="bullet"/>
      <w:lvlText w:val=""/>
      <w:lvlJc w:val="left"/>
      <w:pPr>
        <w:ind w:left="720" w:hanging="360"/>
      </w:pPr>
      <w:rPr>
        <w:rFonts w:hAnsi="Symbol" w:ascii="Symbol" w:hint="default"/>
      </w:rPr>
    </w:lvl>
    <w:lvl w:ilvl="1" w:tplc="40090003" w:tentative="1">
      <w:start w:val="1"/>
      <w:numFmt w:val="bullet"/>
      <w:lvlText w:val="o"/>
      <w:lvlJc w:val="left"/>
      <w:pPr>
        <w:ind w:left="1440" w:hanging="360"/>
      </w:pPr>
      <w:rPr>
        <w:rFonts w:hAnsi="Courier New" w:ascii="Courier New" w:cs="Courier New" w:hint="default"/>
      </w:rPr>
    </w:lvl>
    <w:lvl w:ilvl="2" w:tplc="40090005" w:tentative="1">
      <w:start w:val="1"/>
      <w:numFmt w:val="bullet"/>
      <w:lvlText w:val=""/>
      <w:lvlJc w:val="left"/>
      <w:pPr>
        <w:ind w:left="2160" w:hanging="360"/>
      </w:pPr>
      <w:rPr>
        <w:rFonts w:hAnsi="Wingdings" w:ascii="Wingdings" w:hint="default"/>
      </w:rPr>
    </w:lvl>
    <w:lvl w:ilvl="3" w:tplc="40090001" w:tentative="1">
      <w:start w:val="1"/>
      <w:numFmt w:val="bullet"/>
      <w:lvlText w:val=""/>
      <w:lvlJc w:val="left"/>
      <w:pPr>
        <w:ind w:left="2880" w:hanging="360"/>
      </w:pPr>
      <w:rPr>
        <w:rFonts w:hAnsi="Symbol" w:ascii="Symbol" w:hint="default"/>
      </w:rPr>
    </w:lvl>
    <w:lvl w:ilvl="4" w:tplc="40090003" w:tentative="1">
      <w:start w:val="1"/>
      <w:numFmt w:val="bullet"/>
      <w:lvlText w:val="o"/>
      <w:lvlJc w:val="left"/>
      <w:pPr>
        <w:ind w:left="3600" w:hanging="360"/>
      </w:pPr>
      <w:rPr>
        <w:rFonts w:hAnsi="Courier New" w:ascii="Courier New" w:cs="Courier New" w:hint="default"/>
      </w:rPr>
    </w:lvl>
    <w:lvl w:ilvl="5" w:tplc="40090005" w:tentative="1">
      <w:start w:val="1"/>
      <w:numFmt w:val="bullet"/>
      <w:lvlText w:val=""/>
      <w:lvlJc w:val="left"/>
      <w:pPr>
        <w:ind w:left="4320" w:hanging="360"/>
      </w:pPr>
      <w:rPr>
        <w:rFonts w:hAnsi="Wingdings" w:ascii="Wingdings" w:hint="default"/>
      </w:rPr>
    </w:lvl>
    <w:lvl w:ilvl="6" w:tplc="40090001" w:tentative="1">
      <w:start w:val="1"/>
      <w:numFmt w:val="bullet"/>
      <w:lvlText w:val=""/>
      <w:lvlJc w:val="left"/>
      <w:pPr>
        <w:ind w:left="5040" w:hanging="360"/>
      </w:pPr>
      <w:rPr>
        <w:rFonts w:hAnsi="Symbol" w:ascii="Symbol" w:hint="default"/>
      </w:rPr>
    </w:lvl>
    <w:lvl w:ilvl="7" w:tplc="40090003" w:tentative="1">
      <w:start w:val="1"/>
      <w:numFmt w:val="bullet"/>
      <w:lvlText w:val="o"/>
      <w:lvlJc w:val="left"/>
      <w:pPr>
        <w:ind w:left="5760" w:hanging="360"/>
      </w:pPr>
      <w:rPr>
        <w:rFonts w:hAnsi="Courier New" w:ascii="Courier New" w:cs="Courier New" w:hint="default"/>
      </w:rPr>
    </w:lvl>
    <w:lvl w:ilvl="8" w:tplc="40090005" w:tentative="1">
      <w:start w:val="1"/>
      <w:numFmt w:val="bullet"/>
      <w:lvlText w:val=""/>
      <w:lvlJc w:val="left"/>
      <w:pPr>
        <w:ind w:left="6480" w:hanging="360"/>
      </w:pPr>
      <w:rPr>
        <w:rFonts w:hAnsi="Wingdings" w:ascii="Wingdings" w:hint="default"/>
      </w:rPr>
    </w:lvl>
  </w:abstractNum>
  <w:abstractNum w:abstractNumId="1">
    <w:nsid w:val="3C8A2C64"/>
    <w:multiLevelType w:val="hybridMultilevel"/>
    <w:tmpl w:val="42540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2142D80"/>
    <w:multiLevelType w:val="hybridMultilevel"/>
    <w:tmpl w:val="6138F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3851576"/>
    <w:multiLevelType w:val="multilevel"/>
    <w:tmpl w:val="E528DBC2"/>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4">
    <w:nsid w:val="4F4A1285"/>
    <w:multiLevelType w:val="hybridMultilevel"/>
    <w:tmpl w:val="38989FC8"/>
    <w:lvl w:ilvl="0" w:tplc="40090001">
      <w:start w:val="1"/>
      <w:numFmt w:val="bullet"/>
      <w:lvlText w:val=""/>
      <w:lvlJc w:val="left"/>
      <w:pPr>
        <w:ind w:left="720" w:hanging="360"/>
      </w:pPr>
      <w:rPr>
        <w:rFonts w:hAnsi="Symbol" w:ascii="Symbol" w:hint="default"/>
      </w:rPr>
    </w:lvl>
    <w:lvl w:ilvl="1" w:tplc="40090003" w:tentative="1">
      <w:start w:val="1"/>
      <w:numFmt w:val="bullet"/>
      <w:lvlText w:val="o"/>
      <w:lvlJc w:val="left"/>
      <w:pPr>
        <w:ind w:left="1440" w:hanging="360"/>
      </w:pPr>
      <w:rPr>
        <w:rFonts w:hAnsi="Courier New" w:ascii="Courier New" w:cs="Courier New" w:hint="default"/>
      </w:rPr>
    </w:lvl>
    <w:lvl w:ilvl="2" w:tplc="40090005" w:tentative="1">
      <w:start w:val="1"/>
      <w:numFmt w:val="bullet"/>
      <w:lvlText w:val=""/>
      <w:lvlJc w:val="left"/>
      <w:pPr>
        <w:ind w:left="2160" w:hanging="360"/>
      </w:pPr>
      <w:rPr>
        <w:rFonts w:hAnsi="Wingdings" w:ascii="Wingdings" w:hint="default"/>
      </w:rPr>
    </w:lvl>
    <w:lvl w:ilvl="3" w:tplc="40090001" w:tentative="1">
      <w:start w:val="1"/>
      <w:numFmt w:val="bullet"/>
      <w:lvlText w:val=""/>
      <w:lvlJc w:val="left"/>
      <w:pPr>
        <w:ind w:left="2880" w:hanging="360"/>
      </w:pPr>
      <w:rPr>
        <w:rFonts w:hAnsi="Symbol" w:ascii="Symbol" w:hint="default"/>
      </w:rPr>
    </w:lvl>
    <w:lvl w:ilvl="4" w:tplc="40090003" w:tentative="1">
      <w:start w:val="1"/>
      <w:numFmt w:val="bullet"/>
      <w:lvlText w:val="o"/>
      <w:lvlJc w:val="left"/>
      <w:pPr>
        <w:ind w:left="3600" w:hanging="360"/>
      </w:pPr>
      <w:rPr>
        <w:rFonts w:hAnsi="Courier New" w:ascii="Courier New" w:cs="Courier New" w:hint="default"/>
      </w:rPr>
    </w:lvl>
    <w:lvl w:ilvl="5" w:tplc="40090005" w:tentative="1">
      <w:start w:val="1"/>
      <w:numFmt w:val="bullet"/>
      <w:lvlText w:val=""/>
      <w:lvlJc w:val="left"/>
      <w:pPr>
        <w:ind w:left="4320" w:hanging="360"/>
      </w:pPr>
      <w:rPr>
        <w:rFonts w:hAnsi="Wingdings" w:ascii="Wingdings" w:hint="default"/>
      </w:rPr>
    </w:lvl>
    <w:lvl w:ilvl="6" w:tplc="40090001" w:tentative="1">
      <w:start w:val="1"/>
      <w:numFmt w:val="bullet"/>
      <w:lvlText w:val=""/>
      <w:lvlJc w:val="left"/>
      <w:pPr>
        <w:ind w:left="5040" w:hanging="360"/>
      </w:pPr>
      <w:rPr>
        <w:rFonts w:hAnsi="Symbol" w:ascii="Symbol" w:hint="default"/>
      </w:rPr>
    </w:lvl>
    <w:lvl w:ilvl="7" w:tplc="40090003" w:tentative="1">
      <w:start w:val="1"/>
      <w:numFmt w:val="bullet"/>
      <w:lvlText w:val="o"/>
      <w:lvlJc w:val="left"/>
      <w:pPr>
        <w:ind w:left="5760" w:hanging="360"/>
      </w:pPr>
      <w:rPr>
        <w:rFonts w:hAnsi="Courier New" w:ascii="Courier New" w:cs="Courier New" w:hint="default"/>
      </w:rPr>
    </w:lvl>
    <w:lvl w:ilvl="8" w:tplc="40090005" w:tentative="1">
      <w:start w:val="1"/>
      <w:numFmt w:val="bullet"/>
      <w:lvlText w:val=""/>
      <w:lvlJc w:val="left"/>
      <w:pPr>
        <w:ind w:left="6480" w:hanging="360"/>
      </w:pPr>
      <w:rPr>
        <w:rFonts w:hAnsi="Wingdings" w:ascii="Wingdings" w:hint="default"/>
      </w:rPr>
    </w:lvl>
  </w:abstractNum>
  <w:abstractNum w:abstractNumId="5">
    <w:nsid w:val="52234AB1"/>
    <w:multiLevelType w:val="hybridMultilevel"/>
    <w:tmpl w:val="4950D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E3B518F"/>
    <w:multiLevelType w:val="multilevel"/>
    <w:tmpl w:val="54F6B304"/>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num w:numId="1">
    <w:abstractNumId w:val="6"/>
  </w:num>
  <w:num w:numId="2">
    <w:abstractNumId w:val="0"/>
  </w:num>
  <w:num w:numId="3">
    <w:abstractNumId w:val="5"/>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81"/>
    <w:rsid w:val="000001E2"/>
    <w:rsid w:val="00016434"/>
    <w:rsid w:val="000326DD"/>
    <w:rsid w:val="00057D85"/>
    <w:rsid w:val="000C4C2C"/>
    <w:rsid w:val="000F590B"/>
    <w:rsid w:val="001509E9"/>
    <w:rsid w:val="00150AB1"/>
    <w:rsid w:val="001610CF"/>
    <w:rsid w:val="001916B2"/>
    <w:rsid w:val="001926C0"/>
    <w:rsid w:val="001A51B9"/>
    <w:rsid w:val="00204E33"/>
    <w:rsid w:val="0022030C"/>
    <w:rsid w:val="00224768"/>
    <w:rsid w:val="0022510A"/>
    <w:rsid w:val="002365FE"/>
    <w:rsid w:val="0026269B"/>
    <w:rsid w:val="00267DEC"/>
    <w:rsid w:val="002803C8"/>
    <w:rsid w:val="002B531A"/>
    <w:rsid w:val="002D6B08"/>
    <w:rsid w:val="002D6E03"/>
    <w:rsid w:val="00320E5A"/>
    <w:rsid w:val="003457D4"/>
    <w:rsid w:val="003464C6"/>
    <w:rsid w:val="0037198A"/>
    <w:rsid w:val="00373BA8"/>
    <w:rsid w:val="003A0F31"/>
    <w:rsid w:val="003C5F14"/>
    <w:rsid w:val="003D52E0"/>
    <w:rsid w:val="00413C4E"/>
    <w:rsid w:val="00445292"/>
    <w:rsid w:val="0049058F"/>
    <w:rsid w:val="0049659A"/>
    <w:rsid w:val="004B277D"/>
    <w:rsid w:val="004E2611"/>
    <w:rsid w:val="00506581"/>
    <w:rsid w:val="00542929"/>
    <w:rsid w:val="00544194"/>
    <w:rsid w:val="005C3F88"/>
    <w:rsid w:val="005C675A"/>
    <w:rsid w:val="0061773F"/>
    <w:rsid w:val="00650FE2"/>
    <w:rsid w:val="00657C37"/>
    <w:rsid w:val="00693C93"/>
    <w:rsid w:val="00695420"/>
    <w:rsid w:val="006B7E11"/>
    <w:rsid w:val="006C64F9"/>
    <w:rsid w:val="006D096F"/>
    <w:rsid w:val="006D7889"/>
    <w:rsid w:val="006F7BF5"/>
    <w:rsid w:val="00704BF7"/>
    <w:rsid w:val="007063A1"/>
    <w:rsid w:val="00710B12"/>
    <w:rsid w:val="00712590"/>
    <w:rsid w:val="007309AC"/>
    <w:rsid w:val="0073735E"/>
    <w:rsid w:val="007444F7"/>
    <w:rsid w:val="007868EB"/>
    <w:rsid w:val="007F1BA3"/>
    <w:rsid w:val="00807EF3"/>
    <w:rsid w:val="008100E2"/>
    <w:rsid w:val="008148DA"/>
    <w:rsid w:val="00827D1A"/>
    <w:rsid w:val="00830C76"/>
    <w:rsid w:val="00865FE3"/>
    <w:rsid w:val="00866749"/>
    <w:rsid w:val="00873E53"/>
    <w:rsid w:val="008B436D"/>
    <w:rsid w:val="008B58AC"/>
    <w:rsid w:val="008C7E69"/>
    <w:rsid w:val="008D674F"/>
    <w:rsid w:val="008D6A64"/>
    <w:rsid w:val="00937DB8"/>
    <w:rsid w:val="00957D69"/>
    <w:rsid w:val="0096024E"/>
    <w:rsid w:val="00964BAE"/>
    <w:rsid w:val="00997EE5"/>
    <w:rsid w:val="009D08B6"/>
    <w:rsid w:val="009E74D7"/>
    <w:rsid w:val="009F4BD2"/>
    <w:rsid w:val="009F4F90"/>
    <w:rsid w:val="00A10816"/>
    <w:rsid w:val="00A2238B"/>
    <w:rsid w:val="00A43C04"/>
    <w:rsid w:val="00A519C9"/>
    <w:rsid w:val="00A72CF3"/>
    <w:rsid w:val="00A91725"/>
    <w:rsid w:val="00AA7F65"/>
    <w:rsid w:val="00AC49E2"/>
    <w:rsid w:val="00AC7B29"/>
    <w:rsid w:val="00AD22EA"/>
    <w:rsid w:val="00B051EE"/>
    <w:rsid w:val="00B07F97"/>
    <w:rsid w:val="00B3311E"/>
    <w:rsid w:val="00B54E63"/>
    <w:rsid w:val="00B7287D"/>
    <w:rsid w:val="00B72A23"/>
    <w:rsid w:val="00BA4358"/>
    <w:rsid w:val="00BB02B9"/>
    <w:rsid w:val="00BE389D"/>
    <w:rsid w:val="00C02354"/>
    <w:rsid w:val="00C13514"/>
    <w:rsid w:val="00C21F87"/>
    <w:rsid w:val="00C339D3"/>
    <w:rsid w:val="00C517D8"/>
    <w:rsid w:val="00CE6B7E"/>
    <w:rsid w:val="00D120F2"/>
    <w:rsid w:val="00D57D3A"/>
    <w:rsid w:val="00DC2A1B"/>
    <w:rsid w:val="00DC3AFF"/>
    <w:rsid w:val="00DE053A"/>
    <w:rsid w:val="00DE6A9E"/>
    <w:rsid w:val="00DF7138"/>
    <w:rsid w:val="00E11A6E"/>
    <w:rsid w:val="00E60B30"/>
    <w:rsid w:val="00E76012"/>
    <w:rsid w:val="00E94285"/>
    <w:rsid w:val="00E95946"/>
    <w:rsid w:val="00ED5CB2"/>
    <w:rsid w:val="00EF1790"/>
    <w:rsid w:val="00EF23D7"/>
    <w:rsid w:val="00F2102D"/>
    <w:rsid w:val="00F30222"/>
    <w:rsid w:val="00F30F50"/>
    <w:rsid w:val="00F5319F"/>
    <w:rsid w:val="00F546BF"/>
    <w:rsid w:val="00F93C4A"/>
    <w:rsid w:val="00FB1184"/>
    <w:rsid w:val="00FC7961"/>
    <w:rsid w:val="00FD4A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BC585"/>
  <w15:chartTrackingRefBased/>
  <w15:docId w15:val="{B1FD5B4B-5545-4AB3-8B66-ECB1F09DF43E}"/>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A64"/>
  </w:style>
  <w:style w:type="paragraph" w:styleId="Heading1">
    <w:name w:val="heading 1"/>
    <w:basedOn w:val="Normal"/>
    <w:next w:val="Normal"/>
    <w:link w:val="Heading1Char"/>
    <w:uiPriority w:val="9"/>
    <w:qFormat/>
    <w:rsid w:val="00506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6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65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65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5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5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5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5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5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65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65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65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65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6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581"/>
    <w:rPr>
      <w:rFonts w:eastAsiaTheme="majorEastAsia" w:cstheme="majorBidi"/>
      <w:color w:val="272727" w:themeColor="text1" w:themeTint="D8"/>
    </w:rPr>
  </w:style>
  <w:style w:type="paragraph" w:styleId="Title">
    <w:name w:val="Title"/>
    <w:basedOn w:val="Normal"/>
    <w:next w:val="Normal"/>
    <w:link w:val="TitleChar"/>
    <w:uiPriority w:val="10"/>
    <w:qFormat/>
    <w:rsid w:val="00506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65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6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6581"/>
    <w:pPr>
      <w:spacing w:before="160"/>
      <w:jc w:val="center"/>
    </w:pPr>
    <w:rPr>
      <w:i/>
      <w:iCs/>
      <w:color w:val="404040" w:themeColor="text1" w:themeTint="BF"/>
    </w:rPr>
  </w:style>
  <w:style w:type="character" w:customStyle="1" w:styleId="QuoteChar">
    <w:name w:val="Quote Char"/>
    <w:basedOn w:val="DefaultParagraphFont"/>
    <w:link w:val="Quote"/>
    <w:uiPriority w:val="29"/>
    <w:rsid w:val="00506581"/>
    <w:rPr>
      <w:i/>
      <w:iCs/>
      <w:color w:val="404040" w:themeColor="text1" w:themeTint="BF"/>
    </w:rPr>
  </w:style>
  <w:style w:type="paragraph" w:styleId="ListParagraph">
    <w:name w:val="List Paragraph"/>
    <w:basedOn w:val="Normal"/>
    <w:uiPriority w:val="34"/>
    <w:qFormat/>
    <w:rsid w:val="00506581"/>
    <w:pPr>
      <w:ind w:left="720"/>
      <w:contextualSpacing/>
    </w:pPr>
  </w:style>
  <w:style w:type="character" w:styleId="IntenseEmphasis">
    <w:name w:val="Intense Emphasis"/>
    <w:basedOn w:val="DefaultParagraphFont"/>
    <w:uiPriority w:val="21"/>
    <w:qFormat/>
    <w:rsid w:val="00506581"/>
    <w:rPr>
      <w:i/>
      <w:iCs/>
      <w:color w:val="2F5496" w:themeColor="accent1" w:themeShade="BF"/>
    </w:rPr>
  </w:style>
  <w:style w:type="paragraph" w:styleId="IntenseQuote">
    <w:name w:val="Intense Quote"/>
    <w:basedOn w:val="Normal"/>
    <w:next w:val="Normal"/>
    <w:link w:val="IntenseQuoteChar"/>
    <w:uiPriority w:val="30"/>
    <w:qFormat/>
    <w:rsid w:val="00506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6581"/>
    <w:rPr>
      <w:i/>
      <w:iCs/>
      <w:color w:val="2F5496" w:themeColor="accent1" w:themeShade="BF"/>
    </w:rPr>
  </w:style>
  <w:style w:type="character" w:styleId="IntenseReference">
    <w:name w:val="Intense Reference"/>
    <w:basedOn w:val="DefaultParagraphFont"/>
    <w:uiPriority w:val="32"/>
    <w:qFormat/>
    <w:rsid w:val="00506581"/>
    <w:rPr>
      <w:b/>
      <w:bCs/>
      <w:smallCaps/>
      <w:color w:val="2F5496" w:themeColor="accent1" w:themeShade="BF"/>
      <w:spacing w:val="5"/>
    </w:rPr>
  </w:style>
  <w:style w:type="character" w:styleId="Hyperlink">
    <w:name w:val="Hyperlink"/>
    <w:basedOn w:val="DefaultParagraphFont"/>
    <w:uiPriority w:val="99"/>
    <w:unhideWhenUsed/>
    <w:rsid w:val="002D6E03"/>
    <w:rPr>
      <w:color w:val="0563C1" w:themeColor="hyperlink"/>
      <w:u w:val="single"/>
    </w:rPr>
  </w:style>
  <w:style w:type="character" w:styleId="UnresolvedMention">
    <w:name w:val="Unresolved Mention"/>
    <w:basedOn w:val="DefaultParagraphFont"/>
    <w:uiPriority w:val="99"/>
    <w:semiHidden/>
    <w:unhideWhenUsed/>
    <w:rsid w:val="002D6E03"/>
    <w:rPr>
      <w:color w:val="605E5C"/>
      <w:shd w:val="clear" w:color="auto" w:fill="E1DFDD"/>
    </w:rPr>
  </w:style>
  <w:style w:type="paragraph" w:styleId="NormalWeb">
    <w:name w:val="Normal (Web)"/>
    <w:basedOn w:val="Normal"/>
    <w:uiPriority w:val="99"/>
    <w:semiHidden/>
    <w:unhideWhenUsed/>
    <w:rsid w:val="00B3311E"/>
    <w:rPr>
      <w:rFonts w:ascii="Times New Roman" w:hAnsi="Times New Roman" w:cs="Times New Roman"/>
      <w:sz w:val="24"/>
      <w:szCs w:val="24"/>
    </w:rPr>
  </w:style>
  <w:style w:type="table" w:styleId="TableGridLight">
    <w:name w:val="Grid Table Light"/>
    <w:basedOn w:val="TableNormal"/>
    <w:uiPriority w:val="40"/>
    <w:rsid w:val="00DC2A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C2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5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F14"/>
  </w:style>
  <w:style w:type="paragraph" w:styleId="Footer">
    <w:name w:val="footer"/>
    <w:basedOn w:val="Normal"/>
    <w:link w:val="FooterChar"/>
    <w:uiPriority w:val="99"/>
    <w:unhideWhenUsed/>
    <w:rsid w:val="003C5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s://doi.org/10.1016/j.jphotobiol.2018.04.015" TargetMode="External"/><Relationship Id="rId14" Type="http://schemas.openxmlformats.org/officeDocument/2006/relationships/hyperlink" Target="https://doi.org/10.1063/1.445676" TargetMode="External"/><Relationship Id="rId15" Type="http://schemas.openxmlformats.org/officeDocument/2006/relationships/hyperlink" Target="https://doi.org/10.1021/ar300128j" TargetMode="External"/><Relationship Id="rId16" Type="http://schemas.openxmlformats.org/officeDocument/2006/relationships/hyperlink" Target="https://doi.org/10.1101/pdb.top115" TargetMode="External"/><Relationship Id="rId17" Type="http://schemas.openxmlformats.org/officeDocument/2006/relationships/hyperlink" Target="https://doi.org/10.1002/adma.201400363" TargetMode="External"/><Relationship Id="rId18" Type="http://schemas.openxmlformats.org/officeDocument/2006/relationships/hyperlink" Target="https://doi.org/10.1002/etc.2361" TargetMode="External"/><Relationship Id="rId19" Type="http://schemas.openxmlformats.org/officeDocument/2006/relationships/hyperlink" Target="https://doi.org/10.1021/acs.est.7b02452" TargetMode="External"/><Relationship Id="rId2" Type="http://schemas.openxmlformats.org/officeDocument/2006/relationships/styles" Target="styles.xml"/><Relationship Id="rId20" Type="http://schemas.openxmlformats.org/officeDocument/2006/relationships/hyperlink" Target="https://doi.org/10.1016/0038-1098(85)90695-9" TargetMode="External"/><Relationship Id="rId21" Type="http://schemas.openxmlformats.org/officeDocument/2006/relationships/hyperlink" Target="https://doi.org/10.1111/mpp.12329" TargetMode="External"/><Relationship Id="rId22" Type="http://schemas.openxmlformats.org/officeDocument/2006/relationships/hyperlink" Target="https://doi.org/10.1186/s12917-025-04494-5" TargetMode="External"/><Relationship Id="rId23" Type="http://schemas.openxmlformats.org/officeDocument/2006/relationships/hyperlink" Target="https://doi.org/10.1039/C5CS00699F" TargetMode="External"/><Relationship Id="rId24" Type="http://schemas.openxmlformats.org/officeDocument/2006/relationships/hyperlink" Target="https://doi.org/10.1039/D0RA10688A" TargetMode="External"/><Relationship Id="rId25" Type="http://schemas.openxmlformats.org/officeDocument/2006/relationships/hyperlink" Target="https://doi.org/10.1016/j.biocontrol.2023.105364" TargetMode="External"/><Relationship Id="rId26" Type="http://schemas.openxmlformats.org/officeDocument/2006/relationships/hyperlink" Target="https://doi.org/10.1111/mpp.12057" TargetMode="External"/><Relationship Id="rId27" Type="http://schemas.openxmlformats.org/officeDocument/2006/relationships/hyperlink" Target="https://doi.org/10.1038/srep16767" TargetMode="External"/><Relationship Id="rId28" Type="http://schemas.openxmlformats.org/officeDocument/2006/relationships/hyperlink" Target="https://doi.org/10.1021/la800951v" TargetMode="External"/><Relationship Id="rId29" Type="http://schemas.openxmlformats.org/officeDocument/2006/relationships/hyperlink" Target="https://doi.org/10.1371/journal.ppat.1002219" TargetMode="External"/><Relationship Id="rId3" Type="http://schemas.openxmlformats.org/officeDocument/2006/relationships/settings" Target="settings.xml"/><Relationship Id="rId30" Type="http://schemas.openxmlformats.org/officeDocument/2006/relationships/hyperlink" Target="https://doi.org/10.1039/C4CS00269E" TargetMode="External"/><Relationship Id="rId31" Type="http://schemas.openxmlformats.org/officeDocument/2006/relationships/hyperlink" Target="https://doi.org/10.1002/etc.5130" TargetMode="External"/><Relationship Id="rId32" Type="http://schemas.openxmlformats.org/officeDocument/2006/relationships/hyperlink" Target="https://doi.org/10.1016/j.jhazmat.2014.09.063" TargetMode="External"/><Relationship Id="rId33" Type="http://schemas.openxmlformats.org/officeDocument/2006/relationships/hyperlink" Target="https://doi.org/10.1016/j.envpol.2021.118357" TargetMode="External"/><Relationship Id="rId34" Type="http://schemas.openxmlformats.org/officeDocument/2006/relationships/hyperlink" Target="https://doi.org/10.1166/jnn.2011.3612" TargetMode="External"/><Relationship Id="rId35" Type="http://schemas.openxmlformats.org/officeDocument/2006/relationships/hyperlink" Target="https://doi.org/10.1021/es300772p" TargetMode="External"/><Relationship Id="rId36" Type="http://schemas.openxmlformats.org/officeDocument/2006/relationships/hyperlink" Target="https://doi.org/10.1016/j.jenvman.2016.12.033" TargetMode="External"/><Relationship Id="rId37" Type="http://schemas.openxmlformats.org/officeDocument/2006/relationships/hyperlink" Target="https://doi.org/10.1016/j.jip.2024.108031" TargetMode="External"/><Relationship Id="rId38" Type="http://schemas.openxmlformats.org/officeDocument/2006/relationships/hyperlink" Target="https://doi.org/10.1021/jp404952p" TargetMode="External"/><Relationship Id="rId39" Type="http://schemas.openxmlformats.org/officeDocument/2006/relationships/hyperlink" Target="https://doi.org/10.1038/nmeth819" TargetMode="External"/><Relationship Id="rId4" Type="http://schemas.openxmlformats.org/officeDocument/2006/relationships/webSettings" Target="webSettings.xml"/><Relationship Id="rId40" Type="http://schemas.openxmlformats.org/officeDocument/2006/relationships/hyperlink" Target="https://doi.org/10.1186/s12951-018-0389-9" TargetMode="External"/><Relationship Id="rId41" Type="http://schemas.openxmlformats.org/officeDocument/2006/relationships/hyperlink" Target="https://doi.org/10.1080/09583159631326" TargetMode="External"/><Relationship Id="rId42" Type="http://schemas.openxmlformats.org/officeDocument/2006/relationships/hyperlink" Target="https://doi.org/10.3390/ma14195469" TargetMode="External"/><Relationship Id="rId43" Type="http://schemas.openxmlformats.org/officeDocument/2006/relationships/hyperlink" Target="https://doi.org/10.1021/ja062677d" TargetMode="External"/><Relationship Id="rId44" Type="http://schemas.openxmlformats.org/officeDocument/2006/relationships/hyperlink" Target="https://doi.org/10.1038/s41586-019-1418-6" TargetMode="External"/><Relationship Id="rId45" Type="http://schemas.openxmlformats.org/officeDocument/2006/relationships/hyperlink" Target="https://doi.org/10.1039/C4TC00988F" TargetMode="External"/><Relationship Id="rId46" Type="http://schemas.openxmlformats.org/officeDocument/2006/relationships/hyperlink" Target="https://doi.org/10.1016/j.chemosphere.2019.01.096" TargetMode="External"/><Relationship Id="rId47" Type="http://schemas.openxmlformats.org/officeDocument/2006/relationships/hyperlink" Target="https://doi.org/10.1166/jnn.2018.15190" TargetMode="External"/><Relationship Id="rId48" Type="http://schemas.openxmlformats.org/officeDocument/2006/relationships/hyperlink" Target="https://doi.org/10.1002/etc.3960" TargetMode="External"/><Relationship Id="rId49" Type="http://schemas.openxmlformats.org/officeDocument/2006/relationships/hyperlink" Target="https://doi.org/10.3109/17435390.2014.950916" TargetMode="External"/><Relationship Id="rId5" Type="http://schemas.openxmlformats.org/officeDocument/2006/relationships/footnotes" Target="footnotes.xml"/><Relationship Id="rId51" Type="http://schemas.openxmlformats.org/officeDocument/2006/relationships/header" Target="header2.xml"/><Relationship Id="rId53"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s>
</file>

<file path=word/_rels/endnotes.xml.rels><?xml version="1.0" encoding="UTF-8" standalone="yes"?>
<Relationships xmlns="http://schemas.openxmlformats.org/package/2006/relationships"/>
</file>

<file path=word/_rels/footnotes.xml.rels><?xml version="1.0" encoding="UTF-8" standalone="yes"?>
<Relationships xmlns="http://schemas.openxmlformats.org/package/2006/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14</Pages>
  <Words>4915</Words>
  <Characters>28017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Pratap Singh</dc:creator>
  <cp:keywords/>
  <dc:description/>
  <cp:lastModifiedBy>SDI 1084</cp:lastModifiedBy>
  <cp:revision>103</cp:revision>
  <cp:lastPrinted>2026-02-13T07:02:00Z</cp:lastPrinted>
  <dcterms:created xsi:type="dcterms:W3CDTF">2026-02-02T16:35:00Z</dcterms:created>
  <dcterms:modified xsi:type="dcterms:W3CDTF">2026-03-20T09:30:00Z</dcterms:modified>
</cp:coreProperties>
</file>