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D3518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D3518" w:rsidRPr="00892893" w:rsidRDefault="009D3518" w:rsidP="00892893">
            <w:pPr>
              <w:rPr>
                <w:lang w:val="en-GB"/>
              </w:rPr>
            </w:pPr>
          </w:p>
        </w:tc>
      </w:tr>
      <w:tr w:rsidR="009D3518" w:rsidRPr="00107C72" w:rsidTr="00107C72">
        <w:trPr>
          <w:trHeight w:val="290"/>
        </w:trPr>
        <w:tc>
          <w:tcPr>
            <w:tcW w:w="1186" w:type="pct"/>
          </w:tcPr>
          <w:p w:rsidR="009D3518" w:rsidRPr="00107C72" w:rsidRDefault="009D351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18" w:rsidRPr="00107C72" w:rsidRDefault="002006A4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D3518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Agricultural Extension, Economics &amp; Sociology </w:t>
              </w:r>
            </w:hyperlink>
          </w:p>
        </w:tc>
      </w:tr>
      <w:tr w:rsidR="009D3518" w:rsidRPr="00107C72" w:rsidTr="00107C72">
        <w:trPr>
          <w:trHeight w:val="290"/>
        </w:trPr>
        <w:tc>
          <w:tcPr>
            <w:tcW w:w="1186" w:type="pct"/>
          </w:tcPr>
          <w:p w:rsidR="009D3518" w:rsidRPr="00107C72" w:rsidRDefault="009D351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18" w:rsidRPr="00107C72" w:rsidRDefault="00E269F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269F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Ms_AJAEES_155961</w:t>
            </w:r>
          </w:p>
        </w:tc>
      </w:tr>
      <w:tr w:rsidR="009D3518" w:rsidRPr="00107C72" w:rsidTr="00107C72">
        <w:trPr>
          <w:trHeight w:val="650"/>
        </w:trPr>
        <w:tc>
          <w:tcPr>
            <w:tcW w:w="1186" w:type="pct"/>
          </w:tcPr>
          <w:p w:rsidR="009D3518" w:rsidRPr="00107C72" w:rsidRDefault="009D351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18" w:rsidRPr="00107C72" w:rsidRDefault="00E269F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269F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Community Readiness under Smart Governance in a Capital-Relocation Megaproject: Structural Effects of ERG Motivation, Education, and Skills in IKN Nusantara</w:t>
            </w:r>
          </w:p>
        </w:tc>
      </w:tr>
      <w:tr w:rsidR="009D3518" w:rsidRPr="00107C72" w:rsidTr="00107C72">
        <w:trPr>
          <w:trHeight w:val="332"/>
        </w:trPr>
        <w:tc>
          <w:tcPr>
            <w:tcW w:w="1186" w:type="pct"/>
          </w:tcPr>
          <w:p w:rsidR="009D3518" w:rsidRPr="00107C72" w:rsidRDefault="009D351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18" w:rsidRPr="00107C72" w:rsidRDefault="009D351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9D3518" w:rsidRPr="00107C72" w:rsidRDefault="009D3518" w:rsidP="009D35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D3518" w:rsidRPr="00107C72" w:rsidRDefault="009D3518" w:rsidP="009D35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D3518" w:rsidRPr="00107C72" w:rsidRDefault="009D3518" w:rsidP="009D351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D3518" w:rsidRPr="00107C72" w:rsidRDefault="009D3518" w:rsidP="009D351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D3518" w:rsidRPr="00107C72" w:rsidRDefault="009D3518" w:rsidP="009D351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D3518" w:rsidRPr="00107C72" w:rsidRDefault="009D3518" w:rsidP="009D3518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9D3518" w:rsidRPr="00107C72" w:rsidRDefault="009D3518" w:rsidP="009D351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D3518" w:rsidRPr="00107C72" w:rsidRDefault="009D3518" w:rsidP="009D351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D3518" w:rsidRPr="00107C72" w:rsidTr="00770EEE">
        <w:tc>
          <w:tcPr>
            <w:tcW w:w="1789" w:type="pct"/>
            <w:noWrap/>
          </w:tcPr>
          <w:p w:rsidR="009D3518" w:rsidRPr="00107C72" w:rsidRDefault="009D3518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9D3518" w:rsidRPr="00107C72" w:rsidRDefault="009D351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D3518" w:rsidRPr="00107C72" w:rsidRDefault="009D351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D3518" w:rsidRPr="00107C72" w:rsidRDefault="009D351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770EEE">
        <w:trPr>
          <w:trHeight w:val="1264"/>
        </w:trPr>
        <w:tc>
          <w:tcPr>
            <w:tcW w:w="1789" w:type="pct"/>
            <w:noWrap/>
          </w:tcPr>
          <w:p w:rsidR="009D3518" w:rsidRPr="00107C72" w:rsidRDefault="009D351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D3518" w:rsidRDefault="00E269F1" w:rsidP="00E269F1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E269F1">
              <w:rPr>
                <w:bCs/>
                <w:sz w:val="20"/>
                <w:szCs w:val="20"/>
                <w:lang w:val="en-GB"/>
              </w:rPr>
              <w:t xml:space="preserve">This manuscript offers a timely and policy-relevant analysis of community readiness within a capital-relocation megaproject, integrating motivation, education, and skills under a smart governance framework. The application of Covariance-Based Structural Equation </w:t>
            </w:r>
            <w:proofErr w:type="spellStart"/>
            <w:r w:rsidRPr="00E269F1">
              <w:rPr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E269F1">
              <w:rPr>
                <w:bCs/>
                <w:sz w:val="20"/>
                <w:szCs w:val="20"/>
                <w:lang w:val="en-GB"/>
              </w:rPr>
              <w:t xml:space="preserve"> provides robust empirical insights into infrastructure utilization and socio-institutional preparedness in emerging urban transformation contexts.</w:t>
            </w:r>
          </w:p>
          <w:p w:rsidR="00596945" w:rsidRDefault="00596945" w:rsidP="00E269F1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</w:p>
          <w:p w:rsidR="00596945" w:rsidRDefault="00596945" w:rsidP="00E269F1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The manuscript would benefit from engaging with prior literature on smart governance, community readiness, and digital inclusion in large-scale urban transformation projects</w:t>
            </w:r>
            <w:r>
              <w:rPr>
                <w:bCs/>
                <w:sz w:val="20"/>
                <w:szCs w:val="20"/>
                <w:lang w:val="en-GB"/>
              </w:rPr>
              <w:t>, such as “</w:t>
            </w:r>
            <w:r w:rsidRPr="00596945">
              <w:rPr>
                <w:bCs/>
                <w:sz w:val="20"/>
                <w:szCs w:val="20"/>
                <w:lang w:val="en-GB"/>
              </w:rPr>
              <w:t>Boosting Coordination and Employee Motivation in Mega-Project Sustainable Performance Through Quality Relationships: The Key Role of Quality Management System</w:t>
            </w:r>
            <w:r>
              <w:rPr>
                <w:bCs/>
                <w:sz w:val="20"/>
                <w:szCs w:val="20"/>
                <w:lang w:val="en-GB"/>
              </w:rPr>
              <w:t xml:space="preserve">” and </w:t>
            </w:r>
            <w:r w:rsidRPr="00596945">
              <w:rPr>
                <w:bCs/>
                <w:sz w:val="20"/>
                <w:szCs w:val="20"/>
                <w:lang w:val="en-GB"/>
              </w:rPr>
              <w:t xml:space="preserve">"Artificial Intelligence Driven Digital Transformation Mediating the Relationship Between Artificial Intelligence Readiness and Business Process Efficiency". </w:t>
            </w:r>
            <w:r>
              <w:rPr>
                <w:bCs/>
                <w:sz w:val="20"/>
                <w:szCs w:val="20"/>
                <w:lang w:val="en-GB"/>
              </w:rPr>
              <w:t>Likewise i</w:t>
            </w:r>
            <w:r w:rsidRPr="00596945">
              <w:rPr>
                <w:bCs/>
                <w:sz w:val="20"/>
                <w:szCs w:val="20"/>
                <w:lang w:val="en-GB"/>
              </w:rPr>
              <w:t xml:space="preserve">ncorporating </w:t>
            </w:r>
            <w:r>
              <w:rPr>
                <w:bCs/>
                <w:sz w:val="20"/>
                <w:szCs w:val="20"/>
                <w:lang w:val="en-GB"/>
              </w:rPr>
              <w:t>“</w:t>
            </w:r>
            <w:r w:rsidRPr="00596945">
              <w:rPr>
                <w:bCs/>
                <w:sz w:val="20"/>
                <w:szCs w:val="20"/>
                <w:lang w:val="en-GB"/>
              </w:rPr>
              <w:t>Integrated collaborative reflection model (ICRM) Part 1: role and process based conceptual study of collaborative reflection and collaborative knowledge building</w:t>
            </w:r>
            <w:r>
              <w:rPr>
                <w:bCs/>
                <w:sz w:val="20"/>
                <w:szCs w:val="20"/>
                <w:lang w:val="en-GB"/>
              </w:rPr>
              <w:t xml:space="preserve">” and other similar </w:t>
            </w:r>
            <w:r w:rsidRPr="00596945">
              <w:rPr>
                <w:bCs/>
                <w:sz w:val="20"/>
                <w:szCs w:val="20"/>
                <w:lang w:val="en-GB"/>
              </w:rPr>
              <w:t>studies on infrastructure adoption, citizen capability development, and governance-driven digital transitions would strengthen the theoretical grounding and position the study within broader discussions on inclusive and sustainable urban development.</w:t>
            </w:r>
            <w:r>
              <w:rPr>
                <w:bCs/>
                <w:sz w:val="20"/>
                <w:szCs w:val="20"/>
                <w:lang w:val="en-GB"/>
              </w:rPr>
              <w:t xml:space="preserve"> Further here are some minor corrections for improving this manuscript:</w:t>
            </w:r>
          </w:p>
          <w:p w:rsidR="00596945" w:rsidRPr="00596945" w:rsidRDefault="00596945" w:rsidP="00596945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Clearly define the concept of “community readiness” and its measurement dimensions.</w:t>
            </w:r>
          </w:p>
          <w:p w:rsidR="00596945" w:rsidRPr="00596945" w:rsidRDefault="00596945" w:rsidP="00596945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Provide stronger theoretical justification for using the ERG Theory framework.</w:t>
            </w:r>
          </w:p>
          <w:p w:rsidR="00596945" w:rsidRPr="00596945" w:rsidRDefault="00596945" w:rsidP="00596945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Clarify the operationalization of education and skills constructs.</w:t>
            </w:r>
          </w:p>
          <w:p w:rsidR="00596945" w:rsidRPr="00596945" w:rsidRDefault="00596945" w:rsidP="00596945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Expand details on sampling procedure and representativeness of respondents.</w:t>
            </w:r>
          </w:p>
          <w:p w:rsidR="00596945" w:rsidRPr="00596945" w:rsidRDefault="00596945" w:rsidP="00596945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Report full model fit indices (e.g., CFI, RMSEA, SRMR) for AMOS analysis.</w:t>
            </w:r>
          </w:p>
          <w:p w:rsidR="00596945" w:rsidRPr="00596945" w:rsidRDefault="00596945" w:rsidP="00596945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Elaborate on the practical implications for smart governance implementation.</w:t>
            </w:r>
          </w:p>
          <w:p w:rsidR="00596945" w:rsidRPr="00596945" w:rsidRDefault="00596945" w:rsidP="00596945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Discuss potential endogeneity or causality limitations due to cross-sectional design.</w:t>
            </w:r>
          </w:p>
          <w:p w:rsidR="00596945" w:rsidRPr="00596945" w:rsidRDefault="00596945" w:rsidP="00596945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Conduct minor language editing to improve clarity and consistency.</w:t>
            </w:r>
          </w:p>
        </w:tc>
        <w:tc>
          <w:tcPr>
            <w:tcW w:w="1367" w:type="pct"/>
          </w:tcPr>
          <w:p w:rsidR="009D3518" w:rsidRPr="00107C72" w:rsidRDefault="009D351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D3518" w:rsidRDefault="009D3518" w:rsidP="009D3518">
      <w:pPr>
        <w:rPr>
          <w:sz w:val="20"/>
          <w:szCs w:val="20"/>
          <w:lang w:val="en-GB"/>
        </w:rPr>
      </w:pPr>
    </w:p>
    <w:p w:rsidR="009D3518" w:rsidRDefault="009D3518" w:rsidP="009D3518">
      <w:pPr>
        <w:rPr>
          <w:sz w:val="20"/>
          <w:szCs w:val="20"/>
          <w:lang w:val="en-GB"/>
        </w:rPr>
      </w:pPr>
    </w:p>
    <w:p w:rsidR="009D3518" w:rsidRDefault="009D3518" w:rsidP="009D3518">
      <w:pPr>
        <w:rPr>
          <w:sz w:val="20"/>
          <w:szCs w:val="20"/>
          <w:lang w:val="en-GB"/>
        </w:rPr>
      </w:pPr>
    </w:p>
    <w:p w:rsidR="009D3518" w:rsidRPr="00107C72" w:rsidRDefault="009D3518" w:rsidP="009D3518">
      <w:pPr>
        <w:rPr>
          <w:sz w:val="20"/>
          <w:szCs w:val="20"/>
          <w:lang w:val="en-GB"/>
        </w:rPr>
      </w:pPr>
    </w:p>
    <w:p w:rsidR="009D3518" w:rsidRPr="00107C72" w:rsidRDefault="009D3518" w:rsidP="009D3518">
      <w:pPr>
        <w:rPr>
          <w:sz w:val="20"/>
          <w:szCs w:val="20"/>
          <w:lang w:val="en-GB"/>
        </w:rPr>
      </w:pPr>
    </w:p>
    <w:p w:rsidR="009D3518" w:rsidRPr="00107C72" w:rsidRDefault="009D3518" w:rsidP="009D3518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9D3518" w:rsidRPr="00107C72" w:rsidRDefault="009D3518" w:rsidP="009D351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D3518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D3518" w:rsidRPr="00107C72" w:rsidRDefault="009D3518" w:rsidP="00177B84">
            <w:pPr>
              <w:rPr>
                <w:lang w:val="en-GB"/>
              </w:rPr>
            </w:pPr>
          </w:p>
          <w:p w:rsidR="009D3518" w:rsidRPr="00107C72" w:rsidRDefault="009D3518">
            <w:pPr>
              <w:rPr>
                <w:sz w:val="20"/>
                <w:szCs w:val="20"/>
                <w:lang w:val="en-GB"/>
              </w:rPr>
            </w:pPr>
          </w:p>
        </w:tc>
      </w:tr>
      <w:tr w:rsidR="009D3518" w:rsidRPr="00107C72" w:rsidTr="00107C72">
        <w:tc>
          <w:tcPr>
            <w:tcW w:w="1790" w:type="pct"/>
            <w:noWrap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9D3518" w:rsidRPr="00107C72" w:rsidRDefault="009D351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9D3518" w:rsidRPr="00107C72" w:rsidRDefault="009D3518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D3518" w:rsidRPr="00107C72" w:rsidTr="00107C72">
        <w:trPr>
          <w:trHeight w:val="1262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1262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1262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1262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1262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1262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1262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1262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703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703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703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703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703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703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107C72" w:rsidTr="00107C72">
        <w:trPr>
          <w:trHeight w:val="703"/>
        </w:trPr>
        <w:tc>
          <w:tcPr>
            <w:tcW w:w="1790" w:type="pct"/>
            <w:noWrap/>
          </w:tcPr>
          <w:p w:rsidR="009D3518" w:rsidRPr="00107C72" w:rsidRDefault="009D351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D3518" w:rsidRPr="00107C72" w:rsidRDefault="009D351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D3518" w:rsidRPr="00107C72" w:rsidRDefault="009D351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D3518" w:rsidRPr="00107C72" w:rsidRDefault="00B037A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D3518" w:rsidRPr="00107C72" w:rsidRDefault="009D35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D3518" w:rsidRPr="00107C72" w:rsidRDefault="009D3518" w:rsidP="009D35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D3518" w:rsidRPr="00107C72" w:rsidRDefault="009D3518" w:rsidP="009D35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D3518" w:rsidRPr="00107C72" w:rsidRDefault="009D3518" w:rsidP="009D35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D3518" w:rsidRPr="00107C72" w:rsidRDefault="009D3518" w:rsidP="009D35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D3518" w:rsidRDefault="009D3518" w:rsidP="009D3518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9D3518" w:rsidRDefault="009D3518" w:rsidP="009D3518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D3518" w:rsidRPr="00EC7A1F" w:rsidTr="002E3E2C">
        <w:tc>
          <w:tcPr>
            <w:tcW w:w="1265" w:type="pct"/>
            <w:noWrap/>
          </w:tcPr>
          <w:p w:rsidR="009D3518" w:rsidRPr="00EC7A1F" w:rsidRDefault="009D3518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9D3518" w:rsidRPr="00EC7A1F" w:rsidRDefault="009D3518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D3518" w:rsidRPr="00EC7A1F" w:rsidRDefault="009D3518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9D3518" w:rsidRPr="00EC7A1F" w:rsidRDefault="009D3518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D3518" w:rsidRPr="00EC7A1F" w:rsidRDefault="009D3518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EC7A1F" w:rsidTr="002E3E2C">
        <w:trPr>
          <w:trHeight w:val="1262"/>
        </w:trPr>
        <w:tc>
          <w:tcPr>
            <w:tcW w:w="1265" w:type="pct"/>
            <w:noWrap/>
          </w:tcPr>
          <w:p w:rsidR="009D3518" w:rsidRPr="000B20E3" w:rsidRDefault="009D3518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D3518" w:rsidRPr="00914761" w:rsidRDefault="009D3518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9D3518" w:rsidRPr="00EC7A1F" w:rsidRDefault="009D3518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9D3518" w:rsidRPr="00EC7A1F" w:rsidRDefault="00B037A1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D3518" w:rsidRPr="00EC7A1F" w:rsidRDefault="009D3518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EC7A1F" w:rsidTr="002E3E2C">
        <w:trPr>
          <w:trHeight w:val="1262"/>
        </w:trPr>
        <w:tc>
          <w:tcPr>
            <w:tcW w:w="1265" w:type="pct"/>
            <w:noWrap/>
          </w:tcPr>
          <w:p w:rsidR="009D3518" w:rsidRDefault="009D3518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D3518" w:rsidRDefault="009D3518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9D3518" w:rsidRPr="00EC7A1F" w:rsidRDefault="009D3518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9D3518" w:rsidRPr="00EC7A1F" w:rsidRDefault="00B037A1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D3518" w:rsidRPr="00EC7A1F" w:rsidRDefault="009D3518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EC7A1F" w:rsidTr="002E3E2C">
        <w:trPr>
          <w:trHeight w:val="704"/>
        </w:trPr>
        <w:tc>
          <w:tcPr>
            <w:tcW w:w="1265" w:type="pct"/>
            <w:noWrap/>
          </w:tcPr>
          <w:p w:rsidR="009D3518" w:rsidRPr="00914761" w:rsidRDefault="009D3518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D3518" w:rsidRPr="00C46811" w:rsidRDefault="009D3518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9D3518" w:rsidRPr="00EC7A1F" w:rsidRDefault="00B037A1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D3518" w:rsidRPr="00EC7A1F" w:rsidRDefault="009D3518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518" w:rsidRPr="00EC7A1F" w:rsidTr="002E3E2C">
        <w:trPr>
          <w:trHeight w:val="703"/>
        </w:trPr>
        <w:tc>
          <w:tcPr>
            <w:tcW w:w="1265" w:type="pct"/>
            <w:noWrap/>
          </w:tcPr>
          <w:p w:rsidR="009D3518" w:rsidRDefault="009D3518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D3518" w:rsidRPr="00914761" w:rsidRDefault="009D3518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D3518" w:rsidRPr="00914761" w:rsidRDefault="009D3518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9D3518" w:rsidRPr="00EC7A1F" w:rsidRDefault="009D3518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9D3518" w:rsidRDefault="00B037A1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Please add more references from 2024-2026 such as:</w:t>
            </w:r>
            <w:r>
              <w:rPr>
                <w:bCs/>
                <w:sz w:val="20"/>
                <w:szCs w:val="20"/>
                <w:lang w:val="en-GB"/>
              </w:rPr>
              <w:br/>
            </w:r>
            <w:hyperlink r:id="rId8" w:history="1">
              <w:r w:rsidRPr="00C7279D">
                <w:rPr>
                  <w:rStyle w:val="Hyperlink"/>
                  <w:bCs/>
                  <w:sz w:val="20"/>
                  <w:szCs w:val="20"/>
                  <w:lang w:val="en-GB"/>
                </w:rPr>
                <w:t>https://doi.org/10.1108/GKMC-03-2025-0242</w:t>
              </w:r>
            </w:hyperlink>
          </w:p>
          <w:p w:rsidR="00B037A1" w:rsidRDefault="002006A4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hyperlink r:id="rId9" w:history="1">
              <w:r w:rsidR="00B037A1" w:rsidRPr="00C7279D">
                <w:rPr>
                  <w:rStyle w:val="Hyperlink"/>
                  <w:bCs/>
                  <w:sz w:val="20"/>
                  <w:szCs w:val="20"/>
                  <w:lang w:val="en-GB"/>
                </w:rPr>
                <w:t>https://doi.org/10.58245/ipsi.tir.2602.04</w:t>
              </w:r>
            </w:hyperlink>
            <w:r w:rsidR="00B037A1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:rsidR="00596945" w:rsidRPr="00EC7A1F" w:rsidRDefault="002006A4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hyperlink r:id="rId10" w:history="1">
              <w:r w:rsidR="00596945" w:rsidRPr="00C7279D">
                <w:rPr>
                  <w:rStyle w:val="Hyperlink"/>
                  <w:bCs/>
                  <w:sz w:val="20"/>
                  <w:szCs w:val="20"/>
                  <w:lang w:val="en-GB"/>
                </w:rPr>
                <w:t>https://doi.org/10.3390/buildings15060936</w:t>
              </w:r>
            </w:hyperlink>
            <w:r w:rsidR="00596945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9D3518" w:rsidRPr="00EC7A1F" w:rsidRDefault="009D3518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D3518" w:rsidRPr="000B20E3" w:rsidRDefault="009D3518" w:rsidP="009D3518">
      <w:pPr>
        <w:rPr>
          <w:lang w:val="en-GB"/>
        </w:rPr>
      </w:pPr>
    </w:p>
    <w:p w:rsidR="009D3518" w:rsidRDefault="009D3518" w:rsidP="009D351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D3518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18" w:rsidRPr="00107C72" w:rsidRDefault="009D35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D3518" w:rsidRPr="00107C72" w:rsidRDefault="009D35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D3518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18" w:rsidRPr="00107C72" w:rsidRDefault="009D35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18" w:rsidRPr="00107C72" w:rsidRDefault="009D35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D3518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18" w:rsidRPr="00107C72" w:rsidRDefault="009D35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4066D" w:rsidRDefault="00D4066D" w:rsidP="00D4066D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E269F1">
              <w:rPr>
                <w:bCs/>
                <w:sz w:val="20"/>
                <w:szCs w:val="20"/>
                <w:lang w:val="en-GB"/>
              </w:rPr>
              <w:t xml:space="preserve">This manuscript offers a timely and policy-relevant analysis of community readiness within a capital-relocation megaproject, integrating motivation, education, and skills under a smart governance framework. The application of Covariance-Based Structural Equation </w:t>
            </w:r>
            <w:proofErr w:type="spellStart"/>
            <w:r w:rsidRPr="00E269F1">
              <w:rPr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E269F1">
              <w:rPr>
                <w:bCs/>
                <w:sz w:val="20"/>
                <w:szCs w:val="20"/>
                <w:lang w:val="en-GB"/>
              </w:rPr>
              <w:t xml:space="preserve"> provides robust empirical insights into infrastructure utilization and socio-institutional preparedness in emerging urban transformation contexts.</w:t>
            </w:r>
          </w:p>
          <w:p w:rsidR="00D4066D" w:rsidRDefault="00D4066D" w:rsidP="00D4066D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</w:p>
          <w:p w:rsidR="00D4066D" w:rsidRDefault="00D4066D" w:rsidP="00D4066D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The manuscript would benefit from engaging with prior literature on smart governance, community readiness, and digital inclusion in large-scale urban transformation projects</w:t>
            </w:r>
            <w:r>
              <w:rPr>
                <w:bCs/>
                <w:sz w:val="20"/>
                <w:szCs w:val="20"/>
                <w:lang w:val="en-GB"/>
              </w:rPr>
              <w:t>, such as “</w:t>
            </w:r>
            <w:r w:rsidRPr="00596945">
              <w:rPr>
                <w:bCs/>
                <w:sz w:val="20"/>
                <w:szCs w:val="20"/>
                <w:lang w:val="en-GB"/>
              </w:rPr>
              <w:t>Boosting Coordination and Employee Motivation in Mega-Project Sustainable Performance Through Quality Relationships: The Key Role of Quality Management System</w:t>
            </w:r>
            <w:r>
              <w:rPr>
                <w:bCs/>
                <w:sz w:val="20"/>
                <w:szCs w:val="20"/>
                <w:lang w:val="en-GB"/>
              </w:rPr>
              <w:t xml:space="preserve">” and </w:t>
            </w:r>
            <w:r w:rsidRPr="00596945">
              <w:rPr>
                <w:bCs/>
                <w:sz w:val="20"/>
                <w:szCs w:val="20"/>
                <w:lang w:val="en-GB"/>
              </w:rPr>
              <w:t xml:space="preserve">"Artificial Intelligence Driven Digital Transformation Mediating the Relationship Between Artificial Intelligence Readiness and Business Process Efficiency". </w:t>
            </w:r>
            <w:r>
              <w:rPr>
                <w:bCs/>
                <w:sz w:val="20"/>
                <w:szCs w:val="20"/>
                <w:lang w:val="en-GB"/>
              </w:rPr>
              <w:t>Likewise i</w:t>
            </w:r>
            <w:r w:rsidRPr="00596945">
              <w:rPr>
                <w:bCs/>
                <w:sz w:val="20"/>
                <w:szCs w:val="20"/>
                <w:lang w:val="en-GB"/>
              </w:rPr>
              <w:t xml:space="preserve">ncorporating </w:t>
            </w:r>
            <w:r>
              <w:rPr>
                <w:bCs/>
                <w:sz w:val="20"/>
                <w:szCs w:val="20"/>
                <w:lang w:val="en-GB"/>
              </w:rPr>
              <w:t>“</w:t>
            </w:r>
            <w:r w:rsidRPr="00596945">
              <w:rPr>
                <w:bCs/>
                <w:sz w:val="20"/>
                <w:szCs w:val="20"/>
                <w:lang w:val="en-GB"/>
              </w:rPr>
              <w:t>Integrated collaborative reflection model (ICRM) Part 1: role and process based conceptual study of collaborative reflection and collaborative knowledge building</w:t>
            </w:r>
            <w:r>
              <w:rPr>
                <w:bCs/>
                <w:sz w:val="20"/>
                <w:szCs w:val="20"/>
                <w:lang w:val="en-GB"/>
              </w:rPr>
              <w:t xml:space="preserve">” and other similar </w:t>
            </w:r>
            <w:r w:rsidRPr="00596945">
              <w:rPr>
                <w:bCs/>
                <w:sz w:val="20"/>
                <w:szCs w:val="20"/>
                <w:lang w:val="en-GB"/>
              </w:rPr>
              <w:t>studies on infrastructure adoption, citizen capability development, and governance-driven digital transitions would strengthen the theoretical grounding and position the study within broader discussions on inclusive and sustainable urban development.</w:t>
            </w:r>
            <w:r>
              <w:rPr>
                <w:bCs/>
                <w:sz w:val="20"/>
                <w:szCs w:val="20"/>
                <w:lang w:val="en-GB"/>
              </w:rPr>
              <w:t xml:space="preserve"> Further here are some minor corrections for improving this manuscript:</w:t>
            </w:r>
          </w:p>
          <w:p w:rsidR="00D4066D" w:rsidRPr="00596945" w:rsidRDefault="00D4066D" w:rsidP="00D4066D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Clearly define the concept of “community readiness” and its measurement dimensions.</w:t>
            </w:r>
          </w:p>
          <w:p w:rsidR="00D4066D" w:rsidRPr="00596945" w:rsidRDefault="00D4066D" w:rsidP="00D4066D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Provide stronger theoretical justification for using the ERG Theory framework.</w:t>
            </w:r>
          </w:p>
          <w:p w:rsidR="00D4066D" w:rsidRPr="00596945" w:rsidRDefault="00D4066D" w:rsidP="00D4066D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Clarify the operationalization of education and skills constructs.</w:t>
            </w:r>
          </w:p>
          <w:p w:rsidR="00D4066D" w:rsidRPr="00596945" w:rsidRDefault="00D4066D" w:rsidP="00D4066D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Expand details on sampling procedure and representativeness of respondents.</w:t>
            </w:r>
          </w:p>
          <w:p w:rsidR="00D4066D" w:rsidRPr="00596945" w:rsidRDefault="00D4066D" w:rsidP="00D4066D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Report full model fit indices (e.g., CFI, RMSEA, SRMR) for AMOS analysis.</w:t>
            </w:r>
          </w:p>
          <w:p w:rsidR="00D4066D" w:rsidRPr="00596945" w:rsidRDefault="00D4066D" w:rsidP="00D4066D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 w:rsidRPr="00596945">
              <w:rPr>
                <w:bCs/>
                <w:sz w:val="20"/>
                <w:szCs w:val="20"/>
                <w:lang w:val="en-GB"/>
              </w:rPr>
              <w:t>Elaborate on the practical implications for smart governance implementation.</w:t>
            </w:r>
          </w:p>
          <w:p w:rsidR="00D4066D" w:rsidRPr="005E385F" w:rsidRDefault="00D4066D" w:rsidP="00D4066D">
            <w:pPr>
              <w:pStyle w:val="ListParagraph"/>
              <w:numPr>
                <w:ilvl w:val="0"/>
                <w:numId w:val="17"/>
              </w:numPr>
              <w:jc w:val="both"/>
              <w:rPr>
                <w:lang w:val="en-GB"/>
              </w:rPr>
            </w:pPr>
            <w:r w:rsidRPr="005E385F">
              <w:rPr>
                <w:bCs/>
                <w:sz w:val="20"/>
                <w:szCs w:val="20"/>
                <w:lang w:val="en-GB"/>
              </w:rPr>
              <w:t>Discuss potential endogeneity or causality limitations due to cross-sectional design.</w:t>
            </w:r>
          </w:p>
          <w:p w:rsidR="00D4066D" w:rsidRPr="005E385F" w:rsidRDefault="00D4066D" w:rsidP="00D4066D">
            <w:pPr>
              <w:pStyle w:val="ListParagraph"/>
              <w:numPr>
                <w:ilvl w:val="0"/>
                <w:numId w:val="17"/>
              </w:numPr>
              <w:jc w:val="both"/>
              <w:rPr>
                <w:lang w:val="en-GB"/>
              </w:rPr>
            </w:pPr>
            <w:r w:rsidRPr="005E385F">
              <w:rPr>
                <w:bCs/>
                <w:sz w:val="20"/>
                <w:szCs w:val="20"/>
                <w:lang w:val="en-GB"/>
              </w:rPr>
              <w:t>Conduct minor language editing to improve clarity and consistency.</w:t>
            </w:r>
          </w:p>
          <w:p w:rsidR="009D3518" w:rsidRPr="00107C72" w:rsidRDefault="009D35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D3518" w:rsidRPr="00107C72" w:rsidRDefault="009D35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D3518" w:rsidRPr="00107C72" w:rsidRDefault="009D35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518" w:rsidRPr="00107C72" w:rsidRDefault="009D35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D3518" w:rsidRPr="00107C72" w:rsidRDefault="009D3518" w:rsidP="009D351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9D3518" w:rsidRPr="00107C72" w:rsidRDefault="009D3518" w:rsidP="009D351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7D1D25" w:rsidRPr="00DB38E2" w:rsidRDefault="007D1D25" w:rsidP="007D1D2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D1D25" w:rsidRPr="00DB38E2" w:rsidTr="00B0004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D25" w:rsidRPr="00DB38E2" w:rsidRDefault="007D1D25" w:rsidP="00B0004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1D25" w:rsidRPr="00DB38E2" w:rsidTr="00B0004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D25" w:rsidRPr="00DB38E2" w:rsidRDefault="007D1D25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D25" w:rsidRPr="00DB38E2" w:rsidRDefault="007D1D25" w:rsidP="00B000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7D1D25" w:rsidRPr="00DB38E2" w:rsidRDefault="007D1D25" w:rsidP="00B0004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D1D25" w:rsidRPr="00DB38E2" w:rsidRDefault="007D1D25" w:rsidP="00B000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1D25" w:rsidRPr="00DB38E2" w:rsidTr="00B0004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D25" w:rsidRPr="00DB38E2" w:rsidRDefault="007D1D25" w:rsidP="00B0004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D1D25" w:rsidRPr="00DB38E2" w:rsidRDefault="007D1D25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D25" w:rsidRPr="00DB38E2" w:rsidRDefault="007D1D25" w:rsidP="00B0004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D1D25" w:rsidRPr="00DB38E2" w:rsidRDefault="007D1D25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7D1D25" w:rsidRPr="00DB38E2" w:rsidRDefault="007D1D25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1D25" w:rsidRPr="00DB38E2" w:rsidRDefault="007D1D25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D1D25" w:rsidRPr="00DB38E2" w:rsidRDefault="007D1D25" w:rsidP="00B0004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D1D25" w:rsidRPr="00DB38E2" w:rsidRDefault="007D1D25" w:rsidP="007D1D2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E295F" w:rsidRDefault="002E295F" w:rsidP="002E295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E295F" w:rsidRPr="005F4EDD" w:rsidRDefault="002E295F" w:rsidP="002E295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E295F" w:rsidRDefault="002E295F" w:rsidP="002E295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E295F" w:rsidRDefault="002E295F" w:rsidP="002E295F">
      <w:r>
        <w:rPr>
          <w:rFonts w:ascii="Calibri" w:hAnsi="Calibri" w:cs="Calibri"/>
          <w:color w:val="000000"/>
        </w:rPr>
        <w:t>Muhammad Shoaib Farooq, University of Engineering and Technology, Pakistan</w:t>
      </w:r>
      <w:r>
        <w:rPr>
          <w:rFonts w:ascii="Calibri" w:hAnsi="Calibri" w:cs="Calibri"/>
          <w:color w:val="000000"/>
        </w:rPr>
        <w:br/>
      </w:r>
    </w:p>
    <w:p w:rsidR="007D1D25" w:rsidRDefault="007D1D25" w:rsidP="007D1D25">
      <w:bookmarkStart w:id="0" w:name="_GoBack"/>
      <w:bookmarkEnd w:id="0"/>
    </w:p>
    <w:p w:rsidR="007D1D25" w:rsidRDefault="007D1D25" w:rsidP="007D1D25"/>
    <w:p w:rsidR="007D1D25" w:rsidRDefault="007D1D25" w:rsidP="007D1D25"/>
    <w:p w:rsidR="008913D5" w:rsidRPr="009D3518" w:rsidRDefault="008913D5" w:rsidP="007D1D25"/>
    <w:sectPr w:rsidR="008913D5" w:rsidRPr="009D3518" w:rsidSect="00C468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6A4" w:rsidRPr="0000007A" w:rsidRDefault="002006A4" w:rsidP="0099583E">
      <w:r>
        <w:separator/>
      </w:r>
    </w:p>
  </w:endnote>
  <w:endnote w:type="continuationSeparator" w:id="0">
    <w:p w:rsidR="002006A4" w:rsidRPr="0000007A" w:rsidRDefault="002006A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18" w:rsidRDefault="009D3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18" w:rsidRDefault="009D3518" w:rsidP="009D3518">
    <w:pPr>
      <w:pStyle w:val="Footer"/>
      <w:jc w:val="right"/>
    </w:pPr>
  </w:p>
  <w:p w:rsidR="009D3518" w:rsidRDefault="009D3518" w:rsidP="009D351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42DF4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42DF4">
      <w:rPr>
        <w:b/>
        <w:noProof/>
        <w:sz w:val="20"/>
      </w:rPr>
      <w:t>1</w:t>
    </w:r>
    <w:r w:rsidRPr="00585FC6">
      <w:rPr>
        <w:b/>
        <w:sz w:val="20"/>
      </w:rPr>
      <w:fldChar w:fldCharType="end"/>
    </w:r>
  </w:p>
  <w:p w:rsidR="009D3518" w:rsidRDefault="009D3518" w:rsidP="009D351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D3518" w:rsidRDefault="009D3518" w:rsidP="009D351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18" w:rsidRDefault="009D3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6A4" w:rsidRPr="0000007A" w:rsidRDefault="002006A4" w:rsidP="0099583E">
      <w:r>
        <w:separator/>
      </w:r>
    </w:p>
  </w:footnote>
  <w:footnote w:type="continuationSeparator" w:id="0">
    <w:p w:rsidR="002006A4" w:rsidRPr="0000007A" w:rsidRDefault="002006A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18" w:rsidRDefault="009D3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18" w:rsidRDefault="009D3518" w:rsidP="009D351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D3518" w:rsidP="009D3518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518" w:rsidRDefault="009D3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64EE0"/>
    <w:multiLevelType w:val="hybridMultilevel"/>
    <w:tmpl w:val="30AC9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04E4A"/>
    <w:multiLevelType w:val="hybridMultilevel"/>
    <w:tmpl w:val="8020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6753B"/>
    <w:multiLevelType w:val="hybridMultilevel"/>
    <w:tmpl w:val="30AC9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61C28"/>
    <w:multiLevelType w:val="hybridMultilevel"/>
    <w:tmpl w:val="C4185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0018DA"/>
    <w:multiLevelType w:val="hybridMultilevel"/>
    <w:tmpl w:val="30AC9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6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21431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06A4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295F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96100"/>
    <w:rsid w:val="003A04E7"/>
    <w:rsid w:val="003A4991"/>
    <w:rsid w:val="003A6E1A"/>
    <w:rsid w:val="003A6E6B"/>
    <w:rsid w:val="003B2172"/>
    <w:rsid w:val="003B274D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2DF4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6945"/>
    <w:rsid w:val="005A5BE0"/>
    <w:rsid w:val="005B12E0"/>
    <w:rsid w:val="005C11D1"/>
    <w:rsid w:val="005C25A0"/>
    <w:rsid w:val="005D230D"/>
    <w:rsid w:val="005E385F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B58"/>
    <w:rsid w:val="007B6E18"/>
    <w:rsid w:val="007D0246"/>
    <w:rsid w:val="007D1D25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3518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7A1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707D"/>
    <w:rsid w:val="00C10283"/>
    <w:rsid w:val="00C110CC"/>
    <w:rsid w:val="00C14ABC"/>
    <w:rsid w:val="00C22886"/>
    <w:rsid w:val="00C25C8F"/>
    <w:rsid w:val="00C263C6"/>
    <w:rsid w:val="00C46811"/>
    <w:rsid w:val="00C60B20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066D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31EB"/>
    <w:rsid w:val="00E1327B"/>
    <w:rsid w:val="00E269F1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2BE6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9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59694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2E29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3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8/GKMC-03-2025-024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jaees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10.3390/buildings150609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8245/ipsi.tir.2602.0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1323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2026-03-24T06:15:00Z</dcterms:created>
  <dcterms:modified xsi:type="dcterms:W3CDTF">2026-04-01T06:13:00Z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