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4F90" w14:textId="5435140A" w:rsidR="00C274B5" w:rsidRDefault="00C274B5" w:rsidP="00C84F92">
      <w:pPr>
        <w:jc w:val="center"/>
        <w:rPr>
          <w:rFonts w:ascii="Times New Roman" w:hAnsi="Times New Roman" w:cs="Times New Roman"/>
          <w:b/>
          <w:sz w:val="24"/>
          <w:szCs w:val="24"/>
        </w:rPr>
      </w:pPr>
      <w:r w:rsidRPr="008741AD">
        <w:rPr>
          <w:rFonts w:ascii="Times New Roman" w:hAnsi="Times New Roman" w:cs="Times New Roman"/>
          <w:sz w:val="24"/>
          <w:szCs w:val="24"/>
        </w:rPr>
        <w:t xml:space="preserve">Opinion Article         </w:t>
      </w:r>
    </w:p>
    <w:p w14:paraId="2964F16C" w14:textId="5CC54170" w:rsidR="00C84F92" w:rsidRPr="00FD6D73" w:rsidRDefault="00C84F92" w:rsidP="00C84F92">
      <w:pPr>
        <w:jc w:val="center"/>
        <w:rPr>
          <w:rFonts w:ascii="Times New Roman" w:hAnsi="Times New Roman" w:cs="Times New Roman"/>
          <w:b/>
          <w:sz w:val="24"/>
          <w:szCs w:val="24"/>
        </w:rPr>
      </w:pPr>
      <w:r w:rsidRPr="00FD6D73">
        <w:rPr>
          <w:rFonts w:ascii="Times New Roman" w:hAnsi="Times New Roman" w:cs="Times New Roman"/>
          <w:b/>
          <w:sz w:val="24"/>
          <w:szCs w:val="24"/>
        </w:rPr>
        <w:t>Climate-Smart Livestock Production in Africa: Opportunities, Investment</w:t>
      </w:r>
      <w:r w:rsidR="00FD6D73" w:rsidRPr="00FD6D73">
        <w:rPr>
          <w:rFonts w:ascii="Times New Roman" w:hAnsi="Times New Roman" w:cs="Times New Roman"/>
          <w:b/>
          <w:sz w:val="24"/>
          <w:szCs w:val="24"/>
        </w:rPr>
        <w:t>s, and the Road beyond Barriers</w:t>
      </w:r>
    </w:p>
    <w:p w14:paraId="1208F80F" w14:textId="77777777" w:rsidR="005B7B14" w:rsidRDefault="005B7B14" w:rsidP="00C84F92">
      <w:pPr>
        <w:rPr>
          <w:rFonts w:ascii="Times New Roman" w:hAnsi="Times New Roman" w:cs="Times New Roman"/>
          <w:b/>
          <w:sz w:val="24"/>
          <w:szCs w:val="24"/>
        </w:rPr>
      </w:pPr>
    </w:p>
    <w:p w14:paraId="07B09201" w14:textId="12779E84" w:rsidR="00C84F92" w:rsidRDefault="00C84F92" w:rsidP="00C84F92">
      <w:pPr>
        <w:rPr>
          <w:rFonts w:ascii="Times New Roman" w:hAnsi="Times New Roman" w:cs="Times New Roman"/>
          <w:b/>
          <w:sz w:val="24"/>
          <w:szCs w:val="24"/>
        </w:rPr>
      </w:pPr>
      <w:commentRangeStart w:id="0"/>
      <w:r>
        <w:rPr>
          <w:rFonts w:ascii="Times New Roman" w:hAnsi="Times New Roman" w:cs="Times New Roman"/>
          <w:b/>
          <w:sz w:val="24"/>
          <w:szCs w:val="24"/>
        </w:rPr>
        <w:t>ABSTRACT</w:t>
      </w:r>
      <w:commentRangeEnd w:id="0"/>
      <w:r w:rsidR="00F57657">
        <w:rPr>
          <w:rStyle w:val="CommentReference"/>
          <w:rtl/>
        </w:rPr>
        <w:commentReference w:id="0"/>
      </w:r>
    </w:p>
    <w:p w14:paraId="1BDDEDE2" w14:textId="0CD16D68" w:rsidR="00C84F92" w:rsidRDefault="00C84F92" w:rsidP="00C84F92">
      <w:pPr>
        <w:rPr>
          <w:rFonts w:ascii="Times New Roman" w:hAnsi="Times New Roman" w:cs="Times New Roman"/>
          <w:sz w:val="24"/>
          <w:szCs w:val="24"/>
        </w:rPr>
      </w:pPr>
      <w:commentRangeStart w:id="1"/>
      <w:r>
        <w:rPr>
          <w:rFonts w:ascii="Times New Roman" w:hAnsi="Times New Roman" w:cs="Times New Roman"/>
          <w:sz w:val="24"/>
          <w:szCs w:val="24"/>
        </w:rPr>
        <w:t>The livestock sector is a foundation of daily bread in Africa, imparting remarkably to food security, income generation, and national G</w:t>
      </w:r>
      <w:r w:rsidR="00F30713">
        <w:rPr>
          <w:rFonts w:ascii="Times New Roman" w:hAnsi="Times New Roman" w:cs="Times New Roman"/>
          <w:sz w:val="24"/>
          <w:szCs w:val="24"/>
        </w:rPr>
        <w:t xml:space="preserve">ross </w:t>
      </w:r>
      <w:r>
        <w:rPr>
          <w:rFonts w:ascii="Times New Roman" w:hAnsi="Times New Roman" w:cs="Times New Roman"/>
          <w:sz w:val="24"/>
          <w:szCs w:val="24"/>
        </w:rPr>
        <w:t>D</w:t>
      </w:r>
      <w:r w:rsidR="00F30713">
        <w:rPr>
          <w:rFonts w:ascii="Times New Roman" w:hAnsi="Times New Roman" w:cs="Times New Roman"/>
          <w:sz w:val="24"/>
          <w:szCs w:val="24"/>
        </w:rPr>
        <w:t xml:space="preserve">omestic </w:t>
      </w:r>
      <w:r>
        <w:rPr>
          <w:rFonts w:ascii="Times New Roman" w:hAnsi="Times New Roman" w:cs="Times New Roman"/>
          <w:sz w:val="24"/>
          <w:szCs w:val="24"/>
        </w:rPr>
        <w:t>P</w:t>
      </w:r>
      <w:r w:rsidR="00F30713">
        <w:rPr>
          <w:rFonts w:ascii="Times New Roman" w:hAnsi="Times New Roman" w:cs="Times New Roman"/>
          <w:sz w:val="24"/>
          <w:szCs w:val="24"/>
        </w:rPr>
        <w:t>roduct (GDP)</w:t>
      </w:r>
      <w:r>
        <w:rPr>
          <w:rFonts w:ascii="Times New Roman" w:hAnsi="Times New Roman" w:cs="Times New Roman"/>
          <w:sz w:val="24"/>
          <w:szCs w:val="24"/>
        </w:rPr>
        <w:t xml:space="preserve">. Nevertheless, climate change poses critical threats through increased temperature, drought, and disease prevalence, reducing productivity and sustainability. This opinion article </w:t>
      </w:r>
      <w:r w:rsidR="005D4184">
        <w:rPr>
          <w:rFonts w:ascii="Times New Roman" w:hAnsi="Times New Roman" w:cs="Times New Roman"/>
          <w:sz w:val="24"/>
          <w:szCs w:val="24"/>
        </w:rPr>
        <w:t>examines</w:t>
      </w:r>
      <w:r>
        <w:rPr>
          <w:rFonts w:ascii="Times New Roman" w:hAnsi="Times New Roman" w:cs="Times New Roman"/>
          <w:sz w:val="24"/>
          <w:szCs w:val="24"/>
        </w:rPr>
        <w:t xml:space="preserve"> opportunities, investment priorities, and barriers to implementing Climate-Smart Livestock (CSL) systems across the region. The CSL approach aims to achieve a “triple win” of improving productivity, enhancing adaptation to climatic change and variability, and mitigating the greenhouse gas (GHG) emissions. The article points out key investment areas, including genetic improvement of climate-adaptive livestock breeds, disease resilience, sustainable feed and forage systems, and inclusive value chain development. Indigenous breeds such as Boran and </w:t>
      </w:r>
      <w:proofErr w:type="spellStart"/>
      <w:r>
        <w:rPr>
          <w:rFonts w:ascii="Times New Roman" w:hAnsi="Times New Roman" w:cs="Times New Roman"/>
          <w:sz w:val="24"/>
          <w:szCs w:val="24"/>
        </w:rPr>
        <w:t>Mpwapwa</w:t>
      </w:r>
      <w:proofErr w:type="spellEnd"/>
      <w:r>
        <w:rPr>
          <w:rFonts w:ascii="Times New Roman" w:hAnsi="Times New Roman" w:cs="Times New Roman"/>
          <w:sz w:val="24"/>
          <w:szCs w:val="24"/>
        </w:rPr>
        <w:t xml:space="preserve"> cattle exemplify the genetic potential for adaptation, while innovations in feed conservation, forage diversification, and community breeding programs can further enhance productivity and resilience. In spite of these opportunities, weak institutional frameworks, limited finance, market barriers, and socio-cultural inequalities are constraining CSL. Critics argue that CSL interventions are capital-intensive, technologically biased, and may marginalize smallholders. However, evidence shows that community-based breeding, cooperative feed production, and gender-responsive initiatives can deliver equitable and sustainable outcomes. The paper concludes that a transformative pathway for African livestock requires context-specific investments, supportive policies, and active participation of both public and private actors. Aligning indigenous knowledge with modern technologies is essential for ensuring that CSL delivers inclusive growth, environmental sustainability, and resilience for Africa’s livestock-dependent communities.</w:t>
      </w:r>
      <w:commentRangeEnd w:id="1"/>
      <w:r w:rsidR="00F97081">
        <w:rPr>
          <w:rStyle w:val="CommentReference"/>
          <w:rtl/>
        </w:rPr>
        <w:commentReference w:id="1"/>
      </w:r>
    </w:p>
    <w:p w14:paraId="2BFBAF73" w14:textId="77777777" w:rsidR="00C84F92" w:rsidRDefault="00C84F92" w:rsidP="00C84F92">
      <w:pPr>
        <w:rPr>
          <w:rFonts w:ascii="Times New Roman" w:hAnsi="Times New Roman" w:cs="Times New Roman"/>
          <w:i/>
          <w:sz w:val="24"/>
          <w:szCs w:val="24"/>
        </w:rPr>
      </w:pPr>
      <w:r>
        <w:rPr>
          <w:rFonts w:ascii="Times New Roman" w:hAnsi="Times New Roman" w:cs="Times New Roman"/>
          <w:i/>
          <w:sz w:val="24"/>
          <w:szCs w:val="24"/>
        </w:rPr>
        <w:t>Keywords: Livestock resilience; genetic resources; feeds and forage systems; greenhouse gases; livestock production Africa</w:t>
      </w:r>
    </w:p>
    <w:p w14:paraId="29B960B9" w14:textId="77777777"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47C05B38"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Production of livestock in Africa is central to their livelihood, contributing significantly to employment, food security, and GDP. The livestock sector in Africa is supporting more than 800 million residents and contributing to 15-80% of agricultural GDP in a large number of  sub-Saharan African countries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FAO in Africa: Highlights in 2023 report is an overview that showcases the pivotal strides made by the Food and Agriculture Organization of the United Nations (FAO) towards agrifood systems transformation in Africa in 2023.Structured around the four betters as set out in the FAO Strategic Framework 2022–2031, the report delineates the concrete steps taken towards realizing a transformation to more efficient, inclusive, resilient and sustainable agrifood systems for better production, better nutrition, a better environment and a better life for all, firmly aligning with the objectives of the 2030 Agenda. It is a testament to FAO's work in Africa, and effective collaborations with numerous partners across the continent.The publication, produced by the FAO Regional Office for Africa, not only reflects the tangible progress but also underscores the need for further, urgent action by all stakeholders invested in Africa’s future.","author":[{"dropping-particle":"","family":"FAO","given":"","non-dropping-particle":"","parse-names":false,"suffix":""}],"container-title":"Food and Agriculture Organization of the United Nations Accra","id":"ITEM-1","issued":{"date-parts":[["2024"]]},"title":"FAO in Africa: Highlights in 2023","type":"article-journal"},"uris":["http://www.mendeley.com/documents/?uuid=37d64308-42a6-4070-a322-6ad60a60ffd0"]}],"mendeley":{"formattedCitation":"(FAO, 2024)","plainTextFormattedCitation":"(FAO, 2024)","previouslyFormattedCitation":"(FAO,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(FAO, 2024)</w:t>
      </w:r>
      <w:r>
        <w:rPr>
          <w:rFonts w:ascii="Times New Roman" w:hAnsi="Times New Roman" w:cs="Times New Roman"/>
          <w:sz w:val="24"/>
          <w:szCs w:val="24"/>
        </w:rPr>
        <w:fldChar w:fldCharType="end"/>
      </w:r>
      <w:r>
        <w:rPr>
          <w:rFonts w:ascii="Times New Roman" w:hAnsi="Times New Roman" w:cs="Times New Roman"/>
          <w:sz w:val="24"/>
          <w:szCs w:val="24"/>
        </w:rPr>
        <w:t>. The livestock sector not only provides food and income but also plays a part in the provision of manure for soil fertility and draft power as well as social and cultural capital, making them a vital advantage in the social framework of African communities.</w:t>
      </w:r>
    </w:p>
    <w:p w14:paraId="39784E28"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Even so, this vital industry faces an empirical threat from amplified implications of climate change. Raised temperature, reduced productivity, recurrent dry spells, and proliferation of livestock diseases are weakening the productivity, food security, and economic sustainability of pastoral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-pastoral farmers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(Thornton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In this circumstance, climate-smart livestock (CSL) farming constitutes an approach that aims to achieve the triple-win objectives, which are enhancing adaptation to climate shocks and variability, sustainably increasing of livestock production, and reducing the effect of greenhouse gas (GHG) emissions. This approach is in line with the main concept of Climate-Smart Agriculture that has been promoted by FAO, but  CSL still has a unique role in contributing and being affected and can also be one of the strategies for reducing the effect of GHG emissions like methane, carbon dioxide, and nitrous oxide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{"citationItems":[{"id":"ITEM-1","itemData":{"DOI":"10.1596/40572","abstract":"The Climate Change Action Plan 2021–2025 aims to advance the climate change aspects of the WBG’s Green, Resilient, and Inclusive Development (GRID) approach, which pursues poverty eradication and shared prosperity with a sustainability lens. In the Action Plan, we will support countries and private sector clients to maximize the impact of climate finance, aiming for measurable improvements in adaptation and resilience and measurable reductions in GHG emissions. The Action Plan also considers the vital importance of natural capital, biodiversity, and ecosystems services and will increase support for nature-based solutions, given their importance for both mitigation and adaptation. As part of our effort to drive climate action, the WBG has a long-standing record of participating in key partnerships and high-level forums aimed at enhancing global efforts to address climate change. The new Action Plan represents a shift from efforts to “green” projects, to greening entire economies, and from focusing on inputs, to focusing on impacts. It focuses on (i) integrating climate and development; (ii) identifying and prioritizing action on the largest mitigation and adaptation opportunities; and (iii) using those to drive our climate finance and leverage private capital in ways that deliver the most results. That means helping the largest emitters flatten the emissions curve and accelerate the downward trend and ramping up financing on adaptation to help countries and private sector clients prepare for and adapt to climate change while pursuing broader development objectives through the GRID approach.","author":[{"dropping-particle":"","family":"Word Bank","given":"","non-dropping-particle":"","parse-names":false,"suffix":""}],"container-title":"Kenya Country Climate and Development Report","id":"ITEM-1","issued":{"date-parts":[["2023"]]},"title":"Kenya Country Climate and Development Report","type":"article-journal"},"uris":["http://www.mendeley.com/documents/?uuid=931de8dd-f0ea-4777-960e-5e4e03aa9afb"]}],"mendeley":{"formattedCitation":"(Word Bank, 2023)","plainTextFormattedCitation":"(Word Bank, 2023)","previouslyFormattedCitation":"(Word Bank,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(World Bank, 2023)</w:t>
      </w:r>
      <w:r>
        <w:rPr>
          <w:rFonts w:ascii="Times New Roman" w:hAnsi="Times New Roman" w:cs="Times New Roman"/>
          <w:sz w:val="24"/>
          <w:szCs w:val="24"/>
        </w:rPr>
        <w:fldChar w:fldCharType="end"/>
      </w:r>
      <w:r>
        <w:rPr>
          <w:rFonts w:ascii="Times New Roman" w:hAnsi="Times New Roman" w:cs="Times New Roman"/>
          <w:sz w:val="24"/>
          <w:szCs w:val="24"/>
        </w:rPr>
        <w:t>.</w:t>
      </w:r>
    </w:p>
    <w:p w14:paraId="575B3410" w14:textId="3CE1EF65"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The purpose of investing </w:t>
      </w:r>
      <w:r w:rsidR="00EE1134">
        <w:rPr>
          <w:rFonts w:ascii="Times New Roman" w:hAnsi="Times New Roman" w:cs="Times New Roman"/>
          <w:sz w:val="24"/>
          <w:szCs w:val="24"/>
        </w:rPr>
        <w:t>in Climate smart agriculture</w:t>
      </w:r>
      <w:r>
        <w:rPr>
          <w:rFonts w:ascii="Times New Roman" w:hAnsi="Times New Roman" w:cs="Times New Roman"/>
          <w:sz w:val="24"/>
          <w:szCs w:val="24"/>
        </w:rPr>
        <w:t xml:space="preserve"> CSA has become increasingly critical. The report from the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{"citationItems":[{"id":"ITEM-1","itemData":{"author":[{"dropping-particle":"","family":"Bank","given":"Word","non-dropping-particle":"","parse-names":false,"suffix":""}],"id":"ITEM-1","issue":"July","issued":{"date-parts":[["2023"]]},"title":"Climate-Resilient Investment in Sub-Saharan Africa","type":"article-journal"},"uris":["http://www.mendeley.com/documents/?uuid=8ddb1c8b-776a-4562-a579-d4603e5f1c39"]}],"mendeley":{"formattedCitation":"(Bank, 2023)","manualFormatting":"World Bank, (2023)","plainTextFormattedCitation":"(Bank, 2023)","previouslyFormattedCitation":"(Bank,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World Bank</w:t>
      </w:r>
      <w:r w:rsidR="00D9779F">
        <w:rPr>
          <w:rFonts w:ascii="Times New Roman" w:hAnsi="Times New Roman" w:cs="Times New Roman"/>
          <w:noProof/>
          <w:sz w:val="24"/>
          <w:szCs w:val="24"/>
        </w:rPr>
        <w:t xml:space="preserve"> </w:t>
      </w:r>
      <w:r>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shows that the annual funding gap in climate-smart agriculture in Africa outstrips USD 15 billion, with livestock investment remaining specifically financially challenged. This deprivation keeps going in spite of growing authentication that low-emission and adaptive systems can remarkably minimize poverty, enhance food security, and reinforce national economies. Successful interventions require both public and private sector engagement (PPS), assisted by friendly policies, innovative funding mechanisms, and research-driven technologies that respond to sustainable livestock production.</w:t>
      </w:r>
    </w:p>
    <w:p w14:paraId="60E93A5A"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However, there are some barriers that prohibit the progress of CSL production on the African continent. Some of them include weak institutions, fragmented policy implementation, low access to credit, and limited market infrastructure. Nonetheless, social-cultural and gender inequalities </w:t>
      </w:r>
      <w:r>
        <w:rPr>
          <w:rFonts w:ascii="Times New Roman" w:hAnsi="Times New Roman" w:cs="Times New Roman"/>
          <w:sz w:val="24"/>
          <w:szCs w:val="24"/>
        </w:rPr>
        <w:lastRenderedPageBreak/>
        <w:t xml:space="preserve">constrain youth and women who play an essential role livestock value chains such as milking and   processing milk products and meat products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{"citationItems":[{"id":"ITEM-1","itemData":{"author":[{"dropping-particle":"","family":"Walter Svinurai","given":"","non-dropping-particle":"","parse-names":false,"suffix":""}],"id":"ITEM-1","issued":{"date-parts":[["2023"]]},"title":"Livestock production and greenhouse gas emissions in the Southern African Development Community: 2000-2020","type":"article-journal"},"uris":["http://www.mendeley.com/documents/?uuid=7fb3357b-7862-493b-899f-4340ab8843f5"]}],"mendeley":{"formattedCitation":"(Walter Svinurai, 2023)","plainTextFormattedCitation":"(Walter Svinurai, 2023)","previouslyFormattedCitation":"(Walter Svinurai,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(Walter Svinurai,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E708827"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Therefore, this article provides critical insight into investing needs and barriers in the pursuit of climate-smart livestock production in Africa. It claims that sustainable transformation of the sector relies on inclusive, context-specific, and strategic investments that traverse socio-economic, institutional, and technological gaps.</w:t>
      </w:r>
    </w:p>
    <w:p w14:paraId="6E242ADD" w14:textId="77777777"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MAIN ARGUMENTS</w:t>
      </w:r>
    </w:p>
    <w:p w14:paraId="7C8D534C" w14:textId="77777777" w:rsidR="00C84F92" w:rsidRDefault="00C84F92" w:rsidP="00C84F92">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Genetic Improvement and Climate-Adaptive Livestock Breeds Investments </w:t>
      </w:r>
    </w:p>
    <w:p w14:paraId="54C183EB"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Genetic resources of livestock constitute an essential, so far underutilized integrant of Africa’s climate adaptation capability. Native livestock breeds have spread throughout many centuries to tolerate harsh climatic situations, prevalence of diseases, and shifting feed resources. Although, these genetic resources are more and more threatened by unsystematic breeding, environmental degradation, and constrained investigation funding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FAO in Africa: Highlights in 2023 report is an overview that showcases the pivotal strides made by the Food and Agriculture Organization of the United Nations (FAO) towards agrifood systems transformation in Africa in 2023.Structured around the four betters as set out in the FAO Strategic Framework 2022–2031, the report delineates the concrete steps taken towards realizing a transformation to more efficient, inclusive, resilient and sustainable agrifood systems for better production, better nutrition, a better environment and a better life for all, firmly aligning with the objectives of the 2030 Agenda. It is a testament to FAO's work in Africa, and effective collaborations with numerous partners across the continent.The publication, produced by the FAO Regional Office for Africa, not only reflects the tangible progress but also underscores the need for further, urgent action by all stakeholders invested in Africa’s future.","author":[{"dropping-particle":"","family":"FAO","given":"","non-dropping-particle":"","parse-names":false,"suffix":""}],"container-title":"Food and Agriculture Organization of the United Nations Accra","id":"ITEM-1","issued":{"date-parts":[["2024"]]},"title":"FAO in Africa: Highlights in 2023","type":"article-journal"},"uris":["http://www.mendeley.com/documents/?uuid=37d64308-42a6-4070-a322-6ad60a60ffd0"]}],"mendeley":{"formattedCitation":"(FAO, 2024)","plainTextFormattedCitation":"(FAO, 2024)","previouslyFormattedCitation":"(FAO,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(FAO, 2024)</w:t>
      </w:r>
      <w:r>
        <w:rPr>
          <w:rFonts w:ascii="Times New Roman" w:hAnsi="Times New Roman" w:cs="Times New Roman"/>
          <w:sz w:val="24"/>
          <w:szCs w:val="24"/>
        </w:rPr>
        <w:fldChar w:fldCharType="end"/>
      </w:r>
      <w:r>
        <w:rPr>
          <w:rFonts w:ascii="Times New Roman" w:hAnsi="Times New Roman" w:cs="Times New Roman"/>
          <w:sz w:val="24"/>
          <w:szCs w:val="24"/>
        </w:rPr>
        <w:t>. Improving climate-adaptable livestock breeds needs a measured approach that homogenizes crossbreeding, synthetic animals, reserved local animals, selective breeding, and genomic approaches such as interbreeding livestock that can withstand hot conditions.</w:t>
      </w:r>
    </w:p>
    <w:p w14:paraId="1EEEAB36"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Investments in genetic resource improvement can strengthen productivity and adaptive capacity. For example, a study done in some African countries like Kenya and Ethiopia shows that breeding exotic and indigenous cattle can increase milk yield by up to 40% and also tolerate higher temperatures and diseases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{"citationItems":[{"id":"ITEM-1","itemData":{"DOI":"10.1079/9781789241853.0059","abstract":"This chapter describes the contributions of the International Livestock Research Institute's (ILRI) to animal breeding. The specific topics include the genetic characterization and history of livestock, breeding technologies, genetic improvement of indigenous livestock, tools and methods for conducting breed surveys, classification of African livestock populations, molecular genetic characterization, the genetic history of cattle in Africa and linking livestock to human history, genetic history and geography of African sheep, genetic history and geography of African chickens, genetic history and geography of the African dromedary, establishment of a joint laboratory with CAAS in Beijing and expansion into Asia, ILRI's genetic characterization as a catalyst for international interest, genetics of trypanotolerance and genetics of resistance to gastrointestinal parasites.","author":[{"dropping-particle":"","family":"Rege","given":"J. E. O.","non-dropping-particle":"","parse-names":false,"suffix":""},{"dropping-particle":"","family":"Ochieng","given":"Joel","non-dropping-particle":"","parse-names":false,"suffix":""},{"dropping-particle":"","family":"Hanotte","given":"Olivier","non-dropping-particle":"","parse-names":false,"suffix":""}],"container-title":"The impact of the International Livestock Research Institute","id":"ITEM-1","issued":{"date-parts":[["2020"]]},"page":"59-102","title":"Livestock genetics and breeding.","type":"article-journal"},"uris":["http://www.mendeley.com/documents/?uuid=b34c9ede-c84f-475b-ab87-ac78b019c022"]}],"mendeley":{"formattedCitation":"(Rege et al., 2020)","plainTextFormattedCitation":"(Rege et al., 2020)","previouslyFormattedCitation":"(Rege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(Rege et al., 2020)</w:t>
      </w:r>
      <w:r>
        <w:rPr>
          <w:rFonts w:ascii="Times New Roman" w:hAnsi="Times New Roman" w:cs="Times New Roman"/>
          <w:sz w:val="24"/>
          <w:szCs w:val="24"/>
        </w:rPr>
        <w:fldChar w:fldCharType="end"/>
      </w:r>
      <w:r>
        <w:rPr>
          <w:rFonts w:ascii="Times New Roman" w:hAnsi="Times New Roman" w:cs="Times New Roman"/>
          <w:sz w:val="24"/>
          <w:szCs w:val="24"/>
        </w:rPr>
        <w:t>. Moreover, genetic engineering tools can be leveraged to recognize genetic markers related to feed efficiency, reduction of methane production, and drought tolerance, speeding up the breeding of livestock breeds that can withstand harsh conditions.</w:t>
      </w:r>
    </w:p>
    <w:p w14:paraId="452AEC1E"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Nonetheless, genetic improvement programs need to be circumstantial. Investment should target communities based on breeding programs, researchers, and international organizations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{"citationItems":[{"id":"ITEM-1","itemData":{"DOI":"10.3390/d11110214","ISSN":"14242818","abstract":"Indigenous cattle breeds are the most important livestock species in the Southern African Development Community (SADC) region owing to their role in human food, nutrition, income, and social security. Despite the role of these breeds in the household and national economies, they are currently underutilised, their productivity remains low, and populations are faced with extinction. In addition, there are insufficient measures taken to secure their present and future value. The current review highlights strategies for sustainable use of indigenous cattle genetic resources in the region, including the use of novel production and marketing practices, women and youth empowerment, and development of the appropriate capacity building, legislative, and policy structures. At present, the lack of coordination among the different stakeholders still poses a challenge to the implementation of these strategies. To this end, partnerships, collaboration, and stakeholders' participation are recommended to effectively implement strategies for sustainable use of indigenous cattle breeds.","author":[{"dropping-particle":"","family":"Mapiye","given":"Cletos","non-dropping-particle":"","parse-names":false,"suffix":""},{"dropping-particle":"","family":"Chikwanha","given":"Obert C.","non-dropping-particle":"","parse-names":false,"suffix":""},{"dropping-particle":"","family":"Chimonyo","given":"Michael","non-dropping-particle":"","parse-names":false,"suffix":""},{"dropping-particle":"","family":"Dzama","given":"Kennedy","non-dropping-particle":"","parse-names":false,"suffix":""}],"container-title":"Diversity","id":"ITEM-1","issue":"11","issued":{"date-parts":[["2019"]]},"page":"1-14","title":"Strategies for sustainable use of indigenous cattle genetic resources in Southern Africa","type":"article-journal","volume":"11"},"uris":["http://www.mendeley.com/documents/?uuid=39bfc1f0-76e7-457e-926e-2c2e8b6cd220"]}],"mendeley":{"formattedCitation":"(Mapiye et al., 2019)","plainTextFormattedCitation":"(Mapiye et al., 2019)","previouslyFormattedCitation":"(Mapiye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(Mapiye et al., 2019)</w:t>
      </w:r>
      <w:r>
        <w:rPr>
          <w:rFonts w:ascii="Times New Roman" w:hAnsi="Times New Roman" w:cs="Times New Roman"/>
          <w:sz w:val="24"/>
          <w:szCs w:val="24"/>
        </w:rPr>
        <w:fldChar w:fldCharType="end"/>
      </w:r>
      <w:r>
        <w:rPr>
          <w:rFonts w:ascii="Times New Roman" w:hAnsi="Times New Roman" w:cs="Times New Roman"/>
          <w:sz w:val="24"/>
          <w:szCs w:val="24"/>
        </w:rPr>
        <w:t>. Where possible, there should be gene banks for the reserving of genetic res</w:t>
      </w:r>
      <w:r w:rsidR="00C04F59">
        <w:rPr>
          <w:rFonts w:ascii="Times New Roman" w:hAnsi="Times New Roman" w:cs="Times New Roman"/>
          <w:sz w:val="24"/>
          <w:szCs w:val="24"/>
        </w:rPr>
        <w:t>ources of Africa, such as Boran</w:t>
      </w:r>
      <w:r>
        <w:rPr>
          <w:rFonts w:ascii="Times New Roman" w:hAnsi="Times New Roman" w:cs="Times New Roman"/>
          <w:sz w:val="24"/>
          <w:szCs w:val="24"/>
        </w:rPr>
        <w:t xml:space="preserve">, </w:t>
      </w:r>
      <w:proofErr w:type="spellStart"/>
      <w:r>
        <w:rPr>
          <w:rFonts w:ascii="Times New Roman" w:hAnsi="Times New Roman" w:cs="Times New Roman"/>
          <w:sz w:val="24"/>
          <w:szCs w:val="24"/>
        </w:rPr>
        <w:t>Mpwapwa</w:t>
      </w:r>
      <w:proofErr w:type="spellEnd"/>
      <w:r>
        <w:rPr>
          <w:rFonts w:ascii="Times New Roman" w:hAnsi="Times New Roman" w:cs="Times New Roman"/>
          <w:sz w:val="24"/>
          <w:szCs w:val="24"/>
        </w:rPr>
        <w:t>, and Tswana cattle that can withstand increased temperature and have higher productivity (Figure 1).</w:t>
      </w:r>
    </w:p>
    <w:p w14:paraId="1AB108E7" w14:textId="77777777" w:rsidR="00C84F92" w:rsidRDefault="00C84F92" w:rsidP="00C84F92">
      <w:pPr>
        <w:rPr>
          <w:rFonts w:ascii="Times New Roman" w:hAnsi="Times New Roman" w:cs="Times New Roman"/>
          <w:sz w:val="24"/>
          <w:szCs w:val="24"/>
        </w:rPr>
      </w:pPr>
      <w:r>
        <w:rPr>
          <w:noProof/>
        </w:rPr>
        <w:lastRenderedPageBreak/>
        <w:drawing>
          <wp:inline distT="0" distB="0" distL="0" distR="0" wp14:anchorId="6AA2222E" wp14:editId="69062476">
            <wp:extent cx="2994660" cy="3147060"/>
            <wp:effectExtent l="0" t="0" r="0" b="0"/>
            <wp:docPr id="2" name="Picture 2" descr="C:\Users\Hp\Downloads\ChatGPT Image Jan 15, 2026, 07_33_58 AM.png"/>
            <wp:cNvGraphicFramePr/>
            <a:graphic xmlns:a="http://schemas.openxmlformats.org/drawingml/2006/main">
              <a:graphicData uri="http://schemas.openxmlformats.org/drawingml/2006/picture">
                <pic:pic xmlns:pic="http://schemas.openxmlformats.org/drawingml/2006/picture">
                  <pic:nvPicPr>
                    <pic:cNvPr id="2" name="Picture 2" descr="C:\Users\Hp\Downloads\ChatGPT Image Jan 15, 2026, 07_33_58 AM.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4660" cy="3147060"/>
                    </a:xfrm>
                    <a:prstGeom prst="rect">
                      <a:avLst/>
                    </a:prstGeom>
                    <a:noFill/>
                    <a:ln>
                      <a:noFill/>
                    </a:ln>
                  </pic:spPr>
                </pic:pic>
              </a:graphicData>
            </a:graphic>
          </wp:inline>
        </w:drawing>
      </w:r>
      <w:r>
        <w:rPr>
          <w:noProof/>
        </w:rPr>
        <w:drawing>
          <wp:inline distT="0" distB="0" distL="0" distR="0" wp14:anchorId="2BB1B655" wp14:editId="5BACB132">
            <wp:extent cx="2514600" cy="3150235"/>
            <wp:effectExtent l="0" t="0" r="0" b="0"/>
            <wp:docPr id="8" name="Picture 8" descr="C:\Users\Hp\Downloads\ChatGPT Image Jan 12, 2026, 04_16_58 PM.png"/>
            <wp:cNvGraphicFramePr/>
            <a:graphic xmlns:a="http://schemas.openxmlformats.org/drawingml/2006/main">
              <a:graphicData uri="http://schemas.openxmlformats.org/drawingml/2006/picture">
                <pic:pic xmlns:pic="http://schemas.openxmlformats.org/drawingml/2006/picture">
                  <pic:nvPicPr>
                    <pic:cNvPr id="8" name="Picture 8" descr="C:\Users\Hp\Downloads\ChatGPT Image Jan 12, 2026, 04_16_58 PM.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3150235"/>
                    </a:xfrm>
                    <a:prstGeom prst="rect">
                      <a:avLst/>
                    </a:prstGeom>
                    <a:noFill/>
                    <a:ln>
                      <a:noFill/>
                    </a:ln>
                  </pic:spPr>
                </pic:pic>
              </a:graphicData>
            </a:graphic>
          </wp:inline>
        </w:drawing>
      </w:r>
    </w:p>
    <w:p w14:paraId="14AF3CC5" w14:textId="77777777" w:rsidR="00C84F92" w:rsidRPr="00C84F92" w:rsidRDefault="00C84F92" w:rsidP="00C84F92">
      <w:pPr>
        <w:pStyle w:val="Caption"/>
        <w:jc w:val="center"/>
        <w:rPr>
          <w:rFonts w:ascii="Times New Roman" w:eastAsia="Times New Roman" w:hAnsi="Times New Roman" w:cs="Times New Roman"/>
          <w:i w:val="0"/>
          <w:color w:val="auto"/>
          <w:sz w:val="24"/>
          <w:szCs w:val="24"/>
        </w:rPr>
      </w:pPr>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xml:space="preserve">: </w:t>
      </w:r>
      <w:proofErr w:type="spellStart"/>
      <w:r>
        <w:rPr>
          <w:rFonts w:ascii="Times New Roman" w:hAnsi="Times New Roman" w:cs="Times New Roman"/>
          <w:i w:val="0"/>
          <w:color w:val="auto"/>
          <w:sz w:val="24"/>
          <w:szCs w:val="24"/>
        </w:rPr>
        <w:t>Mpwapwa</w:t>
      </w:r>
      <w:proofErr w:type="spellEnd"/>
      <w:r>
        <w:rPr>
          <w:rFonts w:ascii="Times New Roman" w:hAnsi="Times New Roman" w:cs="Times New Roman"/>
          <w:i w:val="0"/>
          <w:color w:val="auto"/>
          <w:sz w:val="24"/>
          <w:szCs w:val="24"/>
        </w:rPr>
        <w:t xml:space="preserve"> breed cattle that can withstand harsh condition</w:t>
      </w:r>
      <w:r w:rsidR="00515990">
        <w:rPr>
          <w:rFonts w:ascii="Times New Roman" w:hAnsi="Times New Roman" w:cs="Times New Roman"/>
          <w:i w:val="0"/>
          <w:color w:val="auto"/>
          <w:sz w:val="24"/>
          <w:szCs w:val="24"/>
        </w:rPr>
        <w:t>s</w:t>
      </w:r>
      <w:r>
        <w:rPr>
          <w:rFonts w:ascii="Times New Roman" w:hAnsi="Times New Roman" w:cs="Times New Roman"/>
          <w:i w:val="0"/>
          <w:color w:val="auto"/>
          <w:sz w:val="24"/>
          <w:szCs w:val="24"/>
        </w:rPr>
        <w:t xml:space="preserve"> in Tanzania</w:t>
      </w:r>
    </w:p>
    <w:p w14:paraId="21BB038C" w14:textId="77777777" w:rsidR="00C84F92" w:rsidRPr="00C84F92" w:rsidRDefault="00C84F92" w:rsidP="00C84F92">
      <w:pPr>
        <w:rPr>
          <w:rStyle w:val="Strong"/>
          <w:rFonts w:ascii="Times New Roman" w:eastAsia="Times New Roman" w:hAnsi="Times New Roman" w:cs="Times New Roman"/>
          <w:b w:val="0"/>
          <w:bCs w:val="0"/>
          <w:sz w:val="24"/>
          <w:szCs w:val="24"/>
        </w:rPr>
      </w:pPr>
      <w:r w:rsidRPr="00C84F92">
        <w:rPr>
          <w:rFonts w:ascii="Times New Roman" w:hAnsi="Times New Roman" w:cs="Times New Roman"/>
          <w:b/>
          <w:sz w:val="24"/>
          <w:szCs w:val="24"/>
        </w:rPr>
        <w:t xml:space="preserve">2.2 </w:t>
      </w:r>
      <w:r w:rsidRPr="00C84F92">
        <w:rPr>
          <w:rFonts w:ascii="Times New Roman" w:eastAsia="Times New Roman" w:hAnsi="Times New Roman" w:cs="Times New Roman"/>
          <w:b/>
          <w:sz w:val="24"/>
          <w:szCs w:val="24"/>
        </w:rPr>
        <w:t>Enhancing the Health and Disease Resistance of Animal</w:t>
      </w:r>
    </w:p>
    <w:p w14:paraId="1E83CB42" w14:textId="77777777" w:rsidR="00C84F92" w:rsidRPr="00C84F92" w:rsidRDefault="00C84F92" w:rsidP="00C84F92">
      <w:pPr>
        <w:rPr>
          <w:rStyle w:val="Strong"/>
          <w:rFonts w:ascii="Times New Roman" w:hAnsi="Times New Roman" w:cs="Times New Roman"/>
          <w:b w:val="0"/>
          <w:sz w:val="24"/>
          <w:szCs w:val="24"/>
        </w:rPr>
      </w:pPr>
      <w:r w:rsidRPr="00C84F92">
        <w:rPr>
          <w:rStyle w:val="Strong"/>
          <w:rFonts w:ascii="Times New Roman" w:hAnsi="Times New Roman" w:cs="Times New Roman"/>
          <w:b w:val="0"/>
          <w:sz w:val="24"/>
          <w:szCs w:val="24"/>
        </w:rPr>
        <w:t xml:space="preserve">Climate change is speeding up the proliferation of vector-transmitted and transboundary diseases such as African horse sickness, Rift Valley fever, blue tongue, and other tick-borne diseases </w:t>
      </w:r>
      <w:r w:rsidRPr="00C84F92">
        <w:rPr>
          <w:rStyle w:val="Strong"/>
          <w:rFonts w:ascii="Times New Roman" w:hAnsi="Times New Roman" w:cs="Times New Roman"/>
          <w:b w:val="0"/>
          <w:sz w:val="24"/>
          <w:szCs w:val="24"/>
        </w:rPr>
        <w:fldChar w:fldCharType="begin" w:fldLock="1"/>
      </w:r>
      <w:r w:rsidRPr="00C84F92">
        <w:rPr>
          <w:rStyle w:val="Strong"/>
          <w:rFonts w:ascii="Times New Roman" w:hAnsi="Times New Roman" w:cs="Times New Roman"/>
          <w:b w:val="0"/>
          <w:sz w:val="24"/>
          <w:szCs w:val="24"/>
        </w:rPr>
        <w:instrText>ADDIN CSL_CITATION {"citationItems":[{"id":"ITEM-1","itemData":{"DOI":"10.1057/978-1-352-00132-7_5","abstract":"While there is clear evidence that climate change is altering the distribution of animal and plant pests and diseases, the full effects are difficult to predict. Changes in temperature, moisture and atmospheric gases can fuel growth and generation rates of plants, fungi and insects, altering the interactions between pests, their natural enemies and their hosts. Changes in land cover, such as deforestation or desertification, can make remaining plants and animals increasingly vulnerable to pests and diseases. While new pests and diseases have regularly emerged throughout history, climate change is now throwing any number of unknowns into the equation.","author":[{"dropping-particle":"","family":"FAO","given":"","non-dropping-particle":"","parse-names":false,"suffix":""}],"container-title":"Climate change and transboundary pest and diseses","id":"ITEM-1","issued":{"date-parts":[["2018"]]},"page":"86-98","title":"Starting the change","type":"article-journal"},"uris":["http://www.mendeley.com/documents/?uuid=26c65ae2-9757-4efd-8866-051de15e1feb"]}],"mendeley":{"formattedCitation":"(FAO, 2018)","plainTextFormattedCitation":"(FAO, 2018)","previouslyFormattedCitation":"(FAO, 2018)"},"properties":{"noteIndex":0},"schema":"https://github.com/citation-style-language/schema/raw/master/csl-citation.json"}</w:instrText>
      </w:r>
      <w:r w:rsidRPr="00C84F92">
        <w:rPr>
          <w:rStyle w:val="Strong"/>
          <w:rFonts w:ascii="Times New Roman" w:hAnsi="Times New Roman" w:cs="Times New Roman"/>
          <w:b w:val="0"/>
          <w:sz w:val="24"/>
          <w:szCs w:val="24"/>
        </w:rPr>
        <w:fldChar w:fldCharType="separate"/>
      </w:r>
      <w:r w:rsidRPr="00C84F92">
        <w:rPr>
          <w:rStyle w:val="Strong"/>
          <w:rFonts w:ascii="Times New Roman" w:hAnsi="Times New Roman" w:cs="Times New Roman"/>
          <w:b w:val="0"/>
          <w:noProof/>
          <w:sz w:val="24"/>
          <w:szCs w:val="24"/>
        </w:rPr>
        <w:t>(FAO, 2018)</w:t>
      </w:r>
      <w:r w:rsidRPr="00C84F92">
        <w:rPr>
          <w:rStyle w:val="Strong"/>
          <w:rFonts w:ascii="Times New Roman" w:hAnsi="Times New Roman" w:cs="Times New Roman"/>
          <w:b w:val="0"/>
          <w:sz w:val="24"/>
          <w:szCs w:val="24"/>
        </w:rPr>
        <w:fldChar w:fldCharType="end"/>
      </w:r>
      <w:r w:rsidRPr="00C84F92">
        <w:rPr>
          <w:rStyle w:val="Strong"/>
          <w:rFonts w:ascii="Times New Roman" w:hAnsi="Times New Roman" w:cs="Times New Roman"/>
          <w:b w:val="0"/>
          <w:sz w:val="24"/>
          <w:szCs w:val="24"/>
        </w:rPr>
        <w:t>.These diseases not only lead to direct production loss but also hamper livelihood stability, food security, and trade. Financing in disease-resilient livestock is therefore indispensable for sustaining production and resilient livestock. Key areas for the investment are improving veterinary services delivery, especially in pastoral communities; reinforcing the disease surveillance system; diversifying the production and distribution of thermostable vaccines to be used in tropical locations; and strengthening regional coordination through entities such as the African Union–</w:t>
      </w:r>
      <w:proofErr w:type="spellStart"/>
      <w:r w:rsidRPr="00C84F92">
        <w:rPr>
          <w:rStyle w:val="Strong"/>
          <w:rFonts w:ascii="Times New Roman" w:hAnsi="Times New Roman" w:cs="Times New Roman"/>
          <w:b w:val="0"/>
          <w:sz w:val="24"/>
          <w:szCs w:val="24"/>
        </w:rPr>
        <w:t>Interafrican</w:t>
      </w:r>
      <w:proofErr w:type="spellEnd"/>
      <w:r w:rsidRPr="00C84F92">
        <w:rPr>
          <w:rStyle w:val="Strong"/>
          <w:rFonts w:ascii="Times New Roman" w:hAnsi="Times New Roman" w:cs="Times New Roman"/>
          <w:b w:val="0"/>
          <w:sz w:val="24"/>
          <w:szCs w:val="24"/>
        </w:rPr>
        <w:t xml:space="preserve"> Bureau for Animal Resources </w:t>
      </w:r>
      <w:r w:rsidRPr="00C84F92">
        <w:rPr>
          <w:rStyle w:val="Strong"/>
          <w:rFonts w:ascii="Times New Roman" w:hAnsi="Times New Roman" w:cs="Times New Roman"/>
          <w:b w:val="0"/>
          <w:sz w:val="24"/>
          <w:szCs w:val="24"/>
        </w:rPr>
        <w:fldChar w:fldCharType="begin" w:fldLock="1"/>
      </w:r>
      <w:r w:rsidRPr="00C84F92">
        <w:rPr>
          <w:rStyle w:val="Strong"/>
          <w:rFonts w:ascii="Times New Roman" w:hAnsi="Times New Roman" w:cs="Times New Roman"/>
          <w:b w:val="0"/>
          <w:sz w:val="24"/>
          <w:szCs w:val="24"/>
        </w:rPr>
        <w:instrText>ADDIN CSL_CITATION {"citationItems":[{"id":"ITEM-1","itemData":{"author":[{"dropping-particle":"","family":"AU-IBAR","given":"","non-dropping-particle":"","parse-names":false,"suffix":""}],"container-title":"International Scientific Council for Trypanosomiasis Research and Control (ISCTRC) Abuja Declaration","id":"ITEM-1","issue":"July","issued":{"date-parts":[["2019"]]},"title":"The African Union – Interafrican Bureau for Animal Resources (AU-IBAR)","type":"article-journal"},"uris":["http://www.mendeley.com/documents/?uuid=a9e6c8c4-8969-4161-8f46-bde87c06803b"]}],"mendeley":{"formattedCitation":"(AU-IBAR, 2019)","plainTextFormattedCitation":"(AU-IBAR, 2019)","previouslyFormattedCitation":"(AU-IBAR, 2019)"},"properties":{"noteIndex":0},"schema":"https://github.com/citation-style-language/schema/raw/master/csl-citation.json"}</w:instrText>
      </w:r>
      <w:r w:rsidRPr="00C84F92">
        <w:rPr>
          <w:rStyle w:val="Strong"/>
          <w:rFonts w:ascii="Times New Roman" w:hAnsi="Times New Roman" w:cs="Times New Roman"/>
          <w:b w:val="0"/>
          <w:sz w:val="24"/>
          <w:szCs w:val="24"/>
        </w:rPr>
        <w:fldChar w:fldCharType="separate"/>
      </w:r>
      <w:r w:rsidRPr="00C84F92">
        <w:rPr>
          <w:rStyle w:val="Strong"/>
          <w:rFonts w:ascii="Times New Roman" w:hAnsi="Times New Roman" w:cs="Times New Roman"/>
          <w:b w:val="0"/>
          <w:noProof/>
          <w:sz w:val="24"/>
          <w:szCs w:val="24"/>
        </w:rPr>
        <w:t>(AU-IBAR, 2019)</w:t>
      </w:r>
      <w:r w:rsidRPr="00C84F92">
        <w:rPr>
          <w:rStyle w:val="Strong"/>
          <w:rFonts w:ascii="Times New Roman" w:hAnsi="Times New Roman" w:cs="Times New Roman"/>
          <w:b w:val="0"/>
          <w:sz w:val="24"/>
          <w:szCs w:val="24"/>
        </w:rPr>
        <w:fldChar w:fldCharType="end"/>
      </w:r>
      <w:r w:rsidRPr="00C84F92">
        <w:rPr>
          <w:rStyle w:val="Strong"/>
          <w:rFonts w:ascii="Times New Roman" w:hAnsi="Times New Roman" w:cs="Times New Roman"/>
          <w:b w:val="0"/>
          <w:sz w:val="24"/>
          <w:szCs w:val="24"/>
        </w:rPr>
        <w:t>. Investing in these systems can create synergies between climate adaptation and disease management, supporting both livestock and human health under the One Health framework.</w:t>
      </w:r>
    </w:p>
    <w:p w14:paraId="41195BB3" w14:textId="77777777" w:rsidR="00C84F92" w:rsidRDefault="00C84F92" w:rsidP="00C84F92">
      <w:pPr>
        <w:rPr>
          <w:rFonts w:ascii="Times New Roman" w:hAnsi="Times New Roman" w:cs="Times New Roman"/>
          <w:b/>
        </w:rPr>
      </w:pPr>
      <w:r>
        <w:rPr>
          <w:rFonts w:ascii="Times New Roman" w:hAnsi="Times New Roman" w:cs="Times New Roman"/>
          <w:b/>
          <w:sz w:val="24"/>
          <w:szCs w:val="24"/>
        </w:rPr>
        <w:t>2.3 Sustainable Forage and Feed systems for Producing Low Emission Livestock</w:t>
      </w:r>
    </w:p>
    <w:p w14:paraId="04DFA8C3"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Feed availability and quality remain the major problem for the production of livestock in sub-Saharan Africa. Seasonal feed fluctuation that has been caused by recurring dry spells and </w:t>
      </w:r>
      <w:r>
        <w:rPr>
          <w:rFonts w:ascii="Times New Roman" w:hAnsi="Times New Roman" w:cs="Times New Roman"/>
          <w:sz w:val="24"/>
          <w:szCs w:val="24"/>
        </w:rPr>
        <w:lastRenderedPageBreak/>
        <w:t xml:space="preserve">deterioration of rangelands has significantly reduced livestock productivity and elevated emission intensity per unit of output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(Thornton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There is a need for conducting investment in eco-friendly feeds and forage systems for enhancing livestock productivity but also reducing the effect of greenhouse gases (GHGs). Key investment slots include integration of crop and livestock systems, development of climate-resilient forages and advanced feed conservation technologies such as hay and silage making. Studies conducted in semi-arid regions of East Africa have shown that these forages like, </w:t>
      </w:r>
      <w:r>
        <w:rPr>
          <w:rFonts w:ascii="Times New Roman" w:hAnsi="Times New Roman" w:cs="Times New Roman"/>
          <w:i/>
          <w:sz w:val="24"/>
          <w:szCs w:val="24"/>
        </w:rPr>
        <w:t>Cenchrus ciliaris</w:t>
      </w:r>
      <w:r>
        <w:rPr>
          <w:rFonts w:ascii="Times New Roman" w:hAnsi="Times New Roman" w:cs="Times New Roman"/>
          <w:sz w:val="24"/>
          <w:szCs w:val="24"/>
        </w:rPr>
        <w:t xml:space="preserve"> and </w:t>
      </w:r>
      <w:r>
        <w:rPr>
          <w:rFonts w:ascii="Times New Roman" w:hAnsi="Times New Roman" w:cs="Times New Roman"/>
          <w:i/>
          <w:sz w:val="24"/>
          <w:szCs w:val="24"/>
        </w:rPr>
        <w:t xml:space="preserve">Chloris </w:t>
      </w:r>
      <w:proofErr w:type="spellStart"/>
      <w:r>
        <w:rPr>
          <w:rFonts w:ascii="Times New Roman" w:hAnsi="Times New Roman" w:cs="Times New Roman"/>
          <w:i/>
          <w:sz w:val="24"/>
          <w:szCs w:val="24"/>
        </w:rPr>
        <w:t>gayana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can produce high biomass yields and can persist under drought conditions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{"citationItems":[{"id":"ITEM-1","itemData":{"author":[{"dropping-particle":"","family":"Togo","given":"Beatrice G","non-dropping-particle":"","parse-names":false,"suffix":""},{"dropping-particle":"","family":"Kuwi","given":"Salum O","non-dropping-particle":"","parse-names":false,"suffix":""},{"dropping-particle":"","family":"Mussa","given":"Ngassa J","non-dropping-particle":"","parse-names":false,"suffix":""},{"dropping-particle":"","family":"Kajuna","given":"Jovith A","non-dropping-particle":"","parse-names":false,"suffix":""},{"dropping-particle":"","family":"Fupi","given":"George F","non-dropping-particle":"","parse-names":false,"suffix":""},{"dropping-particle":"","family":"Kasiba","given":"Boniface R","non-dropping-particle":"","parse-names":false,"suffix":""},{"dropping-particle":"","family":"Mgalula","given":"Jefta R","non-dropping-particle":"","parse-names":false,"suffix":""},{"dropping-particle":"","family":"Felix","given":"Dauson K","non-dropping-particle":"","parse-names":false,"suffix":""},{"dropping-particle":"V","family":"Katabazi","given":"Liberatus","non-dropping-particle":"","parse-names":false,"suffix":""},{"dropping-particle":"","family":"Mtei","given":"Edwine P","non-dropping-particle":"","parse-names":false,"suffix":""}],"id":"ITEM-1","issue":"10","issued":{"date-parts":[["2025"]]},"page":"45-52","title":"Climate Change and Livestock Production in Semi-Arid Regions : The Untapped Potential of Climate-Resilient Forages","type":"article-journal","volume":"25"},"uris":["http://www.mendeley.com/documents/?uuid=d3d83517-102d-4d9b-bc95-6212a0be620b"]}],"mendeley":{"formattedCitation":"(Togo et al., 2025)","plainTextFormattedCitation":"(Togo et al., 2025)","previouslyFormattedCitation":"(Togo et al., 2025)"},"properties":{"noteIndex":0},"schema":"https://github.com/citation-style-language/schema/raw/master/csl-citation.json"}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(Togo et al.,2025)</w:t>
      </w:r>
      <w:r>
        <w:rPr>
          <w:rFonts w:ascii="Times New Roman" w:hAnsi="Times New Roman" w:cs="Times New Roman"/>
          <w:sz w:val="24"/>
          <w:szCs w:val="24"/>
        </w:rPr>
        <w:fldChar w:fldCharType="end"/>
      </w:r>
      <w:r>
        <w:rPr>
          <w:rFonts w:ascii="Times New Roman" w:hAnsi="Times New Roman" w:cs="Times New Roman"/>
          <w:sz w:val="24"/>
          <w:szCs w:val="24"/>
        </w:rPr>
        <w:t>. Promoting these grasses and improved grazing management, like rotational grazing, can enhance feed availability and increase carbon sequestration in the soil.</w:t>
      </w:r>
    </w:p>
    <w:p w14:paraId="135A064D"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Moreover, processing of feed and supplementation using locally available by-products such as molasses and legume leaf meals may improve feed efficiency and reduce methane emission per unit of product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{"citationItems":[{"id":"ITEM-1","itemData":{"author":[{"dropping-particle":"","family":"Kuwi","given":"S O","non-dropping-particle":"","parse-names":false,"suffix":""},{"dropping-particle":"","family":"Kamwangire","given":"D F","non-dropping-particle":"","parse-names":false,"suffix":""},{"dropping-particle":"","family":"Kasiba","given":"B","non-dropping-particle":"","parse-names":false,"suffix":""},{"dropping-particle":"V","family":"Katabazi","given":"L","non-dropping-particle":"","parse-names":false,"suffix":""},{"dropping-particle":"","family":"Lyahama","given":"O J","non-dropping-particle":"","parse-names":false,"suffix":""},{"dropping-particle":"","family":"Fupi","given":"G F","non-dropping-particle":"","parse-names":false,"suffix":""},{"dropping-particle":"","family":"Kajuna","given":"J A","non-dropping-particle":"","parse-names":false,"suffix":""},{"dropping-particle":"","family":"Mgalula","given":"J R","non-dropping-particle":"","parse-names":false,"suffix":""},{"dropping-particle":"","family":"Munisi","given":"W G","non-dropping-particle":"","parse-names":false,"suffix":""},{"dropping-particle":"","family":"Moto","given":"E A","non-dropping-particle":"","parse-names":false,"suffix":""}],"id":"ITEM-1","issue":"July","issued":{"date-parts":[["2024"]]},"page":"652-655","title":"Effects of supplementing Leucaena pallida based multi-nutrient block on feed intake and body weight performance of goats fed poor-quality forage in semi-arid Tanzania during dry season","type":"article-journal","volume":"94"},"uris":["http://www.mendeley.com/documents/?uuid=f16af001-5819-4a94-9462-02d17c98c3f9"]}],"mendeley":{"formattedCitation":"(Kuwi et al., 2024)","plainTextFormattedCitation":"(Kuwi et al., 2024)","previouslyFormattedCitation":"(Kuwi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(Kuwi et al., 2024)</w:t>
      </w:r>
      <w:r>
        <w:rPr>
          <w:rFonts w:ascii="Times New Roman" w:hAnsi="Times New Roman" w:cs="Times New Roman"/>
          <w:sz w:val="24"/>
          <w:szCs w:val="24"/>
        </w:rPr>
        <w:fldChar w:fldCharType="end"/>
      </w:r>
      <w:r>
        <w:rPr>
          <w:rFonts w:ascii="Times New Roman" w:hAnsi="Times New Roman" w:cs="Times New Roman"/>
          <w:sz w:val="24"/>
          <w:szCs w:val="24"/>
        </w:rPr>
        <w:t>.</w:t>
      </w:r>
      <w:r>
        <w:t xml:space="preserve"> </w:t>
      </w:r>
      <w:r>
        <w:rPr>
          <w:rFonts w:ascii="Times New Roman" w:hAnsi="Times New Roman" w:cs="Times New Roman"/>
          <w:sz w:val="24"/>
          <w:szCs w:val="24"/>
        </w:rPr>
        <w:t>Regional research institutions and private sector partnerships can play a key role in scaling up these innovations through contract farming, forage seed systems, and capacity building for pastoral communities.</w:t>
      </w:r>
    </w:p>
    <w:p w14:paraId="7FB07A0E"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2.4 Market, Value Chain Integration and Infrastructure Investments</w:t>
      </w:r>
    </w:p>
    <w:p w14:paraId="3047733B"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For the advancement of climate-smart livestock industry, there should be a desirable market and an effective value chain. Although numerous African pastoralists are isolated from valuable markets due to restricted market information, poor institutional collaborations, and weak infrastructure. These restrictions demoralize investments and lower financial support for adopting sustainable practices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{"citationItems":[{"id":"ITEM-1","itemData":{"DOI":"10.3389/fvets.2025.1507152","ISSN":"22971769","abstract":"Climate change is disrupting the semi-arid agricultural systems in Southern Africa, where livestock is crucial to food security and livelihoods. This review evaluates the bioenergetic and agroecological scope for climate-adaptive livestock nutrition in the region. An analysis of the literature on climate change implications on livestock nutrition and thermal welfare in the regional agroecological context was conducted. The information gathered was systematically synthesized into tabular summaries of the fundamentals of climate-smart bioenergetics, thermoregulation, livestock heat stress defence mechanisms, the thermo-bioactive feed components, and potentially climate-smart feed resources in the region. The analysis supports the adoption of climate-smart livestock nutrition when conceptualized as precision feeding combined with dietary strategies that enhance thermal resilience in livestock, and the adaptation of production systems to the decline in availability of conventional feedstuffs by incorporating climate-smart alternatives. The keystone potential climate-smart alternative feedstuffs are identified to be the small cereal grains, such as sorghum (Sorghum bicolor) and pearl millet (Pennisetum glaucum) as dietary energy sources, the native legumes, such as the cowpea (Vigna unguiculata) and the marama bean (Tylosema esculentum) as protein sources, wild browse Fabaceae trees such as Vachellia spp. and Colophospermum mopane, which provide dry season and drought supplementary protein, minerals, and antioxidants, the non-fabaceous tree species such as the marula tree (Sclerocarya birrea), from which animals consume the energy and electrolyte-rich fresh fruit or processed pulp. Feedstuffs for potential circular feeding systems include the oilseed cakes from the macadamia (Macadamia integrifolia) nut, the castor (Ricinus communis), and Jatropha (Jatropha curcas) beans, which are rich in protein and energy, insect feed protein and energy, primarily the black soldier fly larvae (Hermetia illucens), and microbial protein from phototrophic algae (Spirulina, Chlorella), and yeasts (Saccharomyces cerevisiae). Additives for thermo-functionally enhanced diets include synthetic and natural anti-oxidants, phytogenics, biotic agents (prebiotics, probiotics, synbiotics, postbiotics), and electrolytes. The review presents a conceptual framework for climate-smart feeding strategies that enhance system resilience across the livestock-energy-water-food nexus, to inform b…","author":[{"dropping-particle":"","family":"Fushai","given":"Felix","non-dropping-particle":"","parse-names":false,"suffix":""},{"dropping-particle":"","family":"Chitura","given":"Teedzai","non-dropping-particle":"","parse-names":false,"suffix":""},{"dropping-particle":"","family":"Oke","given":"Oyegunle Emmanuel","non-dropping-particle":"","parse-names":false,"suffix":""}],"container-title":"Frontiers in Veterinary Science","id":"ITEM-1","issue":"February","issued":{"date-parts":[["2025"]]},"title":"Climate-smart livestock nutrition in semi-arid Southern African agricultural systems","type":"article-journal","volume":"12"},"uris":["http://www.mendeley.com/documents/?uuid=cc3cb24c-f02c-426e-9a30-e0db32ae0acc"]}],"mendeley":{"formattedCitation":"(Fushai et al., 2025)","plainTextFormattedCitation":"(Fushai et al., 2025)","previouslyFormattedCitation":"(Fushai et al., 2025)"},"properties":{"noteIndex":0},"schema":"https://github.com/citation-style-language/schema/raw/master/csl-citation.json"}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(Fushai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Investment in </w:t>
      </w:r>
      <w:r>
        <w:rPr>
          <w:rStyle w:val="Strong"/>
          <w:rFonts w:ascii="Times New Roman" w:hAnsi="Times New Roman" w:cs="Times New Roman"/>
          <w:b w:val="0"/>
          <w:sz w:val="24"/>
          <w:szCs w:val="24"/>
        </w:rPr>
        <w:t>value chain integration</w:t>
      </w:r>
      <w:r>
        <w:rPr>
          <w:rFonts w:ascii="Times New Roman" w:hAnsi="Times New Roman" w:cs="Times New Roman"/>
          <w:sz w:val="24"/>
          <w:szCs w:val="24"/>
        </w:rPr>
        <w:t xml:space="preserve"> is thus so important. Developing </w:t>
      </w:r>
      <w:r>
        <w:rPr>
          <w:rStyle w:val="Strong"/>
          <w:rFonts w:ascii="Times New Roman" w:hAnsi="Times New Roman" w:cs="Times New Roman"/>
          <w:b w:val="0"/>
          <w:sz w:val="24"/>
          <w:szCs w:val="24"/>
        </w:rPr>
        <w:t>climate-resilient infrastructure</w:t>
      </w:r>
      <w:r>
        <w:rPr>
          <w:rFonts w:ascii="Times New Roman" w:hAnsi="Times New Roman" w:cs="Times New Roman"/>
          <w:sz w:val="24"/>
          <w:szCs w:val="24"/>
        </w:rPr>
        <w:t xml:space="preserve"> such as cold chains, processing facilities, and rural roads can minimize post-harvest losses and improve product quality. Furthermore, </w:t>
      </w:r>
      <w:r>
        <w:rPr>
          <w:rStyle w:val="Strong"/>
          <w:rFonts w:ascii="Times New Roman" w:hAnsi="Times New Roman" w:cs="Times New Roman"/>
          <w:b w:val="0"/>
          <w:sz w:val="24"/>
          <w:szCs w:val="24"/>
        </w:rPr>
        <w:t>digital platforms</w:t>
      </w:r>
      <w:r>
        <w:rPr>
          <w:rFonts w:ascii="Times New Roman" w:hAnsi="Times New Roman" w:cs="Times New Roman"/>
          <w:sz w:val="24"/>
          <w:szCs w:val="24"/>
        </w:rPr>
        <w:t xml:space="preserve"> that connect farmers to markets and provide climate information can enhance decision-making and transparency. Another key area involves promoting </w:t>
      </w:r>
      <w:r>
        <w:rPr>
          <w:rStyle w:val="Strong"/>
          <w:rFonts w:ascii="Times New Roman" w:hAnsi="Times New Roman" w:cs="Times New Roman"/>
          <w:b w:val="0"/>
          <w:sz w:val="24"/>
          <w:szCs w:val="24"/>
        </w:rPr>
        <w:t>inclusive business models</w:t>
      </w:r>
      <w:r>
        <w:rPr>
          <w:rFonts w:ascii="Times New Roman" w:hAnsi="Times New Roman" w:cs="Times New Roman"/>
          <w:sz w:val="24"/>
          <w:szCs w:val="24"/>
        </w:rPr>
        <w:t>, such as contract farming, cooperative marketing, and public–private partnerships (PPPs), which can attract private investment and share risks among stakeholders. Integrating environmental certification and carbon-credit schemes into livestock value chains may also unlock new revenue streams for smallholders adopting low-emission practices.</w:t>
      </w:r>
    </w:p>
    <w:p w14:paraId="401C79EC"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lastRenderedPageBreak/>
        <w:t>3. COUNTER-AGUMENT AND REBUTTAL</w:t>
      </w:r>
    </w:p>
    <w:p w14:paraId="1F7E2442"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3.1 Criticism 1: Investing in Climate-Smart Livestock is too Costly with Limited Funds</w:t>
      </w:r>
    </w:p>
    <w:p w14:paraId="4541C36E"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The majority of livestock keepers believe that climate-smart livestock interventions like advanced forage and feed systems, low-emission technologies and genetic improvement require higher capital that developing countries of Africa cannot afford. Most studies that have been done show that the initial cost of CSL can be high; after establishment, the economic return for the investment will be of the long-term, and also the vulnerability cost may be reduced. CSL has also increased productivity through lessened mortality, disease prevention, and improved feed efficiency. These have been done in Tanzania, Uganda, Ethiopia, and Kenya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{"citationItems":[{"id":"ITEM-1","itemData":{"author":[{"dropping-particle":"","family":"Rugerri","given":"Michael","non-dropping-particle":"","parse-names":false,"suffix":""}],"id":"ITEM-1","issue":"May","issued":{"date-parts":[["2024"]]},"title":"Livestock Sector Climate Finance Flows in Ethiopia, Kenya, Tanzania and Uganda","type":"article-journal"},"uris":["http://www.mendeley.com/documents/?uuid=4fec6ee9-44b7-4286-8de3-7e5afe5ac5e5"]}],"mendeley":{"formattedCitation":"(Rugerri, 2024)","plainTextFormattedCitation":"(Rugerri, 2024)","previouslyFormattedCitation":"(Rugerri,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(Rugerri, 2024)</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CSL doesn’t cost that investment due to different approaches that can be done by smallholder farmers, such as diversification of livestock, integration of livestock and crops, and keeping of native species. All these approaches are friendly for the farmers who are having low income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{"citationItems":[{"id":"ITEM-1","itemData":{"author":[{"dropping-particle":"","family":"Amole","given":"Tunde Adegoke","non-dropping-particle":"","parse-names":false,"suffix":""},{"dropping-particle":"","family":"Ayantunde","given":"Augustine","non-dropping-particle":"","parse-names":false,"suffix":""}],"id":"ITEM-1","issue":"178","issued":{"date-parts":[["2016"]]},"page":"53","title":"Amole TA, Ayantunde AA. 2016. Climate-smart livestock interventions in West Africa: A review. CCAFS Working Paper no. 178","type":"article-journal"},"uris":["http://www.mendeley.com/documents/?uuid=9e6b4601-93af-4c5f-89e4-19e0fc53e3be"]}],"mendeley":{"formattedCitation":"(Amole &amp; Ayantunde, 2016)","plainTextFormattedCitation":"(Amole &amp; Ayantunde, 2016)","previouslyFormattedCitation":"(Amole &amp; Ayantunde,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(Amole &amp; Ayantunde, 2016)</w:t>
      </w:r>
      <w:r>
        <w:rPr>
          <w:rFonts w:ascii="Times New Roman" w:hAnsi="Times New Roman" w:cs="Times New Roman"/>
          <w:sz w:val="24"/>
          <w:szCs w:val="24"/>
        </w:rPr>
        <w:fldChar w:fldCharType="end"/>
      </w:r>
      <w:r>
        <w:rPr>
          <w:rFonts w:ascii="Times New Roman" w:hAnsi="Times New Roman" w:cs="Times New Roman"/>
          <w:sz w:val="24"/>
          <w:szCs w:val="24"/>
        </w:rPr>
        <w:t>.</w:t>
      </w:r>
    </w:p>
    <w:p w14:paraId="06F3296F"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 xml:space="preserve">3.2 Criticism2: Livestock Production is Intrinsically Unstable due to Greenhouse Gas Emissions  </w:t>
      </w:r>
    </w:p>
    <w:p w14:paraId="39892BF7"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Critics argue that some of the livestock groups, particularly ruminants, are the major cause of methane and nitrous oxide and other environmental degradation, recommending that minimizing livestock numbers is the most constructive strategy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{"citationItems":[{"id":"ITEM-1","itemData":{"DOI":"10.1007/s10584-021-03253-3","ISBN":"9789291691586","ISSN":"15731480","author":[{"dropping-particle":"","family":"IPCC","given":"","non-dropping-particle":"","parse-names":false,"suffix":""}],"container-title":"Climatic Change","id":"ITEM-1","issue":"3-4","issued":{"date-parts":[["2021"]]},"title":"Introducing the Topical Collection: ‘Climate change communication and the IPCC’","type":"book","volume":"169"},"uris":["http://www.mendeley.com/documents/?uuid=69db8c1e-040a-4830-b815-9c03c12c687f"]}],"mendeley":{"formattedCitation":"(IPCC, 2021)","plainTextFormattedCitation":"(IPCC, 2021)","previouslyFormattedCitation":"(IPCC,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(IPCC, 2021)</w:t>
      </w:r>
      <w:r>
        <w:rPr>
          <w:rFonts w:ascii="Times New Roman" w:hAnsi="Times New Roman" w:cs="Times New Roman"/>
          <w:sz w:val="24"/>
          <w:szCs w:val="24"/>
        </w:rPr>
        <w:fldChar w:fldCharType="end"/>
      </w:r>
      <w:r>
        <w:rPr>
          <w:rFonts w:ascii="Times New Roman" w:hAnsi="Times New Roman" w:cs="Times New Roman"/>
          <w:sz w:val="24"/>
          <w:szCs w:val="24"/>
        </w:rPr>
        <w:t xml:space="preserve">. Some climate activists suggest shifting from animal protein to crop protein may reduce the effect of GHGs from livestock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{"citationItems":[{"id":"ITEM-1","itemData":{"DOI":"10.19088/STEPS.2021.003","ISBN":"9781781188286","abstract":"The narrative that ‘meat and milk are bad’ because livestock production is a major greenhouse gas emitter is widespread, promoted by international agencies, campaign groups, corporations and governments. This overarching narrative has led to generalised policy prescriptions, applicable to some western diets and to some forms of livestock production. Of course, caveats are sometimes applied, but policy and media messages tend to simplify, meaning that the vast differences between industrial and extensive livestock production are often neglected in policy and campaign messages. As a result, inappropriate policies could do great damage to livelihoods, landscapes and the life chances of people reliant on extensive livestock production, including pastoralism. Such systems involve many millions of people across rangelands covering over half the world’s land surface.","author":[{"dropping-particle":"","family":"Houzer","given":"E.","non-dropping-particle":"","parse-names":false,"suffix":""},{"dropping-particle":"","family":"Scoones","given":"I.","non-dropping-particle":"","parse-names":false,"suffix":""},{"dropping-particle":"","family":"Production","given":"F A O Animal","non-dropping-particle":"","parse-names":false,"suffix":""},{"dropping-particle":"","family":"Jacquemot","given":"Par Pierre","non-dropping-particle":"","parse-names":false,"suffix":""}],"id":"ITEM-1","issued":{"date-parts":[["2021"]]},"number-of-pages":"71","title":"Are livestock always bad for the planet ?","type":"book"},"uris":["http://www.mendeley.com/documents/?uuid=4d7ddf2e-99cf-4e07-a773-9cbd29e9eed3"]}],"mendeley":{"formattedCitation":"(Houzer et al., 2021)","plainTextFormattedCitation":"(Houzer et al., 2021)","previouslyFormattedCitation":"(Houzer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(Houzer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While the Africa share of global livestock emission is estimated to be not more than 7%, this means that Africa livestock production for contributing to global GHG emission is not significant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{"citationItems":[{"id":"ITEM-1","itemData":{"DOI":"10.1007/s10113-015-0896-9","ISSN":"1436378X","abstract":"The global animal food chain has a large contribution to the global anthropogenic greenhouse gas (GHG) emissions, but its share and sources vary highly across the world. However, the assessment of GHG emissions from livestock production is subject to various uncertainties, which have not yet been well quantified at large spatial scale. We assessed the uncertainties in the relations between animal production (milk, meat, egg) and the CO2, CH4, and N2O emissions in Africa, Latin America and the European Union, using the MITERRA-Global model. The uncertainties in model inputs were derived from time series of statistical data, literature review or expert knowledge. These model inputs and parameters were further divided into nine groups based on type of data and affected greenhouse gas. The final model output uncertainty and the uncertainty contribution of each group of model inputs to the uncertainty were quantified using a Monte Carlo approach, taking into account their spatial and cross-correlation. GHG emissions and their uncertainties were determined per livestock sector, per product and per emission source category. Results show large variation in the GHG emissions and their uncertainties for different continents, livestock sectors products or source categories. The uncertainty of total GHG emissions from livestock sectors is higher in Africa and Latin America than in the European Union. The uncertainty of CH4 emission is lower than that for N2O and CO2. Livestock parameters, CH4 emission factors and N emission factors contribute most to the uncertainty in the total model output. The reliability of GHG emissions from livestock sectors is relatively high (low uncertainty) at continental level, but could be lower at country level.","author":[{"dropping-particle":"","family":"Zhu","given":"Biqing","non-dropping-particle":"","parse-names":false,"suffix":""},{"dropping-particle":"","family":"Kros","given":"Johannes","non-dropping-particle":"","parse-names":false,"suffix":""},{"dropping-particle":"","family":"Lesschen","given":"Jan Peter","non-dropping-particle":"","parse-names":false,"suffix":""},{"dropping-particle":"","family":"Staritsky","given":"Igor Georgy","non-dropping-particle":"","parse-names":false,"suffix":""},{"dropping-particle":"","family":"Vries","given":"Wim","non-dropping-particle":"de","parse-names":false,"suffix":""}],"container-title":"Regional Environmental Change","id":"ITEM-1","issue":"6","issued":{"date-parts":[["2016"]]},"page":"1571-1582","publisher":"Springer Berlin Heidelberg","title":"Assessment of uncertainties in greenhouse gas emission profiles of livestock sectors in Africa, Latin America and Europe","type":"article-journal","volume":"16"},"uris":["http://www.mendeley.com/documents/?uuid=3d21b9ea-bed4-49a1-a5a9-d6a01de240da"]}],"mendeley":{"formattedCitation":"(Zhu et al., 2016)","plainTextFormattedCitation":"(Zhu et al., 2016)","previouslyFormattedCitation":"(Zhu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(Zhu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Moreover, livestock in Africa are multifunctional assets that provide income by selling milk, skin, eggs, and meat; nutrition; manure; and other ecosystem services. Instead of eliminating the sector, there is a need to optimize it for a balanced solution, such as providing feeds with low emissions, such as legumes, and maintaining the health of the animal. Therefore, CSL is one of the pathways of attaining three wins: reducing GHGs, increase production and adapting to climate shock (Figure 1).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{"citationItems":[{"id":"ITEM-1","itemData":{"DOI":"10.1016/j.agsy.2016.06.006","ISSN":"0308521X","abstract":"The livestock sector is under considerable pressure to reduce greenhouse gas (GHG) emissions. Repeated measurements of emissions over multiple years will indicate whether the industry is on course to successfully meet emission reduction targets. Furthermore, repeated analyses of individual farm emissions over different timeframes allow for a more representative measure of the carbon footprint (CF) of an agricultural product, as one sampling period can vary substantially from another due to multiple stochastic variables. To explore this, a CF was measured for 15 livestock enterprises that had been assessed three years previously. The aims of the research were to: (1) objectively compare CFs between sampling periods; (2) assess the relationship between enterprise CF and input efficiency; (3) use scenario analyses to determine potential mitigation measures. Overall, no significant difference was detected in beef and lamb enterprise CFs between the two sampling periods. However, when all observations were pooled together, the lowest-emitters were found to have more efficient systems with higher productivity with lower maintenance \"overheads\", compared with their higher-emitting counterparts. Of significance, scenario analyses revealed that the CF of beef and lamb could be reduced by 15% and 30.5%, respectively, if all enterprises replicated the efficiency levels of the least-emitting producers. Encouraging and implementing efficiency gains therefore offer the livestock industry an achievable method of considerably reducing its contribution to GHG emissions.","author":[{"dropping-particle":"","family":"Hyland","given":"J. J.","non-dropping-particle":"","parse-names":false,"suffix":""},{"dropping-particle":"","family":"Styles","given":"D.","non-dropping-particle":"","parse-names":false,"suffix":""},{"dropping-particle":"","family":"Jones","given":"D. L.","non-dropping-particle":"","parse-names":false,"suffix":""},{"dropping-particle":"","family":"Williams","given":"A. P.","non-dropping-particle":"","parse-names":false,"suffix":""}],"container-title":"Agricultural Systems","id":"ITEM-1","issued":{"date-parts":[["2016"]]},"page":"123-131","title":"Improving livestock production efficiencies presents a major opportunity to reduce sectoral greenhouse gas emissions","type":"article-journal","volume":"147"},"uris":["http://www.mendeley.com/documents/?uuid=7fde9b8a-836c-4fe4-b36f-b32c7fe46199"]}],"mendeley":{"formattedCitation":"(Hyland et al., 2016)","plainTextFormattedCitation":"(Hyland et al., 2016)","previouslyFormattedCitation":"(Hyland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(Hyland et al., 2016)</w:t>
      </w:r>
      <w:r>
        <w:rPr>
          <w:rFonts w:ascii="Times New Roman" w:hAnsi="Times New Roman" w:cs="Times New Roman"/>
          <w:sz w:val="24"/>
          <w:szCs w:val="24"/>
        </w:rPr>
        <w:fldChar w:fldCharType="end"/>
      </w:r>
      <w:r>
        <w:rPr>
          <w:rFonts w:ascii="Times New Roman" w:hAnsi="Times New Roman" w:cs="Times New Roman"/>
          <w:sz w:val="24"/>
          <w:szCs w:val="24"/>
        </w:rPr>
        <w:t>.</w:t>
      </w:r>
    </w:p>
    <w:p w14:paraId="5E6875C0" w14:textId="77777777" w:rsidR="00C84F92" w:rsidRDefault="00C84F92" w:rsidP="00C84F92">
      <w:pPr>
        <w:pStyle w:val="NormalWeb"/>
        <w:keepNext/>
        <w:jc w:val="center"/>
        <w:rPr>
          <w:color w:val="FF0000"/>
        </w:rPr>
      </w:pPr>
      <w:r>
        <w:rPr>
          <w:noProof/>
          <w:color w:val="FF0000"/>
        </w:rPr>
        <w:lastRenderedPageBreak/>
        <w:drawing>
          <wp:inline distT="0" distB="0" distL="0" distR="0" wp14:anchorId="0B16AE99" wp14:editId="0034D87C">
            <wp:extent cx="3901440" cy="26593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1440" cy="2659380"/>
                    </a:xfrm>
                    <a:prstGeom prst="rect">
                      <a:avLst/>
                    </a:prstGeom>
                    <a:noFill/>
                    <a:ln>
                      <a:noFill/>
                    </a:ln>
                  </pic:spPr>
                </pic:pic>
              </a:graphicData>
            </a:graphic>
          </wp:inline>
        </w:drawing>
      </w:r>
    </w:p>
    <w:p w14:paraId="687A2A7A" w14:textId="77777777" w:rsidR="00C84F92" w:rsidRDefault="00C84F92" w:rsidP="00C84F92">
      <w:pPr>
        <w:pStyle w:val="Caption"/>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Livestock Production in Africa</w:t>
      </w:r>
    </w:p>
    <w:p w14:paraId="31BC8175" w14:textId="77777777" w:rsidR="00C84F92" w:rsidRDefault="00C84F92" w:rsidP="00C84F92">
      <w:pPr>
        <w:rPr>
          <w:rFonts w:ascii="Times New Roman" w:hAnsi="Times New Roman" w:cs="Times New Roman"/>
          <w:color w:val="FF0000"/>
          <w:sz w:val="24"/>
          <w:szCs w:val="24"/>
        </w:rPr>
      </w:pPr>
    </w:p>
    <w:p w14:paraId="27BF3800"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3.3 Criticism3: Climate-Smart Livestock Ignores Socio-Cultural Aspects and Concentrates Much on Advanced Technology</w:t>
      </w:r>
    </w:p>
    <w:p w14:paraId="6DD43150" w14:textId="77777777" w:rsidR="00C84F92" w:rsidRDefault="00C84F92" w:rsidP="00C84F92">
      <w:pPr>
        <w:pStyle w:val="NormalWeb"/>
        <w:spacing w:line="360" w:lineRule="auto"/>
        <w:jc w:val="both"/>
      </w:pPr>
      <w:r>
        <w:t xml:space="preserve">A key critique of Climate-Smart Livestock (CSL) frameworks is that they often prioritize technological innovations such as like improved livestock breeds, feed efficiency, and emission tracking while neglecting indigenous knowledge, cultural traditions, and long-standing pastoral systems that have sustained communities for generations </w:t>
      </w:r>
      <w:r>
        <w:fldChar w:fldCharType="begin" w:fldLock="1"/>
      </w:r>
      <w:r>
        <w:instrText>ADDIN CSL_CITATION {"citationItems":[{"id":"ITEM-1","itemData":{"DOI":"10.1086/669563","ISSN":"00113204","PMID":"24855324","abstract":"Recent work in ecology suggests that the diversity of responses to environmental change among species contributing to the same ecosystem function can strongly influence ecosystem resilience. To render this important realization more useful for understanding coupled human-natural systems, we broaden the concept of response diversity to include heterogeneity in human decisions and action. Simply put, not all actors respond the same way to challenges, opportunities, and risks. The range, prevalence, and spatial and temporal distributions of different responses may be crucial to the resilience or the transformation of a social-ecological system and thus have a bearing on human vulnerability and well-being in the face of environmental, socioeconomic, and political change. Response diversity can be seen at multiple scales (e.g., household, village, region), and response diversity at one scale may act synergistically with or contrary to the effects of diversity at another scale. Although considerable research on the sources of response diversity has been done, our argument is that the consequences of response diversity warrant closer attention. We illustrate this argument with examples drawn from our studies of two East African pastoral populations and discuss the relationship of response diversity to characteristics of social-ecological systems that can promote or diminish resilience. © 2013 by The Wenner-Gren Foundation for Anthropological Research. All rights reserved.","author":[{"dropping-particle":"","family":"Leslie","given":"Paul","non-dropping-particle":"","parse-names":false,"suffix":""},{"dropping-particle":"","family":"McCabe","given":"J. Terrence","non-dropping-particle":"","parse-names":false,"suffix":""}],"container-title":"Current Anthropology","id":"ITEM-1","issue":"2","issued":{"date-parts":[["2013"]]},"page":"114-143","title":"Response diversity and resilience in social-ecological systems","type":"article-journal","volume":"54"},"uris":["http://www.mendeley.com/documents/?uuid=8e9a3152-1ec9-46f4-8529-d1d30ae05631"]}],"mendeley":{"formattedCitation":"(Leslie &amp; McCabe, 2013)","plainTextFormattedCitation":"(Leslie &amp; McCabe, 2013)","previouslyFormattedCitation":"(Leslie &amp; McCabe, 2013)"},"properties":{"noteIndex":0},"schema":"https://github.com/citation-style-language/schema/raw/master/csl-citation.json"}</w:instrText>
      </w:r>
      <w:r>
        <w:fldChar w:fldCharType="separate"/>
      </w:r>
      <w:r>
        <w:rPr>
          <w:noProof/>
        </w:rPr>
        <w:t>(Leslie &amp; McCabe, 2013)</w:t>
      </w:r>
      <w:r>
        <w:fldChar w:fldCharType="end"/>
      </w:r>
      <w:r>
        <w:t xml:space="preserve">. Critics warn that externally imposed models risk disrupting social cohesion, customary grazing rights, and the mobility crucial for maintaining rangeland health. However, this critique highlights the need to contextualize innovation rather than reject it. Successful CSL initiatives across Africa demonstrate that blending local knowledge with scientific advances yields the best outcomes. For example, community-based rangeland management in Ethiopia and Kenya integrates traditional grazing calendars with modern climate forecasts to enhance pasture management and prevent degradation </w:t>
      </w:r>
      <w:r>
        <w:fldChar w:fldCharType="begin" w:fldLock="1"/>
      </w:r>
      <w:r>
        <w:instrText>ADDIN CSL_CITATION {"citationItems":[{"id":"ITEM-1","itemData":{"author":[{"dropping-particle":"","family":"Crane","given":"T","non-dropping-particle":"","parse-names":false,"suffix":""},{"dropping-particle":"","family":"Habermann","given":"B","non-dropping-particle":"","parse-names":false,"suffix":""},{"dropping-particle":"","family":"Marty","given":"E","non-dropping-particle":"","parse-names":false,"suffix":""},{"dropping-particle":"","family":"Arndt","given":"C","non-dropping-particle":"","parse-names":false,"suffix":""},{"dropping-particle":"","family":"Leitner","given":"S","non-dropping-particle":"","parse-names":false,"suffix":""},{"dropping-particle":"","family":"Worku","given":"T","non-dropping-particle":"","parse-names":false,"suffix":""},{"dropping-particle":"","family":"Gichuki","given":"L","non-dropping-particle":"","parse-names":false,"suffix":""}],"container-title":"Findings from the Programme for Climate-Smart Livestock Systems","id":"ITEM-1","issued":{"date-parts":[["2022"]]},"title":"Climate change adaptation and mitigation in extensive livestock systems in East Africa. Findings from the Programme for Climate-Smart Livestock Systems. GIZ, Eschborn.","type":"article-journal"},"uris":["http://www.mendeley.com/documents/?uuid=3feb3fe3-837f-48f9-8fd2-797220d312e5"]}],"mendeley":{"formattedCitation":"(Crane et al., 2022)","plainTextFormattedCitation":"(Crane et al., 2022)","previouslyFormattedCitation":"(Crane et al., 2022)"},"properties":{"noteIndex":0},"schema":"https://github.com/citation-style-language/schema/raw/master/csl-citation.json"}</w:instrText>
      </w:r>
      <w:r>
        <w:fldChar w:fldCharType="separate"/>
      </w:r>
      <w:r>
        <w:rPr>
          <w:noProof/>
        </w:rPr>
        <w:t>(Crane et al., 2022)</w:t>
      </w:r>
      <w:r>
        <w:fldChar w:fldCharType="end"/>
      </w:r>
      <w:r>
        <w:t>. By incorporating tools such as early warning systems, participatory breeding, and weather-index insurance, CSL can complement and strengthen traditional resilience practices</w:t>
      </w:r>
      <w:r>
        <w:rPr>
          <w:color w:val="FF0000"/>
        </w:rPr>
        <w:t xml:space="preserve">. </w:t>
      </w:r>
      <w:r>
        <w:t>Embedding indigenous approaches within policy frameworks is therefore vital to ensure CSL strategies remain culturally relevant and socially inclusive.</w:t>
      </w:r>
    </w:p>
    <w:p w14:paraId="0074B7B0" w14:textId="77777777" w:rsidR="00C84F92" w:rsidRDefault="00C84F92" w:rsidP="00C84F92">
      <w:pPr>
        <w:pStyle w:val="NormalWeb"/>
        <w:spacing w:line="360" w:lineRule="auto"/>
        <w:jc w:val="both"/>
      </w:pPr>
      <w:r>
        <w:rPr>
          <w:b/>
        </w:rPr>
        <w:lastRenderedPageBreak/>
        <w:t>3.4 Criticism4: Climate-Smart Livestock Favors Commercial Farms and Underrepresents Smallholders</w:t>
      </w:r>
    </w:p>
    <w:p w14:paraId="18B78487" w14:textId="77777777" w:rsidR="00C84F92" w:rsidRDefault="00C84F92" w:rsidP="00C84F92">
      <w:pPr>
        <w:pStyle w:val="NormalWeb"/>
        <w:spacing w:line="360" w:lineRule="auto"/>
        <w:jc w:val="both"/>
      </w:pPr>
      <w:r>
        <w:t xml:space="preserve">Arguments raise that climate-smart livestock (CSL) initiatives often conveniently benefit wealthy commercial farms capable of investing in advanced technologies and carbon-credit programs, while leaving behind smallholders and pastoralists who face financial and informational constraints </w:t>
      </w:r>
      <w:r>
        <w:fldChar w:fldCharType="begin" w:fldLock="1"/>
      </w:r>
      <w: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fldChar w:fldCharType="separate"/>
      </w:r>
      <w:r>
        <w:rPr>
          <w:noProof/>
        </w:rPr>
        <w:t>(Thornton et al., 2024)</w:t>
      </w:r>
      <w:r>
        <w:fldChar w:fldCharType="end"/>
      </w:r>
      <w:r>
        <w:t xml:space="preserve">. This imbalance could widen social inequities and threaten traditional livestock systems. However, this concern is only partly valid. Evidence from participatory breeding initiatives in Ethiopia, Tanzania, and Kenya shows that community-driven approaches can enhance breed resilience and local ownership </w:t>
      </w:r>
      <w:r>
        <w:fldChar w:fldCharType="begin" w:fldLock="1"/>
      </w:r>
      <w:r>
        <w:instrText>ADDIN CSL_CITATION {"citationItems":[{"id":"ITEM-1","itemData":{"DOI":"10.1016/j.animal.2025.101424","ISSN":"1751732X","PMID":"39946836","abstract":"The supply and demand for milk in Africa have been rising due to factors such as population growth, urbanization, increasing incomes, and improved living standards. Dairy production significantly impacts the economic and social development of African countries, contributing over 10% to the agricultural gross domestic product in countries such as Ethiopia, Kenya, and Tanzania. The ongoing development of the African dairy industry can be attributed, to a certain extent, to the utilization of cross-breeding strategies and advanced reproductive technologies such as artificial insemination, embryo transfer, and the implementation of genomic selection programs. This review evaluates historical dairy breeding practices in twelve African countries and examines the use of advanced breeding tools to enhance and sustain cattle breeding programs across Africa. Eighteen cases from twelve African countries are reviewed to highlight the successes and reported positive impacts on dairy production, revenue, livelihoods, and genetic diversity. We have pinpointed the challenges of integrating new breeding approaches and technologies for African dairy programs, such as insufficient funding, low return on investment in biotechnology, poor monitoring and evaluation of breeding programs, and lack of developed legal frameworks on biotechnological operations. We have recommended strategies to overcome these barriers that may be employed in dairy systems to improve the adoption of breeding technologies across the region.","author":[{"dropping-particle":"","family":"Kathambi","given":"E. K.","non-dropping-particle":"","parse-names":false,"suffix":""},{"dropping-particle":"","family":"Sonstegard","given":"T. S.","non-dropping-particle":"","parse-names":false,"suffix":""},{"dropping-particle":"","family":"Larsen","given":"P. A.","non-dropping-particle":"","parse-names":false,"suffix":""}],"container-title":"Animal","id":"ITEM-1","issue":"3","issued":{"date-parts":[["2025"]]},"page":"101424","publisher":"The Authors","title":"Review: Cross-breeding, advanced reproductive technologies, and genetic selection in twelve dairy production systems in Africa","type":"article-journal","volume":"19"},"uris":["http://www.mendeley.com/documents/?uuid=e8a5bc2a-448f-410c-a3b4-04d86f53170d"]}],"mendeley":{"formattedCitation":"(Kathambi et al., 2025)","plainTextFormattedCitation":"(Kathambi et al., 2025)","previouslyFormattedCitation":"(Kathambi et al., 2025)"},"properties":{"noteIndex":0},"schema":"https://github.com/citation-style-language/schema/raw/master/csl-citation.json"}</w:instrText>
      </w:r>
      <w:r>
        <w:fldChar w:fldCharType="separate"/>
      </w:r>
      <w:r>
        <w:rPr>
          <w:noProof/>
        </w:rPr>
        <w:t>(Kathambi et al., 2025)</w:t>
      </w:r>
      <w:r>
        <w:fldChar w:fldCharType="end"/>
      </w:r>
      <w:r>
        <w:t xml:space="preserve">. Likewise, small scale feed cooperatives and forage seed enterprises in Kenya demonstrate how inclusive collective action can equitably scale CSL innovations </w:t>
      </w:r>
      <w:r>
        <w:fldChar w:fldCharType="begin" w:fldLock="1"/>
      </w:r>
      <w:r>
        <w:instrText>ADDIN CSL_CITATION {"citationItems":[{"id":"ITEM-1","itemData":{"DOI":"10.62049/jkncu.v5i1.180","ISSN":"2789-9527","abstract":"Climate change is having a severe effect on the availability of feeds and fodder, which causes irregular milk output and high production costs for farmers and cooperatives. This study focuses on the role of agricultural cooperatives in promoting feed and fodder, and management. A cross-sectional survey design with concurrent mixed methods approach entailing quantitative and qualitative methodologies was adopted. The target population was drawn from seven dairy producer groups supported by the Meru dairy cooperative union. Systematic random sampling was used to sample one hundred and ninety-five respondents from seven selected dairy cooperatives. Purposive sampling was used to select key informants in the dairy value chain. Primary data was collected using key informants, interview guides, household survey questionnaires and focus group discussion guides. The data collected was analyzed quantitatively and qualitatively. The study findings indicate that 92% of respondents produced their own fodder, while 28.3% outsourced. High cost of feeds and fodder was a major challenge. The agricultural cooperatives supported farmers in production and bulking of super Napier fodder. They also support farmers in access feeds and fodder for This study recommeds agricultural cooperatives should conduct trainings on modern feed and fodder production, as well as conservation of fodder and home made rations.  The study also recommeds that policy makers should legislate laws that support dairy cooperatives in feed and fodder production.Also laws stould be legislated to protect smallholder farmers from exploitation by feed manuafacturers.The study also recommeds further studies on feed, fodder contamination qne quality analysis.","author":[{"dropping-particle":"","family":"Wambu","given":"Charles","non-dropping-particle":"","parse-names":false,"suffix":""},{"dropping-particle":"","family":"Gichuki","given":"Castro","non-dropping-particle":"","parse-names":false,"suffix":""}],"container-title":"Journal of the Kenya National Commission for UNESCO","id":"ITEM-1","issue":"1","issued":{"date-parts":[["2024"]]},"page":"1-18","title":"Leveraging on Agricultural Cooperatives in Feed and Fodder Production Among Smallholder Dairy Farmers in Meru County, Kenya","type":"article-journal","volume":"5"},"uris":["http://www.mendeley.com/documents/?uuid=1d7bae04-b4db-4db3-b352-1a3269fd7d2f"]}],"mendeley":{"formattedCitation":"(Wambu &amp; Gichuki, 2024)","plainTextFormattedCitation":"(Wambu &amp; Gichuki, 2024)"},"properties":{"noteIndex":0},"schema":"https://github.com/citation-style-language/schema/raw/master/csl-citation.json"}</w:instrText>
      </w:r>
      <w:r>
        <w:fldChar w:fldCharType="separate"/>
      </w:r>
      <w:r>
        <w:rPr>
          <w:noProof/>
        </w:rPr>
        <w:t>(Wambu &amp; Gichuki, 2024)</w:t>
      </w:r>
      <w:r>
        <w:fldChar w:fldCharType="end"/>
      </w:r>
      <w:r>
        <w:t>. Ultimately, the success of CSL interventions hinges on inclusive institutions, gender-responsive policies, and community engagement, ensuring that benefits reach marginalized producers rather than concentrating among elites.</w:t>
      </w:r>
    </w:p>
    <w:p w14:paraId="5363DB40" w14:textId="77777777" w:rsidR="00C84F92" w:rsidRDefault="00C84F92" w:rsidP="00C84F92">
      <w:pPr>
        <w:pStyle w:val="NormalWeb"/>
        <w:numPr>
          <w:ilvl w:val="0"/>
          <w:numId w:val="3"/>
        </w:numPr>
        <w:spacing w:line="360" w:lineRule="auto"/>
        <w:jc w:val="both"/>
        <w:rPr>
          <w:b/>
        </w:rPr>
      </w:pPr>
      <w:commentRangeStart w:id="2"/>
      <w:r>
        <w:rPr>
          <w:b/>
        </w:rPr>
        <w:t>CONCLUSION</w:t>
      </w:r>
      <w:commentRangeEnd w:id="2"/>
      <w:r w:rsidR="00DB626B">
        <w:rPr>
          <w:rStyle w:val="CommentReference"/>
          <w:rFonts w:asciiTheme="minorHAnsi" w:eastAsiaTheme="minorHAnsi" w:hAnsiTheme="minorHAnsi" w:cstheme="minorBidi"/>
          <w:rtl/>
        </w:rPr>
        <w:commentReference w:id="2"/>
      </w:r>
    </w:p>
    <w:p w14:paraId="38DF1209" w14:textId="77777777" w:rsidR="00C84F92" w:rsidRDefault="00C84F92" w:rsidP="00C84F92">
      <w:pPr>
        <w:pStyle w:val="NormalWeb"/>
        <w:spacing w:line="360" w:lineRule="auto"/>
        <w:jc w:val="both"/>
      </w:pPr>
      <w:r>
        <w:t>Climate-smart livestock production stands as a pivotal solution for achieving resilient, productive, and environmentally sustainable agricultural systems across Africa. As climate variability intensifies, the livestock sector faces unprecedented challenges—from recurrent droughts and degraded rangelands to disease outbreaks and feed shortages—that threaten livelihoods and food security. This article demonstrates that investing in Climate-Smart Livestock (CSL) systems provides a transformative opportunity to address these vulnerabilities while advancing adaptation, mitigation, and productivity goals simultaneously.</w:t>
      </w:r>
    </w:p>
    <w:p w14:paraId="60C3B517" w14:textId="77777777" w:rsidR="00C84F92" w:rsidRDefault="00C84F92" w:rsidP="00C84F92">
      <w:pPr>
        <w:pStyle w:val="NormalWeb"/>
        <w:spacing w:line="360" w:lineRule="auto"/>
        <w:jc w:val="both"/>
      </w:pPr>
      <w:r>
        <w:t xml:space="preserve">Key to this transformation is the strategic investment in climate-adapted livestock breeds, sustainable feed and forage systems, and disease surveillance mechanisms that safeguard animal and human health. Equally, enabling policies and inclusive institutions are essential to ensure equitable participation of pastoralists, women, and youth—groups that are often marginalized in livestock value chains but are central to their sustainability. Incorporating indigenous knowledge </w:t>
      </w:r>
      <w:r>
        <w:lastRenderedPageBreak/>
        <w:t>and participatory approaches into CSL design ensures that innovations remain context-specific, culturally appropriate, and locally owned.</w:t>
      </w:r>
    </w:p>
    <w:p w14:paraId="4F071AAE" w14:textId="77777777" w:rsidR="00C84F92" w:rsidRDefault="00C84F92" w:rsidP="00C84F92">
      <w:pPr>
        <w:pStyle w:val="NormalWeb"/>
        <w:spacing w:line="360" w:lineRule="auto"/>
        <w:jc w:val="both"/>
      </w:pPr>
      <w:r>
        <w:t>Also, strengthening market access, digital technologies, and value chain integration can enhance profitability and resilience among producers. Public–private partnerships, coupled with regional research collaborations, will play a critical role in scaling up these innovations and unlocking climate finance to bridge the existing investment gap. Ultimately, the success of climate-smart livestock production in Africa depends on coordinated multi-stakeholder engagement that links science, policy, and community action. When effectively implemented, CSL has the potential to transform African livestock systems into engines of inclusive growth, food security, and climate resilience paving the way for a sustainable agricultural future that benefits both people and the planet.</w:t>
      </w:r>
    </w:p>
    <w:p w14:paraId="5E97718E" w14:textId="77777777" w:rsidR="00C84F92" w:rsidRDefault="00C84F92" w:rsidP="00C84F92">
      <w:pPr>
        <w:pStyle w:val="NormalWeb"/>
        <w:spacing w:line="360" w:lineRule="auto"/>
        <w:jc w:val="both"/>
        <w:rPr>
          <w:b/>
        </w:rPr>
      </w:pPr>
      <w:r>
        <w:rPr>
          <w:b/>
        </w:rPr>
        <w:t>COMPETING INTEREST</w:t>
      </w:r>
    </w:p>
    <w:p w14:paraId="72EC4773" w14:textId="77777777" w:rsidR="00C84F92" w:rsidRDefault="00C84F92" w:rsidP="00C84F92">
      <w:pPr>
        <w:pStyle w:val="NormalWeb"/>
        <w:spacing w:line="360" w:lineRule="auto"/>
        <w:jc w:val="both"/>
      </w:pPr>
      <w:r>
        <w:t>There is no any competing interest that has raised during formulating this article between the Authors.</w:t>
      </w:r>
    </w:p>
    <w:p w14:paraId="6D7DF212" w14:textId="77777777" w:rsidR="00C84F92" w:rsidRDefault="00C84F92" w:rsidP="00C84F92">
      <w:pPr>
        <w:pStyle w:val="NormalWeb"/>
        <w:spacing w:line="360" w:lineRule="auto"/>
        <w:jc w:val="both"/>
        <w:rPr>
          <w:b/>
        </w:rPr>
      </w:pPr>
      <w:r>
        <w:rPr>
          <w:b/>
        </w:rPr>
        <w:t>DISCLAIMER (ARTIFICIAL INTELIGENCE)</w:t>
      </w:r>
    </w:p>
    <w:p w14:paraId="13BCA0F1" w14:textId="77777777" w:rsidR="00C84F92" w:rsidRDefault="00C84F92" w:rsidP="00C84F92">
      <w:pPr>
        <w:pStyle w:val="NormalWeb"/>
        <w:spacing w:line="360" w:lineRule="auto"/>
        <w:jc w:val="both"/>
      </w:pPr>
      <w:r>
        <w:t>There is no generative AI technologies like large language models (</w:t>
      </w:r>
      <w:proofErr w:type="spellStart"/>
      <w:r>
        <w:t>ChatGTP</w:t>
      </w:r>
      <w:proofErr w:type="spellEnd"/>
      <w:r>
        <w:t>, COPILOT, CHATBOT etc.) and text-to-image generators that have been used during writing and editing the manuscript.</w:t>
      </w:r>
    </w:p>
    <w:p w14:paraId="643F025B"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REFERENCES</w:t>
      </w:r>
    </w:p>
    <w:p w14:paraId="604A3ED7"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noProof/>
          <w:sz w:val="24"/>
          <w:szCs w:val="24"/>
        </w:rPr>
        <w:t xml:space="preserve">Amole, T. A., &amp; Ayantunde, A. (2016). </w:t>
      </w:r>
      <w:r>
        <w:rPr>
          <w:rFonts w:ascii="Times New Roman" w:hAnsi="Times New Roman" w:cs="Times New Roman"/>
          <w:i/>
          <w:iCs/>
          <w:noProof/>
          <w:sz w:val="24"/>
          <w:szCs w:val="24"/>
        </w:rPr>
        <w:t>Amole TA, Ayantunde AA. 2016. Climate-smart livestock interventions in West Africa: A review. CCAFS Working Paper no. 178</w:t>
      </w:r>
      <w:r>
        <w:rPr>
          <w:rFonts w:ascii="Times New Roman" w:hAnsi="Times New Roman" w:cs="Times New Roman"/>
          <w:noProof/>
          <w:sz w:val="24"/>
          <w:szCs w:val="24"/>
        </w:rPr>
        <w:t xml:space="preserve">. </w:t>
      </w:r>
      <w:r>
        <w:rPr>
          <w:rFonts w:ascii="Times New Roman" w:hAnsi="Times New Roman" w:cs="Times New Roman"/>
          <w:i/>
          <w:iCs/>
          <w:noProof/>
          <w:sz w:val="24"/>
          <w:szCs w:val="24"/>
        </w:rPr>
        <w:t>178</w:t>
      </w:r>
      <w:r>
        <w:rPr>
          <w:rFonts w:ascii="Times New Roman" w:hAnsi="Times New Roman" w:cs="Times New Roman"/>
          <w:noProof/>
          <w:sz w:val="24"/>
          <w:szCs w:val="24"/>
        </w:rPr>
        <w:t>, 53. www.ccafs.cgiar.org%0ATitles</w:t>
      </w:r>
    </w:p>
    <w:p w14:paraId="1B59998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AU-IBAR. (2019). The African Union – Interafrican Bureau for Animal Resources (AU-IBAR). </w:t>
      </w:r>
      <w:r>
        <w:rPr>
          <w:rFonts w:ascii="Times New Roman" w:hAnsi="Times New Roman" w:cs="Times New Roman"/>
          <w:i/>
          <w:iCs/>
          <w:noProof/>
          <w:sz w:val="24"/>
          <w:szCs w:val="24"/>
        </w:rPr>
        <w:t>International Scientific Council for Trypanosomiasis Research and Control (ISCTRC) Abuja Declaration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July</w:t>
      </w:r>
      <w:r>
        <w:rPr>
          <w:rFonts w:ascii="Times New Roman" w:hAnsi="Times New Roman" w:cs="Times New Roman"/>
          <w:noProof/>
          <w:sz w:val="24"/>
          <w:szCs w:val="24"/>
        </w:rPr>
        <w:t>.</w:t>
      </w:r>
    </w:p>
    <w:p w14:paraId="57634DD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Crane, T., Habermann, B., Marty, E., Arndt, C., Leitner, S., Worku, T., &amp; Gichuki, L. (2022). Climate change adaptation and mitigation in extensive livestock systems in East Africa. Findings from the Programme for Climate-Smart Livestock Systems. GIZ, Eschborn. </w:t>
      </w:r>
      <w:r>
        <w:rPr>
          <w:rFonts w:ascii="Times New Roman" w:hAnsi="Times New Roman" w:cs="Times New Roman"/>
          <w:i/>
          <w:iCs/>
          <w:noProof/>
          <w:sz w:val="24"/>
          <w:szCs w:val="24"/>
        </w:rPr>
        <w:t>Findings from the Programme for Climate-Smart Livestock Systems</w:t>
      </w:r>
      <w:r>
        <w:rPr>
          <w:rFonts w:ascii="Times New Roman" w:hAnsi="Times New Roman" w:cs="Times New Roman"/>
          <w:noProof/>
          <w:sz w:val="24"/>
          <w:szCs w:val="24"/>
        </w:rPr>
        <w:t>.</w:t>
      </w:r>
    </w:p>
    <w:p w14:paraId="17AF3397"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FAO. (2018). Starting the change. </w:t>
      </w:r>
      <w:r>
        <w:rPr>
          <w:rFonts w:ascii="Times New Roman" w:hAnsi="Times New Roman" w:cs="Times New Roman"/>
          <w:i/>
          <w:iCs/>
          <w:noProof/>
          <w:sz w:val="24"/>
          <w:szCs w:val="24"/>
        </w:rPr>
        <w:t>Climate Change and Transboundary Pest and Diseses</w:t>
      </w:r>
      <w:r>
        <w:rPr>
          <w:rFonts w:ascii="Times New Roman" w:hAnsi="Times New Roman" w:cs="Times New Roman"/>
          <w:noProof/>
          <w:sz w:val="24"/>
          <w:szCs w:val="24"/>
        </w:rPr>
        <w:t>, 86–98. https://doi.org/10.1057/978-1-352-00132-7_5</w:t>
      </w:r>
    </w:p>
    <w:p w14:paraId="375AD79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FAO. (2024). FAO in Africa: Highlights in 2023. </w:t>
      </w:r>
      <w:r>
        <w:rPr>
          <w:rFonts w:ascii="Times New Roman" w:hAnsi="Times New Roman" w:cs="Times New Roman"/>
          <w:i/>
          <w:iCs/>
          <w:noProof/>
          <w:sz w:val="24"/>
          <w:szCs w:val="24"/>
        </w:rPr>
        <w:t>Food and Agriculture Organization of the United Nations Accra</w:t>
      </w:r>
      <w:r>
        <w:rPr>
          <w:rFonts w:ascii="Times New Roman" w:hAnsi="Times New Roman" w:cs="Times New Roman"/>
          <w:noProof/>
          <w:sz w:val="24"/>
          <w:szCs w:val="24"/>
        </w:rPr>
        <w:t>.</w:t>
      </w:r>
    </w:p>
    <w:p w14:paraId="330D640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Fushai, F., Chitura, T., &amp; Oke, O. E. (2025). Climate-smart livestock nutrition in semi-arid Southern African agricultural systems. </w:t>
      </w:r>
      <w:r>
        <w:rPr>
          <w:rFonts w:ascii="Times New Roman" w:hAnsi="Times New Roman" w:cs="Times New Roman"/>
          <w:i/>
          <w:iCs/>
          <w:noProof/>
          <w:sz w:val="24"/>
          <w:szCs w:val="24"/>
        </w:rPr>
        <w:t>Frontiers in Veterinary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(February). https://doi.org/10.3389/fvets.2025.1507152</w:t>
      </w:r>
    </w:p>
    <w:p w14:paraId="23C2D51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Houzer, E., Scoones, I., Production, F. A. O. A., &amp; Jacquemot, P. P. (2021). </w:t>
      </w:r>
      <w:r>
        <w:rPr>
          <w:rFonts w:ascii="Times New Roman" w:hAnsi="Times New Roman" w:cs="Times New Roman"/>
          <w:i/>
          <w:iCs/>
          <w:noProof/>
          <w:sz w:val="24"/>
          <w:szCs w:val="24"/>
        </w:rPr>
        <w:t>Are livestock always bad for the planet ?</w:t>
      </w:r>
      <w:r>
        <w:rPr>
          <w:rFonts w:ascii="Times New Roman" w:hAnsi="Times New Roman" w:cs="Times New Roman"/>
          <w:noProof/>
          <w:sz w:val="24"/>
          <w:szCs w:val="24"/>
        </w:rPr>
        <w:t xml:space="preserve"> https://doi.org/10.19088/STEPS.2021.003</w:t>
      </w:r>
    </w:p>
    <w:p w14:paraId="04754220"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Hyland, J. J., Styles, D., Jones, D. L., &amp; Williams, A. P. (2016). Improving livestock production efficiencies presents a major opportunity to reduce sectoral greenhouse gas emissions. </w:t>
      </w:r>
      <w:r>
        <w:rPr>
          <w:rFonts w:ascii="Times New Roman" w:hAnsi="Times New Roman" w:cs="Times New Roman"/>
          <w:i/>
          <w:iCs/>
          <w:noProof/>
          <w:sz w:val="24"/>
          <w:szCs w:val="24"/>
        </w:rPr>
        <w:t>Agricultural Systems</w:t>
      </w:r>
      <w:r>
        <w:rPr>
          <w:rFonts w:ascii="Times New Roman" w:hAnsi="Times New Roman" w:cs="Times New Roman"/>
          <w:noProof/>
          <w:sz w:val="24"/>
          <w:szCs w:val="24"/>
        </w:rPr>
        <w:t xml:space="preserve">, </w:t>
      </w:r>
      <w:r>
        <w:rPr>
          <w:rFonts w:ascii="Times New Roman" w:hAnsi="Times New Roman" w:cs="Times New Roman"/>
          <w:i/>
          <w:iCs/>
          <w:noProof/>
          <w:sz w:val="24"/>
          <w:szCs w:val="24"/>
        </w:rPr>
        <w:t>147</w:t>
      </w:r>
      <w:r>
        <w:rPr>
          <w:rFonts w:ascii="Times New Roman" w:hAnsi="Times New Roman" w:cs="Times New Roman"/>
          <w:noProof/>
          <w:sz w:val="24"/>
          <w:szCs w:val="24"/>
        </w:rPr>
        <w:t>, 123–131. https://doi.org/10.1016/j.agsy.2016.06.006</w:t>
      </w:r>
    </w:p>
    <w:p w14:paraId="217681A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IPCC. (2021). Introducing the Topical Collection: ‘Climate change communication and the IPCC.’ In </w:t>
      </w:r>
      <w:r>
        <w:rPr>
          <w:rFonts w:ascii="Times New Roman" w:hAnsi="Times New Roman" w:cs="Times New Roman"/>
          <w:i/>
          <w:iCs/>
          <w:noProof/>
          <w:sz w:val="24"/>
          <w:szCs w:val="24"/>
        </w:rPr>
        <w:t>Climatic Change</w:t>
      </w:r>
      <w:r>
        <w:rPr>
          <w:rFonts w:ascii="Times New Roman" w:hAnsi="Times New Roman" w:cs="Times New Roman"/>
          <w:noProof/>
          <w:sz w:val="24"/>
          <w:szCs w:val="24"/>
        </w:rPr>
        <w:t xml:space="preserve"> (Vol. 169, Issues 3–4). https://doi.org/10.1007/s10584-021-03253-3</w:t>
      </w:r>
    </w:p>
    <w:p w14:paraId="5A585D5F"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Kathambi, E. K., Sonstegard, T. S., &amp; Larsen, P. A. (2025). Review: Cross-breeding, advanced reproductive technologies, and genetic selection in twelve dairy production systems in Africa. </w:t>
      </w:r>
      <w:r>
        <w:rPr>
          <w:rFonts w:ascii="Times New Roman" w:hAnsi="Times New Roman" w:cs="Times New Roman"/>
          <w:i/>
          <w:iCs/>
          <w:noProof/>
          <w:sz w:val="24"/>
          <w:szCs w:val="24"/>
        </w:rPr>
        <w:t>Animal</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(3), 101424. https://doi.org/10.1016/j.animal.2025.101424</w:t>
      </w:r>
    </w:p>
    <w:p w14:paraId="0B02FBD4"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Kuwi, S. O., Kamwangire, D. F., Kasiba, B., Katabazi, L. V, Lyahama, O. J., Fupi, G. F., Kajuna, J. A., Mgalula, J. R., Munisi, W. G., &amp; Moto, E. A. (2024). </w:t>
      </w:r>
      <w:r>
        <w:rPr>
          <w:rFonts w:ascii="Times New Roman" w:hAnsi="Times New Roman" w:cs="Times New Roman"/>
          <w:i/>
          <w:iCs/>
          <w:noProof/>
          <w:sz w:val="24"/>
          <w:szCs w:val="24"/>
        </w:rPr>
        <w:t>Effects of supplementing Leucaena pallida based multi-nutrient block on feed intake and body weight performance of goats fed poor-quality forage in semi-arid Tanzania during dry season</w:t>
      </w:r>
      <w:r>
        <w:rPr>
          <w:rFonts w:ascii="Times New Roman" w:hAnsi="Times New Roman" w:cs="Times New Roman"/>
          <w:noProof/>
          <w:sz w:val="24"/>
          <w:szCs w:val="24"/>
        </w:rPr>
        <w:t xml:space="preserve">. </w:t>
      </w:r>
      <w:r>
        <w:rPr>
          <w:rFonts w:ascii="Times New Roman" w:hAnsi="Times New Roman" w:cs="Times New Roman"/>
          <w:i/>
          <w:iCs/>
          <w:noProof/>
          <w:sz w:val="24"/>
          <w:szCs w:val="24"/>
        </w:rPr>
        <w:t>94</w:t>
      </w:r>
      <w:r>
        <w:rPr>
          <w:rFonts w:ascii="Times New Roman" w:hAnsi="Times New Roman" w:cs="Times New Roman"/>
          <w:noProof/>
          <w:sz w:val="24"/>
          <w:szCs w:val="24"/>
        </w:rPr>
        <w:t>(July), 652–655.</w:t>
      </w:r>
    </w:p>
    <w:p w14:paraId="0C83A03A"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Leslie, P., &amp; McCabe, J. T. (2013). Response diversity and resilience in social-ecological systems. </w:t>
      </w:r>
      <w:r>
        <w:rPr>
          <w:rFonts w:ascii="Times New Roman" w:hAnsi="Times New Roman" w:cs="Times New Roman"/>
          <w:i/>
          <w:iCs/>
          <w:noProof/>
          <w:sz w:val="24"/>
          <w:szCs w:val="24"/>
        </w:rPr>
        <w:lastRenderedPageBreak/>
        <w:t>Current Anthropology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54</w:t>
      </w:r>
      <w:r>
        <w:rPr>
          <w:rFonts w:ascii="Times New Roman" w:hAnsi="Times New Roman" w:cs="Times New Roman"/>
          <w:noProof/>
          <w:sz w:val="24"/>
          <w:szCs w:val="24"/>
        </w:rPr>
        <w:t>(2), 114–143. https://doi.org/10.1086/669563</w:t>
      </w:r>
    </w:p>
    <w:p w14:paraId="30A68AF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Mapiye, C., Chikwanha, O. C., Chimonyo, M., &amp; Dzama, K. (2019). Strategies for sustainable use of indigenous cattle genetic resources in Southern Africa. </w:t>
      </w:r>
      <w:r>
        <w:rPr>
          <w:rFonts w:ascii="Times New Roman" w:hAnsi="Times New Roman" w:cs="Times New Roman"/>
          <w:i/>
          <w:iCs/>
          <w:noProof/>
          <w:sz w:val="24"/>
          <w:szCs w:val="24"/>
        </w:rPr>
        <w:t>Diversity</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(11), 1–14. https://doi.org/10.3390/d11110214</w:t>
      </w:r>
    </w:p>
    <w:p w14:paraId="002EF56A"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Rege, J. E. O., Ochieng, J., &amp; Hanotte, O. (2020). Livestock genetics and breeding. </w:t>
      </w:r>
      <w:r>
        <w:rPr>
          <w:rFonts w:ascii="Times New Roman" w:hAnsi="Times New Roman" w:cs="Times New Roman"/>
          <w:i/>
          <w:iCs/>
          <w:noProof/>
          <w:sz w:val="24"/>
          <w:szCs w:val="24"/>
        </w:rPr>
        <w:t>The Impact of the International Livestock Research Institute</w:t>
      </w:r>
      <w:r>
        <w:rPr>
          <w:rFonts w:ascii="Times New Roman" w:hAnsi="Times New Roman" w:cs="Times New Roman"/>
          <w:noProof/>
          <w:sz w:val="24"/>
          <w:szCs w:val="24"/>
        </w:rPr>
        <w:t>, 59–102. https://doi.org/10.1079/9781789241853.0059</w:t>
      </w:r>
    </w:p>
    <w:p w14:paraId="24898D6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Rugerri, M. (2024). </w:t>
      </w:r>
      <w:r>
        <w:rPr>
          <w:rFonts w:ascii="Times New Roman" w:hAnsi="Times New Roman" w:cs="Times New Roman"/>
          <w:i/>
          <w:iCs/>
          <w:noProof/>
          <w:sz w:val="24"/>
          <w:szCs w:val="24"/>
        </w:rPr>
        <w:t>Livestock Sector Climate Finance Flows in Ethiopia, Kenya, Tanzania and Uganda</w:t>
      </w:r>
      <w:r>
        <w:rPr>
          <w:rFonts w:ascii="Times New Roman" w:hAnsi="Times New Roman" w:cs="Times New Roman"/>
          <w:noProof/>
          <w:sz w:val="24"/>
          <w:szCs w:val="24"/>
        </w:rPr>
        <w:t xml:space="preserve">. </w:t>
      </w:r>
      <w:r>
        <w:rPr>
          <w:rFonts w:ascii="Times New Roman" w:hAnsi="Times New Roman" w:cs="Times New Roman"/>
          <w:i/>
          <w:iCs/>
          <w:noProof/>
          <w:sz w:val="24"/>
          <w:szCs w:val="24"/>
        </w:rPr>
        <w:t>May</w:t>
      </w:r>
      <w:r>
        <w:rPr>
          <w:rFonts w:ascii="Times New Roman" w:hAnsi="Times New Roman" w:cs="Times New Roman"/>
          <w:noProof/>
          <w:sz w:val="24"/>
          <w:szCs w:val="24"/>
        </w:rPr>
        <w:t>.</w:t>
      </w:r>
    </w:p>
    <w:p w14:paraId="4C0223C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Thornton, P. K., Wollenberg, E. K., &amp; Cramer, L. K. (2024). </w:t>
      </w:r>
      <w:r>
        <w:rPr>
          <w:rFonts w:ascii="Times New Roman" w:hAnsi="Times New Roman" w:cs="Times New Roman"/>
          <w:i/>
          <w:iCs/>
          <w:noProof/>
          <w:sz w:val="24"/>
          <w:szCs w:val="24"/>
        </w:rPr>
        <w:t>Livestock and Climate Change: Outlook for a more sustainable and equitable future</w:t>
      </w:r>
      <w:r>
        <w:rPr>
          <w:rFonts w:ascii="Times New Roman" w:hAnsi="Times New Roman" w:cs="Times New Roman"/>
          <w:noProof/>
          <w:sz w:val="24"/>
          <w:szCs w:val="24"/>
        </w:rPr>
        <w:t xml:space="preserve">. </w:t>
      </w:r>
      <w:r>
        <w:rPr>
          <w:rFonts w:ascii="Times New Roman" w:hAnsi="Times New Roman" w:cs="Times New Roman"/>
          <w:i/>
          <w:iCs/>
          <w:noProof/>
          <w:sz w:val="24"/>
          <w:szCs w:val="24"/>
        </w:rPr>
        <w:t>December</w:t>
      </w:r>
      <w:r>
        <w:rPr>
          <w:rFonts w:ascii="Times New Roman" w:hAnsi="Times New Roman" w:cs="Times New Roman"/>
          <w:noProof/>
          <w:sz w:val="24"/>
          <w:szCs w:val="24"/>
        </w:rPr>
        <w:t>. https://hdl.handle.net/10568/172688</w:t>
      </w:r>
    </w:p>
    <w:p w14:paraId="0923411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Togo, B. G., Kuwi, S. O., Mussa, N. J., Kajuna, J. A., Fupi, G. F., Kasiba, B. R., Mgalula, J. R., Felix, D. K., Katabazi, L. V, &amp; Mtei, E. P. (2025). </w:t>
      </w:r>
      <w:r>
        <w:rPr>
          <w:rFonts w:ascii="Times New Roman" w:hAnsi="Times New Roman" w:cs="Times New Roman"/>
          <w:i/>
          <w:iCs/>
          <w:noProof/>
          <w:sz w:val="24"/>
          <w:szCs w:val="24"/>
        </w:rPr>
        <w:t>Climate Change and Livestock Production in Semi-Arid Regions : The Untapped Potential of Climate-Resilient Forages</w:t>
      </w:r>
      <w:r>
        <w:rPr>
          <w:rFonts w:ascii="Times New Roman" w:hAnsi="Times New Roman" w:cs="Times New Roman"/>
          <w:noProof/>
          <w:sz w:val="24"/>
          <w:szCs w:val="24"/>
        </w:rPr>
        <w:t xml:space="preserve">. </w:t>
      </w:r>
      <w:r>
        <w:rPr>
          <w:rFonts w:ascii="Times New Roman" w:hAnsi="Times New Roman" w:cs="Times New Roman"/>
          <w:i/>
          <w:iCs/>
          <w:noProof/>
          <w:sz w:val="24"/>
          <w:szCs w:val="24"/>
        </w:rPr>
        <w:t>25</w:t>
      </w:r>
      <w:r>
        <w:rPr>
          <w:rFonts w:ascii="Times New Roman" w:hAnsi="Times New Roman" w:cs="Times New Roman"/>
          <w:noProof/>
          <w:sz w:val="24"/>
          <w:szCs w:val="24"/>
        </w:rPr>
        <w:t>(10), 45–52.</w:t>
      </w:r>
    </w:p>
    <w:p w14:paraId="2885DBBD"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Walter Svinurai. (2023). </w:t>
      </w:r>
      <w:r>
        <w:rPr>
          <w:rFonts w:ascii="Times New Roman" w:hAnsi="Times New Roman" w:cs="Times New Roman"/>
          <w:i/>
          <w:iCs/>
          <w:noProof/>
          <w:sz w:val="24"/>
          <w:szCs w:val="24"/>
        </w:rPr>
        <w:t>Livestock production and greenhouse gas emissions in the Southern African Development Community: 2000-2020</w:t>
      </w:r>
      <w:r>
        <w:rPr>
          <w:rFonts w:ascii="Times New Roman" w:hAnsi="Times New Roman" w:cs="Times New Roman"/>
          <w:noProof/>
          <w:sz w:val="24"/>
          <w:szCs w:val="24"/>
        </w:rPr>
        <w:t>. https://www.researchgate.net/publication/374288633_Livestock_production_and_greenhouse_gas_emissions_in_the_Southern_African_Development_Community_2000-2020?_tp=eyJjb250ZXh0Ijp7ImZpcnN0UGFnZSI6Il9kaXJlY3QiLCJwYWdlIjoiX2RpcmVjdCJ9fQ</w:t>
      </w:r>
    </w:p>
    <w:p w14:paraId="324BB23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Wambu, C., &amp; Gichuki, C. (2024). Leveraging on Agricultural Cooperatives in Feed and Fodder Production Among Smallholder Dairy Farmers in Meru County, Kenya. </w:t>
      </w:r>
      <w:r>
        <w:rPr>
          <w:rFonts w:ascii="Times New Roman" w:hAnsi="Times New Roman" w:cs="Times New Roman"/>
          <w:i/>
          <w:iCs/>
          <w:noProof/>
          <w:sz w:val="24"/>
          <w:szCs w:val="24"/>
        </w:rPr>
        <w:t>Journal of the Kenya National Commission for UNESCO</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(1), 1–18. https://doi.org/10.62049/jkncu.v5i1.180</w:t>
      </w:r>
    </w:p>
    <w:p w14:paraId="1D007F3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World Bank. (2023). Kenya Country Climate and Development Report. </w:t>
      </w:r>
      <w:r>
        <w:rPr>
          <w:rFonts w:ascii="Times New Roman" w:hAnsi="Times New Roman" w:cs="Times New Roman"/>
          <w:i/>
          <w:iCs/>
          <w:noProof/>
          <w:sz w:val="24"/>
          <w:szCs w:val="24"/>
        </w:rPr>
        <w:t>Kenya Country Climate and Development Report</w:t>
      </w:r>
      <w:r>
        <w:rPr>
          <w:rFonts w:ascii="Times New Roman" w:hAnsi="Times New Roman" w:cs="Times New Roman"/>
          <w:noProof/>
          <w:sz w:val="24"/>
          <w:szCs w:val="24"/>
        </w:rPr>
        <w:t>. https://doi.org/10.1596/40572</w:t>
      </w:r>
    </w:p>
    <w:p w14:paraId="371CF9EF" w14:textId="77777777" w:rsidR="00C84F92" w:rsidRDefault="00C84F92" w:rsidP="00C84F92">
      <w:pPr>
        <w:widowControl w:val="0"/>
        <w:autoSpaceDE w:val="0"/>
        <w:autoSpaceDN w:val="0"/>
        <w:adjustRightInd w:val="0"/>
        <w:ind w:left="480" w:hanging="480"/>
        <w:rPr>
          <w:rFonts w:ascii="Times New Roman" w:hAnsi="Times New Roman" w:cs="Times New Roman"/>
          <w:noProof/>
          <w:sz w:val="24"/>
        </w:rPr>
      </w:pPr>
      <w:r>
        <w:rPr>
          <w:rFonts w:ascii="Times New Roman" w:hAnsi="Times New Roman" w:cs="Times New Roman"/>
          <w:noProof/>
          <w:sz w:val="24"/>
          <w:szCs w:val="24"/>
        </w:rPr>
        <w:lastRenderedPageBreak/>
        <w:t xml:space="preserve">Zhu, B., Kros, J., Lesschen, J. P., Staritsky, I. G., &amp; de Vries, W. (2016). Assessment of uncertainties in greenhouse gas emission profiles of livestock sectors in Africa, Latin America and Europe. </w:t>
      </w:r>
      <w:r>
        <w:rPr>
          <w:rFonts w:ascii="Times New Roman" w:hAnsi="Times New Roman" w:cs="Times New Roman"/>
          <w:i/>
          <w:iCs/>
          <w:noProof/>
          <w:sz w:val="24"/>
          <w:szCs w:val="24"/>
        </w:rPr>
        <w:t>Regional Environmental Change</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(6), 1571–1582. https://doi.org/10.1007/s10113-015-0896-9</w:t>
      </w:r>
    </w:p>
    <w:p w14:paraId="6DAD0BF4" w14:textId="77777777" w:rsidR="00C84F92" w:rsidRDefault="00C84F92" w:rsidP="00C84F92">
      <w:pPr>
        <w:rPr>
          <w:rFonts w:ascii="Times New Roman" w:hAnsi="Times New Roman" w:cs="Times New Roman"/>
          <w:b/>
          <w:color w:val="FF0000"/>
          <w:sz w:val="24"/>
          <w:szCs w:val="24"/>
        </w:rPr>
      </w:pPr>
      <w:r>
        <w:rPr>
          <w:rFonts w:ascii="Times New Roman" w:hAnsi="Times New Roman" w:cs="Times New Roman"/>
          <w:b/>
          <w:sz w:val="24"/>
          <w:szCs w:val="24"/>
        </w:rPr>
        <w:fldChar w:fldCharType="end"/>
      </w:r>
    </w:p>
    <w:p w14:paraId="22B09072" w14:textId="77777777" w:rsidR="00A82B65" w:rsidRDefault="00A82B65"/>
    <w:sectPr w:rsidR="00A82B6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kanComputer" w:date="2026-02-11T14:11:00Z" w:initials="A">
    <w:p w14:paraId="0AB4C694" w14:textId="0055697E" w:rsidR="00F57657" w:rsidRDefault="00F57657">
      <w:pPr>
        <w:pStyle w:val="CommentText"/>
      </w:pPr>
      <w:r>
        <w:rPr>
          <w:rStyle w:val="CommentReference"/>
        </w:rPr>
        <w:annotationRef/>
      </w:r>
      <w:r w:rsidRPr="00F57657">
        <w:t>1. Professional English proofreading work</w:t>
      </w:r>
    </w:p>
  </w:comment>
  <w:comment w:id="1" w:author="ArkanComputer" w:date="2026-02-11T14:11:00Z" w:initials="A">
    <w:p w14:paraId="431BFB8C" w14:textId="214170B6" w:rsidR="00F97081" w:rsidRDefault="00F97081">
      <w:pPr>
        <w:pStyle w:val="CommentText"/>
      </w:pPr>
      <w:r>
        <w:rPr>
          <w:rStyle w:val="CommentReference"/>
        </w:rPr>
        <w:annotationRef/>
      </w:r>
      <w:r w:rsidRPr="00F97081">
        <w:t>The summary is good but it is long and full of heavy sentences, and it needs stronger and more concise language.</w:t>
      </w:r>
    </w:p>
  </w:comment>
  <w:comment w:id="2" w:author="ArkanComputer" w:date="2026-02-11T14:12:00Z" w:initials="A">
    <w:p w14:paraId="6A88F79E" w14:textId="5B6ECC00" w:rsidR="00DB626B" w:rsidRDefault="00DB626B">
      <w:pPr>
        <w:pStyle w:val="CommentText"/>
      </w:pPr>
      <w:r>
        <w:rPr>
          <w:rStyle w:val="CommentReference"/>
        </w:rPr>
        <w:annotationRef/>
      </w:r>
      <w:r w:rsidRPr="00DB626B">
        <w:t>The conclusion is strong, but it needs to be less repetitive and more of a "clear message" with specific recommendations.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B4C694" w15:done="0"/>
  <w15:commentEx w15:paraId="431BFB8C" w15:done="0"/>
  <w15:commentEx w15:paraId="6A88F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08247" w16cex:dateUtc="2026-02-11T11:11:00Z"/>
  <w16cex:commentExtensible w16cex:durableId="474DFA4A" w16cex:dateUtc="2026-02-11T11:11:00Z"/>
  <w16cex:commentExtensible w16cex:durableId="04396EC6" w16cex:dateUtc="2026-02-11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B4C694" w16cid:durableId="34508247"/>
  <w16cid:commentId w16cid:paraId="431BFB8C" w16cid:durableId="474DFA4A"/>
  <w16cid:commentId w16cid:paraId="6A88F79E" w16cid:durableId="04396E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5DC4" w14:textId="77777777" w:rsidR="00E84C61" w:rsidRDefault="00E84C61" w:rsidP="005B7B14">
      <w:pPr>
        <w:spacing w:before="0" w:after="0" w:line="240" w:lineRule="auto"/>
      </w:pPr>
      <w:r>
        <w:separator/>
      </w:r>
    </w:p>
  </w:endnote>
  <w:endnote w:type="continuationSeparator" w:id="0">
    <w:p w14:paraId="140F18C9" w14:textId="77777777" w:rsidR="00E84C61" w:rsidRDefault="00E84C61" w:rsidP="005B7B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297C" w14:textId="77777777" w:rsidR="005B7B14" w:rsidRDefault="005B7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6F00" w14:textId="77777777" w:rsidR="005B7B14" w:rsidRDefault="005B7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3295" w14:textId="77777777" w:rsidR="005B7B14" w:rsidRDefault="005B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29EE" w14:textId="77777777" w:rsidR="00E84C61" w:rsidRDefault="00E84C61" w:rsidP="005B7B14">
      <w:pPr>
        <w:spacing w:before="0" w:after="0" w:line="240" w:lineRule="auto"/>
      </w:pPr>
      <w:r>
        <w:separator/>
      </w:r>
    </w:p>
  </w:footnote>
  <w:footnote w:type="continuationSeparator" w:id="0">
    <w:p w14:paraId="26332DF4" w14:textId="77777777" w:rsidR="00E84C61" w:rsidRDefault="00E84C61" w:rsidP="005B7B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926E" w14:textId="4879E1C3" w:rsidR="005B7B14" w:rsidRDefault="00000000">
    <w:pPr>
      <w:pStyle w:val="Header"/>
    </w:pPr>
    <w:r>
      <w:rPr>
        <w:noProof/>
      </w:rPr>
      <w:pict w14:anchorId="4A4B5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B2F8" w14:textId="0A3F97A4" w:rsidR="005B7B14" w:rsidRDefault="00000000">
    <w:pPr>
      <w:pStyle w:val="Header"/>
    </w:pPr>
    <w:r>
      <w:rPr>
        <w:noProof/>
      </w:rPr>
      <w:pict w14:anchorId="37607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68E" w14:textId="384B6B86" w:rsidR="005B7B14" w:rsidRDefault="00000000">
    <w:pPr>
      <w:pStyle w:val="Header"/>
    </w:pPr>
    <w:r>
      <w:rPr>
        <w:noProof/>
      </w:rPr>
      <w:pict w14:anchorId="051CA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6CF"/>
    <w:multiLevelType w:val="hybridMultilevel"/>
    <w:tmpl w:val="83526E7C"/>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1C385F"/>
    <w:multiLevelType w:val="multilevel"/>
    <w:tmpl w:val="E57AF9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123E59"/>
    <w:multiLevelType w:val="multilevel"/>
    <w:tmpl w:val="4016E0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3873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65230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3763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83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kanComputer">
    <w15:presenceInfo w15:providerId="None" w15:userId="Arkan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92"/>
    <w:rsid w:val="00004F9D"/>
    <w:rsid w:val="000304B1"/>
    <w:rsid w:val="00107575"/>
    <w:rsid w:val="001409A5"/>
    <w:rsid w:val="001D3574"/>
    <w:rsid w:val="002B1010"/>
    <w:rsid w:val="00340A62"/>
    <w:rsid w:val="00515990"/>
    <w:rsid w:val="00516ED7"/>
    <w:rsid w:val="005400D4"/>
    <w:rsid w:val="0055748F"/>
    <w:rsid w:val="005B7B14"/>
    <w:rsid w:val="005D4184"/>
    <w:rsid w:val="00652728"/>
    <w:rsid w:val="006912E3"/>
    <w:rsid w:val="006E0E06"/>
    <w:rsid w:val="006F6A3F"/>
    <w:rsid w:val="0089326C"/>
    <w:rsid w:val="008B57C7"/>
    <w:rsid w:val="0094667F"/>
    <w:rsid w:val="00A82B65"/>
    <w:rsid w:val="00AB43FF"/>
    <w:rsid w:val="00B54E4A"/>
    <w:rsid w:val="00BF34A4"/>
    <w:rsid w:val="00C04F59"/>
    <w:rsid w:val="00C274B5"/>
    <w:rsid w:val="00C45C99"/>
    <w:rsid w:val="00C84F92"/>
    <w:rsid w:val="00D46F6A"/>
    <w:rsid w:val="00D9779F"/>
    <w:rsid w:val="00DB626B"/>
    <w:rsid w:val="00E24557"/>
    <w:rsid w:val="00E84C61"/>
    <w:rsid w:val="00EB4E1F"/>
    <w:rsid w:val="00ED5028"/>
    <w:rsid w:val="00EE1134"/>
    <w:rsid w:val="00EF5030"/>
    <w:rsid w:val="00F30713"/>
    <w:rsid w:val="00F57657"/>
    <w:rsid w:val="00F97081"/>
    <w:rsid w:val="00FA3D4E"/>
    <w:rsid w:val="00FD6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A6301"/>
  <w15:chartTrackingRefBased/>
  <w15:docId w15:val="{D1BFE7A0-5A17-4F7B-B1BD-668ECC1F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F92"/>
    <w:rPr>
      <w:color w:val="0563C1" w:themeColor="hyperlink"/>
      <w:u w:val="single"/>
    </w:rPr>
  </w:style>
  <w:style w:type="paragraph" w:styleId="BodyText">
    <w:name w:val="Body Text"/>
    <w:basedOn w:val="Normal"/>
    <w:link w:val="BodyTextChar"/>
    <w:uiPriority w:val="1"/>
    <w:semiHidden/>
    <w:unhideWhenUsed/>
    <w:qFormat/>
    <w:rsid w:val="00C84F92"/>
    <w:pPr>
      <w:widowControl w:val="0"/>
      <w:autoSpaceDE w:val="0"/>
      <w:autoSpaceDN w:val="0"/>
      <w:spacing w:before="0" w:after="0" w:line="240" w:lineRule="auto"/>
      <w:jc w:val="left"/>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C84F92"/>
    <w:rPr>
      <w:rFonts w:ascii="Arial" w:eastAsia="Arial" w:hAnsi="Arial" w:cs="Arial"/>
      <w:sz w:val="20"/>
      <w:szCs w:val="20"/>
    </w:rPr>
  </w:style>
  <w:style w:type="paragraph" w:styleId="ListParagraph">
    <w:name w:val="List Paragraph"/>
    <w:basedOn w:val="Normal"/>
    <w:uiPriority w:val="34"/>
    <w:qFormat/>
    <w:rsid w:val="00C84F92"/>
    <w:pPr>
      <w:ind w:left="720"/>
      <w:contextualSpacing/>
    </w:pPr>
  </w:style>
  <w:style w:type="paragraph" w:styleId="NormalWeb">
    <w:name w:val="Normal (Web)"/>
    <w:basedOn w:val="Normal"/>
    <w:uiPriority w:val="99"/>
    <w:semiHidden/>
    <w:unhideWhenUsed/>
    <w:rsid w:val="00C84F9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84F92"/>
    <w:pPr>
      <w:spacing w:before="0" w:after="200" w:line="240" w:lineRule="auto"/>
    </w:pPr>
    <w:rPr>
      <w:i/>
      <w:iCs/>
      <w:color w:val="44546A" w:themeColor="text2"/>
      <w:sz w:val="18"/>
      <w:szCs w:val="18"/>
    </w:rPr>
  </w:style>
  <w:style w:type="character" w:styleId="Strong">
    <w:name w:val="Strong"/>
    <w:basedOn w:val="DefaultParagraphFont"/>
    <w:uiPriority w:val="22"/>
    <w:qFormat/>
    <w:rsid w:val="00C84F92"/>
    <w:rPr>
      <w:b/>
      <w:bCs/>
    </w:rPr>
  </w:style>
  <w:style w:type="character" w:styleId="CommentReference">
    <w:name w:val="annotation reference"/>
    <w:basedOn w:val="DefaultParagraphFont"/>
    <w:uiPriority w:val="99"/>
    <w:semiHidden/>
    <w:unhideWhenUsed/>
    <w:rsid w:val="00C45C99"/>
    <w:rPr>
      <w:sz w:val="16"/>
      <w:szCs w:val="16"/>
    </w:rPr>
  </w:style>
  <w:style w:type="paragraph" w:styleId="CommentText">
    <w:name w:val="annotation text"/>
    <w:basedOn w:val="Normal"/>
    <w:link w:val="CommentTextChar"/>
    <w:uiPriority w:val="99"/>
    <w:semiHidden/>
    <w:unhideWhenUsed/>
    <w:rsid w:val="00C45C99"/>
    <w:pPr>
      <w:spacing w:line="240" w:lineRule="auto"/>
    </w:pPr>
    <w:rPr>
      <w:sz w:val="20"/>
      <w:szCs w:val="20"/>
    </w:rPr>
  </w:style>
  <w:style w:type="character" w:customStyle="1" w:styleId="CommentTextChar">
    <w:name w:val="Comment Text Char"/>
    <w:basedOn w:val="DefaultParagraphFont"/>
    <w:link w:val="CommentText"/>
    <w:uiPriority w:val="99"/>
    <w:semiHidden/>
    <w:rsid w:val="00C45C99"/>
    <w:rPr>
      <w:sz w:val="20"/>
      <w:szCs w:val="20"/>
    </w:rPr>
  </w:style>
  <w:style w:type="paragraph" w:styleId="CommentSubject">
    <w:name w:val="annotation subject"/>
    <w:basedOn w:val="CommentText"/>
    <w:next w:val="CommentText"/>
    <w:link w:val="CommentSubjectChar"/>
    <w:uiPriority w:val="99"/>
    <w:semiHidden/>
    <w:unhideWhenUsed/>
    <w:rsid w:val="00C45C99"/>
    <w:rPr>
      <w:b/>
      <w:bCs/>
    </w:rPr>
  </w:style>
  <w:style w:type="character" w:customStyle="1" w:styleId="CommentSubjectChar">
    <w:name w:val="Comment Subject Char"/>
    <w:basedOn w:val="CommentTextChar"/>
    <w:link w:val="CommentSubject"/>
    <w:uiPriority w:val="99"/>
    <w:semiHidden/>
    <w:rsid w:val="00C45C99"/>
    <w:rPr>
      <w:b/>
      <w:bCs/>
      <w:sz w:val="20"/>
      <w:szCs w:val="20"/>
    </w:rPr>
  </w:style>
  <w:style w:type="paragraph" w:styleId="Revision">
    <w:name w:val="Revision"/>
    <w:hidden/>
    <w:uiPriority w:val="99"/>
    <w:semiHidden/>
    <w:rsid w:val="00C45C99"/>
    <w:pPr>
      <w:spacing w:before="0" w:after="0" w:line="240" w:lineRule="auto"/>
      <w:jc w:val="left"/>
    </w:pPr>
  </w:style>
  <w:style w:type="paragraph" w:styleId="BalloonText">
    <w:name w:val="Balloon Text"/>
    <w:basedOn w:val="Normal"/>
    <w:link w:val="BalloonTextChar"/>
    <w:uiPriority w:val="99"/>
    <w:semiHidden/>
    <w:unhideWhenUsed/>
    <w:rsid w:val="00C45C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C99"/>
    <w:rPr>
      <w:rFonts w:ascii="Segoe UI" w:hAnsi="Segoe UI" w:cs="Segoe UI"/>
      <w:sz w:val="18"/>
      <w:szCs w:val="18"/>
    </w:rPr>
  </w:style>
  <w:style w:type="table" w:styleId="TableGrid">
    <w:name w:val="Table Grid"/>
    <w:basedOn w:val="TableNormal"/>
    <w:uiPriority w:val="59"/>
    <w:rsid w:val="0094667F"/>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3D4E"/>
    <w:rPr>
      <w:color w:val="605E5C"/>
      <w:shd w:val="clear" w:color="auto" w:fill="E1DFDD"/>
    </w:rPr>
  </w:style>
  <w:style w:type="paragraph" w:styleId="Header">
    <w:name w:val="header"/>
    <w:basedOn w:val="Normal"/>
    <w:link w:val="HeaderChar"/>
    <w:uiPriority w:val="99"/>
    <w:unhideWhenUsed/>
    <w:rsid w:val="005B7B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7B14"/>
  </w:style>
  <w:style w:type="paragraph" w:styleId="Footer">
    <w:name w:val="footer"/>
    <w:basedOn w:val="Normal"/>
    <w:link w:val="FooterChar"/>
    <w:uiPriority w:val="99"/>
    <w:unhideWhenUsed/>
    <w:rsid w:val="005B7B1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B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743518">
      <w:bodyDiv w:val="1"/>
      <w:marLeft w:val="0"/>
      <w:marRight w:val="0"/>
      <w:marTop w:val="0"/>
      <w:marBottom w:val="0"/>
      <w:divBdr>
        <w:top w:val="none" w:sz="0" w:space="0" w:color="auto"/>
        <w:left w:val="none" w:sz="0" w:space="0" w:color="auto"/>
        <w:bottom w:val="none" w:sz="0" w:space="0" w:color="auto"/>
        <w:right w:val="none" w:sz="0" w:space="0" w:color="auto"/>
      </w:divBdr>
    </w:div>
    <w:div w:id="1396051745">
      <w:bodyDiv w:val="1"/>
      <w:marLeft w:val="0"/>
      <w:marRight w:val="0"/>
      <w:marTop w:val="0"/>
      <w:marBottom w:val="0"/>
      <w:divBdr>
        <w:top w:val="none" w:sz="0" w:space="0" w:color="auto"/>
        <w:left w:val="none" w:sz="0" w:space="0" w:color="auto"/>
        <w:bottom w:val="none" w:sz="0" w:space="0" w:color="auto"/>
        <w:right w:val="none" w:sz="0" w:space="0" w:color="auto"/>
      </w:divBdr>
    </w:div>
    <w:div w:id="1610237577">
      <w:bodyDiv w:val="1"/>
      <w:marLeft w:val="0"/>
      <w:marRight w:val="0"/>
      <w:marTop w:val="0"/>
      <w:marBottom w:val="0"/>
      <w:divBdr>
        <w:top w:val="none" w:sz="0" w:space="0" w:color="auto"/>
        <w:left w:val="none" w:sz="0" w:space="0" w:color="auto"/>
        <w:bottom w:val="none" w:sz="0" w:space="0" w:color="auto"/>
        <w:right w:val="none" w:sz="0" w:space="0" w:color="auto"/>
      </w:divBdr>
    </w:div>
    <w:div w:id="16569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8D39-7C17-4233-9ED8-47A83317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10086</Words>
  <Characters>57492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ArkanComputer</cp:lastModifiedBy>
  <cp:revision>5</cp:revision>
  <dcterms:created xsi:type="dcterms:W3CDTF">2026-02-11T11:07:00Z</dcterms:created>
  <dcterms:modified xsi:type="dcterms:W3CDTF">2026-02-11T11:12:00Z</dcterms:modified>
</cp:coreProperties>
</file>