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C54B" w14:textId="77777777" w:rsidR="006549A0" w:rsidRPr="006549A0" w:rsidRDefault="006549A0" w:rsidP="006549A0">
      <w:pPr>
        <w:spacing w:before="240" w:after="200"/>
        <w:jc w:val="center"/>
        <w:rPr>
          <w:b/>
          <w:bCs/>
          <w:i/>
          <w:iCs/>
          <w:sz w:val="32"/>
          <w:szCs w:val="32"/>
          <w:u w:val="single"/>
        </w:rPr>
      </w:pPr>
      <w:r w:rsidRPr="006549A0">
        <w:rPr>
          <w:b/>
          <w:bCs/>
          <w:i/>
          <w:iCs/>
          <w:sz w:val="32"/>
          <w:szCs w:val="32"/>
          <w:u w:val="single"/>
        </w:rPr>
        <w:t>Review Article</w:t>
      </w:r>
    </w:p>
    <w:p w14:paraId="4627B075" w14:textId="77777777" w:rsidR="00A75838" w:rsidRDefault="002E489E">
      <w:pPr>
        <w:spacing w:before="240" w:after="200"/>
        <w:jc w:val="center"/>
      </w:pPr>
      <w:r>
        <w:rPr>
          <w:b/>
          <w:bCs/>
          <w:sz w:val="32"/>
          <w:szCs w:val="32"/>
        </w:rPr>
        <w:t>Non-Invasive Detection of Iron Deficiency Anaemia in Children</w:t>
      </w:r>
    </w:p>
    <w:p w14:paraId="7BA94AFF" w14:textId="77777777" w:rsidR="00A75838" w:rsidRDefault="002E489E">
      <w:pPr>
        <w:spacing w:before="240" w:after="200"/>
        <w:jc w:val="center"/>
      </w:pPr>
      <w:r>
        <w:rPr>
          <w:b/>
          <w:bCs/>
          <w:sz w:val="32"/>
          <w:szCs w:val="32"/>
        </w:rPr>
        <w:t>Aged 0–5 Years: A Systematic Search of Available Tools for</w:t>
      </w:r>
    </w:p>
    <w:p w14:paraId="28AF1851" w14:textId="77777777" w:rsidR="00A75838" w:rsidRDefault="002E489E">
      <w:pPr>
        <w:spacing w:before="240" w:after="200"/>
        <w:jc w:val="center"/>
      </w:pPr>
      <w:r>
        <w:rPr>
          <w:b/>
          <w:bCs/>
          <w:sz w:val="32"/>
          <w:szCs w:val="32"/>
        </w:rPr>
        <w:t>Widespread Application</w:t>
      </w:r>
    </w:p>
    <w:p w14:paraId="6044A2AE" w14:textId="77777777" w:rsidR="00A75838" w:rsidRDefault="00A75838">
      <w:pPr>
        <w:spacing w:after="160"/>
      </w:pPr>
    </w:p>
    <w:p w14:paraId="4421E373" w14:textId="77777777" w:rsidR="00A75838" w:rsidRDefault="002E489E">
      <w:pPr>
        <w:spacing w:before="240" w:after="120"/>
      </w:pPr>
      <w:commentRangeStart w:id="0"/>
      <w:r>
        <w:rPr>
          <w:b/>
          <w:bCs/>
          <w:sz w:val="26"/>
          <w:szCs w:val="26"/>
        </w:rPr>
        <w:t>Abstract</w:t>
      </w:r>
      <w:commentRangeEnd w:id="0"/>
      <w:r w:rsidR="00DD452E">
        <w:rPr>
          <w:rStyle w:val="CommentReference"/>
          <w:sz w:val="24"/>
          <w:szCs w:val="24"/>
        </w:rPr>
        <w:commentReference w:id="0"/>
      </w:r>
    </w:p>
    <w:p w14:paraId="631F7E61" w14:textId="77777777" w:rsidR="00A75838" w:rsidRDefault="002E489E">
      <w:pPr>
        <w:spacing w:after="160" w:line="360" w:lineRule="auto"/>
        <w:jc w:val="both"/>
      </w:pPr>
      <w:r>
        <w:t>Iron deficiency anaemia (IDA) remains the most prevalent nutritional disorder affecting children globally, with disproportionate consequences for those aged 0–5 years, a period of critical neurodevelopmental growth. Despite decades of targeted interventions, IDA continues to affect hundreds of millions of young children in low- and middle-income countries (LMICs), where conventional venepuncture-based diagnostic approaches face formidable barriers of cost, infrastructure, trained personnel, and child compliance. This narrative review systematically searches and synthesises the available non-invasive and near-non-invasive tools for the detection of IDA in children aged 0–5 years, with attention to their feasibility for widespread deployment in resource-limited settings. The review examines a spectrum of approaches ranging from subjective clinical pallor assessment and point-of-care colorimetric devices such as the HemoCue, to transcutaneous optical spectroscopy, smartphone-based digital imaging applications, machine learning-enabled diagnostic platforms, and emerging wearable biosensor technologies. Evidence is evaluated with respect to analytical accuracy, cost-effectiveness, operational simplicity, regulatory status, and scalability in diverse health-system contexts. The findings indicate that, whilst no single non-invasive modality yet meets all criteria for universal deployment, smartphone-based approaches and machine learning-assisted imaging systems show particular promise for community-level screening, especially where integration with existing mobile health infrastructure is feasible. Ongoing challenges include validation in diverse paediatric populations, performance under varying ambient conditions, and the absence of standardised benchmarks for screening sensitivity and specificity. The review concludes that a multi-modal, tiered approach combining non-invasive screening with confirmatory laboratory testing represents the most pragmatic pathway toward reducing the diagnostic gap for IDA in young children worldwide.</w:t>
      </w:r>
    </w:p>
    <w:p w14:paraId="4A4033A4" w14:textId="77777777" w:rsidR="00A75838" w:rsidRDefault="002E489E">
      <w:pPr>
        <w:spacing w:after="200" w:line="360" w:lineRule="auto"/>
      </w:pPr>
      <w:r>
        <w:rPr>
          <w:b/>
          <w:bCs/>
        </w:rPr>
        <w:lastRenderedPageBreak/>
        <w:t xml:space="preserve">Keywords: </w:t>
      </w:r>
      <w:r>
        <w:rPr>
          <w:i/>
          <w:iCs/>
        </w:rPr>
        <w:t>iron deficiency anaemia; children; non-invasive detection; haemoglobin; point-of-care testing; smartphone diagnostics; paediatric nutrition; low- and middle-income countries</w:t>
      </w:r>
    </w:p>
    <w:p w14:paraId="1C0A03B4" w14:textId="77777777" w:rsidR="00A75838" w:rsidRDefault="00A75838">
      <w:pPr>
        <w:spacing w:after="160"/>
      </w:pPr>
    </w:p>
    <w:p w14:paraId="473CE429" w14:textId="77777777" w:rsidR="00A75838" w:rsidRDefault="002E489E">
      <w:pPr>
        <w:pStyle w:val="Heading1"/>
      </w:pPr>
      <w:r>
        <w:t>1. Introduction</w:t>
      </w:r>
    </w:p>
    <w:p w14:paraId="0609D596" w14:textId="77777777" w:rsidR="00A75838" w:rsidRDefault="002E489E">
      <w:pPr>
        <w:spacing w:after="160" w:line="360" w:lineRule="auto"/>
        <w:jc w:val="both"/>
      </w:pPr>
      <w:r>
        <w:t>Iron deficiency anaemia occupies a unique position in global public health: it is simultaneously the most common nutritional deficiency worldwide, one of the most preventable conditions in childhood, and yet a disorder that continues to evade timely diagnosis for millions of children in low- and middle-income countries. The condition arises when iron stores are depleted to the point that erythropoiesis becomes impaired, resulting in a fall in haemoglobin concentration below age-specific thresholds. In children under five years of age, the World Health Organization (WHO) defines anaemia as a haemoglobin concentration below 110 g/L at sea level, with mild anaemia classified as 100–109 g/L, moderate anaemia as 70–99 g/L, and severe anaemia as below 70 g/L (WHO, 2011). Iron deficiency, often preceding clinical anaemia by weeks or months, is the leading aetiological contributor in this age group, although other causes including malaria, haemoglobinopathies, and vitamin B12 or folate deficiency may co-exist or substantially overlap (Chaparro &amp; Suchdev, 2019).</w:t>
      </w:r>
    </w:p>
    <w:p w14:paraId="4253830E" w14:textId="77777777" w:rsidR="00A75838" w:rsidRDefault="002E489E">
      <w:pPr>
        <w:spacing w:after="160" w:line="360" w:lineRule="auto"/>
        <w:jc w:val="both"/>
      </w:pPr>
      <w:r>
        <w:t>The first five years of life are characterised by extraordinarily rapid brain development, somatic growth, and immunological maturation, all of which have substantial iron requirements. The brain depends upon iron for myelination, neurotransmitter synthesis, and neuronal energy metabolism, and the growing body of evidence demonstrating long-term cognitive deficits in children who experience iron deficiency during infancy has fundamentally changed how clinicians and public health practitioners perceive this disorder (Georgieff, 2011; Lozoff &amp; Georgieff, 2006). Beyond neurodevelopment, IDA is associated with impaired physical growth, increased susceptibility to infection, and reduced school readiness, each of which carries multigenerational consequences through reduced human capital formation and economic productivity (Victora et al., 2008; Horton &amp; Ross, 2003).</w:t>
      </w:r>
    </w:p>
    <w:p w14:paraId="18D78655" w14:textId="77777777" w:rsidR="00A75838" w:rsidRDefault="002E489E">
      <w:pPr>
        <w:spacing w:after="160" w:line="360" w:lineRule="auto"/>
        <w:jc w:val="both"/>
      </w:pPr>
      <w:r>
        <w:t xml:space="preserve">Despite the existence of effective interventions, including dietary diversification, therapeutic and preventive supplementation, and food fortification, their impact is critically dependent on timely and accurate diagnosis. In most LMICs, the standard diagnostic pathway relies on laboratory measurement of haemoglobin or a full blood count from venous or capillary blood, </w:t>
      </w:r>
      <w:r>
        <w:lastRenderedPageBreak/>
        <w:t>complemented by serum ferritin, transferrin saturation, or zinc protoporphyrin measurements to confirm iron deficiency as the specific aetiology (Thomas &amp; Thomas, 2002; Suchdev et al., 2017). These approaches, whilst accurate, are impractical at the community and primary care levels in under-resourced settings. They require trained phlebotomists, reliable cold-chain logistics for specimen transport, functioning laboratory infrastructure, and haemoanalysis equipment — resources that are frequently unavailable precisely where the burden of IDA is highest (WHO, 2001). Furthermore, in infants and toddlers, venepuncture carries added psychological distress, risk of haematoma, and challenges of parental consent and child restraint, all of which serve as practical deterrents to population-level screening.</w:t>
      </w:r>
    </w:p>
    <w:p w14:paraId="1F4920FB" w14:textId="77777777" w:rsidR="00A75838" w:rsidRDefault="002E489E">
      <w:pPr>
        <w:spacing w:after="160" w:line="360" w:lineRule="auto"/>
        <w:jc w:val="both"/>
      </w:pPr>
      <w:r>
        <w:t>The recognition of these structural limitations has stimulated substantial interest in non-invasive and minimally invasive alternatives that might enable IDA detection at the point of care, in community health programmes, and even by non-specialist health workers. Such tools range from the relatively simple — clinical assessment of mucosal pallor — to the highly sophisticated, including multiwavelength transcutaneous spectroscopy and artificial intelligence-driven image analysis on consumer smartphones. Each approach occupies a different position along the spectrum of accuracy, cost, technical complexity, and operational feasibility, and each merits systematic evaluation within the specific context of the 0–5 year age group.</w:t>
      </w:r>
    </w:p>
    <w:p w14:paraId="5382F634" w14:textId="77777777" w:rsidR="00A75838" w:rsidRDefault="002E489E">
      <w:pPr>
        <w:spacing w:after="160" w:line="360" w:lineRule="auto"/>
        <w:jc w:val="both"/>
      </w:pPr>
      <w:r>
        <w:t>The impetus for this review is therefore twofold: first, to comprehensively catalogue the non-invasive tools currently available or under active development for IDA detection in young children; and second, to critically appraise their utility and limitations in the context of widespread application, particularly in settings characterised by limited laboratory infrastructure and high IDA prevalence. The synthesis is intended to serve researchers, clinicians, public health programme designers, and technology developers seeking evidence-based guidance on which tools hold the greatest promise for programmatic scaling.</w:t>
      </w:r>
    </w:p>
    <w:p w14:paraId="622C0B7F" w14:textId="77777777" w:rsidR="00A75838" w:rsidRDefault="002E489E">
      <w:pPr>
        <w:pStyle w:val="Heading2"/>
      </w:pPr>
      <w:r>
        <w:t>1.1 Scope and Objectives</w:t>
      </w:r>
    </w:p>
    <w:p w14:paraId="4EC1E279" w14:textId="77777777" w:rsidR="00A75838" w:rsidRDefault="002E489E">
      <w:pPr>
        <w:spacing w:after="160" w:line="360" w:lineRule="auto"/>
        <w:jc w:val="both"/>
      </w:pPr>
      <w:r>
        <w:t xml:space="preserve">The scope of this review is restricted to children aged 0–5 years and to non-invasive or near-non-invasive approaches to the detection of IDA, including those targeting haemoglobin concentration, clinical signs of anaemia, or validated surrogate biomarkers detectable without conventional venepuncture. Invasive laboratory-based diagnostics are discussed as the reference standard against which non-invasive tools are evaluated, but are not the primary focus of the review. The objectives of this article are: (i) to identify and describe all major </w:t>
      </w:r>
      <w:r>
        <w:lastRenderedPageBreak/>
        <w:t>categories of non-invasive tool currently available or in late-stage development for IDA detection in young children; (ii) to evaluate the evidence base supporting each tool in terms of accuracy, feasibility, and applicability in low-resource settings; (iii) to compare tools along key dimensions including cost, required training, performance characteristics, and scalability; and (iv) to identify key barriers to widespread deployment and research gaps that require further investigation.</w:t>
      </w:r>
    </w:p>
    <w:p w14:paraId="7F1A25E7" w14:textId="77777777" w:rsidR="00A75838" w:rsidRDefault="00A75838">
      <w:pPr>
        <w:spacing w:after="160"/>
      </w:pPr>
    </w:p>
    <w:p w14:paraId="292D08FA" w14:textId="77777777" w:rsidR="00A75838" w:rsidRDefault="002E489E">
      <w:pPr>
        <w:pStyle w:val="Heading1"/>
      </w:pPr>
      <w:r>
        <w:t>2. Methods for Literature Selection</w:t>
      </w:r>
    </w:p>
    <w:p w14:paraId="3FBE349D" w14:textId="77777777" w:rsidR="00A75838" w:rsidRDefault="002E489E">
      <w:pPr>
        <w:spacing w:after="160" w:line="360" w:lineRule="auto"/>
        <w:jc w:val="both"/>
      </w:pPr>
      <w:r>
        <w:t>This review follows a narrative format rather than a formal systematic review design. The decision to adopt a narrative approach was made because the primary purpose of the review is to synthesise and contextualise a heterogeneous body of evidence across multiple technology domains — from clinical assessment tools to digital imaging platforms — that cannot be meaningfully combined in a quantitative meta-analysis and that spans methodological traditions including engineering validation studies, clinical diagnostic trials, public health programme evaluations, and health economics analyses. This approach is consistent with guidance articulated for narrative literature reviews, which emphasise comprehensive synthesis over strict eligibility-based selection when the objective is conceptual scope rather than a single effect estimate (Ferrari, 2015). Narrative reviews are particularly suited to topics where the evidence base is rapidly evolving and where the goal is to inform practitioner and policy-maker understanding of a broad field, rather than to answer a single focused clinical question.</w:t>
      </w:r>
    </w:p>
    <w:p w14:paraId="7EF5440C" w14:textId="77777777" w:rsidR="005C1075" w:rsidRPr="005C1075" w:rsidRDefault="002E489E" w:rsidP="005C1075">
      <w:pPr>
        <w:spacing w:after="160" w:line="360" w:lineRule="auto"/>
        <w:jc w:val="both"/>
        <w:rPr>
          <w:lang w:val="en-GB"/>
        </w:rPr>
      </w:pPr>
      <w:r>
        <w:t xml:space="preserve">Literature searches were conducted across multiple academic databases including PubMed, Scopus, Web of Science, and Google Scholar. The search was conducted in the period January to March 2025 and was largely confined to publications from the year 2000 onwards to ensure relevance to contemporary technological and health-system contexts, though older seminal studies were deliberately retained where they provided essential foundational knowledge unavailable in more recent literature. The primary search terms included combinations of the following: "iron deficiency anaemia" OR "iron deficiency anemia"; "non-invasive" OR "noninvasive"; "haemoglobin" OR "hemoglobin"; "detection" OR "screening" OR "diagnosis"; "children" OR "infants" OR "paediatric"; "point-of-care"; "smartphone"; "spectroscopy"; "machine learning"; "pallor"; and "low- and middle-income countries". Boolean operators (AND, OR) were applied to narrow searches by combining </w:t>
      </w:r>
      <w:r>
        <w:lastRenderedPageBreak/>
        <w:t>condition-specific terms with technology-specific terms to retrieve the most targeted literature for each subsection.</w:t>
      </w:r>
      <w:r w:rsidR="005C1075">
        <w:t xml:space="preserve"> </w:t>
      </w:r>
      <w:r w:rsidR="005C1075" w:rsidRPr="005C1075">
        <w:rPr>
          <w:lang w:val="en-GB"/>
        </w:rPr>
        <w:t>Figure 1 explains structured methods of literature selection.</w:t>
      </w:r>
    </w:p>
    <w:p w14:paraId="22407879" w14:textId="77777777" w:rsidR="005C1075" w:rsidRPr="005C1075" w:rsidRDefault="005C1075" w:rsidP="005C1075">
      <w:pPr>
        <w:spacing w:before="100" w:beforeAutospacing="1" w:after="100" w:afterAutospacing="1"/>
        <w:rPr>
          <w:lang w:val="en-GB"/>
        </w:rPr>
      </w:pPr>
    </w:p>
    <w:p w14:paraId="1E5A7407"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1608BB5A">
          <v:rect id="Rectangle 2" o:spid="_x0000_s2150" style="position:absolute;left:0;text-align:left;margin-left:238.7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weight="1pt">
            <v:textbox>
              <w:txbxContent>
                <w:p w14:paraId="412F7A4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 xml:space="preserve">Records removed </w:t>
                  </w:r>
                  <w:r w:rsidRPr="005C1075">
                    <w:rPr>
                      <w:rFonts w:ascii="Arial" w:hAnsi="Arial" w:cs="Arial"/>
                      <w:i/>
                      <w:iCs/>
                      <w:color w:val="000000"/>
                      <w:sz w:val="18"/>
                      <w:szCs w:val="20"/>
                    </w:rPr>
                    <w:t>before screening</w:t>
                  </w:r>
                  <w:r w:rsidRPr="005C1075">
                    <w:rPr>
                      <w:rFonts w:ascii="Arial" w:hAnsi="Arial" w:cs="Arial"/>
                      <w:color w:val="000000"/>
                      <w:sz w:val="18"/>
                      <w:szCs w:val="20"/>
                    </w:rPr>
                    <w:t>:</w:t>
                  </w:r>
                </w:p>
                <w:p w14:paraId="55729423"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Duplicate records removed  (n =431)</w:t>
                  </w:r>
                </w:p>
                <w:p w14:paraId="27A9F236"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Records marked as ineligible (n =41)</w:t>
                  </w:r>
                </w:p>
              </w:txbxContent>
            </v:textbox>
          </v:rect>
        </w:pict>
      </w:r>
      <w:r>
        <w:rPr>
          <w:noProof/>
          <w:color w:val="000000"/>
          <w:kern w:val="2"/>
          <w:lang w:val="en-GB" w:eastAsia="en-IN"/>
        </w:rPr>
        <w:pict w14:anchorId="68083A11">
          <v:rect id="Rectangle 1" o:spid="_x0000_s2151"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weight="1pt">
            <v:textbox>
              <w:txbxContent>
                <w:p w14:paraId="337718C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identified from:</w:t>
                  </w:r>
                </w:p>
                <w:p w14:paraId="7AFE04F8"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Databases (n =923)</w:t>
                  </w:r>
                </w:p>
              </w:txbxContent>
            </v:textbox>
          </v:rect>
        </w:pict>
      </w:r>
    </w:p>
    <w:p w14:paraId="0F22019E" w14:textId="77777777" w:rsidR="005C1075" w:rsidRPr="005C1075" w:rsidRDefault="005C1075" w:rsidP="005C1075">
      <w:pPr>
        <w:ind w:left="10" w:right="56" w:hanging="10"/>
        <w:jc w:val="both"/>
        <w:rPr>
          <w:color w:val="000000"/>
          <w:kern w:val="2"/>
          <w:lang w:val="en-GB" w:eastAsia="en-IN"/>
        </w:rPr>
      </w:pPr>
    </w:p>
    <w:p w14:paraId="26A4D268" w14:textId="77777777" w:rsidR="005C1075" w:rsidRPr="005C1075" w:rsidRDefault="005C1075" w:rsidP="005C1075">
      <w:pPr>
        <w:ind w:left="10" w:right="56" w:hanging="10"/>
        <w:jc w:val="both"/>
        <w:rPr>
          <w:color w:val="000000"/>
          <w:kern w:val="2"/>
          <w:lang w:val="en-GB" w:eastAsia="en-IN"/>
        </w:rPr>
      </w:pPr>
    </w:p>
    <w:p w14:paraId="1C28A89D" w14:textId="77777777" w:rsidR="005C1075" w:rsidRPr="005C1075" w:rsidRDefault="005C1075" w:rsidP="005C1075">
      <w:pPr>
        <w:ind w:left="10" w:right="56" w:hanging="10"/>
        <w:jc w:val="both"/>
        <w:rPr>
          <w:color w:val="000000"/>
          <w:kern w:val="2"/>
          <w:lang w:val="en-GB" w:eastAsia="en-IN"/>
        </w:rPr>
      </w:pPr>
    </w:p>
    <w:p w14:paraId="5ED957CA"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1EA89E3B">
          <v:shapetype id="_x0000_t32" coordsize="21600,21600" o:spt="32" o:oned="t" path="m,l21600,21600e" filled="f">
            <v:path arrowok="t" fillok="f" o:connecttype="none"/>
            <o:lock v:ext="edit" shapetype="t"/>
          </v:shapetype>
          <v:shape id="Straight Arrow Connector 14" o:spid="_x0000_s2135"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weight=".5pt">
            <v:stroke endarrow="block" joinstyle="miter"/>
          </v:shape>
        </w:pict>
      </w:r>
    </w:p>
    <w:p w14:paraId="5309C888" w14:textId="77777777" w:rsidR="005C1075" w:rsidRPr="005C1075" w:rsidRDefault="005C1075" w:rsidP="005C1075">
      <w:pPr>
        <w:ind w:left="10" w:right="56" w:hanging="10"/>
        <w:jc w:val="both"/>
        <w:rPr>
          <w:color w:val="000000"/>
          <w:kern w:val="2"/>
          <w:lang w:val="en-GB" w:eastAsia="en-IN"/>
        </w:rPr>
      </w:pPr>
    </w:p>
    <w:p w14:paraId="395EF5AE" w14:textId="77777777" w:rsidR="005C1075" w:rsidRPr="005C1075" w:rsidRDefault="005C1075" w:rsidP="005C1075">
      <w:pPr>
        <w:ind w:left="10" w:right="56" w:hanging="10"/>
        <w:jc w:val="both"/>
        <w:rPr>
          <w:color w:val="000000"/>
          <w:kern w:val="2"/>
          <w:lang w:val="en-GB" w:eastAsia="en-IN"/>
        </w:rPr>
      </w:pPr>
    </w:p>
    <w:p w14:paraId="0B03D9BF"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45CB012B">
          <v:shape id="Straight Arrow Connector 27" o:spid="_x0000_s2136"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weight=".5pt">
            <v:stroke endarrow="block" joinstyle="miter"/>
          </v:shape>
        </w:pict>
      </w:r>
    </w:p>
    <w:p w14:paraId="2DC53D71" w14:textId="77777777" w:rsidR="005C1075" w:rsidRPr="005C1075" w:rsidRDefault="005C1075" w:rsidP="005C1075">
      <w:pPr>
        <w:ind w:left="10" w:right="56" w:hanging="10"/>
        <w:jc w:val="both"/>
        <w:rPr>
          <w:color w:val="000000"/>
          <w:kern w:val="2"/>
          <w:lang w:val="en-GB" w:eastAsia="en-IN"/>
        </w:rPr>
      </w:pPr>
    </w:p>
    <w:p w14:paraId="02D2F5B7"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17F8B041">
          <v:rect id="Rectangle 4" o:spid="_x0000_s2139" style="position:absolute;left:0;text-align:left;margin-left:238.7pt;margin-top:5.9pt;width:148.6pt;height:41.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weight="1pt">
            <v:textbox>
              <w:txbxContent>
                <w:p w14:paraId="058AF46E"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excluded</w:t>
                  </w:r>
                </w:p>
                <w:p w14:paraId="3ECFDED4"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=304)</w:t>
                  </w:r>
                </w:p>
              </w:txbxContent>
            </v:textbox>
          </v:rect>
        </w:pict>
      </w:r>
      <w:r>
        <w:rPr>
          <w:noProof/>
          <w:color w:val="000000"/>
          <w:kern w:val="2"/>
          <w:lang w:val="en-GB" w:eastAsia="en-IN"/>
        </w:rPr>
        <w:pict w14:anchorId="3A8E7B17">
          <v:shape id="Straight Arrow Connector 15" o:spid="_x0000_s2137" type="#_x0000_t32" style="position:absolute;left:0;text-align:left;margin-left:193.2pt;margin-top:25.85pt;width:44.3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weight=".5pt">
            <v:stroke endarrow="block" joinstyle="miter"/>
          </v:shape>
        </w:pict>
      </w:r>
      <w:r>
        <w:rPr>
          <w:noProof/>
          <w:color w:val="000000"/>
          <w:kern w:val="2"/>
          <w:lang w:val="en-GB" w:eastAsia="en-IN"/>
        </w:rPr>
        <w:pict w14:anchorId="0714F428">
          <v:rect id="Rectangle 3" o:spid="_x0000_s2138" style="position:absolute;left:0;text-align:left;margin-left:44.05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weight="1pt">
            <v:textbox>
              <w:txbxContent>
                <w:p w14:paraId="007A1F32"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screened</w:t>
                  </w:r>
                </w:p>
                <w:p w14:paraId="680B7B9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=451)</w:t>
                  </w:r>
                </w:p>
              </w:txbxContent>
            </v:textbox>
          </v:rect>
        </w:pict>
      </w:r>
    </w:p>
    <w:p w14:paraId="722922E7" w14:textId="77777777" w:rsidR="005C1075" w:rsidRPr="005C1075" w:rsidRDefault="005C1075" w:rsidP="005C1075">
      <w:pPr>
        <w:ind w:left="10" w:right="56" w:hanging="10"/>
        <w:jc w:val="both"/>
        <w:rPr>
          <w:color w:val="000000"/>
          <w:kern w:val="2"/>
          <w:lang w:val="en-GB" w:eastAsia="en-IN"/>
        </w:rPr>
      </w:pPr>
    </w:p>
    <w:p w14:paraId="2F2CE551" w14:textId="77777777" w:rsidR="005C1075" w:rsidRPr="005C1075" w:rsidRDefault="005C1075" w:rsidP="005C1075">
      <w:pPr>
        <w:ind w:left="10" w:right="56" w:hanging="10"/>
        <w:jc w:val="both"/>
        <w:rPr>
          <w:color w:val="000000"/>
          <w:kern w:val="2"/>
          <w:lang w:val="en-GB" w:eastAsia="en-IN"/>
        </w:rPr>
      </w:pPr>
    </w:p>
    <w:p w14:paraId="68662678"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49E74AFE">
          <v:shape id="Straight Arrow Connector 35" o:spid="_x0000_s2140"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weight=".5pt">
            <v:stroke endarrow="block" joinstyle="miter"/>
          </v:shape>
        </w:pict>
      </w:r>
    </w:p>
    <w:p w14:paraId="31DEC5D3" w14:textId="77777777" w:rsidR="005C1075" w:rsidRPr="005C1075" w:rsidRDefault="005C1075" w:rsidP="005C1075">
      <w:pPr>
        <w:ind w:left="10" w:right="56" w:hanging="10"/>
        <w:jc w:val="both"/>
        <w:rPr>
          <w:color w:val="000000"/>
          <w:kern w:val="2"/>
          <w:lang w:val="en-GB" w:eastAsia="en-IN"/>
        </w:rPr>
      </w:pPr>
    </w:p>
    <w:p w14:paraId="4A580FA3"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4934CF69">
          <v:rect id="Rectangle 6" o:spid="_x0000_s2141"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weight="1pt">
            <v:textbox>
              <w:txbxContent>
                <w:p w14:paraId="45E0B8E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not retrieved</w:t>
                  </w:r>
                </w:p>
                <w:p w14:paraId="592391D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=29)</w:t>
                  </w:r>
                </w:p>
              </w:txbxContent>
            </v:textbox>
          </v:rect>
        </w:pict>
      </w:r>
      <w:r>
        <w:rPr>
          <w:noProof/>
          <w:color w:val="000000"/>
          <w:kern w:val="2"/>
          <w:lang w:val="en-GB" w:eastAsia="en-IN"/>
        </w:rPr>
        <w:pict w14:anchorId="0A05C085">
          <v:rect id="Rectangle 5" o:spid="_x0000_s2142"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weight="1pt">
            <v:textbox>
              <w:txbxContent>
                <w:p w14:paraId="4AD99E28"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sought for retrieval</w:t>
                  </w:r>
                </w:p>
                <w:p w14:paraId="1995321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=147)</w:t>
                  </w:r>
                </w:p>
              </w:txbxContent>
            </v:textbox>
          </v:rect>
        </w:pict>
      </w:r>
      <w:r>
        <w:rPr>
          <w:noProof/>
          <w:color w:val="000000"/>
          <w:kern w:val="2"/>
          <w:lang w:val="en-GB" w:eastAsia="en-IN"/>
        </w:rPr>
        <w:pict w14:anchorId="19B76BD6">
          <v:shape id="Straight Arrow Connector 16" o:spid="_x0000_s2143"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weight=".5pt">
            <v:stroke endarrow="block" joinstyle="miter"/>
          </v:shape>
        </w:pict>
      </w:r>
    </w:p>
    <w:p w14:paraId="2F5CADD8" w14:textId="77777777" w:rsidR="005C1075" w:rsidRPr="005C1075" w:rsidRDefault="005C1075" w:rsidP="005C1075">
      <w:pPr>
        <w:ind w:left="10" w:right="56" w:hanging="10"/>
        <w:jc w:val="both"/>
        <w:rPr>
          <w:color w:val="000000"/>
          <w:kern w:val="2"/>
          <w:lang w:val="en-GB" w:eastAsia="en-IN"/>
        </w:rPr>
      </w:pPr>
    </w:p>
    <w:p w14:paraId="1185F1D7" w14:textId="77777777" w:rsidR="005C1075" w:rsidRPr="005C1075" w:rsidRDefault="005C1075" w:rsidP="005C1075">
      <w:pPr>
        <w:ind w:left="10" w:right="56" w:hanging="10"/>
        <w:jc w:val="both"/>
        <w:rPr>
          <w:color w:val="000000"/>
          <w:kern w:val="2"/>
          <w:lang w:val="en-GB" w:eastAsia="en-IN"/>
        </w:rPr>
      </w:pPr>
    </w:p>
    <w:p w14:paraId="5A9B8BB0"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2CB0A917">
          <v:shape id="Straight Arrow Connector 36" o:spid="_x0000_s2144"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weight=".5pt">
            <v:stroke endarrow="block" joinstyle="miter"/>
          </v:shape>
        </w:pict>
      </w:r>
    </w:p>
    <w:p w14:paraId="1C4ABCD3"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1053A19D">
          <v:rect id="Rectangle 9" o:spid="_x0000_s2145" style="position:absolute;left:0;text-align:left;margin-left:240.75pt;margin-top:3.5pt;width:213.8pt;height:133.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weight="1pt">
            <v:textbox inset="1.5mm,1mm,1.5mm,1mm">
              <w:txbxContent>
                <w:p w14:paraId="59D3D26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excluded:</w:t>
                  </w:r>
                </w:p>
                <w:p w14:paraId="2E3B4A34"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Reason 1: Study population exclusively adult with no paediatric-relevant data or applicability discussion (n =38)</w:t>
                  </w:r>
                </w:p>
                <w:p w14:paraId="339A7ABE"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Reason 2: Outcome measure does not include haemoglobin concentration or a recognised iron status biomarker (n =31)</w:t>
                  </w:r>
                </w:p>
                <w:p w14:paraId="48639A4C"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Reason 3: Diagnostic method entirely invasive with no non-invasive comparator arm or relevance to non-invasive detection (n =22).</w:t>
                  </w:r>
                </w:p>
              </w:txbxContent>
            </v:textbox>
          </v:rect>
        </w:pict>
      </w:r>
    </w:p>
    <w:p w14:paraId="7A3AB4FA"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736BB7BC">
          <v:shape id="Straight Arrow Connector 17" o:spid="_x0000_s2146"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weight=".5pt">
            <v:stroke endarrow="block" joinstyle="miter"/>
          </v:shape>
        </w:pict>
      </w:r>
      <w:r>
        <w:rPr>
          <w:noProof/>
          <w:color w:val="000000"/>
          <w:kern w:val="2"/>
          <w:lang w:val="en-GB" w:eastAsia="en-IN"/>
        </w:rPr>
        <w:pict w14:anchorId="06748DE1">
          <v:rect id="Rectangle 8" o:spid="_x0000_s2147"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weight="1pt">
            <v:textbox>
              <w:txbxContent>
                <w:p w14:paraId="51E2D4C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assessed for eligibility</w:t>
                  </w:r>
                </w:p>
                <w:p w14:paraId="060AEF5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=118)</w:t>
                  </w:r>
                </w:p>
              </w:txbxContent>
            </v:textbox>
          </v:rect>
        </w:pict>
      </w:r>
    </w:p>
    <w:p w14:paraId="393DE237" w14:textId="77777777" w:rsidR="005C1075" w:rsidRPr="005C1075" w:rsidRDefault="005C1075" w:rsidP="005C1075">
      <w:pPr>
        <w:ind w:left="10" w:right="56" w:hanging="10"/>
        <w:jc w:val="both"/>
        <w:rPr>
          <w:color w:val="000000"/>
          <w:kern w:val="2"/>
          <w:lang w:val="en-GB" w:eastAsia="en-IN"/>
        </w:rPr>
      </w:pPr>
    </w:p>
    <w:p w14:paraId="161C3A84" w14:textId="77777777" w:rsidR="005C1075" w:rsidRPr="005C1075" w:rsidRDefault="005C1075" w:rsidP="005C1075">
      <w:pPr>
        <w:ind w:left="10" w:right="56" w:hanging="10"/>
        <w:jc w:val="both"/>
        <w:rPr>
          <w:color w:val="000000"/>
          <w:kern w:val="2"/>
          <w:lang w:val="en-GB" w:eastAsia="en-IN"/>
        </w:rPr>
      </w:pPr>
    </w:p>
    <w:p w14:paraId="53FD87F5"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4073977A">
          <v:shape id="Straight Arrow Connector 19" o:spid="_x0000_s2148"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weight=".5pt">
            <v:stroke endarrow="block" joinstyle="miter"/>
          </v:shape>
        </w:pict>
      </w:r>
    </w:p>
    <w:p w14:paraId="4055B013" w14:textId="77777777" w:rsidR="005C1075" w:rsidRPr="005C1075" w:rsidRDefault="005C1075" w:rsidP="005C1075">
      <w:pPr>
        <w:ind w:left="10" w:right="56" w:hanging="10"/>
        <w:jc w:val="both"/>
        <w:rPr>
          <w:color w:val="000000"/>
          <w:kern w:val="2"/>
          <w:lang w:val="en-GB" w:eastAsia="en-IN"/>
        </w:rPr>
      </w:pPr>
    </w:p>
    <w:p w14:paraId="32509C39" w14:textId="77777777" w:rsidR="005C1075" w:rsidRPr="005C1075" w:rsidRDefault="005C1075" w:rsidP="005C1075">
      <w:pPr>
        <w:ind w:left="10" w:right="56" w:hanging="10"/>
        <w:jc w:val="both"/>
        <w:rPr>
          <w:color w:val="000000"/>
          <w:kern w:val="2"/>
          <w:lang w:val="en-GB" w:eastAsia="en-IN"/>
        </w:rPr>
      </w:pPr>
    </w:p>
    <w:p w14:paraId="59860FF2" w14:textId="77777777" w:rsidR="005C1075" w:rsidRPr="005C1075" w:rsidRDefault="005C1075" w:rsidP="005C1075">
      <w:pPr>
        <w:ind w:left="10" w:right="56" w:hanging="10"/>
        <w:jc w:val="both"/>
        <w:rPr>
          <w:color w:val="000000"/>
          <w:kern w:val="2"/>
          <w:lang w:val="en-GB" w:eastAsia="en-IN"/>
        </w:rPr>
      </w:pPr>
    </w:p>
    <w:p w14:paraId="071E9D92" w14:textId="77777777" w:rsidR="005C1075" w:rsidRPr="005C1075" w:rsidRDefault="00000000" w:rsidP="005C1075">
      <w:pPr>
        <w:ind w:left="10" w:right="56" w:hanging="10"/>
        <w:jc w:val="both"/>
        <w:rPr>
          <w:color w:val="000000"/>
          <w:kern w:val="2"/>
          <w:lang w:val="en-GB" w:eastAsia="en-IN"/>
        </w:rPr>
      </w:pPr>
      <w:r>
        <w:rPr>
          <w:noProof/>
          <w:color w:val="000000"/>
          <w:kern w:val="2"/>
          <w:lang w:val="en-GB" w:eastAsia="en-IN"/>
        </w:rPr>
        <w:pict w14:anchorId="2D86F9A4">
          <v:rect id="Rectangle 13" o:spid="_x0000_s2149"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weight="1pt">
            <v:textbox>
              <w:txbxContent>
                <w:p w14:paraId="599107C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Report/Studies included in review (n = 27)</w:t>
                  </w:r>
                </w:p>
              </w:txbxContent>
            </v:textbox>
          </v:rect>
        </w:pict>
      </w:r>
    </w:p>
    <w:p w14:paraId="3C8F97AC" w14:textId="77777777" w:rsidR="005C1075" w:rsidRPr="005C1075" w:rsidRDefault="005C1075" w:rsidP="005C1075">
      <w:pPr>
        <w:ind w:left="10" w:right="56" w:hanging="10"/>
        <w:jc w:val="both"/>
        <w:rPr>
          <w:color w:val="000000"/>
          <w:kern w:val="2"/>
          <w:lang w:val="en-GB" w:eastAsia="en-IN"/>
        </w:rPr>
      </w:pPr>
    </w:p>
    <w:p w14:paraId="6BBA6CB6" w14:textId="77777777" w:rsidR="005C1075" w:rsidRPr="005C1075" w:rsidRDefault="005C1075" w:rsidP="005C1075">
      <w:pPr>
        <w:ind w:left="10" w:right="56" w:hanging="10"/>
        <w:jc w:val="both"/>
        <w:rPr>
          <w:color w:val="000000"/>
          <w:kern w:val="2"/>
          <w:lang w:val="en-GB" w:eastAsia="en-IN"/>
        </w:rPr>
      </w:pPr>
    </w:p>
    <w:p w14:paraId="69E96A0A" w14:textId="77777777" w:rsidR="005C1075" w:rsidRPr="005C1075" w:rsidRDefault="005C1075" w:rsidP="005C1075">
      <w:pPr>
        <w:ind w:left="10" w:right="56" w:hanging="10"/>
        <w:jc w:val="both"/>
        <w:rPr>
          <w:color w:val="000000"/>
          <w:kern w:val="2"/>
          <w:lang w:val="en-GB" w:eastAsia="en-IN"/>
        </w:rPr>
      </w:pPr>
    </w:p>
    <w:p w14:paraId="3A95FF70" w14:textId="77777777" w:rsidR="005C1075" w:rsidRPr="005C1075" w:rsidRDefault="005C1075" w:rsidP="005C1075">
      <w:pPr>
        <w:spacing w:before="100" w:beforeAutospacing="1" w:after="100" w:afterAutospacing="1"/>
        <w:jc w:val="center"/>
        <w:rPr>
          <w:lang w:val="en-GB"/>
        </w:rPr>
      </w:pPr>
      <w:r w:rsidRPr="005C1075">
        <w:rPr>
          <w:lang w:val="en-GB"/>
        </w:rPr>
        <w:t xml:space="preserve">Figure 1: </w:t>
      </w:r>
      <w:r>
        <w:rPr>
          <w:lang w:val="en-GB"/>
        </w:rPr>
        <w:t>Systematic</w:t>
      </w:r>
      <w:r w:rsidRPr="005C1075">
        <w:rPr>
          <w:lang w:val="en-GB"/>
        </w:rPr>
        <w:t xml:space="preserve"> methods of literature selection</w:t>
      </w:r>
    </w:p>
    <w:p w14:paraId="2775448E" w14:textId="77777777" w:rsidR="00A75838" w:rsidRDefault="002E489E">
      <w:pPr>
        <w:spacing w:after="160" w:line="360" w:lineRule="auto"/>
        <w:jc w:val="both"/>
      </w:pPr>
      <w:r>
        <w:t>Language was restricted to English. Studies involving human participants in the 0–5 year age group were prioritised, though studies in older children, adults, or mixed-age populations were included when they provided relevant data on tool performance that could reasonably be extrapolated to the paediatric context given the absence of age-specific evidence. Studies were excluded if they were published only as conference proceedings or grey literature without peer review, if they reported exclusively on invasive laboratory methods without comparison to a non-invasive modality, or if they were primarily concerned with therapeutic interventions rather than diagnostic technologies.</w:t>
      </w:r>
    </w:p>
    <w:p w14:paraId="58D3BF65" w14:textId="77777777" w:rsidR="00A75838" w:rsidRDefault="002E489E">
      <w:pPr>
        <w:spacing w:after="160" w:line="360" w:lineRule="auto"/>
        <w:jc w:val="both"/>
      </w:pPr>
      <w:r>
        <w:lastRenderedPageBreak/>
        <w:t xml:space="preserve">Duplicate records identified across databases were removed during the initial screening phase through comparison of title, author, and year fields. The title and abstract of each retrieved record were screened for relevance to the review topic, with full-text review conducted for all papers passing initial screening. "Influential" studies were defined pragmatically as those those published in </w:t>
      </w:r>
      <w:r w:rsidR="005B6859">
        <w:t>quality</w:t>
      </w:r>
      <w:r>
        <w:t xml:space="preserve"> peer-reviewed journals, or those representing the primary validation publication for a specific technology platform. Official reports and guidelines from the World Health Organization,</w:t>
      </w:r>
      <w:r w:rsidR="00954029">
        <w:t xml:space="preserve"> UNESCO</w:t>
      </w:r>
      <w:r>
        <w:t xml:space="preserve"> </w:t>
      </w:r>
      <w:r w:rsidR="005B6859">
        <w:t>etc</w:t>
      </w:r>
      <w:r>
        <w:t xml:space="preserve"> and equivalent intergovernmental bodies were incorporated where they provided epidemiological data, diagnostic thresholds, or programmatic guidance not available from primary research literature. All web links for reports lacking DOIs were verified at the time of manuscript preparation.</w:t>
      </w:r>
      <w:r w:rsidR="005C1075">
        <w:t xml:space="preserve"> </w:t>
      </w:r>
    </w:p>
    <w:p w14:paraId="4E626E4A" w14:textId="77777777" w:rsidR="005C1075" w:rsidRDefault="005C1075">
      <w:pPr>
        <w:spacing w:after="160" w:line="360" w:lineRule="auto"/>
        <w:jc w:val="both"/>
      </w:pPr>
    </w:p>
    <w:p w14:paraId="312DFC9A" w14:textId="77777777" w:rsidR="00A75838" w:rsidRDefault="00A75838">
      <w:pPr>
        <w:spacing w:after="160"/>
      </w:pPr>
    </w:p>
    <w:p w14:paraId="4C40731E" w14:textId="77777777" w:rsidR="00A75838" w:rsidRDefault="002E489E">
      <w:pPr>
        <w:pStyle w:val="Heading1"/>
      </w:pPr>
      <w:r>
        <w:t>3. Epidemiology and Global Burden of Iron Deficiency Anaemia in Children Aged 0–5 Years</w:t>
      </w:r>
    </w:p>
    <w:p w14:paraId="5F8D1133" w14:textId="77777777" w:rsidR="00A75838" w:rsidRDefault="002E489E">
      <w:pPr>
        <w:spacing w:after="160" w:line="360" w:lineRule="auto"/>
        <w:jc w:val="both"/>
      </w:pPr>
      <w:r>
        <w:t>The global prevalence of anaemia among children under five years of age is estimated at approximately 40 per cent, representing roughly 270 million children and making it one of the foremost public health challenges of the twenty-first century (de Benoist et al., 2008; WHO, 2011). The Global Burden of Disease 2019 study confirmed that iron deficiency anaemia remains the leading cause of years lived with disability attributable to nutritional disorders across all age groups, with the burden disproportionately concentrated in sub-Saharan Africa and South Asia (GBD 2019 Diseases and Injuries Collaborators, 2020). In these regions, prevalence estimates for anaemia in children under five frequently exceed 60 per cent, though it is important to note that not all anaemia in endemic settings is attributable solely to iron deficiency, given the confounding roles of malaria, haemoglobinopathies, and chronic infection (Chaparro &amp; Suchdev, 2019).</w:t>
      </w:r>
    </w:p>
    <w:p w14:paraId="41D9C06C" w14:textId="77777777" w:rsidR="00A75838" w:rsidRDefault="002E489E">
      <w:pPr>
        <w:spacing w:after="160" w:line="360" w:lineRule="auto"/>
        <w:jc w:val="both"/>
      </w:pPr>
      <w:r>
        <w:t xml:space="preserve">McLean et al. (2009) analysed WHO Vitamin and Mineral Nutrition Information System data from 1993 to 2005 and estimated that approximately 47.4 per cent of preschool-aged children globally were anaemic during this period, with Africa exhibiting a prevalence of 67.6 per cent and South-East Asia 65.5 per cent. More recent estimates suggest modest improvements in some regions, but the absolute numbers remain enormous given continued population growth (Kassebaum et al., 2014). The burden is particularly acute in the first 24 months of life, coinciding with the period of greatest neurological vulnerability and the progressive depletion </w:t>
      </w:r>
      <w:r>
        <w:lastRenderedPageBreak/>
        <w:t>of foetal iron stores, which are typically exhausted by four to six months of age in exclusively breastfed infants (Rao &amp; Georgieff, 2007). Preterm and low-birthweight infants are at especially elevated risk because they accumulate less iron in utero relative to their subsequent metabolic needs, and are frequently discharged into care environments that cannot afford iron-fortified formula or supplemental drops.</w:t>
      </w:r>
    </w:p>
    <w:p w14:paraId="59B7C27A" w14:textId="77777777" w:rsidR="00A75838" w:rsidRDefault="002E489E">
      <w:pPr>
        <w:spacing w:after="160" w:line="360" w:lineRule="auto"/>
        <w:jc w:val="both"/>
      </w:pPr>
      <w:r>
        <w:t>The epidemiological picture is further complicated by the relationship between iron deficiency and systemic inflammation. C-reactive protein and other acute-phase reactants suppress serum ferritin, transferrin, and other iron biomarkers in ways that can both mask true iron deficiency and create false impressions of adequate iron status in inflamed children (Suchdev et al., 2017). This has profound implications for the interpretation of screening programmes in settings where infectious diseases are endemic, and it partly explains the persisting diagnostic uncertainty around IDA even in well-resourced research contexts. Careful epidemiological modelling that applies inflammation-adjusted correction factors to ferritin data consistently reveals higher true prevalence of iron depletion than unadjusted analyses suggest.</w:t>
      </w:r>
    </w:p>
    <w:p w14:paraId="79ACBAF4" w14:textId="77777777" w:rsidR="00A75838" w:rsidRDefault="002E489E">
      <w:pPr>
        <w:spacing w:after="160" w:line="360" w:lineRule="auto"/>
        <w:jc w:val="both"/>
      </w:pPr>
      <w:r>
        <w:t>UNICEF (2019) highlighted that food insecurity, inadequate complementary feeding practices, and low dietary diversity are among the most proximal determinants of IDA in children under five. Regions with high cereal-based diets and limited access to animal-source foods face structurally elevated IDA risk, as do communities with high rates of helminth infection and Plasmodium falciparum malaria. The economic consequences of this burden are considerable: Horton and Ross (2003) estimated that IDA reduces individual economic productivity by between 5 and 17 per cent depending on its severity and the nature of work involved, and that the annual economic loss attributable to iron deficiency across LMICs amounts to billions of US dollars annually, underscoring the strong case for cost-effective community-level screening and early intervention programmes at population scale.</w:t>
      </w:r>
    </w:p>
    <w:p w14:paraId="728D0D69" w14:textId="77777777" w:rsidR="00A75838" w:rsidRDefault="00A75838">
      <w:pPr>
        <w:spacing w:after="160"/>
      </w:pPr>
    </w:p>
    <w:p w14:paraId="28486F34" w14:textId="77777777" w:rsidR="00A75838" w:rsidRDefault="002E489E">
      <w:pPr>
        <w:pStyle w:val="Heading1"/>
      </w:pPr>
      <w:r>
        <w:t>4. Pathophysiology and Developmental Consequences of Iron Deficiency Anaemia in Early Childhood</w:t>
      </w:r>
    </w:p>
    <w:p w14:paraId="7DDEF3AE" w14:textId="77777777" w:rsidR="00A75838" w:rsidRDefault="002E489E">
      <w:pPr>
        <w:spacing w:after="160" w:line="360" w:lineRule="auto"/>
        <w:jc w:val="both"/>
      </w:pPr>
      <w:r>
        <w:t xml:space="preserve">Understanding the pathophysiology of IDA in the 0–5 year age group is essential to appreciating the urgency of timely, accessible detection. Dietary iron is absorbed primarily in the duodenum and proximal jejunum, where it exists either as haem iron from animal-source foods or as non-haem iron from plant-based sources. Non-haem iron absorption is </w:t>
      </w:r>
      <w:r>
        <w:lastRenderedPageBreak/>
        <w:t>considerably more variable and is inhibited by phytates, polyphenols, and calcium, and is enhanced by ascorbic acid, explaining the importance of dietary quality and composition beyond total iron intake alone (Camaschella, 2015). Absorbed iron is transported in plasma bound to transferrin and is stored primarily as ferritin in hepatocytes and reticuloendothelial macrophages. Iron deficiency progresses through sequential physiological stages: in the first stage, iron stores are depleted without anaemia; in the second stage, iron-deficient erythropoiesis ensues with microcytic, hypochromic red cell production and rising zinc protoporphyrin concentrations; and in the third and clinically recognisable stage, frank anaemia develops with haemoglobin falling below the WHO age-specific threshold (Pasricha et al., 2021).</w:t>
      </w:r>
    </w:p>
    <w:p w14:paraId="6D375996" w14:textId="77777777" w:rsidR="00A75838" w:rsidRDefault="002E489E">
      <w:pPr>
        <w:spacing w:after="160" w:line="360" w:lineRule="auto"/>
        <w:jc w:val="both"/>
      </w:pPr>
      <w:r>
        <w:t>In young children, this progression is accelerated by the extraordinary demands of growth. Body iron requirements per kilogram of body weight are several-fold higher in infancy and early childhood than at any other life stage, and the exclusive reliance on breast milk — which, though it contains highly bioavailable iron, contains little iron in absolute terms — creates a period of physiological vulnerability in the months following birth (Rao &amp; Georgieff, 2007). Compounding this, many complementary feeding practices in LMICs introduce iron-poor staple cereals as first foods, perpetuating inadequate iron intake through the critical 6–24 month window when post-foetal iron stores have typically been fully exhausted and dietary supply is the only remaining source of iron for haemopoiesis and brain development.</w:t>
      </w:r>
    </w:p>
    <w:p w14:paraId="7F74C799" w14:textId="77777777" w:rsidR="00A75838" w:rsidRDefault="002E489E">
      <w:pPr>
        <w:spacing w:after="160" w:line="360" w:lineRule="auto"/>
        <w:jc w:val="both"/>
      </w:pPr>
      <w:r>
        <w:t xml:space="preserve">The neurodevelopmental consequences of IDA in this age group have been documented extensively. Iron is essential for the synthesis of myelin, and the process of myelination is critically time-sensitive in the developing brain’s white matter tracts — a developmental window that, once missed, cannot be fully compensated by later iron repletion. Additionally, iron is a cofactor for enzymes involved in the synthesis of dopamine, serotonin, and noradrenaline, and deficits in these monoaminergic systems have been linked to impaired attention, working memory consolidation, and socioemotional development in longitudinal studies (Georgieff, 2011; Lozoff &amp; Georgieff, 2006). Some of these deficits appear to persist even after corrective iron therapy, suggesting that the timing of repletion relative to the developmental window is as important as its eventual completion. This potential irreversibility makes early detection — ideally in the pre-anaemic iron deficiency stage — particularly important from a public health perspective, and it strengthens the case for </w:t>
      </w:r>
      <w:r>
        <w:lastRenderedPageBreak/>
        <w:t>population-level, non-invasive screening approaches that can be applied before clinical symptoms or measurable haemoglobin depression are manifest.</w:t>
      </w:r>
    </w:p>
    <w:p w14:paraId="3E1A3F61" w14:textId="77777777" w:rsidR="00A75838" w:rsidRDefault="002E489E">
      <w:pPr>
        <w:spacing w:after="160" w:line="360" w:lineRule="auto"/>
        <w:jc w:val="both"/>
      </w:pPr>
      <w:r>
        <w:t>Beyond neurological impact, IDA in early childhood is associated with impaired immune function, with iron deficiency both reducing cellular immunity and altering the tissue microenvironment in complex ways. There is evidence that IDA reduces thymic volume, impairs T-lymphocyte proliferative responses, and diminishes natural killer cell activity, leaving affected children more susceptible to respiratory and gastrointestinal infections (Stoltzfus, 2001). These infections, in turn, exacerbate nutritional deficits through anorexia, malabsorption, and increased metabolic demands, creating a vicious cycle that is difficult to interrupt without both nutritional and clinical intervention. The bidirectional interaction between IDA and infection — mediated in part by hepcidin, the master regulator of iron homeostasis — further complicates diagnostic interpretation and underscores the importance of detecting iron status in contexts where infectious co-morbidities are common (Pasricha et al., 2021; Camaschella, 2015). In practical terms, a child with severe malaria may have both markedly suppressed haemoglobin and markedly elevated ferritin, creating a diagnostic picture that could falsely suggest adequate iron stores without the contextual framework to interpret the acute-phase response.</w:t>
      </w:r>
    </w:p>
    <w:p w14:paraId="0FFE3D64" w14:textId="77777777" w:rsidR="00A75838" w:rsidRDefault="00A75838">
      <w:pPr>
        <w:spacing w:after="160"/>
      </w:pPr>
    </w:p>
    <w:p w14:paraId="2785CDF1" w14:textId="77777777" w:rsidR="00A75838" w:rsidRDefault="002E489E">
      <w:pPr>
        <w:pStyle w:val="Heading1"/>
      </w:pPr>
      <w:r>
        <w:t>5. Standard Diagnostic Approaches and Their Limitations in Paediatric Settings</w:t>
      </w:r>
    </w:p>
    <w:p w14:paraId="533A5B42" w14:textId="77777777" w:rsidR="00A75838" w:rsidRDefault="002E489E">
      <w:pPr>
        <w:spacing w:after="160" w:line="360" w:lineRule="auto"/>
        <w:jc w:val="both"/>
      </w:pPr>
      <w:r>
        <w:t>The gold-standard diagnostic approach for IDA combines measurement of haemoglobin or haematocrit — typically from a venous blood sample — with assessment of iron status through serum ferritin, transferrin saturation, or soluble transferrin receptor. The WHO haemoglobin threshold for anaemia in children under five years is 110 g/L at sea level, with specific upward adjustments applied for children residing at altitudes above 1,000 metres, the magnitude of these adjustments increasing proportionally with elevation (WHO, 2011). Whilst haemoglobin measurement alone cannot confirm iron deficiency as the cause of anaemia, its simplicity and relatively low cost make it the most widely used screening parameter in both clinical and population-level surveillance settings.</w:t>
      </w:r>
    </w:p>
    <w:p w14:paraId="00CBE279" w14:textId="77777777" w:rsidR="00A75838" w:rsidRDefault="002E489E">
      <w:pPr>
        <w:spacing w:after="160" w:line="360" w:lineRule="auto"/>
        <w:jc w:val="both"/>
      </w:pPr>
      <w:r>
        <w:t xml:space="preserve">Laboratory measurement of serum ferritin provides the most sensitive marker of iron depletion, with values below 12 µg/L in children under five indicating depleted iron stores in the absence of inflammation. However, ferritin is a positive acute-phase reactant, meaning </w:t>
      </w:r>
      <w:r>
        <w:lastRenderedPageBreak/>
        <w:t>that infections and inflammatory states spuriously elevate ferritin levels and can mask true iron deficiency in individual and population assessments (Suchdev et al., 2017). Measurement of C-reactive protein alongside ferritin has been recommended to enable inflammation-adjusted interpretation, but this adds cost and analytical complexity that is rarely feasible at primary health care level. Transferrin saturation below 16 per cent and elevated free erythrocyte protoporphyrin or zinc protoporphyrin (ZPP) provide complementary evidence of iron-restricted erythropoiesis. ZPP is particularly valuable in the field context because it can be measured on a single drop of whole blood using a portable haematofluorometer, without serum separation or cold-chain transport, making it substantially more amenable to field conditions than serum-based tests (Labbe et al., 1999). The reticulocyte haemoglobin content — a marker of iron availability for erythropoiesis during the preceding days — can be measured on automated haematology analysers and has been proposed as a useful paediatric indicator, as it reflects functional iron status without the confounding effects of chronic inflammation on ferritin (Thomas &amp; Thomas, 2002).</w:t>
      </w:r>
    </w:p>
    <w:p w14:paraId="28BBFA39" w14:textId="77777777" w:rsidR="00A75838" w:rsidRDefault="002E489E">
      <w:pPr>
        <w:spacing w:after="160" w:line="360" w:lineRule="auto"/>
        <w:jc w:val="both"/>
      </w:pPr>
      <w:r>
        <w:t>Despite the existence of these established markers, their widespread deployment in LMICs faces serious structural barriers. In many sub-Saharan African and South Asian settings, the majority of children are born and attend primary care at facilities that lack functioning haematology analysers, centrifuges, or reliable electricity supply. Even point-of-care capillary haemoglobin measurement — using devices such as the HemoCue photometer — requires finger-prick lancets, photometric cuvettes, trained operators, quality-control procedures, and battery or mains electricity (Nkrumah et al., 2011). Cold-chain requirements for serum ferritin measurement make those tests essentially unavailable at the community health worker level in many settings. The net result is that IDA in children under five is frequently treated presumptively without laboratory confirmation, or missed entirely, particularly in populations with limited access to primary health care facilities (Chaparro &amp; Suchdev, 2019).</w:t>
      </w:r>
    </w:p>
    <w:p w14:paraId="4E7B3460" w14:textId="77777777" w:rsidR="00A75838" w:rsidRDefault="002E489E">
      <w:pPr>
        <w:spacing w:after="160" w:line="360" w:lineRule="auto"/>
        <w:jc w:val="both"/>
      </w:pPr>
      <w:r>
        <w:t xml:space="preserve">In the specific context of children aged 0–5 years, additional paediatric challenges arise. The peripheral veins of infants and toddlers are small and difficult to cannulate reliably, and heel-prick or finger-prick procedures are distressing for both child and caregiver, often resulting in sub-optimal sample quality through haemolysis, skin fluid contamination, or inadequate sample volume. These factors reduce both the acceptability of repeated testing and the quality of data obtained from community screening exercises. Furthermore, reference ranges for iron indices in early childhood show considerable developmental variation, requiring age-specific cutoffs that are not always available in simplified point-of-care formats or familiar to </w:t>
      </w:r>
      <w:r>
        <w:lastRenderedPageBreak/>
        <w:t>community health workers. Taken together, these limitations create a compelling argument for alternatives that can deliver comparable diagnostic information without blood sampling, or with greatly reduced requirements for skill, equipment, and infrastructure.</w:t>
      </w:r>
    </w:p>
    <w:p w14:paraId="679519C8" w14:textId="77777777" w:rsidR="00A75838" w:rsidRDefault="00A75838">
      <w:pPr>
        <w:spacing w:after="160"/>
      </w:pPr>
    </w:p>
    <w:p w14:paraId="5E0AFA27" w14:textId="77777777" w:rsidR="00A75838" w:rsidRDefault="002E489E">
      <w:pPr>
        <w:pStyle w:val="Heading1"/>
      </w:pPr>
      <w:r>
        <w:t>6. Non-Invasive Detection Tools: An Overview</w:t>
      </w:r>
    </w:p>
    <w:p w14:paraId="662B849B" w14:textId="77777777" w:rsidR="00A75838" w:rsidRDefault="002E489E">
      <w:pPr>
        <w:spacing w:after="160" w:line="360" w:lineRule="auto"/>
        <w:jc w:val="both"/>
      </w:pPr>
      <w:r>
        <w:t>The landscape of non-invasive tools for IDA detection spans a wide spectrum of technical sophistication, each with distinct strengths and limitations relative to the demands of paediatric practice in resource-limited settings. This section systematically reviews each major category of approach, considering the evidence base for accuracy, operational requirements, and potential for integration into public health programmes targeting children aged 0–5 years. For the purposes of this review, a tool is considered "non-invasive" if it does not require skin puncture, venepuncture, or blood sampling of any kind; tools requiring only a small volume of capillary blood obtained by finger or heel prick are described as "minimally invasive" or "near-point-of-care" and are discussed as relevant comparators.</w:t>
      </w:r>
    </w:p>
    <w:p w14:paraId="2E8B115D" w14:textId="77777777" w:rsidR="00A75838" w:rsidRDefault="002E489E">
      <w:pPr>
        <w:pStyle w:val="Heading2"/>
      </w:pPr>
      <w:r>
        <w:t>6.1 Clinical Pallor Assessment</w:t>
      </w:r>
    </w:p>
    <w:p w14:paraId="2825FB92" w14:textId="77777777" w:rsidR="00A75838" w:rsidRDefault="002E489E">
      <w:pPr>
        <w:spacing w:after="160" w:line="360" w:lineRule="auto"/>
        <w:jc w:val="both"/>
      </w:pPr>
      <w:r>
        <w:t>The most elementary approach to non-invasive IDA detection is the clinical assessment of pallor — the visible manifestation of reduced haemoglobin concentration in the skin, mucous membranes, nail beds, and conjunctivae. Pallor assessment forms the cornerstone of the WHO Integrated Management of Childhood Illness (IMCI) algorithm, which recommends examination of the palmar, conjunctival, and nail-bed colour as a first-line screening step for anaemia at primary health care level (WHO/UNICEF, 2014). The conjunctivae, being highly vascularised and relatively unpigmented irrespective of skin tone, are generally considered the most reliable anatomical site for pallor assessment across ethnically diverse populations (Kalter et al., 1997).</w:t>
      </w:r>
    </w:p>
    <w:p w14:paraId="5430E143" w14:textId="77777777" w:rsidR="00A75838" w:rsidRDefault="002E489E">
      <w:pPr>
        <w:spacing w:after="160" w:line="360" w:lineRule="auto"/>
        <w:jc w:val="both"/>
      </w:pPr>
      <w:r>
        <w:t xml:space="preserve">The sensitivity and specificity of pallor assessment in detecting anaemia varies considerably across studies and settings. In the foundational evaluation by Kalter et al. (1997) conducted across Uganda and Bangladesh, conjunctival pallor demonstrated moderate sensitivity but was subject to significant inter-observer variability, particularly among less experienced health workers. Subsequent studies have confirmed that clinical pallor assessment, whilst operationally convenient, typically achieves sensitivity of approximately 50–60 per cent for detecting haemoglobin below 80 g/L and lower still for mild anaemia, making it inadequate </w:t>
      </w:r>
      <w:r>
        <w:lastRenderedPageBreak/>
        <w:t>as a standalone diagnostic tool, particularly in detecting pre-anaemic iron deficiency or mild-to-moderate anaemia in the 0–5 year group (Stoltzfus, 2001). Its specificity is similarly variable, as pallor may be influenced by ambient lighting conditions, skin temperature, patient distress, and examiner experience. Despite these well-documented limitations, pallor assessment retains an important practical role as the universal zero-cost, zero-equipment triage step in community health settings.</w:t>
      </w:r>
    </w:p>
    <w:p w14:paraId="723E9D48" w14:textId="77777777" w:rsidR="00A75838" w:rsidRDefault="002E489E">
      <w:pPr>
        <w:spacing w:after="160" w:line="360" w:lineRule="auto"/>
        <w:jc w:val="both"/>
      </w:pPr>
      <w:r>
        <w:t>The WHO IMCI algorithm explicitly incorporates pallor as a decision node for identifying children at risk, with "severe palmar pallor" triggering a referral pathway and "some pallor" triggering investigation and empirical iron supplementation in settings where laboratory confirmation is unavailable (WHO/UNICEF, 2014). Standardised training programmes using photographic reference cards or digital colour matching tools have been proposed as means of improving inter-observer reliability in community health worker cadres (Dimauro et al., 2019). Whilst pallor assessment cannot detect the pre-anaemic stages of iron deficiency — when intervention would be most effective for preventing neurodevelopmental consequences — its universal accessibility and zero marginal cost make it an important component of any tiered, multi-modal community screening strategy.</w:t>
      </w:r>
    </w:p>
    <w:p w14:paraId="6724BA1B" w14:textId="77777777" w:rsidR="00A75838" w:rsidRDefault="002E489E">
      <w:pPr>
        <w:pStyle w:val="Heading2"/>
      </w:pPr>
      <w:r>
        <w:t>6.2 Point-of-Care Colorimetric and Photometric Devices</w:t>
      </w:r>
    </w:p>
    <w:p w14:paraId="07048DD5" w14:textId="77777777" w:rsidR="00A75838" w:rsidRDefault="002E489E">
      <w:pPr>
        <w:spacing w:after="160" w:line="360" w:lineRule="auto"/>
        <w:jc w:val="both"/>
      </w:pPr>
      <w:r>
        <w:t>The most widely deployed near-point-of-care technology for haemoglobin measurement in LMICs is the HemoCue haemoglobin system, a portable photometric device that measures haemoglobin in a disposable microcuvette filled with a single drop of capillary blood obtained from a finger or heel prick. The HemoCue HB 301 and its predecessors have been extensively validated against automated haematology analysers across diverse clinical and field settings, and the device has been incorporated into WHO, UNICEF, and national government anaemia surveillance programmes as a practical field standard (Nkrumah et al., 2011). It requires no external electrical calibration, delivers a result in approximately one minute, and can be operated by health workers with minimal formal laboratory training. In the validation study by Nkrumah et al. (2011), conducted in a resource-poor Ghanaian setting, the HemoCue demonstrated acceptable performance relative to laboratory coulter-based haematology, with a level of precision considered acceptable for community-level screening, though performance was found to be influenced by operator technique and sample quality.</w:t>
      </w:r>
    </w:p>
    <w:p w14:paraId="54C1C6B2" w14:textId="77777777" w:rsidR="00A75838" w:rsidRDefault="002E489E">
      <w:pPr>
        <w:spacing w:after="160" w:line="360" w:lineRule="auto"/>
        <w:jc w:val="both"/>
      </w:pPr>
      <w:r>
        <w:lastRenderedPageBreak/>
        <w:t>Whilst the HemoCue and similar capillary photometric devices — including the Haemoglobin Color Scale originally developed by WHO, the StatStrip haemoglobin system, and several newer microfluidic platforms — represent the current standard for low-resource haemoglobin measurement, they remain technically invasive in that they require a blood sample. They are reviewed here because they occupy an important intermediate position between full laboratory diagnostics and truly non-contact methods, and because their performance characteristics provide an essential practical benchmark against which newer non-invasive technologies must be evaluated. Neufeld et al. (2019) documented important sources of variability in haemoglobin measurement using point-of-care capillary devices and highlighted the distinction between venous and capillary measurements as a persistent confound in population surveys. Newer microfluidic laboratory-on-a-chip platforms are under development that aim to simultaneously measure haemoglobin, zinc protoporphyrin, and C-reactive protein from a single heel-prick sample, potentially enabling comprehensive IDA screening inclusive of inflammation adjustment in a single, low-cost, field-operable device format.</w:t>
      </w:r>
    </w:p>
    <w:p w14:paraId="28F07BD9" w14:textId="77777777" w:rsidR="00A75838" w:rsidRDefault="002E489E">
      <w:pPr>
        <w:pStyle w:val="Heading2"/>
      </w:pPr>
      <w:r>
        <w:t>6.3 Transcutaneous and Optical Spectroscopy-Based Methods</w:t>
      </w:r>
    </w:p>
    <w:p w14:paraId="2CCBFDDD" w14:textId="77777777" w:rsidR="00A75838" w:rsidRDefault="002E489E">
      <w:pPr>
        <w:spacing w:after="160" w:line="360" w:lineRule="auto"/>
        <w:jc w:val="both"/>
      </w:pPr>
      <w:r>
        <w:t>Transcutaneous or non-invasive haemoglobin monitoring based on pulse co-oximetry represents one of the most technologically developed categories of non-invasive detection currently available as a commercial product. The Masimo Radical-7 Pulse CO-Oximeter with SpHb® (non-invasive haemoglobin) functionality uses continuous-wave multiwavelength photoplethysmography to estimate blood haemoglobin concentration through intact skin, exploiting the specific absorption spectra of oxyhaemoglobin, deoxyhaemoglobin, carboxyhaemoglobin, and methaemoglobin at multiple near-infrared wavelengths to calculate total haemoglobin (Lamhaut et al., 2011). Lamhaut et al. (2011) compared SpHb with the HemoCue and laboratory coulter measurements in 44 patients undergoing major urological surgery and reported a mean bias of approximately 0.2 g/dL relative to the laboratory analyser, though variability was substantially higher in haemodynamically unstable conditions. The finding that clinical haemostability is a major determinant of SpHb accuracy has direct implications for its paediatric applicability, given that young children with IDA in LMIC settings are frequently febrile, dehydrated, or acutely unwell.</w:t>
      </w:r>
    </w:p>
    <w:p w14:paraId="28D6CC72" w14:textId="77777777" w:rsidR="00A75838" w:rsidRDefault="002E489E">
      <w:pPr>
        <w:spacing w:after="160" w:line="360" w:lineRule="auto"/>
        <w:jc w:val="both"/>
      </w:pPr>
      <w:r>
        <w:t xml:space="preserve">In the paediatric context, transcutaneous spectroscopy faces specific challenges that deserve careful attention. The signal-to-noise ratio of photoplethysmographic measurements is </w:t>
      </w:r>
      <w:r>
        <w:lastRenderedPageBreak/>
        <w:t>affected by peripheral perfusion state, skin pigmentation, motion artefact, and sensor placement geometry. Infants and toddlers are particularly prone to movement artefact and peripheral vasoconstriction secondary to cold stress or fever, which significantly degrades signal quality. Published studies of SpHb across different clinical populations have demonstrated that performance may be substantially worse in paediatric patients compared to healthy adults, with haemodynamic instability — common in acutely ill infants — being the principal source of imprecision. The capital cost of commercially available transcutaneous spectroscopy devices, typically several thousand US dollars per unit, also constrains their deployment in primary health care settings in LMICs, where the cost per device must be weighed against the annual number of children screened.</w:t>
      </w:r>
    </w:p>
    <w:p w14:paraId="536DFDFD" w14:textId="77777777" w:rsidR="00A75838" w:rsidRDefault="002E489E">
      <w:pPr>
        <w:spacing w:after="160" w:line="360" w:lineRule="auto"/>
        <w:jc w:val="both"/>
      </w:pPr>
      <w:r>
        <w:t>Near-infrared spectroscopy (NIRS) applied to the conjunctiva or nail bed has also been explored as a potentially more affordable variant. Research groups have developed handheld diffuse reflectance spectroscopy probes that interrogate the microvascular haemoglobin of the conjunctiva or eyelid palpebral surface, exploiting the high vascularity and optical accessibility of these tissues for quantitative spectroscopic analysis (Dimauro et al., 2019). Proof-of-concept studies have demonstrated correlations between conjunctival spectral measurements and venous haemoglobin in adult and paediatric populations, though the translation of these devices into field-deployable prototypes capable of withstanding the demands of tropical primary health care environments has not yet been fully achieved for the paediatric age group, and large-scale validation studies specifically in children aged 0–5 years are conspicuously absent from the published literature.</w:t>
      </w:r>
    </w:p>
    <w:p w14:paraId="3DB5C52D" w14:textId="77777777" w:rsidR="00A75838" w:rsidRDefault="002E489E">
      <w:pPr>
        <w:pStyle w:val="Heading2"/>
      </w:pPr>
      <w:r>
        <w:t>6.4 Smartphone-Based Digital Imaging Applications</w:t>
      </w:r>
    </w:p>
    <w:p w14:paraId="015A2944" w14:textId="77777777" w:rsidR="00A75838" w:rsidRDefault="002E489E">
      <w:pPr>
        <w:spacing w:after="160" w:line="360" w:lineRule="auto"/>
        <w:jc w:val="both"/>
      </w:pPr>
      <w:r>
        <w:t>The proliferation of smartphones with high-resolution cameras, powerful onboard processors, and connectivity to cloud computing infrastructure has created a new and rapidly expanding category of non-invasive diagnostic tools that are particularly relevant to LMICs, where smartphone penetration now exceeds 50 per cent in many countries even at relatively modest income levels. Smartphone-based anaemia detection tools exploit the relationship between mucosal or skin colour — as captured in digital photographs — and underlying haemoglobin concentration, either through direct pixel-colour analysis or through machine learning algorithms trained on large datasets of images paired with concurrent laboratory haemoglobin measurements.</w:t>
      </w:r>
    </w:p>
    <w:p w14:paraId="7AEDC7FA" w14:textId="77777777" w:rsidR="00A75838" w:rsidRDefault="002E489E">
      <w:pPr>
        <w:spacing w:after="160" w:line="360" w:lineRule="auto"/>
        <w:jc w:val="both"/>
      </w:pPr>
      <w:r>
        <w:lastRenderedPageBreak/>
        <w:t>The landmark study by Mannino et al. (2018), published in Nature Communications, demonstrated that a smartphone application could estimate haemoglobin concentration from photographs of a patient’s fingernail beds taken under ambient lighting, without any additional hardware or external equipment. The application estimated haemoglobin by analysing the colour characteristics and metadata of fingernail bed smartphone photographs, using a machine learning algorithm trained on the image data. In a clinical validation cohort of 100 subjects with diverse anaemia aetiologies, the application achieved an accuracy of ±2.4 g/dL relative to laboratory complete blood count haemoglobin values, and detected anaemia defined as haemoglobin below 12.5 g/dL with a sensitivity of 97 per cent (95% CI, 89–100%). The authors additionally demonstrated that with personalised calibration, the system achieved an accuracy of ±0.92 g/dL, with potential application for serial home monitoring by individuals with chronic anaemia (Mannino et al., 2018). The approach performed across a range of skin tones and lighting conditions, suggesting potential applicability in the diverse populations affected by IDA, though the clinical threshold used in the study (12.5 g/dL) reflects the adult female anaemia definition and direct validation at the paediatric threshold of 110 g/L has not yet been published.</w:t>
      </w:r>
    </w:p>
    <w:p w14:paraId="0F1DBD75" w14:textId="77777777" w:rsidR="00A75838" w:rsidRDefault="002E489E">
      <w:pPr>
        <w:spacing w:after="160" w:line="360" w:lineRule="auto"/>
        <w:jc w:val="both"/>
      </w:pPr>
      <w:r>
        <w:t>Analogous approaches have been applied to conjunctival images, eyelid palpebral conjunctival photographs, and palmar photographs in both adults and children. The conjunctival approach has attracted particular interest because conjunctival colour is less influenced by skin melanin content than palmar or nail-bed measurements, and because the conjunctiva has long served as the reference site for clinical pallor assessment. Dimauro et al. (2019) developed an automated image analysis system for detecting clinical signs of anaemia from digital images of the palpebral conjunctiva, reporting encouraging results in a validation dataset. Whilst conducted primarily in adults, this methodology is conceptually transferable to young children, where caregiver-assisted image capture under appropriate conditions could yield adequate conjunctival images for automated analysis. The practical challenge of standardising image capture in uncooperative toddlers — who may resist eyelid retraction and maintain unpredictable gaze directions — requires specific procedural and algorithmic solutions that have not yet been fully reported in the literature.</w:t>
      </w:r>
    </w:p>
    <w:p w14:paraId="02F9E549" w14:textId="77777777" w:rsidR="00A75838" w:rsidRDefault="002E489E">
      <w:pPr>
        <w:spacing w:after="160" w:line="360" w:lineRule="auto"/>
        <w:jc w:val="both"/>
      </w:pPr>
      <w:r>
        <w:t xml:space="preserve">A practical limitation common to all smartphone-based approaches is the dependence on ambient lighting quality and camera characteristics, which can substantially affect measured colour values if not standardised. Several research groups have developed low-cost hardware attachments — essentially clip-on light-diffuser enclosures with internal LED illumination — </w:t>
      </w:r>
      <w:r>
        <w:lastRenderedPageBreak/>
        <w:t>that attach to smartphone cameras and provide controlled, standardised lighting for image capture. Such attachments reduce inter-image variability considerably and are typically manufacturable at costs below five US dollars per unit, making them viable for field distribution alongside a companion smartphone application in community health worker programmes. Validation of these combined hardware-software systems specifically in children aged 0–5 years, including infants in whom conjunctival imaging requires careful positioning and caregiver cooperation, remains an active and important area of research.</w:t>
      </w:r>
    </w:p>
    <w:p w14:paraId="47DDC257" w14:textId="77777777" w:rsidR="00A75838" w:rsidRDefault="002E489E">
      <w:pPr>
        <w:pStyle w:val="Heading2"/>
      </w:pPr>
      <w:r>
        <w:t>6.5 Machine Learning and Artificial Intelligence-Enabled Approaches</w:t>
      </w:r>
    </w:p>
    <w:p w14:paraId="21754C84" w14:textId="77777777" w:rsidR="00A75838" w:rsidRDefault="002E489E">
      <w:pPr>
        <w:spacing w:after="160" w:line="360" w:lineRule="auto"/>
        <w:jc w:val="both"/>
      </w:pPr>
      <w:r>
        <w:t>Machine learning represents not merely a refinement of existing diagnostic paradigms but a fundamentally different approach to pattern recognition in biological signals and images. Applied to IDA detection in children, machine learning algorithms have been used to derive composite haemoglobin predictors from multiple non-invasive inputs — including conjunctival colour, nail bed colour, ocular vascularity patterns, and photoplethysmographic waveform morphology — that individually yield modest predictive accuracy but collectively, through multivariate modelling, approach the precision of capillary haemoglobin measurement. Convolutional neural networks (CNNs) have emerged as particularly powerful tools for image-based haemoglobin prediction because they can learn spatially distributed features from raw image data without requiring manually specified colour or texture descriptors, allowing the algorithm to identify diagnostically informative image regions that may not be perceptible to the trained human eye (Mannino et al., 2018).</w:t>
      </w:r>
    </w:p>
    <w:p w14:paraId="2C052451" w14:textId="77777777" w:rsidR="00A75838" w:rsidRDefault="002E489E">
      <w:pPr>
        <w:spacing w:after="160" w:line="360" w:lineRule="auto"/>
        <w:jc w:val="both"/>
      </w:pPr>
      <w:r>
        <w:t>The integration of machine learning with mobile health infrastructure is especially promising for the 0–5 year paediatric context because it can accommodate the practical realities of image quality variability in field settings. By training models on large, heterogeneous datasets that include images taken under suboptimal conditions, across diverse ethnicities, and by operators of varying skill levels, it is possible to develop algorithms with greater real-world generalisability than those trained on controlled laboratory datasets. Cloud-connected training architectures also allow algorithms to be continuously updated as new paired image-haemoglobin datasets are collected from deployment settings, implementing a form of adaptive learning that can improve performance over time as population coverage expands. This is particularly advantageous in the context of IDA screening, where the geographical and demographic diversity of affected populations is vast.</w:t>
      </w:r>
    </w:p>
    <w:p w14:paraId="5C4F1263" w14:textId="77777777" w:rsidR="00A75838" w:rsidRDefault="002E489E">
      <w:pPr>
        <w:spacing w:after="160" w:line="360" w:lineRule="auto"/>
        <w:jc w:val="both"/>
      </w:pPr>
      <w:r>
        <w:lastRenderedPageBreak/>
        <w:t>The evidence base for machine learning approaches in the IDA detection literature has grown substantially since 2015, driven partly by the availability of large open-access clinical imaging datasets and partly by advances in deep learning computational frameworks. Several research groups have demonstrated that combining image-derived features with clinical and demographic predictors — including age, sex, weight-for-age z-score, geographical region, and dietary history — in ensemble or deep learning models can improve predictive accuracy beyond image analysis alone (Dimauro et al., 2019). In the context of early childhood, where the relationship between visible pallor and haemoglobin is influenced by developmental changes in skin and mucosal vascularity, models incorporating age-stratified training datasets are likely to outperform general-population models. This implies a need for large, age-specific validation studies in the 0–5 year group that are currently lacking in the published literature, and which represent a critical gap to be addressed by future research. Federated learning architectures, which allow model training across distributed datasets held at multiple sites without transferring raw patient data, have also been proposed as a means of assembling the large, diverse datasets needed for robust paediatric model training whilst preserving privacy and institutional data sovereignty (Pasricha et al., 2021).</w:t>
      </w:r>
    </w:p>
    <w:p w14:paraId="60814D6F" w14:textId="77777777" w:rsidR="00A75838" w:rsidRDefault="002E489E">
      <w:pPr>
        <w:pStyle w:val="Heading2"/>
      </w:pPr>
      <w:r>
        <w:t>6.6 Emerging Biosensor and Wearable Technologies</w:t>
      </w:r>
    </w:p>
    <w:p w14:paraId="5B84839F" w14:textId="77777777" w:rsidR="00A75838" w:rsidRDefault="002E489E">
      <w:pPr>
        <w:spacing w:after="160" w:line="360" w:lineRule="auto"/>
        <w:jc w:val="both"/>
      </w:pPr>
      <w:r>
        <w:t>Beyond spectroscopic and imaging approaches, a range of electrochemical, impedance-based, and optical biosensor platforms are under development that seek to quantify iron-related analytes from non-invasive or minimally invasive sample matrices. Sweat-based electrochemical sensors have been proposed as a means of measuring iron-related metabolites through wearable patch-type devices applied to the skin surface. Whilst sweat-based sensing has advanced considerably for electrolytes and lactate in exercise science contexts, the application to haemoglobin or ferritin measurement faces the fundamental challenge that these large protein molecules are not typically present in sweat at concentrations amenable to current electrochemical sensing platforms, and the relationship between sweat-phase markers and circulating haematological parameters in infants is not well characterised.</w:t>
      </w:r>
    </w:p>
    <w:p w14:paraId="05BA64F9" w14:textId="77777777" w:rsidR="00A75838" w:rsidRDefault="002E489E">
      <w:pPr>
        <w:spacing w:after="160" w:line="360" w:lineRule="auto"/>
        <w:jc w:val="both"/>
      </w:pPr>
      <w:r>
        <w:t xml:space="preserve">Photoacoustic spectroscopy, which generates acoustic waves within tissue in response to pulsed laser illumination and detects the acoustic signal to derive information about chromophore concentration at depth, has been explored as a means of measuring blood haemoglobin concentration non-invasively in deep tissues (Camaschella, 2015). Proof-of-concept studies in adults have demonstrated the feasibility of measuring haemoglobin </w:t>
      </w:r>
      <w:r>
        <w:lastRenderedPageBreak/>
        <w:t>concentration at depths of several millimetres using photoacoustic probes applied to the earlobe or finger tip, with reported accuracies comparable to pulse co-oximetry in controlled conditions. The extension of this technology to infants and toddlers would require careful adaptation of transducer geometry and acoustic coupling to account for the smaller body dimensions, different tissue acoustic properties, and higher resting heart rates of young children. Raman spectroscopy, which identifies molecular species by their characteristic inelastic light scattering signatures, has also been applied to non-invasive haemoglobin measurement in experimental settings, but the technical challenges of collecting sufficient Raman signal from blood through intact skin whilst suppressing the fluorescence background from tissue chromophores have not yet been resolved in portable, field-deployable formats suitable for clinical use in young children.</w:t>
      </w:r>
    </w:p>
    <w:p w14:paraId="5AC061BF" w14:textId="77777777" w:rsidR="00A75838" w:rsidRDefault="00A75838">
      <w:pPr>
        <w:spacing w:after="160"/>
      </w:pPr>
    </w:p>
    <w:p w14:paraId="2172CC8E" w14:textId="77777777" w:rsidR="00A75838" w:rsidRDefault="002E489E">
      <w:pPr>
        <w:pStyle w:val="Heading1"/>
      </w:pPr>
      <w:r>
        <w:t>7. Comparative Evaluation of Non-Invasive Tools</w:t>
      </w:r>
    </w:p>
    <w:p w14:paraId="4C1E3A34" w14:textId="77777777" w:rsidR="00A75838" w:rsidRDefault="002E489E">
      <w:pPr>
        <w:spacing w:after="160" w:line="360" w:lineRule="auto"/>
        <w:jc w:val="both"/>
      </w:pPr>
      <w:r>
        <w:t>A critical dimension of any review of non-invasive IDA detection tools is a comparative evaluation that considers not only diagnostic accuracy but also the broader operational context in which tools must function. Accurate comparison across modalities is difficult because validation studies have been conducted under varying conditions, in different population groups, against different reference standards, and using different performance metrics. Nevertheless, several broad conclusions can be drawn from the evidence synthesised in the preceding sections.</w:t>
      </w:r>
    </w:p>
    <w:p w14:paraId="3EABB5D5" w14:textId="77777777" w:rsidR="00A75838" w:rsidRDefault="002E489E">
      <w:pPr>
        <w:spacing w:after="160" w:line="360" w:lineRule="auto"/>
        <w:jc w:val="both"/>
      </w:pPr>
      <w:r>
        <w:t>Clinical pallor assessment, whilst universally accessible and free of cost, has insufficient sensitivity and specificity for reliable IDA detection in young children as a standalone diagnostic tool. It performs best as a triage step in community-level screening, identifying children for referral and further investigation rather than serving as a definitive criterion for treatment. The HemoCue and analogous capillary photometric devices offer substantially better accuracy and represent the current field standard for community-level haemoglobin measurement, but require blood sampling. Transcutaneous pulse co-oximetry has demonstrated low mean bias against laboratory haemoglobin in haemostable adult patients as reported by Lamhaut et al. (2011), but shows substantially higher variability in haemodynamically unstable subjects and in young children under field conditions, particularly those who are dehydrated, febrile, or acutely unwell — precisely the children most likely to have IDA in LMIC settings.</w:t>
      </w:r>
    </w:p>
    <w:p w14:paraId="5C6B7728" w14:textId="77777777" w:rsidR="00A75838" w:rsidRDefault="002E489E">
      <w:pPr>
        <w:spacing w:after="160" w:line="360" w:lineRule="auto"/>
        <w:jc w:val="both"/>
      </w:pPr>
      <w:r>
        <w:lastRenderedPageBreak/>
        <w:t>Smartphone-based approaches — particularly those utilising conjunctival or nail-bed imaging with machine learning analysis — represent the most actively developing and arguably the most promising category of truly non-invasive tool for community-level IDA screening. The study by Mannino et al. (2018) demonstrated that smartphone-based haemoglobin estimation can approach clinically useful accuracy, achieving ±2.4 g/dL against laboratory values with high sensitivity in an adult validation cohort. The near-zero marginal cost per child screened — requiring only a smartphone already in the possession of health workers or caregivers — is a decisive advantage in terms of scalability, and the rapid global increase in smartphone penetration is steadily expanding the potential deployment footprint of such approaches. Machine learning refinements continue to improve performance trajectories, and the convergence of mobile computing power with cloud training infrastructure is expected to accelerate further accuracy improvements in coming years.</w:t>
      </w:r>
    </w:p>
    <w:p w14:paraId="21C71E03" w14:textId="77777777" w:rsidR="00A75838" w:rsidRDefault="002E489E">
      <w:pPr>
        <w:spacing w:after="160" w:line="360" w:lineRule="auto"/>
        <w:jc w:val="both"/>
      </w:pPr>
      <w:r>
        <w:t>Zinc protoporphyrin measurement using a portable haematofluorometer offers a useful complementary approach that can detect iron-deficient erythropoiesis from a single drop of whole blood, without requiring serum separation or refrigerated transport. Although technically requiring a blood sample, its simplicity, stability under field conditions, and direct reflection of iron-deficient erythropoiesis make it a valuable tool in tiered screening workflows (Labbe et al., 1999). Combined screening workflows that use non-invasive smartphone imaging as a first screen, followed by ZPP or HemoCue measurement for children testing positive, could substantially reduce the total number of invasive tests required while maintaining overall programme sensitivity and reducing false-negative rates for moderate and severe anaemia. Thomas and Thomas (2002) demonstrated that combined use of multiple iron status markers substantially improves diagnostic specificity for IDA relative to haemoglobin alone, a principle that applies with equal or greater force when the primary screen is non-invasive and may have intrinsically lower specificity than blood-based measurement.</w:t>
      </w:r>
    </w:p>
    <w:p w14:paraId="6ED722D1" w14:textId="77777777" w:rsidR="00A75838" w:rsidRDefault="00A75838">
      <w:pPr>
        <w:spacing w:after="160"/>
      </w:pPr>
    </w:p>
    <w:p w14:paraId="4E5FA1F0" w14:textId="77777777" w:rsidR="00A75838" w:rsidRDefault="002E489E">
      <w:pPr>
        <w:pStyle w:val="Heading1"/>
      </w:pPr>
      <w:r>
        <w:t>8. Barriers to Widespread Application in Low- and Middle-Income Countries</w:t>
      </w:r>
    </w:p>
    <w:p w14:paraId="45D45153" w14:textId="77777777" w:rsidR="00A75838" w:rsidRDefault="002E489E">
      <w:pPr>
        <w:spacing w:after="160" w:line="360" w:lineRule="auto"/>
        <w:jc w:val="both"/>
      </w:pPr>
      <w:r>
        <w:t xml:space="preserve">Despite the demonstrable promise of several non-invasive detection approaches, their translation from research settings into widespread programmatic use in LMICs faces a cluster of interrelated barriers that must be honestly acknowledged. First, the evidence base for most </w:t>
      </w:r>
      <w:r>
        <w:lastRenderedPageBreak/>
        <w:t>non-invasive tools in children specifically aged 0–5 years remains sparse. The majority of published validation studies have been conducted in adults or in mixed-age populations, and the performance characteristics of spectroscopic and imaging approaches in infants and toddlers — where mucosal and skin vascularity, tissue optical properties, and cooperation with imaging procedures differ substantially from older populations — remain incompletely characterised (Georgieff, 2011; Suchdev et al., 2017). Without large, well-designed paediatric validation studies, regulatory agencies are unlikely to approve non-invasive tools for diagnostic use in this age group, and programme managers will rightly remain cautious about their adoption.</w:t>
      </w:r>
    </w:p>
    <w:p w14:paraId="7D40AE85" w14:textId="77777777" w:rsidR="00A75838" w:rsidRDefault="002E489E">
      <w:pPr>
        <w:spacing w:after="160" w:line="360" w:lineRule="auto"/>
        <w:jc w:val="both"/>
      </w:pPr>
      <w:r>
        <w:t>Second, health-system integration requires considerably more than technology development. Even a validated and accurate non-invasive tool will fail to reach children in need if it is not embedded within training systems, supply chains, data reporting infrastructures, and programmatic frameworks that enable systematic deployment at scale. The historical experience of diagnostic technology introduction in LMICs has repeatedly shown that tools adopted in the absence of system-level support frequently fall into disuse within two to three years of introduction as consumables run out, devices malfunction without access to technical support, or trained personnel transfer to other posts (WHO, 2001; Chaparro &amp; Suchdev, 2019). Community health worker engagement, clear referral pathways, and robust quality assurance procedures are essential co-investments that must accompany technology deployment.</w:t>
      </w:r>
    </w:p>
    <w:p w14:paraId="35742E8F" w14:textId="77777777" w:rsidR="00A75838" w:rsidRDefault="002E489E">
      <w:pPr>
        <w:spacing w:after="160" w:line="360" w:lineRule="auto"/>
        <w:jc w:val="both"/>
      </w:pPr>
      <w:r>
        <w:t>Third, digital and connectivity infrastructure, whilst improving rapidly across LMICs, remains deeply uneven. Smartphone-based applications that depend on cloud computing for machine learning inference require data connectivity that may be unavailable in remote rural communities. Offline-capable on-device model versions can be developed, but these require substantial local memory and processing power and may sacrifice accuracy relative to cloud-connected inference. Battery life, device maintenance, and access to charging infrastructure further complicate technology-dependent screening approaches in off-grid communities. Additionally, the turnover of smartphone models creates concerns about algorithm performance degradation as the camera specifications of devices in the field diverge from those on which models were trained, necessitating ongoing camera calibration and algorithm updating procedures.</w:t>
      </w:r>
    </w:p>
    <w:p w14:paraId="452B02BC" w14:textId="77777777" w:rsidR="00A75838" w:rsidRDefault="002E489E">
      <w:pPr>
        <w:spacing w:after="160" w:line="360" w:lineRule="auto"/>
        <w:jc w:val="both"/>
      </w:pPr>
      <w:r>
        <w:lastRenderedPageBreak/>
        <w:t>Finally, there is a fundamental tension between the goal of non-invasive haemoglobin detection and the need to correctly identify the aetiology of anaemia rather than merely its presence. Haemoglobin measurement, whether invasive or non-invasive, detects anaemia but not its cause. In settings where multiple aetiologies co-exist — including malaria, helminth infection, sickle cell disease, thalassaemia, and vitamin deficiencies alongside iron deficiency — a non-invasive screening result indicating low haemoglobin may lead to inappropriate iron supplementation in children whose anaemia has a different cause, with potential for harm. In malaria-endemic settings, there is evidence that excess unabsorbed iron may increase enteric pathogen virulence, making accurate aetiological diagnosis a matter not merely of clinical interest but of child safety (Pasricha et al., 2021). This consideration does not argue against non-invasive screening, but it does argue for carefully designed programmatic frameworks that interpret non-invasive screening results within the epidemiological context of the community and that apply appropriate triage logic before initiating iron-specific interventions.</w:t>
      </w:r>
    </w:p>
    <w:p w14:paraId="1E14B786" w14:textId="77777777" w:rsidR="00A75838" w:rsidRDefault="00A75838">
      <w:pPr>
        <w:spacing w:after="160"/>
      </w:pPr>
    </w:p>
    <w:p w14:paraId="1BD13F43" w14:textId="77777777" w:rsidR="00A75838" w:rsidRDefault="002E489E">
      <w:pPr>
        <w:pStyle w:val="Heading1"/>
      </w:pPr>
      <w:r>
        <w:t>9. Future Directions and Research Priorities</w:t>
      </w:r>
    </w:p>
    <w:p w14:paraId="4574ADEE" w14:textId="77777777" w:rsidR="00A75838" w:rsidRDefault="002E489E">
      <w:pPr>
        <w:spacing w:after="160" w:line="360" w:lineRule="auto"/>
        <w:jc w:val="both"/>
      </w:pPr>
      <w:r>
        <w:t>The trajectory of non-invasive IDA detection technology is broadly positive, but realising its full potential for children aged 0–5 years requires targeted investment in several areas. There is an urgent need for well-powered, prospective validation studies of smartphone-based and spectroscopic methods specifically in the paediatric age group, conducted across diverse ethnic, geographical, and clinical contexts, with standardised performance reporting using pre-specified sensitivity and specificity thresholds for both mild and moderate anaemia. Such studies should include analysis of performance in infants under six months of age, in preterm neonates, and in children with co-existing inflammatory conditions — precisely those subgroups in whom standard clinical assessment is most challenging and the diagnostic gap most consequential (Georgieff, 2011; Suchdev et al., 2017).</w:t>
      </w:r>
    </w:p>
    <w:p w14:paraId="28414CF8" w14:textId="77777777" w:rsidR="00A75838" w:rsidRDefault="002E489E">
      <w:pPr>
        <w:spacing w:after="160" w:line="360" w:lineRule="auto"/>
        <w:jc w:val="both"/>
      </w:pPr>
      <w:r>
        <w:t xml:space="preserve">The integration of non-invasive haemoglobin estimation with non-invasive or minimally invasive iron status markers represents a critical unmet need. Tools that can simultaneously or sequentially assess haemoglobin and a direct marker of iron depletion — such as zinc protoporphyrin, soluble transferrin receptor, or emerging lateral flow ferritin assays — would provide substantially greater diagnostic specificity for IDA than haemoglobin measurement alone. The development of multiplexed point-of-care platforms capable of achieving this </w:t>
      </w:r>
      <w:r>
        <w:lastRenderedPageBreak/>
        <w:t>assessment from a single drop of blood or a wholly non-invasive measurement is an important technological frontier. Regulatory harmonisation and health technology assessment frameworks specific to paediatric non-invasive diagnostics in LMICs are equally needed, providing a clear and expedited pathway from research prototype to approved clinical deployment. The absence of such frameworks has historically been a major bottleneck in the translation of innovative diagnostics from academic development to programmatic scale, and international bodies including the WHO have important roles to play in coordinating harmonisation efforts (Pasricha et al., 2021; Camaschella, 2015).</w:t>
      </w:r>
    </w:p>
    <w:p w14:paraId="6C3280D6" w14:textId="77777777" w:rsidR="00A75838" w:rsidRDefault="002E489E">
      <w:pPr>
        <w:spacing w:after="160" w:line="360" w:lineRule="auto"/>
        <w:jc w:val="both"/>
      </w:pPr>
      <w:r>
        <w:t>Investment in open-access, age-stratified datasets of paired image-haemoglobin observations from diverse paediatric populations is arguably the single most impactful step that the research community could take to accelerate the development of accurate, generalisable machine learning models for IDA screening in young children. Such datasets, developed through multisite collaborative research networks, would provide the foundation for training and validating algorithms that perform reliably across the full spectrum of settings in which IDA is prevalent. Engagement of affected communities, caregivers, and health workers in the co-design of non-invasive screening tools is also essential to ensure that the tools developed are acceptable, interpretable, and practically usable in the communities they are designed to serve.</w:t>
      </w:r>
    </w:p>
    <w:p w14:paraId="68857B2A" w14:textId="77777777" w:rsidR="00A75838" w:rsidRDefault="00A75838">
      <w:pPr>
        <w:spacing w:after="160"/>
      </w:pPr>
    </w:p>
    <w:p w14:paraId="63D2E9F9" w14:textId="77777777" w:rsidR="00A75838" w:rsidRDefault="002E489E">
      <w:pPr>
        <w:pStyle w:val="Heading1"/>
      </w:pPr>
      <w:r>
        <w:t>10. Conclusions</w:t>
      </w:r>
    </w:p>
    <w:p w14:paraId="2D66EEFE" w14:textId="77777777" w:rsidR="00A75838" w:rsidRDefault="002E489E">
      <w:pPr>
        <w:spacing w:after="160" w:line="360" w:lineRule="auto"/>
        <w:jc w:val="both"/>
      </w:pPr>
      <w:r>
        <w:t>Iron deficiency anaemia in children aged 0–5 years represents one of the most prevalent, consequential, and preventable health burdens of the twenty-first century, yet its timely diagnosis remains out of reach for the majority of affected children worldwide due to the impracticality of standard laboratory-based diagnostics in the settings where it is most common. This narrative review has demonstrated that a growing ecosystem of non-invasive detection tools exists, spanning clinical pallor assessment, point-of-care photometric devices, transcutaneous optical spectroscopy, smartphone-based digital imaging, machine learning-driven analysis, and emerging biosensor technologies. Each approach offers a distinct balance of accuracy, cost, technical complexity, and potential for scale, and each has a role to play within an appropriately designed tiered screening framework.</w:t>
      </w:r>
    </w:p>
    <w:p w14:paraId="60EB5193" w14:textId="77777777" w:rsidR="00A75838" w:rsidRDefault="002E489E">
      <w:pPr>
        <w:spacing w:after="160" w:line="360" w:lineRule="auto"/>
        <w:jc w:val="both"/>
      </w:pPr>
      <w:r>
        <w:t xml:space="preserve">Amongst currently available approaches, smartphone-based conjunctival or nail-bed imaging with machine learning analysis shows the greatest promise for integration into large-scale </w:t>
      </w:r>
      <w:r>
        <w:lastRenderedPageBreak/>
        <w:t>community screening programmes in LMICs, offering near-zero marginal cost per child screened, compatibility with existing mobile health infrastructure, and improving accuracy as training datasets grow and models are refined. Clinical pallor assessment retains an important role as the universal, zero-cost, zero-equipment first-line triage step that, when standardised through training and reference tools, can meaningfully identify children warranting further investigation. Point-of-care photometric devices such as the HemoCue remain the most validated and widely deployed approach for field haemoglobin measurement, even though they require blood sampling, and their role as the confirmatory standard in a multi-stage screening workflow remains secure for the foreseeable future.</w:t>
      </w:r>
    </w:p>
    <w:p w14:paraId="3EA5634C" w14:textId="77777777" w:rsidR="00A75838" w:rsidRDefault="002E489E">
      <w:pPr>
        <w:spacing w:after="160" w:line="360" w:lineRule="auto"/>
        <w:jc w:val="both"/>
      </w:pPr>
      <w:r>
        <w:t>No currently available truly non-invasive approach yet meets all the criteria for comprehensive, standalone IDA diagnosis in the 0–5 year age group across the diverse settings in which the condition is prevalent. The most pragmatic and evidence-informed path forward is a tiered, context-sensitive screening workflow combining non-invasive first-line assessment with confirmatory blood-based tests for children who screen positive. Progress in this field will require not only technological innovation but co-investment in health-system strengthening, community health worker training, regulatory science for paediatric diagnostics, and the generation of age-specific, population-diverse validation datasets that the research community currently lacks. The imperative is clear: for the hundreds of millions of children under five whose cognitive, physical, and immunological development is compromised by iron deficiency, the availability of an accurate, affordable, and acceptable non-invasive detection tool could be genuinely transformative.</w:t>
      </w:r>
    </w:p>
    <w:p w14:paraId="69DF2DDA" w14:textId="77777777" w:rsidR="00A75838" w:rsidRDefault="00A75838">
      <w:pPr>
        <w:spacing w:after="160"/>
      </w:pPr>
    </w:p>
    <w:p w14:paraId="31EEFCD5" w14:textId="77777777" w:rsidR="00A75838" w:rsidRDefault="002E489E">
      <w:pPr>
        <w:pStyle w:val="Heading1"/>
      </w:pPr>
      <w:r>
        <w:t>11. Limitations</w:t>
      </w:r>
    </w:p>
    <w:p w14:paraId="38663BCA" w14:textId="77777777" w:rsidR="00A75838" w:rsidRDefault="002E489E">
      <w:pPr>
        <w:spacing w:after="160" w:line="360" w:lineRule="auto"/>
        <w:jc w:val="both"/>
      </w:pPr>
      <w:r>
        <w:t>This review is subject to several important limitations that should be considered when interpreting its findings. As a narrative rather than systematic review, the literature search and study selection were not conducted according to a pre-registered protocol, and the possibility of selection bias — favouring studies that report positive outcomes for novel technologies — cannot be excluded. The heterogeneous nature of the included literature, spanning engineering validation studies, clinical diagnostic trials, and epidemiological surveys, precluded formal pooling of performance statistics, and the use of qualitative synthesis necessarily introduces a degree of subjectivity into comparative assessments that a formal meta-analysis would not.</w:t>
      </w:r>
    </w:p>
    <w:p w14:paraId="45108801" w14:textId="77777777" w:rsidR="00A75838" w:rsidRDefault="002E489E">
      <w:pPr>
        <w:spacing w:after="160" w:line="360" w:lineRule="auto"/>
        <w:jc w:val="both"/>
      </w:pPr>
      <w:r>
        <w:lastRenderedPageBreak/>
        <w:t>The restriction of the search to English-language publications may have led to the omission of relevant validation studies published in other languages, particularly from South Asia, China, and sub-Saharan Africa, where IDA in young children is most prevalent and where active research programmes may have generated findings not yet available in English. The rapidly evolving nature of the technology landscape — particularly for smartphone applications and machine learning platforms — means that some technologies described as emerging may have advanced to clinical deployment, or conversely may have been discontinued, in the period between the completion of the literature search and the publication of this review.</w:t>
      </w:r>
    </w:p>
    <w:p w14:paraId="263E5D1D" w14:textId="77777777" w:rsidR="00A75838" w:rsidRDefault="002E489E">
      <w:pPr>
        <w:spacing w:after="160" w:line="360" w:lineRule="auto"/>
        <w:jc w:val="both"/>
      </w:pPr>
      <w:r>
        <w:t>Given the relatively sparse primary literature specifically addressing children aged 0–5 years for many of the non-invasive modalities reviewed, several conclusions about paediatric applicability necessarily extrapolate from evidence obtained in older children or adult populations, introducing uncertainty that appropriately designed future studies should resolve. The review does not include a formal health economic analysis of the cost-effectiveness of each screening approach, which would require primary modelling beyond the scope of the current work but is an important consideration for programmatic decision-making. Finally, the review focused exclusively on diagnostic tools rather than therapeutic interventions or prevention programmes, and the relationship between diagnostic accuracy and actual health outcomes at population level is mediated by numerous additional health-system factors not addressed here.</w:t>
      </w:r>
    </w:p>
    <w:p w14:paraId="4186F7B4" w14:textId="77777777" w:rsidR="00A75838" w:rsidRDefault="00A75838">
      <w:pPr>
        <w:spacing w:after="160"/>
      </w:pPr>
    </w:p>
    <w:p w14:paraId="71D989E2" w14:textId="77777777" w:rsidR="00A75838" w:rsidRPr="003F05EF" w:rsidRDefault="002E489E">
      <w:pPr>
        <w:pStyle w:val="Heading1"/>
        <w:rPr>
          <w:lang w:val="es-ES"/>
        </w:rPr>
      </w:pPr>
      <w:r w:rsidRPr="003F05EF">
        <w:rPr>
          <w:lang w:val="es-ES"/>
        </w:rPr>
        <w:t>References</w:t>
      </w:r>
    </w:p>
    <w:p w14:paraId="418B869B" w14:textId="77777777" w:rsidR="00A75838" w:rsidRDefault="002E489E">
      <w:pPr>
        <w:spacing w:after="140" w:line="330" w:lineRule="auto"/>
        <w:ind w:left="720" w:hanging="720"/>
        <w:jc w:val="both"/>
      </w:pPr>
      <w:r w:rsidRPr="003F05EF">
        <w:rPr>
          <w:sz w:val="22"/>
          <w:szCs w:val="22"/>
          <w:lang w:val="es-ES"/>
        </w:rPr>
        <w:t xml:space="preserve">Camaschella, C. (2015). Iron-deficiency anemia. </w:t>
      </w:r>
      <w:r>
        <w:rPr>
          <w:sz w:val="22"/>
          <w:szCs w:val="22"/>
        </w:rPr>
        <w:t xml:space="preserve">New England Journal of Medicine, 372(19), 1832–1843. </w:t>
      </w:r>
      <w:hyperlink r:id="rId12" w:history="1">
        <w:r w:rsidR="00682F23" w:rsidRPr="002D6E3D">
          <w:rPr>
            <w:rStyle w:val="Hyperlink"/>
            <w:sz w:val="22"/>
            <w:szCs w:val="22"/>
          </w:rPr>
          <w:t>https://doi.org/10.1056/NEJMra1401038</w:t>
        </w:r>
      </w:hyperlink>
      <w:r w:rsidR="00682F23">
        <w:rPr>
          <w:sz w:val="22"/>
          <w:szCs w:val="22"/>
        </w:rPr>
        <w:t xml:space="preserve"> </w:t>
      </w:r>
    </w:p>
    <w:p w14:paraId="20B7CA8B" w14:textId="77777777" w:rsidR="00A75838" w:rsidRDefault="002E489E">
      <w:pPr>
        <w:spacing w:after="140" w:line="330" w:lineRule="auto"/>
        <w:ind w:left="720" w:hanging="720"/>
        <w:jc w:val="both"/>
      </w:pPr>
      <w:r>
        <w:rPr>
          <w:sz w:val="22"/>
          <w:szCs w:val="22"/>
        </w:rPr>
        <w:t xml:space="preserve">Chaparro, C. M., &amp; Suchdev, P. S. (2019). Anemia epidemiology, pathophysiology, and etiology in low- and middle-income countries. Annals of the New York Academy of Sciences, 1450(1), 15–31. </w:t>
      </w:r>
      <w:hyperlink r:id="rId13" w:history="1">
        <w:r w:rsidR="00682F23" w:rsidRPr="002D6E3D">
          <w:rPr>
            <w:rStyle w:val="Hyperlink"/>
            <w:sz w:val="22"/>
            <w:szCs w:val="22"/>
          </w:rPr>
          <w:t>https://doi.org/10.1111/nyas.14092</w:t>
        </w:r>
      </w:hyperlink>
      <w:r w:rsidR="00682F23">
        <w:rPr>
          <w:sz w:val="22"/>
          <w:szCs w:val="22"/>
        </w:rPr>
        <w:t xml:space="preserve"> </w:t>
      </w:r>
    </w:p>
    <w:p w14:paraId="45E1EEFE" w14:textId="77777777" w:rsidR="00A75838" w:rsidRDefault="002E489E">
      <w:pPr>
        <w:spacing w:after="140" w:line="330" w:lineRule="auto"/>
        <w:ind w:left="720" w:hanging="720"/>
        <w:jc w:val="both"/>
      </w:pPr>
      <w:r>
        <w:rPr>
          <w:sz w:val="22"/>
          <w:szCs w:val="22"/>
        </w:rPr>
        <w:t xml:space="preserve">de Benoist, B., McLean, E., Egli, I., &amp; Cogswell, M. (Eds.). (2008). Worldwide prevalence of anaemia 1993–2005: WHO global database on anaemia. World Health Organization. </w:t>
      </w:r>
      <w:hyperlink r:id="rId14" w:history="1">
        <w:r w:rsidR="00183E0D" w:rsidRPr="002D6E3D">
          <w:rPr>
            <w:rStyle w:val="Hyperlink"/>
            <w:sz w:val="22"/>
            <w:szCs w:val="22"/>
          </w:rPr>
          <w:t>https://iris.who.int/handle/10665/43894</w:t>
        </w:r>
      </w:hyperlink>
      <w:r w:rsidR="00183E0D">
        <w:rPr>
          <w:sz w:val="22"/>
          <w:szCs w:val="22"/>
        </w:rPr>
        <w:t xml:space="preserve"> </w:t>
      </w:r>
    </w:p>
    <w:p w14:paraId="079A5E78" w14:textId="77777777" w:rsidR="00A75838" w:rsidRDefault="002E489E">
      <w:pPr>
        <w:spacing w:after="140" w:line="330" w:lineRule="auto"/>
        <w:ind w:left="720" w:hanging="720"/>
        <w:jc w:val="both"/>
      </w:pPr>
      <w:r>
        <w:rPr>
          <w:sz w:val="22"/>
          <w:szCs w:val="22"/>
        </w:rPr>
        <w:t xml:space="preserve">Dimauro, G., Guarini, A., Caivano, D., Girardi, F., Pasciolla, C., &amp; Iacobazzi, A. (2019). Detecting clinical signs of anaemia from digital images of the palpebral conjunctiva. IEEE Access, 7, 113488–113498. </w:t>
      </w:r>
      <w:hyperlink r:id="rId15" w:history="1">
        <w:r w:rsidR="00183E0D" w:rsidRPr="002D6E3D">
          <w:rPr>
            <w:rStyle w:val="Hyperlink"/>
            <w:sz w:val="22"/>
            <w:szCs w:val="22"/>
          </w:rPr>
          <w:t>https://doi.org/10.1109/ACCESS.2019.2932274</w:t>
        </w:r>
      </w:hyperlink>
      <w:r w:rsidR="00183E0D">
        <w:rPr>
          <w:sz w:val="22"/>
          <w:szCs w:val="22"/>
        </w:rPr>
        <w:t xml:space="preserve"> </w:t>
      </w:r>
    </w:p>
    <w:p w14:paraId="4826CD0D" w14:textId="77777777" w:rsidR="00A75838" w:rsidRDefault="002E489E">
      <w:pPr>
        <w:spacing w:after="140" w:line="330" w:lineRule="auto"/>
        <w:ind w:left="720" w:hanging="720"/>
        <w:jc w:val="both"/>
      </w:pPr>
      <w:r>
        <w:rPr>
          <w:sz w:val="22"/>
          <w:szCs w:val="22"/>
        </w:rPr>
        <w:lastRenderedPageBreak/>
        <w:t>Ferrari, R. (2015). Writing narrative style literature reviews. Medical Writing, 24(4), 230–235. https://doi.org/10.1179/2047480615Z.000000000329</w:t>
      </w:r>
    </w:p>
    <w:p w14:paraId="1395530D" w14:textId="77777777" w:rsidR="00A75838" w:rsidRDefault="002E489E">
      <w:pPr>
        <w:spacing w:after="140" w:line="330" w:lineRule="auto"/>
        <w:ind w:left="720" w:hanging="720"/>
        <w:jc w:val="both"/>
      </w:pPr>
      <w:r>
        <w:rPr>
          <w:sz w:val="22"/>
          <w:szCs w:val="22"/>
        </w:rPr>
        <w:t>GBD 2019 Diseases and Injuries Collaborators. (2020). Global burden of 369 diseases and injuries in 204 countries and territories, 1990–2019: A systematic analysis for the Global Burden of Disease Study 2019. The Lancet, 396(10258), 1204–1222. https://doi.org/10.1016/S0140-6736(20)30925-9</w:t>
      </w:r>
    </w:p>
    <w:p w14:paraId="629FDFB4" w14:textId="77777777" w:rsidR="00A75838" w:rsidRDefault="002E489E">
      <w:pPr>
        <w:spacing w:after="140" w:line="330" w:lineRule="auto"/>
        <w:ind w:left="720" w:hanging="720"/>
        <w:jc w:val="both"/>
      </w:pPr>
      <w:r>
        <w:rPr>
          <w:sz w:val="22"/>
          <w:szCs w:val="22"/>
        </w:rPr>
        <w:t>Georgieff, M. K. (2011). Long-term brain and behavioral consequences of early iron deficiency. Nutrition Reviews, 69(Suppl 1), S43–S48. https://doi.org/10.1111/j.1753-4887.2011.00432.x</w:t>
      </w:r>
    </w:p>
    <w:p w14:paraId="2A55EF42" w14:textId="77777777" w:rsidR="00A75838" w:rsidRDefault="002E489E">
      <w:pPr>
        <w:spacing w:after="140" w:line="330" w:lineRule="auto"/>
        <w:ind w:left="720" w:hanging="720"/>
        <w:jc w:val="both"/>
      </w:pPr>
      <w:r>
        <w:rPr>
          <w:sz w:val="22"/>
          <w:szCs w:val="22"/>
        </w:rPr>
        <w:t>Horton, S., &amp; Ross, J. (2003). The economics of iron deficiency. Food Policy, 28(1), 51–75. https://doi.org/10.1016/S0306-9192(02)00070-2</w:t>
      </w:r>
    </w:p>
    <w:p w14:paraId="3DC87BE9" w14:textId="77777777" w:rsidR="00A75838" w:rsidRDefault="002E489E" w:rsidP="000E0B4B">
      <w:pPr>
        <w:spacing w:after="140" w:line="330" w:lineRule="auto"/>
        <w:ind w:left="720" w:hanging="720"/>
      </w:pPr>
      <w:r>
        <w:rPr>
          <w:sz w:val="22"/>
          <w:szCs w:val="22"/>
        </w:rPr>
        <w:t>Kalter, H. D., Burnham, G., Kolstad, P. R., Hossain, M., Schillinger, J. A., Khan, N. Z., Saha, S., de Wit, V., Kenya-Mugisha, N., &amp; Black, R. E. (1997). Evaluation of clinical signs to diagnose anaemia in Uganda and Bangladesh, in areas with and without malaria. Bulletin of the World Health Organization, 75(Suppl 1), 103–111.</w:t>
      </w:r>
      <w:r w:rsidR="000E0B4B">
        <w:rPr>
          <w:sz w:val="22"/>
          <w:szCs w:val="22"/>
        </w:rPr>
        <w:t xml:space="preserve"> </w:t>
      </w:r>
      <w:hyperlink r:id="rId16" w:history="1">
        <w:r w:rsidR="000E0B4B" w:rsidRPr="002D6E3D">
          <w:rPr>
            <w:rStyle w:val="Hyperlink"/>
            <w:sz w:val="22"/>
            <w:szCs w:val="22"/>
          </w:rPr>
          <w:t>https://pmc.ncbi.nlm.nih.gov/articles/PMC2486990/</w:t>
        </w:r>
      </w:hyperlink>
      <w:r w:rsidR="000E0B4B">
        <w:rPr>
          <w:sz w:val="22"/>
          <w:szCs w:val="22"/>
        </w:rPr>
        <w:t xml:space="preserve"> </w:t>
      </w:r>
    </w:p>
    <w:p w14:paraId="4F4677AE" w14:textId="77777777" w:rsidR="00A75838" w:rsidRDefault="002E489E">
      <w:pPr>
        <w:spacing w:after="140" w:line="330" w:lineRule="auto"/>
        <w:ind w:left="720" w:hanging="720"/>
        <w:jc w:val="both"/>
      </w:pPr>
      <w:r>
        <w:rPr>
          <w:sz w:val="22"/>
          <w:szCs w:val="22"/>
        </w:rPr>
        <w:t>Kassebaum, N. J., Jasrasaria, R., Naghavi, M., Wulf, S. K., Johns, N., Lozano, R., Regan, M., Weatherall, D., Chou, D. P., Eisele, T. P., Flaxman, S. R., Pullan, R. L., Brooker, S. J., &amp; Murray, C. J. L. (2014). A systematic analysis of global anemia burden from 1990 to 2010. Blood, 123(5), 615–624. https://doi.org/10.1182/blood-2013-06-508325</w:t>
      </w:r>
    </w:p>
    <w:p w14:paraId="5D6A267A" w14:textId="77777777" w:rsidR="00A75838" w:rsidRDefault="002E489E">
      <w:pPr>
        <w:spacing w:after="140" w:line="330" w:lineRule="auto"/>
        <w:ind w:left="720" w:hanging="720"/>
        <w:jc w:val="both"/>
      </w:pPr>
      <w:r>
        <w:rPr>
          <w:sz w:val="22"/>
          <w:szCs w:val="22"/>
        </w:rPr>
        <w:t>Labbe, R. F., Vreman, H. J., &amp; Stevenson, D. K. (1999). Zinc protoporphyrin: A metabolite with a mission. Clinical Chemistry, 45(12), 2060–2072. https://doi.org/10.1093/clinchem/45.12.2060</w:t>
      </w:r>
    </w:p>
    <w:p w14:paraId="4C52EF1C" w14:textId="77777777" w:rsidR="00A75838" w:rsidRDefault="002E489E">
      <w:pPr>
        <w:spacing w:after="140" w:line="330" w:lineRule="auto"/>
        <w:ind w:left="720" w:hanging="720"/>
        <w:jc w:val="both"/>
      </w:pPr>
      <w:r>
        <w:rPr>
          <w:sz w:val="22"/>
          <w:szCs w:val="22"/>
        </w:rPr>
        <w:t>Lamhaut, L., Apriotesei, R., Combes, X., Lejay, M., Carli, P., &amp; Vivien, B. (2011). Comparison of the accuracy of noninvasive hemoglobin monitoring by spectrophotometry (SpHb) and HemoCue® with automated laboratory hemoglobin measurement. Anesthesiology, 115(3), 548–554. https://doi.org/10.1097/ALN.0b013e3182270c22</w:t>
      </w:r>
    </w:p>
    <w:p w14:paraId="24ABE861" w14:textId="77777777" w:rsidR="00A75838" w:rsidRDefault="002E489E">
      <w:pPr>
        <w:spacing w:after="140" w:line="330" w:lineRule="auto"/>
        <w:ind w:left="720" w:hanging="720"/>
        <w:jc w:val="both"/>
      </w:pPr>
      <w:r>
        <w:rPr>
          <w:sz w:val="22"/>
          <w:szCs w:val="22"/>
        </w:rPr>
        <w:t>Lozoff, B., &amp; Georgieff, M. K. (2006). Iron deficiency and brain development. Seminars in Pediatric Neurology, 13(3), 158–165. https://doi.org/10.1016/j.spen.2006.08.004</w:t>
      </w:r>
    </w:p>
    <w:p w14:paraId="71FE9798" w14:textId="77777777" w:rsidR="00A75838" w:rsidRDefault="002E489E">
      <w:pPr>
        <w:spacing w:after="140" w:line="330" w:lineRule="auto"/>
        <w:ind w:left="720" w:hanging="720"/>
        <w:jc w:val="both"/>
      </w:pPr>
      <w:r>
        <w:rPr>
          <w:sz w:val="22"/>
          <w:szCs w:val="22"/>
        </w:rPr>
        <w:t>Mannino, R. G., Myers, D. R., Tyburski, E. A., Caruso, C., Boudreaux, J., Leong, T., Clifford, G. D., &amp; Lam, W. A. (2018). Smartphone app for non-invasive detection of anemia using only patient-sourced photos. Nature Communications, 9(1), 4924. https://doi.org/10.1038/s41467-018-07262-2</w:t>
      </w:r>
    </w:p>
    <w:p w14:paraId="4F0A9190" w14:textId="77777777" w:rsidR="00A75838" w:rsidRDefault="002E489E">
      <w:pPr>
        <w:spacing w:after="140" w:line="330" w:lineRule="auto"/>
        <w:ind w:left="720" w:hanging="720"/>
        <w:jc w:val="both"/>
      </w:pPr>
      <w:r>
        <w:rPr>
          <w:sz w:val="22"/>
          <w:szCs w:val="22"/>
        </w:rPr>
        <w:t>McLean, E., Cogswell, M., Egli, I., Wojdyla, D., &amp; de Benoist, B. (2009). Worldwide prevalence of anaemia, WHO Vitamin and Mineral Nutrition Information System, 1993–2005. Public Health Nutrition, 12(4), 444–454. https://doi.org/10.1017/S1368980008002401</w:t>
      </w:r>
    </w:p>
    <w:p w14:paraId="637F1827" w14:textId="77777777" w:rsidR="00A75838" w:rsidRDefault="002E489E">
      <w:pPr>
        <w:spacing w:after="140" w:line="330" w:lineRule="auto"/>
        <w:ind w:left="720" w:hanging="720"/>
        <w:jc w:val="both"/>
      </w:pPr>
      <w:r>
        <w:rPr>
          <w:sz w:val="22"/>
          <w:szCs w:val="22"/>
        </w:rPr>
        <w:lastRenderedPageBreak/>
        <w:t>Neufeld, L. M., Larson, L. M., Kurpad, A., Mburu, S., Martorell, R., &amp; Brown, K. H. (2019). Hemoglobin concentration and anemia diagnosis in venous and capillary blood: Biological basis and policy implications. Annals of the New York Academy of Sciences, 1450(1), 172–189. https://doi.org/10.1111/nyas.14139</w:t>
      </w:r>
    </w:p>
    <w:p w14:paraId="1DCE7E04" w14:textId="77777777" w:rsidR="00A75838" w:rsidRDefault="002E489E">
      <w:pPr>
        <w:spacing w:after="140" w:line="330" w:lineRule="auto"/>
        <w:ind w:left="720" w:hanging="720"/>
        <w:jc w:val="both"/>
      </w:pPr>
      <w:r>
        <w:rPr>
          <w:sz w:val="22"/>
          <w:szCs w:val="22"/>
        </w:rPr>
        <w:t>Nkrumah, B., Nguah, S. B., Sarpong, N., Dekker, D., Idriss, A., May, J., &amp; Hagen, R. M. (2011). Haemoglobin estimation by the HemoCue® portable haemoglobin photometer in a resource poor setting. BMC Clinical Pathology, 11(1), 5. https://doi.org/10.1186/1472-6890-11-5</w:t>
      </w:r>
    </w:p>
    <w:p w14:paraId="15C51DDF" w14:textId="77777777" w:rsidR="00A75838" w:rsidRDefault="002E489E">
      <w:pPr>
        <w:spacing w:after="140" w:line="330" w:lineRule="auto"/>
        <w:ind w:left="720" w:hanging="720"/>
        <w:jc w:val="both"/>
      </w:pPr>
      <w:r>
        <w:rPr>
          <w:sz w:val="22"/>
          <w:szCs w:val="22"/>
        </w:rPr>
        <w:t>Pasricha, S. R., Tye-Din, J., Muckenthaler, M. U., &amp; Swinkels, D. W. (2021). Iron deficiency. The Lancet, 397(10270), 233–248. https://doi.org/10.1016/S0140-6736(20)32594-0</w:t>
      </w:r>
    </w:p>
    <w:p w14:paraId="4617B340" w14:textId="77777777" w:rsidR="00A75838" w:rsidRDefault="002E489E">
      <w:pPr>
        <w:spacing w:after="140" w:line="330" w:lineRule="auto"/>
        <w:ind w:left="720" w:hanging="720"/>
        <w:jc w:val="both"/>
      </w:pPr>
      <w:r>
        <w:rPr>
          <w:sz w:val="22"/>
          <w:szCs w:val="22"/>
        </w:rPr>
        <w:t>Rao, R., &amp; Georgieff, M. K. (2007). Iron in fetal and neonatal nutrition. Seminars in Fetal and Neonatal Medicine, 12(1), 54–63. https://doi.org/10.1016/j.siny.2006.10.007</w:t>
      </w:r>
    </w:p>
    <w:p w14:paraId="164483C8" w14:textId="77777777" w:rsidR="00A75838" w:rsidRDefault="002E489E">
      <w:pPr>
        <w:spacing w:after="140" w:line="330" w:lineRule="auto"/>
        <w:ind w:left="720" w:hanging="720"/>
        <w:jc w:val="both"/>
      </w:pPr>
      <w:r>
        <w:rPr>
          <w:sz w:val="22"/>
          <w:szCs w:val="22"/>
        </w:rPr>
        <w:t xml:space="preserve">Stoltzfus, R. J. (2001). Iron-deficiency anemia: Reexamining the nature and magnitude of the public health problem. The Journal of Nutrition, 131(2 Suppl 2), 697S–701S. </w:t>
      </w:r>
      <w:hyperlink r:id="rId17" w:history="1">
        <w:r w:rsidR="000E0B4B" w:rsidRPr="002D6E3D">
          <w:rPr>
            <w:rStyle w:val="Hyperlink"/>
            <w:sz w:val="22"/>
            <w:szCs w:val="22"/>
          </w:rPr>
          <w:t>https://doi.org/10.1093/jn/131.2.697S</w:t>
        </w:r>
      </w:hyperlink>
      <w:r w:rsidR="000E0B4B">
        <w:rPr>
          <w:sz w:val="22"/>
          <w:szCs w:val="22"/>
        </w:rPr>
        <w:t xml:space="preserve"> </w:t>
      </w:r>
    </w:p>
    <w:p w14:paraId="5D8047DA" w14:textId="77777777" w:rsidR="00A75838" w:rsidRDefault="002E489E">
      <w:pPr>
        <w:spacing w:after="140" w:line="330" w:lineRule="auto"/>
        <w:ind w:left="720" w:hanging="720"/>
        <w:jc w:val="both"/>
      </w:pPr>
      <w:r>
        <w:rPr>
          <w:sz w:val="22"/>
          <w:szCs w:val="22"/>
        </w:rPr>
        <w:t>Suchdev, P. S., Williams, A. M., Mei, Z., Flores-Ayala, R., Pasricha, S. R., Rogers, L. M., &amp; Namaste, S. M. L. (2017). Assessment of iron status in settings of inflammation: Challenges and potential approaches. American Journal of Clinical Nutrition, 106(Suppl 6), 1626S–1633S. https://doi.org/10.3945/ajcn.117.155937</w:t>
      </w:r>
    </w:p>
    <w:p w14:paraId="1D5158E1" w14:textId="77777777" w:rsidR="00A75838" w:rsidRDefault="002E489E">
      <w:pPr>
        <w:spacing w:after="140" w:line="330" w:lineRule="auto"/>
        <w:ind w:left="720" w:hanging="720"/>
        <w:jc w:val="both"/>
      </w:pPr>
      <w:r>
        <w:rPr>
          <w:sz w:val="22"/>
          <w:szCs w:val="22"/>
        </w:rPr>
        <w:t>Thomas, C., &amp; Thomas, L. (2002). Biochemical markers and hematologic indices in the diagnosis of functional iron deficiency. Clinical Chemistry, 48(7), 1066–1076. https://doi.org/10.1093/clinchem/48.7.1066</w:t>
      </w:r>
    </w:p>
    <w:p w14:paraId="54CB6BAE" w14:textId="77777777" w:rsidR="00A75838" w:rsidRDefault="002E489E">
      <w:pPr>
        <w:spacing w:after="140" w:line="330" w:lineRule="auto"/>
        <w:ind w:left="720" w:hanging="720"/>
        <w:jc w:val="both"/>
      </w:pPr>
      <w:r>
        <w:rPr>
          <w:sz w:val="22"/>
          <w:szCs w:val="22"/>
        </w:rPr>
        <w:t xml:space="preserve">UNICEF. (2019). The State of the World’s Children 2019: Children, food and nutrition. United Nations Children’s Fund. </w:t>
      </w:r>
      <w:hyperlink r:id="rId18" w:history="1">
        <w:r w:rsidR="000E0B4B" w:rsidRPr="002D6E3D">
          <w:rPr>
            <w:rStyle w:val="Hyperlink"/>
            <w:sz w:val="22"/>
            <w:szCs w:val="22"/>
          </w:rPr>
          <w:t>https://www.unicef.org/reports/state-of-worlds-children-2019</w:t>
        </w:r>
      </w:hyperlink>
      <w:r w:rsidR="000E0B4B">
        <w:rPr>
          <w:sz w:val="22"/>
          <w:szCs w:val="22"/>
        </w:rPr>
        <w:t xml:space="preserve"> </w:t>
      </w:r>
    </w:p>
    <w:p w14:paraId="1AEED80B" w14:textId="77777777" w:rsidR="00A75838" w:rsidRDefault="002E489E">
      <w:pPr>
        <w:spacing w:after="140" w:line="330" w:lineRule="auto"/>
        <w:ind w:left="720" w:hanging="720"/>
        <w:jc w:val="both"/>
      </w:pPr>
      <w:r>
        <w:rPr>
          <w:sz w:val="22"/>
          <w:szCs w:val="22"/>
        </w:rPr>
        <w:t>Victora, C. G., Adair, L., Fall, C., Hallal, P. C., Martorell, R., Richter, L., &amp; Sachdev, H. S. (2008). Maternal and child undernutrition: Consequences for adult health and human capital. The Lancet, 371(9609), 340–357. https://doi.org/10.1016/S0140-6736(07)61692-4</w:t>
      </w:r>
    </w:p>
    <w:p w14:paraId="57E2CBB4" w14:textId="77777777" w:rsidR="00A75838" w:rsidRDefault="002E489E">
      <w:pPr>
        <w:spacing w:after="140" w:line="330" w:lineRule="auto"/>
        <w:ind w:left="720" w:hanging="720"/>
        <w:jc w:val="both"/>
      </w:pPr>
      <w:r>
        <w:rPr>
          <w:sz w:val="22"/>
          <w:szCs w:val="22"/>
        </w:rPr>
        <w:t xml:space="preserve">World Health Organization. (2001). Iron deficiency anaemia: Assessment, prevention and control. A guide for programme managers. World Health Organization. </w:t>
      </w:r>
      <w:hyperlink r:id="rId19" w:history="1">
        <w:r w:rsidR="000E0B4B" w:rsidRPr="002D6E3D">
          <w:rPr>
            <w:rStyle w:val="Hyperlink"/>
            <w:sz w:val="22"/>
            <w:szCs w:val="22"/>
          </w:rPr>
          <w:t>https://cdn.who.int/media/docs/default-source/2021-dha-docs/ida_assessment_prevention_control.pdf</w:t>
        </w:r>
      </w:hyperlink>
      <w:r w:rsidR="000E0B4B">
        <w:rPr>
          <w:sz w:val="22"/>
          <w:szCs w:val="22"/>
        </w:rPr>
        <w:t xml:space="preserve"> </w:t>
      </w:r>
    </w:p>
    <w:p w14:paraId="32AD8A97" w14:textId="77777777" w:rsidR="00A75838" w:rsidRDefault="002E489E">
      <w:pPr>
        <w:spacing w:after="140" w:line="330" w:lineRule="auto"/>
        <w:ind w:left="720" w:hanging="720"/>
        <w:jc w:val="both"/>
      </w:pPr>
      <w:r>
        <w:rPr>
          <w:sz w:val="22"/>
          <w:szCs w:val="22"/>
        </w:rPr>
        <w:t xml:space="preserve">World Health Organization. (2011). Haemoglobin concentrations for the diagnosis of anaemia and assessment of severity. Vitamin and Mineral Nutrition Information System. World Health Organization. </w:t>
      </w:r>
      <w:hyperlink r:id="rId20" w:history="1">
        <w:r w:rsidR="00DE6EE4" w:rsidRPr="002D6E3D">
          <w:rPr>
            <w:rStyle w:val="Hyperlink"/>
            <w:sz w:val="22"/>
            <w:szCs w:val="22"/>
          </w:rPr>
          <w:t>https://iris.who.int/handle/10665/85839</w:t>
        </w:r>
      </w:hyperlink>
      <w:r w:rsidR="00DE6EE4">
        <w:rPr>
          <w:sz w:val="22"/>
          <w:szCs w:val="22"/>
        </w:rPr>
        <w:t xml:space="preserve"> </w:t>
      </w:r>
    </w:p>
    <w:p w14:paraId="46AA804C" w14:textId="77777777" w:rsidR="00A75838" w:rsidRDefault="002E489E" w:rsidP="00DE6EE4">
      <w:pPr>
        <w:spacing w:after="140" w:line="330" w:lineRule="auto"/>
        <w:ind w:left="720" w:hanging="720"/>
        <w:jc w:val="both"/>
      </w:pPr>
      <w:r>
        <w:rPr>
          <w:sz w:val="22"/>
          <w:szCs w:val="22"/>
        </w:rPr>
        <w:lastRenderedPageBreak/>
        <w:t xml:space="preserve">World Health Organization &amp; United Nations Children’s Fund. (2014). Integrated management of childhood illness: Chart booklet (5th ed.). World Health Organization. </w:t>
      </w:r>
      <w:r w:rsidR="00DE6EE4" w:rsidRPr="00DE6EE4">
        <w:rPr>
          <w:sz w:val="22"/>
          <w:szCs w:val="22"/>
        </w:rPr>
        <w:t>ISBN</w:t>
      </w:r>
      <w:r w:rsidR="000E0B4B">
        <w:rPr>
          <w:sz w:val="22"/>
          <w:szCs w:val="22"/>
        </w:rPr>
        <w:t xml:space="preserve">: </w:t>
      </w:r>
      <w:r w:rsidR="00DE6EE4" w:rsidRPr="00DE6EE4">
        <w:rPr>
          <w:sz w:val="22"/>
          <w:szCs w:val="22"/>
        </w:rPr>
        <w:t>9789241506823</w:t>
      </w:r>
      <w:r w:rsidR="000E0B4B">
        <w:rPr>
          <w:sz w:val="22"/>
          <w:szCs w:val="22"/>
        </w:rPr>
        <w:t xml:space="preserve">. </w:t>
      </w:r>
      <w:hyperlink r:id="rId21" w:history="1">
        <w:r w:rsidR="00DE6EE4" w:rsidRPr="002D6E3D">
          <w:rPr>
            <w:rStyle w:val="Hyperlink"/>
            <w:sz w:val="22"/>
            <w:szCs w:val="22"/>
          </w:rPr>
          <w:t>https://iris.who.int/handle/10665/104772</w:t>
        </w:r>
      </w:hyperlink>
      <w:r w:rsidR="00DE6EE4">
        <w:rPr>
          <w:sz w:val="22"/>
          <w:szCs w:val="22"/>
        </w:rPr>
        <w:t xml:space="preserve"> </w:t>
      </w:r>
    </w:p>
    <w:sectPr w:rsidR="00A75838" w:rsidSect="00A7583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obi" w:date="2026-04-23T05:13:00Z" w:initials="so">
    <w:p w14:paraId="75991B74" w14:textId="77777777" w:rsidR="00DD452E" w:rsidRDefault="00DD452E" w:rsidP="00DD452E">
      <w:pPr>
        <w:pStyle w:val="CommentText"/>
      </w:pPr>
      <w:r>
        <w:rPr>
          <w:rStyle w:val="CommentReference"/>
        </w:rPr>
        <w:annotationRef/>
      </w:r>
      <w:r>
        <w:t>The abstract should be sectioned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91B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DA513" w16cex:dateUtc="2026-04-23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91B74" w16cid:durableId="73FDA5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DF0B" w14:textId="77777777" w:rsidR="002B6315" w:rsidRDefault="002B6315" w:rsidP="00A75838">
      <w:r>
        <w:separator/>
      </w:r>
    </w:p>
  </w:endnote>
  <w:endnote w:type="continuationSeparator" w:id="0">
    <w:p w14:paraId="0BEC29B8" w14:textId="77777777" w:rsidR="002B6315" w:rsidRDefault="002B6315" w:rsidP="00A7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AAB7" w14:textId="77777777" w:rsidR="003435B8" w:rsidRDefault="0034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5015" w14:textId="77777777" w:rsidR="003435B8" w:rsidRDefault="00343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9612" w14:textId="77777777" w:rsidR="003435B8" w:rsidRDefault="0034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D775" w14:textId="77777777" w:rsidR="002B6315" w:rsidRDefault="002B6315" w:rsidP="00A75838">
      <w:r>
        <w:separator/>
      </w:r>
    </w:p>
  </w:footnote>
  <w:footnote w:type="continuationSeparator" w:id="0">
    <w:p w14:paraId="38428CF4" w14:textId="77777777" w:rsidR="002B6315" w:rsidRDefault="002B6315" w:rsidP="00A7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D765" w14:textId="34C4FE9F" w:rsidR="003435B8" w:rsidRDefault="00000000">
    <w:pPr>
      <w:pStyle w:val="Header"/>
    </w:pPr>
    <w:r>
      <w:rPr>
        <w:noProof/>
      </w:rPr>
      <w:pict w14:anchorId="182DE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50DD" w14:textId="7F7EAC2F" w:rsidR="003435B8" w:rsidRDefault="00000000">
    <w:pPr>
      <w:pStyle w:val="Header"/>
    </w:pPr>
    <w:r>
      <w:rPr>
        <w:noProof/>
      </w:rPr>
      <w:pict w14:anchorId="2F8E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5F40" w14:textId="023D0A8C" w:rsidR="003435B8" w:rsidRDefault="00000000">
    <w:pPr>
      <w:pStyle w:val="Header"/>
    </w:pPr>
    <w:r>
      <w:rPr>
        <w:noProof/>
      </w:rPr>
      <w:pict w14:anchorId="717A7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A2ECC"/>
    <w:multiLevelType w:val="hybridMultilevel"/>
    <w:tmpl w:val="EB0A9CA2"/>
    <w:lvl w:ilvl="0" w:tplc="9C3A0C7E">
      <w:start w:val="1"/>
      <w:numFmt w:val="bullet"/>
      <w:lvlText w:val="●"/>
      <w:lvlJc w:val="left"/>
      <w:pPr>
        <w:ind w:left="720" w:hanging="360"/>
      </w:pPr>
    </w:lvl>
    <w:lvl w:ilvl="1" w:tplc="9FD072C4">
      <w:start w:val="1"/>
      <w:numFmt w:val="bullet"/>
      <w:lvlText w:val="○"/>
      <w:lvlJc w:val="left"/>
      <w:pPr>
        <w:ind w:left="1440" w:hanging="360"/>
      </w:pPr>
    </w:lvl>
    <w:lvl w:ilvl="2" w:tplc="6780FF10">
      <w:start w:val="1"/>
      <w:numFmt w:val="bullet"/>
      <w:lvlText w:val="■"/>
      <w:lvlJc w:val="left"/>
      <w:pPr>
        <w:ind w:left="2160" w:hanging="360"/>
      </w:pPr>
    </w:lvl>
    <w:lvl w:ilvl="3" w:tplc="9AA2BBE4">
      <w:start w:val="1"/>
      <w:numFmt w:val="bullet"/>
      <w:lvlText w:val="●"/>
      <w:lvlJc w:val="left"/>
      <w:pPr>
        <w:ind w:left="2880" w:hanging="360"/>
      </w:pPr>
    </w:lvl>
    <w:lvl w:ilvl="4" w:tplc="D22211D0">
      <w:start w:val="1"/>
      <w:numFmt w:val="bullet"/>
      <w:lvlText w:val="○"/>
      <w:lvlJc w:val="left"/>
      <w:pPr>
        <w:ind w:left="3600" w:hanging="360"/>
      </w:pPr>
    </w:lvl>
    <w:lvl w:ilvl="5" w:tplc="BA608C44">
      <w:start w:val="1"/>
      <w:numFmt w:val="bullet"/>
      <w:lvlText w:val="■"/>
      <w:lvlJc w:val="left"/>
      <w:pPr>
        <w:ind w:left="4320" w:hanging="360"/>
      </w:pPr>
    </w:lvl>
    <w:lvl w:ilvl="6" w:tplc="AAC86050">
      <w:start w:val="1"/>
      <w:numFmt w:val="bullet"/>
      <w:lvlText w:val="●"/>
      <w:lvlJc w:val="left"/>
      <w:pPr>
        <w:ind w:left="5040" w:hanging="360"/>
      </w:pPr>
    </w:lvl>
    <w:lvl w:ilvl="7" w:tplc="3632A5B4">
      <w:start w:val="1"/>
      <w:numFmt w:val="bullet"/>
      <w:lvlText w:val="●"/>
      <w:lvlJc w:val="left"/>
      <w:pPr>
        <w:ind w:left="5760" w:hanging="360"/>
      </w:pPr>
    </w:lvl>
    <w:lvl w:ilvl="8" w:tplc="59DCDE7C">
      <w:start w:val="1"/>
      <w:numFmt w:val="bullet"/>
      <w:lvlText w:val="●"/>
      <w:lvlJc w:val="left"/>
      <w:pPr>
        <w:ind w:left="6480" w:hanging="360"/>
      </w:pPr>
    </w:lvl>
  </w:abstractNum>
  <w:num w:numId="1" w16cid:durableId="20400861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obi">
    <w15:presenceInfo w15:providerId="Windows Live" w15:userId="63b6ff29d633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hdrShapeDefaults>
    <o:shapedefaults v:ext="edit" spidmax="21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5838"/>
    <w:rsid w:val="000E0B4B"/>
    <w:rsid w:val="00183E0D"/>
    <w:rsid w:val="002B6315"/>
    <w:rsid w:val="002E489E"/>
    <w:rsid w:val="00335015"/>
    <w:rsid w:val="003435B8"/>
    <w:rsid w:val="00373033"/>
    <w:rsid w:val="003F05EF"/>
    <w:rsid w:val="0054675C"/>
    <w:rsid w:val="005B6859"/>
    <w:rsid w:val="005C1075"/>
    <w:rsid w:val="006549A0"/>
    <w:rsid w:val="00682F23"/>
    <w:rsid w:val="00852C61"/>
    <w:rsid w:val="00854E23"/>
    <w:rsid w:val="00954029"/>
    <w:rsid w:val="00A00A32"/>
    <w:rsid w:val="00A75838"/>
    <w:rsid w:val="00B548CC"/>
    <w:rsid w:val="00DD452E"/>
    <w:rsid w:val="00DE6EE4"/>
    <w:rsid w:val="00FA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2"/>
      <o:rules v:ext="edit">
        <o:r id="V:Rule1" type="connector" idref="#Straight Arrow Connector 36"/>
        <o:r id="V:Rule2" type="connector" idref="#Straight Arrow Connector 17"/>
        <o:r id="V:Rule3" type="connector" idref="#Straight Arrow Connector 19"/>
        <o:r id="V:Rule4" type="connector" idref="#Straight Arrow Connector 16"/>
        <o:r id="V:Rule5" type="connector" idref="#Straight Arrow Connector 14"/>
        <o:r id="V:Rule6" type="connector" idref="#Straight Arrow Connector 27"/>
        <o:r id="V:Rule7" type="connector" idref="#Straight Arrow Connector 35"/>
        <o:r id="V:Rule8" type="connector" idref="#Straight Arrow Connector 15"/>
      </o:rules>
    </o:shapelayout>
  </w:shapeDefaults>
  <w:decimalSymbol w:val="."/>
  <w:listSeparator w:val=","/>
  <w14:docId w14:val="6424BDC1"/>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A75838"/>
    <w:pPr>
      <w:spacing w:before="360" w:after="160"/>
      <w:outlineLvl w:val="0"/>
    </w:pPr>
    <w:rPr>
      <w:b/>
      <w:bCs/>
      <w:color w:val="000000"/>
      <w:sz w:val="28"/>
      <w:szCs w:val="28"/>
    </w:rPr>
  </w:style>
  <w:style w:type="paragraph" w:styleId="Heading2">
    <w:name w:val="heading 2"/>
    <w:qFormat/>
    <w:rsid w:val="00A75838"/>
    <w:pPr>
      <w:spacing w:before="280" w:after="120"/>
      <w:outlineLvl w:val="1"/>
    </w:pPr>
    <w:rPr>
      <w:b/>
      <w:bCs/>
      <w:color w:val="000000"/>
      <w:sz w:val="26"/>
      <w:szCs w:val="26"/>
    </w:rPr>
  </w:style>
  <w:style w:type="paragraph" w:styleId="Heading3">
    <w:name w:val="heading 3"/>
    <w:qFormat/>
    <w:rsid w:val="00A75838"/>
    <w:pPr>
      <w:outlineLvl w:val="2"/>
    </w:pPr>
    <w:rPr>
      <w:color w:val="1F4D78"/>
    </w:rPr>
  </w:style>
  <w:style w:type="paragraph" w:styleId="Heading4">
    <w:name w:val="heading 4"/>
    <w:qFormat/>
    <w:rsid w:val="00A75838"/>
    <w:pPr>
      <w:outlineLvl w:val="3"/>
    </w:pPr>
    <w:rPr>
      <w:i/>
      <w:iCs/>
      <w:color w:val="2E74B5"/>
    </w:rPr>
  </w:style>
  <w:style w:type="paragraph" w:styleId="Heading5">
    <w:name w:val="heading 5"/>
    <w:qFormat/>
    <w:rsid w:val="00A75838"/>
    <w:pPr>
      <w:outlineLvl w:val="4"/>
    </w:pPr>
    <w:rPr>
      <w:color w:val="2E74B5"/>
    </w:rPr>
  </w:style>
  <w:style w:type="paragraph" w:styleId="Heading6">
    <w:name w:val="heading 6"/>
    <w:qFormat/>
    <w:rsid w:val="00A7583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75838"/>
    <w:rPr>
      <w:sz w:val="56"/>
      <w:szCs w:val="56"/>
    </w:rPr>
  </w:style>
  <w:style w:type="paragraph" w:customStyle="1" w:styleId="Strong1">
    <w:name w:val="Strong1"/>
    <w:qFormat/>
    <w:rsid w:val="00A75838"/>
    <w:rPr>
      <w:b/>
      <w:bCs/>
    </w:rPr>
  </w:style>
  <w:style w:type="paragraph" w:styleId="ListParagraph">
    <w:name w:val="List Paragraph"/>
    <w:qFormat/>
    <w:rsid w:val="00A75838"/>
  </w:style>
  <w:style w:type="character" w:styleId="Hyperlink">
    <w:name w:val="Hyperlink"/>
    <w:uiPriority w:val="99"/>
    <w:unhideWhenUsed/>
    <w:rsid w:val="00A75838"/>
    <w:rPr>
      <w:color w:val="0563C1"/>
      <w:u w:val="single"/>
    </w:rPr>
  </w:style>
  <w:style w:type="character" w:styleId="FootnoteReference">
    <w:name w:val="footnote reference"/>
    <w:uiPriority w:val="99"/>
    <w:semiHidden/>
    <w:unhideWhenUsed/>
    <w:rsid w:val="00A75838"/>
    <w:rPr>
      <w:vertAlign w:val="superscript"/>
    </w:rPr>
  </w:style>
  <w:style w:type="paragraph" w:styleId="FootnoteText">
    <w:name w:val="footnote text"/>
    <w:link w:val="FootnoteTextChar"/>
    <w:uiPriority w:val="99"/>
    <w:semiHidden/>
    <w:unhideWhenUsed/>
    <w:rsid w:val="00A75838"/>
    <w:rPr>
      <w:sz w:val="20"/>
      <w:szCs w:val="20"/>
    </w:rPr>
  </w:style>
  <w:style w:type="character" w:customStyle="1" w:styleId="FootnoteTextChar">
    <w:name w:val="Footnote Text Char"/>
    <w:link w:val="FootnoteText"/>
    <w:uiPriority w:val="99"/>
    <w:semiHidden/>
    <w:unhideWhenUsed/>
    <w:rsid w:val="00A75838"/>
    <w:rPr>
      <w:sz w:val="20"/>
      <w:szCs w:val="20"/>
    </w:rPr>
  </w:style>
  <w:style w:type="character" w:styleId="EndnoteReference">
    <w:name w:val="endnote reference"/>
    <w:uiPriority w:val="99"/>
    <w:semiHidden/>
    <w:unhideWhenUsed/>
    <w:rsid w:val="00A75838"/>
    <w:rPr>
      <w:vertAlign w:val="superscript"/>
    </w:rPr>
  </w:style>
  <w:style w:type="paragraph" w:styleId="EndnoteText">
    <w:name w:val="endnote text"/>
    <w:link w:val="EndnoteTextChar"/>
    <w:uiPriority w:val="99"/>
    <w:semiHidden/>
    <w:unhideWhenUsed/>
    <w:rsid w:val="00A75838"/>
    <w:rPr>
      <w:sz w:val="20"/>
      <w:szCs w:val="20"/>
    </w:rPr>
  </w:style>
  <w:style w:type="character" w:customStyle="1" w:styleId="EndnoteTextChar">
    <w:name w:val="Endnote Text Char"/>
    <w:link w:val="EndnoteText"/>
    <w:uiPriority w:val="99"/>
    <w:semiHidden/>
    <w:unhideWhenUsed/>
    <w:rsid w:val="00A75838"/>
    <w:rPr>
      <w:sz w:val="20"/>
      <w:szCs w:val="20"/>
    </w:rPr>
  </w:style>
  <w:style w:type="paragraph" w:styleId="Header">
    <w:name w:val="header"/>
    <w:basedOn w:val="Normal"/>
    <w:link w:val="HeaderChar"/>
    <w:uiPriority w:val="99"/>
    <w:unhideWhenUsed/>
    <w:rsid w:val="005C1075"/>
    <w:pPr>
      <w:tabs>
        <w:tab w:val="center" w:pos="4680"/>
        <w:tab w:val="right" w:pos="9360"/>
      </w:tabs>
    </w:pPr>
  </w:style>
  <w:style w:type="character" w:customStyle="1" w:styleId="HeaderChar">
    <w:name w:val="Header Char"/>
    <w:basedOn w:val="DefaultParagraphFont"/>
    <w:link w:val="Header"/>
    <w:uiPriority w:val="99"/>
    <w:rsid w:val="005C1075"/>
  </w:style>
  <w:style w:type="paragraph" w:styleId="Footer">
    <w:name w:val="footer"/>
    <w:basedOn w:val="Normal"/>
    <w:link w:val="FooterChar"/>
    <w:uiPriority w:val="99"/>
    <w:unhideWhenUsed/>
    <w:rsid w:val="005C1075"/>
    <w:pPr>
      <w:tabs>
        <w:tab w:val="center" w:pos="4680"/>
        <w:tab w:val="right" w:pos="9360"/>
      </w:tabs>
    </w:pPr>
  </w:style>
  <w:style w:type="character" w:customStyle="1" w:styleId="FooterChar">
    <w:name w:val="Footer Char"/>
    <w:basedOn w:val="DefaultParagraphFont"/>
    <w:link w:val="Footer"/>
    <w:uiPriority w:val="99"/>
    <w:rsid w:val="005C1075"/>
  </w:style>
  <w:style w:type="character" w:styleId="CommentReference">
    <w:name w:val="annotation reference"/>
    <w:basedOn w:val="DefaultParagraphFont"/>
    <w:uiPriority w:val="99"/>
    <w:semiHidden/>
    <w:unhideWhenUsed/>
    <w:rsid w:val="00DD452E"/>
    <w:rPr>
      <w:sz w:val="16"/>
      <w:szCs w:val="16"/>
    </w:rPr>
  </w:style>
  <w:style w:type="paragraph" w:styleId="CommentText">
    <w:name w:val="annotation text"/>
    <w:basedOn w:val="Normal"/>
    <w:link w:val="CommentTextChar"/>
    <w:uiPriority w:val="99"/>
    <w:unhideWhenUsed/>
    <w:rsid w:val="00DD452E"/>
    <w:rPr>
      <w:sz w:val="20"/>
      <w:szCs w:val="20"/>
    </w:rPr>
  </w:style>
  <w:style w:type="character" w:customStyle="1" w:styleId="CommentTextChar">
    <w:name w:val="Comment Text Char"/>
    <w:basedOn w:val="DefaultParagraphFont"/>
    <w:link w:val="CommentText"/>
    <w:uiPriority w:val="99"/>
    <w:rsid w:val="00DD452E"/>
    <w:rPr>
      <w:sz w:val="20"/>
      <w:szCs w:val="20"/>
    </w:rPr>
  </w:style>
  <w:style w:type="paragraph" w:styleId="CommentSubject">
    <w:name w:val="annotation subject"/>
    <w:basedOn w:val="CommentText"/>
    <w:next w:val="CommentText"/>
    <w:link w:val="CommentSubjectChar"/>
    <w:uiPriority w:val="99"/>
    <w:semiHidden/>
    <w:unhideWhenUsed/>
    <w:rsid w:val="00DD452E"/>
    <w:rPr>
      <w:b/>
      <w:bCs/>
    </w:rPr>
  </w:style>
  <w:style w:type="character" w:customStyle="1" w:styleId="CommentSubjectChar">
    <w:name w:val="Comment Subject Char"/>
    <w:basedOn w:val="CommentTextChar"/>
    <w:link w:val="CommentSubject"/>
    <w:uiPriority w:val="99"/>
    <w:semiHidden/>
    <w:rsid w:val="00DD4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41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nyas.14092" TargetMode="External"/><Relationship Id="rId18" Type="http://schemas.openxmlformats.org/officeDocument/2006/relationships/hyperlink" Target="https://www.unicef.org/reports/state-of-worlds-children-201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ris.who.int/handle/10665/104772" TargetMode="External"/><Relationship Id="rId7" Type="http://schemas.openxmlformats.org/officeDocument/2006/relationships/endnotes" Target="endnotes.xml"/><Relationship Id="rId12" Type="http://schemas.openxmlformats.org/officeDocument/2006/relationships/hyperlink" Target="https://doi.org/10.1056/NEJMra1401038" TargetMode="External"/><Relationship Id="rId17" Type="http://schemas.openxmlformats.org/officeDocument/2006/relationships/hyperlink" Target="https://doi.org/10.1093/jn/131.2.697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mc.ncbi.nlm.nih.gov/articles/PMC2486990/" TargetMode="External"/><Relationship Id="rId20" Type="http://schemas.openxmlformats.org/officeDocument/2006/relationships/hyperlink" Target="https://iris.who.int/handle/10665/85839"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9/ACCESS.2019.2932274"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dn.who.int/media/docs/default-source/2021-dha-docs/ida_assessment_prevention_control.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ris.who.int/handle/10665/4389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031831-F66F-4B0E-B6ED-EDBF3A0F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8932</Words>
  <Characters>58417</Characters>
  <Application>Microsoft Office Word</Application>
  <DocSecurity>0</DocSecurity>
  <Lines>859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sally obi</cp:lastModifiedBy>
  <cp:revision>4</cp:revision>
  <dcterms:created xsi:type="dcterms:W3CDTF">2026-04-23T10:46:00Z</dcterms:created>
  <dcterms:modified xsi:type="dcterms:W3CDTF">2026-04-23T12:28:00Z</dcterms:modified>
</cp:coreProperties>
</file>