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F180" w14:textId="77777777" w:rsidR="0004388F" w:rsidRDefault="0004388F" w:rsidP="00743674">
      <w:pPr>
        <w:spacing w:after="0"/>
        <w:jc w:val="center"/>
        <w:rPr>
          <w:rFonts w:ascii="Times New Roman" w:hAnsi="Times New Roman" w:cs="Times New Roman"/>
          <w:sz w:val="27"/>
          <w:szCs w:val="27"/>
          <w:lang w:eastAsia="en-IN"/>
        </w:rPr>
      </w:pPr>
      <w:r w:rsidRPr="0004388F">
        <w:rPr>
          <w:rFonts w:ascii="Times New Roman" w:hAnsi="Times New Roman" w:cs="Times New Roman"/>
          <w:sz w:val="27"/>
          <w:szCs w:val="27"/>
          <w:lang w:eastAsia="en-IN"/>
        </w:rPr>
        <w:t xml:space="preserve">Original Research Article </w:t>
      </w:r>
    </w:p>
    <w:p w14:paraId="7DDCE36A" w14:textId="77777777" w:rsidR="0004388F" w:rsidRDefault="0004388F" w:rsidP="00743674">
      <w:pPr>
        <w:spacing w:after="0"/>
        <w:jc w:val="center"/>
        <w:rPr>
          <w:rFonts w:ascii="Times New Roman" w:hAnsi="Times New Roman" w:cs="Times New Roman"/>
          <w:sz w:val="27"/>
          <w:szCs w:val="27"/>
          <w:lang w:eastAsia="en-IN"/>
        </w:rPr>
      </w:pPr>
    </w:p>
    <w:p w14:paraId="394BBCE4" w14:textId="7E77B581" w:rsidR="005D7687" w:rsidRDefault="005D7687" w:rsidP="00743674">
      <w:pPr>
        <w:spacing w:after="0"/>
        <w:jc w:val="center"/>
        <w:rPr>
          <w:rFonts w:ascii="Times New Roman" w:hAnsi="Times New Roman" w:cs="Times New Roman"/>
          <w:sz w:val="27"/>
          <w:szCs w:val="27"/>
          <w:lang w:eastAsia="en-IN"/>
        </w:rPr>
      </w:pPr>
      <w:r w:rsidRPr="0052080A">
        <w:rPr>
          <w:rFonts w:ascii="Times New Roman" w:hAnsi="Times New Roman" w:cs="Times New Roman"/>
          <w:sz w:val="27"/>
          <w:szCs w:val="27"/>
          <w:lang w:eastAsia="en-IN"/>
        </w:rPr>
        <w:t xml:space="preserve">Optimized </w:t>
      </w:r>
      <w:r w:rsidR="0052080A" w:rsidRPr="0052080A">
        <w:rPr>
          <w:rFonts w:ascii="Times New Roman" w:hAnsi="Times New Roman" w:cs="Times New Roman"/>
          <w:sz w:val="27"/>
          <w:szCs w:val="27"/>
          <w:lang w:eastAsia="en-IN"/>
        </w:rPr>
        <w:t>Shelf life</w:t>
      </w:r>
      <w:r w:rsidRPr="0052080A">
        <w:rPr>
          <w:rFonts w:ascii="Times New Roman" w:hAnsi="Times New Roman" w:cs="Times New Roman"/>
          <w:sz w:val="27"/>
          <w:szCs w:val="27"/>
          <w:lang w:eastAsia="en-IN"/>
        </w:rPr>
        <w:t xml:space="preserve"> and Quality </w:t>
      </w:r>
      <w:r w:rsidR="0052080A" w:rsidRPr="0052080A">
        <w:rPr>
          <w:rFonts w:ascii="Times New Roman" w:hAnsi="Times New Roman" w:cs="Times New Roman"/>
          <w:sz w:val="27"/>
          <w:szCs w:val="27"/>
          <w:lang w:eastAsia="en-IN"/>
        </w:rPr>
        <w:t>of vegetables under</w:t>
      </w:r>
      <w:r w:rsidRPr="0052080A">
        <w:rPr>
          <w:rFonts w:ascii="Times New Roman" w:hAnsi="Times New Roman" w:cs="Times New Roman"/>
          <w:sz w:val="27"/>
          <w:szCs w:val="27"/>
          <w:lang w:eastAsia="en-IN"/>
        </w:rPr>
        <w:t xml:space="preserve"> </w:t>
      </w:r>
      <w:r w:rsidR="009813B1">
        <w:rPr>
          <w:rFonts w:ascii="Times New Roman" w:hAnsi="Times New Roman" w:cs="Times New Roman"/>
          <w:sz w:val="27"/>
          <w:szCs w:val="27"/>
          <w:lang w:eastAsia="en-IN"/>
        </w:rPr>
        <w:t xml:space="preserve">a </w:t>
      </w:r>
      <w:r w:rsidRPr="0052080A">
        <w:rPr>
          <w:rFonts w:ascii="Times New Roman" w:hAnsi="Times New Roman" w:cs="Times New Roman"/>
          <w:sz w:val="27"/>
          <w:szCs w:val="27"/>
          <w:lang w:eastAsia="en-IN"/>
        </w:rPr>
        <w:t>Zero Energy Cool Chamber</w:t>
      </w:r>
    </w:p>
    <w:p w14:paraId="3BAF40BD" w14:textId="77777777" w:rsidR="0004388F" w:rsidRDefault="0004388F" w:rsidP="00743674">
      <w:pPr>
        <w:spacing w:after="0"/>
        <w:jc w:val="center"/>
        <w:rPr>
          <w:rFonts w:ascii="Times New Roman" w:hAnsi="Times New Roman" w:cs="Times New Roman"/>
          <w:sz w:val="27"/>
          <w:szCs w:val="27"/>
          <w:lang w:eastAsia="en-IN"/>
        </w:rPr>
      </w:pPr>
    </w:p>
    <w:p w14:paraId="6A8AA0F9" w14:textId="77777777" w:rsidR="0004388F" w:rsidRPr="0052080A" w:rsidRDefault="0004388F" w:rsidP="00743674">
      <w:pPr>
        <w:spacing w:after="0"/>
        <w:jc w:val="center"/>
        <w:rPr>
          <w:rFonts w:ascii="Times New Roman" w:hAnsi="Times New Roman" w:cs="Times New Roman"/>
          <w:sz w:val="27"/>
          <w:szCs w:val="27"/>
          <w:lang w:eastAsia="en-IN"/>
        </w:rPr>
      </w:pPr>
    </w:p>
    <w:p w14:paraId="5E5F3CFE"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Abstract</w:t>
      </w:r>
    </w:p>
    <w:p w14:paraId="06B3C40E" w14:textId="745E55E9"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significant post-harvest deterioration of fresh produce in rural areas</w:t>
      </w:r>
      <w:r w:rsidR="009813B1">
        <w:rPr>
          <w:rFonts w:ascii="Times New Roman" w:eastAsia="Times New Roman" w:hAnsi="Times New Roman" w:cs="Times New Roman"/>
          <w:color w:val="1B1C1D"/>
          <w:sz w:val="24"/>
          <w:szCs w:val="24"/>
          <w:lang w:eastAsia="en-IN"/>
        </w:rPr>
        <w:t xml:space="preserve">, </w:t>
      </w:r>
      <w:commentRangeStart w:id="0"/>
      <w:r w:rsidR="009813B1">
        <w:rPr>
          <w:rFonts w:ascii="Times New Roman" w:eastAsia="Times New Roman" w:hAnsi="Times New Roman" w:cs="Times New Roman"/>
          <w:color w:val="1B1C1D"/>
          <w:sz w:val="24"/>
          <w:szCs w:val="24"/>
          <w:lang w:eastAsia="en-IN"/>
        </w:rPr>
        <w:t>which</w:t>
      </w:r>
      <w:commentRangeEnd w:id="0"/>
      <w:r w:rsidR="009813B1">
        <w:rPr>
          <w:rStyle w:val="CommentReference"/>
        </w:rPr>
        <w:commentReference w:id="0"/>
      </w:r>
      <w:r w:rsidRPr="005D7687">
        <w:rPr>
          <w:rFonts w:ascii="Times New Roman" w:eastAsia="Times New Roman" w:hAnsi="Times New Roman" w:cs="Times New Roman"/>
          <w:color w:val="1B1C1D"/>
          <w:sz w:val="24"/>
          <w:szCs w:val="24"/>
          <w:lang w:eastAsia="en-IN"/>
        </w:rPr>
        <w:t xml:space="preserve"> lacks cold chain infrastructure, a major obstacle to maximizing farmer profitability and ensuring food security. The quality retention of vegetables is intrinsically linked to </w:t>
      </w:r>
      <w:commentRangeStart w:id="1"/>
      <w:r w:rsidRPr="005D7687">
        <w:rPr>
          <w:rFonts w:ascii="Times New Roman" w:eastAsia="Times New Roman" w:hAnsi="Times New Roman" w:cs="Times New Roman"/>
          <w:color w:val="1B1C1D"/>
          <w:sz w:val="24"/>
          <w:szCs w:val="24"/>
          <w:lang w:eastAsia="en-IN"/>
        </w:rPr>
        <w:t>rate</w:t>
      </w:r>
      <w:commentRangeEnd w:id="1"/>
      <w:r w:rsidR="009813B1">
        <w:rPr>
          <w:rStyle w:val="CommentReference"/>
        </w:rPr>
        <w:commentReference w:id="1"/>
      </w:r>
      <w:r w:rsidRPr="005D7687">
        <w:rPr>
          <w:rFonts w:ascii="Times New Roman" w:eastAsia="Times New Roman" w:hAnsi="Times New Roman" w:cs="Times New Roman"/>
          <w:color w:val="1B1C1D"/>
          <w:sz w:val="24"/>
          <w:szCs w:val="24"/>
          <w:lang w:eastAsia="en-IN"/>
        </w:rPr>
        <w:t xml:space="preserve"> of moisture loss, which is quantified by physiological weight loss. This rate is dramatically accelerated due to high temperatures during summer season. To address this challenge, a study was conducted utilizing the Zero Energy Cool Chamber (ZECC), </w:t>
      </w:r>
      <w:r w:rsidR="00552154">
        <w:rPr>
          <w:rFonts w:ascii="Times New Roman" w:eastAsia="Times New Roman" w:hAnsi="Times New Roman" w:cs="Times New Roman"/>
          <w:color w:val="1B1C1D"/>
          <w:sz w:val="24"/>
          <w:szCs w:val="24"/>
          <w:lang w:eastAsia="en-IN"/>
        </w:rPr>
        <w:t xml:space="preserve">a </w:t>
      </w:r>
      <w:commentRangeStart w:id="2"/>
      <w:r w:rsidRPr="005D7687">
        <w:rPr>
          <w:rFonts w:ascii="Times New Roman" w:eastAsia="Times New Roman" w:hAnsi="Times New Roman" w:cs="Times New Roman"/>
          <w:color w:val="1B1C1D"/>
          <w:sz w:val="24"/>
          <w:szCs w:val="24"/>
          <w:lang w:eastAsia="en-IN"/>
        </w:rPr>
        <w:t>low</w:t>
      </w:r>
      <w:commentRangeEnd w:id="2"/>
      <w:r w:rsidR="00552154">
        <w:rPr>
          <w:rStyle w:val="CommentReference"/>
        </w:rPr>
        <w:commentReference w:id="2"/>
      </w:r>
      <w:r w:rsidRPr="005D7687">
        <w:rPr>
          <w:rFonts w:ascii="Times New Roman" w:eastAsia="Times New Roman" w:hAnsi="Times New Roman" w:cs="Times New Roman"/>
          <w:color w:val="1B1C1D"/>
          <w:sz w:val="24"/>
          <w:szCs w:val="24"/>
          <w:lang w:eastAsia="en-IN"/>
        </w:rPr>
        <w:t xml:space="preserve">-cost structure independent of non-renewable energy sources. The objective was to evaluate the comparative storage duration (in days) and quality retention of five diverse summer </w:t>
      </w:r>
      <w:commentRangeStart w:id="3"/>
      <w:r w:rsidRPr="005D7687">
        <w:rPr>
          <w:rFonts w:ascii="Times New Roman" w:eastAsia="Times New Roman" w:hAnsi="Times New Roman" w:cs="Times New Roman"/>
          <w:color w:val="1B1C1D"/>
          <w:sz w:val="24"/>
          <w:szCs w:val="24"/>
          <w:lang w:eastAsia="en-IN"/>
        </w:rPr>
        <w:t>vegetable</w:t>
      </w:r>
      <w:commentRangeEnd w:id="3"/>
      <w:r w:rsidR="00552154">
        <w:rPr>
          <w:rStyle w:val="CommentReference"/>
        </w:rPr>
        <w:commentReference w:id="3"/>
      </w:r>
      <w:r w:rsidRPr="005D7687">
        <w:rPr>
          <w:rFonts w:ascii="Times New Roman" w:eastAsia="Times New Roman" w:hAnsi="Times New Roman" w:cs="Times New Roman"/>
          <w:color w:val="1B1C1D"/>
          <w:sz w:val="24"/>
          <w:szCs w:val="24"/>
          <w:lang w:eastAsia="en-IN"/>
        </w:rPr>
        <w:t xml:space="preserve">. Okra, Radish, Cauliflower, Spinach and Oyster </w:t>
      </w:r>
      <w:r w:rsidR="00552154">
        <w:rPr>
          <w:rFonts w:ascii="Times New Roman" w:eastAsia="Times New Roman" w:hAnsi="Times New Roman" w:cs="Times New Roman"/>
          <w:color w:val="1B1C1D"/>
          <w:sz w:val="24"/>
          <w:szCs w:val="24"/>
          <w:lang w:eastAsia="en-IN"/>
        </w:rPr>
        <w:t>m</w:t>
      </w:r>
      <w:r w:rsidRPr="005D7687">
        <w:rPr>
          <w:rFonts w:ascii="Times New Roman" w:eastAsia="Times New Roman" w:hAnsi="Times New Roman" w:cs="Times New Roman"/>
          <w:color w:val="1B1C1D"/>
          <w:sz w:val="24"/>
          <w:szCs w:val="24"/>
          <w:lang w:eastAsia="en-IN"/>
        </w:rPr>
        <w:t xml:space="preserve">ushroom stored in a ZECC and typical rural open basket practice. </w:t>
      </w:r>
      <w:commentRangeStart w:id="4"/>
      <w:r w:rsidRPr="005D7687">
        <w:rPr>
          <w:rFonts w:ascii="Times New Roman" w:eastAsia="Times New Roman" w:hAnsi="Times New Roman" w:cs="Times New Roman"/>
          <w:color w:val="1B1C1D"/>
          <w:sz w:val="24"/>
          <w:szCs w:val="24"/>
          <w:lang w:eastAsia="en-IN"/>
        </w:rPr>
        <w:t xml:space="preserve">The on-farm trial demonstrated that the ZECC effectively moderated the storage environment during the summer month of April, achieving </w:t>
      </w:r>
      <w:r w:rsidR="00552154">
        <w:rPr>
          <w:rFonts w:ascii="Times New Roman" w:eastAsia="Times New Roman" w:hAnsi="Times New Roman" w:cs="Times New Roman"/>
          <w:color w:val="1B1C1D"/>
          <w:sz w:val="24"/>
          <w:szCs w:val="24"/>
          <w:lang w:eastAsia="en-IN"/>
        </w:rPr>
        <w:t xml:space="preserve">a temperature reduction of up to 5.800 °C (from 35.80 °C ambient to 30.050 °C </w:t>
      </w:r>
      <w:r w:rsidRPr="005D7687">
        <w:rPr>
          <w:rFonts w:ascii="Times New Roman" w:eastAsia="Times New Roman" w:hAnsi="Times New Roman" w:cs="Times New Roman"/>
          <w:color w:val="1B1C1D"/>
          <w:sz w:val="24"/>
          <w:szCs w:val="24"/>
          <w:lang w:eastAsia="en-IN"/>
        </w:rPr>
        <w:t>internal) and raising relative humidity from 55.0% to 95.5</w:t>
      </w:r>
      <w:r w:rsidR="00743674" w:rsidRPr="005D7687">
        <w:rPr>
          <w:rFonts w:ascii="Times New Roman" w:eastAsia="Times New Roman" w:hAnsi="Times New Roman" w:cs="Times New Roman"/>
          <w:color w:val="1B1C1D"/>
          <w:sz w:val="24"/>
          <w:szCs w:val="24"/>
          <w:lang w:eastAsia="en-IN"/>
        </w:rPr>
        <w:t xml:space="preserve">%. </w:t>
      </w:r>
      <w:commentRangeEnd w:id="4"/>
      <w:r w:rsidR="00552154">
        <w:rPr>
          <w:rStyle w:val="CommentReference"/>
        </w:rPr>
        <w:commentReference w:id="4"/>
      </w:r>
      <w:r w:rsidR="00743674" w:rsidRPr="005D7687">
        <w:rPr>
          <w:rFonts w:ascii="Times New Roman" w:eastAsia="Times New Roman" w:hAnsi="Times New Roman" w:cs="Times New Roman"/>
          <w:color w:val="1B1C1D"/>
          <w:sz w:val="24"/>
          <w:szCs w:val="24"/>
          <w:lang w:eastAsia="en-IN"/>
        </w:rPr>
        <w:t>This</w:t>
      </w:r>
      <w:r w:rsidRPr="005D7687">
        <w:rPr>
          <w:rFonts w:ascii="Times New Roman" w:eastAsia="Times New Roman" w:hAnsi="Times New Roman" w:cs="Times New Roman"/>
          <w:color w:val="1B1C1D"/>
          <w:sz w:val="24"/>
          <w:szCs w:val="24"/>
          <w:lang w:eastAsia="en-IN"/>
        </w:rPr>
        <w:t xml:space="preserve"> environmental control drastically reduced moisture loss. Okra stored in the ZECC for three days exhibited only 7.0% PLW, whereas the open basket comparator showed 23% PLW after the same period. For highly perishable Oyster Mushroom, the ZECC maintained marketable quality for two days with 9.75% PLW, significantly preventing the rapid desiccation and total spoilage (58% PLW) observed in ambient conditions after two days. The findings confirm that ZECC technology provides advantage in minimizing post-harvest losses, enhancing freshness, and extending the marketable life of diverse vegetables in constrained environments.</w:t>
      </w:r>
    </w:p>
    <w:p w14:paraId="3974F027" w14:textId="4B4A20D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b/>
          <w:bCs/>
          <w:color w:val="1B1C1D"/>
          <w:sz w:val="24"/>
          <w:szCs w:val="24"/>
          <w:lang w:eastAsia="en-IN"/>
        </w:rPr>
        <w:t>(</w:t>
      </w:r>
      <w:r w:rsidRPr="005D7687">
        <w:rPr>
          <w:rFonts w:ascii="Times New Roman" w:eastAsia="Times New Roman" w:hAnsi="Times New Roman" w:cs="Times New Roman"/>
          <w:b/>
          <w:bCs/>
          <w:color w:val="1B1C1D"/>
          <w:sz w:val="24"/>
          <w:szCs w:val="24"/>
          <w:lang w:eastAsia="en-IN"/>
        </w:rPr>
        <w:t>Keywords:</w:t>
      </w:r>
      <w:r w:rsidRPr="005D7687">
        <w:rPr>
          <w:rFonts w:ascii="Times New Roman" w:eastAsia="Times New Roman" w:hAnsi="Times New Roman" w:cs="Times New Roman"/>
          <w:color w:val="1B1C1D"/>
          <w:sz w:val="24"/>
          <w:szCs w:val="24"/>
          <w:lang w:eastAsia="en-IN"/>
        </w:rPr>
        <w:t>  Post-Harvest Loss, Shelf-Life</w:t>
      </w:r>
      <w:r>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 xml:space="preserve">Weight Loss, </w:t>
      </w:r>
      <w:r>
        <w:rPr>
          <w:rFonts w:ascii="Times New Roman" w:eastAsia="Times New Roman" w:hAnsi="Times New Roman" w:cs="Times New Roman"/>
          <w:color w:val="1B1C1D"/>
          <w:sz w:val="24"/>
          <w:szCs w:val="24"/>
          <w:lang w:eastAsia="en-IN"/>
        </w:rPr>
        <w:t>Vegetables)</w:t>
      </w:r>
    </w:p>
    <w:p w14:paraId="562DE24E" w14:textId="56AED87F" w:rsidR="005D7687" w:rsidRPr="005D7687" w:rsidRDefault="005D7687" w:rsidP="005D7687">
      <w:pPr>
        <w:shd w:val="clear" w:color="auto" w:fill="FFFFFF"/>
        <w:spacing w:after="0" w:line="24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Introduction</w:t>
      </w:r>
    </w:p>
    <w:p w14:paraId="424E2202" w14:textId="17434B22"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Vegetables are a cornerstone of the human diet, providing an affordable and abundant source of essential micronutrients, including vitamins and minerals. Beyond basic nutrition, the </w:t>
      </w:r>
      <w:commentRangeStart w:id="5"/>
      <w:r w:rsidRPr="005D7687">
        <w:rPr>
          <w:rFonts w:ascii="Times New Roman" w:eastAsia="Times New Roman" w:hAnsi="Times New Roman" w:cs="Times New Roman"/>
          <w:color w:val="1B1C1D"/>
          <w:sz w:val="24"/>
          <w:szCs w:val="24"/>
          <w:lang w:eastAsia="en-IN"/>
        </w:rPr>
        <w:t>ample</w:t>
      </w:r>
      <w:commentRangeEnd w:id="5"/>
      <w:r w:rsidR="00552154">
        <w:rPr>
          <w:rStyle w:val="CommentReference"/>
        </w:rPr>
        <w:commentReference w:id="5"/>
      </w:r>
      <w:r w:rsidRPr="005D7687">
        <w:rPr>
          <w:rFonts w:ascii="Times New Roman" w:eastAsia="Times New Roman" w:hAnsi="Times New Roman" w:cs="Times New Roman"/>
          <w:color w:val="1B1C1D"/>
          <w:sz w:val="24"/>
          <w:szCs w:val="24"/>
          <w:lang w:eastAsia="en-IN"/>
        </w:rPr>
        <w:t xml:space="preserve"> </w:t>
      </w:r>
      <w:proofErr w:type="gramStart"/>
      <w:r w:rsidRPr="005D7687">
        <w:rPr>
          <w:rFonts w:ascii="Times New Roman" w:eastAsia="Times New Roman" w:hAnsi="Times New Roman" w:cs="Times New Roman"/>
          <w:color w:val="1B1C1D"/>
          <w:sz w:val="24"/>
          <w:szCs w:val="24"/>
          <w:lang w:eastAsia="en-IN"/>
        </w:rPr>
        <w:t>amount</w:t>
      </w:r>
      <w:proofErr w:type="gramEnd"/>
      <w:r w:rsidRPr="005D7687">
        <w:rPr>
          <w:rFonts w:ascii="Times New Roman" w:eastAsia="Times New Roman" w:hAnsi="Times New Roman" w:cs="Times New Roman"/>
          <w:color w:val="1B1C1D"/>
          <w:sz w:val="24"/>
          <w:szCs w:val="24"/>
          <w:lang w:eastAsia="en-IN"/>
        </w:rPr>
        <w:t xml:space="preserve"> of dietary </w:t>
      </w:r>
      <w:proofErr w:type="spellStart"/>
      <w:r w:rsidRPr="005D7687">
        <w:rPr>
          <w:rFonts w:ascii="Times New Roman" w:eastAsia="Times New Roman" w:hAnsi="Times New Roman" w:cs="Times New Roman"/>
          <w:color w:val="1B1C1D"/>
          <w:sz w:val="24"/>
          <w:szCs w:val="24"/>
          <w:lang w:eastAsia="en-IN"/>
        </w:rPr>
        <w:t>fibers</w:t>
      </w:r>
      <w:proofErr w:type="spellEnd"/>
      <w:r w:rsidRPr="005D7687">
        <w:rPr>
          <w:rFonts w:ascii="Times New Roman" w:eastAsia="Times New Roman" w:hAnsi="Times New Roman" w:cs="Times New Roman"/>
          <w:color w:val="1B1C1D"/>
          <w:sz w:val="24"/>
          <w:szCs w:val="24"/>
          <w:lang w:eastAsia="en-IN"/>
        </w:rPr>
        <w:t xml:space="preserve"> they contain offers documented therapeutic benefits in mitigating risks associated with conditions such as heart disease, obesity, colon cancer, and </w:t>
      </w:r>
      <w:r w:rsidRPr="005D7687">
        <w:rPr>
          <w:rFonts w:ascii="Times New Roman" w:eastAsia="Times New Roman" w:hAnsi="Times New Roman" w:cs="Times New Roman"/>
          <w:color w:val="1B1C1D"/>
          <w:sz w:val="24"/>
          <w:szCs w:val="24"/>
          <w:lang w:eastAsia="en-IN"/>
        </w:rPr>
        <w:lastRenderedPageBreak/>
        <w:t>diabetes. Consequently, minimizing post-harvest losses (PHL) is an essential national objective to ensure maximum utilization of agricultural output.  In India, vegetable PHL is a significant economic and logistical burden, estimated to range between </w:t>
      </w:r>
      <w:r w:rsidRPr="005D7687">
        <w:rPr>
          <w:rFonts w:ascii="Times New Roman" w:eastAsia="Times New Roman" w:hAnsi="Times New Roman" w:cs="Times New Roman"/>
          <w:color w:val="1B1C1D"/>
          <w:sz w:val="29"/>
          <w:szCs w:val="29"/>
          <w:lang w:eastAsia="en-IN"/>
        </w:rPr>
        <w:t>4</w:t>
      </w:r>
      <w:commentRangeStart w:id="6"/>
      <w:r w:rsidRPr="005D7687">
        <w:rPr>
          <w:rFonts w:ascii="Times New Roman" w:eastAsia="Times New Roman" w:hAnsi="Times New Roman" w:cs="Times New Roman"/>
          <w:color w:val="1B1C1D"/>
          <w:sz w:val="29"/>
          <w:szCs w:val="29"/>
          <w:lang w:eastAsia="en-IN"/>
        </w:rPr>
        <w:t>.87%</w:t>
      </w:r>
      <w:r w:rsidRPr="005D7687">
        <w:rPr>
          <w:rFonts w:ascii="Times New Roman" w:eastAsia="Times New Roman" w:hAnsi="Times New Roman" w:cs="Times New Roman"/>
          <w:color w:val="1B1C1D"/>
          <w:sz w:val="24"/>
          <w:szCs w:val="24"/>
          <w:lang w:eastAsia="en-IN"/>
        </w:rPr>
        <w:t> and </w:t>
      </w:r>
      <w:r w:rsidRPr="005D7687">
        <w:rPr>
          <w:rFonts w:ascii="Times New Roman" w:eastAsia="Times New Roman" w:hAnsi="Times New Roman" w:cs="Times New Roman"/>
          <w:color w:val="1B1C1D"/>
          <w:sz w:val="29"/>
          <w:szCs w:val="29"/>
          <w:lang w:eastAsia="en-IN"/>
        </w:rPr>
        <w:t>11.61%</w:t>
      </w:r>
      <w:r w:rsidRPr="005D7687">
        <w:rPr>
          <w:rFonts w:ascii="Times New Roman" w:eastAsia="Times New Roman" w:hAnsi="Times New Roman" w:cs="Times New Roman"/>
          <w:color w:val="1B1C1D"/>
          <w:sz w:val="24"/>
          <w:szCs w:val="24"/>
          <w:lang w:eastAsia="en-IN"/>
        </w:rPr>
        <w:t xml:space="preserve"> (NABCONS </w:t>
      </w:r>
      <w:commentRangeEnd w:id="6"/>
      <w:r w:rsidR="00552154">
        <w:rPr>
          <w:rStyle w:val="CommentReference"/>
        </w:rPr>
        <w:commentReference w:id="6"/>
      </w:r>
      <w:r w:rsidRPr="005D7687">
        <w:rPr>
          <w:rFonts w:ascii="Times New Roman" w:eastAsia="Times New Roman" w:hAnsi="Times New Roman" w:cs="Times New Roman"/>
          <w:color w:val="1B1C1D"/>
          <w:sz w:val="24"/>
          <w:szCs w:val="24"/>
          <w:lang w:eastAsia="en-IN"/>
        </w:rPr>
        <w:t>2022). A primary cause of this extensive loss is the inadequate availability of suitable storage and processing facilities, particularly cold chain infrastructure, which is cost-prohibitive for most small and marginal farmers. This deficiency necessitates the development of decentralized, low-maintenance, and low-cost storage solutions suitable for adoption in rural areas.   </w:t>
      </w:r>
    </w:p>
    <w:p w14:paraId="4A7B7673" w14:textId="5D6016D5"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The Zero Energy Cool Chamber (ZECC) was pioneered by Roy and </w:t>
      </w:r>
      <w:proofErr w:type="spellStart"/>
      <w:r w:rsidRPr="005D7687">
        <w:rPr>
          <w:rFonts w:ascii="Times New Roman" w:eastAsia="Times New Roman" w:hAnsi="Times New Roman" w:cs="Times New Roman"/>
          <w:color w:val="1B1C1D"/>
          <w:sz w:val="24"/>
          <w:szCs w:val="24"/>
          <w:lang w:eastAsia="en-IN"/>
        </w:rPr>
        <w:t>Khurdia</w:t>
      </w:r>
      <w:proofErr w:type="spellEnd"/>
      <w:r w:rsidRPr="005D7687">
        <w:rPr>
          <w:rFonts w:ascii="Times New Roman" w:eastAsia="Times New Roman" w:hAnsi="Times New Roman" w:cs="Times New Roman"/>
          <w:color w:val="1B1C1D"/>
          <w:sz w:val="24"/>
          <w:szCs w:val="24"/>
          <w:lang w:eastAsia="en-IN"/>
        </w:rPr>
        <w:t xml:space="preserve"> (1983) at the Indian Agricultural Research Institute (IARI), Pusa, New Delhi, specifically to mitigate post-harvest deterioration and maintain product quality at the production site (Singh et al. 2010). The ZECC is structurally defined by its independence from electrical or mechanical energy, operating solely on the scientific principle of evaporative cooling.   </w:t>
      </w:r>
    </w:p>
    <w:p w14:paraId="7D7BFDCE" w14:textId="4A58D234"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Evaporative cooling works by utilizing the phase change of water from liquid to vapor. This transformation requires a large quantity of latent heat, which is removed from the surrounding environment. By maintaining a wet medium (such as saturated bricks and sand filler), the ZECC achieves simultaneous temperature reduction and humidity increase within the enclosed space. Previous research has established that this passive technique can reduce ambient temperature by </w:t>
      </w:r>
      <w:r w:rsidRPr="005D7687">
        <w:rPr>
          <w:rFonts w:ascii="Times New Roman" w:eastAsia="Times New Roman" w:hAnsi="Times New Roman" w:cs="Times New Roman"/>
          <w:color w:val="1B1C1D"/>
          <w:sz w:val="29"/>
          <w:szCs w:val="29"/>
          <w:lang w:eastAsia="en-IN"/>
        </w:rPr>
        <w:t>15−18%</w:t>
      </w:r>
      <w:r w:rsidRPr="005D7687">
        <w:rPr>
          <w:rFonts w:ascii="Times New Roman" w:eastAsia="Times New Roman" w:hAnsi="Times New Roman" w:cs="Times New Roman"/>
          <w:color w:val="1B1C1D"/>
          <w:sz w:val="24"/>
          <w:szCs w:val="24"/>
          <w:lang w:eastAsia="en-IN"/>
        </w:rPr>
        <w:t> and elevate relative humidity to </w:t>
      </w:r>
      <w:r w:rsidRPr="005D7687">
        <w:rPr>
          <w:rFonts w:ascii="Times New Roman" w:eastAsia="Times New Roman" w:hAnsi="Times New Roman" w:cs="Times New Roman"/>
          <w:color w:val="1B1C1D"/>
          <w:sz w:val="29"/>
          <w:szCs w:val="29"/>
          <w:lang w:eastAsia="en-IN"/>
        </w:rPr>
        <w:t>90%</w:t>
      </w:r>
      <w:r w:rsidRPr="005D7687">
        <w:rPr>
          <w:rFonts w:ascii="Times New Roman" w:eastAsia="Times New Roman" w:hAnsi="Times New Roman" w:cs="Times New Roman"/>
          <w:color w:val="1B1C1D"/>
          <w:sz w:val="24"/>
          <w:szCs w:val="24"/>
          <w:lang w:eastAsia="en-IN"/>
        </w:rPr>
        <w:t> or more, provided the ambient humidity is comparatively low (Jain 2007; Jha 2008; Jadhav et al. 2010).   </w:t>
      </w:r>
    </w:p>
    <w:p w14:paraId="18C4B47C" w14:textId="4C84F326"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The strategic importance of the ZECC transcends mere technical functionality. Because it requires zero external energy input and simple construction materials, it provides an immediate, resilient, and locally deployable infrastructure solution. This capability directly addresses the crucial economic vulnerability of smallholders who are currently forced into 'distressed selling' immediately following harvest due to the lack of adequate decentralized storage. By offering a buffer against rapid spoilage, the ZECC transforms post-harvest logistics, thereby strengthening rural agricultural value chains.   </w:t>
      </w:r>
    </w:p>
    <w:p w14:paraId="4D4CBB35" w14:textId="2370E5FA"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Pr="005D7687">
        <w:rPr>
          <w:rFonts w:ascii="Times New Roman" w:eastAsia="Times New Roman" w:hAnsi="Times New Roman" w:cs="Times New Roman"/>
          <w:color w:val="1B1C1D"/>
          <w:sz w:val="24"/>
          <w:szCs w:val="24"/>
          <w:lang w:eastAsia="en-IN"/>
        </w:rPr>
        <w:t xml:space="preserve">Prior validation of the ZECC’s effectiveness includes studies demonstrating that Okra stored inside the chamber exhibited lower Physiological Loss in Weight (PLW) compared to both ambient and frozen conditions (Mishra et al. 2020). Similarly, the cool chamber environment extended the usable life of highly sensitive Oyster Mushroom far beyond that </w:t>
      </w:r>
      <w:r w:rsidRPr="005D7687">
        <w:rPr>
          <w:rFonts w:ascii="Times New Roman" w:eastAsia="Times New Roman" w:hAnsi="Times New Roman" w:cs="Times New Roman"/>
          <w:color w:val="1B1C1D"/>
          <w:sz w:val="24"/>
          <w:szCs w:val="24"/>
          <w:lang w:eastAsia="en-IN"/>
        </w:rPr>
        <w:lastRenderedPageBreak/>
        <w:t>achieved in open room storage (Kumari et al. 2018). The current on-farm study sought to expand this knowledge by evaluating the comparative shelf life and quality retention across a broad profile of locally cultivated summer vegetables under the specific high-stress environmental conditions of a field setting.   </w:t>
      </w:r>
    </w:p>
    <w:p w14:paraId="13B6C902" w14:textId="77777777"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Material and Methods</w:t>
      </w:r>
    </w:p>
    <w:p w14:paraId="4054B1F6"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The study was implemented as an On-Farm Trial (OFT) conducted on farmers’ fields within the Saraiya Block. Three functional Zero Energy Cool Chamber (ZECC) units were constructed for the trial. The efficacy of the ZECC storage system was benchmarked against the standard local rural practice, which typically involves storing harvested produce in open baskets at ambient </w:t>
      </w:r>
      <w:commentRangeStart w:id="7"/>
      <w:r w:rsidRPr="005D7687">
        <w:rPr>
          <w:rFonts w:ascii="Times New Roman" w:eastAsia="Times New Roman" w:hAnsi="Times New Roman" w:cs="Times New Roman"/>
          <w:color w:val="1B1C1D"/>
          <w:sz w:val="24"/>
          <w:szCs w:val="24"/>
          <w:lang w:eastAsia="en-IN"/>
        </w:rPr>
        <w:t>room</w:t>
      </w:r>
      <w:commentRangeEnd w:id="7"/>
      <w:r w:rsidR="00552154">
        <w:rPr>
          <w:rStyle w:val="CommentReference"/>
        </w:rPr>
        <w:commentReference w:id="7"/>
      </w:r>
      <w:r w:rsidRPr="005D7687">
        <w:rPr>
          <w:rFonts w:ascii="Times New Roman" w:eastAsia="Times New Roman" w:hAnsi="Times New Roman" w:cs="Times New Roman"/>
          <w:color w:val="1B1C1D"/>
          <w:sz w:val="24"/>
          <w:szCs w:val="24"/>
          <w:lang w:eastAsia="en-IN"/>
        </w:rPr>
        <w:t xml:space="preserve"> temperature.   </w:t>
      </w:r>
    </w:p>
    <w:p w14:paraId="0C3BF66C"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Sample Selection and Trial Duration</w:t>
      </w:r>
    </w:p>
    <w:p w14:paraId="73694EB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To ensure comprehensive data across varying degrees of perishability, five categories of locally grown summer vegetables were selected for the investigation: Okra (fruiting), Cauliflower (flowering/fruiting), Radish (root/tuber), Spinach (green leafy vegetable), and Oyster Mushroom (high-value, highly perishable fungi). All vegetables were procured from the local market in fresh condition immediately before the commencement of the trial. The experiment was conducted during the height of the summer season (April), with produce monitored continuously for up to six days.   </w:t>
      </w:r>
    </w:p>
    <w:p w14:paraId="29FDDF9B"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Quality Assessment Metrics</w:t>
      </w:r>
    </w:p>
    <w:p w14:paraId="0B7813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effectiveness of the storage method was assessed using both environmental monitoring and direct quality measurements.</w:t>
      </w:r>
    </w:p>
    <w:p w14:paraId="188D24F2"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Microclimatic Assessment</w:t>
      </w:r>
    </w:p>
    <w:p w14:paraId="79CF192C" w14:textId="4AAB659A"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Internal and external temperatures (0</w:t>
      </w:r>
      <w:commentRangeStart w:id="8"/>
      <w:r w:rsidR="00552154">
        <w:rPr>
          <w:rFonts w:ascii="Times New Roman" w:eastAsia="Times New Roman" w:hAnsi="Times New Roman" w:cs="Times New Roman"/>
          <w:color w:val="1B1C1D"/>
          <w:sz w:val="24"/>
          <w:szCs w:val="24"/>
          <w:lang w:eastAsia="en-IN"/>
        </w:rPr>
        <w:t>℃</w:t>
      </w:r>
      <w:commentRangeEnd w:id="8"/>
      <w:r w:rsidR="00552154">
        <w:rPr>
          <w:rStyle w:val="CommentReference"/>
        </w:rPr>
        <w:commentReference w:id="8"/>
      </w:r>
      <w:r w:rsidRPr="005D7687">
        <w:rPr>
          <w:rFonts w:ascii="Times New Roman" w:eastAsia="Times New Roman" w:hAnsi="Times New Roman" w:cs="Times New Roman"/>
          <w:color w:val="1B1C1D"/>
          <w:sz w:val="24"/>
          <w:szCs w:val="24"/>
          <w:lang w:eastAsia="en-IN"/>
        </w:rPr>
        <w:t>) and relative humidity (%) were measured at regular intervals, with critical comparative data recorded at the peak thermal period of the day (12:00 PM) in April to capture the maximum stress differential.   </w:t>
      </w:r>
    </w:p>
    <w:p w14:paraId="25C1B631" w14:textId="77777777" w:rsidR="00552154" w:rsidRDefault="00552154"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p>
    <w:p w14:paraId="1905B535" w14:textId="7131FCF2"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lastRenderedPageBreak/>
        <w:t>Physiological Loss in Weight (PLW)</w:t>
      </w:r>
    </w:p>
    <w:p w14:paraId="0B056E6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Physiological Loss in Weight (PLW) </w:t>
      </w:r>
      <w:commentRangeStart w:id="9"/>
      <w:r w:rsidRPr="005D7687">
        <w:rPr>
          <w:rFonts w:ascii="Times New Roman" w:eastAsia="Times New Roman" w:hAnsi="Times New Roman" w:cs="Times New Roman"/>
          <w:color w:val="1B1C1D"/>
          <w:sz w:val="24"/>
          <w:szCs w:val="24"/>
          <w:lang w:eastAsia="en-IN"/>
        </w:rPr>
        <w:t>served</w:t>
      </w:r>
      <w:commentRangeEnd w:id="9"/>
      <w:r w:rsidR="00552154">
        <w:rPr>
          <w:rStyle w:val="CommentReference"/>
        </w:rPr>
        <w:commentReference w:id="9"/>
      </w:r>
      <w:r w:rsidRPr="005D7687">
        <w:rPr>
          <w:rFonts w:ascii="Times New Roman" w:eastAsia="Times New Roman" w:hAnsi="Times New Roman" w:cs="Times New Roman"/>
          <w:color w:val="1B1C1D"/>
          <w:sz w:val="24"/>
          <w:szCs w:val="24"/>
          <w:lang w:eastAsia="en-IN"/>
        </w:rPr>
        <w:t xml:space="preserve"> as the primary quantitative indicator of freshness and storage efficacy. </w:t>
      </w:r>
      <w:commentRangeStart w:id="10"/>
      <w:r w:rsidRPr="005D7687">
        <w:rPr>
          <w:rFonts w:ascii="Times New Roman" w:eastAsia="Times New Roman" w:hAnsi="Times New Roman" w:cs="Times New Roman"/>
          <w:color w:val="1B1C1D"/>
          <w:sz w:val="24"/>
          <w:szCs w:val="24"/>
          <w:lang w:eastAsia="en-IN"/>
        </w:rPr>
        <w:t>PLW</w:t>
      </w:r>
      <w:commentRangeEnd w:id="10"/>
      <w:r w:rsidR="004B1595">
        <w:rPr>
          <w:rStyle w:val="CommentReference"/>
        </w:rPr>
        <w:commentReference w:id="10"/>
      </w:r>
      <w:r w:rsidRPr="005D7687">
        <w:rPr>
          <w:rFonts w:ascii="Times New Roman" w:eastAsia="Times New Roman" w:hAnsi="Times New Roman" w:cs="Times New Roman"/>
          <w:color w:val="1B1C1D"/>
          <w:sz w:val="24"/>
          <w:szCs w:val="24"/>
          <w:lang w:eastAsia="en-IN"/>
        </w:rPr>
        <w:t xml:space="preserve"> reflects the irreversible loss of mass primarily due to moisture evaporation (transpiration) and metabolic consumption of stored carbohydrates (respiration). Minimizing PLW is paramount for extending shelf life (Data and </w:t>
      </w:r>
      <w:proofErr w:type="spellStart"/>
      <w:r w:rsidRPr="005D7687">
        <w:rPr>
          <w:rFonts w:ascii="Times New Roman" w:eastAsia="Times New Roman" w:hAnsi="Times New Roman" w:cs="Times New Roman"/>
          <w:color w:val="1B1C1D"/>
          <w:sz w:val="24"/>
          <w:szCs w:val="24"/>
          <w:lang w:eastAsia="en-IN"/>
        </w:rPr>
        <w:t>Eronica</w:t>
      </w:r>
      <w:proofErr w:type="spellEnd"/>
      <w:r w:rsidRPr="005D7687">
        <w:rPr>
          <w:rFonts w:ascii="Times New Roman" w:eastAsia="Times New Roman" w:hAnsi="Times New Roman" w:cs="Times New Roman"/>
          <w:color w:val="1B1C1D"/>
          <w:sz w:val="24"/>
          <w:szCs w:val="24"/>
          <w:lang w:eastAsia="en-IN"/>
        </w:rPr>
        <w:t xml:space="preserve"> 1987). PLW measurements determined the practical "well stored" duration for marketability.   </w:t>
      </w:r>
    </w:p>
    <w:p w14:paraId="6A69F99A" w14:textId="77777777" w:rsidR="005D7687" w:rsidRPr="005D7687" w:rsidRDefault="005D7687" w:rsidP="005D7687">
      <w:pPr>
        <w:shd w:val="clear" w:color="auto" w:fill="FFFFFF"/>
        <w:spacing w:before="420" w:after="120" w:line="360" w:lineRule="auto"/>
        <w:jc w:val="both"/>
        <w:outlineLvl w:val="3"/>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Organoleptic (Sensory) Evaluation</w:t>
      </w:r>
    </w:p>
    <w:p w14:paraId="7E997703"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Quality retention was also assessed through subjective sensory evaluation, focusing on easily perceived characteristics such as Overall Appearance (A) and Texture (T) (William and Tucker 1991). Evaluation was carried out by a panel of ten judges using a five-point hedonic scale: 1 (Very Poor), 2 (Poor), 3 (Fair), 4 (Good), and 5 (Excellent). Vegetables were automatically discarded after receiving a score of 1, and any score below 2 was considered unfit for commercial marketing.   </w:t>
      </w:r>
    </w:p>
    <w:p w14:paraId="6077A7C6" w14:textId="77777777"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Results and Discussion</w:t>
      </w:r>
    </w:p>
    <w:p w14:paraId="696C302B"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application of the Zero Energy Cool Chamber demonstrated significant positive impacts across all parameters studied: microclimate control, physiological stability, and maintenance of sensory quality.</w:t>
      </w:r>
    </w:p>
    <w:p w14:paraId="7680C845"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Modulation of Microclimatic Stressors by Evaporative Cooling</w:t>
      </w:r>
    </w:p>
    <w:p w14:paraId="458FF96D"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environmental data collected during the summer trial period clearly established the ZECC’s ability to modify the storage environment (Table 1). At 12:00 PM, the ambient open basket temperature reached 35.850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whereas the internal ZECC temperature was moderated to 30.050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yielding a beneficial temperature differential (Δ</w:t>
      </w:r>
      <w:r w:rsidRPr="005D7687">
        <w:rPr>
          <w:rFonts w:ascii="Times New Roman" w:eastAsia="Times New Roman" w:hAnsi="Times New Roman" w:cs="Times New Roman"/>
          <w:i/>
          <w:iCs/>
          <w:color w:val="1B1C1D"/>
          <w:sz w:val="24"/>
          <w:szCs w:val="24"/>
          <w:lang w:eastAsia="en-IN"/>
        </w:rPr>
        <w:t>T</w:t>
      </w:r>
      <w:r w:rsidRPr="005D7687">
        <w:rPr>
          <w:rFonts w:ascii="Times New Roman" w:eastAsia="Times New Roman" w:hAnsi="Times New Roman" w:cs="Times New Roman"/>
          <w:color w:val="1B1C1D"/>
          <w:sz w:val="24"/>
          <w:szCs w:val="24"/>
          <w:lang w:eastAsia="en-IN"/>
        </w:rPr>
        <w:t>) of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w:t>
      </w:r>
    </w:p>
    <w:p w14:paraId="3F6095E7"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1: Comparative Microclimatic Conditions in Zero Energy Cool Chamber (ZECC) versus Ambient Open Storage during Summer</w:t>
      </w:r>
    </w:p>
    <w:tbl>
      <w:tblPr>
        <w:tblStyle w:val="TableGrid"/>
        <w:tblW w:w="9985" w:type="dxa"/>
        <w:tblLook w:val="04A0" w:firstRow="1" w:lastRow="0" w:firstColumn="1" w:lastColumn="0" w:noHBand="0" w:noVBand="1"/>
      </w:tblPr>
      <w:tblGrid>
        <w:gridCol w:w="1435"/>
        <w:gridCol w:w="1800"/>
        <w:gridCol w:w="2070"/>
        <w:gridCol w:w="2430"/>
        <w:gridCol w:w="2250"/>
      </w:tblGrid>
      <w:tr w:rsidR="005D7687" w:rsidRPr="005D7687" w14:paraId="4DA0C96C" w14:textId="77777777" w:rsidTr="005D7687">
        <w:trPr>
          <w:trHeight w:val="502"/>
        </w:trPr>
        <w:tc>
          <w:tcPr>
            <w:tcW w:w="1435" w:type="dxa"/>
            <w:hideMark/>
          </w:tcPr>
          <w:p w14:paraId="77638772"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Storage System</w:t>
            </w:r>
          </w:p>
        </w:tc>
        <w:tc>
          <w:tcPr>
            <w:tcW w:w="1800" w:type="dxa"/>
            <w:hideMark/>
          </w:tcPr>
          <w:p w14:paraId="40501A0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070" w:type="dxa"/>
            <w:hideMark/>
          </w:tcPr>
          <w:p w14:paraId="5C032A86"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Relative Humidity (%)</w:t>
            </w:r>
          </w:p>
        </w:tc>
        <w:tc>
          <w:tcPr>
            <w:tcW w:w="2430" w:type="dxa"/>
            <w:hideMark/>
          </w:tcPr>
          <w:p w14:paraId="0083486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Temperature Differential (Δ</w:t>
            </w:r>
            <w:r w:rsidRPr="005D7687">
              <w:rPr>
                <w:rFonts w:ascii="Times New Roman" w:eastAsia="Times New Roman" w:hAnsi="Times New Roman" w:cs="Times New Roman"/>
                <w:b/>
                <w:bCs/>
                <w:i/>
                <w:iCs/>
                <w:sz w:val="24"/>
                <w:szCs w:val="24"/>
                <w:lang w:eastAsia="en-IN"/>
              </w:rPr>
              <w:t>T</w:t>
            </w:r>
            <w:r w:rsidRPr="005D7687">
              <w:rPr>
                <w:rFonts w:ascii="Times New Roman" w:eastAsia="Times New Roman" w:hAnsi="Times New Roman" w:cs="Times New Roman"/>
                <w:b/>
                <w:bCs/>
                <w:sz w:val="24"/>
                <w:szCs w:val="24"/>
                <w:lang w:eastAsia="en-IN"/>
              </w:rPr>
              <w:t>) (0</w:t>
            </w:r>
            <w:r w:rsidRPr="005D7687">
              <w:rPr>
                <w:rFonts w:ascii="Times New Roman" w:eastAsia="Times New Roman" w:hAnsi="Times New Roman" w:cs="Times New Roman"/>
                <w:b/>
                <w:bCs/>
                <w:i/>
                <w:iCs/>
                <w:sz w:val="24"/>
                <w:szCs w:val="24"/>
                <w:lang w:eastAsia="en-IN"/>
              </w:rPr>
              <w:t>C</w:t>
            </w:r>
            <w:r w:rsidRPr="005D7687">
              <w:rPr>
                <w:rFonts w:ascii="Times New Roman" w:eastAsia="Times New Roman" w:hAnsi="Times New Roman" w:cs="Times New Roman"/>
                <w:b/>
                <w:bCs/>
                <w:sz w:val="24"/>
                <w:szCs w:val="24"/>
                <w:lang w:eastAsia="en-IN"/>
              </w:rPr>
              <w:t>)</w:t>
            </w:r>
          </w:p>
        </w:tc>
        <w:tc>
          <w:tcPr>
            <w:tcW w:w="2250" w:type="dxa"/>
            <w:hideMark/>
          </w:tcPr>
          <w:p w14:paraId="477E26BC"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Humidity Differential (Δ</w:t>
            </w:r>
            <w:r w:rsidRPr="005D7687">
              <w:rPr>
                <w:rFonts w:ascii="Times New Roman" w:eastAsia="Times New Roman" w:hAnsi="Times New Roman" w:cs="Times New Roman"/>
                <w:b/>
                <w:bCs/>
                <w:i/>
                <w:iCs/>
                <w:sz w:val="24"/>
                <w:szCs w:val="24"/>
                <w:lang w:eastAsia="en-IN"/>
              </w:rPr>
              <w:t>RH</w:t>
            </w:r>
            <w:r w:rsidRPr="005D7687">
              <w:rPr>
                <w:rFonts w:ascii="Times New Roman" w:eastAsia="Times New Roman" w:hAnsi="Times New Roman" w:cs="Times New Roman"/>
                <w:b/>
                <w:bCs/>
                <w:sz w:val="24"/>
                <w:szCs w:val="24"/>
                <w:lang w:eastAsia="en-IN"/>
              </w:rPr>
              <w:t>) (%)</w:t>
            </w:r>
          </w:p>
        </w:tc>
      </w:tr>
      <w:tr w:rsidR="005D7687" w:rsidRPr="005D7687" w14:paraId="0B99D644" w14:textId="77777777" w:rsidTr="005D7687">
        <w:trPr>
          <w:trHeight w:val="250"/>
        </w:trPr>
        <w:tc>
          <w:tcPr>
            <w:tcW w:w="1435" w:type="dxa"/>
            <w:hideMark/>
          </w:tcPr>
          <w:p w14:paraId="2C5C1259"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ZECC</w:t>
            </w:r>
          </w:p>
        </w:tc>
        <w:tc>
          <w:tcPr>
            <w:tcW w:w="1800" w:type="dxa"/>
            <w:hideMark/>
          </w:tcPr>
          <w:p w14:paraId="63389933"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30.05</w:t>
            </w:r>
          </w:p>
        </w:tc>
        <w:tc>
          <w:tcPr>
            <w:tcW w:w="2070" w:type="dxa"/>
            <w:hideMark/>
          </w:tcPr>
          <w:p w14:paraId="0D5A3490"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95.5</w:t>
            </w:r>
          </w:p>
        </w:tc>
        <w:tc>
          <w:tcPr>
            <w:tcW w:w="2430" w:type="dxa"/>
            <w:hideMark/>
          </w:tcPr>
          <w:p w14:paraId="589F3587"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w:t>
            </w:r>
          </w:p>
        </w:tc>
        <w:tc>
          <w:tcPr>
            <w:tcW w:w="2250" w:type="dxa"/>
            <w:hideMark/>
          </w:tcPr>
          <w:p w14:paraId="6ED5653D"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40.5</w:t>
            </w:r>
          </w:p>
        </w:tc>
      </w:tr>
      <w:tr w:rsidR="005D7687" w:rsidRPr="005D7687" w14:paraId="4DE4B316" w14:textId="77777777" w:rsidTr="005D7687">
        <w:trPr>
          <w:trHeight w:val="502"/>
        </w:trPr>
        <w:tc>
          <w:tcPr>
            <w:tcW w:w="1435" w:type="dxa"/>
            <w:hideMark/>
          </w:tcPr>
          <w:p w14:paraId="27BDA0FB"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lastRenderedPageBreak/>
              <w:t>Open Basket (Ambient)</w:t>
            </w:r>
          </w:p>
        </w:tc>
        <w:tc>
          <w:tcPr>
            <w:tcW w:w="1800" w:type="dxa"/>
            <w:hideMark/>
          </w:tcPr>
          <w:p w14:paraId="30D59274"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35.85</w:t>
            </w:r>
          </w:p>
        </w:tc>
        <w:tc>
          <w:tcPr>
            <w:tcW w:w="2070" w:type="dxa"/>
            <w:hideMark/>
          </w:tcPr>
          <w:p w14:paraId="0C603ABE"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55.0</w:t>
            </w:r>
          </w:p>
        </w:tc>
        <w:tc>
          <w:tcPr>
            <w:tcW w:w="2430" w:type="dxa"/>
            <w:hideMark/>
          </w:tcPr>
          <w:p w14:paraId="62BA5341"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c>
          <w:tcPr>
            <w:tcW w:w="2250" w:type="dxa"/>
            <w:hideMark/>
          </w:tcPr>
          <w:p w14:paraId="2118C25A" w14:textId="77777777" w:rsidR="005D7687" w:rsidRPr="005D7687" w:rsidRDefault="005D7687" w:rsidP="005D7687">
            <w:pPr>
              <w:spacing w:line="276"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w:t>
            </w:r>
          </w:p>
        </w:tc>
      </w:tr>
    </w:tbl>
    <w:p w14:paraId="59B73C44"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most critical impact was observed in the chamber’s humidity control. While the open basket system exhibited a low relative humidity (RH) of 55.0%, the ZECC maintained a near-saturated atmosphere at 95.5% RH. This represents a humidity differential (Δ</w:t>
      </w:r>
      <w:r w:rsidRPr="005D7687">
        <w:rPr>
          <w:rFonts w:ascii="Times New Roman" w:eastAsia="Times New Roman" w:hAnsi="Times New Roman" w:cs="Times New Roman"/>
          <w:i/>
          <w:iCs/>
          <w:color w:val="1B1C1D"/>
          <w:sz w:val="24"/>
          <w:szCs w:val="24"/>
          <w:lang w:eastAsia="en-IN"/>
        </w:rPr>
        <w:t>RH</w:t>
      </w:r>
      <w:r w:rsidRPr="005D7687">
        <w:rPr>
          <w:rFonts w:ascii="Times New Roman" w:eastAsia="Times New Roman" w:hAnsi="Times New Roman" w:cs="Times New Roman"/>
          <w:color w:val="1B1C1D"/>
          <w:sz w:val="24"/>
          <w:szCs w:val="24"/>
          <w:lang w:eastAsia="en-IN"/>
        </w:rPr>
        <w:t>) of 40.5%.   </w:t>
      </w:r>
    </w:p>
    <w:p w14:paraId="658FDE6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This simultaneous reduction in temperature and substantial elevation in RH fundamentally modifies the storage environment by minimizing the Vapor Pressure Deficit (VPD). The high VPD characteristic of hot, dry ambient summer air is the direct thermodynamic driver of rapid water transfer from the high moisture content produce to the low moisture environment, causing wilting and weight loss. By creating a cold, saturated air blanket around the produce, the ZECC effectively halts this mass transfer, thereby providing the foundation for reduced physiological loss in weight (PLW) and extended quality retention.   </w:t>
      </w:r>
    </w:p>
    <w:p w14:paraId="5B543696"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Physiological Loss in Weight (PLW) Mitigation and Extended Retention</w:t>
      </w:r>
    </w:p>
    <w:p w14:paraId="48BF0D88"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quantitative data on PLW confirmed that the modulated microclimate within the ZECC significantly inhibited deterioration across all tested vegetable varieties (Table 2). The efficacy of the ZECC is directly demonstrated by the extension of the "well stored" period and the reduction in cumulative mass loss over comparable storage durations.   </w:t>
      </w:r>
    </w:p>
    <w:p w14:paraId="6476E99B" w14:textId="247DF31E" w:rsidR="005D7687" w:rsidRPr="005D7687" w:rsidRDefault="005D7687" w:rsidP="005D7687">
      <w:pPr>
        <w:shd w:val="clear" w:color="auto" w:fill="FFFFFF"/>
        <w:spacing w:after="240" w:line="360" w:lineRule="auto"/>
        <w:jc w:val="both"/>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Table 2: Influence of Storage Conditions on Marketable Storage Duration and Physiological Loss in Weight (PLW)</w:t>
      </w:r>
    </w:p>
    <w:tbl>
      <w:tblPr>
        <w:tblStyle w:val="TableGrid"/>
        <w:tblW w:w="9780" w:type="dxa"/>
        <w:tblLook w:val="04A0" w:firstRow="1" w:lastRow="0" w:firstColumn="1" w:lastColumn="0" w:noHBand="0" w:noVBand="1"/>
      </w:tblPr>
      <w:tblGrid>
        <w:gridCol w:w="1364"/>
        <w:gridCol w:w="1621"/>
        <w:gridCol w:w="1557"/>
        <w:gridCol w:w="1690"/>
        <w:gridCol w:w="1280"/>
        <w:gridCol w:w="2268"/>
      </w:tblGrid>
      <w:tr w:rsidR="005D7687" w:rsidRPr="005D7687" w14:paraId="60DFBC7E" w14:textId="77777777" w:rsidTr="005D7687">
        <w:trPr>
          <w:trHeight w:val="551"/>
        </w:trPr>
        <w:tc>
          <w:tcPr>
            <w:tcW w:w="1364" w:type="dxa"/>
            <w:hideMark/>
          </w:tcPr>
          <w:p w14:paraId="40ECB8EC"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Vegetable</w:t>
            </w:r>
          </w:p>
        </w:tc>
        <w:tc>
          <w:tcPr>
            <w:tcW w:w="1621" w:type="dxa"/>
            <w:hideMark/>
          </w:tcPr>
          <w:p w14:paraId="547F18DD"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Duration (Days)</w:t>
            </w:r>
          </w:p>
        </w:tc>
        <w:tc>
          <w:tcPr>
            <w:tcW w:w="1557" w:type="dxa"/>
            <w:hideMark/>
          </w:tcPr>
          <w:p w14:paraId="2AE9BC0A"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w:t>
            </w:r>
          </w:p>
        </w:tc>
        <w:tc>
          <w:tcPr>
            <w:tcW w:w="0" w:type="auto"/>
            <w:hideMark/>
          </w:tcPr>
          <w:p w14:paraId="63DF98BB"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Duration (Days)</w:t>
            </w:r>
          </w:p>
        </w:tc>
        <w:tc>
          <w:tcPr>
            <w:tcW w:w="0" w:type="auto"/>
            <w:hideMark/>
          </w:tcPr>
          <w:p w14:paraId="13F33A9E"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ZECC PLW (%)</w:t>
            </w:r>
          </w:p>
        </w:tc>
        <w:tc>
          <w:tcPr>
            <w:tcW w:w="0" w:type="auto"/>
            <w:hideMark/>
          </w:tcPr>
          <w:p w14:paraId="751C7C76" w14:textId="77777777" w:rsidR="005D7687" w:rsidRPr="005D7687" w:rsidRDefault="005D7687" w:rsidP="005D7687">
            <w:pPr>
              <w:spacing w:line="360" w:lineRule="auto"/>
              <w:jc w:val="center"/>
              <w:rPr>
                <w:rFonts w:ascii="Times New Roman" w:eastAsia="Times New Roman" w:hAnsi="Times New Roman" w:cs="Times New Roman"/>
                <w:sz w:val="24"/>
                <w:szCs w:val="24"/>
                <w:lang w:eastAsia="en-IN"/>
              </w:rPr>
            </w:pPr>
            <w:r w:rsidRPr="005D7687">
              <w:rPr>
                <w:rFonts w:ascii="Times New Roman" w:eastAsia="Times New Roman" w:hAnsi="Times New Roman" w:cs="Times New Roman"/>
                <w:b/>
                <w:bCs/>
                <w:sz w:val="24"/>
                <w:szCs w:val="24"/>
                <w:lang w:eastAsia="en-IN"/>
              </w:rPr>
              <w:t>Ambient PLW at ZECC Duration (%)</w:t>
            </w:r>
          </w:p>
        </w:tc>
      </w:tr>
      <w:tr w:rsidR="005D7687" w:rsidRPr="005D7687" w14:paraId="3EDC97FB" w14:textId="77777777" w:rsidTr="005D7687">
        <w:trPr>
          <w:trHeight w:val="162"/>
        </w:trPr>
        <w:tc>
          <w:tcPr>
            <w:tcW w:w="1364" w:type="dxa"/>
            <w:hideMark/>
          </w:tcPr>
          <w:p w14:paraId="024F10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Okra</w:t>
            </w:r>
          </w:p>
        </w:tc>
        <w:tc>
          <w:tcPr>
            <w:tcW w:w="1621" w:type="dxa"/>
            <w:hideMark/>
          </w:tcPr>
          <w:p w14:paraId="2E4853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27BEBA9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B08F9D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02647AE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7.0</w:t>
            </w:r>
          </w:p>
        </w:tc>
        <w:tc>
          <w:tcPr>
            <w:tcW w:w="0" w:type="auto"/>
            <w:hideMark/>
          </w:tcPr>
          <w:p w14:paraId="63CCB22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3)</w:t>
            </w:r>
          </w:p>
        </w:tc>
      </w:tr>
      <w:tr w:rsidR="005D7687" w:rsidRPr="005D7687" w14:paraId="03B3B19C" w14:textId="77777777" w:rsidTr="005D7687">
        <w:trPr>
          <w:trHeight w:val="315"/>
        </w:trPr>
        <w:tc>
          <w:tcPr>
            <w:tcW w:w="1364" w:type="dxa"/>
            <w:hideMark/>
          </w:tcPr>
          <w:p w14:paraId="2FBF600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Radish</w:t>
            </w:r>
          </w:p>
        </w:tc>
        <w:tc>
          <w:tcPr>
            <w:tcW w:w="1621" w:type="dxa"/>
            <w:hideMark/>
          </w:tcPr>
          <w:p w14:paraId="5BD409AB"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1557" w:type="dxa"/>
            <w:hideMark/>
          </w:tcPr>
          <w:p w14:paraId="7083BB2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08AF1BA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4</w:t>
            </w:r>
          </w:p>
        </w:tc>
        <w:tc>
          <w:tcPr>
            <w:tcW w:w="0" w:type="auto"/>
            <w:hideMark/>
          </w:tcPr>
          <w:p w14:paraId="40C401A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6.6</w:t>
            </w:r>
          </w:p>
        </w:tc>
        <w:tc>
          <w:tcPr>
            <w:tcW w:w="0" w:type="auto"/>
            <w:hideMark/>
          </w:tcPr>
          <w:p w14:paraId="3A810BEF"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24.4 (Day 4)</w:t>
            </w:r>
          </w:p>
        </w:tc>
      </w:tr>
      <w:tr w:rsidR="005D7687" w:rsidRPr="005D7687" w14:paraId="3165327F" w14:textId="77777777" w:rsidTr="005D7687">
        <w:trPr>
          <w:trHeight w:val="90"/>
        </w:trPr>
        <w:tc>
          <w:tcPr>
            <w:tcW w:w="1364" w:type="dxa"/>
            <w:hideMark/>
          </w:tcPr>
          <w:p w14:paraId="1FB162B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Spinach</w:t>
            </w:r>
          </w:p>
        </w:tc>
        <w:tc>
          <w:tcPr>
            <w:tcW w:w="1621" w:type="dxa"/>
            <w:hideMark/>
          </w:tcPr>
          <w:p w14:paraId="73251DC2"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w:t>
            </w:r>
          </w:p>
        </w:tc>
        <w:tc>
          <w:tcPr>
            <w:tcW w:w="1557" w:type="dxa"/>
            <w:hideMark/>
          </w:tcPr>
          <w:p w14:paraId="71F39169"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9.5</w:t>
            </w:r>
          </w:p>
        </w:tc>
        <w:tc>
          <w:tcPr>
            <w:tcW w:w="0" w:type="auto"/>
            <w:hideMark/>
          </w:tcPr>
          <w:p w14:paraId="281E65C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132534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10.0</w:t>
            </w:r>
          </w:p>
        </w:tc>
        <w:tc>
          <w:tcPr>
            <w:tcW w:w="0" w:type="auto"/>
            <w:hideMark/>
          </w:tcPr>
          <w:p w14:paraId="72B1FDDE"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23.0 (Day 2)</w:t>
            </w:r>
          </w:p>
        </w:tc>
      </w:tr>
      <w:tr w:rsidR="005D7687" w:rsidRPr="005D7687" w14:paraId="239027F5" w14:textId="77777777" w:rsidTr="005D7687">
        <w:trPr>
          <w:trHeight w:val="287"/>
        </w:trPr>
        <w:tc>
          <w:tcPr>
            <w:tcW w:w="1364" w:type="dxa"/>
            <w:hideMark/>
          </w:tcPr>
          <w:p w14:paraId="124F0DED"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Cauliflower</w:t>
            </w:r>
          </w:p>
        </w:tc>
        <w:tc>
          <w:tcPr>
            <w:tcW w:w="1621" w:type="dxa"/>
            <w:hideMark/>
          </w:tcPr>
          <w:p w14:paraId="7DD60420"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1557" w:type="dxa"/>
            <w:hideMark/>
          </w:tcPr>
          <w:p w14:paraId="1669475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7.5</w:t>
            </w:r>
          </w:p>
        </w:tc>
        <w:tc>
          <w:tcPr>
            <w:tcW w:w="0" w:type="auto"/>
            <w:hideMark/>
          </w:tcPr>
          <w:p w14:paraId="5FE1ECD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w:t>
            </w:r>
          </w:p>
        </w:tc>
        <w:tc>
          <w:tcPr>
            <w:tcW w:w="0" w:type="auto"/>
            <w:hideMark/>
          </w:tcPr>
          <w:p w14:paraId="79476B43"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5.0</w:t>
            </w:r>
          </w:p>
        </w:tc>
        <w:tc>
          <w:tcPr>
            <w:tcW w:w="0" w:type="auto"/>
            <w:hideMark/>
          </w:tcPr>
          <w:p w14:paraId="43EAD8E8"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15.0 (Day 3)</w:t>
            </w:r>
          </w:p>
        </w:tc>
      </w:tr>
      <w:tr w:rsidR="005D7687" w:rsidRPr="005D7687" w14:paraId="11492A05" w14:textId="77777777" w:rsidTr="005D7687">
        <w:trPr>
          <w:trHeight w:val="275"/>
        </w:trPr>
        <w:tc>
          <w:tcPr>
            <w:tcW w:w="1364" w:type="dxa"/>
            <w:hideMark/>
          </w:tcPr>
          <w:p w14:paraId="6C599627"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Mushroom</w:t>
            </w:r>
          </w:p>
        </w:tc>
        <w:tc>
          <w:tcPr>
            <w:tcW w:w="1621" w:type="dxa"/>
            <w:hideMark/>
          </w:tcPr>
          <w:p w14:paraId="43E24031"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&lt;1</w:t>
            </w:r>
          </w:p>
        </w:tc>
        <w:tc>
          <w:tcPr>
            <w:tcW w:w="1557" w:type="dxa"/>
            <w:hideMark/>
          </w:tcPr>
          <w:p w14:paraId="59C5728A"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30.0 (Day 1)</w:t>
            </w:r>
          </w:p>
        </w:tc>
        <w:tc>
          <w:tcPr>
            <w:tcW w:w="0" w:type="auto"/>
            <w:hideMark/>
          </w:tcPr>
          <w:p w14:paraId="06C7F0B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2</w:t>
            </w:r>
          </w:p>
        </w:tc>
        <w:tc>
          <w:tcPr>
            <w:tcW w:w="0" w:type="auto"/>
            <w:hideMark/>
          </w:tcPr>
          <w:p w14:paraId="3F69D154"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9.75</w:t>
            </w:r>
          </w:p>
        </w:tc>
        <w:tc>
          <w:tcPr>
            <w:tcW w:w="0" w:type="auto"/>
            <w:hideMark/>
          </w:tcPr>
          <w:p w14:paraId="5990563C" w14:textId="77777777" w:rsidR="005D7687" w:rsidRPr="005D7687" w:rsidRDefault="005D7687" w:rsidP="005D7687">
            <w:pPr>
              <w:spacing w:line="360" w:lineRule="auto"/>
              <w:jc w:val="both"/>
              <w:rPr>
                <w:rFonts w:ascii="Times New Roman" w:eastAsia="Times New Roman" w:hAnsi="Times New Roman" w:cs="Times New Roman"/>
                <w:sz w:val="24"/>
                <w:szCs w:val="24"/>
                <w:lang w:eastAsia="en-IN"/>
              </w:rPr>
            </w:pPr>
            <w:r w:rsidRPr="005D7687">
              <w:rPr>
                <w:rFonts w:ascii="Times New Roman" w:eastAsia="Times New Roman" w:hAnsi="Times New Roman" w:cs="Times New Roman"/>
                <w:sz w:val="24"/>
                <w:szCs w:val="24"/>
                <w:lang w:eastAsia="en-IN"/>
              </w:rPr>
              <w:t>58.0 (Day 2)</w:t>
            </w:r>
          </w:p>
        </w:tc>
      </w:tr>
    </w:tbl>
    <w:p w14:paraId="3EDDBCB6" w14:textId="7E4C7AA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Okra, a widely consumed summer vegetable, maintained an acceptable PLW (7.0%) after three days in the ZECC, extending its shelf life by one day compared to the ambient system, which reached 9.75% PLW after only two days. If Okra was kept for three days </w:t>
      </w:r>
      <w:r w:rsidR="004B1595">
        <w:rPr>
          <w:rFonts w:ascii="Times New Roman" w:eastAsia="Times New Roman" w:hAnsi="Times New Roman" w:cs="Times New Roman"/>
          <w:color w:val="1B1C1D"/>
          <w:sz w:val="24"/>
          <w:szCs w:val="24"/>
          <w:lang w:eastAsia="en-IN"/>
        </w:rPr>
        <w:t xml:space="preserve">at </w:t>
      </w:r>
      <w:r w:rsidRPr="005D7687">
        <w:rPr>
          <w:rFonts w:ascii="Times New Roman" w:eastAsia="Times New Roman" w:hAnsi="Times New Roman" w:cs="Times New Roman"/>
          <w:color w:val="1B1C1D"/>
          <w:sz w:val="24"/>
          <w:szCs w:val="24"/>
          <w:lang w:eastAsia="en-IN"/>
        </w:rPr>
        <w:t xml:space="preserve">ambient, the PLW surged to 23%, confirming the substantial protective effect of the cool chamber. Similarly, </w:t>
      </w:r>
      <w:r w:rsidRPr="005D7687">
        <w:rPr>
          <w:rFonts w:ascii="Times New Roman" w:eastAsia="Times New Roman" w:hAnsi="Times New Roman" w:cs="Times New Roman"/>
          <w:color w:val="1B1C1D"/>
          <w:sz w:val="24"/>
          <w:szCs w:val="24"/>
          <w:lang w:eastAsia="en-IN"/>
        </w:rPr>
        <w:lastRenderedPageBreak/>
        <w:t>Radish retained marketability for four days in the ZECC with 6.6% PLW, outperforming the ambient storage duration of three days (10.0% PLW).   </w:t>
      </w:r>
    </w:p>
    <w:p w14:paraId="5B9D631D" w14:textId="66190251"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 xml:space="preserve">The greatest quantitative impact was realized for the highly perishable commodities. Oyster </w:t>
      </w:r>
      <w:r w:rsidR="004B1595">
        <w:rPr>
          <w:rFonts w:ascii="Times New Roman" w:eastAsia="Times New Roman" w:hAnsi="Times New Roman" w:cs="Times New Roman"/>
          <w:color w:val="1B1C1D"/>
          <w:sz w:val="24"/>
          <w:szCs w:val="24"/>
          <w:lang w:eastAsia="en-IN"/>
        </w:rPr>
        <w:t>mushrooms are</w:t>
      </w:r>
      <w:r w:rsidRPr="005D7687">
        <w:rPr>
          <w:rFonts w:ascii="Times New Roman" w:eastAsia="Times New Roman" w:hAnsi="Times New Roman" w:cs="Times New Roman"/>
          <w:color w:val="1B1C1D"/>
          <w:sz w:val="24"/>
          <w:szCs w:val="24"/>
          <w:lang w:eastAsia="en-IN"/>
        </w:rPr>
        <w:t xml:space="preserve"> extremely sensitive to moisture loss. In the open basket, the mushroom exhibited a sharp 30% weight loss after the first day, and the loss reached a catastrophic 58% by the end of the second day, rendering it completely spoiled. Conversely, the ZECC extended the usable storage life of </w:t>
      </w:r>
      <w:r w:rsidR="004B1595">
        <w:rPr>
          <w:rFonts w:ascii="Times New Roman" w:eastAsia="Times New Roman" w:hAnsi="Times New Roman" w:cs="Times New Roman"/>
          <w:color w:val="1B1C1D"/>
          <w:sz w:val="24"/>
          <w:szCs w:val="24"/>
          <w:lang w:eastAsia="en-IN"/>
        </w:rPr>
        <w:t xml:space="preserve">the </w:t>
      </w:r>
      <w:r w:rsidRPr="005D7687">
        <w:rPr>
          <w:rFonts w:ascii="Times New Roman" w:eastAsia="Times New Roman" w:hAnsi="Times New Roman" w:cs="Times New Roman"/>
          <w:color w:val="1B1C1D"/>
          <w:sz w:val="24"/>
          <w:szCs w:val="24"/>
          <w:lang w:eastAsia="en-IN"/>
        </w:rPr>
        <w:t>mushroom to two days while maintaining PLW at only 9.75%.   </w:t>
      </w:r>
    </w:p>
    <w:p w14:paraId="3FF036F0" w14:textId="77777777"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observed variance in storage duration across different vegetables is consistent with established knowledge regarding inherent perishability and respiration rates (Singh et al. 2007b). Crops with high metabolic activity and moisture content, such as Spinach (extended from one day ambient to two days in ZECC) and Oyster Mushroom, naturally exhibit faster deterioration. However, the efficacy of the ZECC is most pronounced for these high-value, high-risk crops, where the chamber converts rapid, total loss into viable short-term storage.   </w:t>
      </w:r>
    </w:p>
    <w:p w14:paraId="7D786223" w14:textId="77777777" w:rsidR="005D7687" w:rsidRPr="005D7687" w:rsidRDefault="005D7687" w:rsidP="005D7687">
      <w:pPr>
        <w:shd w:val="clear" w:color="auto" w:fill="FFFFFF"/>
        <w:spacing w:before="420" w:after="120" w:line="360" w:lineRule="auto"/>
        <w:jc w:val="both"/>
        <w:outlineLvl w:val="2"/>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Sensory Quality Attributes and Marketability Extension</w:t>
      </w:r>
    </w:p>
    <w:p w14:paraId="2545BF54" w14:textId="742F4A30"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maintenance of sensory quality, evaluated based on overall appearance (A) and texture (T), is essential for commercial viability</w:t>
      </w:r>
      <w:r>
        <w:rPr>
          <w:rFonts w:ascii="Times New Roman" w:eastAsia="Times New Roman" w:hAnsi="Times New Roman" w:cs="Times New Roman"/>
          <w:color w:val="1B1C1D"/>
          <w:sz w:val="24"/>
          <w:szCs w:val="24"/>
          <w:lang w:eastAsia="en-IN"/>
        </w:rPr>
        <w:t xml:space="preserve"> </w:t>
      </w:r>
      <w:r w:rsidR="005D7687">
        <w:rPr>
          <w:rFonts w:ascii="Times New Roman" w:eastAsia="Times New Roman" w:hAnsi="Times New Roman" w:cs="Times New Roman"/>
          <w:color w:val="1B1C1D"/>
          <w:sz w:val="24"/>
          <w:szCs w:val="24"/>
          <w:lang w:eastAsia="en-IN"/>
        </w:rPr>
        <w:t>(Table 3)</w:t>
      </w:r>
      <w:r w:rsidR="005D7687" w:rsidRPr="005D7687">
        <w:rPr>
          <w:rFonts w:ascii="Times New Roman" w:eastAsia="Times New Roman" w:hAnsi="Times New Roman" w:cs="Times New Roman"/>
          <w:color w:val="1B1C1D"/>
          <w:sz w:val="24"/>
          <w:szCs w:val="24"/>
          <w:lang w:eastAsia="en-IN"/>
        </w:rPr>
        <w:t>. The scores confirmed the physiological stability observed in PLW data. The threshold for market fitness (score ≥2) clearly established the logistical benefit provided by the ZECC.</w:t>
      </w:r>
      <w:r>
        <w:rPr>
          <w:rFonts w:ascii="Times New Roman" w:eastAsia="Times New Roman" w:hAnsi="Times New Roman" w:cs="Times New Roman"/>
          <w:color w:val="1B1C1D"/>
          <w:sz w:val="24"/>
          <w:szCs w:val="24"/>
          <w:lang w:eastAsia="en-IN"/>
        </w:rPr>
        <w:t xml:space="preserve"> </w:t>
      </w:r>
      <w:r w:rsidR="005D7687" w:rsidRPr="005D7687">
        <w:rPr>
          <w:rFonts w:ascii="Times New Roman" w:eastAsia="Times New Roman" w:hAnsi="Times New Roman" w:cs="Times New Roman"/>
          <w:color w:val="1B1C1D"/>
          <w:sz w:val="24"/>
          <w:szCs w:val="24"/>
          <w:lang w:eastAsia="en-IN"/>
        </w:rPr>
        <w:t>Okra, Radish, and Cauliflower maintained commercially acceptable quality for two days in the ambient open basket system. In the ZECC, the marketable duration was successfully extended to three, four, and three days, respectively. This additional storage time is crucial for optimizing market logistics.   </w:t>
      </w:r>
    </w:p>
    <w:p w14:paraId="7FC9BB99" w14:textId="553E16A3" w:rsidR="005D7687" w:rsidRP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tab/>
      </w:r>
      <w:r w:rsidR="005D7687" w:rsidRPr="005D7687">
        <w:rPr>
          <w:rFonts w:ascii="Times New Roman" w:eastAsia="Times New Roman" w:hAnsi="Times New Roman" w:cs="Times New Roman"/>
          <w:color w:val="1B1C1D"/>
          <w:sz w:val="24"/>
          <w:szCs w:val="24"/>
          <w:lang w:eastAsia="en-IN"/>
        </w:rPr>
        <w:t>The preservation of texture is directly related to sustained turgidity, which is ensured by the near-saturated RH maintained within the cool chamber. On Day 2, Okra retained a "Good" quality score (4/4 for A/T) in the ZECC, while ambient Okra only retained a "Fair" score (3/3). Most strikingly, ambient Oyster Mushroom was assessed as being commercially unfit after the first day (scores of 2/2 on Day 1, then failing criteria by Day 2), whereas the ZECC ensured the mushroom remained marketable for two days, retaining a fair quality score (3/2 on Day 2).   </w:t>
      </w:r>
    </w:p>
    <w:p w14:paraId="792EE4B9" w14:textId="49F74727" w:rsidR="005D7687" w:rsidRDefault="003E0ECF"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Pr>
          <w:rFonts w:ascii="Times New Roman" w:eastAsia="Times New Roman" w:hAnsi="Times New Roman" w:cs="Times New Roman"/>
          <w:color w:val="1B1C1D"/>
          <w:sz w:val="24"/>
          <w:szCs w:val="24"/>
          <w:lang w:eastAsia="en-IN"/>
        </w:rPr>
        <w:lastRenderedPageBreak/>
        <w:tab/>
      </w:r>
      <w:r w:rsidR="005D7687" w:rsidRPr="005D7687">
        <w:rPr>
          <w:rFonts w:ascii="Times New Roman" w:eastAsia="Times New Roman" w:hAnsi="Times New Roman" w:cs="Times New Roman"/>
          <w:color w:val="1B1C1D"/>
          <w:sz w:val="24"/>
          <w:szCs w:val="24"/>
          <w:lang w:eastAsia="en-IN"/>
        </w:rPr>
        <w:t>The capability of the ZECC to reliably extend the marketable window by 1–2 days provides farmers with indispensable operational flexibility. By controlling the rate of deterioration, the technology reduces the need for forced, immediate sale at potentially suppressed prices, which often occurs during peak harvest periods. The resultant reduced spoilage and extended marketability contribute to higher returns, particularly for the most volatile crops, thereby increasing the overall benefit–cost ratio compared to ambient storage (Lata and Singh 2015). This technological leverage ensures better economic viability for vegetable growers.   </w:t>
      </w:r>
    </w:p>
    <w:p w14:paraId="6DD343A7" w14:textId="4D74E07F" w:rsidR="005D7687" w:rsidRPr="006362EF" w:rsidRDefault="005D7687" w:rsidP="005D7687">
      <w:pPr>
        <w:autoSpaceDE w:val="0"/>
        <w:autoSpaceDN w:val="0"/>
        <w:adjustRightInd w:val="0"/>
        <w:spacing w:after="0" w:line="360" w:lineRule="auto"/>
        <w:jc w:val="both"/>
        <w:rPr>
          <w:rFonts w:ascii="Times New Roman" w:hAnsi="Times New Roman" w:cs="Times New Roman"/>
          <w:b/>
          <w:bCs/>
          <w:sz w:val="24"/>
          <w:szCs w:val="24"/>
          <w:u w:val="single"/>
        </w:rPr>
      </w:pPr>
      <w:r w:rsidRPr="0061534F">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5D7687">
        <w:rPr>
          <w:rFonts w:ascii="Times New Roman" w:hAnsi="Times New Roman" w:cs="Times New Roman"/>
          <w:b/>
          <w:bCs/>
          <w:sz w:val="24"/>
          <w:szCs w:val="24"/>
        </w:rPr>
        <w:t xml:space="preserve"> Sensory evaluation </w:t>
      </w:r>
      <w:proofErr w:type="gramStart"/>
      <w:r w:rsidRPr="005D7687">
        <w:rPr>
          <w:rFonts w:ascii="Times New Roman" w:hAnsi="Times New Roman" w:cs="Times New Roman"/>
          <w:b/>
          <w:bCs/>
          <w:sz w:val="24"/>
          <w:szCs w:val="24"/>
        </w:rPr>
        <w:t xml:space="preserve">( </w:t>
      </w:r>
      <w:bookmarkStart w:id="11" w:name="_Hlk212212745"/>
      <w:r w:rsidRPr="005D7687">
        <w:rPr>
          <w:rFonts w:ascii="Times New Roman" w:hAnsi="Times New Roman" w:cs="Times New Roman"/>
          <w:b/>
          <w:bCs/>
          <w:sz w:val="24"/>
          <w:szCs w:val="24"/>
        </w:rPr>
        <w:t>Overall</w:t>
      </w:r>
      <w:proofErr w:type="gramEnd"/>
      <w:r w:rsidRPr="005D7687">
        <w:rPr>
          <w:rFonts w:ascii="Times New Roman" w:hAnsi="Times New Roman" w:cs="Times New Roman"/>
          <w:b/>
          <w:bCs/>
          <w:sz w:val="24"/>
          <w:szCs w:val="24"/>
        </w:rPr>
        <w:t xml:space="preserve"> appearance </w:t>
      </w:r>
      <w:bookmarkEnd w:id="11"/>
      <w:r w:rsidRPr="005D7687">
        <w:rPr>
          <w:rFonts w:ascii="Times New Roman" w:hAnsi="Times New Roman" w:cs="Times New Roman"/>
          <w:b/>
          <w:bCs/>
          <w:sz w:val="24"/>
          <w:szCs w:val="24"/>
        </w:rPr>
        <w:t>and Texture) of summer vegetables</w:t>
      </w:r>
      <w:r w:rsidRPr="006362EF">
        <w:rPr>
          <w:rFonts w:ascii="Times New Roman" w:hAnsi="Times New Roman" w:cs="Times New Roman"/>
          <w:b/>
          <w:bCs/>
          <w:sz w:val="24"/>
          <w:szCs w:val="24"/>
          <w:u w:val="single"/>
        </w:rPr>
        <w:t xml:space="preserve"> </w:t>
      </w:r>
    </w:p>
    <w:tbl>
      <w:tblPr>
        <w:tblStyle w:val="TableGrid"/>
        <w:tblW w:w="9809" w:type="dxa"/>
        <w:tblLayout w:type="fixed"/>
        <w:tblLook w:val="04A0" w:firstRow="1" w:lastRow="0" w:firstColumn="1" w:lastColumn="0" w:noHBand="0" w:noVBand="1"/>
      </w:tblPr>
      <w:tblGrid>
        <w:gridCol w:w="616"/>
        <w:gridCol w:w="416"/>
        <w:gridCol w:w="403"/>
        <w:gridCol w:w="596"/>
        <w:gridCol w:w="484"/>
        <w:gridCol w:w="493"/>
        <w:gridCol w:w="407"/>
        <w:gridCol w:w="648"/>
        <w:gridCol w:w="432"/>
        <w:gridCol w:w="400"/>
        <w:gridCol w:w="416"/>
        <w:gridCol w:w="390"/>
        <w:gridCol w:w="363"/>
        <w:gridCol w:w="575"/>
        <w:gridCol w:w="364"/>
        <w:gridCol w:w="564"/>
        <w:gridCol w:w="363"/>
        <w:gridCol w:w="633"/>
        <w:gridCol w:w="363"/>
        <w:gridCol w:w="520"/>
        <w:gridCol w:w="363"/>
      </w:tblGrid>
      <w:tr w:rsidR="005D7687" w14:paraId="1944CB12" w14:textId="77777777" w:rsidTr="003E0ECF">
        <w:tc>
          <w:tcPr>
            <w:tcW w:w="616" w:type="dxa"/>
            <w:vMerge w:val="restart"/>
          </w:tcPr>
          <w:p w14:paraId="5CD7435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End of Day</w:t>
            </w:r>
          </w:p>
        </w:tc>
        <w:tc>
          <w:tcPr>
            <w:tcW w:w="4695" w:type="dxa"/>
            <w:gridSpan w:val="10"/>
          </w:tcPr>
          <w:p w14:paraId="493F738A"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Open basket system</w:t>
            </w:r>
          </w:p>
        </w:tc>
        <w:tc>
          <w:tcPr>
            <w:tcW w:w="4498" w:type="dxa"/>
            <w:gridSpan w:val="10"/>
          </w:tcPr>
          <w:p w14:paraId="2240568B" w14:textId="77777777" w:rsidR="005D7687" w:rsidRDefault="005D7687" w:rsidP="00D9212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ZECC</w:t>
            </w:r>
          </w:p>
        </w:tc>
      </w:tr>
      <w:tr w:rsidR="003E0ECF" w14:paraId="15E94D3D" w14:textId="77777777" w:rsidTr="003E0ECF">
        <w:tc>
          <w:tcPr>
            <w:tcW w:w="616" w:type="dxa"/>
            <w:vMerge/>
          </w:tcPr>
          <w:p w14:paraId="7F2F2A5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819" w:type="dxa"/>
            <w:gridSpan w:val="2"/>
          </w:tcPr>
          <w:p w14:paraId="4F77F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1080" w:type="dxa"/>
            <w:gridSpan w:val="2"/>
          </w:tcPr>
          <w:p w14:paraId="47AFEF5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00" w:type="dxa"/>
            <w:gridSpan w:val="2"/>
          </w:tcPr>
          <w:p w14:paraId="437D32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5184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1080" w:type="dxa"/>
            <w:gridSpan w:val="2"/>
          </w:tcPr>
          <w:p w14:paraId="7F91084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816" w:type="dxa"/>
            <w:gridSpan w:val="2"/>
          </w:tcPr>
          <w:p w14:paraId="79F707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14F9AB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c>
          <w:tcPr>
            <w:tcW w:w="753" w:type="dxa"/>
            <w:gridSpan w:val="2"/>
          </w:tcPr>
          <w:p w14:paraId="492BC7B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Okra</w:t>
            </w:r>
          </w:p>
        </w:tc>
        <w:tc>
          <w:tcPr>
            <w:tcW w:w="939" w:type="dxa"/>
            <w:gridSpan w:val="2"/>
          </w:tcPr>
          <w:p w14:paraId="2F98741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Radish</w:t>
            </w:r>
          </w:p>
        </w:tc>
        <w:tc>
          <w:tcPr>
            <w:tcW w:w="927" w:type="dxa"/>
            <w:gridSpan w:val="2"/>
          </w:tcPr>
          <w:p w14:paraId="06A994C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Cauli</w:t>
            </w:r>
          </w:p>
          <w:p w14:paraId="32BE7A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flower</w:t>
            </w:r>
          </w:p>
        </w:tc>
        <w:tc>
          <w:tcPr>
            <w:tcW w:w="996" w:type="dxa"/>
            <w:gridSpan w:val="2"/>
          </w:tcPr>
          <w:p w14:paraId="506E6E4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Spinach</w:t>
            </w:r>
          </w:p>
        </w:tc>
        <w:tc>
          <w:tcPr>
            <w:tcW w:w="883" w:type="dxa"/>
            <w:gridSpan w:val="2"/>
          </w:tcPr>
          <w:p w14:paraId="37892A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Mush</w:t>
            </w:r>
          </w:p>
          <w:p w14:paraId="243EBD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room</w:t>
            </w:r>
          </w:p>
        </w:tc>
      </w:tr>
      <w:tr w:rsidR="003E0ECF" w14:paraId="7F94F7B6" w14:textId="77777777" w:rsidTr="003E0ECF">
        <w:tc>
          <w:tcPr>
            <w:tcW w:w="616" w:type="dxa"/>
          </w:tcPr>
          <w:p w14:paraId="3244D8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p>
        </w:tc>
        <w:tc>
          <w:tcPr>
            <w:tcW w:w="416" w:type="dxa"/>
          </w:tcPr>
          <w:p w14:paraId="164100A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03" w:type="dxa"/>
          </w:tcPr>
          <w:p w14:paraId="56C333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96" w:type="dxa"/>
          </w:tcPr>
          <w:p w14:paraId="19A81D1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84" w:type="dxa"/>
          </w:tcPr>
          <w:p w14:paraId="6170C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93" w:type="dxa"/>
          </w:tcPr>
          <w:p w14:paraId="3E038F9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07" w:type="dxa"/>
          </w:tcPr>
          <w:p w14:paraId="29A9692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48" w:type="dxa"/>
          </w:tcPr>
          <w:p w14:paraId="6333E5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32" w:type="dxa"/>
          </w:tcPr>
          <w:p w14:paraId="58F140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400" w:type="dxa"/>
          </w:tcPr>
          <w:p w14:paraId="3A4BD8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416" w:type="dxa"/>
          </w:tcPr>
          <w:p w14:paraId="0ABFD55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390" w:type="dxa"/>
          </w:tcPr>
          <w:p w14:paraId="7C6954C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FE764F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75" w:type="dxa"/>
          </w:tcPr>
          <w:p w14:paraId="1B1A05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4" w:type="dxa"/>
          </w:tcPr>
          <w:p w14:paraId="503F52D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64" w:type="dxa"/>
          </w:tcPr>
          <w:p w14:paraId="285969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093DC9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633" w:type="dxa"/>
          </w:tcPr>
          <w:p w14:paraId="2269F0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5538728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20" w:type="dxa"/>
          </w:tcPr>
          <w:p w14:paraId="718DF64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363" w:type="dxa"/>
          </w:tcPr>
          <w:p w14:paraId="6E2E418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w:t>
            </w:r>
          </w:p>
        </w:tc>
      </w:tr>
      <w:tr w:rsidR="003E0ECF" w14:paraId="19C29786" w14:textId="77777777" w:rsidTr="003E0ECF">
        <w:tc>
          <w:tcPr>
            <w:tcW w:w="616" w:type="dxa"/>
          </w:tcPr>
          <w:p w14:paraId="10F004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6" w:type="dxa"/>
          </w:tcPr>
          <w:p w14:paraId="62E273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24708B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CAE443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4" w:type="dxa"/>
          </w:tcPr>
          <w:p w14:paraId="147B57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ADCB18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07" w:type="dxa"/>
          </w:tcPr>
          <w:p w14:paraId="5F9412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8" w:type="dxa"/>
          </w:tcPr>
          <w:p w14:paraId="4E905C3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2" w:type="dxa"/>
          </w:tcPr>
          <w:p w14:paraId="132E5DD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0" w:type="dxa"/>
          </w:tcPr>
          <w:p w14:paraId="74D2828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14:paraId="4AE6603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0" w:type="dxa"/>
          </w:tcPr>
          <w:p w14:paraId="030508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7312A2C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75" w:type="dxa"/>
          </w:tcPr>
          <w:p w14:paraId="2CFC88A3"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4" w:type="dxa"/>
          </w:tcPr>
          <w:p w14:paraId="6F12B0D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3B177AA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3" w:type="dxa"/>
          </w:tcPr>
          <w:p w14:paraId="0EC942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33" w:type="dxa"/>
          </w:tcPr>
          <w:p w14:paraId="5A04DB7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0764DFC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20" w:type="dxa"/>
          </w:tcPr>
          <w:p w14:paraId="43E9332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645B330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3E0ECF" w14:paraId="3A92680E" w14:textId="77777777" w:rsidTr="003E0ECF">
        <w:tc>
          <w:tcPr>
            <w:tcW w:w="616" w:type="dxa"/>
          </w:tcPr>
          <w:p w14:paraId="593BB7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6" w:type="dxa"/>
          </w:tcPr>
          <w:p w14:paraId="6302A3C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3" w:type="dxa"/>
          </w:tcPr>
          <w:p w14:paraId="7751855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6" w:type="dxa"/>
          </w:tcPr>
          <w:p w14:paraId="0D7482F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D01D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93" w:type="dxa"/>
          </w:tcPr>
          <w:p w14:paraId="500CBD2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7" w:type="dxa"/>
          </w:tcPr>
          <w:p w14:paraId="13C0F54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8" w:type="dxa"/>
          </w:tcPr>
          <w:p w14:paraId="6C8D9D0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2" w:type="dxa"/>
          </w:tcPr>
          <w:p w14:paraId="0FCDC3E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0" w:type="dxa"/>
          </w:tcPr>
          <w:p w14:paraId="63E21F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4D9D21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635E2CC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2EE989F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75" w:type="dxa"/>
          </w:tcPr>
          <w:p w14:paraId="505EAC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5B025C0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64" w:type="dxa"/>
          </w:tcPr>
          <w:p w14:paraId="049157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6D2E29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33" w:type="dxa"/>
          </w:tcPr>
          <w:p w14:paraId="734C4C7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511F651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20" w:type="dxa"/>
          </w:tcPr>
          <w:p w14:paraId="3C765C8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23C7945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E0ECF" w14:paraId="6F8DA1CB" w14:textId="77777777" w:rsidTr="003E0ECF">
        <w:tc>
          <w:tcPr>
            <w:tcW w:w="616" w:type="dxa"/>
          </w:tcPr>
          <w:p w14:paraId="1DAEBF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6" w:type="dxa"/>
          </w:tcPr>
          <w:p w14:paraId="53F53FE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03" w:type="dxa"/>
          </w:tcPr>
          <w:p w14:paraId="02A085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6" w:type="dxa"/>
          </w:tcPr>
          <w:p w14:paraId="6326269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4" w:type="dxa"/>
          </w:tcPr>
          <w:p w14:paraId="49A396B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93" w:type="dxa"/>
          </w:tcPr>
          <w:p w14:paraId="23D916B6"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07" w:type="dxa"/>
          </w:tcPr>
          <w:p w14:paraId="5A491B1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48" w:type="dxa"/>
          </w:tcPr>
          <w:p w14:paraId="41A1D69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8B23B6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689D51A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6535ED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776A6E1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3" w:type="dxa"/>
          </w:tcPr>
          <w:p w14:paraId="490F533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75" w:type="dxa"/>
          </w:tcPr>
          <w:p w14:paraId="6BF8F2A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4" w:type="dxa"/>
          </w:tcPr>
          <w:p w14:paraId="4881999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64" w:type="dxa"/>
          </w:tcPr>
          <w:p w14:paraId="2EEDA38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3" w:type="dxa"/>
          </w:tcPr>
          <w:p w14:paraId="6DA62C1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33" w:type="dxa"/>
          </w:tcPr>
          <w:p w14:paraId="1AF5FF8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6A58355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20" w:type="dxa"/>
          </w:tcPr>
          <w:p w14:paraId="5503CC0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DB839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E0ECF" w14:paraId="3DB2407E" w14:textId="77777777" w:rsidTr="003E0ECF">
        <w:tc>
          <w:tcPr>
            <w:tcW w:w="616" w:type="dxa"/>
          </w:tcPr>
          <w:p w14:paraId="2784D76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6" w:type="dxa"/>
          </w:tcPr>
          <w:p w14:paraId="2E48E24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3" w:type="dxa"/>
          </w:tcPr>
          <w:p w14:paraId="3D1DF01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4091BACA"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4" w:type="dxa"/>
          </w:tcPr>
          <w:p w14:paraId="31B7B5F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93" w:type="dxa"/>
          </w:tcPr>
          <w:p w14:paraId="6FCBC13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07" w:type="dxa"/>
          </w:tcPr>
          <w:p w14:paraId="76C0D6B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8" w:type="dxa"/>
          </w:tcPr>
          <w:p w14:paraId="5EFAF67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5CCEED8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097C39C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7DC05A6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575A2C7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3967B5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75" w:type="dxa"/>
          </w:tcPr>
          <w:p w14:paraId="5ABA4A5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4" w:type="dxa"/>
          </w:tcPr>
          <w:p w14:paraId="37C3BD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64" w:type="dxa"/>
          </w:tcPr>
          <w:p w14:paraId="6B538B7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3" w:type="dxa"/>
          </w:tcPr>
          <w:p w14:paraId="7F1B87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33" w:type="dxa"/>
          </w:tcPr>
          <w:p w14:paraId="5E1866D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692F439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553FE14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EB12A5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2C32D639" w14:textId="77777777" w:rsidTr="003E0ECF">
        <w:tc>
          <w:tcPr>
            <w:tcW w:w="616" w:type="dxa"/>
          </w:tcPr>
          <w:p w14:paraId="7A610965"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6" w:type="dxa"/>
          </w:tcPr>
          <w:p w14:paraId="77B26FE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3" w:type="dxa"/>
          </w:tcPr>
          <w:p w14:paraId="137C202E"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96" w:type="dxa"/>
          </w:tcPr>
          <w:p w14:paraId="1BEB32CB"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84" w:type="dxa"/>
          </w:tcPr>
          <w:p w14:paraId="2908646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93" w:type="dxa"/>
          </w:tcPr>
          <w:p w14:paraId="4201526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7" w:type="dxa"/>
          </w:tcPr>
          <w:p w14:paraId="47C445F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 w:type="dxa"/>
          </w:tcPr>
          <w:p w14:paraId="4FBBEB51"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32" w:type="dxa"/>
          </w:tcPr>
          <w:p w14:paraId="773F682D"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00" w:type="dxa"/>
          </w:tcPr>
          <w:p w14:paraId="568C79D0"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16" w:type="dxa"/>
          </w:tcPr>
          <w:p w14:paraId="6629F6F4"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90" w:type="dxa"/>
          </w:tcPr>
          <w:p w14:paraId="72F3D90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3" w:type="dxa"/>
          </w:tcPr>
          <w:p w14:paraId="0FDA2BC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75" w:type="dxa"/>
          </w:tcPr>
          <w:p w14:paraId="3FCE2E5C"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4" w:type="dxa"/>
          </w:tcPr>
          <w:p w14:paraId="63D55AA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64" w:type="dxa"/>
          </w:tcPr>
          <w:p w14:paraId="0B04CE8F"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5274F56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33" w:type="dxa"/>
          </w:tcPr>
          <w:p w14:paraId="6BF745C2"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083C1F69"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20" w:type="dxa"/>
          </w:tcPr>
          <w:p w14:paraId="058DC368"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63" w:type="dxa"/>
          </w:tcPr>
          <w:p w14:paraId="2A8E3277" w14:textId="77777777" w:rsidR="005D7687" w:rsidRDefault="005D7687" w:rsidP="00D9212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3E0ECF" w14:paraId="0F9FC73D" w14:textId="77777777" w:rsidTr="003E0ECF">
        <w:tc>
          <w:tcPr>
            <w:tcW w:w="616" w:type="dxa"/>
          </w:tcPr>
          <w:p w14:paraId="35511E2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Mean</w:t>
            </w:r>
          </w:p>
        </w:tc>
        <w:tc>
          <w:tcPr>
            <w:tcW w:w="416" w:type="dxa"/>
          </w:tcPr>
          <w:p w14:paraId="03FD8E2A"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03" w:type="dxa"/>
          </w:tcPr>
          <w:p w14:paraId="3143A13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1.4</w:t>
            </w:r>
          </w:p>
        </w:tc>
        <w:tc>
          <w:tcPr>
            <w:tcW w:w="596" w:type="dxa"/>
          </w:tcPr>
          <w:p w14:paraId="0A8DCC6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484" w:type="dxa"/>
          </w:tcPr>
          <w:p w14:paraId="7CE6343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1.8</w:t>
            </w:r>
          </w:p>
        </w:tc>
        <w:tc>
          <w:tcPr>
            <w:tcW w:w="493" w:type="dxa"/>
          </w:tcPr>
          <w:p w14:paraId="266E552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2.0</w:t>
            </w:r>
          </w:p>
        </w:tc>
        <w:tc>
          <w:tcPr>
            <w:tcW w:w="407" w:type="dxa"/>
          </w:tcPr>
          <w:p w14:paraId="71C4DE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2.2</w:t>
            </w:r>
          </w:p>
        </w:tc>
        <w:tc>
          <w:tcPr>
            <w:tcW w:w="648" w:type="dxa"/>
          </w:tcPr>
          <w:p w14:paraId="28A73C4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32" w:type="dxa"/>
          </w:tcPr>
          <w:p w14:paraId="32C11271"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0.6</w:t>
            </w:r>
          </w:p>
        </w:tc>
        <w:tc>
          <w:tcPr>
            <w:tcW w:w="400" w:type="dxa"/>
          </w:tcPr>
          <w:p w14:paraId="33ED42E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0.2</w:t>
            </w:r>
          </w:p>
        </w:tc>
        <w:tc>
          <w:tcPr>
            <w:tcW w:w="416" w:type="dxa"/>
          </w:tcPr>
          <w:p w14:paraId="302D820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6"/>
                <w:szCs w:val="16"/>
              </w:rPr>
            </w:pPr>
            <w:r w:rsidRPr="005D25C9">
              <w:rPr>
                <w:rFonts w:ascii="Times New Roman" w:hAnsi="Times New Roman" w:cs="Times New Roman"/>
                <w:sz w:val="16"/>
                <w:szCs w:val="16"/>
              </w:rPr>
              <w:t>0.4</w:t>
            </w:r>
          </w:p>
        </w:tc>
        <w:tc>
          <w:tcPr>
            <w:tcW w:w="390" w:type="dxa"/>
          </w:tcPr>
          <w:p w14:paraId="5CE2DB2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05FF3ED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75" w:type="dxa"/>
          </w:tcPr>
          <w:p w14:paraId="2C1B853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4" w:type="dxa"/>
          </w:tcPr>
          <w:p w14:paraId="36D37703"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64" w:type="dxa"/>
          </w:tcPr>
          <w:p w14:paraId="69897F9C"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5AF1757D"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633" w:type="dxa"/>
          </w:tcPr>
          <w:p w14:paraId="7C3512E0"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1B220CBE"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520" w:type="dxa"/>
          </w:tcPr>
          <w:p w14:paraId="044FA81F"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c>
          <w:tcPr>
            <w:tcW w:w="363" w:type="dxa"/>
          </w:tcPr>
          <w:p w14:paraId="7EF17198" w14:textId="77777777" w:rsidR="005D7687" w:rsidRPr="005D25C9" w:rsidRDefault="005D7687" w:rsidP="00D9212E">
            <w:pPr>
              <w:autoSpaceDE w:val="0"/>
              <w:autoSpaceDN w:val="0"/>
              <w:adjustRightInd w:val="0"/>
              <w:spacing w:line="360" w:lineRule="auto"/>
              <w:jc w:val="both"/>
              <w:rPr>
                <w:rFonts w:ascii="Times New Roman" w:hAnsi="Times New Roman" w:cs="Times New Roman"/>
                <w:sz w:val="18"/>
                <w:szCs w:val="18"/>
              </w:rPr>
            </w:pPr>
          </w:p>
        </w:tc>
      </w:tr>
    </w:tbl>
    <w:p w14:paraId="7FAB1BBD"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Note – after getting score 1 the vegetables were discarded.</w:t>
      </w:r>
    </w:p>
    <w:p w14:paraId="625424C8" w14:textId="77777777"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Vegetables scored less than 2 are not fit for marketing </w:t>
      </w:r>
    </w:p>
    <w:p w14:paraId="51140810" w14:textId="64D74A8D"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3E0ECF">
        <w:rPr>
          <w:rFonts w:ascii="Times New Roman" w:hAnsi="Times New Roman" w:cs="Times New Roman"/>
          <w:sz w:val="24"/>
          <w:szCs w:val="24"/>
        </w:rPr>
        <w:t>–</w:t>
      </w:r>
      <w:r>
        <w:rPr>
          <w:rFonts w:ascii="Times New Roman" w:hAnsi="Times New Roman" w:cs="Times New Roman"/>
          <w:sz w:val="24"/>
          <w:szCs w:val="24"/>
        </w:rPr>
        <w:t xml:space="preserve"> stands for </w:t>
      </w:r>
      <w:r w:rsidRPr="006362EF">
        <w:rPr>
          <w:rFonts w:ascii="Times New Roman" w:hAnsi="Times New Roman" w:cs="Times New Roman"/>
          <w:sz w:val="24"/>
          <w:szCs w:val="24"/>
        </w:rPr>
        <w:t>Overall appearance</w:t>
      </w:r>
    </w:p>
    <w:p w14:paraId="08862DE0" w14:textId="56B07C58" w:rsidR="005D7687" w:rsidRDefault="005D7687" w:rsidP="005D76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 </w:t>
      </w:r>
      <w:r w:rsidR="003E0ECF">
        <w:rPr>
          <w:rFonts w:ascii="Times New Roman" w:hAnsi="Times New Roman" w:cs="Times New Roman"/>
          <w:sz w:val="24"/>
          <w:szCs w:val="24"/>
        </w:rPr>
        <w:t>–</w:t>
      </w:r>
      <w:r>
        <w:rPr>
          <w:rFonts w:ascii="Times New Roman" w:hAnsi="Times New Roman" w:cs="Times New Roman"/>
          <w:sz w:val="24"/>
          <w:szCs w:val="24"/>
        </w:rPr>
        <w:t xml:space="preserve"> stands for texture</w:t>
      </w:r>
    </w:p>
    <w:p w14:paraId="1468A51A" w14:textId="624D3424" w:rsidR="003E0ECF" w:rsidRPr="003E0ECF" w:rsidRDefault="003E0ECF" w:rsidP="003E0ECF">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3E0ECF">
        <w:rPr>
          <w:rFonts w:ascii="Times New Roman" w:eastAsia="Times New Roman" w:hAnsi="Times New Roman" w:cs="Times New Roman"/>
          <w:b/>
          <w:bCs/>
          <w:sz w:val="24"/>
          <w:szCs w:val="24"/>
          <w:lang w:eastAsia="en-IN"/>
        </w:rPr>
        <w:t>Economics of storage</w:t>
      </w:r>
    </w:p>
    <w:p w14:paraId="3DF20E14" w14:textId="4B9F2AF0" w:rsidR="003E0ECF" w:rsidRDefault="003E0ECF" w:rsidP="003E0EC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9E06AA">
        <w:rPr>
          <w:rFonts w:ascii="Times New Roman" w:eastAsia="Times New Roman" w:hAnsi="Times New Roman" w:cs="Times New Roman"/>
          <w:sz w:val="24"/>
          <w:szCs w:val="24"/>
          <w:lang w:eastAsia="en-IN"/>
        </w:rPr>
        <w:t xml:space="preserve">Storing vegetables in ZECC was found to be more profitable as reflected by the higher benefit–cost ratio compared to room temperature storage. The reduced spoilage, extended marketability and lower postharvest losses contribute to higher returns, particularly in highly perishable vegetables. Overall, ZECC is a low-cost and efficient technology to enhance shelf life and maintain quality of vegetables, especially in regions where refrigeration facilities are limited. It is evident that while the storage response varies among crops, ZECC provides a significant advantage over room temperature storage in minimizing weight loss, preserving </w:t>
      </w:r>
      <w:r w:rsidRPr="009E06AA">
        <w:rPr>
          <w:rFonts w:ascii="Times New Roman" w:eastAsia="Times New Roman" w:hAnsi="Times New Roman" w:cs="Times New Roman"/>
          <w:sz w:val="24"/>
          <w:szCs w:val="24"/>
          <w:lang w:eastAsia="en-IN"/>
        </w:rPr>
        <w:lastRenderedPageBreak/>
        <w:t>freshness, and ensuring better economic viability for vegetable growers. The finding was in consonance of Lata &amp; Singh 2015.</w:t>
      </w:r>
    </w:p>
    <w:p w14:paraId="343F1367" w14:textId="08EED15A" w:rsidR="003E0ECF" w:rsidRPr="009E06AA" w:rsidRDefault="003E0ECF" w:rsidP="003E0ECF">
      <w:pPr>
        <w:spacing w:before="100" w:beforeAutospacing="1" w:after="100" w:afterAutospacing="1" w:line="360" w:lineRule="auto"/>
        <w:jc w:val="center"/>
        <w:rPr>
          <w:rFonts w:ascii="Times New Roman" w:eastAsia="Times New Roman" w:hAnsi="Times New Roman" w:cs="Times New Roman"/>
          <w:sz w:val="24"/>
          <w:szCs w:val="24"/>
          <w:lang w:eastAsia="en-IN"/>
        </w:rPr>
      </w:pPr>
      <w:r>
        <w:rPr>
          <w:noProof/>
        </w:rPr>
        <w:drawing>
          <wp:inline distT="0" distB="0" distL="0" distR="0" wp14:anchorId="4CE20DF6" wp14:editId="2B93D0CB">
            <wp:extent cx="4739640" cy="2743200"/>
            <wp:effectExtent l="0" t="0" r="3810" b="0"/>
            <wp:docPr id="4" name="Chart 4">
              <a:extLst xmlns:a="http://schemas.openxmlformats.org/drawingml/2006/main">
                <a:ext uri="{FF2B5EF4-FFF2-40B4-BE49-F238E27FC236}">
                  <a16:creationId xmlns:a16="http://schemas.microsoft.com/office/drawing/2014/main" id="{62336B3D-2710-2649-83CE-FFF5A1CB45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098F10" w14:textId="77777777" w:rsidR="005D7687" w:rsidRPr="005D7687" w:rsidRDefault="005D7687" w:rsidP="005D7687">
      <w:pPr>
        <w:shd w:val="clear" w:color="auto" w:fill="FFFFFF"/>
        <w:spacing w:before="420" w:after="120" w:line="360" w:lineRule="auto"/>
        <w:jc w:val="both"/>
        <w:outlineLvl w:val="1"/>
        <w:rPr>
          <w:rFonts w:ascii="Times New Roman" w:eastAsia="Times New Roman" w:hAnsi="Times New Roman" w:cs="Times New Roman"/>
          <w:b/>
          <w:bCs/>
          <w:color w:val="1B1C1D"/>
          <w:sz w:val="24"/>
          <w:szCs w:val="24"/>
          <w:lang w:eastAsia="en-IN"/>
        </w:rPr>
      </w:pPr>
      <w:r w:rsidRPr="005D7687">
        <w:rPr>
          <w:rFonts w:ascii="Times New Roman" w:eastAsia="Times New Roman" w:hAnsi="Times New Roman" w:cs="Times New Roman"/>
          <w:b/>
          <w:bCs/>
          <w:color w:val="1B1C1D"/>
          <w:sz w:val="24"/>
          <w:szCs w:val="24"/>
          <w:lang w:eastAsia="en-IN"/>
        </w:rPr>
        <w:t>Conclusion</w:t>
      </w:r>
    </w:p>
    <w:p w14:paraId="70375500" w14:textId="5B6E44AD" w:rsidR="005D7687" w:rsidRPr="005D7687" w:rsidRDefault="005D7687" w:rsidP="005D7687">
      <w:p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5D7687">
        <w:rPr>
          <w:rFonts w:ascii="Times New Roman" w:eastAsia="Times New Roman" w:hAnsi="Times New Roman" w:cs="Times New Roman"/>
          <w:color w:val="1B1C1D"/>
          <w:sz w:val="24"/>
          <w:szCs w:val="24"/>
          <w:lang w:eastAsia="en-IN"/>
        </w:rPr>
        <w:t>The comparative assessment of storage conditions demonstrates conclusively that the Zero Energy Cool Chamber provides a highly effective, decentralized microclimate control strategy against the rapid post-harvest deterioration caused by high temperatures and low humidity during the summer season. By successfully deploying the principle of evaporative cooling, the ZECC achieves a substantial moderation of storage stressors, characterized by a 5.80</w:t>
      </w:r>
      <w:r w:rsidRPr="005D7687">
        <w:rPr>
          <w:rFonts w:ascii="Times New Roman" w:eastAsia="Times New Roman" w:hAnsi="Times New Roman" w:cs="Times New Roman"/>
          <w:i/>
          <w:iCs/>
          <w:color w:val="1B1C1D"/>
          <w:sz w:val="24"/>
          <w:szCs w:val="24"/>
          <w:lang w:eastAsia="en-IN"/>
        </w:rPr>
        <w:t>C</w:t>
      </w:r>
      <w:r w:rsidRPr="005D7687">
        <w:rPr>
          <w:rFonts w:ascii="Times New Roman" w:eastAsia="Times New Roman" w:hAnsi="Times New Roman" w:cs="Times New Roman"/>
          <w:color w:val="1B1C1D"/>
          <w:sz w:val="24"/>
          <w:szCs w:val="24"/>
          <w:lang w:eastAsia="en-IN"/>
        </w:rPr>
        <w:t> temperature drop and a 40.5% increase in relative humidity.</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This environmental control yields tangible benefits, resulting in a marked reduction in Physiological Loss in Weight and the superior maintenance of sensory quality. The marketable shelf life of diverse summer produce was extended by 1 to 2 days across all tested categories, with the most significant relative benefits realized for highly perishable, high-value commodities such as Oyster Mushroom.</w:t>
      </w:r>
      <w:r w:rsidR="003E0ECF">
        <w:rPr>
          <w:rFonts w:ascii="Times New Roman" w:eastAsia="Times New Roman" w:hAnsi="Times New Roman" w:cs="Times New Roman"/>
          <w:color w:val="1B1C1D"/>
          <w:sz w:val="24"/>
          <w:szCs w:val="24"/>
          <w:lang w:eastAsia="en-IN"/>
        </w:rPr>
        <w:t xml:space="preserve"> </w:t>
      </w:r>
      <w:r w:rsidRPr="005D7687">
        <w:rPr>
          <w:rFonts w:ascii="Times New Roman" w:eastAsia="Times New Roman" w:hAnsi="Times New Roman" w:cs="Times New Roman"/>
          <w:color w:val="1B1C1D"/>
          <w:sz w:val="24"/>
          <w:szCs w:val="24"/>
          <w:lang w:eastAsia="en-IN"/>
        </w:rPr>
        <w:t>Given its low capital cost, zero reliance on grid electricity, minimal maintenance requirements, and proven efficacy in mitigating losses and preserving freshness, the ZECC is strongly recommended as an efficient and sustainable technological intervention. It represents a vital solution for enhancing food supply chain resilience and improving economic profitability for vegetable growers in regions lacking access to conventional refrigeration facilities.   </w:t>
      </w:r>
    </w:p>
    <w:p w14:paraId="5475BC22"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CD297AE" w14:textId="77777777" w:rsidR="003E0ECF" w:rsidRDefault="003E0ECF"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p>
    <w:p w14:paraId="15C4D2BF" w14:textId="43BF4BFA" w:rsidR="005D7687" w:rsidRPr="005D7687" w:rsidRDefault="005D7687" w:rsidP="005D7687">
      <w:pPr>
        <w:shd w:val="clear" w:color="auto" w:fill="FFFFFF"/>
        <w:spacing w:before="420" w:after="120" w:line="420" w:lineRule="atLeast"/>
        <w:jc w:val="both"/>
        <w:outlineLvl w:val="1"/>
        <w:rPr>
          <w:rFonts w:ascii="Times New Roman" w:eastAsia="Times New Roman" w:hAnsi="Times New Roman" w:cs="Times New Roman"/>
          <w:b/>
          <w:bCs/>
          <w:color w:val="1B1C1D"/>
          <w:sz w:val="30"/>
          <w:szCs w:val="30"/>
          <w:lang w:eastAsia="en-IN"/>
        </w:rPr>
      </w:pPr>
      <w:r w:rsidRPr="005D7687">
        <w:rPr>
          <w:rFonts w:ascii="Times New Roman" w:eastAsia="Times New Roman" w:hAnsi="Times New Roman" w:cs="Times New Roman"/>
          <w:b/>
          <w:bCs/>
          <w:color w:val="1B1C1D"/>
          <w:sz w:val="30"/>
          <w:szCs w:val="30"/>
          <w:lang w:eastAsia="en-IN"/>
        </w:rPr>
        <w:t>References</w:t>
      </w:r>
    </w:p>
    <w:p w14:paraId="3AD5A99A" w14:textId="04364849"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Data, E.S. and </w:t>
      </w:r>
      <w:proofErr w:type="spellStart"/>
      <w:r w:rsidRPr="003E0ECF">
        <w:rPr>
          <w:rFonts w:ascii="Times New Roman" w:eastAsia="Times New Roman" w:hAnsi="Times New Roman" w:cs="Times New Roman"/>
          <w:color w:val="1B1C1D"/>
          <w:sz w:val="24"/>
          <w:szCs w:val="24"/>
          <w:lang w:eastAsia="en-IN"/>
        </w:rPr>
        <w:t>Eronica</w:t>
      </w:r>
      <w:proofErr w:type="spellEnd"/>
      <w:r w:rsidRPr="003E0ECF">
        <w:rPr>
          <w:rFonts w:ascii="Times New Roman" w:eastAsia="Times New Roman" w:hAnsi="Times New Roman" w:cs="Times New Roman"/>
          <w:color w:val="1B1C1D"/>
          <w:sz w:val="24"/>
          <w:szCs w:val="24"/>
          <w:lang w:eastAsia="en-IN"/>
        </w:rPr>
        <w:t xml:space="preserve">, P.S. (1987). Storage performance of newly developed sweet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potato hybrids, The Redix Semi Annual Research Publication of </w:t>
      </w:r>
      <w:proofErr w:type="spellStart"/>
      <w:r w:rsidRPr="003E0ECF">
        <w:rPr>
          <w:rFonts w:ascii="Times New Roman" w:eastAsia="Times New Roman" w:hAnsi="Times New Roman" w:cs="Times New Roman"/>
          <w:color w:val="1B1C1D"/>
          <w:sz w:val="24"/>
          <w:szCs w:val="24"/>
          <w:lang w:eastAsia="en-IN"/>
        </w:rPr>
        <w:t>Phillipins</w:t>
      </w:r>
      <w:proofErr w:type="spellEnd"/>
      <w:r w:rsidRPr="003E0ECF">
        <w:rPr>
          <w:rFonts w:ascii="Times New Roman" w:eastAsia="Times New Roman" w:hAnsi="Times New Roman" w:cs="Times New Roman"/>
          <w:color w:val="1B1C1D"/>
          <w:sz w:val="24"/>
          <w:szCs w:val="24"/>
          <w:lang w:eastAsia="en-IN"/>
        </w:rPr>
        <w:t xml:space="preserve"> Root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Crop Research and Training </w:t>
      </w:r>
      <w:proofErr w:type="spellStart"/>
      <w:r w:rsidRPr="003E0ECF">
        <w:rPr>
          <w:rFonts w:ascii="Times New Roman" w:eastAsia="Times New Roman" w:hAnsi="Times New Roman" w:cs="Times New Roman"/>
          <w:color w:val="1B1C1D"/>
          <w:sz w:val="24"/>
          <w:szCs w:val="24"/>
          <w:lang w:eastAsia="en-IN"/>
        </w:rPr>
        <w:t>center</w:t>
      </w:r>
      <w:proofErr w:type="spellEnd"/>
      <w:r w:rsidRPr="003E0ECF">
        <w:rPr>
          <w:rFonts w:ascii="Times New Roman" w:eastAsia="Times New Roman" w:hAnsi="Times New Roman" w:cs="Times New Roman"/>
          <w:color w:val="1B1C1D"/>
          <w:sz w:val="24"/>
          <w:szCs w:val="24"/>
          <w:lang w:eastAsia="en-IN"/>
        </w:rPr>
        <w:t>, 9:(1).   </w:t>
      </w:r>
    </w:p>
    <w:p w14:paraId="31D845F9" w14:textId="0D2999AD"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Jadhav, R. T., Yadav, A. N., Ghag, K. S., &amp; </w:t>
      </w:r>
      <w:proofErr w:type="spellStart"/>
      <w:r w:rsidRPr="003E0ECF">
        <w:rPr>
          <w:rFonts w:ascii="Times New Roman" w:eastAsia="Times New Roman" w:hAnsi="Times New Roman" w:cs="Times New Roman"/>
          <w:color w:val="1B1C1D"/>
          <w:sz w:val="24"/>
          <w:szCs w:val="24"/>
          <w:lang w:eastAsia="en-IN"/>
        </w:rPr>
        <w:t>Gavnang</w:t>
      </w:r>
      <w:proofErr w:type="spellEnd"/>
      <w:r w:rsidRPr="003E0ECF">
        <w:rPr>
          <w:rFonts w:ascii="Times New Roman" w:eastAsia="Times New Roman" w:hAnsi="Times New Roman" w:cs="Times New Roman"/>
          <w:color w:val="1B1C1D"/>
          <w:sz w:val="24"/>
          <w:szCs w:val="24"/>
          <w:lang w:eastAsia="en-IN"/>
        </w:rPr>
        <w:t xml:space="preserve">, M. R. (2010). Comparative study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of </w:t>
      </w:r>
      <w:proofErr w:type="gramStart"/>
      <w:r w:rsidRPr="003E0ECF">
        <w:rPr>
          <w:rFonts w:ascii="Times New Roman" w:eastAsia="Times New Roman" w:hAnsi="Times New Roman" w:cs="Times New Roman"/>
          <w:color w:val="1B1C1D"/>
          <w:sz w:val="24"/>
          <w:szCs w:val="24"/>
          <w:lang w:eastAsia="en-IN"/>
        </w:rPr>
        <w:t>low cost</w:t>
      </w:r>
      <w:proofErr w:type="gramEnd"/>
      <w:r w:rsidRPr="003E0ECF">
        <w:rPr>
          <w:rFonts w:ascii="Times New Roman" w:eastAsia="Times New Roman" w:hAnsi="Times New Roman" w:cs="Times New Roman"/>
          <w:color w:val="1B1C1D"/>
          <w:sz w:val="24"/>
          <w:szCs w:val="24"/>
          <w:lang w:eastAsia="en-IN"/>
        </w:rPr>
        <w:t xml:space="preserve"> evaporative cooling systems for storage of tomato. </w:t>
      </w:r>
      <w:r w:rsidRPr="003E0ECF">
        <w:rPr>
          <w:rFonts w:ascii="Times New Roman" w:eastAsia="Times New Roman" w:hAnsi="Times New Roman" w:cs="Times New Roman"/>
          <w:i/>
          <w:iCs/>
          <w:color w:val="1B1C1D"/>
          <w:sz w:val="24"/>
          <w:szCs w:val="24"/>
          <w:lang w:eastAsia="en-IN"/>
        </w:rPr>
        <w:t xml:space="preserve">International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Journal of Agricultural Engineering</w:t>
      </w:r>
      <w:r w:rsidRPr="003E0ECF">
        <w:rPr>
          <w:rFonts w:ascii="Times New Roman" w:eastAsia="Times New Roman" w:hAnsi="Times New Roman" w:cs="Times New Roman"/>
          <w:color w:val="1B1C1D"/>
          <w:sz w:val="24"/>
          <w:szCs w:val="24"/>
          <w:lang w:eastAsia="en-IN"/>
        </w:rPr>
        <w:t>, 3(2): 199-204.   </w:t>
      </w:r>
    </w:p>
    <w:p w14:paraId="510130CE" w14:textId="0FF93E9E"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Jain, D. (2007). Development and testing of two stage evaporative cooler. </w:t>
      </w:r>
      <w:r w:rsidRPr="003E0ECF">
        <w:rPr>
          <w:rFonts w:ascii="Times New Roman" w:eastAsia="Times New Roman" w:hAnsi="Times New Roman" w:cs="Times New Roman"/>
          <w:i/>
          <w:iCs/>
          <w:color w:val="1B1C1D"/>
          <w:sz w:val="24"/>
          <w:szCs w:val="24"/>
          <w:lang w:eastAsia="en-IN"/>
        </w:rPr>
        <w:t xml:space="preserve">Building and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Environment</w:t>
      </w:r>
      <w:r w:rsidRPr="003E0ECF">
        <w:rPr>
          <w:rFonts w:ascii="Times New Roman" w:eastAsia="Times New Roman" w:hAnsi="Times New Roman" w:cs="Times New Roman"/>
          <w:color w:val="1B1C1D"/>
          <w:sz w:val="24"/>
          <w:szCs w:val="24"/>
          <w:lang w:eastAsia="en-IN"/>
        </w:rPr>
        <w:t>, 42: 2549–2554.   </w:t>
      </w:r>
    </w:p>
    <w:p w14:paraId="35BA3663" w14:textId="67E3F2C9"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Jha, S.N. (2008). Development of a pilot scale evaporative cooled storage structure for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fruits and vegetables in hot and dry reason. </w:t>
      </w:r>
      <w:r w:rsidRPr="003E0ECF">
        <w:rPr>
          <w:rFonts w:ascii="Times New Roman" w:eastAsia="Times New Roman" w:hAnsi="Times New Roman" w:cs="Times New Roman"/>
          <w:i/>
          <w:iCs/>
          <w:color w:val="1B1C1D"/>
          <w:sz w:val="24"/>
          <w:szCs w:val="24"/>
          <w:lang w:eastAsia="en-IN"/>
        </w:rPr>
        <w:t xml:space="preserve">J of Food </w:t>
      </w:r>
      <w:proofErr w:type="spellStart"/>
      <w:r w:rsidRPr="003E0ECF">
        <w:rPr>
          <w:rFonts w:ascii="Times New Roman" w:eastAsia="Times New Roman" w:hAnsi="Times New Roman" w:cs="Times New Roman"/>
          <w:i/>
          <w:iCs/>
          <w:color w:val="1B1C1D"/>
          <w:sz w:val="24"/>
          <w:szCs w:val="24"/>
          <w:lang w:eastAsia="en-IN"/>
        </w:rPr>
        <w:t>SciTechnol</w:t>
      </w:r>
      <w:proofErr w:type="spellEnd"/>
      <w:r w:rsidRPr="003E0ECF">
        <w:rPr>
          <w:rFonts w:ascii="Times New Roman" w:eastAsia="Times New Roman" w:hAnsi="Times New Roman" w:cs="Times New Roman"/>
          <w:color w:val="1B1C1D"/>
          <w:sz w:val="24"/>
          <w:szCs w:val="24"/>
          <w:lang w:eastAsia="en-IN"/>
        </w:rPr>
        <w:t>, 45: 148-151.   </w:t>
      </w:r>
    </w:p>
    <w:p w14:paraId="43C54EDA" w14:textId="4813F75D"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Kumari, S., Kumari, A., </w:t>
      </w:r>
      <w:proofErr w:type="spellStart"/>
      <w:r w:rsidRPr="003E0ECF">
        <w:rPr>
          <w:rFonts w:ascii="Times New Roman" w:eastAsia="Times New Roman" w:hAnsi="Times New Roman" w:cs="Times New Roman"/>
          <w:color w:val="1B1C1D"/>
          <w:sz w:val="24"/>
          <w:szCs w:val="24"/>
          <w:lang w:eastAsia="en-IN"/>
        </w:rPr>
        <w:t>Chudhary</w:t>
      </w:r>
      <w:proofErr w:type="spellEnd"/>
      <w:r w:rsidRPr="003E0ECF">
        <w:rPr>
          <w:rFonts w:ascii="Times New Roman" w:eastAsia="Times New Roman" w:hAnsi="Times New Roman" w:cs="Times New Roman"/>
          <w:color w:val="1B1C1D"/>
          <w:sz w:val="24"/>
          <w:szCs w:val="24"/>
          <w:lang w:eastAsia="en-IN"/>
        </w:rPr>
        <w:t xml:space="preserve">, H.C. and Singh, A.K. (2018). Studies on Storage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loss of Oyster Mushroom during Summer Season. </w:t>
      </w:r>
      <w:r w:rsidRPr="003E0ECF">
        <w:rPr>
          <w:rFonts w:ascii="Times New Roman" w:eastAsia="Times New Roman" w:hAnsi="Times New Roman" w:cs="Times New Roman"/>
          <w:i/>
          <w:iCs/>
          <w:color w:val="1B1C1D"/>
          <w:sz w:val="24"/>
          <w:szCs w:val="24"/>
          <w:lang w:eastAsia="en-IN"/>
        </w:rPr>
        <w:t xml:space="preserve">Journal of </w:t>
      </w:r>
      <w:proofErr w:type="spellStart"/>
      <w:r w:rsidRPr="003E0ECF">
        <w:rPr>
          <w:rFonts w:ascii="Times New Roman" w:eastAsia="Times New Roman" w:hAnsi="Times New Roman" w:cs="Times New Roman"/>
          <w:i/>
          <w:iCs/>
          <w:color w:val="1B1C1D"/>
          <w:sz w:val="24"/>
          <w:szCs w:val="24"/>
          <w:lang w:eastAsia="en-IN"/>
        </w:rPr>
        <w:t>Agrisearch</w:t>
      </w:r>
      <w:proofErr w:type="spellEnd"/>
      <w:r w:rsidRPr="003E0ECF">
        <w:rPr>
          <w:rFonts w:ascii="Times New Roman" w:eastAsia="Times New Roman" w:hAnsi="Times New Roman" w:cs="Times New Roman"/>
          <w:color w:val="1B1C1D"/>
          <w:sz w:val="24"/>
          <w:szCs w:val="24"/>
          <w:lang w:eastAsia="en-IN"/>
        </w:rPr>
        <w:t xml:space="preserve">, 5(4):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265-268.   </w:t>
      </w:r>
    </w:p>
    <w:p w14:paraId="036EE7B4" w14:textId="5B27E4B0"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Lata K, Singh S. (2015). Cost effective on farm storage zero energy cool chamber for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the</w:t>
      </w:r>
      <w:r w:rsidR="003E0ECF">
        <w:rPr>
          <w:rFonts w:ascii="Times New Roman" w:eastAsia="Times New Roman" w:hAnsi="Times New Roman" w:cs="Times New Roman"/>
          <w:color w:val="1B1C1D"/>
          <w:sz w:val="24"/>
          <w:szCs w:val="24"/>
          <w:lang w:eastAsia="en-IN"/>
        </w:rPr>
        <w:t xml:space="preserve"> </w:t>
      </w:r>
      <w:r w:rsidRPr="003E0ECF">
        <w:rPr>
          <w:rFonts w:ascii="Times New Roman" w:eastAsia="Times New Roman" w:hAnsi="Times New Roman" w:cs="Times New Roman"/>
          <w:color w:val="1B1C1D"/>
          <w:sz w:val="24"/>
          <w:szCs w:val="24"/>
          <w:lang w:eastAsia="en-IN"/>
        </w:rPr>
        <w:t>Gujarat. </w:t>
      </w:r>
      <w:r w:rsidRPr="003E0ECF">
        <w:rPr>
          <w:rFonts w:ascii="Times New Roman" w:eastAsia="Times New Roman" w:hAnsi="Times New Roman" w:cs="Times New Roman"/>
          <w:i/>
          <w:iCs/>
          <w:color w:val="1B1C1D"/>
          <w:sz w:val="24"/>
          <w:szCs w:val="24"/>
          <w:lang w:eastAsia="en-IN"/>
        </w:rPr>
        <w:t>The Asian J Hort</w:t>
      </w:r>
      <w:r w:rsidRPr="003E0ECF">
        <w:rPr>
          <w:rFonts w:ascii="Times New Roman" w:eastAsia="Times New Roman" w:hAnsi="Times New Roman" w:cs="Times New Roman"/>
          <w:color w:val="1B1C1D"/>
          <w:sz w:val="24"/>
          <w:szCs w:val="24"/>
          <w:lang w:eastAsia="en-IN"/>
        </w:rPr>
        <w:t>, 8(1): 50-53.   </w:t>
      </w:r>
    </w:p>
    <w:p w14:paraId="50BB8416" w14:textId="247D132C"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9813B1">
        <w:rPr>
          <w:rFonts w:ascii="Times New Roman" w:eastAsia="Times New Roman" w:hAnsi="Times New Roman" w:cs="Times New Roman"/>
          <w:color w:val="1B1C1D"/>
          <w:sz w:val="24"/>
          <w:szCs w:val="24"/>
          <w:lang w:val="pt-PT" w:eastAsia="en-IN"/>
        </w:rPr>
        <w:t xml:space="preserve">Mishra, A., Jha, S. K., &amp; Ojha, P. (2020). </w:t>
      </w:r>
      <w:r w:rsidRPr="003E0ECF">
        <w:rPr>
          <w:rFonts w:ascii="Times New Roman" w:eastAsia="Times New Roman" w:hAnsi="Times New Roman" w:cs="Times New Roman"/>
          <w:color w:val="1B1C1D"/>
          <w:sz w:val="24"/>
          <w:szCs w:val="24"/>
          <w:lang w:eastAsia="en-IN"/>
        </w:rPr>
        <w:t xml:space="preserve">Study on Zero energy cool chamber (ZECC)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for storage of vegetables. </w:t>
      </w:r>
      <w:r w:rsidRPr="003E0ECF">
        <w:rPr>
          <w:rFonts w:ascii="Times New Roman" w:eastAsia="Times New Roman" w:hAnsi="Times New Roman" w:cs="Times New Roman"/>
          <w:i/>
          <w:iCs/>
          <w:color w:val="1B1C1D"/>
          <w:sz w:val="24"/>
          <w:szCs w:val="24"/>
          <w:lang w:eastAsia="en-IN"/>
        </w:rPr>
        <w:t>Int J Sci Res Publication</w:t>
      </w:r>
      <w:r w:rsidRPr="003E0ECF">
        <w:rPr>
          <w:rFonts w:ascii="Times New Roman" w:eastAsia="Times New Roman" w:hAnsi="Times New Roman" w:cs="Times New Roman"/>
          <w:color w:val="1B1C1D"/>
          <w:sz w:val="24"/>
          <w:szCs w:val="24"/>
          <w:lang w:eastAsia="en-IN"/>
        </w:rPr>
        <w:t>, 10(1): 427-433.   </w:t>
      </w:r>
    </w:p>
    <w:p w14:paraId="44C71376" w14:textId="6D5553A7"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NABARD Consultancy Service </w:t>
      </w:r>
      <w:proofErr w:type="spellStart"/>
      <w:r w:rsidRPr="003E0ECF">
        <w:rPr>
          <w:rFonts w:ascii="Times New Roman" w:eastAsia="Times New Roman" w:hAnsi="Times New Roman" w:cs="Times New Roman"/>
          <w:color w:val="1B1C1D"/>
          <w:sz w:val="24"/>
          <w:szCs w:val="24"/>
          <w:lang w:eastAsia="en-IN"/>
        </w:rPr>
        <w:t>Pvt.</w:t>
      </w:r>
      <w:proofErr w:type="spellEnd"/>
      <w:r w:rsidRPr="003E0ECF">
        <w:rPr>
          <w:rFonts w:ascii="Times New Roman" w:eastAsia="Times New Roman" w:hAnsi="Times New Roman" w:cs="Times New Roman"/>
          <w:color w:val="1B1C1D"/>
          <w:sz w:val="24"/>
          <w:szCs w:val="24"/>
          <w:lang w:eastAsia="en-IN"/>
        </w:rPr>
        <w:t xml:space="preserve"> Ltd. (NABCONS). (2022). </w:t>
      </w:r>
      <w:r w:rsidRPr="003E0ECF">
        <w:rPr>
          <w:rFonts w:ascii="Times New Roman" w:eastAsia="Times New Roman" w:hAnsi="Times New Roman" w:cs="Times New Roman"/>
          <w:i/>
          <w:iCs/>
          <w:color w:val="1B1C1D"/>
          <w:sz w:val="24"/>
          <w:szCs w:val="24"/>
          <w:lang w:eastAsia="en-IN"/>
        </w:rPr>
        <w:t xml:space="preserve">Study to Determine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 xml:space="preserve">Post-Harvest Losses of Agri Produce in </w:t>
      </w:r>
      <w:proofErr w:type="gramStart"/>
      <w:r w:rsidRPr="003E0ECF">
        <w:rPr>
          <w:rFonts w:ascii="Times New Roman" w:eastAsia="Times New Roman" w:hAnsi="Times New Roman" w:cs="Times New Roman"/>
          <w:i/>
          <w:iCs/>
          <w:color w:val="1B1C1D"/>
          <w:sz w:val="24"/>
          <w:szCs w:val="24"/>
          <w:lang w:eastAsia="en-IN"/>
        </w:rPr>
        <w:t>India</w:t>
      </w:r>
      <w:r w:rsidRPr="003E0ECF">
        <w:rPr>
          <w:rFonts w:ascii="Times New Roman" w:eastAsia="Times New Roman" w:hAnsi="Times New Roman" w:cs="Times New Roman"/>
          <w:color w:val="1B1C1D"/>
          <w:sz w:val="24"/>
          <w:szCs w:val="24"/>
          <w:lang w:eastAsia="en-IN"/>
        </w:rPr>
        <w:t>..</w:t>
      </w:r>
      <w:proofErr w:type="gramEnd"/>
      <w:r w:rsidRPr="003E0ECF">
        <w:rPr>
          <w:rFonts w:ascii="Times New Roman" w:eastAsia="Times New Roman" w:hAnsi="Times New Roman" w:cs="Times New Roman"/>
          <w:color w:val="1B1C1D"/>
          <w:sz w:val="24"/>
          <w:szCs w:val="24"/>
          <w:lang w:eastAsia="en-IN"/>
        </w:rPr>
        <w:t>   </w:t>
      </w:r>
    </w:p>
    <w:p w14:paraId="24427D0C" w14:textId="7D77113F"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Roy, S.K. and </w:t>
      </w:r>
      <w:proofErr w:type="spellStart"/>
      <w:r w:rsidRPr="003E0ECF">
        <w:rPr>
          <w:rFonts w:ascii="Times New Roman" w:eastAsia="Times New Roman" w:hAnsi="Times New Roman" w:cs="Times New Roman"/>
          <w:color w:val="1B1C1D"/>
          <w:sz w:val="24"/>
          <w:szCs w:val="24"/>
          <w:lang w:eastAsia="en-IN"/>
        </w:rPr>
        <w:t>Khurdia</w:t>
      </w:r>
      <w:proofErr w:type="spellEnd"/>
      <w:r w:rsidRPr="003E0ECF">
        <w:rPr>
          <w:rFonts w:ascii="Times New Roman" w:eastAsia="Times New Roman" w:hAnsi="Times New Roman" w:cs="Times New Roman"/>
          <w:color w:val="1B1C1D"/>
          <w:sz w:val="24"/>
          <w:szCs w:val="24"/>
          <w:lang w:eastAsia="en-IN"/>
        </w:rPr>
        <w:t>, D.S. (1983). </w:t>
      </w:r>
      <w:r w:rsidRPr="003E0ECF">
        <w:rPr>
          <w:rFonts w:ascii="Times New Roman" w:eastAsia="Times New Roman" w:hAnsi="Times New Roman" w:cs="Times New Roman"/>
          <w:i/>
          <w:iCs/>
          <w:color w:val="1B1C1D"/>
          <w:sz w:val="24"/>
          <w:szCs w:val="24"/>
          <w:lang w:eastAsia="en-IN"/>
        </w:rPr>
        <w:t xml:space="preserve">Development of Zero Energy Cool Chamber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(ZECC)</w:t>
      </w:r>
      <w:r w:rsidRPr="003E0ECF">
        <w:rPr>
          <w:rFonts w:ascii="Times New Roman" w:eastAsia="Times New Roman" w:hAnsi="Times New Roman" w:cs="Times New Roman"/>
          <w:color w:val="1B1C1D"/>
          <w:sz w:val="24"/>
          <w:szCs w:val="24"/>
          <w:lang w:eastAsia="en-IN"/>
        </w:rPr>
        <w:t>. (Cited as initial development of ZECC).   </w:t>
      </w:r>
    </w:p>
    <w:p w14:paraId="25C3ED68" w14:textId="2A8DF543"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Singh, S., Singh, A.K., Joshi, H.K., Lata, K., </w:t>
      </w:r>
      <w:proofErr w:type="spellStart"/>
      <w:r w:rsidRPr="003E0ECF">
        <w:rPr>
          <w:rFonts w:ascii="Times New Roman" w:eastAsia="Times New Roman" w:hAnsi="Times New Roman" w:cs="Times New Roman"/>
          <w:color w:val="1B1C1D"/>
          <w:sz w:val="24"/>
          <w:szCs w:val="24"/>
          <w:lang w:eastAsia="en-IN"/>
        </w:rPr>
        <w:t>Bagle</w:t>
      </w:r>
      <w:proofErr w:type="spellEnd"/>
      <w:r w:rsidRPr="003E0ECF">
        <w:rPr>
          <w:rFonts w:ascii="Times New Roman" w:eastAsia="Times New Roman" w:hAnsi="Times New Roman" w:cs="Times New Roman"/>
          <w:color w:val="1B1C1D"/>
          <w:sz w:val="24"/>
          <w:szCs w:val="24"/>
          <w:lang w:eastAsia="en-IN"/>
        </w:rPr>
        <w:t xml:space="preserve">, B.G. and More, T.A. (2010). Effect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of zero energy cool chamber and postharvest treatments on shelf-life of fruits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under semi-arid environment of Western India. Part 1. Ber fruits. </w:t>
      </w:r>
      <w:r w:rsidRPr="003E0ECF">
        <w:rPr>
          <w:rFonts w:ascii="Times New Roman" w:eastAsia="Times New Roman" w:hAnsi="Times New Roman" w:cs="Times New Roman"/>
          <w:i/>
          <w:iCs/>
          <w:color w:val="1B1C1D"/>
          <w:sz w:val="24"/>
          <w:szCs w:val="24"/>
          <w:lang w:eastAsia="en-IN"/>
        </w:rPr>
        <w:t xml:space="preserve">J Food Sci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and Tech</w:t>
      </w:r>
      <w:r w:rsidRPr="003E0ECF">
        <w:rPr>
          <w:rFonts w:ascii="Times New Roman" w:eastAsia="Times New Roman" w:hAnsi="Times New Roman" w:cs="Times New Roman"/>
          <w:color w:val="1B1C1D"/>
          <w:sz w:val="24"/>
          <w:szCs w:val="24"/>
          <w:lang w:eastAsia="en-IN"/>
        </w:rPr>
        <w:t>, 47(4): 446–449.   </w:t>
      </w:r>
    </w:p>
    <w:p w14:paraId="68778386" w14:textId="2306D5E5"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t xml:space="preserve">Singh, S., Singh, A.K., Joshi, H.K., </w:t>
      </w:r>
      <w:proofErr w:type="spellStart"/>
      <w:r w:rsidRPr="003E0ECF">
        <w:rPr>
          <w:rFonts w:ascii="Times New Roman" w:eastAsia="Times New Roman" w:hAnsi="Times New Roman" w:cs="Times New Roman"/>
          <w:color w:val="1B1C1D"/>
          <w:sz w:val="24"/>
          <w:szCs w:val="24"/>
          <w:lang w:eastAsia="en-IN"/>
        </w:rPr>
        <w:t>Bagle</w:t>
      </w:r>
      <w:proofErr w:type="spellEnd"/>
      <w:r w:rsidRPr="003E0ECF">
        <w:rPr>
          <w:rFonts w:ascii="Times New Roman" w:eastAsia="Times New Roman" w:hAnsi="Times New Roman" w:cs="Times New Roman"/>
          <w:color w:val="1B1C1D"/>
          <w:sz w:val="24"/>
          <w:szCs w:val="24"/>
          <w:lang w:eastAsia="en-IN"/>
        </w:rPr>
        <w:t xml:space="preserve">, B.G. and More, T.A. (2007b). Prolonging </w:t>
      </w:r>
      <w:r w:rsidR="003E0ECF">
        <w:rPr>
          <w:rFonts w:ascii="Times New Roman" w:eastAsia="Times New Roman" w:hAnsi="Times New Roman" w:cs="Times New Roman"/>
          <w:color w:val="1B1C1D"/>
          <w:sz w:val="24"/>
          <w:szCs w:val="24"/>
          <w:lang w:eastAsia="en-IN"/>
        </w:rPr>
        <w:tab/>
      </w:r>
      <w:r w:rsidRPr="003E0ECF">
        <w:rPr>
          <w:rFonts w:ascii="Times New Roman" w:eastAsia="Times New Roman" w:hAnsi="Times New Roman" w:cs="Times New Roman"/>
          <w:color w:val="1B1C1D"/>
          <w:sz w:val="24"/>
          <w:szCs w:val="24"/>
          <w:lang w:eastAsia="en-IN"/>
        </w:rPr>
        <w:t xml:space="preserve">shelf life of </w:t>
      </w:r>
      <w:proofErr w:type="spellStart"/>
      <w:r w:rsidRPr="003E0ECF">
        <w:rPr>
          <w:rFonts w:ascii="Times New Roman" w:eastAsia="Times New Roman" w:hAnsi="Times New Roman" w:cs="Times New Roman"/>
          <w:color w:val="1B1C1D"/>
          <w:sz w:val="24"/>
          <w:szCs w:val="24"/>
          <w:lang w:eastAsia="en-IN"/>
        </w:rPr>
        <w:t>ber</w:t>
      </w:r>
      <w:proofErr w:type="spellEnd"/>
      <w:r w:rsidRPr="003E0ECF">
        <w:rPr>
          <w:rFonts w:ascii="Times New Roman" w:eastAsia="Times New Roman" w:hAnsi="Times New Roman" w:cs="Times New Roman"/>
          <w:color w:val="1B1C1D"/>
          <w:sz w:val="24"/>
          <w:szCs w:val="24"/>
          <w:lang w:eastAsia="en-IN"/>
        </w:rPr>
        <w:t xml:space="preserve"> under </w:t>
      </w:r>
      <w:proofErr w:type="spellStart"/>
      <w:r w:rsidRPr="003E0ECF">
        <w:rPr>
          <w:rFonts w:ascii="Times New Roman" w:eastAsia="Times New Roman" w:hAnsi="Times New Roman" w:cs="Times New Roman"/>
          <w:color w:val="1B1C1D"/>
          <w:sz w:val="24"/>
          <w:szCs w:val="24"/>
          <w:lang w:eastAsia="en-IN"/>
        </w:rPr>
        <w:t>semi arid</w:t>
      </w:r>
      <w:proofErr w:type="spellEnd"/>
      <w:r w:rsidRPr="003E0ECF">
        <w:rPr>
          <w:rFonts w:ascii="Times New Roman" w:eastAsia="Times New Roman" w:hAnsi="Times New Roman" w:cs="Times New Roman"/>
          <w:color w:val="1B1C1D"/>
          <w:sz w:val="24"/>
          <w:szCs w:val="24"/>
          <w:lang w:eastAsia="en-IN"/>
        </w:rPr>
        <w:t xml:space="preserve"> environment. </w:t>
      </w:r>
      <w:r w:rsidRPr="003E0ECF">
        <w:rPr>
          <w:rFonts w:ascii="Times New Roman" w:eastAsia="Times New Roman" w:hAnsi="Times New Roman" w:cs="Times New Roman"/>
          <w:i/>
          <w:iCs/>
          <w:color w:val="1B1C1D"/>
          <w:sz w:val="24"/>
          <w:szCs w:val="24"/>
          <w:lang w:eastAsia="en-IN"/>
        </w:rPr>
        <w:t>Indian J. Arid Hort.</w:t>
      </w:r>
      <w:r w:rsidRPr="003E0ECF">
        <w:rPr>
          <w:rFonts w:ascii="Times New Roman" w:eastAsia="Times New Roman" w:hAnsi="Times New Roman" w:cs="Times New Roman"/>
          <w:color w:val="1B1C1D"/>
          <w:sz w:val="24"/>
          <w:szCs w:val="24"/>
          <w:lang w:eastAsia="en-IN"/>
        </w:rPr>
        <w:t>, 2: 40-44.   </w:t>
      </w:r>
    </w:p>
    <w:p w14:paraId="4BFD963A" w14:textId="584881C4" w:rsidR="005D7687" w:rsidRPr="003E0ECF" w:rsidRDefault="005D7687" w:rsidP="003E0ECF">
      <w:pPr>
        <w:pStyle w:val="ListParagraph"/>
        <w:numPr>
          <w:ilvl w:val="0"/>
          <w:numId w:val="1"/>
        </w:numPr>
        <w:shd w:val="clear" w:color="auto" w:fill="FFFFFF"/>
        <w:spacing w:after="240" w:line="360" w:lineRule="auto"/>
        <w:jc w:val="both"/>
        <w:rPr>
          <w:rFonts w:ascii="Times New Roman" w:eastAsia="Times New Roman" w:hAnsi="Times New Roman" w:cs="Times New Roman"/>
          <w:color w:val="1B1C1D"/>
          <w:sz w:val="24"/>
          <w:szCs w:val="24"/>
          <w:lang w:eastAsia="en-IN"/>
        </w:rPr>
      </w:pPr>
      <w:r w:rsidRPr="003E0ECF">
        <w:rPr>
          <w:rFonts w:ascii="Times New Roman" w:eastAsia="Times New Roman" w:hAnsi="Times New Roman" w:cs="Times New Roman"/>
          <w:color w:val="1B1C1D"/>
          <w:sz w:val="24"/>
          <w:szCs w:val="24"/>
          <w:lang w:eastAsia="en-IN"/>
        </w:rPr>
        <w:lastRenderedPageBreak/>
        <w:t>William and G. Tucker. (1991). </w:t>
      </w:r>
      <w:r w:rsidRPr="003E0ECF">
        <w:rPr>
          <w:rFonts w:ascii="Times New Roman" w:eastAsia="Times New Roman" w:hAnsi="Times New Roman" w:cs="Times New Roman"/>
          <w:i/>
          <w:iCs/>
          <w:color w:val="1B1C1D"/>
          <w:sz w:val="24"/>
          <w:szCs w:val="24"/>
          <w:lang w:eastAsia="en-IN"/>
        </w:rPr>
        <w:t xml:space="preserve">Storing vegetables, the complete know and grow </w:t>
      </w:r>
      <w:r w:rsidR="003E0ECF">
        <w:rPr>
          <w:rFonts w:ascii="Times New Roman" w:eastAsia="Times New Roman" w:hAnsi="Times New Roman" w:cs="Times New Roman"/>
          <w:i/>
          <w:iCs/>
          <w:color w:val="1B1C1D"/>
          <w:sz w:val="24"/>
          <w:szCs w:val="24"/>
          <w:lang w:eastAsia="en-IN"/>
        </w:rPr>
        <w:tab/>
      </w:r>
      <w:r w:rsidRPr="003E0ECF">
        <w:rPr>
          <w:rFonts w:ascii="Times New Roman" w:eastAsia="Times New Roman" w:hAnsi="Times New Roman" w:cs="Times New Roman"/>
          <w:i/>
          <w:iCs/>
          <w:color w:val="1B1C1D"/>
          <w:sz w:val="24"/>
          <w:szCs w:val="24"/>
          <w:lang w:eastAsia="en-IN"/>
        </w:rPr>
        <w:t>vegetables</w:t>
      </w:r>
      <w:r w:rsidRPr="003E0ECF">
        <w:rPr>
          <w:rFonts w:ascii="Times New Roman" w:eastAsia="Times New Roman" w:hAnsi="Times New Roman" w:cs="Times New Roman"/>
          <w:color w:val="1B1C1D"/>
          <w:sz w:val="24"/>
          <w:szCs w:val="24"/>
          <w:lang w:eastAsia="en-IN"/>
        </w:rPr>
        <w:t>. Oxford University Press, New York.   </w:t>
      </w:r>
    </w:p>
    <w:p w14:paraId="72999513" w14:textId="77777777" w:rsidR="005D7687" w:rsidRPr="005D7687" w:rsidRDefault="005D7687" w:rsidP="003E0ECF">
      <w:pPr>
        <w:spacing w:line="360" w:lineRule="auto"/>
        <w:jc w:val="both"/>
        <w:rPr>
          <w:rFonts w:ascii="Times New Roman" w:hAnsi="Times New Roman" w:cs="Times New Roman"/>
          <w:sz w:val="24"/>
          <w:szCs w:val="22"/>
        </w:rPr>
      </w:pPr>
    </w:p>
    <w:sectPr w:rsidR="005D7687" w:rsidRPr="005D7687" w:rsidSect="003B484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MA K" w:date="2026-04-03T15:07:00Z" w:initials="HK">
    <w:p w14:paraId="741E1D2D" w14:textId="548EFC24" w:rsidR="009813B1" w:rsidRPr="009813B1" w:rsidRDefault="009813B1">
      <w:pPr>
        <w:pStyle w:val="CommentText"/>
        <w:rPr>
          <w:lang w:val="en-US"/>
        </w:rPr>
      </w:pPr>
      <w:r>
        <w:rPr>
          <w:rStyle w:val="CommentReference"/>
        </w:rPr>
        <w:annotationRef/>
      </w:r>
      <w:r>
        <w:rPr>
          <w:lang w:val="en-US"/>
        </w:rPr>
        <w:t>Add which</w:t>
      </w:r>
    </w:p>
  </w:comment>
  <w:comment w:id="1" w:author="HEMA K" w:date="2026-04-03T15:08:00Z" w:initials="HK">
    <w:p w14:paraId="2243A862" w14:textId="2F589BDE" w:rsidR="009813B1" w:rsidRDefault="009813B1">
      <w:pPr>
        <w:pStyle w:val="CommentText"/>
      </w:pPr>
      <w:r>
        <w:rPr>
          <w:rStyle w:val="CommentReference"/>
        </w:rPr>
        <w:annotationRef/>
      </w:r>
      <w:r>
        <w:t>Add the</w:t>
      </w:r>
    </w:p>
  </w:comment>
  <w:comment w:id="2" w:author="HEMA K" w:date="2026-04-03T15:12:00Z" w:initials="HK">
    <w:p w14:paraId="43F6EA76" w14:textId="4E4CC270" w:rsidR="00552154" w:rsidRDefault="00552154">
      <w:pPr>
        <w:pStyle w:val="CommentText"/>
      </w:pPr>
      <w:r>
        <w:rPr>
          <w:rStyle w:val="CommentReference"/>
        </w:rPr>
        <w:annotationRef/>
      </w:r>
      <w:r>
        <w:t>a</w:t>
      </w:r>
    </w:p>
  </w:comment>
  <w:comment w:id="3" w:author="HEMA K" w:date="2026-04-03T15:12:00Z" w:initials="HK">
    <w:p w14:paraId="1B061F21" w14:textId="23102DB2" w:rsidR="00552154" w:rsidRDefault="00552154">
      <w:pPr>
        <w:pStyle w:val="CommentText"/>
      </w:pPr>
      <w:r>
        <w:rPr>
          <w:rStyle w:val="CommentReference"/>
        </w:rPr>
        <w:annotationRef/>
      </w:r>
      <w:r>
        <w:t>vegetables</w:t>
      </w:r>
    </w:p>
  </w:comment>
  <w:comment w:id="4" w:author="HEMA K" w:date="2026-04-03T15:13:00Z" w:initials="HK">
    <w:p w14:paraId="6212C70D" w14:textId="5328252F" w:rsidR="00552154" w:rsidRDefault="00552154">
      <w:pPr>
        <w:pStyle w:val="CommentText"/>
      </w:pPr>
      <w:r>
        <w:rPr>
          <w:rStyle w:val="CommentReference"/>
        </w:rPr>
        <w:annotationRef/>
      </w:r>
      <w:r>
        <w:t>modified the sentence</w:t>
      </w:r>
    </w:p>
  </w:comment>
  <w:comment w:id="5" w:author="HEMA K" w:date="2026-04-03T15:14:00Z" w:initials="HK">
    <w:p w14:paraId="41416F77" w14:textId="2DABEE24" w:rsidR="00552154" w:rsidRDefault="00552154">
      <w:pPr>
        <w:pStyle w:val="CommentText"/>
      </w:pPr>
      <w:r>
        <w:rPr>
          <w:rStyle w:val="CommentReference"/>
        </w:rPr>
        <w:annotationRef/>
      </w:r>
      <w:r>
        <w:t>what is this? Not understanding</w:t>
      </w:r>
    </w:p>
  </w:comment>
  <w:comment w:id="6" w:author="HEMA K" w:date="2026-04-03T15:15:00Z" w:initials="HK">
    <w:p w14:paraId="2C2D3707" w14:textId="7D6BB6C7" w:rsidR="00552154" w:rsidRDefault="00552154">
      <w:pPr>
        <w:pStyle w:val="CommentText"/>
      </w:pPr>
      <w:r>
        <w:rPr>
          <w:rStyle w:val="CommentReference"/>
        </w:rPr>
        <w:annotationRef/>
      </w:r>
      <w:r>
        <w:t>check font</w:t>
      </w:r>
    </w:p>
  </w:comment>
  <w:comment w:id="7" w:author="HEMA K" w:date="2026-04-03T15:17:00Z" w:initials="HK">
    <w:p w14:paraId="7678B6A5" w14:textId="5D1EEF91" w:rsidR="00552154" w:rsidRDefault="00552154">
      <w:pPr>
        <w:pStyle w:val="CommentText"/>
      </w:pPr>
      <w:r>
        <w:rPr>
          <w:rStyle w:val="CommentReference"/>
        </w:rPr>
        <w:annotationRef/>
      </w:r>
      <w:r>
        <w:t>at what temperature?</w:t>
      </w:r>
    </w:p>
  </w:comment>
  <w:comment w:id="8" w:author="HEMA K" w:date="2026-04-03T15:19:00Z" w:initials="HK">
    <w:p w14:paraId="2C659904" w14:textId="3B5A9DE3" w:rsidR="00552154" w:rsidRDefault="00552154">
      <w:pPr>
        <w:pStyle w:val="CommentText"/>
      </w:pPr>
      <w:r>
        <w:rPr>
          <w:rStyle w:val="CommentReference"/>
        </w:rPr>
        <w:annotationRef/>
      </w:r>
      <w:r>
        <w:t>corrected</w:t>
      </w:r>
    </w:p>
  </w:comment>
  <w:comment w:id="9" w:author="HEMA K" w:date="2026-04-03T15:19:00Z" w:initials="HK">
    <w:p w14:paraId="26F48AA1" w14:textId="7A285437" w:rsidR="00552154" w:rsidRDefault="00552154">
      <w:pPr>
        <w:pStyle w:val="CommentText"/>
      </w:pPr>
      <w:r>
        <w:rPr>
          <w:rStyle w:val="CommentReference"/>
        </w:rPr>
        <w:annotationRef/>
      </w:r>
      <w:r>
        <w:t>were</w:t>
      </w:r>
    </w:p>
  </w:comment>
  <w:comment w:id="10" w:author="HEMA K" w:date="2026-04-03T15:20:00Z" w:initials="HK">
    <w:p w14:paraId="35C35A7F" w14:textId="50EC2DC1" w:rsidR="004B1595" w:rsidRDefault="004B1595">
      <w:pPr>
        <w:pStyle w:val="CommentText"/>
      </w:pPr>
      <w:r>
        <w:rPr>
          <w:rStyle w:val="CommentReference"/>
        </w:rPr>
        <w:annotationRef/>
      </w:r>
      <w:r>
        <w:t>write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1E1D2D" w15:done="0"/>
  <w15:commentEx w15:paraId="2243A862" w15:done="0"/>
  <w15:commentEx w15:paraId="43F6EA76" w15:done="0"/>
  <w15:commentEx w15:paraId="1B061F21" w15:done="0"/>
  <w15:commentEx w15:paraId="6212C70D" w15:done="0"/>
  <w15:commentEx w15:paraId="41416F77" w15:done="0"/>
  <w15:commentEx w15:paraId="2C2D3707" w15:done="0"/>
  <w15:commentEx w15:paraId="7678B6A5" w15:done="0"/>
  <w15:commentEx w15:paraId="2C659904" w15:done="0"/>
  <w15:commentEx w15:paraId="26F48AA1" w15:done="0"/>
  <w15:commentEx w15:paraId="35C35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DAE2A" w16cex:dateUtc="2026-04-03T09:37:00Z"/>
  <w16cex:commentExtensible w16cex:durableId="6F601707" w16cex:dateUtc="2026-04-03T09:38:00Z"/>
  <w16cex:commentExtensible w16cex:durableId="27E52B1E" w16cex:dateUtc="2026-04-03T09:42:00Z"/>
  <w16cex:commentExtensible w16cex:durableId="29CD3327" w16cex:dateUtc="2026-04-03T09:42:00Z"/>
  <w16cex:commentExtensible w16cex:durableId="29791681" w16cex:dateUtc="2026-04-03T09:43:00Z"/>
  <w16cex:commentExtensible w16cex:durableId="6FAA8B01" w16cex:dateUtc="2026-04-03T09:44:00Z"/>
  <w16cex:commentExtensible w16cex:durableId="6DB40358" w16cex:dateUtc="2026-04-03T09:45:00Z"/>
  <w16cex:commentExtensible w16cex:durableId="04A55815" w16cex:dateUtc="2026-04-03T09:47:00Z"/>
  <w16cex:commentExtensible w16cex:durableId="5BE1546C" w16cex:dateUtc="2026-04-03T09:49:00Z"/>
  <w16cex:commentExtensible w16cex:durableId="797C1150" w16cex:dateUtc="2026-04-03T09:49:00Z"/>
  <w16cex:commentExtensible w16cex:durableId="3FC9970C" w16cex:dateUtc="2026-04-03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1E1D2D" w16cid:durableId="315DAE2A"/>
  <w16cid:commentId w16cid:paraId="2243A862" w16cid:durableId="6F601707"/>
  <w16cid:commentId w16cid:paraId="43F6EA76" w16cid:durableId="27E52B1E"/>
  <w16cid:commentId w16cid:paraId="1B061F21" w16cid:durableId="29CD3327"/>
  <w16cid:commentId w16cid:paraId="6212C70D" w16cid:durableId="29791681"/>
  <w16cid:commentId w16cid:paraId="41416F77" w16cid:durableId="6FAA8B01"/>
  <w16cid:commentId w16cid:paraId="2C2D3707" w16cid:durableId="6DB40358"/>
  <w16cid:commentId w16cid:paraId="7678B6A5" w16cid:durableId="04A55815"/>
  <w16cid:commentId w16cid:paraId="2C659904" w16cid:durableId="5BE1546C"/>
  <w16cid:commentId w16cid:paraId="26F48AA1" w16cid:durableId="797C1150"/>
  <w16cid:commentId w16cid:paraId="35C35A7F" w16cid:durableId="3FC99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687F" w14:textId="77777777" w:rsidR="001E2953" w:rsidRDefault="001E2953" w:rsidP="0052080A">
      <w:pPr>
        <w:spacing w:after="0" w:line="240" w:lineRule="auto"/>
      </w:pPr>
      <w:r>
        <w:separator/>
      </w:r>
    </w:p>
  </w:endnote>
  <w:endnote w:type="continuationSeparator" w:id="0">
    <w:p w14:paraId="62DF61BD" w14:textId="77777777" w:rsidR="001E2953" w:rsidRDefault="001E2953" w:rsidP="0052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A615" w14:textId="77777777" w:rsidR="003B4848" w:rsidRDefault="003B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7AA1" w14:textId="77777777" w:rsidR="003B4848" w:rsidRDefault="003B4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52C1" w14:textId="77777777" w:rsidR="003B4848" w:rsidRDefault="003B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7294" w14:textId="77777777" w:rsidR="001E2953" w:rsidRDefault="001E2953" w:rsidP="0052080A">
      <w:pPr>
        <w:spacing w:after="0" w:line="240" w:lineRule="auto"/>
      </w:pPr>
      <w:r>
        <w:separator/>
      </w:r>
    </w:p>
  </w:footnote>
  <w:footnote w:type="continuationSeparator" w:id="0">
    <w:p w14:paraId="243DAF3A" w14:textId="77777777" w:rsidR="001E2953" w:rsidRDefault="001E2953" w:rsidP="0052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6152" w14:textId="464EE26F" w:rsidR="003B4848" w:rsidRDefault="00000000">
    <w:pPr>
      <w:pStyle w:val="Header"/>
    </w:pPr>
    <w:r>
      <w:rPr>
        <w:noProof/>
      </w:rPr>
      <w:pict w14:anchorId="23CE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A9CF" w14:textId="3AF98542" w:rsidR="003B4848" w:rsidRDefault="00000000">
    <w:pPr>
      <w:pStyle w:val="Header"/>
    </w:pPr>
    <w:r>
      <w:rPr>
        <w:noProof/>
      </w:rPr>
      <w:pict w14:anchorId="39102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B131" w14:textId="2AC5E19F" w:rsidR="003B4848" w:rsidRDefault="00000000">
    <w:pPr>
      <w:pStyle w:val="Header"/>
    </w:pPr>
    <w:r>
      <w:rPr>
        <w:noProof/>
      </w:rPr>
      <w:pict w14:anchorId="5C2FA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001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7768E"/>
    <w:multiLevelType w:val="hybridMultilevel"/>
    <w:tmpl w:val="072EE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9992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MA K">
    <w15:presenceInfo w15:providerId="Windows Live" w15:userId="d67016283a1d0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87"/>
    <w:rsid w:val="00031EE6"/>
    <w:rsid w:val="0004388F"/>
    <w:rsid w:val="00093726"/>
    <w:rsid w:val="0017622B"/>
    <w:rsid w:val="001E2953"/>
    <w:rsid w:val="00302BB0"/>
    <w:rsid w:val="003B4848"/>
    <w:rsid w:val="003E0ECF"/>
    <w:rsid w:val="004B1595"/>
    <w:rsid w:val="0052080A"/>
    <w:rsid w:val="00552154"/>
    <w:rsid w:val="005D7687"/>
    <w:rsid w:val="00743674"/>
    <w:rsid w:val="009813B1"/>
    <w:rsid w:val="00982ABC"/>
    <w:rsid w:val="00A1462E"/>
    <w:rsid w:val="00A74455"/>
    <w:rsid w:val="00B769CE"/>
    <w:rsid w:val="00BE618B"/>
    <w:rsid w:val="00C6716B"/>
    <w:rsid w:val="00C81D65"/>
    <w:rsid w:val="00C83561"/>
    <w:rsid w:val="00C84A18"/>
    <w:rsid w:val="00C8696B"/>
    <w:rsid w:val="00CC5958"/>
    <w:rsid w:val="00DD08C5"/>
    <w:rsid w:val="00DD61AB"/>
    <w:rsid w:val="00E079FB"/>
    <w:rsid w:val="00EB67C8"/>
    <w:rsid w:val="00EC57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9BC9"/>
  <w15:chartTrackingRefBased/>
  <w15:docId w15:val="{1D8BDDDF-FB29-486F-959F-88BA8373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CF"/>
    <w:pPr>
      <w:ind w:left="720"/>
      <w:contextualSpacing/>
    </w:pPr>
  </w:style>
  <w:style w:type="character" w:styleId="LineNumber">
    <w:name w:val="line number"/>
    <w:basedOn w:val="DefaultParagraphFont"/>
    <w:uiPriority w:val="99"/>
    <w:semiHidden/>
    <w:unhideWhenUsed/>
    <w:rsid w:val="0052080A"/>
  </w:style>
  <w:style w:type="paragraph" w:styleId="Header">
    <w:name w:val="header"/>
    <w:basedOn w:val="Normal"/>
    <w:link w:val="HeaderChar"/>
    <w:uiPriority w:val="99"/>
    <w:unhideWhenUsed/>
    <w:rsid w:val="00520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80A"/>
  </w:style>
  <w:style w:type="paragraph" w:styleId="Footer">
    <w:name w:val="footer"/>
    <w:basedOn w:val="Normal"/>
    <w:link w:val="FooterChar"/>
    <w:uiPriority w:val="99"/>
    <w:unhideWhenUsed/>
    <w:rsid w:val="00520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80A"/>
  </w:style>
  <w:style w:type="character" w:styleId="Hyperlink">
    <w:name w:val="Hyperlink"/>
    <w:basedOn w:val="DefaultParagraphFont"/>
    <w:uiPriority w:val="99"/>
    <w:unhideWhenUsed/>
    <w:rsid w:val="00EB67C8"/>
    <w:rPr>
      <w:color w:val="0563C1" w:themeColor="hyperlink"/>
      <w:u w:val="single"/>
    </w:rPr>
  </w:style>
  <w:style w:type="character" w:styleId="UnresolvedMention">
    <w:name w:val="Unresolved Mention"/>
    <w:basedOn w:val="DefaultParagraphFont"/>
    <w:uiPriority w:val="99"/>
    <w:semiHidden/>
    <w:unhideWhenUsed/>
    <w:rsid w:val="00EB67C8"/>
    <w:rPr>
      <w:color w:val="605E5C"/>
      <w:shd w:val="clear" w:color="auto" w:fill="E1DFDD"/>
    </w:rPr>
  </w:style>
  <w:style w:type="character" w:styleId="CommentReference">
    <w:name w:val="annotation reference"/>
    <w:basedOn w:val="DefaultParagraphFont"/>
    <w:uiPriority w:val="99"/>
    <w:semiHidden/>
    <w:unhideWhenUsed/>
    <w:rsid w:val="009813B1"/>
    <w:rPr>
      <w:sz w:val="16"/>
      <w:szCs w:val="16"/>
    </w:rPr>
  </w:style>
  <w:style w:type="paragraph" w:styleId="CommentText">
    <w:name w:val="annotation text"/>
    <w:basedOn w:val="Normal"/>
    <w:link w:val="CommentTextChar"/>
    <w:uiPriority w:val="99"/>
    <w:semiHidden/>
    <w:unhideWhenUsed/>
    <w:rsid w:val="009813B1"/>
    <w:pPr>
      <w:spacing w:line="240" w:lineRule="auto"/>
    </w:pPr>
    <w:rPr>
      <w:sz w:val="20"/>
      <w:szCs w:val="18"/>
    </w:rPr>
  </w:style>
  <w:style w:type="character" w:customStyle="1" w:styleId="CommentTextChar">
    <w:name w:val="Comment Text Char"/>
    <w:basedOn w:val="DefaultParagraphFont"/>
    <w:link w:val="CommentText"/>
    <w:uiPriority w:val="99"/>
    <w:semiHidden/>
    <w:rsid w:val="009813B1"/>
    <w:rPr>
      <w:sz w:val="20"/>
      <w:szCs w:val="18"/>
    </w:rPr>
  </w:style>
  <w:style w:type="paragraph" w:styleId="CommentSubject">
    <w:name w:val="annotation subject"/>
    <w:basedOn w:val="CommentText"/>
    <w:next w:val="CommentText"/>
    <w:link w:val="CommentSubjectChar"/>
    <w:uiPriority w:val="99"/>
    <w:semiHidden/>
    <w:unhideWhenUsed/>
    <w:rsid w:val="009813B1"/>
    <w:rPr>
      <w:b/>
      <w:bCs/>
    </w:rPr>
  </w:style>
  <w:style w:type="character" w:customStyle="1" w:styleId="CommentSubjectChar">
    <w:name w:val="Comment Subject Char"/>
    <w:basedOn w:val="CommentTextChar"/>
    <w:link w:val="CommentSubject"/>
    <w:uiPriority w:val="99"/>
    <w:semiHidden/>
    <w:rsid w:val="009813B1"/>
    <w:rPr>
      <w:b/>
      <w:bCs/>
      <w:sz w:val="20"/>
      <w:szCs w:val="18"/>
    </w:rPr>
  </w:style>
  <w:style w:type="paragraph" w:styleId="Revision">
    <w:name w:val="Revision"/>
    <w:hidden/>
    <w:uiPriority w:val="99"/>
    <w:semiHidden/>
    <w:rsid w:val="00552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87450">
      <w:bodyDiv w:val="1"/>
      <w:marLeft w:val="0"/>
      <w:marRight w:val="0"/>
      <w:marTop w:val="0"/>
      <w:marBottom w:val="0"/>
      <w:divBdr>
        <w:top w:val="none" w:sz="0" w:space="0" w:color="auto"/>
        <w:left w:val="none" w:sz="0" w:space="0" w:color="auto"/>
        <w:bottom w:val="none" w:sz="0" w:space="0" w:color="auto"/>
        <w:right w:val="none" w:sz="0" w:space="0" w:color="auto"/>
      </w:divBdr>
      <w:divsChild>
        <w:div w:id="967126587">
          <w:marLeft w:val="0"/>
          <w:marRight w:val="0"/>
          <w:marTop w:val="0"/>
          <w:marBottom w:val="0"/>
          <w:divBdr>
            <w:top w:val="none" w:sz="0" w:space="0" w:color="auto"/>
            <w:left w:val="none" w:sz="0" w:space="0" w:color="auto"/>
            <w:bottom w:val="none" w:sz="0" w:space="0" w:color="auto"/>
            <w:right w:val="none" w:sz="0" w:space="0" w:color="auto"/>
          </w:divBdr>
          <w:divsChild>
            <w:div w:id="1226603260">
              <w:marLeft w:val="0"/>
              <w:marRight w:val="0"/>
              <w:marTop w:val="0"/>
              <w:marBottom w:val="0"/>
              <w:divBdr>
                <w:top w:val="none" w:sz="0" w:space="0" w:color="auto"/>
                <w:left w:val="none" w:sz="0" w:space="0" w:color="auto"/>
                <w:bottom w:val="none" w:sz="0" w:space="0" w:color="auto"/>
                <w:right w:val="none" w:sz="0" w:space="0" w:color="auto"/>
              </w:divBdr>
              <w:divsChild>
                <w:div w:id="609361567">
                  <w:marLeft w:val="0"/>
                  <w:marRight w:val="0"/>
                  <w:marTop w:val="0"/>
                  <w:marBottom w:val="0"/>
                  <w:divBdr>
                    <w:top w:val="none" w:sz="0" w:space="0" w:color="auto"/>
                    <w:left w:val="none" w:sz="0" w:space="0" w:color="auto"/>
                    <w:bottom w:val="none" w:sz="0" w:space="0" w:color="auto"/>
                    <w:right w:val="none" w:sz="0" w:space="0" w:color="auto"/>
                  </w:divBdr>
                  <w:divsChild>
                    <w:div w:id="1396271332">
                      <w:marLeft w:val="0"/>
                      <w:marRight w:val="0"/>
                      <w:marTop w:val="0"/>
                      <w:marBottom w:val="0"/>
                      <w:divBdr>
                        <w:top w:val="none" w:sz="0" w:space="0" w:color="auto"/>
                        <w:left w:val="none" w:sz="0" w:space="0" w:color="auto"/>
                        <w:bottom w:val="none" w:sz="0" w:space="0" w:color="auto"/>
                        <w:right w:val="none" w:sz="0" w:space="0" w:color="auto"/>
                      </w:divBdr>
                      <w:divsChild>
                        <w:div w:id="664632581">
                          <w:marLeft w:val="0"/>
                          <w:marRight w:val="0"/>
                          <w:marTop w:val="0"/>
                          <w:marBottom w:val="0"/>
                          <w:divBdr>
                            <w:top w:val="none" w:sz="0" w:space="0" w:color="auto"/>
                            <w:left w:val="none" w:sz="0" w:space="0" w:color="auto"/>
                            <w:bottom w:val="none" w:sz="0" w:space="0" w:color="auto"/>
                            <w:right w:val="none" w:sz="0" w:space="0" w:color="auto"/>
                          </w:divBdr>
                          <w:divsChild>
                            <w:div w:id="1362852844">
                              <w:marLeft w:val="0"/>
                              <w:marRight w:val="0"/>
                              <w:marTop w:val="0"/>
                              <w:marBottom w:val="0"/>
                              <w:divBdr>
                                <w:top w:val="none" w:sz="0" w:space="0" w:color="auto"/>
                                <w:left w:val="none" w:sz="0" w:space="0" w:color="auto"/>
                                <w:bottom w:val="none" w:sz="0" w:space="0" w:color="auto"/>
                                <w:right w:val="none" w:sz="0" w:space="0" w:color="auto"/>
                              </w:divBdr>
                              <w:divsChild>
                                <w:div w:id="1993562847">
                                  <w:marLeft w:val="0"/>
                                  <w:marRight w:val="0"/>
                                  <w:marTop w:val="0"/>
                                  <w:marBottom w:val="0"/>
                                  <w:divBdr>
                                    <w:top w:val="none" w:sz="0" w:space="0" w:color="auto"/>
                                    <w:left w:val="none" w:sz="0" w:space="0" w:color="auto"/>
                                    <w:bottom w:val="none" w:sz="0" w:space="0" w:color="auto"/>
                                    <w:right w:val="none" w:sz="0" w:space="0" w:color="auto"/>
                                  </w:divBdr>
                                  <w:divsChild>
                                    <w:div w:id="215355533">
                                      <w:marLeft w:val="0"/>
                                      <w:marRight w:val="0"/>
                                      <w:marTop w:val="0"/>
                                      <w:marBottom w:val="0"/>
                                      <w:divBdr>
                                        <w:top w:val="none" w:sz="0" w:space="0" w:color="auto"/>
                                        <w:left w:val="none" w:sz="0" w:space="0" w:color="auto"/>
                                        <w:bottom w:val="none" w:sz="0" w:space="0" w:color="auto"/>
                                        <w:right w:val="none" w:sz="0" w:space="0" w:color="auto"/>
                                      </w:divBdr>
                                      <w:divsChild>
                                        <w:div w:id="1830632258">
                                          <w:marLeft w:val="0"/>
                                          <w:marRight w:val="0"/>
                                          <w:marTop w:val="0"/>
                                          <w:marBottom w:val="0"/>
                                          <w:divBdr>
                                            <w:top w:val="none" w:sz="0" w:space="0" w:color="auto"/>
                                            <w:left w:val="none" w:sz="0" w:space="0" w:color="auto"/>
                                            <w:bottom w:val="none" w:sz="0" w:space="0" w:color="auto"/>
                                            <w:right w:val="none" w:sz="0" w:space="0" w:color="auto"/>
                                          </w:divBdr>
                                          <w:divsChild>
                                            <w:div w:id="1450856910">
                                              <w:marLeft w:val="0"/>
                                              <w:marRight w:val="0"/>
                                              <w:marTop w:val="0"/>
                                              <w:marBottom w:val="0"/>
                                              <w:divBdr>
                                                <w:top w:val="none" w:sz="0" w:space="0" w:color="auto"/>
                                                <w:left w:val="none" w:sz="0" w:space="0" w:color="auto"/>
                                                <w:bottom w:val="none" w:sz="0" w:space="0" w:color="auto"/>
                                                <w:right w:val="none" w:sz="0" w:space="0" w:color="auto"/>
                                              </w:divBdr>
                                              <w:divsChild>
                                                <w:div w:id="1638759548">
                                                  <w:marLeft w:val="0"/>
                                                  <w:marRight w:val="0"/>
                                                  <w:marTop w:val="0"/>
                                                  <w:marBottom w:val="0"/>
                                                  <w:divBdr>
                                                    <w:top w:val="none" w:sz="0" w:space="0" w:color="auto"/>
                                                    <w:left w:val="none" w:sz="0" w:space="0" w:color="auto"/>
                                                    <w:bottom w:val="none" w:sz="0" w:space="0" w:color="auto"/>
                                                    <w:right w:val="none" w:sz="0" w:space="0" w:color="auto"/>
                                                  </w:divBdr>
                                                  <w:divsChild>
                                                    <w:div w:id="1533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4172">
                                          <w:marLeft w:val="0"/>
                                          <w:marRight w:val="0"/>
                                          <w:marTop w:val="0"/>
                                          <w:marBottom w:val="0"/>
                                          <w:divBdr>
                                            <w:top w:val="none" w:sz="0" w:space="0" w:color="auto"/>
                                            <w:left w:val="none" w:sz="0" w:space="0" w:color="auto"/>
                                            <w:bottom w:val="none" w:sz="0" w:space="0" w:color="auto"/>
                                            <w:right w:val="none" w:sz="0" w:space="0" w:color="auto"/>
                                          </w:divBdr>
                                          <w:divsChild>
                                            <w:div w:id="1891500847">
                                              <w:marLeft w:val="0"/>
                                              <w:marRight w:val="0"/>
                                              <w:marTop w:val="0"/>
                                              <w:marBottom w:val="0"/>
                                              <w:divBdr>
                                                <w:top w:val="none" w:sz="0" w:space="0" w:color="auto"/>
                                                <w:left w:val="none" w:sz="0" w:space="0" w:color="auto"/>
                                                <w:bottom w:val="none" w:sz="0" w:space="0" w:color="auto"/>
                                                <w:right w:val="none" w:sz="0" w:space="0" w:color="auto"/>
                                              </w:divBdr>
                                              <w:divsChild>
                                                <w:div w:id="793522259">
                                                  <w:marLeft w:val="0"/>
                                                  <w:marRight w:val="0"/>
                                                  <w:marTop w:val="0"/>
                                                  <w:marBottom w:val="0"/>
                                                  <w:divBdr>
                                                    <w:top w:val="none" w:sz="0" w:space="0" w:color="auto"/>
                                                    <w:left w:val="none" w:sz="0" w:space="0" w:color="auto"/>
                                                    <w:bottom w:val="none" w:sz="0" w:space="0" w:color="auto"/>
                                                    <w:right w:val="none" w:sz="0" w:space="0" w:color="auto"/>
                                                  </w:divBdr>
                                                  <w:divsChild>
                                                    <w:div w:id="14017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1-Economics of storage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Sheet2!$D$6:$D$7</c:f>
              <c:strCache>
                <c:ptCount val="2"/>
                <c:pt idx="0">
                  <c:v>Economics for storage of vegetables under different structure</c:v>
                </c:pt>
                <c:pt idx="1">
                  <c:v>Room Temperature</c:v>
                </c:pt>
              </c:strCache>
            </c:strRef>
          </c:tx>
          <c:spPr>
            <a:solidFill>
              <a:schemeClr val="accent1"/>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Sheet2!$D$8:$D$12</c:f>
              <c:numCache>
                <c:formatCode>General</c:formatCode>
                <c:ptCount val="5"/>
                <c:pt idx="0">
                  <c:v>1.6</c:v>
                </c:pt>
                <c:pt idx="1">
                  <c:v>1.5</c:v>
                </c:pt>
                <c:pt idx="2">
                  <c:v>2.2000000000000002</c:v>
                </c:pt>
                <c:pt idx="3">
                  <c:v>2.6</c:v>
                </c:pt>
                <c:pt idx="4">
                  <c:v>2.9</c:v>
                </c:pt>
              </c:numCache>
            </c:numRef>
          </c:val>
          <c:extLst>
            <c:ext xmlns:c16="http://schemas.microsoft.com/office/drawing/2014/chart" uri="{C3380CC4-5D6E-409C-BE32-E72D297353CC}">
              <c16:uniqueId val="{00000000-E217-4B8E-ABD7-F3A2D3F89C64}"/>
            </c:ext>
          </c:extLst>
        </c:ser>
        <c:ser>
          <c:idx val="1"/>
          <c:order val="1"/>
          <c:tx>
            <c:strRef>
              <c:f>Sheet2!$E$6:$E$7</c:f>
              <c:strCache>
                <c:ptCount val="2"/>
                <c:pt idx="0">
                  <c:v>Economics for storage of vegetables under different structure</c:v>
                </c:pt>
                <c:pt idx="1">
                  <c:v>ZECC</c:v>
                </c:pt>
              </c:strCache>
            </c:strRef>
          </c:tx>
          <c:spPr>
            <a:solidFill>
              <a:schemeClr val="accent2"/>
            </a:solidFill>
            <a:ln>
              <a:noFill/>
            </a:ln>
            <a:effectLst/>
          </c:spPr>
          <c:invertIfNegative val="0"/>
          <c:cat>
            <c:strRef>
              <c:f>Sheet2!$C$8:$C$12</c:f>
              <c:strCache>
                <c:ptCount val="5"/>
                <c:pt idx="0">
                  <c:v>Okra</c:v>
                </c:pt>
                <c:pt idx="1">
                  <c:v>Spinach</c:v>
                </c:pt>
                <c:pt idx="2">
                  <c:v>Radish</c:v>
                </c:pt>
                <c:pt idx="3">
                  <c:v>Cauliflower</c:v>
                </c:pt>
                <c:pt idx="4">
                  <c:v>Mushroom</c:v>
                </c:pt>
              </c:strCache>
            </c:strRef>
          </c:cat>
          <c:val>
            <c:numRef>
              <c:f>Sheet2!$E$8:$E$12</c:f>
              <c:numCache>
                <c:formatCode>General</c:formatCode>
                <c:ptCount val="5"/>
                <c:pt idx="0">
                  <c:v>2.7</c:v>
                </c:pt>
                <c:pt idx="1">
                  <c:v>2.9</c:v>
                </c:pt>
                <c:pt idx="2">
                  <c:v>2.8</c:v>
                </c:pt>
                <c:pt idx="3">
                  <c:v>3.7</c:v>
                </c:pt>
                <c:pt idx="4">
                  <c:v>3.45</c:v>
                </c:pt>
              </c:numCache>
            </c:numRef>
          </c:val>
          <c:extLst>
            <c:ext xmlns:c16="http://schemas.microsoft.com/office/drawing/2014/chart" uri="{C3380CC4-5D6E-409C-BE32-E72D297353CC}">
              <c16:uniqueId val="{00000001-E217-4B8E-ABD7-F3A2D3F89C64}"/>
            </c:ext>
          </c:extLst>
        </c:ser>
        <c:dLbls>
          <c:showLegendKey val="0"/>
          <c:showVal val="0"/>
          <c:showCatName val="0"/>
          <c:showSerName val="0"/>
          <c:showPercent val="0"/>
          <c:showBubbleSize val="0"/>
        </c:dLbls>
        <c:gapWidth val="150"/>
        <c:axId val="1540597279"/>
        <c:axId val="1540581055"/>
      </c:barChart>
      <c:catAx>
        <c:axId val="154059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81055"/>
        <c:crosses val="autoZero"/>
        <c:auto val="1"/>
        <c:lblAlgn val="ctr"/>
        <c:lblOffset val="100"/>
        <c:noMultiLvlLbl val="0"/>
      </c:catAx>
      <c:valAx>
        <c:axId val="154058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059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Adarsh</dc:creator>
  <cp:keywords/>
  <dc:description/>
  <cp:lastModifiedBy>HEMA K</cp:lastModifiedBy>
  <cp:revision>2</cp:revision>
  <dcterms:created xsi:type="dcterms:W3CDTF">2026-04-03T09:53:00Z</dcterms:created>
  <dcterms:modified xsi:type="dcterms:W3CDTF">2026-04-03T09:53:00Z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cecbb34b-957d-43e5-814f-f8cc78ca70b9</vt:lpwstr>
  </property>
</Properties>
</file>