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 w:rsidRPr="00182B65">
        <w:trPr>
          <w:trHeight w:val="20"/>
          <w:jc w:val="center"/>
        </w:trPr>
        <w:tc>
          <w:tcPr>
            <w:tcW w:w="1186" w:type="pct"/>
          </w:tcPr>
          <w:p w:rsidR="00412A08" w:rsidRPr="00182B65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412A08" w:rsidRPr="00182B65" w:rsidRDefault="009826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 w:rsidRPr="00182B65">
        <w:trPr>
          <w:trHeight w:val="20"/>
          <w:jc w:val="center"/>
        </w:trPr>
        <w:tc>
          <w:tcPr>
            <w:tcW w:w="1186" w:type="pct"/>
          </w:tcPr>
          <w:p w:rsidR="00412A08" w:rsidRPr="00182B65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412A08" w:rsidRPr="00182B65" w:rsidRDefault="00B052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Ms_ACRI_156322</w:t>
            </w:r>
          </w:p>
        </w:tc>
      </w:tr>
      <w:tr w:rsidR="00412A08" w:rsidRPr="00182B65">
        <w:trPr>
          <w:trHeight w:val="20"/>
          <w:jc w:val="center"/>
        </w:trPr>
        <w:tc>
          <w:tcPr>
            <w:tcW w:w="1186" w:type="pct"/>
          </w:tcPr>
          <w:p w:rsidR="00412A08" w:rsidRPr="00182B65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412A08" w:rsidRPr="00182B65" w:rsidRDefault="00B052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 Predictive Control: A Comprehensive Review of Theoretical Foundations and Modern Applications</w:t>
            </w:r>
          </w:p>
        </w:tc>
      </w:tr>
      <w:tr w:rsidR="00412A08" w:rsidRPr="00182B65">
        <w:trPr>
          <w:trHeight w:val="20"/>
          <w:jc w:val="center"/>
        </w:trPr>
        <w:tc>
          <w:tcPr>
            <w:tcW w:w="1186" w:type="pct"/>
          </w:tcPr>
          <w:p w:rsidR="00412A08" w:rsidRPr="00182B65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412A08" w:rsidRPr="00182B65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12A08" w:rsidRPr="00182B65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12A08" w:rsidRPr="00182B65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2A08" w:rsidRPr="00182B65" w:rsidRDefault="00412A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2A08" w:rsidRPr="00182B65" w:rsidRDefault="009826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82B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12A08" w:rsidRPr="00182B65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12A08" w:rsidRPr="00182B65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 w:rsidRPr="00182B65">
        <w:trPr>
          <w:trHeight w:val="20"/>
          <w:jc w:val="center"/>
        </w:trPr>
        <w:tc>
          <w:tcPr>
            <w:tcW w:w="1789" w:type="pct"/>
            <w:noWrap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82B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12A08" w:rsidRPr="00182B65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2B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2B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89" w:type="pct"/>
            <w:noWrap/>
          </w:tcPr>
          <w:p w:rsidR="00412A08" w:rsidRPr="00182B65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12A08" w:rsidRPr="00182B65" w:rsidRDefault="00412A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DC0823" w:rsidRPr="00182B65" w:rsidRDefault="00DC0823" w:rsidP="00DC0823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 xml:space="preserve">The manuscript is of great </w:t>
            </w: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</w:t>
            </w:r>
            <w:r w:rsidRPr="00182B65">
              <w:rPr>
                <w:rFonts w:ascii="Arial" w:hAnsi="Arial" w:cs="Arial"/>
                <w:sz w:val="20"/>
                <w:szCs w:val="20"/>
              </w:rPr>
              <w:t xml:space="preserve"> to the scientific community as it presents a consolidated and current overview of the Model Predictive Control (MPC) developments across theory, calculation, and implementations between 2014 </w:t>
            </w:r>
            <w:r w:rsidR="007724A4" w:rsidRPr="00182B65">
              <w:rPr>
                <w:rFonts w:ascii="Arial" w:hAnsi="Arial" w:cs="Arial"/>
                <w:sz w:val="20"/>
                <w:szCs w:val="20"/>
              </w:rPr>
              <w:t>to</w:t>
            </w:r>
            <w:r w:rsidRPr="00182B65">
              <w:rPr>
                <w:rFonts w:ascii="Arial" w:hAnsi="Arial" w:cs="Arial"/>
                <w:sz w:val="20"/>
                <w:szCs w:val="20"/>
              </w:rPr>
              <w:t xml:space="preserve"> 2026. </w:t>
            </w:r>
          </w:p>
          <w:p w:rsidR="00DC0823" w:rsidRPr="00182B65" w:rsidRDefault="00DC0823" w:rsidP="00DC0823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 xml:space="preserve">It connects the traditionally different fields of research, including robust control, optimization, and machine learning, thus, allowing researchers to comprehend more thoroughly the new interdisciplinary trends and define the unresolved issues. </w:t>
            </w:r>
          </w:p>
          <w:p w:rsidR="00DC0823" w:rsidRPr="00182B65" w:rsidRDefault="00DC0823" w:rsidP="00DC0823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 xml:space="preserve">The review, through its systematic grouping of MPC innovations and identification of the practical implementation challenges, can be viewed as a source of knowledge to other researchers and as the strategic roadmap to be followed by those experts who want to develop real-world, safety-critical applications. </w:t>
            </w:r>
          </w:p>
          <w:p w:rsidR="00412A08" w:rsidRPr="00182B65" w:rsidRDefault="00DC0823" w:rsidP="00DC0823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>Finally, it is useful in establishing the future research directions on how to combine data-driven intelligence with the rigorous assurances that characterize MPC.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2A08" w:rsidRPr="00182B65" w:rsidRDefault="00412A08">
      <w:pPr>
        <w:rPr>
          <w:rFonts w:ascii="Arial" w:hAnsi="Arial" w:cs="Arial"/>
          <w:sz w:val="20"/>
          <w:szCs w:val="20"/>
          <w:lang w:val="en-GB"/>
        </w:rPr>
      </w:pPr>
    </w:p>
    <w:p w:rsidR="00412A08" w:rsidRPr="00182B65" w:rsidRDefault="00412A08">
      <w:pPr>
        <w:rPr>
          <w:rFonts w:ascii="Arial" w:hAnsi="Arial" w:cs="Arial"/>
          <w:sz w:val="20"/>
          <w:szCs w:val="20"/>
          <w:lang w:val="en-GB"/>
        </w:rPr>
      </w:pPr>
    </w:p>
    <w:p w:rsidR="00412A08" w:rsidRPr="00182B65" w:rsidRDefault="00412A08">
      <w:pPr>
        <w:rPr>
          <w:rFonts w:ascii="Arial" w:hAnsi="Arial" w:cs="Arial"/>
          <w:sz w:val="20"/>
          <w:szCs w:val="20"/>
          <w:lang w:val="en-GB"/>
        </w:rPr>
      </w:pPr>
    </w:p>
    <w:p w:rsidR="00412A08" w:rsidRPr="00182B65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82B6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412A08" w:rsidRPr="00182B65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 w:rsidRPr="00182B65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412A08" w:rsidRPr="00182B65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2A08" w:rsidRPr="00182B65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82B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12A08" w:rsidRPr="00182B65" w:rsidRDefault="009826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2B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82B6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82B6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 w:rsidP="000843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82B6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82B6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2A08" w:rsidRPr="00182B65" w:rsidRDefault="000843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82B6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2A08" w:rsidRPr="00182B65" w:rsidRDefault="000843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790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Pr="00182B65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2A08" w:rsidRPr="00182B65" w:rsidRDefault="000843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2A08" w:rsidRPr="00182B65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2A08" w:rsidRPr="00182B65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2A08" w:rsidRPr="00182B65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2A08" w:rsidRPr="00182B65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82B6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12A08" w:rsidRPr="00182B65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 w:rsidRPr="00182B65">
        <w:trPr>
          <w:trHeight w:val="20"/>
          <w:jc w:val="center"/>
        </w:trPr>
        <w:tc>
          <w:tcPr>
            <w:tcW w:w="1265" w:type="pct"/>
            <w:noWrap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82B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12A08" w:rsidRPr="00182B65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12A08" w:rsidRPr="00182B65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2B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2B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265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12A08" w:rsidRPr="00182B65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12A08" w:rsidRPr="00182B65" w:rsidRDefault="00105161" w:rsidP="00105161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>Yes, the title is generally fitting and it is in alignment with what the manuscript is all about. This makes it clear that the paper is a thorough review and that it brings out both the theoretical basis and recent uses of Model Predictive Control (MPC), which exactly reflects the scope of your work.</w:t>
            </w:r>
          </w:p>
        </w:tc>
        <w:tc>
          <w:tcPr>
            <w:tcW w:w="1523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265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82B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12A08" w:rsidRPr="00182B65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12A08" w:rsidRPr="00182B65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12A08" w:rsidRPr="00182B65" w:rsidRDefault="00F305D4" w:rsidP="00F305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sz w:val="20"/>
                <w:szCs w:val="20"/>
                <w:lang w:val="en-GB"/>
              </w:rPr>
              <w:t>Yes, the abstract is extensive, well-constructed and befitting a review article. It explicitly describes the key aspects that a good scientific abstract should covered: the purpose, the methodology, the scope, the key thematic issues, the key findings, and a general conclusion.</w:t>
            </w:r>
          </w:p>
        </w:tc>
        <w:tc>
          <w:tcPr>
            <w:tcW w:w="1523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265" w:type="pct"/>
            <w:noWrap/>
          </w:tcPr>
          <w:p w:rsidR="00412A08" w:rsidRPr="00182B65" w:rsidRDefault="009826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82B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82B65">
              <w:rPr>
                <w:rFonts w:ascii="Arial" w:hAnsi="Arial" w:cs="Arial"/>
                <w:lang w:val="en-GB" w:eastAsia="en-US"/>
              </w:rPr>
              <w:br/>
            </w:r>
          </w:p>
          <w:p w:rsidR="00412A08" w:rsidRPr="00182B65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12A08" w:rsidRPr="00182B65" w:rsidRDefault="00873C30" w:rsidP="000642D5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>In general, the article is scientifically right and correct to a great extent. It demonstrates a solid grasp of the Model Predictive Control (MPC) theory and fits the existing literature about control systems, optimization, and learning-based control. Formulations, classifications (classical, robust/stochastic, nonlinear/economic, and data-driven MPC), and stability, feasibility, and constraint manipulation discussions can be discussed as adhering to the accepted scientific concepts.</w:t>
            </w:r>
          </w:p>
        </w:tc>
        <w:tc>
          <w:tcPr>
            <w:tcW w:w="1523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265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12A08" w:rsidRPr="00182B65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12A08" w:rsidRPr="00182B65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8C2EF1" w:rsidRPr="00182B65" w:rsidRDefault="008C2EF1" w:rsidP="008C2EF1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 xml:space="preserve">There are enough and appropriate references in the manuscript which not only covers the literature of MPC fundamentals but also recent publications (2014-2026) that are consistent with the current research trends, especially those that are based on data and learning. </w:t>
            </w:r>
          </w:p>
          <w:p w:rsidR="00412A08" w:rsidRPr="00182B65" w:rsidRDefault="008C2EF1" w:rsidP="008C2EF1">
            <w:pPr>
              <w:rPr>
                <w:rFonts w:ascii="Arial" w:hAnsi="Arial" w:cs="Arial"/>
                <w:sz w:val="20"/>
                <w:szCs w:val="20"/>
              </w:rPr>
            </w:pPr>
            <w:r w:rsidRPr="00182B65">
              <w:rPr>
                <w:rFonts w:ascii="Arial" w:hAnsi="Arial" w:cs="Arial"/>
                <w:sz w:val="20"/>
                <w:szCs w:val="20"/>
              </w:rPr>
              <w:t>Nevertheless, the intensity of current reference (2023-2026) is less than the existing standards, and recent publications focus on the necessity to have more data-driven MPC, AI combination, and sophisticated applications in different fields. The best review articles have 30-50 percent of references in the past 3-5 years, and the manuscript is yet to accomplish that.</w:t>
            </w:r>
          </w:p>
        </w:tc>
        <w:tc>
          <w:tcPr>
            <w:tcW w:w="1523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182B65">
        <w:trPr>
          <w:trHeight w:val="20"/>
          <w:jc w:val="center"/>
        </w:trPr>
        <w:tc>
          <w:tcPr>
            <w:tcW w:w="1265" w:type="pct"/>
            <w:noWrap/>
          </w:tcPr>
          <w:p w:rsidR="00412A08" w:rsidRPr="00182B65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12A08" w:rsidRPr="00182B65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12A08" w:rsidRPr="00182B65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12A08" w:rsidRPr="00182B65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12A08" w:rsidRPr="00182B65" w:rsidRDefault="00412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12A08" w:rsidRPr="00182B65" w:rsidRDefault="008C2E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2B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412A08" w:rsidRPr="00182B65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12A08" w:rsidRPr="00182B65" w:rsidRDefault="00412A08">
      <w:pPr>
        <w:rPr>
          <w:rFonts w:ascii="Arial" w:hAnsi="Arial" w:cs="Arial"/>
          <w:sz w:val="20"/>
          <w:szCs w:val="20"/>
          <w:lang w:val="en-GB"/>
        </w:rPr>
      </w:pPr>
    </w:p>
    <w:p w:rsidR="00182B65" w:rsidRPr="00182B65" w:rsidRDefault="00182B65" w:rsidP="00182B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2B65">
        <w:rPr>
          <w:rFonts w:ascii="Arial" w:hAnsi="Arial" w:cs="Arial"/>
          <w:b/>
          <w:u w:val="single"/>
        </w:rPr>
        <w:t>Reviewer details:</w:t>
      </w:r>
    </w:p>
    <w:p w:rsidR="00412A08" w:rsidRPr="00182B65" w:rsidRDefault="00412A0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182B65" w:rsidRPr="00182B65" w:rsidRDefault="00182B6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182B65">
        <w:rPr>
          <w:rFonts w:ascii="Arial" w:hAnsi="Arial" w:cs="Arial"/>
          <w:b/>
          <w:bCs/>
          <w:sz w:val="20"/>
          <w:szCs w:val="20"/>
          <w:lang w:val="en-GB"/>
        </w:rPr>
        <w:t xml:space="preserve">Augustine Olugbenga </w:t>
      </w:r>
      <w:proofErr w:type="spellStart"/>
      <w:r w:rsidRPr="00182B65">
        <w:rPr>
          <w:rFonts w:ascii="Arial" w:hAnsi="Arial" w:cs="Arial"/>
          <w:b/>
          <w:bCs/>
          <w:sz w:val="20"/>
          <w:szCs w:val="20"/>
          <w:lang w:val="en-GB"/>
        </w:rPr>
        <w:t>Folorunso</w:t>
      </w:r>
      <w:proofErr w:type="spellEnd"/>
      <w:r w:rsidRPr="00182B65">
        <w:rPr>
          <w:rFonts w:ascii="Arial" w:hAnsi="Arial" w:cs="Arial"/>
          <w:b/>
          <w:bCs/>
          <w:sz w:val="20"/>
          <w:szCs w:val="20"/>
          <w:lang w:val="en-GB"/>
        </w:rPr>
        <w:t>, Ladoke Akintola University of Technology, Nigeria</w:t>
      </w:r>
    </w:p>
    <w:p w:rsidR="00412A08" w:rsidRPr="00182B65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2A08" w:rsidRPr="00182B65" w:rsidRDefault="00412A0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12A08" w:rsidRPr="00182B6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5D" w:rsidRDefault="00CE065D">
      <w:r>
        <w:separator/>
      </w:r>
    </w:p>
  </w:endnote>
  <w:endnote w:type="continuationSeparator" w:id="0">
    <w:p w:rsidR="00CE065D" w:rsidRDefault="00CE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22B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22B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12A08" w:rsidRDefault="00412A08">
    <w:pPr>
      <w:pStyle w:val="Footer"/>
      <w:jc w:val="right"/>
    </w:pPr>
  </w:p>
  <w:p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5D" w:rsidRDefault="00CE065D">
      <w:r>
        <w:separator/>
      </w:r>
    </w:p>
  </w:footnote>
  <w:footnote w:type="continuationSeparator" w:id="0">
    <w:p w:rsidR="00CE065D" w:rsidRDefault="00CE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CE065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0642D5"/>
    <w:rsid w:val="000843BB"/>
    <w:rsid w:val="000B38CE"/>
    <w:rsid w:val="00105161"/>
    <w:rsid w:val="00182B65"/>
    <w:rsid w:val="001F3ECC"/>
    <w:rsid w:val="00412A08"/>
    <w:rsid w:val="00622614"/>
    <w:rsid w:val="0066010E"/>
    <w:rsid w:val="006A0D22"/>
    <w:rsid w:val="007724A4"/>
    <w:rsid w:val="00873C30"/>
    <w:rsid w:val="008B69C3"/>
    <w:rsid w:val="008C2EF1"/>
    <w:rsid w:val="00982647"/>
    <w:rsid w:val="00B0521C"/>
    <w:rsid w:val="00B94D61"/>
    <w:rsid w:val="00CE065D"/>
    <w:rsid w:val="00CE22B4"/>
    <w:rsid w:val="00CE36FB"/>
    <w:rsid w:val="00DC0823"/>
    <w:rsid w:val="00E83863"/>
    <w:rsid w:val="00F07062"/>
    <w:rsid w:val="00F305D4"/>
    <w:rsid w:val="00F9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AF87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2B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28</cp:revision>
  <dcterms:created xsi:type="dcterms:W3CDTF">2026-03-24T06:32:00Z</dcterms:created>
  <dcterms:modified xsi:type="dcterms:W3CDTF">2026-04-10T05:30:00Z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