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jc w:val="center"/>
        <w:rPr>
          <w:rFonts w:ascii="Times New Roman" w:cs="Times New Roman" w:eastAsia="Times New Roman" w:hAnsi="Times New Roman"/>
          <w:b w:val="1"/>
          <w:bCs w:val="1"/>
          <w:sz w:val="24"/>
          <w:szCs w:val="24"/>
        </w:rPr>
      </w:pPr>
      <w:sdt>
        <w:sdtPr>
          <w:id w:val="-1374763307"/>
          <w:tag w:val="goog_rdk_0"/>
        </w:sdtPr>
        <w:sdtContent>
          <w:commentRangeStart w:id="0"/>
        </w:sdtContent>
      </w:sdt>
      <w:r w:rsidDel="00000000" w:rsidR="00000000" w:rsidRPr="00000000">
        <w:rPr>
          <w:rFonts w:ascii="Times New Roman" w:cs="Times New Roman" w:eastAsia="Times New Roman" w:hAnsi="Times New Roman"/>
          <w:b w:val="1"/>
          <w:bCs w:val="1"/>
          <w:sz w:val="24"/>
          <w:szCs w:val="24"/>
          <w:rtl w:val="0"/>
        </w:rPr>
        <w:t xml:space="preserve">Exploring Constraints to Communication Skill Development: A Multidimensional Study in Higher Agricultural Education</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Abstract</w:t>
      </w:r>
    </w:p>
    <w:p w:rsidR="00000000" w:rsidDel="00000000" w:rsidP="00000000" w:rsidRDefault="00000000" w:rsidRPr="00000000" w14:paraId="0000000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presents a comprehensive and much-needed assessment of the multidimensional constraints hindering communication skill development among postgraduate students in higher agricultural education (HAE) in India. The research is highly important and was taken up due to a significant and acknowledged systemic problem: the persistent gap between the communication skills required by the agricultural profession and those possessed by graduates. Effective communication is no longer a soft skill but a core competency essential for HAE graduates, who are expected to engage with diverse stakeholders, disseminate complex scientific findings, and facilitate vital knowledge transfer for sustainable rural development. The ability to articulate scientific knowledge persuasively serves as the indispensable bridge between technical expertise and real-world application. Despite this crucial role, students face numerous and complex barriers, spanning pedagogical, socio-economic, and psychological dimensions, that impede skill development. Prior research has highlighted issues like communication apprehension and inadequate curriculum focus. However, a systematic, multidimensional inquiry was lacking to precisely identify and quantify these constraints. To address this gap, this exploratory and descriptive study was conducted in three prominent agricultural institutions in India. Utilizing the Delphi technique to finalize 24 indicators across five dimensions: ICT-related, curriculum-related, institutional, socio-economic, and personal constraints. The Garrett ranking technique to quantify their severity, the study aimed to generate actionable insights for educators and policymakers. Key findings revealed the emergence of new, globally relevant ICT-related challenges including excessive use of artificial intelligence and screen time, alongside established barriers like the heavy workload, lack of systematic training, and limited socio-economic exposure. </w:t>
      </w:r>
      <w:sdt>
        <w:sdtPr>
          <w:id w:val="567668771"/>
          <w:tag w:val="goog_rdk_1"/>
        </w:sdtPr>
        <w:sdtContent>
          <w:commentRangeStart w:id="1"/>
        </w:sdtContent>
      </w:sdt>
      <w:r w:rsidDel="00000000" w:rsidR="00000000" w:rsidRPr="00000000">
        <w:rPr>
          <w:rFonts w:ascii="Times New Roman" w:cs="Times New Roman" w:eastAsia="Times New Roman" w:hAnsi="Times New Roman"/>
          <w:sz w:val="24"/>
          <w:szCs w:val="24"/>
          <w:rtl w:val="0"/>
        </w:rPr>
        <w:t xml:space="preserve">By systematically identifying and prioritizing these constraints, the study provides the necessary evidence to inform targeted interventions, curricular reforms, and pedagogical innovations aimed at strengthening the communication competence required by future agricultural professionals to address the multifaceted challenges of the modern food system.</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b w:val="1"/>
          <w:bCs w:val="1"/>
          <w:sz w:val="24"/>
          <w:szCs w:val="24"/>
        </w:rPr>
      </w:pPr>
      <w:sdt>
        <w:sdtPr>
          <w:id w:val="-1985802122"/>
          <w:tag w:val="goog_rdk_2"/>
        </w:sdtPr>
        <w:sdtContent>
          <w:commentRangeStart w:id="2"/>
        </w:sdtContent>
      </w:sdt>
      <w:r w:rsidDel="00000000" w:rsidR="00000000" w:rsidRPr="00000000">
        <w:rPr>
          <w:rFonts w:ascii="Times New Roman" w:cs="Times New Roman" w:eastAsia="Times New Roman" w:hAnsi="Times New Roman"/>
          <w:b w:val="1"/>
          <w:bCs w:val="1"/>
          <w:sz w:val="24"/>
          <w:szCs w:val="24"/>
          <w:rtl w:val="0"/>
        </w:rPr>
        <w:t xml:space="preserve">Keywords</w:t>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communication competence, Constraints, Communication Training, Delphi Technique, Garrett Ranking, Higher Agricultural Education</w:t>
      </w:r>
    </w:p>
    <w:p w:rsidR="00000000" w:rsidDel="00000000" w:rsidP="00000000" w:rsidRDefault="00000000" w:rsidRPr="00000000" w14:paraId="00000009">
      <w:pPr>
        <w:rPr>
          <w:rFonts w:ascii="Times New Roman" w:cs="Times New Roman" w:eastAsia="Times New Roman" w:hAnsi="Times New Roman"/>
          <w:sz w:val="24"/>
          <w:szCs w:val="24"/>
        </w:rPr>
      </w:pPr>
      <w:sdt>
        <w:sdtPr>
          <w:id w:val="1518830192"/>
          <w:tag w:val="goog_rdk_3"/>
        </w:sdtPr>
        <w:sdtContent>
          <w:commentRangeStart w:id="3"/>
        </w:sdtContent>
      </w:sdt>
      <w:r w:rsidDel="00000000" w:rsidR="00000000" w:rsidRPr="00000000">
        <w:rPr>
          <w:rFonts w:ascii="Times New Roman" w:cs="Times New Roman" w:eastAsia="Times New Roman" w:hAnsi="Times New Roman"/>
          <w:sz w:val="24"/>
          <w:szCs w:val="24"/>
          <w:rtl w:val="0"/>
        </w:rPr>
        <w:t xml:space="preserve">a core component of 21st-century skills and lifelong learning, essential for employability in professional education contexts</w:t>
      </w:r>
      <w:commentRangeEnd w:id="2"/>
      <w:r w:rsidDel="00000000" w:rsidR="00000000" w:rsidRPr="00000000">
        <w:commentReference w:id="2"/>
      </w:r>
      <w:r w:rsidDel="00000000" w:rsidR="00000000" w:rsidRPr="00000000">
        <w:rPr>
          <w:rFonts w:ascii="Times New Roman" w:cs="Times New Roman" w:eastAsia="Times New Roman" w:hAnsi="Times New Roman"/>
          <w:sz w:val="24"/>
          <w:szCs w:val="24"/>
          <w:rtl w:val="0"/>
        </w:rPr>
        <w:t xml:space="preserve"> (Gündüz, 2023), </w:t>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Introduction </w:t>
      </w:r>
    </w:p>
    <w:p w:rsidR="00000000" w:rsidDel="00000000" w:rsidP="00000000" w:rsidRDefault="00000000" w:rsidRPr="00000000" w14:paraId="0000000B">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Communication skills are widely recognized as a critical competency in higher education and a core component of 21st-century skills and lifelong learning, essential for employability in professional education contexts (Gündüz, 2023), particularly in agricultural sciences where graduates are expected to engage with diverse stakeholders, disseminate research findings, and facilitate knowledge transfer (Ray, 2016; Singh &amp; Kaur, 2019). The rapidly evolving agricultural sector requires professionals who possess not only strong technical expertise but also the ability to communicate effectively with farmers, policymakers, researchers, and industry stakeholders. In the context of higher agricultural education in India, communication competence plays a pivotal role in bridging the gap between scientific knowledge and its practical application in the field. Graduates are increasingly expected to articulate complex scientific information in simple, persuasive, and contextually appropriate ways in order to support agricultural innovation, rural development, and evidence-based decision-making.</w:t>
      </w:r>
    </w:p>
    <w:p w:rsidR="00000000" w:rsidDel="00000000" w:rsidP="00000000" w:rsidRDefault="00000000" w:rsidRPr="00000000" w14:paraId="0000000C">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Moreover, communication competence has emerged as a key employability skill in contemporary knowledge economies. Employers in both public and private sectors increasingly seek graduates who can combine disciplinary expertise with strong interpersonal, presentation, and scientific communication abilities (Hynes, 2009; Chaudhary, Sharma, &amp; Sharma, 2020). Effective communication enables agricultural professionals to translate research outputs into actionable knowledge, collaborate across interdisciplinary teams, and engage meaningfully with farming communities and development institutions. Thus, communication skills function as an essential bridge connecting academic knowledge with real-world agricultural practice.</w:t>
      </w:r>
    </w:p>
    <w:p w:rsidR="00000000" w:rsidDel="00000000" w:rsidP="00000000" w:rsidRDefault="00000000" w:rsidRPr="00000000" w14:paraId="0000000D">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this importance, students in higher agricultural education frequently encounter significant barriers in developing effective communication skills. These constraints are often multidimensional, encompassing institutional, socio-cultural, technological, and personal factors. </w:t>
      </w:r>
      <w:sdt>
        <w:sdtPr>
          <w:id w:val="-661485343"/>
          <w:tag w:val="goog_rdk_4"/>
        </w:sdtPr>
        <w:sdtContent>
          <w:commentRangeStart w:id="4"/>
        </w:sdtContent>
      </w:sdt>
      <w:r w:rsidDel="00000000" w:rsidR="00000000" w:rsidRPr="00000000">
        <w:rPr>
          <w:rFonts w:ascii="Times New Roman" w:cs="Times New Roman" w:eastAsia="Times New Roman" w:hAnsi="Times New Roman"/>
          <w:sz w:val="24"/>
          <w:szCs w:val="24"/>
          <w:rtl w:val="0"/>
        </w:rPr>
        <w:t xml:space="preserve">Previous studies have identified several barriers such as communication apprehension, language difficulties, limited exposure to communication-oriented learning environments, and insufficient emphasis on soft skills within technical curricula (Mondal &amp; Mandal, 2016; Saxena, Singh, &amp; Verma, 2017). Psychological barriers such as anxiety, low self-confidence, emotional regulation and fear of evaluation can discourage students from actively participating in group discussions or public speaking activities and participation in academic environments which in turn influence</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communication behaviour (McCroskey, 1977; Resnik et al., 2025). Socio-cultural factors: including linguistic diversity, rural–urban background differences, and cultural norms that discourage open expression, may further influence students’ communication behavior (Kumar &amp; Rani, 2021).</w:t>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00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Institutional and curricular constraints also play an important role. Agricultural curricula often emphasize technical and scientific knowledge while giving comparatively limited attention to the systematic development of communication competencies (Devi &amp; Chauhan, 2020). As a result, students may receive limited opportunities to practice communication through activities such as scientific writing, research presentations, public engagement, or interdisciplinary collaboration. In addition, inadequate faculty training in communication pedagogy and insufficient use of participatory teaching methods can restrict students’ exposure to experiential communication learning environments (Myers &amp; Dyer, 2006).</w:t>
      </w:r>
    </w:p>
    <w:p w:rsidR="00000000" w:rsidDel="00000000" w:rsidP="00000000" w:rsidRDefault="00000000" w:rsidRPr="00000000" w14:paraId="0000000F">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Recent transformations in digital learning environments have introduced additional challenges. The growing integration of information and communication technologies (ICT), including artificial intelligence tools, online learning platforms, and social media, has significantly altered students’ learning behaviors. While these technologies provide new opportunities for information access and collaborative learning, excessive reliance on digital tools may reduce opportunities for face-to-face communication, creative thinking, and cognitive engagement. Issues such as excessive screen time, digital distraction, and overdependence on automated academic tools may inadvertently hinder the development of interpersonal communication competencies among students (Lepp, Barkley, &amp; Karpinski, 2014). Recent studies highlight that while artificial intelligence and digital tools enhance learning efficiency, excessive reliance on these technologies may reduce cognitive engagement, interpersonal interaction, and independent skill development in higher education contexts (Hasan et al., 2025). The rapid digital transformation of higher education has introduced new pedagogical and behavioural challenges, requiring a balance between technological integration and the development of essential communication competencies (Tang et al., 2025). These emerging technological influences highlight the need to reconsider communication skill development within increasingly digitalized educational environments.</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Understanding communication skill development also requires a strong theoretical foundation. Social Cognitive Theory (Bandura, 1997) emphasizes that learning occurs through the interaction of personal characteristics, behavioral engagement, and environmental influences. Within higher agricultural education, institutional structures, curricular design, technological environments, and individual psychological traits interact to shape students’ communication behavior and skill development. Similarly, Communication Apprehension Theory (McCroskey, 1977) explains how anxiety and fear of evaluation can inhibit individuals’ willingness to participate in communication activities, thereby limiting opportunities for skill acquisition and influencing communication behaviour, which is shaped by psychological readiness, context, and perceived competence (MacIntyre, 2020). From a pedagogical perspective, Experiential Learning Theory (Kolb, 1984) highlights the importance of active participation and real-world engagement in developing practical competencies. In educational environments where communication opportunities are limited or insufficiently integrated into curricula, students may graduate with strong disciplinary knowledge but inadequate communication competence.</w:t>
      </w:r>
    </w:p>
    <w:p w:rsidR="00000000" w:rsidDel="00000000" w:rsidP="00000000" w:rsidRDefault="00000000" w:rsidRPr="00000000" w14:paraId="00000011">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Although several studies have examined barriers affecting communication skill development, much of the existing literature has addressed these issues in isolation, focusing on individual factors such as psychological barriers, curriculum limitations, or socio-cultural influences. Such approaches provide valuable insights but often fail to capture the multidimensional nature of constraints that simultaneously shape communication skill development in higher agricultural education. Furthermore, emerging challenges related to the growing use of digital technologies and artificial intelligence in academic environments remain relatively underexplored within the context of agricultural education.</w:t>
      </w:r>
    </w:p>
    <w:p w:rsidR="00000000" w:rsidDel="00000000" w:rsidP="00000000" w:rsidRDefault="00000000" w:rsidRPr="00000000" w14:paraId="00000012">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limitation of previous research is that many studies have primarily adopted descriptive approaches to identify communication barriers without systematically prioritizing their relative importance. A structured and consensus-based approach that combines Delphi technique for identifying key indicators and Garrett ranking for quantifying and prioritizing constraints can provide a more comprehensive and evidence-based understanding of the barriers affecting communication skill development among students.</w:t>
      </w:r>
    </w:p>
    <w:p w:rsidR="00000000" w:rsidDel="00000000" w:rsidP="00000000" w:rsidRDefault="00000000" w:rsidRPr="00000000" w14:paraId="00000013">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context, the present study aims to systematically identify and prioritize the multidimensional constraints that hinder communication skill development among postgraduate students in higher agricultural education in India. By integrating technological, institutional, socio-economic, and personal dimensions, the study seeks to generate actionable insights that can inform curriculum reforms, pedagogical innovations, and policy interventions aimed at strengthening communication competence among future agricultural professionals.</w:t>
      </w:r>
    </w:p>
    <w:p w:rsidR="00000000" w:rsidDel="00000000" w:rsidP="00000000" w:rsidRDefault="00000000" w:rsidRPr="00000000" w14:paraId="00000014">
      <w:pPr>
        <w:spacing w:line="240" w:lineRule="auto"/>
        <w:jc w:val="both"/>
        <w:rPr>
          <w:rFonts w:ascii="Times New Roman" w:cs="Times New Roman" w:eastAsia="Times New Roman" w:hAnsi="Times New Roman"/>
          <w:b w:val="1"/>
          <w:bCs w:val="1"/>
          <w:sz w:val="24"/>
          <w:szCs w:val="24"/>
        </w:rPr>
      </w:pPr>
      <w:sdt>
        <w:sdtPr>
          <w:id w:val="2029786439"/>
          <w:tag w:val="goog_rdk_5"/>
        </w:sdtPr>
        <w:sdtContent>
          <w:commentRangeStart w:id="5"/>
        </w:sdtContent>
      </w:sdt>
      <w:r w:rsidDel="00000000" w:rsidR="00000000" w:rsidRPr="00000000">
        <w:rPr>
          <w:rFonts w:ascii="Times New Roman" w:cs="Times New Roman" w:eastAsia="Times New Roman" w:hAnsi="Times New Roman"/>
          <w:b w:val="1"/>
          <w:bCs w:val="1"/>
          <w:sz w:val="24"/>
          <w:szCs w:val="24"/>
          <w:rtl w:val="0"/>
        </w:rPr>
        <w:t xml:space="preserve">Materials and Methods</w:t>
      </w:r>
      <w:commentRangeEnd w:id="5"/>
      <w:r w:rsidDel="00000000" w:rsidR="00000000" w:rsidRPr="00000000">
        <w:commentReference w:id="5"/>
      </w:r>
      <w:r w:rsidDel="00000000" w:rsidR="00000000" w:rsidRPr="00000000">
        <w:rPr>
          <w:rtl w:val="0"/>
        </w:rPr>
      </w:r>
    </w:p>
    <w:p w:rsidR="00000000" w:rsidDel="00000000" w:rsidP="00000000" w:rsidRDefault="00000000" w:rsidRPr="00000000" w14:paraId="0000001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exploratory and descriptive research design was employed to identify and prioritize the constraints affecting communication skill development among postgraduate students in higher agricultural education. The study was conducted in three prominent agricultural institutions in India: Indian Agricultural Research Institute (IARI), G.B. Pant University of Agriculture and Technology (GBPUAT), and Banaras Hindu University (BHU), which were purposively selected based on their performance in the National Institutional Ranking Framework (NIRF) 2024. These institutions represent diverse academic structures within the higher agricultural education system, including a deemed university, a state agricultural university, and a central university with an agricultural faculty.</w:t>
      </w:r>
    </w:p>
    <w:p w:rsidR="00000000" w:rsidDel="00000000" w:rsidP="00000000" w:rsidRDefault="00000000" w:rsidRPr="00000000" w14:paraId="0000001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identify the key dimensions and indicators of communication skill constraints, the Delphi technique was employed. The Delphi method is a structured process of expert consultation used to achieve consensus on complex issues through iterative rounds of feedback (Linstone &amp; Turoff, 1975). Recent studies have increasingly applied the Delphi technique to identify competencies and emerging challenges in higher education, particularly in technology-integrated learning environments (Petrova, 2025). A panel of experts from agricultural education, extension, and communication disciplines participated in the consultation process. Three rounds of Delphi surveys were conducted, consistent with recommended practices for achieving consensus in expert-based research (Ludwig, 1997; Skulmoski et al., 2007). The panel initially consisted of 25 experts in Round 1, with 23 experts participating in Round 2, indicating strong response rates.</w:t>
      </w:r>
    </w:p>
    <w:p w:rsidR="00000000" w:rsidDel="00000000" w:rsidP="00000000" w:rsidRDefault="00000000" w:rsidRPr="00000000" w14:paraId="00000017">
      <w:pPr>
        <w:jc w:val="both"/>
        <w:rPr>
          <w:rFonts w:ascii="Times New Roman" w:cs="Times New Roman" w:eastAsia="Times New Roman" w:hAnsi="Times New Roman"/>
          <w:sz w:val="24"/>
          <w:szCs w:val="24"/>
        </w:rPr>
      </w:pPr>
      <w:sdt>
        <w:sdtPr>
          <w:id w:val="-1914909227"/>
          <w:tag w:val="goog_rdk_6"/>
        </w:sdtPr>
        <w:sdtContent>
          <w:r w:rsidDel="00000000" w:rsidR="00000000" w:rsidRPr="00000000">
            <w:rPr>
              <w:rFonts w:ascii="Gungsuh" w:cs="Gungsuh" w:eastAsia="Gungsuh" w:hAnsi="Gungsuh"/>
              <w:sz w:val="24"/>
              <w:szCs w:val="24"/>
              <w:rtl w:val="0"/>
            </w:rPr>
            <w:t xml:space="preserve">Consensus among experts was assessed using Interquartile Range (IQR) and Quartile Deviation (QD). Indicators with QD ≤ 1 and IQR ≤ 2 were considered to have achieved high consensus, while items with lower consensus were excluded (Trexler et al., 2006; Duncan et al., 2014). After three rounds of consultation, 24 indicators across five constraint dimensions were retained. These dimensions included ICT-related constraints, curriculum-related constraints, institutional and resource constraints, socio-economic constraints, and personal constraints. Reliability of the identified indicators was confirmed using Cronbach’s alpha (α = 0.786), indicating acceptable internal consistency.</w:t>
          </w:r>
        </w:sdtContent>
      </w:sdt>
    </w:p>
    <w:p w:rsidR="00000000" w:rsidDel="00000000" w:rsidP="00000000" w:rsidRDefault="00000000" w:rsidRPr="00000000" w14:paraId="00000018">
      <w:pPr>
        <w:jc w:val="both"/>
        <w:rPr>
          <w:rFonts w:ascii="Times New Roman" w:cs="Times New Roman" w:eastAsia="Times New Roman" w:hAnsi="Times New Roman"/>
          <w:sz w:val="24"/>
          <w:szCs w:val="24"/>
        </w:rPr>
      </w:pPr>
      <w:sdt>
        <w:sdtPr>
          <w:id w:val="-1098076287"/>
          <w:tag w:val="goog_rdk_7"/>
        </w:sdtPr>
        <w:sdtContent>
          <w:commentRangeStart w:id="6"/>
        </w:sdtContent>
      </w:sdt>
      <w:r w:rsidDel="00000000" w:rsidR="00000000" w:rsidRPr="00000000">
        <w:rPr>
          <w:rFonts w:ascii="Times New Roman" w:cs="Times New Roman" w:eastAsia="Times New Roman" w:hAnsi="Times New Roman"/>
          <w:sz w:val="24"/>
          <w:szCs w:val="24"/>
          <w:rtl w:val="0"/>
        </w:rPr>
        <w:t xml:space="preserve">Primary data were collected from postgraduate students of the selected institutions using a structured questionnaire administered through Google Forms, email distribution, and personal interactions. To prioritize the severity of identified constraints, the Garrett ranking technique was applied. Respondents were asked to rank the identified constraints, and the ranks were converted into scores using the Garrett conversion method (Garrett &amp; Woodworth, 1969). </w:t>
      </w:r>
      <w:commentRangeEnd w:id="6"/>
      <w:r w:rsidDel="00000000" w:rsidR="00000000" w:rsidRPr="00000000">
        <w:commentReference w:id="6"/>
      </w:r>
      <w:r w:rsidDel="00000000" w:rsidR="00000000" w:rsidRPr="00000000">
        <w:rPr>
          <w:rFonts w:ascii="Times New Roman" w:cs="Times New Roman" w:eastAsia="Times New Roman" w:hAnsi="Times New Roman"/>
          <w:sz w:val="24"/>
          <w:szCs w:val="24"/>
          <w:rtl w:val="0"/>
        </w:rPr>
        <w:t xml:space="preserve">The percent position for each ranked item was calculated as:</w:t>
      </w:r>
    </w:p>
    <w:p w:rsidR="00000000" w:rsidDel="00000000" w:rsidP="00000000" w:rsidRDefault="00000000" w:rsidRPr="00000000" w14:paraId="00000019">
      <w:pPr>
        <w:jc w:val="center"/>
        <w:rPr>
          <w:rFonts w:ascii="Cambria Math" w:cs="Cambria Math" w:eastAsia="Cambria Math" w:hAnsi="Cambria Math"/>
          <w:sz w:val="24"/>
          <w:szCs w:val="24"/>
        </w:rPr>
      </w:pPr>
      <m:oMath>
        <m:r>
          <w:rPr>
            <w:rFonts w:ascii="Times New Roman" w:cs="Times New Roman" w:eastAsia="Times New Roman" w:hAnsi="Times New Roman"/>
            <w:sz w:val="24"/>
            <w:szCs w:val="24"/>
          </w:rPr>
          <m:t xml:space="preserve">Percent Position</m:t>
        </m:r>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100(</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R</m:t>
                </m:r>
              </m:e>
              <m:sub>
                <m:r>
                  <w:rPr>
                    <w:rFonts w:ascii="Cambria Math" w:cs="Cambria Math" w:eastAsia="Cambria Math" w:hAnsi="Cambria Math"/>
                    <w:sz w:val="24"/>
                    <w:szCs w:val="24"/>
                  </w:rPr>
                  <m:t xml:space="preserve">ij</m:t>
                </m:r>
              </m:sub>
            </m:sSub>
            <m:r>
              <w:rPr>
                <w:rFonts w:ascii="Cambria Math" w:cs="Cambria Math" w:eastAsia="Cambria Math" w:hAnsi="Cambria Math"/>
                <w:sz w:val="24"/>
                <w:szCs w:val="24"/>
              </w:rPr>
              <m:t xml:space="preserve">-0.5)</m:t>
            </m:r>
          </m:num>
          <m:den>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N</m:t>
                </m:r>
              </m:e>
              <m:sub>
                <m:r>
                  <w:rPr>
                    <w:rFonts w:ascii="Cambria Math" w:cs="Cambria Math" w:eastAsia="Cambria Math" w:hAnsi="Cambria Math"/>
                    <w:sz w:val="24"/>
                    <w:szCs w:val="24"/>
                  </w:rPr>
                  <m:t xml:space="preserve">j</m:t>
                </m:r>
              </m:sub>
            </m:sSub>
          </m:den>
        </m:f>
      </m:oMath>
      <w:r w:rsidDel="00000000" w:rsidR="00000000" w:rsidRPr="00000000">
        <w:rPr>
          <w:rtl w:val="0"/>
        </w:rPr>
      </w:r>
    </w:p>
    <w:p w:rsidR="00000000" w:rsidDel="00000000" w:rsidP="00000000" w:rsidRDefault="00000000" w:rsidRPr="00000000" w14:paraId="0000001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R</m:t>
            </m:r>
          </m:e>
          <m:sub>
            <m:r>
              <w:rPr>
                <w:rFonts w:ascii="Cambria Math" w:cs="Cambria Math" w:eastAsia="Cambria Math" w:hAnsi="Cambria Math"/>
                <w:sz w:val="24"/>
                <w:szCs w:val="24"/>
              </w:rPr>
              <m:t xml:space="preserve">ij</m:t>
            </m:r>
          </m:sub>
        </m:sSub>
      </m:oMath>
      <w:r w:rsidDel="00000000" w:rsidR="00000000" w:rsidRPr="00000000">
        <w:rPr>
          <w:rFonts w:ascii="Times New Roman" w:cs="Times New Roman" w:eastAsia="Times New Roman" w:hAnsi="Times New Roman"/>
          <w:sz w:val="24"/>
          <w:szCs w:val="24"/>
          <w:rtl w:val="0"/>
        </w:rPr>
        <w:t xml:space="preserve">represents the rank assigned to the </w:t>
      </w:r>
      <w:r w:rsidDel="00000000" w:rsidR="00000000" w:rsidRPr="00000000">
        <w:rPr>
          <w:rFonts w:ascii="Times New Roman" w:cs="Times New Roman" w:eastAsia="Times New Roman" w:hAnsi="Times New Roman"/>
          <w:i w:val="1"/>
          <w:iCs w:val="1"/>
          <w:sz w:val="24"/>
          <w:szCs w:val="24"/>
          <w:rtl w:val="0"/>
        </w:rPr>
        <w:t xml:space="preserve">i</w:t>
      </w:r>
      <w:r w:rsidDel="00000000" w:rsidR="00000000" w:rsidRPr="00000000">
        <w:rPr>
          <w:rFonts w:ascii="Times New Roman" w:cs="Times New Roman" w:eastAsia="Times New Roman" w:hAnsi="Times New Roman"/>
          <w:sz w:val="24"/>
          <w:szCs w:val="24"/>
          <w:rtl w:val="0"/>
        </w:rPr>
        <w:t xml:space="preserve">th constraint by the </w:t>
      </w:r>
      <w:r w:rsidDel="00000000" w:rsidR="00000000" w:rsidRPr="00000000">
        <w:rPr>
          <w:rFonts w:ascii="Times New Roman" w:cs="Times New Roman" w:eastAsia="Times New Roman" w:hAnsi="Times New Roman"/>
          <w:i w:val="1"/>
          <w:iCs w:val="1"/>
          <w:sz w:val="24"/>
          <w:szCs w:val="24"/>
          <w:rtl w:val="0"/>
        </w:rPr>
        <w:t xml:space="preserve">j</w:t>
      </w:r>
      <w:r w:rsidDel="00000000" w:rsidR="00000000" w:rsidRPr="00000000">
        <w:rPr>
          <w:rFonts w:ascii="Times New Roman" w:cs="Times New Roman" w:eastAsia="Times New Roman" w:hAnsi="Times New Roman"/>
          <w:sz w:val="24"/>
          <w:szCs w:val="24"/>
          <w:rtl w:val="0"/>
        </w:rPr>
        <w:t xml:space="preserve">th respondent and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N</m:t>
            </m:r>
          </m:e>
          <m:sub>
            <m:r>
              <w:rPr>
                <w:rFonts w:ascii="Cambria Math" w:cs="Cambria Math" w:eastAsia="Cambria Math" w:hAnsi="Cambria Math"/>
                <w:sz w:val="24"/>
                <w:szCs w:val="24"/>
              </w:rPr>
              <m:t xml:space="preserve">j</m:t>
            </m:r>
          </m:sub>
        </m:sSub>
      </m:oMath>
      <w:r w:rsidDel="00000000" w:rsidR="00000000" w:rsidRPr="00000000">
        <w:rPr>
          <w:rFonts w:ascii="Times New Roman" w:cs="Times New Roman" w:eastAsia="Times New Roman" w:hAnsi="Times New Roman"/>
          <w:sz w:val="24"/>
          <w:szCs w:val="24"/>
          <w:rtl w:val="0"/>
        </w:rPr>
        <w:t xml:space="preserve">denotes the total number of constraints ranked by the respondent. The obtained percent positions were converted into Garrett scores using standard tables, and the average scores were calculated to determine the final ranking of constraints. Higher Garrett scores indicated greater severity of the perceived constraint.</w:t>
      </w:r>
    </w:p>
    <w:p w:rsidR="00000000" w:rsidDel="00000000" w:rsidP="00000000" w:rsidRDefault="00000000" w:rsidRPr="00000000" w14:paraId="0000001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approach enabled a systematic identification and prioritization of the multidimensional barriers affecting communication skill development among postgraduate students in higher agricultural education.</w:t>
      </w:r>
    </w:p>
    <w:p w:rsidR="00000000" w:rsidDel="00000000" w:rsidP="00000000" w:rsidRDefault="00000000" w:rsidRPr="00000000" w14:paraId="0000001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jc w:val="both"/>
        <w:rPr>
          <w:rFonts w:ascii="Times New Roman" w:cs="Times New Roman" w:eastAsia="Times New Roman" w:hAnsi="Times New Roman"/>
          <w:b w:val="1"/>
          <w:bCs w:val="1"/>
          <w:sz w:val="24"/>
          <w:szCs w:val="24"/>
        </w:rPr>
      </w:pPr>
      <w:sdt>
        <w:sdtPr>
          <w:id w:val="-1090782875"/>
          <w:tag w:val="goog_rdk_8"/>
        </w:sdtPr>
        <w:sdtContent>
          <w:commentRangeStart w:id="7"/>
        </w:sdtContent>
      </w:sdt>
      <w:r w:rsidDel="00000000" w:rsidR="00000000" w:rsidRPr="00000000">
        <w:rPr>
          <w:rFonts w:ascii="Times New Roman" w:cs="Times New Roman" w:eastAsia="Times New Roman" w:hAnsi="Times New Roman"/>
          <w:b w:val="1"/>
          <w:bCs w:val="1"/>
          <w:sz w:val="24"/>
          <w:szCs w:val="24"/>
          <w:rtl w:val="0"/>
        </w:rPr>
        <w:t xml:space="preserve">Major findings</w:t>
      </w:r>
    </w:p>
    <w:p w:rsidR="00000000" w:rsidDel="00000000" w:rsidP="00000000" w:rsidRDefault="00000000" w:rsidRPr="00000000" w14:paraId="0000001E">
      <w:pPr>
        <w:jc w:val="both"/>
        <w:rPr>
          <w:rFonts w:ascii="Times New Roman" w:cs="Times New Roman" w:eastAsia="Times New Roman" w:hAnsi="Times New Roman"/>
          <w:sz w:val="24"/>
          <w:szCs w:val="24"/>
        </w:rPr>
      </w:pPr>
      <w:sdt>
        <w:sdtPr>
          <w:id w:val="901830302"/>
          <w:tag w:val="goog_rdk_9"/>
        </w:sdtPr>
        <w:sdtContent>
          <w:r w:rsidDel="00000000" w:rsidR="00000000" w:rsidRPr="00000000">
            <w:rPr>
              <w:rFonts w:ascii="Gungsuh" w:cs="Gungsuh" w:eastAsia="Gungsuh" w:hAnsi="Gungsuh"/>
              <w:sz w:val="24"/>
              <w:szCs w:val="24"/>
              <w:rtl w:val="0"/>
            </w:rPr>
            <w:t xml:space="preserve">The Delphi technique was employed to generate the dimensions and finalize indicators of constraints. The Delphi method, defined as a structured and iterative process of expert consultation (Linstone &amp; Turoff, 1975), was chosen for its ability to build consensus while minimizing group conflict (Lang, 1995). The procedure followed established steps: selection of a knowledgeable panel, iterative rounds of questionnaires, controlled feedback, and maintenance of anonymity to ensure unbiased responses (Delbecq et al., 1975; Rothwell &amp; Kazanus, 1997). Three rounds were conducted, consistent with recommendations that two to three iterations are typically sufficient for consensus development (Ludwig, 1997; Custer et al., 1999). Panel size was kept within accepted norms (15–30 participants), with 25 experts responding in Round 1 and 23 in Round 2, reflecting strong participation (Moore, 1987; Skulmoski et al., 2007). Consensus was assessed using interquartile range (IQR), and quartile deviation(QD), in line with best practices (Trexler et al., 2006; De Vet et al., 2007). High consensus was defined as a QD≤1 and IQR ≤2, while items with medium or no consensus were excluded (Duncan et al., 2014). Reliability was confirmed with a Cronbach’s alpha of 0.786, and face validity was established through expert review. Data were collected via Google Forms, email, and personal distribution, reflecting modern adaptations of Delphi beyond traditional pen-and-paper methods (Cramer, 2003). The process concluded successfully in Round 3, where consensus was reached across all items, avoiding undue influence from the “bandwagon effect” (Dalkey &amp; Rourke, 1972; Jacobs, 1996). Overall, the Delphi process ensured systematic, valid, and reliable identification of dimensions and indicators of constraints</w:t>
          </w:r>
        </w:sdtContent>
      </w:sdt>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4"/>
          <w:szCs w:val="24"/>
          <w:rtl w:val="0"/>
        </w:rPr>
        <w:t xml:space="preserve">in developing effective communication skills in agricultural education, echoing its established use in competency and curriculum development (Martin &amp; Frick, 1998).</w:t>
      </w:r>
    </w:p>
    <w:p w:rsidR="00000000" w:rsidDel="00000000" w:rsidP="00000000" w:rsidRDefault="00000000" w:rsidRPr="00000000" w14:paraId="0000001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third round of responses with 76.6 % (23 out of 30) response rate 24 indicators were retained out of 30 indicators which were listed after third round among 5 dimensions high consensus. Five dimensions include. Constraints due to ICT, Constraints due to Curriculum, Institution and Resource constraints, Constraints due Socio personal background and Personal constraints.</w:t>
      </w:r>
      <w:commentRangeEnd w:id="7"/>
      <w:r w:rsidDel="00000000" w:rsidR="00000000" w:rsidRPr="00000000">
        <w:commentReference w:id="7"/>
      </w:r>
      <w:r w:rsidDel="00000000" w:rsidR="00000000" w:rsidRPr="00000000">
        <w:rPr>
          <w:rtl w:val="0"/>
        </w:rPr>
      </w:r>
    </w:p>
    <w:p w:rsidR="00000000" w:rsidDel="00000000" w:rsidP="00000000" w:rsidRDefault="00000000" w:rsidRPr="00000000" w14:paraId="00000020">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Table 1. Ranking of constraints encountered by students due to Information Communication Technology</w:t>
      </w:r>
    </w:p>
    <w:p w:rsidR="00000000" w:rsidDel="00000000" w:rsidP="00000000" w:rsidRDefault="00000000" w:rsidRPr="00000000" w14:paraId="00000021">
      <w:pPr>
        <w:spacing w:after="0" w:lineRule="auto"/>
        <w:rPr>
          <w:rFonts w:ascii="Times New Roman" w:cs="Times New Roman" w:eastAsia="Times New Roman" w:hAnsi="Times New Roman"/>
          <w:sz w:val="24"/>
          <w:szCs w:val="24"/>
        </w:rPr>
      </w:pPr>
      <w:r w:rsidDel="00000000" w:rsidR="00000000" w:rsidRPr="00000000">
        <w:rPr>
          <w:rtl w:val="0"/>
        </w:rPr>
      </w:r>
    </w:p>
    <w:tbl>
      <w:tblPr>
        <w:tblStyle w:val="Table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44"/>
        <w:gridCol w:w="670"/>
        <w:gridCol w:w="576"/>
        <w:gridCol w:w="1503"/>
        <w:gridCol w:w="1323"/>
        <w:tblGridChange w:id="0">
          <w:tblGrid>
            <w:gridCol w:w="4944"/>
            <w:gridCol w:w="670"/>
            <w:gridCol w:w="576"/>
            <w:gridCol w:w="1503"/>
            <w:gridCol w:w="1323"/>
          </w:tblGrid>
        </w:tblGridChange>
      </w:tblGrid>
      <w:tr>
        <w:trPr>
          <w:cantSplit w:val="0"/>
          <w:trHeight w:val="188" w:hRule="atLeast"/>
          <w:tblHeader w:val="0"/>
        </w:trPr>
        <w:tc>
          <w:tcPr>
            <w:vAlign w:val="center"/>
          </w:tcPr>
          <w:p w:rsidR="00000000" w:rsidDel="00000000" w:rsidP="00000000" w:rsidRDefault="00000000" w:rsidRPr="00000000" w14:paraId="00000022">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INDICATORS</w:t>
            </w:r>
          </w:p>
        </w:tc>
        <w:tc>
          <w:tcPr>
            <w:vAlign w:val="center"/>
          </w:tcPr>
          <w:p w:rsidR="00000000" w:rsidDel="00000000" w:rsidP="00000000" w:rsidRDefault="00000000" w:rsidRPr="00000000" w14:paraId="00000023">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IQR</w:t>
            </w:r>
          </w:p>
        </w:tc>
        <w:tc>
          <w:tcPr>
            <w:vAlign w:val="center"/>
          </w:tcPr>
          <w:p w:rsidR="00000000" w:rsidDel="00000000" w:rsidP="00000000" w:rsidRDefault="00000000" w:rsidRPr="00000000" w14:paraId="00000024">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QD</w:t>
            </w:r>
          </w:p>
        </w:tc>
        <w:tc>
          <w:tcPr>
            <w:vAlign w:val="center"/>
          </w:tcPr>
          <w:p w:rsidR="00000000" w:rsidDel="00000000" w:rsidP="00000000" w:rsidRDefault="00000000" w:rsidRPr="00000000" w14:paraId="00000025">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AVERAGE score</w:t>
            </w:r>
          </w:p>
        </w:tc>
        <w:tc>
          <w:tcPr>
            <w:vAlign w:val="center"/>
          </w:tcPr>
          <w:p w:rsidR="00000000" w:rsidDel="00000000" w:rsidP="00000000" w:rsidRDefault="00000000" w:rsidRPr="00000000" w14:paraId="00000026">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GARRET rank</w:t>
            </w:r>
          </w:p>
        </w:tc>
      </w:tr>
      <w:tr>
        <w:trPr>
          <w:cantSplit w:val="0"/>
          <w:trHeight w:val="188" w:hRule="atLeast"/>
          <w:tblHeader w:val="0"/>
        </w:trPr>
        <w:tc>
          <w:tcPr>
            <w:gridSpan w:val="5"/>
            <w:vAlign w:val="center"/>
          </w:tcPr>
          <w:p w:rsidR="00000000" w:rsidDel="00000000" w:rsidP="00000000" w:rsidRDefault="00000000" w:rsidRPr="00000000" w14:paraId="00000027">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CONSTRAINTS DUE TO ICT</w:t>
            </w:r>
          </w:p>
        </w:tc>
      </w:tr>
      <w:tr>
        <w:trPr>
          <w:cantSplit w:val="0"/>
          <w:trHeight w:val="658" w:hRule="atLeast"/>
          <w:tblHeader w:val="0"/>
        </w:trPr>
        <w:tc>
          <w:tcPr>
            <w:vAlign w:val="center"/>
          </w:tcPr>
          <w:p w:rsidR="00000000" w:rsidDel="00000000" w:rsidP="00000000" w:rsidRDefault="00000000" w:rsidRPr="00000000" w14:paraId="0000002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Extensive use of Artificial intelligence (AI) and online teaching material for academics leads to less creativity and cognitive development follows less development of communication skills.</w:t>
            </w:r>
          </w:p>
        </w:tc>
        <w:tc>
          <w:tcPr>
            <w:vAlign w:val="center"/>
          </w:tcPr>
          <w:p w:rsidR="00000000" w:rsidDel="00000000" w:rsidP="00000000" w:rsidRDefault="00000000" w:rsidRPr="00000000" w14:paraId="0000002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Align w:val="center"/>
          </w:tcPr>
          <w:p w:rsidR="00000000" w:rsidDel="00000000" w:rsidP="00000000" w:rsidRDefault="00000000" w:rsidRPr="00000000" w14:paraId="0000002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tc>
        <w:tc>
          <w:tcPr>
            <w:vAlign w:val="center"/>
          </w:tcPr>
          <w:p w:rsidR="00000000" w:rsidDel="00000000" w:rsidP="00000000" w:rsidRDefault="00000000" w:rsidRPr="00000000" w14:paraId="0000002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59.05</w:t>
            </w:r>
          </w:p>
        </w:tc>
        <w:tc>
          <w:tcPr>
            <w:vAlign w:val="center"/>
          </w:tcPr>
          <w:p w:rsidR="00000000" w:rsidDel="00000000" w:rsidP="00000000" w:rsidRDefault="00000000" w:rsidRPr="00000000" w14:paraId="0000003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t>
            </w:r>
          </w:p>
        </w:tc>
      </w:tr>
      <w:tr>
        <w:trPr>
          <w:cantSplit w:val="0"/>
          <w:trHeight w:val="386" w:hRule="atLeast"/>
          <w:tblHeader w:val="0"/>
        </w:trPr>
        <w:tc>
          <w:tcPr>
            <w:vAlign w:val="center"/>
          </w:tcPr>
          <w:p w:rsidR="00000000" w:rsidDel="00000000" w:rsidP="00000000" w:rsidRDefault="00000000" w:rsidRPr="00000000" w14:paraId="0000003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Excessive screen time for usage of ICT devices and social media leads less time spared for planned academics leads to less development of communication skills.</w:t>
            </w:r>
          </w:p>
        </w:tc>
        <w:tc>
          <w:tcPr>
            <w:vAlign w:val="center"/>
          </w:tcPr>
          <w:p w:rsidR="00000000" w:rsidDel="00000000" w:rsidP="00000000" w:rsidRDefault="00000000" w:rsidRPr="00000000" w14:paraId="0000003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Align w:val="center"/>
          </w:tcPr>
          <w:p w:rsidR="00000000" w:rsidDel="00000000" w:rsidP="00000000" w:rsidRDefault="00000000" w:rsidRPr="00000000" w14:paraId="0000003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Align w:val="center"/>
          </w:tcPr>
          <w:p w:rsidR="00000000" w:rsidDel="00000000" w:rsidP="00000000" w:rsidRDefault="00000000" w:rsidRPr="00000000" w14:paraId="0000003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53.52</w:t>
            </w:r>
          </w:p>
        </w:tc>
        <w:tc>
          <w:tcPr>
            <w:vAlign w:val="center"/>
          </w:tcPr>
          <w:p w:rsidR="00000000" w:rsidDel="00000000" w:rsidP="00000000" w:rsidRDefault="00000000" w:rsidRPr="00000000" w14:paraId="0000003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w:t>
            </w:r>
          </w:p>
        </w:tc>
      </w:tr>
      <w:tr>
        <w:trPr>
          <w:cantSplit w:val="0"/>
          <w:trHeight w:val="618" w:hRule="atLeast"/>
          <w:tblHeader w:val="0"/>
        </w:trPr>
        <w:tc>
          <w:tcPr>
            <w:vAlign w:val="center"/>
          </w:tcPr>
          <w:p w:rsidR="00000000" w:rsidDel="00000000" w:rsidP="00000000" w:rsidRDefault="00000000" w:rsidRPr="00000000" w14:paraId="0000003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Distraction: - Difficulty in maintaining focus during communication activities due to the temptation of checking their mobile phones for notifications or messages.</w:t>
            </w:r>
          </w:p>
        </w:tc>
        <w:tc>
          <w:tcPr>
            <w:vAlign w:val="center"/>
          </w:tcPr>
          <w:p w:rsidR="00000000" w:rsidDel="00000000" w:rsidP="00000000" w:rsidRDefault="00000000" w:rsidRPr="00000000" w14:paraId="0000003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Align w:val="center"/>
          </w:tcPr>
          <w:p w:rsidR="00000000" w:rsidDel="00000000" w:rsidP="00000000" w:rsidRDefault="00000000" w:rsidRPr="00000000" w14:paraId="0000003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tc>
        <w:tc>
          <w:tcPr>
            <w:vAlign w:val="center"/>
          </w:tcPr>
          <w:p w:rsidR="00000000" w:rsidDel="00000000" w:rsidP="00000000" w:rsidRDefault="00000000" w:rsidRPr="00000000" w14:paraId="0000003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47.26</w:t>
            </w:r>
          </w:p>
        </w:tc>
        <w:tc>
          <w:tcPr>
            <w:vAlign w:val="center"/>
          </w:tcPr>
          <w:p w:rsidR="00000000" w:rsidDel="00000000" w:rsidP="00000000" w:rsidRDefault="00000000" w:rsidRPr="00000000" w14:paraId="0000003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w:t>
            </w:r>
          </w:p>
        </w:tc>
      </w:tr>
      <w:tr>
        <w:trPr>
          <w:cantSplit w:val="0"/>
          <w:trHeight w:val="429" w:hRule="atLeast"/>
          <w:tblHeader w:val="0"/>
        </w:trPr>
        <w:tc>
          <w:tcPr>
            <w:vAlign w:val="center"/>
          </w:tcPr>
          <w:p w:rsidR="00000000" w:rsidDel="00000000" w:rsidP="00000000" w:rsidRDefault="00000000" w:rsidRPr="00000000" w14:paraId="0000003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Over-reliance on mobile phones for communication may contribute to social isolation, reducing opportunities for students to engage in real-world communication scenarios and develop interpersonal communication skills.</w:t>
            </w:r>
          </w:p>
        </w:tc>
        <w:tc>
          <w:tcPr>
            <w:vAlign w:val="center"/>
          </w:tcPr>
          <w:p w:rsidR="00000000" w:rsidDel="00000000" w:rsidP="00000000" w:rsidRDefault="00000000" w:rsidRPr="00000000" w14:paraId="0000003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Align w:val="center"/>
          </w:tcPr>
          <w:p w:rsidR="00000000" w:rsidDel="00000000" w:rsidP="00000000" w:rsidRDefault="00000000" w:rsidRPr="00000000" w14:paraId="0000003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tc>
        <w:tc>
          <w:tcPr>
            <w:vAlign w:val="center"/>
          </w:tcPr>
          <w:p w:rsidR="00000000" w:rsidDel="00000000" w:rsidP="00000000" w:rsidRDefault="00000000" w:rsidRPr="00000000" w14:paraId="0000003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46.33</w:t>
            </w:r>
          </w:p>
        </w:tc>
        <w:tc>
          <w:tcPr>
            <w:vAlign w:val="center"/>
          </w:tcPr>
          <w:p w:rsidR="00000000" w:rsidDel="00000000" w:rsidP="00000000" w:rsidRDefault="00000000" w:rsidRPr="00000000" w14:paraId="0000003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w:t>
            </w:r>
          </w:p>
        </w:tc>
      </w:tr>
      <w:tr>
        <w:trPr>
          <w:cantSplit w:val="0"/>
          <w:trHeight w:val="48" w:hRule="atLeast"/>
          <w:tblHeader w:val="0"/>
        </w:trPr>
        <w:tc>
          <w:tcPr>
            <w:vAlign w:val="center"/>
          </w:tcPr>
          <w:p w:rsidR="00000000" w:rsidDel="00000000" w:rsidP="00000000" w:rsidRDefault="00000000" w:rsidRPr="00000000" w14:paraId="0000004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Heavy mobile phone usage has been associated with shortened attention span, making it challenging for students to engage in sustained, focused communication activities.</w:t>
            </w:r>
          </w:p>
        </w:tc>
        <w:tc>
          <w:tcPr>
            <w:vAlign w:val="center"/>
          </w:tcPr>
          <w:p w:rsidR="00000000" w:rsidDel="00000000" w:rsidP="00000000" w:rsidRDefault="00000000" w:rsidRPr="00000000" w14:paraId="0000004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Align w:val="center"/>
          </w:tcPr>
          <w:p w:rsidR="00000000" w:rsidDel="00000000" w:rsidP="00000000" w:rsidRDefault="00000000" w:rsidRPr="00000000" w14:paraId="0000004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tc>
        <w:tc>
          <w:tcPr>
            <w:vAlign w:val="center"/>
          </w:tcPr>
          <w:p w:rsidR="00000000" w:rsidDel="00000000" w:rsidP="00000000" w:rsidRDefault="00000000" w:rsidRPr="00000000" w14:paraId="0000004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43.83</w:t>
            </w:r>
          </w:p>
        </w:tc>
        <w:tc>
          <w:tcPr>
            <w:vAlign w:val="center"/>
          </w:tcPr>
          <w:p w:rsidR="00000000" w:rsidDel="00000000" w:rsidP="00000000" w:rsidRDefault="00000000" w:rsidRPr="00000000" w14:paraId="0000004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r>
      <w:tr>
        <w:trPr>
          <w:cantSplit w:val="0"/>
          <w:trHeight w:val="48" w:hRule="atLeast"/>
          <w:tblHeader w:val="0"/>
        </w:trPr>
        <w:tc>
          <w:tcPr>
            <w:gridSpan w:val="5"/>
            <w:vAlign w:val="center"/>
          </w:tcPr>
          <w:p w:rsidR="00000000" w:rsidDel="00000000" w:rsidP="00000000" w:rsidRDefault="00000000" w:rsidRPr="00000000" w14:paraId="000000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CONSTRAINTS DUE TO CURRICULUM.</w:t>
            </w:r>
            <w:r w:rsidDel="00000000" w:rsidR="00000000" w:rsidRPr="00000000">
              <w:rPr>
                <w:rtl w:val="0"/>
              </w:rPr>
            </w:r>
          </w:p>
        </w:tc>
      </w:tr>
      <w:tr>
        <w:trPr>
          <w:cantSplit w:val="0"/>
          <w:trHeight w:val="48" w:hRule="atLeast"/>
          <w:tblHeader w:val="0"/>
        </w:trPr>
        <w:tc>
          <w:tcPr>
            <w:vAlign w:val="center"/>
          </w:tcPr>
          <w:p w:rsidR="00000000" w:rsidDel="00000000" w:rsidP="00000000" w:rsidRDefault="00000000" w:rsidRPr="00000000" w14:paraId="0000004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Agricultural curricula often give less priorities and focus for communication abilities over technical knowledge and skills.</w:t>
            </w:r>
          </w:p>
        </w:tc>
        <w:tc>
          <w:tcPr>
            <w:vAlign w:val="center"/>
          </w:tcPr>
          <w:p w:rsidR="00000000" w:rsidDel="00000000" w:rsidP="00000000" w:rsidRDefault="00000000" w:rsidRPr="00000000" w14:paraId="0000004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vAlign w:val="center"/>
          </w:tcPr>
          <w:p w:rsidR="00000000" w:rsidDel="00000000" w:rsidP="00000000" w:rsidRDefault="00000000" w:rsidRPr="00000000" w14:paraId="0000004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Align w:val="center"/>
          </w:tcPr>
          <w:p w:rsidR="00000000" w:rsidDel="00000000" w:rsidP="00000000" w:rsidRDefault="00000000" w:rsidRPr="00000000" w14:paraId="0000004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Dropped </w:t>
            </w:r>
          </w:p>
        </w:tc>
        <w:tc>
          <w:tcPr>
            <w:vAlign w:val="center"/>
          </w:tcPr>
          <w:p w:rsidR="00000000" w:rsidDel="00000000" w:rsidP="00000000" w:rsidRDefault="00000000" w:rsidRPr="00000000" w14:paraId="0000004E">
            <w:pPr>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8" w:hRule="atLeast"/>
          <w:tblHeader w:val="0"/>
        </w:trPr>
        <w:tc>
          <w:tcPr>
            <w:vAlign w:val="center"/>
          </w:tcPr>
          <w:p w:rsidR="00000000" w:rsidDel="00000000" w:rsidP="00000000" w:rsidRDefault="00000000" w:rsidRPr="00000000" w14:paraId="0000004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Technical Jargon: Agricultural studies often involve complex terminology and technical jargon that can be challenging to understand and communicate effectively to a general audience.</w:t>
            </w:r>
          </w:p>
        </w:tc>
        <w:tc>
          <w:tcPr>
            <w:vAlign w:val="center"/>
          </w:tcPr>
          <w:p w:rsidR="00000000" w:rsidDel="00000000" w:rsidP="00000000" w:rsidRDefault="00000000" w:rsidRPr="00000000" w14:paraId="0000005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Align w:val="center"/>
          </w:tcPr>
          <w:p w:rsidR="00000000" w:rsidDel="00000000" w:rsidP="00000000" w:rsidRDefault="00000000" w:rsidRPr="00000000" w14:paraId="0000005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Align w:val="center"/>
          </w:tcPr>
          <w:p w:rsidR="00000000" w:rsidDel="00000000" w:rsidP="00000000" w:rsidRDefault="00000000" w:rsidRPr="00000000" w14:paraId="0000005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40.83</w:t>
            </w:r>
          </w:p>
        </w:tc>
        <w:tc>
          <w:tcPr>
            <w:vAlign w:val="center"/>
          </w:tcPr>
          <w:p w:rsidR="00000000" w:rsidDel="00000000" w:rsidP="00000000" w:rsidRDefault="00000000" w:rsidRPr="00000000" w14:paraId="0000005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w:t>
            </w:r>
          </w:p>
        </w:tc>
      </w:tr>
      <w:tr>
        <w:trPr>
          <w:cantSplit w:val="0"/>
          <w:trHeight w:val="48" w:hRule="atLeast"/>
          <w:tblHeader w:val="0"/>
        </w:trPr>
        <w:tc>
          <w:tcPr>
            <w:vAlign w:val="center"/>
          </w:tcPr>
          <w:p w:rsidR="00000000" w:rsidDel="00000000" w:rsidP="00000000" w:rsidRDefault="00000000" w:rsidRPr="00000000" w14:paraId="0000005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Heavy Workload: PG Agricultural programs typically have demanding coursework and practical requirements, leaving little time for communication skill development.</w:t>
            </w:r>
          </w:p>
        </w:tc>
        <w:tc>
          <w:tcPr>
            <w:vAlign w:val="center"/>
          </w:tcPr>
          <w:p w:rsidR="00000000" w:rsidDel="00000000" w:rsidP="00000000" w:rsidRDefault="00000000" w:rsidRPr="00000000" w14:paraId="0000005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Align w:val="center"/>
          </w:tcPr>
          <w:p w:rsidR="00000000" w:rsidDel="00000000" w:rsidP="00000000" w:rsidRDefault="00000000" w:rsidRPr="00000000" w14:paraId="0000005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tc>
        <w:tc>
          <w:tcPr>
            <w:vAlign w:val="center"/>
          </w:tcPr>
          <w:p w:rsidR="00000000" w:rsidDel="00000000" w:rsidP="00000000" w:rsidRDefault="00000000" w:rsidRPr="00000000" w14:paraId="0000005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56.46</w:t>
            </w:r>
          </w:p>
        </w:tc>
        <w:tc>
          <w:tcPr>
            <w:vAlign w:val="center"/>
          </w:tcPr>
          <w:p w:rsidR="00000000" w:rsidDel="00000000" w:rsidP="00000000" w:rsidRDefault="00000000" w:rsidRPr="00000000" w14:paraId="0000005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t>
            </w:r>
          </w:p>
        </w:tc>
      </w:tr>
      <w:tr>
        <w:trPr>
          <w:cantSplit w:val="0"/>
          <w:trHeight w:val="48" w:hRule="atLeast"/>
          <w:tblHeader w:val="0"/>
        </w:trPr>
        <w:tc>
          <w:tcPr>
            <w:vAlign w:val="center"/>
          </w:tcPr>
          <w:p w:rsidR="00000000" w:rsidDel="00000000" w:rsidP="00000000" w:rsidRDefault="00000000" w:rsidRPr="00000000" w14:paraId="0000005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may have limited exposure to diverse communication formats such as scientific writing, presenting research findings, and engaging in discussions, which are essential for effective communication in the field.</w:t>
            </w:r>
          </w:p>
        </w:tc>
        <w:tc>
          <w:tcPr>
            <w:vAlign w:val="center"/>
          </w:tcPr>
          <w:p w:rsidR="00000000" w:rsidDel="00000000" w:rsidP="00000000" w:rsidRDefault="00000000" w:rsidRPr="00000000" w14:paraId="0000005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vAlign w:val="center"/>
          </w:tcPr>
          <w:p w:rsidR="00000000" w:rsidDel="00000000" w:rsidP="00000000" w:rsidRDefault="00000000" w:rsidRPr="00000000" w14:paraId="0000005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vAlign w:val="center"/>
          </w:tcPr>
          <w:p w:rsidR="00000000" w:rsidDel="00000000" w:rsidP="00000000" w:rsidRDefault="00000000" w:rsidRPr="00000000" w14:paraId="0000005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Dropped </w:t>
            </w:r>
          </w:p>
        </w:tc>
        <w:tc>
          <w:tcPr>
            <w:vAlign w:val="center"/>
          </w:tcPr>
          <w:p w:rsidR="00000000" w:rsidDel="00000000" w:rsidP="00000000" w:rsidRDefault="00000000" w:rsidRPr="00000000" w14:paraId="0000005D">
            <w:pPr>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8" w:hRule="atLeast"/>
          <w:tblHeader w:val="0"/>
        </w:trPr>
        <w:tc>
          <w:tcPr>
            <w:vAlign w:val="center"/>
          </w:tcPr>
          <w:p w:rsidR="00000000" w:rsidDel="00000000" w:rsidP="00000000" w:rsidRDefault="00000000" w:rsidRPr="00000000" w14:paraId="0000005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Limited Interaction opportunities with Non-Academic Audiences such as farmers, policymakers, and the general public, limiting their ability to adapt their communication style to different audiences.</w:t>
            </w:r>
          </w:p>
        </w:tc>
        <w:tc>
          <w:tcPr>
            <w:vAlign w:val="center"/>
          </w:tcPr>
          <w:p w:rsidR="00000000" w:rsidDel="00000000" w:rsidP="00000000" w:rsidRDefault="00000000" w:rsidRPr="00000000" w14:paraId="0000005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Align w:val="center"/>
          </w:tcPr>
          <w:p w:rsidR="00000000" w:rsidDel="00000000" w:rsidP="00000000" w:rsidRDefault="00000000" w:rsidRPr="00000000" w14:paraId="0000006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Align w:val="center"/>
          </w:tcPr>
          <w:p w:rsidR="00000000" w:rsidDel="00000000" w:rsidP="00000000" w:rsidRDefault="00000000" w:rsidRPr="00000000" w14:paraId="0000006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46.60</w:t>
            </w:r>
          </w:p>
        </w:tc>
        <w:tc>
          <w:tcPr>
            <w:vAlign w:val="center"/>
          </w:tcPr>
          <w:p w:rsidR="00000000" w:rsidDel="00000000" w:rsidP="00000000" w:rsidRDefault="00000000" w:rsidRPr="00000000" w14:paraId="0000006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w:t>
            </w:r>
          </w:p>
        </w:tc>
      </w:tr>
      <w:tr>
        <w:trPr>
          <w:cantSplit w:val="0"/>
          <w:trHeight w:val="48" w:hRule="atLeast"/>
          <w:tblHeader w:val="0"/>
        </w:trPr>
        <w:tc>
          <w:tcPr>
            <w:vAlign w:val="center"/>
          </w:tcPr>
          <w:p w:rsidR="00000000" w:rsidDel="00000000" w:rsidP="00000000" w:rsidRDefault="00000000" w:rsidRPr="00000000" w14:paraId="0000006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Less credit load on a course which is dedicated to focus on communication skills and Minimal Feedback Mechanisms.</w:t>
            </w:r>
          </w:p>
        </w:tc>
        <w:tc>
          <w:tcPr>
            <w:vAlign w:val="center"/>
          </w:tcPr>
          <w:p w:rsidR="00000000" w:rsidDel="00000000" w:rsidP="00000000" w:rsidRDefault="00000000" w:rsidRPr="00000000" w14:paraId="0000006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Align w:val="center"/>
          </w:tcPr>
          <w:p w:rsidR="00000000" w:rsidDel="00000000" w:rsidP="00000000" w:rsidRDefault="00000000" w:rsidRPr="00000000" w14:paraId="0000006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Align w:val="center"/>
          </w:tcPr>
          <w:p w:rsidR="00000000" w:rsidDel="00000000" w:rsidP="00000000" w:rsidRDefault="00000000" w:rsidRPr="00000000" w14:paraId="0000006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56.10</w:t>
            </w:r>
          </w:p>
        </w:tc>
        <w:tc>
          <w:tcPr>
            <w:vAlign w:val="center"/>
          </w:tcPr>
          <w:p w:rsidR="00000000" w:rsidDel="00000000" w:rsidP="00000000" w:rsidRDefault="00000000" w:rsidRPr="00000000" w14:paraId="0000006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w:t>
            </w:r>
          </w:p>
        </w:tc>
      </w:tr>
      <w:tr>
        <w:trPr>
          <w:cantSplit w:val="0"/>
          <w:trHeight w:val="48" w:hRule="atLeast"/>
          <w:tblHeader w:val="0"/>
        </w:trPr>
        <w:tc>
          <w:tcPr>
            <w:gridSpan w:val="5"/>
            <w:vAlign w:val="center"/>
          </w:tcPr>
          <w:p w:rsidR="00000000" w:rsidDel="00000000" w:rsidP="00000000" w:rsidRDefault="00000000" w:rsidRPr="00000000" w14:paraId="0000006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INSTITUTION AND RESOURCE CONSTRAINTS.</w:t>
            </w:r>
            <w:r w:rsidDel="00000000" w:rsidR="00000000" w:rsidRPr="00000000">
              <w:rPr>
                <w:rtl w:val="0"/>
              </w:rPr>
            </w:r>
          </w:p>
        </w:tc>
      </w:tr>
      <w:tr>
        <w:trPr>
          <w:cantSplit w:val="0"/>
          <w:trHeight w:val="48" w:hRule="atLeast"/>
          <w:tblHeader w:val="0"/>
        </w:trPr>
        <w:tc>
          <w:tcPr>
            <w:vAlign w:val="center"/>
          </w:tcPr>
          <w:p w:rsidR="00000000" w:rsidDel="00000000" w:rsidP="00000000" w:rsidRDefault="00000000" w:rsidRPr="00000000" w14:paraId="0000006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Inadequate infrastructure: Limited availability of books in libraries and communication labs, or multimedia facilities can restrict students’ exposure to diverse learning resources and interactive communication platforms.</w:t>
            </w:r>
          </w:p>
        </w:tc>
        <w:tc>
          <w:tcPr>
            <w:vAlign w:val="center"/>
          </w:tcPr>
          <w:p w:rsidR="00000000" w:rsidDel="00000000" w:rsidP="00000000" w:rsidRDefault="00000000" w:rsidRPr="00000000" w14:paraId="0000006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vAlign w:val="center"/>
          </w:tcPr>
          <w:p w:rsidR="00000000" w:rsidDel="00000000" w:rsidP="00000000" w:rsidRDefault="00000000" w:rsidRPr="00000000" w14:paraId="0000006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vAlign w:val="center"/>
          </w:tcPr>
          <w:p w:rsidR="00000000" w:rsidDel="00000000" w:rsidP="00000000" w:rsidRDefault="00000000" w:rsidRPr="00000000" w14:paraId="0000007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Dropped</w:t>
            </w:r>
          </w:p>
        </w:tc>
        <w:tc>
          <w:tcPr>
            <w:vAlign w:val="center"/>
          </w:tcPr>
          <w:p w:rsidR="00000000" w:rsidDel="00000000" w:rsidP="00000000" w:rsidRDefault="00000000" w:rsidRPr="00000000" w14:paraId="00000071">
            <w:pPr>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8" w:hRule="atLeast"/>
          <w:tblHeader w:val="0"/>
        </w:trPr>
        <w:tc>
          <w:tcPr>
            <w:vAlign w:val="center"/>
          </w:tcPr>
          <w:p w:rsidR="00000000" w:rsidDel="00000000" w:rsidP="00000000" w:rsidRDefault="00000000" w:rsidRPr="00000000" w14:paraId="0000007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Limited access to communication technology: Lack of computers or internet access (Wi-Fi) can hinder students from accessing online resources, communication tools, and educational materials.</w:t>
            </w:r>
          </w:p>
        </w:tc>
        <w:tc>
          <w:tcPr>
            <w:vAlign w:val="center"/>
          </w:tcPr>
          <w:p w:rsidR="00000000" w:rsidDel="00000000" w:rsidP="00000000" w:rsidRDefault="00000000" w:rsidRPr="00000000" w14:paraId="0000007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Align w:val="center"/>
          </w:tcPr>
          <w:p w:rsidR="00000000" w:rsidDel="00000000" w:rsidP="00000000" w:rsidRDefault="00000000" w:rsidRPr="00000000" w14:paraId="0000007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Align w:val="center"/>
          </w:tcPr>
          <w:p w:rsidR="00000000" w:rsidDel="00000000" w:rsidP="00000000" w:rsidRDefault="00000000" w:rsidRPr="00000000" w14:paraId="0000007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49.42</w:t>
            </w:r>
          </w:p>
        </w:tc>
        <w:tc>
          <w:tcPr>
            <w:vAlign w:val="center"/>
          </w:tcPr>
          <w:p w:rsidR="00000000" w:rsidDel="00000000" w:rsidP="00000000" w:rsidRDefault="00000000" w:rsidRPr="00000000" w14:paraId="0000007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w:t>
            </w:r>
          </w:p>
        </w:tc>
      </w:tr>
      <w:tr>
        <w:trPr>
          <w:cantSplit w:val="0"/>
          <w:trHeight w:val="48" w:hRule="atLeast"/>
          <w:tblHeader w:val="0"/>
        </w:trPr>
        <w:tc>
          <w:tcPr>
            <w:vAlign w:val="center"/>
          </w:tcPr>
          <w:p w:rsidR="00000000" w:rsidDel="00000000" w:rsidP="00000000" w:rsidRDefault="00000000" w:rsidRPr="00000000" w14:paraId="0000007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Restricted opportunities for internships, field visits, or interactions with professionals from different sectors may limit students’ exposure to diverse communication scenarios and hinder their skill development.</w:t>
            </w:r>
          </w:p>
        </w:tc>
        <w:tc>
          <w:tcPr>
            <w:vAlign w:val="center"/>
          </w:tcPr>
          <w:p w:rsidR="00000000" w:rsidDel="00000000" w:rsidP="00000000" w:rsidRDefault="00000000" w:rsidRPr="00000000" w14:paraId="0000007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vAlign w:val="center"/>
          </w:tcPr>
          <w:p w:rsidR="00000000" w:rsidDel="00000000" w:rsidP="00000000" w:rsidRDefault="00000000" w:rsidRPr="00000000" w14:paraId="0000007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vAlign w:val="center"/>
          </w:tcPr>
          <w:p w:rsidR="00000000" w:rsidDel="00000000" w:rsidP="00000000" w:rsidRDefault="00000000" w:rsidRPr="00000000" w14:paraId="0000007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Dropped</w:t>
            </w:r>
          </w:p>
        </w:tc>
        <w:tc>
          <w:tcPr>
            <w:vAlign w:val="center"/>
          </w:tcPr>
          <w:p w:rsidR="00000000" w:rsidDel="00000000" w:rsidP="00000000" w:rsidRDefault="00000000" w:rsidRPr="00000000" w14:paraId="0000007B">
            <w:pPr>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8" w:hRule="atLeast"/>
          <w:tblHeader w:val="0"/>
        </w:trPr>
        <w:tc>
          <w:tcPr>
            <w:vAlign w:val="center"/>
          </w:tcPr>
          <w:p w:rsidR="00000000" w:rsidDel="00000000" w:rsidP="00000000" w:rsidRDefault="00000000" w:rsidRPr="00000000" w14:paraId="0000007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Lack of guidance and mentorship: Insufficient support from faculty members or mentors in honing communication skills, providing feedback, and offering guidance on effective communication strategies can impede students’ progress in this area.</w:t>
            </w:r>
          </w:p>
        </w:tc>
        <w:tc>
          <w:tcPr>
            <w:vAlign w:val="center"/>
          </w:tcPr>
          <w:p w:rsidR="00000000" w:rsidDel="00000000" w:rsidP="00000000" w:rsidRDefault="00000000" w:rsidRPr="00000000" w14:paraId="0000007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vAlign w:val="center"/>
          </w:tcPr>
          <w:p w:rsidR="00000000" w:rsidDel="00000000" w:rsidP="00000000" w:rsidRDefault="00000000" w:rsidRPr="00000000" w14:paraId="0000007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vAlign w:val="center"/>
          </w:tcPr>
          <w:p w:rsidR="00000000" w:rsidDel="00000000" w:rsidP="00000000" w:rsidRDefault="00000000" w:rsidRPr="00000000" w14:paraId="0000007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Dropped</w:t>
            </w:r>
          </w:p>
        </w:tc>
        <w:tc>
          <w:tcPr>
            <w:vAlign w:val="center"/>
          </w:tcPr>
          <w:p w:rsidR="00000000" w:rsidDel="00000000" w:rsidP="00000000" w:rsidRDefault="00000000" w:rsidRPr="00000000" w14:paraId="00000080">
            <w:pPr>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8" w:hRule="atLeast"/>
          <w:tblHeader w:val="0"/>
        </w:trPr>
        <w:tc>
          <w:tcPr>
            <w:vAlign w:val="center"/>
          </w:tcPr>
          <w:p w:rsidR="00000000" w:rsidDel="00000000" w:rsidP="00000000" w:rsidRDefault="00000000" w:rsidRPr="00000000" w14:paraId="0000008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Limited access to communication experts: Lack of availability of communication specialists or trained professionals within the academic environment may restrict students’ opportunities for personalized coaching and skill development.</w:t>
            </w:r>
          </w:p>
        </w:tc>
        <w:tc>
          <w:tcPr>
            <w:vAlign w:val="center"/>
          </w:tcPr>
          <w:p w:rsidR="00000000" w:rsidDel="00000000" w:rsidP="00000000" w:rsidRDefault="00000000" w:rsidRPr="00000000" w14:paraId="0000008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Align w:val="center"/>
          </w:tcPr>
          <w:p w:rsidR="00000000" w:rsidDel="00000000" w:rsidP="00000000" w:rsidRDefault="00000000" w:rsidRPr="00000000" w14:paraId="0000008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Align w:val="center"/>
          </w:tcPr>
          <w:p w:rsidR="00000000" w:rsidDel="00000000" w:rsidP="00000000" w:rsidRDefault="00000000" w:rsidRPr="00000000" w14:paraId="0000008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48.16</w:t>
            </w:r>
          </w:p>
        </w:tc>
        <w:tc>
          <w:tcPr>
            <w:vAlign w:val="center"/>
          </w:tcPr>
          <w:p w:rsidR="00000000" w:rsidDel="00000000" w:rsidP="00000000" w:rsidRDefault="00000000" w:rsidRPr="00000000" w14:paraId="0000008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w:t>
            </w:r>
          </w:p>
        </w:tc>
      </w:tr>
      <w:tr>
        <w:trPr>
          <w:cantSplit w:val="0"/>
          <w:trHeight w:val="48" w:hRule="atLeast"/>
          <w:tblHeader w:val="0"/>
        </w:trPr>
        <w:tc>
          <w:tcPr>
            <w:vAlign w:val="center"/>
          </w:tcPr>
          <w:p w:rsidR="00000000" w:rsidDel="00000000" w:rsidP="00000000" w:rsidRDefault="00000000" w:rsidRPr="00000000" w14:paraId="0000008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Lack of systematic communication training in regular intervals.</w:t>
            </w:r>
          </w:p>
        </w:tc>
        <w:tc>
          <w:tcPr>
            <w:vAlign w:val="center"/>
          </w:tcPr>
          <w:p w:rsidR="00000000" w:rsidDel="00000000" w:rsidP="00000000" w:rsidRDefault="00000000" w:rsidRPr="00000000" w14:paraId="0000008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Align w:val="center"/>
          </w:tcPr>
          <w:p w:rsidR="00000000" w:rsidDel="00000000" w:rsidP="00000000" w:rsidRDefault="00000000" w:rsidRPr="00000000" w14:paraId="0000008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Align w:val="center"/>
          </w:tcPr>
          <w:p w:rsidR="00000000" w:rsidDel="00000000" w:rsidP="00000000" w:rsidRDefault="00000000" w:rsidRPr="00000000" w14:paraId="0000008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56.72</w:t>
            </w:r>
          </w:p>
        </w:tc>
        <w:tc>
          <w:tcPr>
            <w:vAlign w:val="center"/>
          </w:tcPr>
          <w:p w:rsidR="00000000" w:rsidDel="00000000" w:rsidP="00000000" w:rsidRDefault="00000000" w:rsidRPr="00000000" w14:paraId="0000008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t>
            </w:r>
          </w:p>
        </w:tc>
      </w:tr>
      <w:tr>
        <w:trPr>
          <w:cantSplit w:val="0"/>
          <w:trHeight w:val="48" w:hRule="atLeast"/>
          <w:tblHeader w:val="0"/>
        </w:trPr>
        <w:tc>
          <w:tcPr>
            <w:vAlign w:val="center"/>
          </w:tcPr>
          <w:p w:rsidR="00000000" w:rsidDel="00000000" w:rsidP="00000000" w:rsidRDefault="00000000" w:rsidRPr="00000000" w14:paraId="0000008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Less commitment to create a climate that improves the communication and soft skills.</w:t>
            </w:r>
          </w:p>
        </w:tc>
        <w:tc>
          <w:tcPr>
            <w:vAlign w:val="center"/>
          </w:tcPr>
          <w:p w:rsidR="00000000" w:rsidDel="00000000" w:rsidP="00000000" w:rsidRDefault="00000000" w:rsidRPr="00000000" w14:paraId="0000008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Align w:val="center"/>
          </w:tcPr>
          <w:p w:rsidR="00000000" w:rsidDel="00000000" w:rsidP="00000000" w:rsidRDefault="00000000" w:rsidRPr="00000000" w14:paraId="0000008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Align w:val="center"/>
          </w:tcPr>
          <w:p w:rsidR="00000000" w:rsidDel="00000000" w:rsidP="00000000" w:rsidRDefault="00000000" w:rsidRPr="00000000" w14:paraId="0000008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45.70</w:t>
            </w:r>
          </w:p>
        </w:tc>
        <w:tc>
          <w:tcPr>
            <w:vAlign w:val="center"/>
          </w:tcPr>
          <w:p w:rsidR="00000000" w:rsidDel="00000000" w:rsidP="00000000" w:rsidRDefault="00000000" w:rsidRPr="00000000" w14:paraId="0000008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w:t>
            </w:r>
          </w:p>
        </w:tc>
      </w:tr>
      <w:tr>
        <w:trPr>
          <w:cantSplit w:val="0"/>
          <w:trHeight w:val="48" w:hRule="atLeast"/>
          <w:tblHeader w:val="0"/>
        </w:trPr>
        <w:tc>
          <w:tcPr>
            <w:gridSpan w:val="5"/>
            <w:vAlign w:val="center"/>
          </w:tcPr>
          <w:p w:rsidR="00000000" w:rsidDel="00000000" w:rsidP="00000000" w:rsidRDefault="00000000" w:rsidRPr="00000000" w14:paraId="0000009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CONSTRAINTS DUE TO SOCIO ECONOMICAL BACKGROUND.</w:t>
            </w:r>
            <w:r w:rsidDel="00000000" w:rsidR="00000000" w:rsidRPr="00000000">
              <w:rPr>
                <w:rtl w:val="0"/>
              </w:rPr>
            </w:r>
          </w:p>
        </w:tc>
      </w:tr>
      <w:tr>
        <w:trPr>
          <w:cantSplit w:val="0"/>
          <w:trHeight w:val="48" w:hRule="atLeast"/>
          <w:tblHeader w:val="0"/>
        </w:trPr>
        <w:tc>
          <w:tcPr>
            <w:vAlign w:val="center"/>
          </w:tcPr>
          <w:p w:rsidR="00000000" w:rsidDel="00000000" w:rsidP="00000000" w:rsidRDefault="00000000" w:rsidRPr="00000000" w14:paraId="0000009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Limited exposure to diverse communication contexts due to rural background hindering their ability to adapt their communication style to different audiences.</w:t>
            </w:r>
          </w:p>
        </w:tc>
        <w:tc>
          <w:tcPr>
            <w:vAlign w:val="center"/>
          </w:tcPr>
          <w:p w:rsidR="00000000" w:rsidDel="00000000" w:rsidP="00000000" w:rsidRDefault="00000000" w:rsidRPr="00000000" w14:paraId="0000009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Align w:val="center"/>
          </w:tcPr>
          <w:p w:rsidR="00000000" w:rsidDel="00000000" w:rsidP="00000000" w:rsidRDefault="00000000" w:rsidRPr="00000000" w14:paraId="0000009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tc>
        <w:tc>
          <w:tcPr>
            <w:vAlign w:val="center"/>
          </w:tcPr>
          <w:p w:rsidR="00000000" w:rsidDel="00000000" w:rsidP="00000000" w:rsidRDefault="00000000" w:rsidRPr="00000000" w14:paraId="0000009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60.98</w:t>
            </w:r>
          </w:p>
        </w:tc>
        <w:tc>
          <w:tcPr>
            <w:vAlign w:val="center"/>
          </w:tcPr>
          <w:p w:rsidR="00000000" w:rsidDel="00000000" w:rsidP="00000000" w:rsidRDefault="00000000" w:rsidRPr="00000000" w14:paraId="0000009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t>
            </w:r>
          </w:p>
        </w:tc>
      </w:tr>
      <w:tr>
        <w:trPr>
          <w:cantSplit w:val="0"/>
          <w:trHeight w:val="48" w:hRule="atLeast"/>
          <w:tblHeader w:val="0"/>
        </w:trPr>
        <w:tc>
          <w:tcPr>
            <w:vAlign w:val="center"/>
          </w:tcPr>
          <w:p w:rsidR="00000000" w:rsidDel="00000000" w:rsidP="00000000" w:rsidRDefault="00000000" w:rsidRPr="00000000" w14:paraId="0000009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Cultural Differences: Agricultural students may come from diverse cultural backgrounds with linguistic diversity, leading to differences in communication norms and practices that require adaptation and understanding.</w:t>
            </w:r>
          </w:p>
        </w:tc>
        <w:tc>
          <w:tcPr>
            <w:vAlign w:val="center"/>
          </w:tcPr>
          <w:p w:rsidR="00000000" w:rsidDel="00000000" w:rsidP="00000000" w:rsidRDefault="00000000" w:rsidRPr="00000000" w14:paraId="0000009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Align w:val="center"/>
          </w:tcPr>
          <w:p w:rsidR="00000000" w:rsidDel="00000000" w:rsidP="00000000" w:rsidRDefault="00000000" w:rsidRPr="00000000" w14:paraId="0000009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tc>
        <w:tc>
          <w:tcPr>
            <w:vAlign w:val="center"/>
          </w:tcPr>
          <w:p w:rsidR="00000000" w:rsidDel="00000000" w:rsidP="00000000" w:rsidRDefault="00000000" w:rsidRPr="00000000" w14:paraId="0000009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49.80</w:t>
            </w:r>
          </w:p>
        </w:tc>
        <w:tc>
          <w:tcPr>
            <w:vAlign w:val="center"/>
          </w:tcPr>
          <w:p w:rsidR="00000000" w:rsidDel="00000000" w:rsidP="00000000" w:rsidRDefault="00000000" w:rsidRPr="00000000" w14:paraId="0000009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w:t>
            </w:r>
          </w:p>
        </w:tc>
      </w:tr>
      <w:tr>
        <w:trPr>
          <w:cantSplit w:val="0"/>
          <w:trHeight w:val="48" w:hRule="atLeast"/>
          <w:tblHeader w:val="0"/>
        </w:trPr>
        <w:tc>
          <w:tcPr>
            <w:vAlign w:val="center"/>
          </w:tcPr>
          <w:p w:rsidR="00000000" w:rsidDel="00000000" w:rsidP="00000000" w:rsidRDefault="00000000" w:rsidRPr="00000000" w14:paraId="0000009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Financial limitations: High costs associated with attending communication workshops, seminars, or purchasing relevant books and materials may pose challenges for students with limited financial resources.</w:t>
            </w:r>
          </w:p>
        </w:tc>
        <w:tc>
          <w:tcPr>
            <w:vAlign w:val="center"/>
          </w:tcPr>
          <w:p w:rsidR="00000000" w:rsidDel="00000000" w:rsidP="00000000" w:rsidRDefault="00000000" w:rsidRPr="00000000" w14:paraId="000000A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Align w:val="center"/>
          </w:tcPr>
          <w:p w:rsidR="00000000" w:rsidDel="00000000" w:rsidP="00000000" w:rsidRDefault="00000000" w:rsidRPr="00000000" w14:paraId="000000A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Align w:val="center"/>
          </w:tcPr>
          <w:p w:rsidR="00000000" w:rsidDel="00000000" w:rsidP="00000000" w:rsidRDefault="00000000" w:rsidRPr="00000000" w14:paraId="000000A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51.95</w:t>
            </w:r>
          </w:p>
        </w:tc>
        <w:tc>
          <w:tcPr>
            <w:vAlign w:val="center"/>
          </w:tcPr>
          <w:p w:rsidR="00000000" w:rsidDel="00000000" w:rsidP="00000000" w:rsidRDefault="00000000" w:rsidRPr="00000000" w14:paraId="000000A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w:t>
            </w:r>
          </w:p>
        </w:tc>
      </w:tr>
      <w:tr>
        <w:trPr>
          <w:cantSplit w:val="0"/>
          <w:trHeight w:val="48" w:hRule="atLeast"/>
          <w:tblHeader w:val="0"/>
        </w:trPr>
        <w:tc>
          <w:tcPr>
            <w:vAlign w:val="center"/>
          </w:tcPr>
          <w:p w:rsidR="00000000" w:rsidDel="00000000" w:rsidP="00000000" w:rsidRDefault="00000000" w:rsidRPr="00000000" w14:paraId="000000A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Self-confidence Issues: Students from disadvantaged background may lack confidence in their communication abilities.</w:t>
            </w:r>
          </w:p>
        </w:tc>
        <w:tc>
          <w:tcPr>
            <w:vAlign w:val="center"/>
          </w:tcPr>
          <w:p w:rsidR="00000000" w:rsidDel="00000000" w:rsidP="00000000" w:rsidRDefault="00000000" w:rsidRPr="00000000" w14:paraId="000000A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Align w:val="center"/>
          </w:tcPr>
          <w:p w:rsidR="00000000" w:rsidDel="00000000" w:rsidP="00000000" w:rsidRDefault="00000000" w:rsidRPr="00000000" w14:paraId="000000A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Align w:val="center"/>
          </w:tcPr>
          <w:p w:rsidR="00000000" w:rsidDel="00000000" w:rsidP="00000000" w:rsidRDefault="00000000" w:rsidRPr="00000000" w14:paraId="000000A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49.54</w:t>
            </w:r>
          </w:p>
        </w:tc>
        <w:tc>
          <w:tcPr>
            <w:vAlign w:val="center"/>
          </w:tcPr>
          <w:p w:rsidR="00000000" w:rsidDel="00000000" w:rsidP="00000000" w:rsidRDefault="00000000" w:rsidRPr="00000000" w14:paraId="000000A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w:t>
            </w:r>
          </w:p>
        </w:tc>
      </w:tr>
      <w:tr>
        <w:trPr>
          <w:cantSplit w:val="0"/>
          <w:trHeight w:val="48" w:hRule="atLeast"/>
          <w:tblHeader w:val="0"/>
        </w:trPr>
        <w:tc>
          <w:tcPr>
            <w:vAlign w:val="center"/>
          </w:tcPr>
          <w:p w:rsidR="00000000" w:rsidDel="00000000" w:rsidP="00000000" w:rsidRDefault="00000000" w:rsidRPr="00000000" w14:paraId="000000A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Educational Gaps: Disparities in the quality of primary and secondary education may result in gaps in foundational communication skills among students.</w:t>
            </w:r>
          </w:p>
        </w:tc>
        <w:tc>
          <w:tcPr>
            <w:vAlign w:val="center"/>
          </w:tcPr>
          <w:p w:rsidR="00000000" w:rsidDel="00000000" w:rsidP="00000000" w:rsidRDefault="00000000" w:rsidRPr="00000000" w14:paraId="000000A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vAlign w:val="center"/>
          </w:tcPr>
          <w:p w:rsidR="00000000" w:rsidDel="00000000" w:rsidP="00000000" w:rsidRDefault="00000000" w:rsidRPr="00000000" w14:paraId="000000A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vAlign w:val="center"/>
          </w:tcPr>
          <w:p w:rsidR="00000000" w:rsidDel="00000000" w:rsidP="00000000" w:rsidRDefault="00000000" w:rsidRPr="00000000" w14:paraId="000000A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45.50</w:t>
            </w:r>
          </w:p>
        </w:tc>
        <w:tc>
          <w:tcPr>
            <w:vAlign w:val="center"/>
          </w:tcPr>
          <w:p w:rsidR="00000000" w:rsidDel="00000000" w:rsidP="00000000" w:rsidRDefault="00000000" w:rsidRPr="00000000" w14:paraId="000000A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r>
      <w:tr>
        <w:trPr>
          <w:cantSplit w:val="0"/>
          <w:trHeight w:val="48" w:hRule="atLeast"/>
          <w:tblHeader w:val="0"/>
        </w:trPr>
        <w:tc>
          <w:tcPr>
            <w:vAlign w:val="center"/>
          </w:tcPr>
          <w:p w:rsidR="00000000" w:rsidDel="00000000" w:rsidP="00000000" w:rsidRDefault="00000000" w:rsidRPr="00000000" w14:paraId="000000A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Limited Networking Opportunities: Students from underprivileged backgrounds may have fewer opportunities to network with peers.</w:t>
            </w:r>
          </w:p>
        </w:tc>
        <w:tc>
          <w:tcPr>
            <w:vAlign w:val="center"/>
          </w:tcPr>
          <w:p w:rsidR="00000000" w:rsidDel="00000000" w:rsidP="00000000" w:rsidRDefault="00000000" w:rsidRPr="00000000" w14:paraId="000000A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Align w:val="center"/>
          </w:tcPr>
          <w:p w:rsidR="00000000" w:rsidDel="00000000" w:rsidP="00000000" w:rsidRDefault="00000000" w:rsidRPr="00000000" w14:paraId="000000B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Align w:val="center"/>
          </w:tcPr>
          <w:p w:rsidR="00000000" w:rsidDel="00000000" w:rsidP="00000000" w:rsidRDefault="00000000" w:rsidRPr="00000000" w14:paraId="000000B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42.04</w:t>
            </w:r>
          </w:p>
        </w:tc>
        <w:tc>
          <w:tcPr>
            <w:vAlign w:val="center"/>
          </w:tcPr>
          <w:p w:rsidR="00000000" w:rsidDel="00000000" w:rsidP="00000000" w:rsidRDefault="00000000" w:rsidRPr="00000000" w14:paraId="000000B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w:t>
            </w:r>
          </w:p>
        </w:tc>
      </w:tr>
      <w:tr>
        <w:trPr>
          <w:cantSplit w:val="0"/>
          <w:trHeight w:val="48" w:hRule="atLeast"/>
          <w:tblHeader w:val="0"/>
        </w:trPr>
        <w:tc>
          <w:tcPr>
            <w:vAlign w:val="center"/>
          </w:tcPr>
          <w:p w:rsidR="00000000" w:rsidDel="00000000" w:rsidP="00000000" w:rsidRDefault="00000000" w:rsidRPr="00000000" w14:paraId="000000B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Psychological Barriers: Personal experiences of trauma.</w:t>
            </w:r>
          </w:p>
        </w:tc>
        <w:tc>
          <w:tcPr>
            <w:vAlign w:val="center"/>
          </w:tcPr>
          <w:p w:rsidR="00000000" w:rsidDel="00000000" w:rsidP="00000000" w:rsidRDefault="00000000" w:rsidRPr="00000000" w14:paraId="000000B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vAlign w:val="center"/>
          </w:tcPr>
          <w:p w:rsidR="00000000" w:rsidDel="00000000" w:rsidP="00000000" w:rsidRDefault="00000000" w:rsidRPr="00000000" w14:paraId="000000B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vAlign w:val="center"/>
          </w:tcPr>
          <w:p w:rsidR="00000000" w:rsidDel="00000000" w:rsidP="00000000" w:rsidRDefault="00000000" w:rsidRPr="00000000" w14:paraId="000000B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Dropped</w:t>
            </w:r>
          </w:p>
        </w:tc>
        <w:tc>
          <w:tcPr>
            <w:vAlign w:val="center"/>
          </w:tcPr>
          <w:p w:rsidR="00000000" w:rsidDel="00000000" w:rsidP="00000000" w:rsidRDefault="00000000" w:rsidRPr="00000000" w14:paraId="000000B7">
            <w:pPr>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8" w:hRule="atLeast"/>
          <w:tblHeader w:val="0"/>
        </w:trPr>
        <w:tc>
          <w:tcPr>
            <w:gridSpan w:val="5"/>
            <w:vAlign w:val="center"/>
          </w:tcPr>
          <w:p w:rsidR="00000000" w:rsidDel="00000000" w:rsidP="00000000" w:rsidRDefault="00000000" w:rsidRPr="00000000" w14:paraId="000000B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PERSONAL CONSTRAINTS.</w:t>
            </w:r>
            <w:r w:rsidDel="00000000" w:rsidR="00000000" w:rsidRPr="00000000">
              <w:rPr>
                <w:rtl w:val="0"/>
              </w:rPr>
            </w:r>
          </w:p>
        </w:tc>
      </w:tr>
      <w:tr>
        <w:trPr>
          <w:cantSplit w:val="0"/>
          <w:trHeight w:val="48" w:hRule="atLeast"/>
          <w:tblHeader w:val="0"/>
        </w:trPr>
        <w:tc>
          <w:tcPr>
            <w:vAlign w:val="center"/>
          </w:tcPr>
          <w:p w:rsidR="00000000" w:rsidDel="00000000" w:rsidP="00000000" w:rsidRDefault="00000000" w:rsidRPr="00000000" w14:paraId="000000BD">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Students avoid or resist challenging or changing situation.</w:t>
            </w:r>
            <w:r w:rsidDel="00000000" w:rsidR="00000000" w:rsidRPr="00000000">
              <w:rPr>
                <w:rtl w:val="0"/>
              </w:rPr>
            </w:r>
          </w:p>
        </w:tc>
        <w:tc>
          <w:tcPr>
            <w:vAlign w:val="center"/>
          </w:tcPr>
          <w:p w:rsidR="00000000" w:rsidDel="00000000" w:rsidP="00000000" w:rsidRDefault="00000000" w:rsidRPr="00000000" w14:paraId="000000B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Align w:val="center"/>
          </w:tcPr>
          <w:p w:rsidR="00000000" w:rsidDel="00000000" w:rsidP="00000000" w:rsidRDefault="00000000" w:rsidRPr="00000000" w14:paraId="000000B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tc>
        <w:tc>
          <w:tcPr>
            <w:vAlign w:val="center"/>
          </w:tcPr>
          <w:p w:rsidR="00000000" w:rsidDel="00000000" w:rsidP="00000000" w:rsidRDefault="00000000" w:rsidRPr="00000000" w14:paraId="000000C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53.31</w:t>
            </w:r>
          </w:p>
        </w:tc>
        <w:tc>
          <w:tcPr>
            <w:vAlign w:val="center"/>
          </w:tcPr>
          <w:p w:rsidR="00000000" w:rsidDel="00000000" w:rsidP="00000000" w:rsidRDefault="00000000" w:rsidRPr="00000000" w14:paraId="000000C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w:t>
            </w:r>
          </w:p>
        </w:tc>
      </w:tr>
      <w:tr>
        <w:trPr>
          <w:cantSplit w:val="0"/>
          <w:trHeight w:val="48" w:hRule="atLeast"/>
          <w:tblHeader w:val="0"/>
        </w:trPr>
        <w:tc>
          <w:tcPr>
            <w:vAlign w:val="center"/>
          </w:tcPr>
          <w:p w:rsidR="00000000" w:rsidDel="00000000" w:rsidP="00000000" w:rsidRDefault="00000000" w:rsidRPr="00000000" w14:paraId="000000C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Lack of motivation.</w:t>
            </w:r>
          </w:p>
        </w:tc>
        <w:tc>
          <w:tcPr>
            <w:vAlign w:val="center"/>
          </w:tcPr>
          <w:p w:rsidR="00000000" w:rsidDel="00000000" w:rsidP="00000000" w:rsidRDefault="00000000" w:rsidRPr="00000000" w14:paraId="000000C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Align w:val="center"/>
          </w:tcPr>
          <w:p w:rsidR="00000000" w:rsidDel="00000000" w:rsidP="00000000" w:rsidRDefault="00000000" w:rsidRPr="00000000" w14:paraId="000000C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tc>
        <w:tc>
          <w:tcPr>
            <w:vAlign w:val="center"/>
          </w:tcPr>
          <w:p w:rsidR="00000000" w:rsidDel="00000000" w:rsidP="00000000" w:rsidRDefault="00000000" w:rsidRPr="00000000" w14:paraId="000000C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54.64</w:t>
            </w:r>
          </w:p>
        </w:tc>
        <w:tc>
          <w:tcPr>
            <w:vAlign w:val="center"/>
          </w:tcPr>
          <w:p w:rsidR="00000000" w:rsidDel="00000000" w:rsidP="00000000" w:rsidRDefault="00000000" w:rsidRPr="00000000" w14:paraId="000000C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t>
            </w:r>
          </w:p>
        </w:tc>
      </w:tr>
      <w:tr>
        <w:trPr>
          <w:cantSplit w:val="0"/>
          <w:trHeight w:val="48" w:hRule="atLeast"/>
          <w:tblHeader w:val="0"/>
        </w:trPr>
        <w:tc>
          <w:tcPr>
            <w:vAlign w:val="center"/>
          </w:tcPr>
          <w:p w:rsidR="00000000" w:rsidDel="00000000" w:rsidP="00000000" w:rsidRDefault="00000000" w:rsidRPr="00000000" w14:paraId="000000C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Reduced notes making, writing, book reading and social learning habit.</w:t>
            </w:r>
          </w:p>
        </w:tc>
        <w:tc>
          <w:tcPr>
            <w:vAlign w:val="center"/>
          </w:tcPr>
          <w:p w:rsidR="00000000" w:rsidDel="00000000" w:rsidP="00000000" w:rsidRDefault="00000000" w:rsidRPr="00000000" w14:paraId="000000C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Align w:val="center"/>
          </w:tcPr>
          <w:p w:rsidR="00000000" w:rsidDel="00000000" w:rsidP="00000000" w:rsidRDefault="00000000" w:rsidRPr="00000000" w14:paraId="000000C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Align w:val="center"/>
          </w:tcPr>
          <w:p w:rsidR="00000000" w:rsidDel="00000000" w:rsidP="00000000" w:rsidRDefault="00000000" w:rsidRPr="00000000" w14:paraId="000000C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52.57</w:t>
            </w:r>
          </w:p>
        </w:tc>
        <w:tc>
          <w:tcPr>
            <w:vAlign w:val="center"/>
          </w:tcPr>
          <w:p w:rsidR="00000000" w:rsidDel="00000000" w:rsidP="00000000" w:rsidRDefault="00000000" w:rsidRPr="00000000" w14:paraId="000000C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w:t>
            </w:r>
          </w:p>
        </w:tc>
      </w:tr>
      <w:tr>
        <w:trPr>
          <w:cantSplit w:val="0"/>
          <w:trHeight w:val="48" w:hRule="atLeast"/>
          <w:tblHeader w:val="0"/>
        </w:trPr>
        <w:tc>
          <w:tcPr>
            <w:vAlign w:val="center"/>
          </w:tcPr>
          <w:p w:rsidR="00000000" w:rsidDel="00000000" w:rsidP="00000000" w:rsidRDefault="00000000" w:rsidRPr="00000000" w14:paraId="000000C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Lack of initiative, Lack / Non-Participation and ignoring the opportunities like workshops, trainings seminars etc.</w:t>
            </w:r>
          </w:p>
        </w:tc>
        <w:tc>
          <w:tcPr>
            <w:vAlign w:val="center"/>
          </w:tcPr>
          <w:p w:rsidR="00000000" w:rsidDel="00000000" w:rsidP="00000000" w:rsidRDefault="00000000" w:rsidRPr="00000000" w14:paraId="000000C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Align w:val="center"/>
          </w:tcPr>
          <w:p w:rsidR="00000000" w:rsidDel="00000000" w:rsidP="00000000" w:rsidRDefault="00000000" w:rsidRPr="00000000" w14:paraId="000000C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Align w:val="center"/>
          </w:tcPr>
          <w:p w:rsidR="00000000" w:rsidDel="00000000" w:rsidP="00000000" w:rsidRDefault="00000000" w:rsidRPr="00000000" w14:paraId="000000C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47.71</w:t>
            </w:r>
          </w:p>
        </w:tc>
        <w:tc>
          <w:tcPr>
            <w:vAlign w:val="center"/>
          </w:tcPr>
          <w:p w:rsidR="00000000" w:rsidDel="00000000" w:rsidP="00000000" w:rsidRDefault="00000000" w:rsidRPr="00000000" w14:paraId="000000D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w:t>
            </w:r>
          </w:p>
        </w:tc>
      </w:tr>
      <w:tr>
        <w:trPr>
          <w:cantSplit w:val="0"/>
          <w:trHeight w:val="48" w:hRule="atLeast"/>
          <w:tblHeader w:val="0"/>
        </w:trPr>
        <w:tc>
          <w:tcPr>
            <w:vAlign w:val="center"/>
          </w:tcPr>
          <w:p w:rsidR="00000000" w:rsidDel="00000000" w:rsidP="00000000" w:rsidRDefault="00000000" w:rsidRPr="00000000" w14:paraId="000000D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Less interaction between seniors, juniors and peer group.</w:t>
            </w:r>
          </w:p>
        </w:tc>
        <w:tc>
          <w:tcPr>
            <w:vAlign w:val="center"/>
          </w:tcPr>
          <w:p w:rsidR="00000000" w:rsidDel="00000000" w:rsidP="00000000" w:rsidRDefault="00000000" w:rsidRPr="00000000" w14:paraId="000000D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Align w:val="center"/>
          </w:tcPr>
          <w:p w:rsidR="00000000" w:rsidDel="00000000" w:rsidP="00000000" w:rsidRDefault="00000000" w:rsidRPr="00000000" w14:paraId="000000D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Align w:val="center"/>
          </w:tcPr>
          <w:p w:rsidR="00000000" w:rsidDel="00000000" w:rsidP="00000000" w:rsidRDefault="00000000" w:rsidRPr="00000000" w14:paraId="000000D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41.76</w:t>
            </w:r>
          </w:p>
        </w:tc>
        <w:tc>
          <w:tcPr>
            <w:vAlign w:val="center"/>
          </w:tcPr>
          <w:p w:rsidR="00000000" w:rsidDel="00000000" w:rsidP="00000000" w:rsidRDefault="00000000" w:rsidRPr="00000000" w14:paraId="000000D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r>
    </w:tbl>
    <w:p w:rsidR="00000000" w:rsidDel="00000000" w:rsidP="00000000" w:rsidRDefault="00000000" w:rsidRPr="00000000" w14:paraId="000000D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IQR= Inter Quartile Range, QD= Quartile deviation</w:t>
      </w:r>
    </w:p>
    <w:p w:rsidR="00000000" w:rsidDel="00000000" w:rsidP="00000000" w:rsidRDefault="00000000" w:rsidRPr="00000000" w14:paraId="000000D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table presents a broad range of constraints that limit the development of communication skills among agricultural students highlighting multiple dimensions: ICT, curriculum, institutional, socio-economic, and personal factors, that collectively hinder students’ communicative competence.</w:t>
      </w:r>
    </w:p>
    <w:p w:rsidR="00000000" w:rsidDel="00000000" w:rsidP="00000000" w:rsidRDefault="00000000" w:rsidRPr="00000000" w14:paraId="000000D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Constraints due to ICT emerged prominently, with the extensive use of AI ranked first, followed by excessive screen time. The rapid adoption of AI in education, while beneficial, can reduce creativity and cognitive engagement, limiting opportunities to strengthen communication skills. This aligns with Sharma &amp; Sharma (2018), who emphasized that the effectiveness of ICT depends on its integration into pedagogy, and overuse may impede focus on interpersonal competencies. Similarly, excessive screen time reduces face-to-face interactions. Moreover, issues like distraction, over-reliance on phones, and shortened attention spans highlight the psychological and behavioral effects of ICT that restrict students’ ability to engage in meaningful communication (Lepp, Barkley &amp; Karpinski, 2014). While artificial intelligence offers significant opportunities for enhancing learning, emerging evidence suggests that unregulated use may introduce ethical, cognitive, and skill-related challenges, necessitating responsible integration within educational systems (Kaşarcı et al., 2025).</w:t>
      </w:r>
    </w:p>
    <w:p w:rsidR="00000000" w:rsidDel="00000000" w:rsidP="00000000" w:rsidRDefault="00000000" w:rsidRPr="00000000" w14:paraId="000000D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Curricular constraints were another significant barrier, with heavy workload ranked highest, followed by less credit load on communication-oriented courses. Mishra (2016) noted that postgraduate students are often overburdened with academic and technical tasks, leaving little time to build confidence and communicative ability. The present findings also highlight the lack of structured exposure to communication activities like scientific writing, research presentations, and non-academic interactions, which advocates for embedding communication training into broader academic curricula. These results stress that while students value communication, insufficient institutional prioritization of communication courses hampers development.</w:t>
      </w:r>
    </w:p>
    <w:p w:rsidR="00000000" w:rsidDel="00000000" w:rsidP="00000000" w:rsidRDefault="00000000" w:rsidRPr="00000000" w14:paraId="000000D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Institutional and resource constraints further aggravated the problem, with lack of systematic communication training at regular intervals being the foremost issue. Nicoleta Taskov &amp; Mitreva (2015) stressed that inadequate feedback and irregular practice hinder effective communication learning. Limited access to technology, such as poor internet and inadequate multimedia facilities, was also a recurring concern, which echoes infrastructural gaps directly limit communication opportunities.</w:t>
      </w:r>
    </w:p>
    <w:p w:rsidR="00000000" w:rsidDel="00000000" w:rsidP="00000000" w:rsidRDefault="00000000" w:rsidRPr="00000000" w14:paraId="000000D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Socio-economic constraints played a major role, particularly limited exposure to diverse communication contexts (ranked first) and financial limitations. Students from rural or underprivileged backgrounds often face restricted interaction with diverse audiences, making it harder to adapt communication styles to professional contexts. This aligns with Moore and Morton (2015), who argued that exposure to varied discourse settings is essential for effective academic and workplace communication. Bharathi (2016) similarly highlighted that socio-economic challenges, especially financial limitations, restrict access to workshops, seminars, and learning materials, ultimately constraining communication skill acquisition.</w:t>
      </w:r>
    </w:p>
    <w:p w:rsidR="00000000" w:rsidDel="00000000" w:rsidP="00000000" w:rsidRDefault="00000000" w:rsidRPr="00000000" w14:paraId="000000D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Personal constraints such as lack of motivation and avoidance of challenging situations were also ranked highly. These findings echo Kelly (1991, cited in Popescu &amp; Cohen, 2014), who identified psychological barriers like anxiety and guilt as critical inhibitors of effective communication. Nicoleta Taskov &amp; Mitreva (2015) also reported that personal factors such as anxiety, uncertainty, and low adaptability significantly limit students’ ability to build communication competence. In this study, lack of motivation may stem from psychological distress, fear of failure, or low self-confidence, further impeding students’ engagement in communication-enhancing activities.</w:t>
      </w:r>
    </w:p>
    <w:p w:rsidR="00000000" w:rsidDel="00000000" w:rsidP="00000000" w:rsidRDefault="00000000" w:rsidRPr="00000000" w14:paraId="000000D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Overall, the findings align with earlier research on communication barriers in higher education (Mishra, 2016; Moore &amp; Morton, 2015) while also providing new insights into ICT-related challenges, such as AI overuse and screen time, emerging issues less discussed in prior studies. These results underline the need for balanced ICT use, curriculum reforms, structured training interventions, improved infrastructure, and socio-economic support to enhance communication skills in agricultural education.</w:t>
      </w:r>
    </w:p>
    <w:p w:rsidR="00000000" w:rsidDel="00000000" w:rsidP="00000000" w:rsidRDefault="00000000" w:rsidRPr="00000000" w14:paraId="000000DE">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Discussion</w:t>
      </w:r>
    </w:p>
    <w:p w:rsidR="00000000" w:rsidDel="00000000" w:rsidP="00000000" w:rsidRDefault="00000000" w:rsidRPr="00000000" w14:paraId="000000D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present study provides a multidimensional understanding of the constraints affecting communication skill development among postgraduate students in higher agricultural education. The findings indicate that communication skill development is influenced by an interaction of technological, curricular, institutional, socio-economic, and personal factors, confirming that communication competence is shaped not only by academic training but also by broader learning environments and psychological conditions. The interaction of multiple constraints reflects the complexity of learning environments, where behavioural, environmental, and cognitive factors jointly influence skill development (Bandura, 1997).</w:t>
      </w:r>
    </w:p>
    <w:p w:rsidR="00000000" w:rsidDel="00000000" w:rsidP="00000000" w:rsidRDefault="00000000" w:rsidRPr="00000000" w14:paraId="000000E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most significant findings of the study is the emergence of ICT-related constraints, particularly the extensive use of artificial intelligence and excessive screen time. While digital technologies provide unprecedented access to information and learning resources, over-reliance on automated tools may reduce students’ opportunities for active cognitive engagement and creative expression. Excessive screen time and digital distraction can also limit students’ participation in face-to-face communication activities, which are essential for developing interpersonal communication competence. Similar concerns have been raised in earlier studies examining the relationship between digital device usage and academic engagement, where heavy reliance on mobile technologies was found to negatively influence concentration, academic performance, and interpersonal communication skills (Lepp, Barkley, &amp; Karpinski, 2014).</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Recent evidence suggests that excessive digital engagement and multitasking behaviours can negatively affect attention span and communication effectiveness among students in higher education (Rosen, L. D., et al. 2022).</w:t>
      </w:r>
    </w:p>
    <w:p w:rsidR="00000000" w:rsidDel="00000000" w:rsidP="00000000" w:rsidRDefault="00000000" w:rsidRPr="00000000" w14:paraId="000000E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Curriculum-related constraints also emerged as a major barrier to communication skill development. The heavy workload associated with postgraduate agricultural programs was identified as the most severe curricular constraint, suggesting that students often prioritize technical coursework over communication skill development. This finding is consistent with earlier research indicating that higher education curricula frequently emphasize disciplinary knowledge while giving comparatively limited attention to communication competencies (Mishra, 2016; Saxena et al., 2017). The limited credit allocation for communication-oriented courses further indicates that communication skills are often treated as supplementary competencies rather than core professional capabilities. From the perspective of Experiential Learning Theory, communication competence develops through repeated practice and real-world interaction (Kolb, 1984). When opportunities for communication practice are limited, students may graduate with strong technical expertise but insufficient experience in communicating their knowledge effectively.</w:t>
      </w:r>
    </w:p>
    <w:p w:rsidR="00000000" w:rsidDel="00000000" w:rsidP="00000000" w:rsidRDefault="00000000" w:rsidRPr="00000000" w14:paraId="000000E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Institutional constraints further highlight the structural challenges affecting communication skill development. The lack of systematic communication training programs and limited availability of communication specialists indicate that many institutions do not provide continuous opportunities for students to strengthen communication competencies. These findings align with earlier research emphasizing the importance of institutional support systems, such as mentoring, feedback mechanisms, and communication training programs, in facilitating effective skill development (Taskov &amp; Mitreva, 2015). Without structured institutional support, communication skill development may remain dependent on individual initiative rather than systematic educational planning.</w:t>
      </w:r>
    </w:p>
    <w:p w:rsidR="00000000" w:rsidDel="00000000" w:rsidP="00000000" w:rsidRDefault="00000000" w:rsidRPr="00000000" w14:paraId="000000E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Socio-economic constraints also played a significant role in shaping communication competence. Students from rural or socio-economically disadvantaged backgrounds often have limited exposure to diverse communication environments, which may restrict their ability to adapt communication styles to different professional contexts. Previous studies have similarly highlighted that exposure to diverse discourse environments is essential for developing academic and professional communication skills (Moore &amp; Morton, 2015). Financial limitations can further restrict students’ participation in workshops, seminars, and training programs that enhance communication competence (Bharathi, 2016).</w:t>
      </w:r>
    </w:p>
    <w:p w:rsidR="00000000" w:rsidDel="00000000" w:rsidP="00000000" w:rsidRDefault="00000000" w:rsidRPr="00000000" w14:paraId="000000E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Personal factors emerged as another critical dimension affecting communication skill development. Lack of motivation and avoidance of challenging communication situations were identified as major barriers. These findings are consistent with Social Cognitive Theory, which emphasizes that individuals’ self-beliefs and motivation significantly influence learning behavior and skill development (Bandura, 1997). Students who lack confidence or motivation may avoid opportunities to engage in communication activities, thereby limiting their chances to practice and improve communication competence. Psychological barriers such as anxiety and fear of evaluation may further reinforce this avoidance behavior, as explained in Communication Apprehension Theory (McCroskey, 1977).</w:t>
      </w:r>
    </w:p>
    <w:p w:rsidR="00000000" w:rsidDel="00000000" w:rsidP="00000000" w:rsidRDefault="00000000" w:rsidRPr="00000000" w14:paraId="000000E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Overall, the findings suggest that communication skill development cannot be addressed through isolated interventions. Instead, a holistic approach that simultaneously addresses curricular design, institutional support, socio-economic disparities, psychological readiness, and responsible technology use is necessary to effectively strengthen communication competence among postgraduate students in higher agricultural education.</w:t>
      </w:r>
    </w:p>
    <w:p w:rsidR="00000000" w:rsidDel="00000000" w:rsidP="00000000" w:rsidRDefault="00000000" w:rsidRPr="00000000" w14:paraId="000000E6">
      <w:pPr>
        <w:keepNext w:val="1"/>
        <w:jc w:val="both"/>
        <w:rPr/>
      </w:pPr>
      <w:r w:rsidDel="00000000" w:rsidR="00000000" w:rsidRPr="00000000">
        <w:rPr>
          <w:rFonts w:ascii="Times New Roman" w:cs="Times New Roman" w:eastAsia="Times New Roman" w:hAnsi="Times New Roman"/>
          <w:sz w:val="24"/>
          <w:szCs w:val="24"/>
        </w:rPr>
        <w:drawing>
          <wp:inline distB="0" distT="0" distL="0" distR="0">
            <wp:extent cx="5731510" cy="3832860"/>
            <wp:effectExtent b="0" l="0" r="0" t="0"/>
            <wp:docPr id="878400029"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731510" cy="3832860"/>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bCs w:val="0"/>
          <w:i w:val="1"/>
          <w:iCs w:val="1"/>
          <w:smallCaps w:val="0"/>
          <w:strike w:val="0"/>
          <w:color w:val="44546a"/>
          <w:sz w:val="24"/>
          <w:szCs w:val="24"/>
          <w:u w:val="none"/>
          <w:shd w:fill="auto" w:val="clear"/>
          <w:vertAlign w:val="baseline"/>
        </w:rPr>
      </w:pPr>
      <w:r w:rsidDel="00000000" w:rsidR="00000000" w:rsidRPr="00000000">
        <w:rPr>
          <w:rFonts w:ascii="Calibri" w:cs="Calibri" w:eastAsia="Calibri" w:hAnsi="Calibri"/>
          <w:b w:val="0"/>
          <w:bCs w:val="0"/>
          <w:i w:val="1"/>
          <w:iCs w:val="1"/>
          <w:smallCaps w:val="0"/>
          <w:strike w:val="0"/>
          <w:color w:val="44546a"/>
          <w:sz w:val="18"/>
          <w:szCs w:val="18"/>
          <w:u w:val="none"/>
          <w:shd w:fill="auto" w:val="clear"/>
          <w:vertAlign w:val="baseline"/>
          <w:rtl w:val="0"/>
        </w:rPr>
        <w:t xml:space="preserve">Figure 1 Conceptual framework</w:t>
      </w:r>
      <w:r w:rsidDel="00000000" w:rsidR="00000000" w:rsidRPr="00000000">
        <w:rPr>
          <w:rtl w:val="0"/>
        </w:rPr>
      </w:r>
    </w:p>
    <w:p w:rsidR="00000000" w:rsidDel="00000000" w:rsidP="00000000" w:rsidRDefault="00000000" w:rsidRPr="00000000" w14:paraId="000000E8">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E9">
      <w:pPr>
        <w:spacing w:after="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Practical Implications for Agricultural Education</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Communication skill gaps among graduates have been widely associated with reduced employability and limited professional effectiveness, particularly in sectors requiring stakeholder interaction and knowledge transfer (OECD, 2021). The findings highlight the need to strengthen communication skill development within higher agricultural education through systematic interventions. Agricultural universities should incorporate structured communication training, including scientific writing workshops, research presentation seminars, and extension communication exercises. Increasing credit allocation for communication-oriented courses and reducing excessive academic workload can provide students with greater opportunities to practice communication skills.</w:t>
      </w:r>
    </w:p>
    <w:p w:rsidR="00000000" w:rsidDel="00000000" w:rsidP="00000000" w:rsidRDefault="00000000" w:rsidRPr="00000000" w14:paraId="000000E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Institutional support systems such as regular training programs, mentorship, and access to communication experts can further enhance students’ communication competence. Experiential learning activities: including field interactions, group discussions, and stakeholder engagement can also improve students’ confidence and practical communication abilities. Balanced use of digital technologies is equally important. While ICT and artificial intelligence tools support learning, excessive reliance on them may reduce opportunities for active communication practice. Universities should therefore encourage responsible technology use while promoting interpersonal academic interactions.</w:t>
      </w:r>
    </w:p>
    <w:p w:rsidR="00000000" w:rsidDel="00000000" w:rsidP="00000000" w:rsidRDefault="00000000" w:rsidRPr="00000000" w14:paraId="000000EC">
      <w:pPr>
        <w:spacing w:after="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Conclusion </w:t>
      </w:r>
    </w:p>
    <w:p w:rsidR="00000000" w:rsidDel="00000000" w:rsidP="00000000" w:rsidRDefault="00000000" w:rsidRPr="00000000" w14:paraId="000000ED">
      <w:pPr>
        <w:jc w:val="both"/>
        <w:rPr>
          <w:rFonts w:ascii="Times New Roman" w:cs="Times New Roman" w:eastAsia="Times New Roman" w:hAnsi="Times New Roman"/>
          <w:sz w:val="24"/>
          <w:szCs w:val="24"/>
        </w:rPr>
      </w:pPr>
      <w:bookmarkStart w:colFirst="0" w:colLast="0" w:name="_heading=h.p8xor3ev6w9a" w:id="0"/>
      <w:bookmarkEnd w:id="0"/>
      <w:r w:rsidDel="00000000" w:rsidR="00000000" w:rsidRPr="00000000">
        <w:rPr>
          <w:rFonts w:ascii="Times New Roman" w:cs="Times New Roman" w:eastAsia="Times New Roman" w:hAnsi="Times New Roman"/>
          <w:sz w:val="24"/>
          <w:szCs w:val="24"/>
          <w:rtl w:val="0"/>
        </w:rPr>
        <w:t xml:space="preserve">This study systematically explored the multidimensional constraints affecting communication skill development among postgraduate students in higher agricultural education (HAE) in India. The findings confirm that communication competence is hindered by a complex interaction of personal, socio-economic, curricular, institutional, and ICT-related factors. The Garrett ranking analysis revealed that personal constraints, particularly lack of motivation and avoidance of challenging situations, emerged as major psychological barriers limiting students’ engagement in communication-oriented activities. These findings highlight the critical role of individual motivation and confidence in developing effective communication competence.</w:t>
      </w:r>
    </w:p>
    <w:p w:rsidR="00000000" w:rsidDel="00000000" w:rsidP="00000000" w:rsidRDefault="00000000" w:rsidRPr="00000000" w14:paraId="000000E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Curricular constraints also emerged as a significant barrier, particularly the heavy academic workload and limited credit allocation for communication-focused courses. This reflects a broader institutional challenge observed across higher education systems, where technical knowledge is often prioritized over soft skill development (Mishra, 2016). As a result, students may graduate with strong disciplinary expertise but insufficient opportunities to systematically develop communication competencies. A notable contribution of the study is the identification of emerging ICT-related challenges, particularly the extensive use of artificial intelligence and excessive screen time. These factors were ranked among the most significant constraints, suggesting that the rapid digitalization of learning environments may inadvertently reduce creativity, cognitive engagement, and interpersonal interaction. This finding reflects a growing global concern that excessive dependence on digital technologies may create new barriers to the development of essential interpersonal competencies required in modern professional environments (Lepp et al., 2014). Institutional and socio-economic factors further intensify these challenges. The lack of systematic communication training programs within institutions, combined with limited exposure to diverse communication contexts among students from rural or marginalized backgrounds, restricts opportunities for meaningful communication practice. These constraints mirror broader challenges faced by many developing countries in preparing graduates to function effectively within an increasingly globalized and knowledge-driven economy (Moore &amp; Morton, 2015; Bharathi, 2016).</w:t>
      </w:r>
    </w:p>
    <w:p w:rsidR="00000000" w:rsidDel="00000000" w:rsidP="00000000" w:rsidRDefault="00000000" w:rsidRPr="00000000" w14:paraId="000000E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Addressing these multidimensional constraints requires a comprehensive and strategic approach. Curriculum reforms should integrate communication as a core credit-bearing competency, supported by structured training programs that build students’ confidence and encourage active participation in communication activities. At the same time, balanced use of ICT should be promoted to minimize the negative effects of excessive AI reliance and screen fatigue, while institutional initiatives should provide greater exposure to diverse communication environments. By implementing such integrated reforms, higher agricultural education institutions can foster a more holistic learning environment that equips future agricultural professionals with the communication competencies necessary to effectively engage with farmers, policymakers, researchers, and global stakeholders in addressing the complex challenges of modern food systems.</w:t>
      </w:r>
    </w:p>
    <w:p w:rsidR="00000000" w:rsidDel="00000000" w:rsidP="00000000" w:rsidRDefault="00000000" w:rsidRPr="00000000" w14:paraId="000000F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spacing w:after="0" w:lineRule="auto"/>
        <w:jc w:val="both"/>
        <w:rPr>
          <w:rFonts w:ascii="Times New Roman" w:cs="Times New Roman" w:eastAsia="Times New Roman" w:hAnsi="Times New Roman"/>
          <w:b w:val="1"/>
          <w:bCs w:val="1"/>
          <w:sz w:val="24"/>
          <w:szCs w:val="24"/>
        </w:rPr>
      </w:pPr>
      <w:sdt>
        <w:sdtPr>
          <w:id w:val="206197505"/>
          <w:tag w:val="goog_rdk_10"/>
        </w:sdtPr>
        <w:sdtContent>
          <w:commentRangeStart w:id="8"/>
        </w:sdtContent>
      </w:sdt>
      <w:r w:rsidDel="00000000" w:rsidR="00000000" w:rsidRPr="00000000">
        <w:rPr>
          <w:rFonts w:ascii="Times New Roman" w:cs="Times New Roman" w:eastAsia="Times New Roman" w:hAnsi="Times New Roman"/>
          <w:b w:val="1"/>
          <w:bCs w:val="1"/>
          <w:sz w:val="24"/>
          <w:szCs w:val="24"/>
          <w:rtl w:val="0"/>
        </w:rPr>
        <w:t xml:space="preserve">Limitations and Future Research</w:t>
      </w:r>
      <w:commentRangeEnd w:id="8"/>
      <w:r w:rsidDel="00000000" w:rsidR="00000000" w:rsidRPr="00000000">
        <w:commentReference w:id="8"/>
      </w:r>
      <w:r w:rsidDel="00000000" w:rsidR="00000000" w:rsidRPr="00000000">
        <w:rPr>
          <w:rtl w:val="0"/>
        </w:rPr>
      </w:r>
    </w:p>
    <w:p w:rsidR="00000000" w:rsidDel="00000000" w:rsidP="00000000" w:rsidRDefault="00000000" w:rsidRPr="00000000" w14:paraId="000000F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relied primarily on students’ perceptions of communication constraints, which may not fully reflect actual communication performance. Future research may incorporate objective assessments such as evaluation of presentations or writing tasks. The study was conducted in three agricultural institutions, which may limit the generalizability of the findings. Expanding future research across more universities could provide a broader understanding of communication skill development challenges. Further research may also examine the impact of digital technologies and artificial intelligence on communication competence in higher education.</w:t>
      </w:r>
    </w:p>
    <w:p w:rsidR="00000000" w:rsidDel="00000000" w:rsidP="00000000" w:rsidRDefault="00000000" w:rsidRPr="00000000" w14:paraId="000000F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COMPETING INTERESTS DISCLAIMER:</w:t>
      </w:r>
    </w:p>
    <w:p w:rsidR="00000000" w:rsidDel="00000000" w:rsidP="00000000" w:rsidRDefault="00000000" w:rsidRPr="00000000" w14:paraId="000000F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Authors have declared that they have no known competing financial interests OR non-financial interests OR personal relationships that could have appeared to influence the work reported in this paper.</w:t>
      </w:r>
    </w:p>
    <w:p w:rsidR="00000000" w:rsidDel="00000000" w:rsidP="00000000" w:rsidRDefault="00000000" w:rsidRPr="00000000" w14:paraId="000000F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References</w:t>
      </w:r>
    </w:p>
    <w:p w:rsidR="00000000" w:rsidDel="00000000" w:rsidP="00000000" w:rsidRDefault="00000000" w:rsidRPr="00000000" w14:paraId="000000F8">
      <w:pPr>
        <w:spacing w:after="0" w:line="360" w:lineRule="auto"/>
        <w:ind w:left="720" w:hanging="720"/>
        <w:jc w:val="both"/>
        <w:rPr>
          <w:rFonts w:ascii="Times New Roman" w:cs="Times New Roman" w:eastAsia="Times New Roman" w:hAnsi="Times New Roman"/>
          <w:sz w:val="24"/>
          <w:szCs w:val="24"/>
        </w:rPr>
      </w:pPr>
      <w:sdt>
        <w:sdtPr>
          <w:id w:val="645616715"/>
          <w:tag w:val="goog_rdk_11"/>
        </w:sdtPr>
        <w:sdtContent>
          <w:commentRangeStart w:id="9"/>
        </w:sdtContent>
      </w:sdt>
      <w:r w:rsidDel="00000000" w:rsidR="00000000" w:rsidRPr="00000000">
        <w:rPr>
          <w:rFonts w:ascii="Times New Roman" w:cs="Times New Roman" w:eastAsia="Times New Roman" w:hAnsi="Times New Roman"/>
          <w:sz w:val="24"/>
          <w:szCs w:val="24"/>
          <w:rtl w:val="0"/>
        </w:rPr>
        <w:t xml:space="preserve">Bharathi, A. V. (2016). Communication Skills- Core of Employability Skills</w:t>
      </w:r>
      <w:r w:rsidDel="00000000" w:rsidR="00000000" w:rsidRPr="00000000">
        <w:rPr>
          <w:rFonts w:ascii="Times New Roman" w:cs="Times New Roman" w:eastAsia="Times New Roman" w:hAnsi="Times New Roman"/>
          <w:i w:val="1"/>
          <w:iCs w:val="1"/>
          <w:sz w:val="24"/>
          <w:szCs w:val="24"/>
          <w:rtl w:val="0"/>
        </w:rPr>
        <w:t xml:space="preserve">:  Higher Learning Research Communication</w:t>
      </w:r>
      <w:r w:rsidDel="00000000" w:rsidR="00000000" w:rsidRPr="00000000">
        <w:rPr>
          <w:rFonts w:ascii="Times New Roman" w:cs="Times New Roman" w:eastAsia="Times New Roman" w:hAnsi="Times New Roman"/>
          <w:sz w:val="24"/>
          <w:szCs w:val="24"/>
          <w:rtl w:val="0"/>
        </w:rPr>
        <w:t xml:space="preserve">, 6(1).</w:t>
      </w:r>
      <w:commentRangeEnd w:id="9"/>
      <w:r w:rsidDel="00000000" w:rsidR="00000000" w:rsidRPr="00000000">
        <w:commentReference w:id="9"/>
      </w:r>
      <w:r w:rsidDel="00000000" w:rsidR="00000000" w:rsidRPr="00000000">
        <w:rPr>
          <w:rtl w:val="0"/>
        </w:rPr>
      </w:r>
    </w:p>
    <w:p w:rsidR="00000000" w:rsidDel="00000000" w:rsidP="00000000" w:rsidRDefault="00000000" w:rsidRPr="00000000" w14:paraId="000000F9">
      <w:pPr>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Canton, H. (2021). Organisation for economic co-operation and development—OECD. In </w:t>
      </w:r>
      <w:r w:rsidDel="00000000" w:rsidR="00000000" w:rsidRPr="00000000">
        <w:rPr>
          <w:rFonts w:ascii="Times New Roman" w:cs="Times New Roman" w:eastAsia="Times New Roman" w:hAnsi="Times New Roman"/>
          <w:i w:val="1"/>
          <w:iCs w:val="1"/>
          <w:sz w:val="24"/>
          <w:szCs w:val="24"/>
          <w:rtl w:val="0"/>
        </w:rPr>
        <w:t xml:space="preserve">The Europa directory of international organizations 2021</w:t>
      </w:r>
      <w:r w:rsidDel="00000000" w:rsidR="00000000" w:rsidRPr="00000000">
        <w:rPr>
          <w:rFonts w:ascii="Times New Roman" w:cs="Times New Roman" w:eastAsia="Times New Roman" w:hAnsi="Times New Roman"/>
          <w:sz w:val="24"/>
          <w:szCs w:val="24"/>
          <w:rtl w:val="0"/>
        </w:rPr>
        <w:t xml:space="preserve"> (pp. 677-687). Routledge.</w:t>
      </w:r>
    </w:p>
    <w:p w:rsidR="00000000" w:rsidDel="00000000" w:rsidP="00000000" w:rsidRDefault="00000000" w:rsidRPr="00000000" w14:paraId="000000FA">
      <w:pPr>
        <w:spacing w:after="280" w:before="28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Cramer, D. (2003). </w:t>
      </w:r>
      <w:r w:rsidDel="00000000" w:rsidR="00000000" w:rsidRPr="00000000">
        <w:rPr>
          <w:rFonts w:ascii="Times New Roman" w:cs="Times New Roman" w:eastAsia="Times New Roman" w:hAnsi="Times New Roman"/>
          <w:i w:val="1"/>
          <w:iCs w:val="1"/>
          <w:sz w:val="24"/>
          <w:szCs w:val="24"/>
          <w:rtl w:val="0"/>
        </w:rPr>
        <w:t xml:space="preserve">Advanced quantitative data analysis</w:t>
      </w:r>
      <w:r w:rsidDel="00000000" w:rsidR="00000000" w:rsidRPr="00000000">
        <w:rPr>
          <w:rFonts w:ascii="Times New Roman" w:cs="Times New Roman" w:eastAsia="Times New Roman" w:hAnsi="Times New Roman"/>
          <w:sz w:val="24"/>
          <w:szCs w:val="24"/>
          <w:rtl w:val="0"/>
        </w:rPr>
        <w:t xml:space="preserve">. McGraw-Hill Education (UK).</w:t>
      </w:r>
    </w:p>
    <w:p w:rsidR="00000000" w:rsidDel="00000000" w:rsidP="00000000" w:rsidRDefault="00000000" w:rsidRPr="00000000" w14:paraId="000000FB">
      <w:pPr>
        <w:ind w:left="720" w:hanging="720"/>
        <w:jc w:val="both"/>
        <w:rPr>
          <w:rFonts w:ascii="Times New Roman" w:cs="Times New Roman" w:eastAsia="Times New Roman" w:hAnsi="Times New Roman"/>
          <w:sz w:val="24"/>
          <w:szCs w:val="24"/>
        </w:rPr>
      </w:pPr>
      <w:sdt>
        <w:sdtPr>
          <w:id w:val="-1936038822"/>
          <w:tag w:val="goog_rdk_12"/>
        </w:sdtPr>
        <w:sdtContent>
          <w:commentRangeStart w:id="10"/>
        </w:sdtContent>
      </w:sdt>
      <w:r w:rsidDel="00000000" w:rsidR="00000000" w:rsidRPr="00000000">
        <w:rPr>
          <w:rFonts w:ascii="Times New Roman" w:cs="Times New Roman" w:eastAsia="Times New Roman" w:hAnsi="Times New Roman"/>
          <w:sz w:val="24"/>
          <w:szCs w:val="24"/>
          <w:rtl w:val="0"/>
        </w:rPr>
        <w:t xml:space="preserve">Custer, R. L., Scarcella, J. A., &amp; Stewart, B. R. (1999). The modified Delphi technique-A rotational modification.</w:t>
      </w:r>
      <w:r w:rsidDel="00000000" w:rsidR="00000000" w:rsidRPr="00000000">
        <w:rPr>
          <w:rtl w:val="0"/>
        </w:rPr>
        <w:t xml:space="preserve"> </w:t>
      </w:r>
      <w:hyperlink r:id="rId10">
        <w:r w:rsidDel="00000000" w:rsidR="00000000" w:rsidRPr="00000000">
          <w:rPr>
            <w:rFonts w:ascii="Times New Roman" w:cs="Times New Roman" w:eastAsia="Times New Roman" w:hAnsi="Times New Roman"/>
            <w:color w:val="0563c1"/>
            <w:sz w:val="24"/>
            <w:szCs w:val="24"/>
            <w:u w:val="single"/>
            <w:rtl w:val="0"/>
          </w:rPr>
          <w:t xml:space="preserve">https://doi.org/10.21061/jcte.v15i2.702</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FC">
      <w:pPr>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Dalkey, N. C., &amp; Rourke, D. L. (1971). Experimental Assessment of Delphi Procedures with Group Value Judgments.</w:t>
      </w:r>
      <w:commentRangeEnd w:id="10"/>
      <w:r w:rsidDel="00000000" w:rsidR="00000000" w:rsidRPr="00000000">
        <w:commentReference w:id="10"/>
      </w: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Dalkey, N. C., &amp; Rourke, D. L. (1972).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Experimental assessment of Delphi procedures with group value judgments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RAND Corporation.</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 Vet, H. C., De Bie, R. A., Van Der Heijden, G. J., Verhagen, A. P., Sijpkes, P., &amp; Knipschild, P. G. (1997). Systematic reviews on the basis of methodological criteria.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Physiotherapy</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83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 284-289. </w:t>
      </w:r>
      <w:hyperlink r:id="rId11">
        <w:r w:rsidDel="00000000" w:rsidR="00000000" w:rsidRPr="00000000">
          <w:rPr>
            <w:rFonts w:ascii="Times New Roman" w:cs="Times New Roman" w:eastAsia="Times New Roman" w:hAnsi="Times New Roman"/>
            <w:b w:val="0"/>
            <w:bCs w:val="0"/>
            <w:i w:val="0"/>
            <w:iCs w:val="0"/>
            <w:smallCaps w:val="0"/>
            <w:strike w:val="0"/>
            <w:color w:val="0563c1"/>
            <w:sz w:val="24"/>
            <w:szCs w:val="24"/>
            <w:u w:val="single"/>
            <w:shd w:fill="auto" w:val="clear"/>
            <w:vertAlign w:val="baseline"/>
            <w:rtl w:val="0"/>
          </w:rPr>
          <w:t xml:space="preserve">https://doi.org/10.1016/S0031-9406(05)66175-5</w:t>
        </w:r>
      </w:hyperlink>
      <w:r w:rsidDel="00000000" w:rsidR="00000000" w:rsidRPr="00000000">
        <w:rPr>
          <w:rtl w:val="0"/>
        </w:rPr>
      </w:r>
    </w:p>
    <w:p w:rsidR="00000000" w:rsidDel="00000000" w:rsidP="00000000" w:rsidRDefault="00000000" w:rsidRPr="00000000" w14:paraId="000000FF">
      <w:pPr>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Delbecq, A. L., Van de Ven, A. H., &amp; Gustafson, D. H. (1975). </w:t>
      </w:r>
      <w:r w:rsidDel="00000000" w:rsidR="00000000" w:rsidRPr="00000000">
        <w:rPr>
          <w:rFonts w:ascii="Times New Roman" w:cs="Times New Roman" w:eastAsia="Times New Roman" w:hAnsi="Times New Roman"/>
          <w:i w:val="1"/>
          <w:iCs w:val="1"/>
          <w:sz w:val="24"/>
          <w:szCs w:val="24"/>
          <w:rtl w:val="0"/>
        </w:rPr>
        <w:t xml:space="preserve">Group techniques for program planning: A guide to nominal group and Delphi processes</w:t>
      </w:r>
      <w:r w:rsidDel="00000000" w:rsidR="00000000" w:rsidRPr="00000000">
        <w:rPr>
          <w:rFonts w:ascii="Times New Roman" w:cs="Times New Roman" w:eastAsia="Times New Roman" w:hAnsi="Times New Roman"/>
          <w:sz w:val="24"/>
          <w:szCs w:val="24"/>
          <w:rtl w:val="0"/>
        </w:rPr>
        <w:t xml:space="preserve">. Scott Foresman.</w:t>
      </w:r>
    </w:p>
    <w:p w:rsidR="00000000" w:rsidDel="00000000" w:rsidP="00000000" w:rsidRDefault="00000000" w:rsidRPr="00000000" w14:paraId="00000100">
      <w:pPr>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Devi, S., &amp; Chauhan, N. M. (2020). Developing communication skills among agricultural graduates: Issues and prospects. </w:t>
      </w:r>
      <w:r w:rsidDel="00000000" w:rsidR="00000000" w:rsidRPr="00000000">
        <w:rPr>
          <w:rFonts w:ascii="Times New Roman" w:cs="Times New Roman" w:eastAsia="Times New Roman" w:hAnsi="Times New Roman"/>
          <w:i w:val="1"/>
          <w:iCs w:val="1"/>
          <w:sz w:val="24"/>
          <w:szCs w:val="24"/>
          <w:rtl w:val="0"/>
        </w:rPr>
        <w:t xml:space="preserve">Indian Research Journal of Extension Education, 20</w:t>
      </w:r>
      <w:r w:rsidDel="00000000" w:rsidR="00000000" w:rsidRPr="00000000">
        <w:rPr>
          <w:rFonts w:ascii="Times New Roman" w:cs="Times New Roman" w:eastAsia="Times New Roman" w:hAnsi="Times New Roman"/>
          <w:sz w:val="24"/>
          <w:szCs w:val="24"/>
          <w:rtl w:val="0"/>
        </w:rPr>
        <w:t xml:space="preserve">(2), 112–116.</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Duncan, E., Nicol, M. M., &amp; Ager, A. (2014). Consensus in research: The Delphi method.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Nurse Researcher, 21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 21–25.</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sdt>
        <w:sdtPr>
          <w:id w:val="1771239645"/>
          <w:tag w:val="goog_rdk_13"/>
        </w:sdtPr>
        <w:sdtContent>
          <w:commentRangeStart w:id="11"/>
        </w:sdtContent>
      </w:sdt>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Garrett, H. E., &amp; Woodworth, R. S. (1969). Statistics in psychology and education (6th ed.). Bombay: Vakils, Feffer and Simons Ltd.</w:t>
      </w:r>
      <w:commentRangeEnd w:id="11"/>
      <w:r w:rsidDel="00000000" w:rsidR="00000000" w:rsidRPr="00000000">
        <w:commentReference w:id="11"/>
      </w:r>
      <w:r w:rsidDel="00000000" w:rsidR="00000000" w:rsidRPr="00000000">
        <w:rPr>
          <w:rtl w:val="0"/>
        </w:rPr>
      </w:r>
    </w:p>
    <w:p w:rsidR="00000000" w:rsidDel="00000000" w:rsidP="00000000" w:rsidRDefault="00000000" w:rsidRPr="00000000" w14:paraId="00000103">
      <w:pPr>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Gündüz, A. Y. (2023). The importance of investigating students’ lifelong learning levels and perceptions of 21st-century skills. </w:t>
      </w:r>
      <w:r w:rsidDel="00000000" w:rsidR="00000000" w:rsidRPr="00000000">
        <w:rPr>
          <w:rFonts w:ascii="Times New Roman" w:cs="Times New Roman" w:eastAsia="Times New Roman" w:hAnsi="Times New Roman"/>
          <w:i w:val="1"/>
          <w:iCs w:val="1"/>
          <w:sz w:val="24"/>
          <w:szCs w:val="24"/>
          <w:rtl w:val="0"/>
        </w:rPr>
        <w:t xml:space="preserve">International e-Journal of Educational Studies, 7</w:t>
      </w:r>
      <w:r w:rsidDel="00000000" w:rsidR="00000000" w:rsidRPr="00000000">
        <w:rPr>
          <w:rFonts w:ascii="Times New Roman" w:cs="Times New Roman" w:eastAsia="Times New Roman" w:hAnsi="Times New Roman"/>
          <w:sz w:val="24"/>
          <w:szCs w:val="24"/>
          <w:rtl w:val="0"/>
        </w:rPr>
        <w:t xml:space="preserve">(15), 788–796. </w:t>
      </w:r>
      <w:hyperlink r:id="rId12">
        <w:r w:rsidDel="00000000" w:rsidR="00000000" w:rsidRPr="00000000">
          <w:rPr>
            <w:rFonts w:ascii="Times New Roman" w:cs="Times New Roman" w:eastAsia="Times New Roman" w:hAnsi="Times New Roman"/>
            <w:color w:val="0563c1"/>
            <w:sz w:val="24"/>
            <w:szCs w:val="24"/>
            <w:u w:val="single"/>
            <w:rtl w:val="0"/>
          </w:rPr>
          <w:t xml:space="preserve">https://doi.org/10.31458/iejes.1346220</w:t>
        </w:r>
      </w:hyperlink>
      <w:r w:rsidDel="00000000" w:rsidR="00000000" w:rsidRPr="00000000">
        <w:rPr>
          <w:rtl w:val="0"/>
        </w:rPr>
      </w:r>
    </w:p>
    <w:p w:rsidR="00000000" w:rsidDel="00000000" w:rsidP="00000000" w:rsidRDefault="00000000" w:rsidRPr="00000000" w14:paraId="00000104">
      <w:pPr>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Hasan, S., Nasreen, S., &amp; Rasul, S. S. U. (2025). Leveraging artificial intelligence (ai) in higher education: fostering soft skills communication, collaboration, creativity and critical among university students. </w:t>
      </w:r>
      <w:r w:rsidDel="00000000" w:rsidR="00000000" w:rsidRPr="00000000">
        <w:rPr>
          <w:rFonts w:ascii="Times New Roman" w:cs="Times New Roman" w:eastAsia="Times New Roman" w:hAnsi="Times New Roman"/>
          <w:i w:val="1"/>
          <w:iCs w:val="1"/>
          <w:sz w:val="24"/>
          <w:szCs w:val="24"/>
          <w:rtl w:val="0"/>
        </w:rPr>
        <w:t xml:space="preserve">Insights-Journal of Life and Social Sciences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3</w:t>
      </w:r>
      <w:r w:rsidDel="00000000" w:rsidR="00000000" w:rsidRPr="00000000">
        <w:rPr>
          <w:rFonts w:ascii="Times New Roman" w:cs="Times New Roman" w:eastAsia="Times New Roman" w:hAnsi="Times New Roman"/>
          <w:sz w:val="24"/>
          <w:szCs w:val="24"/>
          <w:rtl w:val="0"/>
        </w:rPr>
        <w:t xml:space="preserve">(4), 1-7.  </w:t>
      </w:r>
      <w:hyperlink r:id="rId13">
        <w:r w:rsidDel="00000000" w:rsidR="00000000" w:rsidRPr="00000000">
          <w:rPr>
            <w:rFonts w:ascii="Times New Roman" w:cs="Times New Roman" w:eastAsia="Times New Roman" w:hAnsi="Times New Roman"/>
            <w:color w:val="0563c1"/>
            <w:sz w:val="24"/>
            <w:szCs w:val="24"/>
            <w:u w:val="single"/>
            <w:rtl w:val="0"/>
          </w:rPr>
          <w:t xml:space="preserve">https://insightsjlss.com/index.php/home/article/view/133</w:t>
        </w:r>
      </w:hyperlink>
      <w:r w:rsidDel="00000000" w:rsidR="00000000" w:rsidRPr="00000000">
        <w:rPr>
          <w:rtl w:val="0"/>
        </w:rPr>
      </w:r>
    </w:p>
    <w:p w:rsidR="00000000" w:rsidDel="00000000" w:rsidP="00000000" w:rsidRDefault="00000000" w:rsidRPr="00000000" w14:paraId="00000105">
      <w:pPr>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Hynes, M. (2009). Developing professionals’ communication skills for the globalized workplace. </w:t>
      </w:r>
      <w:r w:rsidDel="00000000" w:rsidR="00000000" w:rsidRPr="00000000">
        <w:rPr>
          <w:rFonts w:ascii="Times New Roman" w:cs="Times New Roman" w:eastAsia="Times New Roman" w:hAnsi="Times New Roman"/>
          <w:i w:val="1"/>
          <w:iCs w:val="1"/>
          <w:sz w:val="24"/>
          <w:szCs w:val="24"/>
          <w:rtl w:val="0"/>
        </w:rPr>
        <w:t xml:space="preserve">Journal of Workplace Learning, 21</w:t>
      </w:r>
      <w:r w:rsidDel="00000000" w:rsidR="00000000" w:rsidRPr="00000000">
        <w:rPr>
          <w:rFonts w:ascii="Times New Roman" w:cs="Times New Roman" w:eastAsia="Times New Roman" w:hAnsi="Times New Roman"/>
          <w:sz w:val="24"/>
          <w:szCs w:val="24"/>
          <w:rtl w:val="0"/>
        </w:rPr>
        <w:t xml:space="preserve">(6), 480–497.</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Jacobs, J. M. (1996).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Essential assessment criteria for physical education teacher education programs: A Delphi study</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West Virginia University.</w:t>
      </w:r>
    </w:p>
    <w:p w:rsidR="00000000" w:rsidDel="00000000" w:rsidP="00000000" w:rsidRDefault="00000000" w:rsidRPr="00000000" w14:paraId="00000107">
      <w:pPr>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Kaşarcı, İ., Demircan, Z. A., Ercan, G. Ç., &amp; İnci, T. (2025). Managing artificial intelligence ethics in higher education: A systematic framework for issues and policy recommendations. </w:t>
      </w:r>
      <w:r w:rsidDel="00000000" w:rsidR="00000000" w:rsidRPr="00000000">
        <w:rPr>
          <w:rFonts w:ascii="Times New Roman" w:cs="Times New Roman" w:eastAsia="Times New Roman" w:hAnsi="Times New Roman"/>
          <w:i w:val="1"/>
          <w:iCs w:val="1"/>
          <w:sz w:val="24"/>
          <w:szCs w:val="24"/>
          <w:rtl w:val="0"/>
        </w:rPr>
        <w:t xml:space="preserve">International Journal of Current Educational Studies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4</w:t>
      </w:r>
      <w:r w:rsidDel="00000000" w:rsidR="00000000" w:rsidRPr="00000000">
        <w:rPr>
          <w:rFonts w:ascii="Times New Roman" w:cs="Times New Roman" w:eastAsia="Times New Roman" w:hAnsi="Times New Roman"/>
          <w:sz w:val="24"/>
          <w:szCs w:val="24"/>
          <w:rtl w:val="0"/>
        </w:rPr>
        <w:t xml:space="preserve">(2), 112-137. </w:t>
      </w:r>
      <w:hyperlink r:id="rId14">
        <w:r w:rsidDel="00000000" w:rsidR="00000000" w:rsidRPr="00000000">
          <w:rPr>
            <w:rFonts w:ascii="Times New Roman" w:cs="Times New Roman" w:eastAsia="Times New Roman" w:hAnsi="Times New Roman"/>
            <w:color w:val="0563c1"/>
            <w:sz w:val="24"/>
            <w:szCs w:val="24"/>
            <w:u w:val="single"/>
            <w:rtl w:val="0"/>
          </w:rPr>
          <w:t xml:space="preserve">https://doi.org/10.46328/ijces.223</w:t>
        </w:r>
      </w:hyperlink>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Kelly, G. A. (1991).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The psychology of personal constructs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Routledge.</w:t>
      </w:r>
    </w:p>
    <w:p w:rsidR="00000000" w:rsidDel="00000000" w:rsidP="00000000" w:rsidRDefault="00000000" w:rsidRPr="00000000" w14:paraId="00000109">
      <w:pPr>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Kumar, R., &amp; Rani, S. (2021). Socio-cultural determinants of communication skills among rural students in higher education. </w:t>
      </w:r>
      <w:r w:rsidDel="00000000" w:rsidR="00000000" w:rsidRPr="00000000">
        <w:rPr>
          <w:rFonts w:ascii="Times New Roman" w:cs="Times New Roman" w:eastAsia="Times New Roman" w:hAnsi="Times New Roman"/>
          <w:i w:val="1"/>
          <w:iCs w:val="1"/>
          <w:sz w:val="24"/>
          <w:szCs w:val="24"/>
          <w:rtl w:val="0"/>
        </w:rPr>
        <w:t xml:space="preserve">Journal of Community Mobilization and Sustainable Development, 16</w:t>
      </w:r>
      <w:r w:rsidDel="00000000" w:rsidR="00000000" w:rsidRPr="00000000">
        <w:rPr>
          <w:rFonts w:ascii="Times New Roman" w:cs="Times New Roman" w:eastAsia="Times New Roman" w:hAnsi="Times New Roman"/>
          <w:sz w:val="24"/>
          <w:szCs w:val="24"/>
          <w:rtl w:val="0"/>
        </w:rPr>
        <w:t xml:space="preserve">(1), 146–151.</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Lang, T. (1995). An overview of four futures methodologies.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Manoa Journal of Fried and Half-Fried Ideas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7</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1-43.</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Lepp, A., Barkley, J. E., &amp; Karpinski, A. C. (2014). The relationship between cell phone use, academic performance, anxiety, and satisfaction with life in college students.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Computers in Human Behavior, 31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343–350. </w:t>
      </w:r>
      <w:hyperlink r:id="rId15">
        <w:r w:rsidDel="00000000" w:rsidR="00000000" w:rsidRPr="00000000">
          <w:rPr>
            <w:rFonts w:ascii="Times New Roman" w:cs="Times New Roman" w:eastAsia="Times New Roman" w:hAnsi="Times New Roman"/>
            <w:b w:val="0"/>
            <w:bCs w:val="0"/>
            <w:i w:val="0"/>
            <w:iCs w:val="0"/>
            <w:smallCaps w:val="0"/>
            <w:strike w:val="0"/>
            <w:color w:val="0563c1"/>
            <w:sz w:val="24"/>
            <w:szCs w:val="24"/>
            <w:u w:val="single"/>
            <w:shd w:fill="auto" w:val="clear"/>
            <w:vertAlign w:val="baseline"/>
            <w:rtl w:val="0"/>
          </w:rPr>
          <w:t xml:space="preserve">https://doi.org/10.1016/j.chb.2013.10.049</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Linstone, H. A., &amp; Turoff, M. (Eds.). (1975).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The delphi method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(Vol. 1975, pp. 3-12). Reading, MA: Addison-Wesley.</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Ludwig, B. (1997). Predicting the future: Have you considered using the Delphi methodology?.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The Journal of Extension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35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 15.</w:t>
      </w:r>
    </w:p>
    <w:p w:rsidR="00000000" w:rsidDel="00000000" w:rsidP="00000000" w:rsidRDefault="00000000" w:rsidRPr="00000000" w14:paraId="0000010E">
      <w:pPr>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MacIntyre, P. D. (2020). Expanding the theoretical base for the dynamics of willingness to communicate. </w:t>
      </w:r>
      <w:r w:rsidDel="00000000" w:rsidR="00000000" w:rsidRPr="00000000">
        <w:rPr>
          <w:rFonts w:ascii="Times New Roman" w:cs="Times New Roman" w:eastAsia="Times New Roman" w:hAnsi="Times New Roman"/>
          <w:i w:val="1"/>
          <w:iCs w:val="1"/>
          <w:sz w:val="24"/>
          <w:szCs w:val="24"/>
          <w:rtl w:val="0"/>
        </w:rPr>
        <w:t xml:space="preserve">Studies in Second Language Learning and Teaching, 10</w:t>
      </w:r>
      <w:r w:rsidDel="00000000" w:rsidR="00000000" w:rsidRPr="00000000">
        <w:rPr>
          <w:rFonts w:ascii="Times New Roman" w:cs="Times New Roman" w:eastAsia="Times New Roman" w:hAnsi="Times New Roman"/>
          <w:sz w:val="24"/>
          <w:szCs w:val="24"/>
          <w:rtl w:val="0"/>
        </w:rPr>
        <w:t xml:space="preserve">(1), 111–131.</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Martin, A. G., &amp; Frick, M. J. (1998). The Delphi Technique: An Informal History of Its Use in Agricultural Education Research since 1984.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Journal of agricultural education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39</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 73-79. </w:t>
      </w:r>
      <w:hyperlink r:id="rId16">
        <w:r w:rsidDel="00000000" w:rsidR="00000000" w:rsidRPr="00000000">
          <w:rPr>
            <w:rFonts w:ascii="Times New Roman" w:cs="Times New Roman" w:eastAsia="Times New Roman" w:hAnsi="Times New Roman"/>
            <w:b w:val="0"/>
            <w:bCs w:val="0"/>
            <w:i w:val="0"/>
            <w:iCs w:val="0"/>
            <w:smallCaps w:val="0"/>
            <w:strike w:val="0"/>
            <w:color w:val="0563c1"/>
            <w:sz w:val="24"/>
            <w:szCs w:val="24"/>
            <w:u w:val="single"/>
            <w:shd w:fill="auto" w:val="clear"/>
            <w:vertAlign w:val="baseline"/>
            <w:rtl w:val="0"/>
          </w:rPr>
          <w:t xml:space="preserve">https://doi.org/10.5032/jae.1998.01073</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10">
      <w:pPr>
        <w:ind w:left="720" w:hanging="720"/>
        <w:jc w:val="both"/>
        <w:rPr>
          <w:rFonts w:ascii="Times New Roman" w:cs="Times New Roman" w:eastAsia="Times New Roman" w:hAnsi="Times New Roman"/>
          <w:color w:val="ee0000"/>
          <w:sz w:val="24"/>
          <w:szCs w:val="24"/>
        </w:rPr>
      </w:pPr>
      <w:r w:rsidDel="00000000" w:rsidR="00000000" w:rsidRPr="00000000">
        <w:rPr>
          <w:rFonts w:ascii="Times New Roman" w:cs="Times New Roman" w:eastAsia="Times New Roman" w:hAnsi="Times New Roman"/>
          <w:color w:val="000000"/>
          <w:sz w:val="24"/>
          <w:szCs w:val="24"/>
          <w:rtl w:val="0"/>
        </w:rPr>
        <w:t xml:space="preserve">McCroskey, J. C. (1977). Oral communication apprehension: A summary of recent theory and research. </w:t>
      </w:r>
      <w:r w:rsidDel="00000000" w:rsidR="00000000" w:rsidRPr="00000000">
        <w:rPr>
          <w:rFonts w:ascii="Times New Roman" w:cs="Times New Roman" w:eastAsia="Times New Roman" w:hAnsi="Times New Roman"/>
          <w:i w:val="1"/>
          <w:iCs w:val="1"/>
          <w:color w:val="000000"/>
          <w:sz w:val="24"/>
          <w:szCs w:val="24"/>
          <w:rtl w:val="0"/>
        </w:rPr>
        <w:t xml:space="preserve">Human Communication Research, 4</w:t>
      </w:r>
      <w:r w:rsidDel="00000000" w:rsidR="00000000" w:rsidRPr="00000000">
        <w:rPr>
          <w:rFonts w:ascii="Times New Roman" w:cs="Times New Roman" w:eastAsia="Times New Roman" w:hAnsi="Times New Roman"/>
          <w:color w:val="000000"/>
          <w:sz w:val="24"/>
          <w:szCs w:val="24"/>
          <w:rtl w:val="0"/>
        </w:rPr>
        <w:t xml:space="preserve">(1), 78–96. </w:t>
      </w:r>
      <w:hyperlink r:id="rId17">
        <w:r w:rsidDel="00000000" w:rsidR="00000000" w:rsidRPr="00000000">
          <w:rPr>
            <w:rFonts w:ascii="Times New Roman" w:cs="Times New Roman" w:eastAsia="Times New Roman" w:hAnsi="Times New Roman"/>
            <w:b w:val="1"/>
            <w:bCs w:val="1"/>
            <w:color w:val="0563c1"/>
            <w:sz w:val="24"/>
            <w:szCs w:val="24"/>
            <w:u w:val="single"/>
            <w:rtl w:val="0"/>
          </w:rPr>
          <w:t xml:space="preserve">https://doi.org/10.1111/j.1468-2958.1977.tb00599.x</w:t>
        </w:r>
      </w:hyperlink>
      <w:r w:rsidDel="00000000" w:rsidR="00000000" w:rsidRPr="00000000">
        <w:rPr>
          <w:rtl w:val="0"/>
        </w:rPr>
      </w:r>
    </w:p>
    <w:p w:rsidR="00000000" w:rsidDel="00000000" w:rsidP="00000000" w:rsidRDefault="00000000" w:rsidRPr="00000000" w14:paraId="00000111">
      <w:pPr>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Mishra, S. (2016). Curriculum design and soft skill development in higher education. </w:t>
      </w:r>
      <w:r w:rsidDel="00000000" w:rsidR="00000000" w:rsidRPr="00000000">
        <w:rPr>
          <w:rFonts w:ascii="Times New Roman" w:cs="Times New Roman" w:eastAsia="Times New Roman" w:hAnsi="Times New Roman"/>
          <w:i w:val="1"/>
          <w:iCs w:val="1"/>
          <w:sz w:val="24"/>
          <w:szCs w:val="24"/>
          <w:rtl w:val="0"/>
        </w:rPr>
        <w:t xml:space="preserve">Journal of Educational Planning and Administration</w:t>
      </w:r>
      <w:r w:rsidDel="00000000" w:rsidR="00000000" w:rsidRPr="00000000">
        <w:rPr>
          <w:rFonts w:ascii="Times New Roman" w:cs="Times New Roman" w:eastAsia="Times New Roman" w:hAnsi="Times New Roman"/>
          <w:sz w:val="24"/>
          <w:szCs w:val="24"/>
          <w:rtl w:val="0"/>
        </w:rPr>
        <w:t xml:space="preserve">, 30(1), 67–78.</w:t>
      </w:r>
    </w:p>
    <w:p w:rsidR="00000000" w:rsidDel="00000000" w:rsidP="00000000" w:rsidRDefault="00000000" w:rsidRPr="00000000" w14:paraId="00000112">
      <w:pPr>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Mondal, S., &amp; Mandal, P. (2016). Constraints in communication skill development among agricultural students: An Indian perspective. </w:t>
      </w:r>
      <w:r w:rsidDel="00000000" w:rsidR="00000000" w:rsidRPr="00000000">
        <w:rPr>
          <w:rFonts w:ascii="Times New Roman" w:cs="Times New Roman" w:eastAsia="Times New Roman" w:hAnsi="Times New Roman"/>
          <w:i w:val="1"/>
          <w:iCs w:val="1"/>
          <w:sz w:val="24"/>
          <w:szCs w:val="24"/>
          <w:rtl w:val="0"/>
        </w:rPr>
        <w:t xml:space="preserve">Journal of Extension Education, 28</w:t>
      </w:r>
      <w:r w:rsidDel="00000000" w:rsidR="00000000" w:rsidRPr="00000000">
        <w:rPr>
          <w:rFonts w:ascii="Times New Roman" w:cs="Times New Roman" w:eastAsia="Times New Roman" w:hAnsi="Times New Roman"/>
          <w:sz w:val="24"/>
          <w:szCs w:val="24"/>
          <w:rtl w:val="0"/>
        </w:rPr>
        <w:t xml:space="preserve">(4), 5700–5705.</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Moore, C. M. (1987).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Group techniques for idea building</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Sage Publications, Inc.</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Moore, T., &amp; Morton, J. (2015). The myth of job readiness? Written communication, employability, and the “skills gap” in higher education.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Studies in Higher Education, 42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 591–609. </w:t>
      </w:r>
      <w:hyperlink r:id="rId18">
        <w:r w:rsidDel="00000000" w:rsidR="00000000" w:rsidRPr="00000000">
          <w:rPr>
            <w:rFonts w:ascii="Times New Roman" w:cs="Times New Roman" w:eastAsia="Times New Roman" w:hAnsi="Times New Roman"/>
            <w:b w:val="0"/>
            <w:bCs w:val="0"/>
            <w:i w:val="0"/>
            <w:iCs w:val="0"/>
            <w:smallCaps w:val="0"/>
            <w:strike w:val="0"/>
            <w:color w:val="0563c1"/>
            <w:sz w:val="24"/>
            <w:szCs w:val="24"/>
            <w:u w:val="single"/>
            <w:shd w:fill="auto" w:val="clear"/>
            <w:vertAlign w:val="baseline"/>
            <w:rtl w:val="0"/>
          </w:rPr>
          <w:t xml:space="preserve">https://doi.org/10.1080/03075079.2015.1067602</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15">
      <w:pPr>
        <w:ind w:left="720" w:hanging="720"/>
        <w:jc w:val="both"/>
        <w:rPr>
          <w:rFonts w:ascii="Times New Roman" w:cs="Times New Roman" w:eastAsia="Times New Roman" w:hAnsi="Times New Roman"/>
          <w:color w:val="ee0000"/>
          <w:sz w:val="24"/>
          <w:szCs w:val="24"/>
        </w:rPr>
      </w:pPr>
      <w:r w:rsidDel="00000000" w:rsidR="00000000" w:rsidRPr="00000000">
        <w:rPr>
          <w:rFonts w:ascii="Times New Roman" w:cs="Times New Roman" w:eastAsia="Times New Roman" w:hAnsi="Times New Roman"/>
          <w:sz w:val="24"/>
          <w:szCs w:val="24"/>
          <w:rtl w:val="0"/>
        </w:rPr>
        <w:t xml:space="preserve">Myers, B. E., &amp; Dyer, J. E. (2006). The influence of student learning style on critical thinking skill development in agricultural education. </w:t>
      </w:r>
      <w:r w:rsidDel="00000000" w:rsidR="00000000" w:rsidRPr="00000000">
        <w:rPr>
          <w:rFonts w:ascii="Times New Roman" w:cs="Times New Roman" w:eastAsia="Times New Roman" w:hAnsi="Times New Roman"/>
          <w:i w:val="1"/>
          <w:iCs w:val="1"/>
          <w:sz w:val="24"/>
          <w:szCs w:val="24"/>
          <w:rtl w:val="0"/>
        </w:rPr>
        <w:t xml:space="preserve">Journal of Agricultural Education, 47</w:t>
      </w:r>
      <w:r w:rsidDel="00000000" w:rsidR="00000000" w:rsidRPr="00000000">
        <w:rPr>
          <w:rFonts w:ascii="Times New Roman" w:cs="Times New Roman" w:eastAsia="Times New Roman" w:hAnsi="Times New Roman"/>
          <w:sz w:val="24"/>
          <w:szCs w:val="24"/>
          <w:rtl w:val="0"/>
        </w:rPr>
        <w:t xml:space="preserve">(1), 43–52. </w:t>
      </w:r>
      <w:hyperlink r:id="rId19">
        <w:r w:rsidDel="00000000" w:rsidR="00000000" w:rsidRPr="00000000">
          <w:rPr>
            <w:rFonts w:ascii="Times New Roman" w:cs="Times New Roman" w:eastAsia="Times New Roman" w:hAnsi="Times New Roman"/>
            <w:color w:val="0563c1"/>
            <w:sz w:val="24"/>
            <w:szCs w:val="24"/>
            <w:u w:val="single"/>
            <w:rtl w:val="0"/>
          </w:rPr>
          <w:t xml:space="preserve">https://doi.org/10.5032/jae.2006.01043</w:t>
        </w:r>
      </w:hyperlink>
      <w:r w:rsidDel="00000000" w:rsidR="00000000" w:rsidRPr="00000000">
        <w:rPr>
          <w:rtl w:val="0"/>
        </w:rPr>
      </w:r>
    </w:p>
    <w:p w:rsidR="00000000" w:rsidDel="00000000" w:rsidP="00000000" w:rsidRDefault="00000000" w:rsidRPr="00000000" w14:paraId="00000116">
      <w:pPr>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Petrova, M. N. (2025). Strategies for developing AI competencies in higher education: A Delphi-based approach. </w:t>
      </w:r>
      <w:r w:rsidDel="00000000" w:rsidR="00000000" w:rsidRPr="00000000">
        <w:rPr>
          <w:rFonts w:ascii="Times New Roman" w:cs="Times New Roman" w:eastAsia="Times New Roman" w:hAnsi="Times New Roman"/>
          <w:i w:val="1"/>
          <w:iCs w:val="1"/>
          <w:sz w:val="24"/>
          <w:szCs w:val="24"/>
          <w:rtl w:val="0"/>
        </w:rPr>
        <w:t xml:space="preserve">Frontiers in Education, 10</w:t>
      </w:r>
      <w:r w:rsidDel="00000000" w:rsidR="00000000" w:rsidRPr="00000000">
        <w:rPr>
          <w:rFonts w:ascii="Times New Roman" w:cs="Times New Roman" w:eastAsia="Times New Roman" w:hAnsi="Times New Roman"/>
          <w:sz w:val="24"/>
          <w:szCs w:val="24"/>
          <w:rtl w:val="0"/>
        </w:rPr>
        <w:t xml:space="preserve">. </w:t>
      </w:r>
      <w:hyperlink r:id="rId20">
        <w:r w:rsidDel="00000000" w:rsidR="00000000" w:rsidRPr="00000000">
          <w:rPr>
            <w:rFonts w:ascii="Times New Roman" w:cs="Times New Roman" w:eastAsia="Times New Roman" w:hAnsi="Times New Roman"/>
            <w:color w:val="0563c1"/>
            <w:sz w:val="24"/>
            <w:szCs w:val="24"/>
            <w:u w:val="single"/>
            <w:rtl w:val="0"/>
          </w:rPr>
          <w:t xml:space="preserve">https://doi.org/10.3389/feduc.2025.1683909</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7">
      <w:pPr>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Popescu, A. V., &amp; Cohen-Vida, M. I. (2014). Communication strategies for developing the learner's autonomy. </w:t>
      </w:r>
      <w:r w:rsidDel="00000000" w:rsidR="00000000" w:rsidRPr="00000000">
        <w:rPr>
          <w:rFonts w:ascii="Times New Roman" w:cs="Times New Roman" w:eastAsia="Times New Roman" w:hAnsi="Times New Roman"/>
          <w:i w:val="1"/>
          <w:iCs w:val="1"/>
          <w:sz w:val="24"/>
          <w:szCs w:val="24"/>
          <w:rtl w:val="0"/>
        </w:rPr>
        <w:t xml:space="preserve">Procedia-Social and Behavioral Sciences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116</w:t>
      </w:r>
      <w:r w:rsidDel="00000000" w:rsidR="00000000" w:rsidRPr="00000000">
        <w:rPr>
          <w:rFonts w:ascii="Times New Roman" w:cs="Times New Roman" w:eastAsia="Times New Roman" w:hAnsi="Times New Roman"/>
          <w:sz w:val="24"/>
          <w:szCs w:val="24"/>
          <w:rtl w:val="0"/>
        </w:rPr>
        <w:t xml:space="preserve">, 3489-3493.</w:t>
      </w:r>
      <w:r w:rsidDel="00000000" w:rsidR="00000000" w:rsidRPr="00000000">
        <w:rPr>
          <w:rtl w:val="0"/>
        </w:rPr>
        <w:t xml:space="preserve"> </w:t>
      </w:r>
      <w:hyperlink r:id="rId21">
        <w:r w:rsidDel="00000000" w:rsidR="00000000" w:rsidRPr="00000000">
          <w:rPr>
            <w:rFonts w:ascii="Times New Roman" w:cs="Times New Roman" w:eastAsia="Times New Roman" w:hAnsi="Times New Roman"/>
            <w:color w:val="0563c1"/>
            <w:sz w:val="24"/>
            <w:szCs w:val="24"/>
            <w:u w:val="single"/>
            <w:rtl w:val="0"/>
          </w:rPr>
          <w:t xml:space="preserve">https://doi.org/10.1016/j.sbspro.2014.01.789</w:t>
        </w:r>
      </w:hyperlink>
      <w:r w:rsidDel="00000000" w:rsidR="00000000" w:rsidRPr="00000000">
        <w:rPr>
          <w:rtl w:val="0"/>
        </w:rPr>
      </w:r>
    </w:p>
    <w:p w:rsidR="00000000" w:rsidDel="00000000" w:rsidP="00000000" w:rsidRDefault="00000000" w:rsidRPr="00000000" w14:paraId="00000118">
      <w:pPr>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Resnik, P., Dewaele, J. M., Li, C., &amp; Botes, E. (2025). The role of positive and negative emotions in foreign language learning: A research agenda. </w:t>
      </w:r>
      <w:r w:rsidDel="00000000" w:rsidR="00000000" w:rsidRPr="00000000">
        <w:rPr>
          <w:rFonts w:ascii="Times New Roman" w:cs="Times New Roman" w:eastAsia="Times New Roman" w:hAnsi="Times New Roman"/>
          <w:i w:val="1"/>
          <w:iCs w:val="1"/>
          <w:sz w:val="24"/>
          <w:szCs w:val="24"/>
          <w:rtl w:val="0"/>
        </w:rPr>
        <w:t xml:space="preserve">Language Teaching</w:t>
      </w:r>
      <w:r w:rsidDel="00000000" w:rsidR="00000000" w:rsidRPr="00000000">
        <w:rPr>
          <w:rFonts w:ascii="Times New Roman" w:cs="Times New Roman" w:eastAsia="Times New Roman" w:hAnsi="Times New Roman"/>
          <w:sz w:val="24"/>
          <w:szCs w:val="24"/>
          <w:rtl w:val="0"/>
        </w:rPr>
        <w:t xml:space="preserve">, 1-26. </w:t>
      </w:r>
      <w:hyperlink r:id="rId22">
        <w:r w:rsidDel="00000000" w:rsidR="00000000" w:rsidRPr="00000000">
          <w:rPr>
            <w:rFonts w:ascii="Times New Roman" w:cs="Times New Roman" w:eastAsia="Times New Roman" w:hAnsi="Times New Roman"/>
            <w:color w:val="0563c1"/>
            <w:sz w:val="24"/>
            <w:szCs w:val="24"/>
            <w:u w:val="single"/>
            <w:rtl w:val="0"/>
          </w:rPr>
          <w:t xml:space="preserve">https://doi.org/10.1017/S0261444825101031</w:t>
        </w:r>
      </w:hyperlink>
      <w:r w:rsidDel="00000000" w:rsidR="00000000" w:rsidRPr="00000000">
        <w:rPr>
          <w:rtl w:val="0"/>
        </w:rPr>
      </w:r>
    </w:p>
    <w:p w:rsidR="00000000" w:rsidDel="00000000" w:rsidP="00000000" w:rsidRDefault="00000000" w:rsidRPr="00000000" w14:paraId="00000119">
      <w:pPr>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Rosen, L. D. (2017). The distracted student mind—enhancing its focus and attention. </w:t>
      </w:r>
      <w:r w:rsidDel="00000000" w:rsidR="00000000" w:rsidRPr="00000000">
        <w:rPr>
          <w:rFonts w:ascii="Times New Roman" w:cs="Times New Roman" w:eastAsia="Times New Roman" w:hAnsi="Times New Roman"/>
          <w:i w:val="1"/>
          <w:iCs w:val="1"/>
          <w:sz w:val="24"/>
          <w:szCs w:val="24"/>
          <w:rtl w:val="0"/>
        </w:rPr>
        <w:t xml:space="preserve">Phi Delta Kappan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99</w:t>
      </w:r>
      <w:r w:rsidDel="00000000" w:rsidR="00000000" w:rsidRPr="00000000">
        <w:rPr>
          <w:rFonts w:ascii="Times New Roman" w:cs="Times New Roman" w:eastAsia="Times New Roman" w:hAnsi="Times New Roman"/>
          <w:sz w:val="24"/>
          <w:szCs w:val="24"/>
          <w:rtl w:val="0"/>
        </w:rPr>
        <w:t xml:space="preserve">(2), 8-14. </w:t>
      </w:r>
      <w:hyperlink r:id="rId23">
        <w:r w:rsidDel="00000000" w:rsidR="00000000" w:rsidRPr="00000000">
          <w:rPr>
            <w:rFonts w:ascii="Times New Roman" w:cs="Times New Roman" w:eastAsia="Times New Roman" w:hAnsi="Times New Roman"/>
            <w:color w:val="0563c1"/>
            <w:sz w:val="24"/>
            <w:szCs w:val="24"/>
            <w:u w:val="single"/>
            <w:rtl w:val="0"/>
          </w:rPr>
          <w:t xml:space="preserve">https://doi.org/10.1177/0031721717734183</w:t>
        </w:r>
      </w:hyperlink>
      <w:r w:rsidDel="00000000" w:rsidR="00000000" w:rsidRPr="00000000">
        <w:rPr>
          <w:rtl w:val="0"/>
        </w:rPr>
      </w:r>
    </w:p>
    <w:p w:rsidR="00000000" w:rsidDel="00000000" w:rsidP="00000000" w:rsidRDefault="00000000" w:rsidRPr="00000000" w14:paraId="0000011A">
      <w:pPr>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Rothwell, W. J., &amp; Kazanas, H. C. (2011). </w:t>
      </w:r>
      <w:r w:rsidDel="00000000" w:rsidR="00000000" w:rsidRPr="00000000">
        <w:rPr>
          <w:rFonts w:ascii="Times New Roman" w:cs="Times New Roman" w:eastAsia="Times New Roman" w:hAnsi="Times New Roman"/>
          <w:i w:val="1"/>
          <w:iCs w:val="1"/>
          <w:sz w:val="24"/>
          <w:szCs w:val="24"/>
          <w:rtl w:val="0"/>
        </w:rPr>
        <w:t xml:space="preserve">Mastering the instructional design process: A systematic approach</w:t>
      </w:r>
      <w:r w:rsidDel="00000000" w:rsidR="00000000" w:rsidRPr="00000000">
        <w:rPr>
          <w:rFonts w:ascii="Times New Roman" w:cs="Times New Roman" w:eastAsia="Times New Roman" w:hAnsi="Times New Roman"/>
          <w:sz w:val="24"/>
          <w:szCs w:val="24"/>
          <w:rtl w:val="0"/>
        </w:rPr>
        <w:t xml:space="preserve">. John Wiley &amp; Sons.</w:t>
      </w:r>
    </w:p>
    <w:p w:rsidR="00000000" w:rsidDel="00000000" w:rsidP="00000000" w:rsidRDefault="00000000" w:rsidRPr="00000000" w14:paraId="0000011B">
      <w:pPr>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Saxena, A., Singh, R., &amp; Verma, P. (2017). Communication skills in agricultural education: A neglected dimension. </w:t>
      </w:r>
      <w:r w:rsidDel="00000000" w:rsidR="00000000" w:rsidRPr="00000000">
        <w:rPr>
          <w:rFonts w:ascii="Times New Roman" w:cs="Times New Roman" w:eastAsia="Times New Roman" w:hAnsi="Times New Roman"/>
          <w:i w:val="1"/>
          <w:iCs w:val="1"/>
          <w:sz w:val="24"/>
          <w:szCs w:val="24"/>
          <w:rtl w:val="0"/>
        </w:rPr>
        <w:t xml:space="preserve">Indian Journal of Extension Education, 53</w:t>
      </w:r>
      <w:r w:rsidDel="00000000" w:rsidR="00000000" w:rsidRPr="00000000">
        <w:rPr>
          <w:rFonts w:ascii="Times New Roman" w:cs="Times New Roman" w:eastAsia="Times New Roman" w:hAnsi="Times New Roman"/>
          <w:sz w:val="24"/>
          <w:szCs w:val="24"/>
          <w:rtl w:val="0"/>
        </w:rPr>
        <w:t xml:space="preserve">(2), 34–39.</w:t>
      </w:r>
    </w:p>
    <w:p w:rsidR="00000000" w:rsidDel="00000000" w:rsidP="00000000" w:rsidRDefault="00000000" w:rsidRPr="00000000" w14:paraId="0000011C">
      <w:pPr>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Sharma, A., &amp; Sharma, R. (2018). Internet addiction and psychological well-being among college students: A cross-sectional study from Central India. </w:t>
      </w:r>
      <w:r w:rsidDel="00000000" w:rsidR="00000000" w:rsidRPr="00000000">
        <w:rPr>
          <w:rFonts w:ascii="Times New Roman" w:cs="Times New Roman" w:eastAsia="Times New Roman" w:hAnsi="Times New Roman"/>
          <w:i w:val="1"/>
          <w:iCs w:val="1"/>
          <w:sz w:val="24"/>
          <w:szCs w:val="24"/>
          <w:rtl w:val="0"/>
        </w:rPr>
        <w:t xml:space="preserve">Journal of family medicine and primary care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7</w:t>
      </w:r>
      <w:r w:rsidDel="00000000" w:rsidR="00000000" w:rsidRPr="00000000">
        <w:rPr>
          <w:rFonts w:ascii="Times New Roman" w:cs="Times New Roman" w:eastAsia="Times New Roman" w:hAnsi="Times New Roman"/>
          <w:sz w:val="24"/>
          <w:szCs w:val="24"/>
          <w:rtl w:val="0"/>
        </w:rPr>
        <w:t xml:space="preserve">(1), 147-151. </w:t>
      </w:r>
      <w:hyperlink r:id="rId24">
        <w:r w:rsidDel="00000000" w:rsidR="00000000" w:rsidRPr="00000000">
          <w:rPr>
            <w:rFonts w:ascii="Times New Roman" w:cs="Times New Roman" w:eastAsia="Times New Roman" w:hAnsi="Times New Roman"/>
            <w:color w:val="0563c1"/>
            <w:sz w:val="24"/>
            <w:szCs w:val="24"/>
            <w:u w:val="single"/>
            <w:rtl w:val="0"/>
          </w:rPr>
          <w:t xml:space="preserve">https://doi.org/10.4103/jfmpc.jfmpc_189_17</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D">
      <w:pPr>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Skulmoski, G. J., Hartman, F. T., &amp; Krahn, J. (2007). The Delphi method for graduate research. </w:t>
      </w:r>
      <w:r w:rsidDel="00000000" w:rsidR="00000000" w:rsidRPr="00000000">
        <w:rPr>
          <w:rFonts w:ascii="Times New Roman" w:cs="Times New Roman" w:eastAsia="Times New Roman" w:hAnsi="Times New Roman"/>
          <w:i w:val="1"/>
          <w:iCs w:val="1"/>
          <w:sz w:val="24"/>
          <w:szCs w:val="24"/>
          <w:rtl w:val="0"/>
        </w:rPr>
        <w:t xml:space="preserve">Journal of Information Technology Education: Research</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6</w:t>
      </w:r>
      <w:r w:rsidDel="00000000" w:rsidR="00000000" w:rsidRPr="00000000">
        <w:rPr>
          <w:rFonts w:ascii="Times New Roman" w:cs="Times New Roman" w:eastAsia="Times New Roman" w:hAnsi="Times New Roman"/>
          <w:sz w:val="24"/>
          <w:szCs w:val="24"/>
          <w:rtl w:val="0"/>
        </w:rPr>
        <w:t xml:space="preserve">(1), 1-21.</w:t>
      </w:r>
    </w:p>
    <w:p w:rsidR="00000000" w:rsidDel="00000000" w:rsidP="00000000" w:rsidRDefault="00000000" w:rsidRPr="00000000" w14:paraId="0000011E">
      <w:pPr>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Tang, J., Huang, P., &amp; Yan, S. (2025). Digital transformation in higher education: logical framework, practical dilemmas, and implementation approaches. </w:t>
      </w:r>
      <w:r w:rsidDel="00000000" w:rsidR="00000000" w:rsidRPr="00000000">
        <w:rPr>
          <w:rFonts w:ascii="Times New Roman" w:cs="Times New Roman" w:eastAsia="Times New Roman" w:hAnsi="Times New Roman"/>
          <w:i w:val="1"/>
          <w:iCs w:val="1"/>
          <w:sz w:val="24"/>
          <w:szCs w:val="24"/>
          <w:rtl w:val="0"/>
        </w:rPr>
        <w:t xml:space="preserve">Frontiers in Psychology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16</w:t>
      </w:r>
      <w:r w:rsidDel="00000000" w:rsidR="00000000" w:rsidRPr="00000000">
        <w:rPr>
          <w:rFonts w:ascii="Times New Roman" w:cs="Times New Roman" w:eastAsia="Times New Roman" w:hAnsi="Times New Roman"/>
          <w:sz w:val="24"/>
          <w:szCs w:val="24"/>
          <w:rtl w:val="0"/>
        </w:rPr>
        <w:t xml:space="preserve">, 1565591. </w:t>
      </w:r>
      <w:hyperlink r:id="rId25">
        <w:r w:rsidDel="00000000" w:rsidR="00000000" w:rsidRPr="00000000">
          <w:rPr>
            <w:rFonts w:ascii="Times New Roman" w:cs="Times New Roman" w:eastAsia="Times New Roman" w:hAnsi="Times New Roman"/>
            <w:color w:val="0563c1"/>
            <w:sz w:val="24"/>
            <w:szCs w:val="24"/>
            <w:u w:val="single"/>
            <w:rtl w:val="0"/>
          </w:rPr>
          <w:t xml:space="preserve">https://doi.org/10.3389/fpsyg.2025.1565591</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F">
      <w:pPr>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Taskov, N., &amp; Mitreva, E. (2015). The motivation and the efficient communication both are the essential pillar within the building of the TQM (total quality management) system within the Macedonian Higher Education Institutions. </w:t>
      </w:r>
      <w:r w:rsidDel="00000000" w:rsidR="00000000" w:rsidRPr="00000000">
        <w:rPr>
          <w:rFonts w:ascii="Times New Roman" w:cs="Times New Roman" w:eastAsia="Times New Roman" w:hAnsi="Times New Roman"/>
          <w:i w:val="1"/>
          <w:iCs w:val="1"/>
          <w:sz w:val="24"/>
          <w:szCs w:val="24"/>
          <w:rtl w:val="0"/>
        </w:rPr>
        <w:t xml:space="preserve">Procedia-Social and Behavioral Sciences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180</w:t>
      </w:r>
      <w:r w:rsidDel="00000000" w:rsidR="00000000" w:rsidRPr="00000000">
        <w:rPr>
          <w:rFonts w:ascii="Times New Roman" w:cs="Times New Roman" w:eastAsia="Times New Roman" w:hAnsi="Times New Roman"/>
          <w:sz w:val="24"/>
          <w:szCs w:val="24"/>
          <w:rtl w:val="0"/>
        </w:rPr>
        <w:t xml:space="preserve">, 227-234. </w:t>
      </w:r>
      <w:hyperlink r:id="rId26">
        <w:r w:rsidDel="00000000" w:rsidR="00000000" w:rsidRPr="00000000">
          <w:rPr>
            <w:rFonts w:ascii="Times New Roman" w:cs="Times New Roman" w:eastAsia="Times New Roman" w:hAnsi="Times New Roman"/>
            <w:color w:val="0563c1"/>
            <w:sz w:val="24"/>
            <w:szCs w:val="24"/>
            <w:u w:val="single"/>
            <w:rtl w:val="0"/>
          </w:rPr>
          <w:t xml:space="preserve">https://doi.org/10.1016/j.sbspro.2015.02.109</w:t>
        </w:r>
      </w:hyperlink>
      <w:r w:rsidDel="00000000" w:rsidR="00000000" w:rsidRPr="00000000">
        <w:rPr>
          <w:rtl w:val="0"/>
        </w:rPr>
      </w:r>
    </w:p>
    <w:p w:rsidR="00000000" w:rsidDel="00000000" w:rsidP="00000000" w:rsidRDefault="00000000" w:rsidRPr="00000000" w14:paraId="00000120">
      <w:pPr>
        <w:ind w:left="720" w:hanging="720"/>
        <w:jc w:val="both"/>
        <w:rPr>
          <w:rFonts w:ascii="Times New Roman" w:cs="Times New Roman" w:eastAsia="Times New Roman" w:hAnsi="Times New Roman"/>
          <w:sz w:val="24"/>
          <w:szCs w:val="24"/>
        </w:rPr>
      </w:pPr>
      <w:bookmarkStart w:colFirst="0" w:colLast="0" w:name="_heading=h.w4x4ulb4b0pa" w:id="1"/>
      <w:bookmarkEnd w:id="1"/>
      <w:r w:rsidDel="00000000" w:rsidR="00000000" w:rsidRPr="00000000">
        <w:rPr>
          <w:rFonts w:ascii="Times New Roman" w:cs="Times New Roman" w:eastAsia="Times New Roman" w:hAnsi="Times New Roman"/>
          <w:sz w:val="24"/>
          <w:szCs w:val="24"/>
          <w:rtl w:val="0"/>
        </w:rPr>
        <w:t xml:space="preserve">Trexler, C. J., Parr, D. M., &amp; Khanna, N. (2006). A Delphi study of agricultural practitioners’ opinions: Necessary experiences for inclusion in an undergraduate sustainable agricultural major. </w:t>
      </w:r>
      <w:r w:rsidDel="00000000" w:rsidR="00000000" w:rsidRPr="00000000">
        <w:rPr>
          <w:rFonts w:ascii="Times New Roman" w:cs="Times New Roman" w:eastAsia="Times New Roman" w:hAnsi="Times New Roman"/>
          <w:i w:val="1"/>
          <w:iCs w:val="1"/>
          <w:sz w:val="24"/>
          <w:szCs w:val="24"/>
          <w:rtl w:val="0"/>
        </w:rPr>
        <w:t xml:space="preserve">Journal of Agricultural Education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47</w:t>
      </w:r>
      <w:r w:rsidDel="00000000" w:rsidR="00000000" w:rsidRPr="00000000">
        <w:rPr>
          <w:rFonts w:ascii="Times New Roman" w:cs="Times New Roman" w:eastAsia="Times New Roman" w:hAnsi="Times New Roman"/>
          <w:sz w:val="24"/>
          <w:szCs w:val="24"/>
          <w:rtl w:val="0"/>
        </w:rPr>
        <w:t xml:space="preserve">(4), 15–25. </w:t>
      </w:r>
      <w:hyperlink r:id="rId27">
        <w:r w:rsidDel="00000000" w:rsidR="00000000" w:rsidRPr="00000000">
          <w:rPr>
            <w:rFonts w:ascii="Times New Roman" w:cs="Times New Roman" w:eastAsia="Times New Roman" w:hAnsi="Times New Roman"/>
            <w:color w:val="0563c1"/>
            <w:sz w:val="24"/>
            <w:szCs w:val="24"/>
            <w:u w:val="single"/>
            <w:rtl w:val="0"/>
          </w:rPr>
          <w:t xml:space="preserve">https://doi.org/10.5032/jae.2006.04015</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2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2">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Appendix</w:t>
      </w:r>
    </w:p>
    <w:tbl>
      <w:tblPr>
        <w:tblStyle w:val="Table2"/>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1"/>
        <w:gridCol w:w="6131"/>
        <w:gridCol w:w="2284"/>
        <w:tblGridChange w:id="0">
          <w:tblGrid>
            <w:gridCol w:w="601"/>
            <w:gridCol w:w="6131"/>
            <w:gridCol w:w="2284"/>
          </w:tblGrid>
        </w:tblGridChange>
      </w:tblGrid>
      <w:tr>
        <w:trPr>
          <w:cantSplit w:val="0"/>
          <w:trHeight w:val="530" w:hRule="atLeast"/>
          <w:tblHeader w:val="0"/>
        </w:trPr>
        <w:tc>
          <w:tcPr/>
          <w:p w:rsidR="00000000" w:rsidDel="00000000" w:rsidP="00000000" w:rsidRDefault="00000000" w:rsidRPr="00000000" w14:paraId="00000123">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SL.</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NO.</w:t>
            </w:r>
            <w:r w:rsidDel="00000000" w:rsidR="00000000" w:rsidRPr="00000000">
              <w:rPr>
                <w:rtl w:val="0"/>
              </w:rPr>
            </w:r>
          </w:p>
        </w:tc>
        <w:tc>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INDICATORS</w:t>
            </w:r>
            <w:r w:rsidDel="00000000" w:rsidR="00000000" w:rsidRPr="00000000">
              <w:rPr>
                <w:rtl w:val="0"/>
              </w:rPr>
            </w:r>
          </w:p>
        </w:tc>
        <w:tc>
          <w:tcPr/>
          <w:p w:rsidR="00000000" w:rsidDel="00000000" w:rsidP="00000000" w:rsidRDefault="00000000" w:rsidRPr="00000000" w14:paraId="00000126">
            <w:pPr>
              <w:rPr>
                <w:rFonts w:ascii="Times New Roman" w:cs="Times New Roman" w:eastAsia="Times New Roman" w:hAnsi="Times New Roman"/>
                <w:b w:val="1"/>
                <w:bCs w:val="1"/>
              </w:rPr>
            </w:pPr>
            <w:r w:rsidDel="00000000" w:rsidR="00000000" w:rsidRPr="00000000">
              <w:rPr>
                <w:rFonts w:ascii="Roboto" w:cs="Roboto" w:eastAsia="Roboto" w:hAnsi="Roboto"/>
                <w:color w:val="202124"/>
                <w:highlight w:val="white"/>
                <w:rtl w:val="0"/>
              </w:rPr>
              <w:t xml:space="preserve">RANK them according to your perception that most to least causing indicator</w:t>
            </w:r>
            <w:r w:rsidDel="00000000" w:rsidR="00000000" w:rsidRPr="00000000">
              <w:rPr>
                <w:rtl w:val="0"/>
              </w:rPr>
            </w:r>
          </w:p>
        </w:tc>
      </w:tr>
      <w:tr>
        <w:trPr>
          <w:cantSplit w:val="0"/>
          <w:trHeight w:val="422" w:hRule="atLeast"/>
          <w:tblHeader w:val="0"/>
        </w:trPr>
        <w:tc>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1.</w:t>
            </w:r>
          </w:p>
        </w:tc>
        <w:tc>
          <w:tcPr>
            <w:gridSpan w:val="2"/>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88"/>
                <w:tab w:val="center" w:leader="none" w:pos="4099"/>
              </w:tabs>
              <w:spacing w:after="160" w:before="0" w:line="259"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ab/>
              <w:tab/>
              <w:t xml:space="preserve">CONSTRAINTS due to ICT (1-5)</w:t>
            </w: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12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2B">
            <w:pPr>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Extensive use Artificial intelligence </w:t>
            </w:r>
            <w:r w:rsidDel="00000000" w:rsidR="00000000" w:rsidRPr="00000000">
              <w:rPr>
                <w:rFonts w:ascii="Times New Roman" w:cs="Times New Roman" w:eastAsia="Times New Roman" w:hAnsi="Times New Roman"/>
                <w:b w:val="1"/>
                <w:bCs w:val="1"/>
                <w:rtl w:val="0"/>
              </w:rPr>
              <w:t xml:space="preserve">(AI)</w:t>
            </w:r>
            <w:r w:rsidDel="00000000" w:rsidR="00000000" w:rsidRPr="00000000">
              <w:rPr>
                <w:rFonts w:ascii="Times New Roman" w:cs="Times New Roman" w:eastAsia="Times New Roman" w:hAnsi="Times New Roman"/>
                <w:rtl w:val="0"/>
              </w:rPr>
              <w:t xml:space="preserve"> and online teaching material for academics leads to less creativity and cognitive development follows less development of communication skills.</w:t>
            </w:r>
          </w:p>
        </w:tc>
        <w:tc>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77" w:hRule="atLeast"/>
          <w:tblHeader w:val="0"/>
        </w:trPr>
        <w:tc>
          <w:tcPr/>
          <w:p w:rsidR="00000000" w:rsidDel="00000000" w:rsidP="00000000" w:rsidRDefault="00000000" w:rsidRPr="00000000" w14:paraId="0000012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2E">
            <w:pPr>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Excessive </w:t>
            </w:r>
            <w:r w:rsidDel="00000000" w:rsidR="00000000" w:rsidRPr="00000000">
              <w:rPr>
                <w:rFonts w:ascii="Times New Roman" w:cs="Times New Roman" w:eastAsia="Times New Roman" w:hAnsi="Times New Roman"/>
                <w:b w:val="1"/>
                <w:bCs w:val="1"/>
                <w:rtl w:val="0"/>
              </w:rPr>
              <w:t xml:space="preserve">screen tim</w:t>
            </w:r>
            <w:r w:rsidDel="00000000" w:rsidR="00000000" w:rsidRPr="00000000">
              <w:rPr>
                <w:rFonts w:ascii="Times New Roman" w:cs="Times New Roman" w:eastAsia="Times New Roman" w:hAnsi="Times New Roman"/>
                <w:rtl w:val="0"/>
              </w:rPr>
              <w:t xml:space="preserve">e leads less time spared development of communication skills.</w:t>
            </w:r>
          </w:p>
        </w:tc>
        <w:tc>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77" w:hRule="atLeast"/>
          <w:tblHeader w:val="0"/>
        </w:trPr>
        <w:tc>
          <w:tcPr/>
          <w:p w:rsidR="00000000" w:rsidDel="00000000" w:rsidP="00000000" w:rsidRDefault="00000000" w:rsidRPr="00000000" w14:paraId="0000013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31">
            <w:pPr>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Distraction:-</w:t>
            </w:r>
            <w:r w:rsidDel="00000000" w:rsidR="00000000" w:rsidRPr="00000000">
              <w:rPr>
                <w:rFonts w:ascii="Times New Roman" w:cs="Times New Roman" w:eastAsia="Times New Roman" w:hAnsi="Times New Roman"/>
                <w:rtl w:val="0"/>
              </w:rPr>
              <w:t xml:space="preserve">temptation of checking their mobile phones for notifications or messages.</w:t>
            </w:r>
          </w:p>
        </w:tc>
        <w:tc>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13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34">
            <w:pPr>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Social isolation</w:t>
            </w:r>
            <w:r w:rsidDel="00000000" w:rsidR="00000000" w:rsidRPr="00000000">
              <w:rPr>
                <w:rFonts w:ascii="Times New Roman" w:cs="Times New Roman" w:eastAsia="Times New Roman" w:hAnsi="Times New Roman"/>
                <w:rtl w:val="0"/>
              </w:rPr>
              <w:t xml:space="preserve">, reducing opportunities for students to engage in real-world communication scenarios and develop interpersonal communication skills.</w:t>
            </w:r>
          </w:p>
        </w:tc>
        <w:tc>
          <w:tcPr/>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070" w:hRule="atLeast"/>
          <w:tblHeader w:val="0"/>
        </w:trPr>
        <w:tc>
          <w:tcPr/>
          <w:p w:rsidR="00000000" w:rsidDel="00000000" w:rsidP="00000000" w:rsidRDefault="00000000" w:rsidRPr="00000000" w14:paraId="0000013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37">
            <w:pPr>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shortened attention span</w:t>
            </w:r>
            <w:r w:rsidDel="00000000" w:rsidR="00000000" w:rsidRPr="00000000">
              <w:rPr>
                <w:rFonts w:ascii="Times New Roman" w:cs="Times New Roman" w:eastAsia="Times New Roman" w:hAnsi="Times New Roman"/>
                <w:rtl w:val="0"/>
              </w:rPr>
              <w:t xml:space="preserve">, making it challenging for students to engage in sustained, focused communication activities.</w:t>
            </w:r>
          </w:p>
        </w:tc>
        <w:tc>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95" w:hRule="atLeast"/>
          <w:tblHeader w:val="0"/>
        </w:trPr>
        <w:tc>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2.</w:t>
            </w:r>
          </w:p>
        </w:tc>
        <w:tc>
          <w:tcPr>
            <w:gridSpan w:val="2"/>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CONSTRAINTS DUE TO CURRICULUM. (1-6)</w:t>
            </w:r>
            <w:r w:rsidDel="00000000" w:rsidR="00000000" w:rsidRPr="00000000">
              <w:rPr>
                <w:rtl w:val="0"/>
              </w:rPr>
            </w:r>
          </w:p>
        </w:tc>
      </w:tr>
      <w:tr>
        <w:trPr>
          <w:cantSplit w:val="0"/>
          <w:trHeight w:val="277" w:hRule="atLeast"/>
          <w:tblHeader w:val="0"/>
        </w:trPr>
        <w:tc>
          <w:tcPr/>
          <w:p w:rsidR="00000000" w:rsidDel="00000000" w:rsidP="00000000" w:rsidRDefault="00000000" w:rsidRPr="00000000" w14:paraId="0000013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3D">
            <w:pPr>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Agricultural curricula often give </w:t>
            </w:r>
            <w:r w:rsidDel="00000000" w:rsidR="00000000" w:rsidRPr="00000000">
              <w:rPr>
                <w:rFonts w:ascii="Times New Roman" w:cs="Times New Roman" w:eastAsia="Times New Roman" w:hAnsi="Times New Roman"/>
                <w:b w:val="1"/>
                <w:bCs w:val="1"/>
                <w:rtl w:val="0"/>
              </w:rPr>
              <w:t xml:space="preserve">less priorities andfocus for communicationabilities </w:t>
            </w:r>
            <w:r w:rsidDel="00000000" w:rsidR="00000000" w:rsidRPr="00000000">
              <w:rPr>
                <w:rFonts w:ascii="Times New Roman" w:cs="Times New Roman" w:eastAsia="Times New Roman" w:hAnsi="Times New Roman"/>
                <w:rtl w:val="0"/>
              </w:rPr>
              <w:t xml:space="preserve">over technical knowledg</w:t>
            </w:r>
            <w:r w:rsidDel="00000000" w:rsidR="00000000" w:rsidRPr="00000000">
              <w:rPr>
                <w:rFonts w:ascii="Times New Roman" w:cs="Times New Roman" w:eastAsia="Times New Roman" w:hAnsi="Times New Roman"/>
                <w:b w:val="1"/>
                <w:bCs w:val="1"/>
                <w:rtl w:val="0"/>
              </w:rPr>
              <w:t xml:space="preserve">e </w:t>
            </w:r>
            <w:r w:rsidDel="00000000" w:rsidR="00000000" w:rsidRPr="00000000">
              <w:rPr>
                <w:rFonts w:ascii="Times New Roman" w:cs="Times New Roman" w:eastAsia="Times New Roman" w:hAnsi="Times New Roman"/>
                <w:rtl w:val="0"/>
              </w:rPr>
              <w:t xml:space="preserve">and skills. </w:t>
            </w:r>
          </w:p>
        </w:tc>
        <w:tc>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77" w:hRule="atLeast"/>
          <w:tblHeader w:val="0"/>
        </w:trPr>
        <w:tc>
          <w:tcPr/>
          <w:p w:rsidR="00000000" w:rsidDel="00000000" w:rsidP="00000000" w:rsidRDefault="00000000" w:rsidRPr="00000000" w14:paraId="0000013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40">
            <w:pPr>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Technical Jargon</w:t>
            </w:r>
            <w:r w:rsidDel="00000000" w:rsidR="00000000" w:rsidRPr="00000000">
              <w:rPr>
                <w:rFonts w:ascii="Times New Roman" w:cs="Times New Roman" w:eastAsia="Times New Roman" w:hAnsi="Times New Roman"/>
                <w:rtl w:val="0"/>
              </w:rPr>
              <w:t xml:space="preserve"> in curricula is challenging to understand and communicate effectively to a general audience.</w:t>
            </w:r>
          </w:p>
        </w:tc>
        <w:tc>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14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43">
            <w:pPr>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Heavy Workload</w:t>
            </w:r>
            <w:r w:rsidDel="00000000" w:rsidR="00000000" w:rsidRPr="00000000">
              <w:rPr>
                <w:rFonts w:ascii="Times New Roman" w:cs="Times New Roman" w:eastAsia="Times New Roman" w:hAnsi="Times New Roman"/>
                <w:rtl w:val="0"/>
              </w:rPr>
              <w:t xml:space="preserve"> leaving little time for communication skill development.</w:t>
            </w:r>
          </w:p>
        </w:tc>
        <w:tc>
          <w:tcPr/>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77" w:hRule="atLeast"/>
          <w:tblHeader w:val="0"/>
        </w:trPr>
        <w:tc>
          <w:tcPr/>
          <w:p w:rsidR="00000000" w:rsidDel="00000000" w:rsidP="00000000" w:rsidRDefault="00000000" w:rsidRPr="00000000" w14:paraId="0000014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46">
            <w:pPr>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Limited exposure to diverse communication formats</w:t>
            </w:r>
            <w:r w:rsidDel="00000000" w:rsidR="00000000" w:rsidRPr="00000000">
              <w:rPr>
                <w:rFonts w:ascii="Times New Roman" w:cs="Times New Roman" w:eastAsia="Times New Roman" w:hAnsi="Times New Roman"/>
                <w:rtl w:val="0"/>
              </w:rPr>
              <w:t xml:space="preserve"> such as presenting of scientific writing and discussions.</w:t>
            </w:r>
          </w:p>
        </w:tc>
        <w:tc>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77" w:hRule="atLeast"/>
          <w:tblHeader w:val="0"/>
        </w:trPr>
        <w:tc>
          <w:tcPr/>
          <w:p w:rsidR="00000000" w:rsidDel="00000000" w:rsidP="00000000" w:rsidRDefault="00000000" w:rsidRPr="00000000" w14:paraId="0000014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49">
            <w:pPr>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Limited Interaction opportunities</w:t>
            </w:r>
            <w:r w:rsidDel="00000000" w:rsidR="00000000" w:rsidRPr="00000000">
              <w:rPr>
                <w:rFonts w:ascii="Times New Roman" w:cs="Times New Roman" w:eastAsia="Times New Roman" w:hAnsi="Times New Roman"/>
                <w:rtl w:val="0"/>
              </w:rPr>
              <w:t xml:space="preserve"> with Non-Academic Audiences such as farmers, policymakers, and the general public.</w:t>
            </w:r>
          </w:p>
        </w:tc>
        <w:tc>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14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4C">
            <w:pPr>
              <w:ind w:left="36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Less credit load</w:t>
            </w:r>
            <w:r w:rsidDel="00000000" w:rsidR="00000000" w:rsidRPr="00000000">
              <w:rPr>
                <w:rFonts w:ascii="Times New Roman" w:cs="Times New Roman" w:eastAsia="Times New Roman" w:hAnsi="Times New Roman"/>
                <w:rtl w:val="0"/>
              </w:rPr>
              <w:t xml:space="preserve"> on a course which is dedicated to focus on communication skills and </w:t>
            </w:r>
            <w:r w:rsidDel="00000000" w:rsidR="00000000" w:rsidRPr="00000000">
              <w:rPr>
                <w:rFonts w:ascii="Times New Roman" w:cs="Times New Roman" w:eastAsia="Times New Roman" w:hAnsi="Times New Roman"/>
                <w:b w:val="1"/>
                <w:bCs w:val="1"/>
                <w:rtl w:val="0"/>
              </w:rPr>
              <w:t xml:space="preserve">Minimal Feedback Mechanisms.</w:t>
            </w:r>
          </w:p>
        </w:tc>
        <w:tc>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77" w:hRule="atLeast"/>
          <w:tblHeader w:val="0"/>
        </w:trPr>
        <w:tc>
          <w:tcPr/>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3.</w:t>
            </w:r>
          </w:p>
        </w:tc>
        <w:tc>
          <w:tcPr>
            <w:gridSpan w:val="2"/>
          </w:tcPr>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PERSONAL CONSTRAINTS. (1-5)</w:t>
            </w:r>
            <w:r w:rsidDel="00000000" w:rsidR="00000000" w:rsidRPr="00000000">
              <w:rPr>
                <w:rtl w:val="0"/>
              </w:rPr>
            </w:r>
          </w:p>
        </w:tc>
      </w:tr>
      <w:tr>
        <w:trPr>
          <w:cantSplit w:val="0"/>
          <w:trHeight w:val="277" w:hRule="atLeast"/>
          <w:tblHeader w:val="0"/>
        </w:trPr>
        <w:tc>
          <w:tcPr/>
          <w:p w:rsidR="00000000" w:rsidDel="00000000" w:rsidP="00000000" w:rsidRDefault="00000000" w:rsidRPr="00000000" w14:paraId="0000015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52">
            <w:pPr>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Resistance to challenging</w:t>
            </w:r>
            <w:r w:rsidDel="00000000" w:rsidR="00000000" w:rsidRPr="00000000">
              <w:rPr>
                <w:rFonts w:ascii="Times New Roman" w:cs="Times New Roman" w:eastAsia="Times New Roman" w:hAnsi="Times New Roman"/>
                <w:rtl w:val="0"/>
              </w:rPr>
              <w:t xml:space="preserve"> or changing situation.</w:t>
            </w:r>
          </w:p>
        </w:tc>
        <w:tc>
          <w:tcPr/>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77" w:hRule="atLeast"/>
          <w:tblHeader w:val="0"/>
        </w:trPr>
        <w:tc>
          <w:tcPr/>
          <w:p w:rsidR="00000000" w:rsidDel="00000000" w:rsidP="00000000" w:rsidRDefault="00000000" w:rsidRPr="00000000" w14:paraId="0000015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55">
            <w:pPr>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Lack of </w:t>
            </w:r>
            <w:r w:rsidDel="00000000" w:rsidR="00000000" w:rsidRPr="00000000">
              <w:rPr>
                <w:rFonts w:ascii="Times New Roman" w:cs="Times New Roman" w:eastAsia="Times New Roman" w:hAnsi="Times New Roman"/>
                <w:b w:val="1"/>
                <w:bCs w:val="1"/>
                <w:rtl w:val="0"/>
              </w:rPr>
              <w:t xml:space="preserve">motivation</w:t>
            </w:r>
            <w:r w:rsidDel="00000000" w:rsidR="00000000" w:rsidRPr="00000000">
              <w:rPr>
                <w:rFonts w:ascii="Times New Roman" w:cs="Times New Roman" w:eastAsia="Times New Roman" w:hAnsi="Times New Roman"/>
                <w:rtl w:val="0"/>
              </w:rPr>
              <w:t xml:space="preserve">. </w:t>
            </w:r>
          </w:p>
        </w:tc>
        <w:tc>
          <w:tcPr/>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77" w:hRule="atLeast"/>
          <w:tblHeader w:val="0"/>
        </w:trPr>
        <w:tc>
          <w:tcPr/>
          <w:p w:rsidR="00000000" w:rsidDel="00000000" w:rsidP="00000000" w:rsidRDefault="00000000" w:rsidRPr="00000000" w14:paraId="0000015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5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Reduced </w:t>
            </w:r>
            <w:r w:rsidDel="00000000" w:rsidR="00000000" w:rsidRPr="00000000">
              <w:rPr>
                <w:rFonts w:ascii="Times New Roman" w:cs="Times New Roman" w:eastAsia="Times New Roman" w:hAnsi="Times New Roman"/>
                <w:b w:val="1"/>
                <w:bCs w:val="1"/>
                <w:rtl w:val="0"/>
              </w:rPr>
              <w:t xml:space="preserve">notes making</w:t>
            </w:r>
            <w:r w:rsidDel="00000000" w:rsidR="00000000" w:rsidRPr="00000000">
              <w:rPr>
                <w:rFonts w:ascii="Times New Roman" w:cs="Times New Roman" w:eastAsia="Times New Roman" w:hAnsi="Times New Roman"/>
                <w:rtl w:val="0"/>
              </w:rPr>
              <w:t xml:space="preserve">, writing, </w:t>
            </w:r>
            <w:r w:rsidDel="00000000" w:rsidR="00000000" w:rsidRPr="00000000">
              <w:rPr>
                <w:rFonts w:ascii="Times New Roman" w:cs="Times New Roman" w:eastAsia="Times New Roman" w:hAnsi="Times New Roman"/>
                <w:b w:val="1"/>
                <w:bCs w:val="1"/>
                <w:rtl w:val="0"/>
              </w:rPr>
              <w:t xml:space="preserve">book reading</w:t>
            </w:r>
            <w:r w:rsidDel="00000000" w:rsidR="00000000" w:rsidRPr="00000000">
              <w:rPr>
                <w:rFonts w:ascii="Times New Roman" w:cs="Times New Roman" w:eastAsia="Times New Roman" w:hAnsi="Times New Roman"/>
                <w:rtl w:val="0"/>
              </w:rPr>
              <w:t xml:space="preserve"> and social learning habit.</w:t>
            </w:r>
          </w:p>
        </w:tc>
        <w:tc>
          <w:tcPr/>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15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5B">
            <w:pPr>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Non-Participation and </w:t>
            </w:r>
            <w:r w:rsidDel="00000000" w:rsidR="00000000" w:rsidRPr="00000000">
              <w:rPr>
                <w:rFonts w:ascii="Times New Roman" w:cs="Times New Roman" w:eastAsia="Times New Roman" w:hAnsi="Times New Roman"/>
                <w:b w:val="1"/>
                <w:bCs w:val="1"/>
                <w:rtl w:val="0"/>
              </w:rPr>
              <w:t xml:space="preserve">ignoring the opportunities</w:t>
            </w:r>
            <w:r w:rsidDel="00000000" w:rsidR="00000000" w:rsidRPr="00000000">
              <w:rPr>
                <w:rFonts w:ascii="Times New Roman" w:cs="Times New Roman" w:eastAsia="Times New Roman" w:hAnsi="Times New Roman"/>
                <w:rtl w:val="0"/>
              </w:rPr>
              <w:t xml:space="preserve"> like workshops, trainings seminars etc.</w:t>
            </w:r>
          </w:p>
        </w:tc>
        <w:tc>
          <w:tcPr/>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77" w:hRule="atLeast"/>
          <w:tblHeader w:val="0"/>
        </w:trPr>
        <w:tc>
          <w:tcPr/>
          <w:p w:rsidR="00000000" w:rsidDel="00000000" w:rsidP="00000000" w:rsidRDefault="00000000" w:rsidRPr="00000000" w14:paraId="0000015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5E">
            <w:pPr>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Less interaction</w:t>
            </w:r>
            <w:r w:rsidDel="00000000" w:rsidR="00000000" w:rsidRPr="00000000">
              <w:rPr>
                <w:rFonts w:ascii="Times New Roman" w:cs="Times New Roman" w:eastAsia="Times New Roman" w:hAnsi="Times New Roman"/>
                <w:rtl w:val="0"/>
              </w:rPr>
              <w:t xml:space="preserve"> between seniors, juniors and peer group.</w:t>
            </w:r>
          </w:p>
        </w:tc>
        <w:tc>
          <w:tcPr/>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22" w:hRule="atLeast"/>
          <w:tblHeader w:val="0"/>
        </w:trPr>
        <w:tc>
          <w:tcPr/>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4.</w:t>
            </w:r>
          </w:p>
        </w:tc>
        <w:tc>
          <w:tcPr>
            <w:gridSpan w:val="2"/>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INSTITUTION AND RESOURCE CONSTRAINTS. (1-7)</w:t>
            </w:r>
            <w:r w:rsidDel="00000000" w:rsidR="00000000" w:rsidRPr="00000000">
              <w:rPr>
                <w:rtl w:val="0"/>
              </w:rPr>
            </w:r>
          </w:p>
        </w:tc>
      </w:tr>
      <w:tr>
        <w:trPr>
          <w:cantSplit w:val="0"/>
          <w:trHeight w:val="277" w:hRule="atLeast"/>
          <w:tblHeader w:val="0"/>
        </w:trPr>
        <w:tc>
          <w:tcPr/>
          <w:p w:rsidR="00000000" w:rsidDel="00000000" w:rsidP="00000000" w:rsidRDefault="00000000" w:rsidRPr="00000000" w14:paraId="000001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64">
            <w:pPr>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Inadequate infrastructure</w:t>
            </w:r>
            <w:r w:rsidDel="00000000" w:rsidR="00000000" w:rsidRPr="00000000">
              <w:rPr>
                <w:rFonts w:ascii="Times New Roman" w:cs="Times New Roman" w:eastAsia="Times New Roman" w:hAnsi="Times New Roman"/>
                <w:rtl w:val="0"/>
              </w:rPr>
              <w:t xml:space="preserve">: Limited availability of books in libraries and communication</w:t>
            </w:r>
            <w:r w:rsidDel="00000000" w:rsidR="00000000" w:rsidRPr="00000000">
              <w:rPr>
                <w:rFonts w:ascii="Times New Roman" w:cs="Times New Roman" w:eastAsia="Times New Roman" w:hAnsi="Times New Roman"/>
                <w:b w:val="1"/>
                <w:bCs w:val="1"/>
                <w:rtl w:val="0"/>
              </w:rPr>
              <w:t xml:space="preserve"> labs</w:t>
            </w:r>
            <w:r w:rsidDel="00000000" w:rsidR="00000000" w:rsidRPr="00000000">
              <w:rPr>
                <w:rFonts w:ascii="Times New Roman" w:cs="Times New Roman" w:eastAsia="Times New Roman" w:hAnsi="Times New Roman"/>
                <w:rtl w:val="0"/>
              </w:rPr>
              <w:t xml:space="preserve">, or multimedia facilities.</w:t>
            </w:r>
          </w:p>
        </w:tc>
        <w:tc>
          <w:tcPr/>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77" w:hRule="atLeast"/>
          <w:tblHeader w:val="0"/>
        </w:trPr>
        <w:tc>
          <w:tcPr/>
          <w:p w:rsidR="00000000" w:rsidDel="00000000" w:rsidP="00000000" w:rsidRDefault="00000000" w:rsidRPr="00000000" w14:paraId="0000016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67">
            <w:pPr>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Limited access</w:t>
            </w:r>
            <w:r w:rsidDel="00000000" w:rsidR="00000000" w:rsidRPr="00000000">
              <w:rPr>
                <w:rFonts w:ascii="Times New Roman" w:cs="Times New Roman" w:eastAsia="Times New Roman" w:hAnsi="Times New Roman"/>
                <w:rtl w:val="0"/>
              </w:rPr>
              <w:t xml:space="preserve"> to communication technology (wifi online communication resources, tools, and educational materials.</w:t>
            </w:r>
          </w:p>
        </w:tc>
        <w:tc>
          <w:tcPr/>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1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6A">
            <w:pPr>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Restricted opportunities for internships, field visits, or interactions with professionals from different sectors. </w:t>
            </w:r>
          </w:p>
        </w:tc>
        <w:tc>
          <w:tcPr/>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77" w:hRule="atLeast"/>
          <w:tblHeader w:val="0"/>
        </w:trPr>
        <w:tc>
          <w:tcPr/>
          <w:p w:rsidR="00000000" w:rsidDel="00000000" w:rsidP="00000000" w:rsidRDefault="00000000" w:rsidRPr="00000000" w14:paraId="000001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6D">
            <w:pPr>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Lack of guidance and mentorship</w:t>
            </w:r>
          </w:p>
        </w:tc>
        <w:tc>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1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70">
            <w:pPr>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Limited availability of communication specialists or trained professionals within the academic environment </w:t>
            </w:r>
          </w:p>
        </w:tc>
        <w:tc>
          <w:tcPr/>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77" w:hRule="atLeast"/>
          <w:tblHeader w:val="0"/>
        </w:trPr>
        <w:tc>
          <w:tcPr/>
          <w:p w:rsidR="00000000" w:rsidDel="00000000" w:rsidP="00000000" w:rsidRDefault="00000000" w:rsidRPr="00000000" w14:paraId="0000017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73">
            <w:pPr>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Lack of systematic communication training in regular intervals.</w:t>
            </w:r>
          </w:p>
        </w:tc>
        <w:tc>
          <w:tcPr/>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77" w:hRule="atLeast"/>
          <w:tblHeader w:val="0"/>
        </w:trPr>
        <w:tc>
          <w:tcPr/>
          <w:p w:rsidR="00000000" w:rsidDel="00000000" w:rsidP="00000000" w:rsidRDefault="00000000" w:rsidRPr="00000000" w14:paraId="000001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76">
            <w:pPr>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Less commitment to create a climate that improves the communication and soft skills.</w:t>
            </w:r>
          </w:p>
        </w:tc>
        <w:tc>
          <w:tcPr/>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5.</w:t>
            </w:r>
          </w:p>
        </w:tc>
        <w:tc>
          <w:tcPr>
            <w:gridSpan w:val="2"/>
          </w:tcPr>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CONSTRAINTS DUE SOCIO PERSONAL BACKGROUND. (1-5)</w:t>
            </w:r>
            <w:r w:rsidDel="00000000" w:rsidR="00000000" w:rsidRPr="00000000">
              <w:rPr>
                <w:rtl w:val="0"/>
              </w:rPr>
            </w:r>
          </w:p>
        </w:tc>
      </w:tr>
      <w:tr>
        <w:trPr>
          <w:cantSplit w:val="0"/>
          <w:trHeight w:val="277" w:hRule="atLeast"/>
          <w:tblHeader w:val="0"/>
        </w:trPr>
        <w:tc>
          <w:tcPr/>
          <w:p w:rsidR="00000000" w:rsidDel="00000000" w:rsidP="00000000" w:rsidRDefault="00000000" w:rsidRPr="00000000" w14:paraId="0000017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7C">
            <w:pPr>
              <w:spacing w:after="160" w:lineRule="auto"/>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Inability to adapt communication style to diverse audiences due to rural background</w:t>
            </w:r>
          </w:p>
        </w:tc>
        <w:tc>
          <w:tcPr/>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77" w:hRule="atLeast"/>
          <w:tblHeader w:val="0"/>
        </w:trPr>
        <w:tc>
          <w:tcPr/>
          <w:p w:rsidR="00000000" w:rsidDel="00000000" w:rsidP="00000000" w:rsidRDefault="00000000" w:rsidRPr="00000000" w14:paraId="0000017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7F">
            <w:pPr>
              <w:spacing w:after="160" w:lineRule="auto"/>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Cultural Differences: Agricultural students may come from diverse cultural backgrounds with linguistic diversity, leading to differences in communication norms and practices that require adaptation and understanding.</w:t>
            </w:r>
          </w:p>
        </w:tc>
        <w:tc>
          <w:tcPr/>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18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82">
            <w:pPr>
              <w:spacing w:after="160" w:lineRule="auto"/>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Financial limitations: High costs associated with attending communication workshops, seminars, or purchasing relevant books and materials </w:t>
            </w:r>
          </w:p>
        </w:tc>
        <w:tc>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18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85">
            <w:pPr>
              <w:spacing w:after="160" w:lineRule="auto"/>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Lack Self-confidence due to disadvantaged background </w:t>
            </w:r>
          </w:p>
        </w:tc>
        <w:tc>
          <w:tcPr/>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03" w:hRule="atLeast"/>
          <w:tblHeader w:val="0"/>
        </w:trPr>
        <w:tc>
          <w:tcPr/>
          <w:p w:rsidR="00000000" w:rsidDel="00000000" w:rsidP="00000000" w:rsidRDefault="00000000" w:rsidRPr="00000000" w14:paraId="0000018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88">
            <w:pPr>
              <w:spacing w:after="160" w:lineRule="auto"/>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Educational Gaps: Disparities in the quality of primary and secondary education </w:t>
            </w:r>
          </w:p>
        </w:tc>
        <w:tc>
          <w:tcPr/>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0" w:hRule="atLeast"/>
          <w:tblHeader w:val="0"/>
        </w:trPr>
        <w:tc>
          <w:tcPr/>
          <w:p w:rsidR="00000000" w:rsidDel="00000000" w:rsidP="00000000" w:rsidRDefault="00000000" w:rsidRPr="00000000" w14:paraId="0000018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8B">
            <w:pPr>
              <w:spacing w:after="160" w:lineRule="auto"/>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Limited Networking Opportunities </w:t>
            </w:r>
          </w:p>
        </w:tc>
        <w:tc>
          <w:tcPr/>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97" w:hRule="atLeast"/>
          <w:tblHeader w:val="0"/>
        </w:trPr>
        <w:tc>
          <w:tcPr/>
          <w:p w:rsidR="00000000" w:rsidDel="00000000" w:rsidP="00000000" w:rsidRDefault="00000000" w:rsidRPr="00000000" w14:paraId="0000018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8E">
            <w:pPr>
              <w:spacing w:after="160" w:lineRule="auto"/>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Psychological Barriers: Personal experiences of trauma.</w:t>
            </w:r>
          </w:p>
        </w:tc>
        <w:tc>
          <w:tcPr/>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90">
      <w:pPr>
        <w:spacing w:line="240" w:lineRule="auto"/>
        <w:rPr>
          <w:rFonts w:ascii="Times New Roman" w:cs="Times New Roman" w:eastAsia="Times New Roman" w:hAnsi="Times New Roman"/>
        </w:rPr>
      </w:pPr>
      <w:sdt>
        <w:sdtPr>
          <w:id w:val="1809788508"/>
          <w:tag w:val="goog_rdk_14"/>
        </w:sdtPr>
        <w:sdtContent>
          <w:commentRangeStart w:id="12"/>
        </w:sdtContent>
      </w:sdt>
      <w:r w:rsidDel="00000000" w:rsidR="00000000" w:rsidRPr="00000000">
        <w:rPr>
          <w:rFonts w:ascii="Times New Roman" w:cs="Times New Roman" w:eastAsia="Times New Roman" w:hAnsi="Times New Roman"/>
          <w:rtl w:val="0"/>
        </w:rPr>
        <w:t xml:space="preserve">Anyother:-</w:t>
      </w:r>
      <w:commentRangeEnd w:id="12"/>
      <w:r w:rsidDel="00000000" w:rsidR="00000000" w:rsidRPr="00000000">
        <w:commentReference w:id="12"/>
      </w:r>
      <w:r w:rsidDel="00000000" w:rsidR="00000000" w:rsidRPr="00000000">
        <w:rPr>
          <w:rFonts w:ascii="Times New Roman" w:cs="Times New Roman" w:eastAsia="Times New Roman" w:hAnsi="Times New Roman"/>
          <w:rtl w:val="0"/>
        </w:rPr>
        <w:t xml:space="preserve"> _____________________________________________________________________________________</w:t>
      </w:r>
    </w:p>
    <w:p w:rsidR="00000000" w:rsidDel="00000000" w:rsidP="00000000" w:rsidRDefault="00000000" w:rsidRPr="00000000" w14:paraId="00000191">
      <w:pPr>
        <w:jc w:val="both"/>
        <w:rPr>
          <w:rFonts w:ascii="Times New Roman" w:cs="Times New Roman" w:eastAsia="Times New Roman" w:hAnsi="Times New Roman"/>
          <w:b w:val="1"/>
          <w:bCs w:val="1"/>
          <w:sz w:val="24"/>
          <w:szCs w:val="24"/>
        </w:rPr>
      </w:pPr>
      <w:r w:rsidDel="00000000" w:rsidR="00000000" w:rsidRPr="00000000">
        <w:rPr>
          <w:rtl w:val="0"/>
        </w:rPr>
      </w:r>
    </w:p>
    <w:sectPr>
      <w:headerReference r:id="rId28" w:type="default"/>
      <w:headerReference r:id="rId29" w:type="first"/>
      <w:headerReference r:id="rId30" w:type="even"/>
      <w:footerReference r:id="rId31" w:type="default"/>
      <w:footerReference r:id="rId32" w:type="first"/>
      <w:footerReference r:id="rId33" w:type="even"/>
      <w:pgSz w:h="16838" w:w="11906" w:orient="portrait"/>
      <w:pgMar w:bottom="1440" w:top="1440" w:left="1440" w:right="1440" w:header="708" w:footer="708"/>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Maxwell Uduafemhe" w:id="12" w:date="2026-03-28T14:55:27Z">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Spilt word.</w:t>
      </w:r>
    </w:p>
  </w:comment>
  <w:comment w:author="Maxwell Uduafemhe" w:id="2" w:date="2026-03-28T13:35:53Z">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You typically need only about 5 to 7 keywords here.</w:t>
      </w:r>
    </w:p>
  </w:comment>
  <w:comment w:author="Maxwell Uduafemhe" w:id="6" w:date="2026-03-28T15:00:12Z">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Your data collection methodology was fantastic, but I think you would do a better job if you include the details of your population and sample sizes. That way, we can establish if your findings can be generalised.</w:t>
      </w:r>
    </w:p>
  </w:comment>
  <w:comment w:author="Maxwell Uduafemhe" w:id="11" w:date="2026-03-28T14:51:14Z">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improve to tally with APA format. Title of work should be italicized.</w:t>
      </w:r>
    </w:p>
  </w:comment>
  <w:comment w:author="Maxwell Uduafemhe" w:id="10" w:date="2026-03-28T14:50:20Z">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improve to tally with APA format</w:t>
      </w:r>
    </w:p>
  </w:comment>
  <w:comment w:author="Maxwell Uduafemhe" w:id="5" w:date="2026-03-28T14:36:04Z">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Create a section for Objectives</w:t>
      </w:r>
    </w:p>
  </w:comment>
  <w:comment w:author="Maxwell Uduafemhe" w:id="0" w:date="2026-03-28T13:31:48Z">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title is great</w:t>
      </w:r>
    </w:p>
  </w:comment>
  <w:comment w:author="Maxwell Uduafemhe" w:id="1" w:date="2026-03-28T13:34:58Z">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 recommend that you include a few of the findings at this point instead of this.</w:t>
      </w:r>
    </w:p>
  </w:comment>
  <w:comment w:author="Maxwell Uduafemhe" w:id="8" w:date="2026-03-28T14:46:08Z">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Insert a Recommendation section above this.</w:t>
      </w:r>
    </w:p>
  </w:comment>
  <w:comment w:author="Maxwell Uduafemhe" w:id="7" w:date="2026-03-28T14:18:09Z">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 would have loved you to list your objectives so we can effectively scrutinise your findings properly.</w:t>
      </w:r>
    </w:p>
  </w:comment>
  <w:comment w:author="Maxwell Uduafemhe" w:id="3" w:date="2026-03-28T13:37:17Z">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This is a definition, it should not appear in the keywords section.</w:t>
      </w:r>
    </w:p>
  </w:comment>
  <w:comment w:author="Maxwell Uduafemhe" w:id="9" w:date="2026-03-28T14:49:30Z">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Include page numbers</w:t>
      </w:r>
    </w:p>
  </w:comment>
  <w:comment w:author="Maxwell Uduafemhe" w:id="4" w:date="2026-03-28T13:39:08Z">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This is good stuff.</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198" w15:done="0"/>
  <w15:commentEx w15:paraId="00000199" w15:done="0"/>
  <w15:commentEx w15:paraId="0000019A" w15:done="0"/>
  <w15:commentEx w15:paraId="0000019B" w15:done="0"/>
  <w15:commentEx w15:paraId="0000019C" w15:done="0"/>
  <w15:commentEx w15:paraId="0000019D" w15:done="0"/>
  <w15:commentEx w15:paraId="0000019E" w15:done="0"/>
  <w15:commentEx w15:paraId="0000019F" w15:done="0"/>
  <w15:commentEx w15:paraId="000001A0" w15:done="0"/>
  <w15:commentEx w15:paraId="000001A1" w15:done="0"/>
  <w15:commentEx w15:paraId="000001A2" w15:done="0"/>
  <w15:commentEx w15:paraId="000001A3" w15:done="0"/>
  <w15:commentEx w15:paraId="000001A4"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ungsuh"/>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mbria Math">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pict>
        <v:shape id="PowerPlusWaterMarkObject3" style="position:absolute;width:535.7999212598424pt;height:100.4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Calibri&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pict>
        <v:shape id="PowerPlusWaterMarkObject1" style="position:absolute;width:535.7999212598424pt;height:100.4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Calibri&amp;quot;;font-size:1pt;"/>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pict>
        <v:shape id="PowerPlusWaterMarkObject2" style="position:absolute;width:535.7999212598424pt;height:100.4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Calibri&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I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iCs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Calibri" w:cs="Calibri" w:eastAsia="Calibri" w:hAnsi="Calibri"/>
      <w:sz w:val="56"/>
      <w:szCs w:val="56"/>
    </w:rPr>
  </w:style>
  <w:style w:type="paragraph" w:styleId="Heading7">
    <w:name w:val="heading 7"/>
    <w:basedOn w:val="Normal"/>
    <w:next w:val="Normal"/>
    <w:link w:val="Heading7Char"/>
    <w:uiPriority w:val="9"/>
    <w:semiHidden w:val="1"/>
    <w:unhideWhenUsed w:val="1"/>
    <w:qFormat w:val="1"/>
    <w:rsid w:val="00B26BB6"/>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B26BB6"/>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B26BB6"/>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B26BB6"/>
    <w:rPr>
      <w:rFonts w:asciiTheme="majorHAnsi" w:cstheme="majorBidi" w:eastAsiaTheme="majorEastAsia" w:hAnsiTheme="majorHAnsi"/>
      <w:color w:val="2f5496" w:themeColor="accent1" w:themeShade="0000BF"/>
      <w:sz w:val="40"/>
      <w:szCs w:val="40"/>
    </w:rPr>
  </w:style>
  <w:style w:type="character" w:styleId="Heading2Char" w:customStyle="1">
    <w:name w:val="Heading 2 Char"/>
    <w:basedOn w:val="DefaultParagraphFont"/>
    <w:link w:val="Heading2"/>
    <w:uiPriority w:val="9"/>
    <w:semiHidden w:val="1"/>
    <w:rsid w:val="00B26BB6"/>
    <w:rPr>
      <w:rFonts w:asciiTheme="majorHAnsi" w:cstheme="majorBidi" w:eastAsiaTheme="majorEastAsia" w:hAnsiTheme="majorHAnsi"/>
      <w:color w:val="2f5496" w:themeColor="accent1" w:themeShade="0000BF"/>
      <w:sz w:val="32"/>
      <w:szCs w:val="32"/>
    </w:rPr>
  </w:style>
  <w:style w:type="character" w:styleId="Heading3Char" w:customStyle="1">
    <w:name w:val="Heading 3 Char"/>
    <w:basedOn w:val="DefaultParagraphFont"/>
    <w:link w:val="Heading3"/>
    <w:uiPriority w:val="9"/>
    <w:semiHidden w:val="1"/>
    <w:rsid w:val="00B26BB6"/>
    <w:rPr>
      <w:rFonts w:cstheme="majorBidi" w:eastAsiaTheme="majorEastAsia"/>
      <w:color w:val="2f5496" w:themeColor="accent1" w:themeShade="0000BF"/>
      <w:sz w:val="28"/>
      <w:szCs w:val="28"/>
    </w:rPr>
  </w:style>
  <w:style w:type="character" w:styleId="Heading4Char" w:customStyle="1">
    <w:name w:val="Heading 4 Char"/>
    <w:basedOn w:val="DefaultParagraphFont"/>
    <w:link w:val="Heading4"/>
    <w:uiPriority w:val="9"/>
    <w:semiHidden w:val="1"/>
    <w:rsid w:val="00B26BB6"/>
    <w:rPr>
      <w:rFonts w:cstheme="majorBidi" w:eastAsiaTheme="majorEastAsia"/>
      <w:i w:val="1"/>
      <w:iCs w:val="1"/>
      <w:color w:val="2f5496" w:themeColor="accent1" w:themeShade="0000BF"/>
    </w:rPr>
  </w:style>
  <w:style w:type="character" w:styleId="Heading5Char" w:customStyle="1">
    <w:name w:val="Heading 5 Char"/>
    <w:basedOn w:val="DefaultParagraphFont"/>
    <w:link w:val="Heading5"/>
    <w:uiPriority w:val="9"/>
    <w:semiHidden w:val="1"/>
    <w:rsid w:val="00B26BB6"/>
    <w:rPr>
      <w:rFonts w:cstheme="majorBidi" w:eastAsiaTheme="majorEastAsia"/>
      <w:color w:val="2f5496" w:themeColor="accent1" w:themeShade="0000BF"/>
    </w:rPr>
  </w:style>
  <w:style w:type="character" w:styleId="Heading6Char" w:customStyle="1">
    <w:name w:val="Heading 6 Char"/>
    <w:basedOn w:val="DefaultParagraphFont"/>
    <w:link w:val="Heading6"/>
    <w:uiPriority w:val="9"/>
    <w:semiHidden w:val="1"/>
    <w:rsid w:val="00B26BB6"/>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B26BB6"/>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B26BB6"/>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B26BB6"/>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B26BB6"/>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B26BB6"/>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B26BB6"/>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B26BB6"/>
    <w:rPr>
      <w:i w:val="1"/>
      <w:iCs w:val="1"/>
      <w:color w:val="404040" w:themeColor="text1" w:themeTint="0000BF"/>
    </w:rPr>
  </w:style>
  <w:style w:type="paragraph" w:styleId="ListParagraph">
    <w:name w:val="List Paragraph"/>
    <w:basedOn w:val="Normal"/>
    <w:uiPriority w:val="34"/>
    <w:qFormat w:val="1"/>
    <w:rsid w:val="00B26BB6"/>
    <w:pPr>
      <w:ind w:left="720"/>
      <w:contextualSpacing w:val="1"/>
    </w:pPr>
  </w:style>
  <w:style w:type="character" w:styleId="IntenseEmphasis">
    <w:name w:val="Intense Emphasis"/>
    <w:basedOn w:val="DefaultParagraphFont"/>
    <w:uiPriority w:val="21"/>
    <w:qFormat w:val="1"/>
    <w:rsid w:val="00B26BB6"/>
    <w:rPr>
      <w:i w:val="1"/>
      <w:iCs w:val="1"/>
      <w:color w:val="2f5496" w:themeColor="accent1" w:themeShade="0000BF"/>
    </w:rPr>
  </w:style>
  <w:style w:type="paragraph" w:styleId="IntenseQuote">
    <w:name w:val="Intense Quote"/>
    <w:basedOn w:val="Normal"/>
    <w:next w:val="Normal"/>
    <w:link w:val="IntenseQuoteChar"/>
    <w:uiPriority w:val="30"/>
    <w:qFormat w:val="1"/>
    <w:rsid w:val="00B26BB6"/>
    <w:pPr>
      <w:pBdr>
        <w:top w:color="2f5496" w:space="10" w:sz="4" w:themeColor="accent1" w:themeShade="0000BF" w:val="single"/>
        <w:bottom w:color="2f5496" w:space="10" w:sz="4" w:themeColor="accent1" w:themeShade="0000BF" w:val="single"/>
      </w:pBdr>
      <w:spacing w:after="360" w:before="360"/>
      <w:ind w:left="864" w:right="864"/>
      <w:jc w:val="center"/>
    </w:pPr>
    <w:rPr>
      <w:i w:val="1"/>
      <w:iCs w:val="1"/>
      <w:color w:val="2f5496" w:themeColor="accent1" w:themeShade="0000BF"/>
    </w:rPr>
  </w:style>
  <w:style w:type="character" w:styleId="IntenseQuoteChar" w:customStyle="1">
    <w:name w:val="Intense Quote Char"/>
    <w:basedOn w:val="DefaultParagraphFont"/>
    <w:link w:val="IntenseQuote"/>
    <w:uiPriority w:val="30"/>
    <w:rsid w:val="00B26BB6"/>
    <w:rPr>
      <w:i w:val="1"/>
      <w:iCs w:val="1"/>
      <w:color w:val="2f5496" w:themeColor="accent1" w:themeShade="0000BF"/>
    </w:rPr>
  </w:style>
  <w:style w:type="character" w:styleId="IntenseReference">
    <w:name w:val="Intense Reference"/>
    <w:basedOn w:val="DefaultParagraphFont"/>
    <w:uiPriority w:val="32"/>
    <w:qFormat w:val="1"/>
    <w:rsid w:val="00B26BB6"/>
    <w:rPr>
      <w:b w:val="1"/>
      <w:bCs w:val="1"/>
      <w:smallCaps w:val="1"/>
      <w:color w:val="2f5496" w:themeColor="accent1" w:themeShade="0000BF"/>
      <w:spacing w:val="5"/>
    </w:rPr>
  </w:style>
  <w:style w:type="character" w:styleId="PlaceholderText">
    <w:name w:val="Placeholder Text"/>
    <w:basedOn w:val="DefaultParagraphFont"/>
    <w:uiPriority w:val="99"/>
    <w:semiHidden w:val="1"/>
    <w:rsid w:val="00D363BD"/>
    <w:rPr>
      <w:color w:val="666666"/>
    </w:rPr>
  </w:style>
  <w:style w:type="paragraph" w:styleId="NormalWeb">
    <w:name w:val="Normal (Web)"/>
    <w:basedOn w:val="Normal"/>
    <w:uiPriority w:val="99"/>
    <w:unhideWhenUsed w:val="1"/>
    <w:rsid w:val="00F61F7A"/>
    <w:pPr>
      <w:spacing w:after="100" w:afterAutospacing="1" w:before="100" w:beforeAutospacing="1" w:line="240" w:lineRule="auto"/>
    </w:pPr>
    <w:rPr>
      <w:rFonts w:ascii="Times New Roman" w:cs="Times New Roman" w:eastAsia="Times New Roman" w:hAnsi="Times New Roman"/>
      <w:kern w:val="0"/>
      <w:sz w:val="24"/>
      <w:szCs w:val="24"/>
      <w:lang w:eastAsia="en-IN"/>
    </w:rPr>
  </w:style>
  <w:style w:type="character" w:styleId="Emphasis">
    <w:name w:val="Emphasis"/>
    <w:basedOn w:val="DefaultParagraphFont"/>
    <w:uiPriority w:val="20"/>
    <w:qFormat w:val="1"/>
    <w:rsid w:val="00F61F7A"/>
    <w:rPr>
      <w:i w:val="1"/>
      <w:iCs w:val="1"/>
    </w:rPr>
  </w:style>
  <w:style w:type="table" w:styleId="TableGrid1" w:customStyle="1">
    <w:name w:val="Table Grid1"/>
    <w:basedOn w:val="TableNormal"/>
    <w:next w:val="TableGrid"/>
    <w:uiPriority w:val="39"/>
    <w:rsid w:val="00D60B0A"/>
    <w:pPr>
      <w:spacing w:after="0" w:line="240" w:lineRule="auto"/>
    </w:pPr>
    <w:rPr>
      <w:rFonts w:eastAsiaTheme="minorEastAsia"/>
      <w:kern w:val="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
    <w:name w:val="Table Grid"/>
    <w:basedOn w:val="TableNormal"/>
    <w:uiPriority w:val="59"/>
    <w:rsid w:val="00D60B0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424E49"/>
    <w:pPr>
      <w:tabs>
        <w:tab w:val="center" w:pos="4513"/>
        <w:tab w:val="right" w:pos="9026"/>
      </w:tabs>
      <w:spacing w:after="0" w:line="240" w:lineRule="auto"/>
    </w:pPr>
  </w:style>
  <w:style w:type="character" w:styleId="HeaderChar" w:customStyle="1">
    <w:name w:val="Header Char"/>
    <w:basedOn w:val="DefaultParagraphFont"/>
    <w:link w:val="Header"/>
    <w:uiPriority w:val="99"/>
    <w:rsid w:val="00424E49"/>
  </w:style>
  <w:style w:type="paragraph" w:styleId="Footer">
    <w:name w:val="footer"/>
    <w:basedOn w:val="Normal"/>
    <w:link w:val="FooterChar"/>
    <w:uiPriority w:val="99"/>
    <w:unhideWhenUsed w:val="1"/>
    <w:rsid w:val="00424E49"/>
    <w:pPr>
      <w:tabs>
        <w:tab w:val="center" w:pos="4513"/>
        <w:tab w:val="right" w:pos="9026"/>
      </w:tabs>
      <w:spacing w:after="0" w:line="240" w:lineRule="auto"/>
    </w:pPr>
  </w:style>
  <w:style w:type="character" w:styleId="FooterChar" w:customStyle="1">
    <w:name w:val="Footer Char"/>
    <w:basedOn w:val="DefaultParagraphFont"/>
    <w:link w:val="Footer"/>
    <w:uiPriority w:val="99"/>
    <w:rsid w:val="00424E49"/>
  </w:style>
  <w:style w:type="character" w:styleId="Hyperlink">
    <w:name w:val="Hyperlink"/>
    <w:basedOn w:val="DefaultParagraphFont"/>
    <w:uiPriority w:val="99"/>
    <w:unhideWhenUsed w:val="1"/>
    <w:rsid w:val="00E86ECA"/>
    <w:rPr>
      <w:color w:val="0563c1" w:themeColor="hyperlink"/>
      <w:u w:val="single"/>
    </w:rPr>
  </w:style>
  <w:style w:type="character" w:styleId="UnresolvedMention">
    <w:name w:val="Unresolved Mention"/>
    <w:basedOn w:val="DefaultParagraphFont"/>
    <w:uiPriority w:val="99"/>
    <w:semiHidden w:val="1"/>
    <w:unhideWhenUsed w:val="1"/>
    <w:rsid w:val="00E86ECA"/>
    <w:rPr>
      <w:color w:val="605e5c"/>
      <w:shd w:color="auto" w:fill="e1dfdd" w:val="clear"/>
    </w:rPr>
  </w:style>
  <w:style w:type="character" w:styleId="FollowedHyperlink">
    <w:name w:val="FollowedHyperlink"/>
    <w:basedOn w:val="DefaultParagraphFont"/>
    <w:uiPriority w:val="99"/>
    <w:semiHidden w:val="1"/>
    <w:unhideWhenUsed w:val="1"/>
    <w:rsid w:val="00923994"/>
    <w:rPr>
      <w:color w:val="954f72" w:themeColor="followedHyperlink"/>
      <w:u w:val="single"/>
    </w:rPr>
  </w:style>
  <w:style w:type="paragraph" w:styleId="Caption">
    <w:name w:val="caption"/>
    <w:basedOn w:val="Normal"/>
    <w:next w:val="Normal"/>
    <w:uiPriority w:val="35"/>
    <w:unhideWhenUsed w:val="1"/>
    <w:qFormat w:val="1"/>
    <w:rsid w:val="009C4E69"/>
    <w:pPr>
      <w:spacing w:after="200" w:line="240" w:lineRule="auto"/>
    </w:pPr>
    <w:rPr>
      <w:i w:val="1"/>
      <w:iCs w:val="1"/>
      <w:color w:val="44546a" w:themeColor="text2"/>
      <w:sz w:val="18"/>
      <w:szCs w:val="18"/>
    </w:rPr>
  </w:style>
  <w:style w:type="paragraph" w:styleId="Subtitle">
    <w:name w:val="Subtitle"/>
    <w:basedOn w:val="Normal"/>
    <w:next w:val="Normal"/>
    <w:pPr/>
    <w:rPr>
      <w:color w:val="595959"/>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i.org/10.3389/feduc.2025.1683909" TargetMode="External"/><Relationship Id="rId22" Type="http://schemas.openxmlformats.org/officeDocument/2006/relationships/hyperlink" Target="https://doi.org/10.1017/S0261444825101031" TargetMode="External"/><Relationship Id="rId21" Type="http://schemas.openxmlformats.org/officeDocument/2006/relationships/hyperlink" Target="https://doi.org/10.1016/j.sbspro.2014.01.789" TargetMode="External"/><Relationship Id="rId24" Type="http://schemas.openxmlformats.org/officeDocument/2006/relationships/hyperlink" Target="https://doi.org/10.4103/jfmpc.jfmpc_189_17" TargetMode="External"/><Relationship Id="rId23" Type="http://schemas.openxmlformats.org/officeDocument/2006/relationships/hyperlink" Target="https://doi.org/10.1177/0031721717734183"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png"/><Relationship Id="rId26" Type="http://schemas.openxmlformats.org/officeDocument/2006/relationships/hyperlink" Target="https://doi.org/10.1016/j.sbspro.2015.02.109" TargetMode="External"/><Relationship Id="rId25" Type="http://schemas.openxmlformats.org/officeDocument/2006/relationships/hyperlink" Target="https://doi.org/10.3389/fpsyg.2025.1565591" TargetMode="External"/><Relationship Id="rId28" Type="http://schemas.openxmlformats.org/officeDocument/2006/relationships/header" Target="header2.xml"/><Relationship Id="rId27" Type="http://schemas.openxmlformats.org/officeDocument/2006/relationships/hyperlink" Target="https://doi.org/10.5032/jae.2006.04015"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eader" Target="header3.xml"/><Relationship Id="rId7" Type="http://schemas.openxmlformats.org/officeDocument/2006/relationships/customXml" Target="../customXML/item1.xml"/><Relationship Id="rId8" Type="http://schemas.microsoft.com/office/2011/relationships/commentsExtended" Target="commentsExtended.xml"/><Relationship Id="rId31" Type="http://schemas.openxmlformats.org/officeDocument/2006/relationships/footer" Target="footer2.xml"/><Relationship Id="rId30" Type="http://schemas.openxmlformats.org/officeDocument/2006/relationships/header" Target="header1.xml"/><Relationship Id="rId11" Type="http://schemas.openxmlformats.org/officeDocument/2006/relationships/hyperlink" Target="https://doi.org/10.1016/S0031-9406(05)66175-5" TargetMode="External"/><Relationship Id="rId33" Type="http://schemas.openxmlformats.org/officeDocument/2006/relationships/footer" Target="footer1.xml"/><Relationship Id="rId10" Type="http://schemas.openxmlformats.org/officeDocument/2006/relationships/hyperlink" Target="https://doi.org/10.21061/jcte.v15i2.702" TargetMode="External"/><Relationship Id="rId32" Type="http://schemas.openxmlformats.org/officeDocument/2006/relationships/footer" Target="footer3.xml"/><Relationship Id="rId13" Type="http://schemas.openxmlformats.org/officeDocument/2006/relationships/hyperlink" Target="https://insightsjlss.com/index.php/home/article/view/133" TargetMode="External"/><Relationship Id="rId12" Type="http://schemas.openxmlformats.org/officeDocument/2006/relationships/hyperlink" Target="https://doi.org/10.31458/iejes.1346220" TargetMode="External"/><Relationship Id="rId15" Type="http://schemas.openxmlformats.org/officeDocument/2006/relationships/hyperlink" Target="https://doi.org/10.1016/j.chb.2013.10.049" TargetMode="External"/><Relationship Id="rId14" Type="http://schemas.openxmlformats.org/officeDocument/2006/relationships/hyperlink" Target="https://doi.org/10.46328/ijces.223" TargetMode="External"/><Relationship Id="rId17" Type="http://schemas.openxmlformats.org/officeDocument/2006/relationships/hyperlink" Target="https://doi.org/10.1111/j.1468-2958.1977.tb00599.x" TargetMode="External"/><Relationship Id="rId16" Type="http://schemas.openxmlformats.org/officeDocument/2006/relationships/hyperlink" Target="https://doi.org/10.5032/jae.1998.01073" TargetMode="External"/><Relationship Id="rId19" Type="http://schemas.openxmlformats.org/officeDocument/2006/relationships/hyperlink" Target="https://doi.org/10.5032/jae.2006.01043" TargetMode="External"/><Relationship Id="rId18" Type="http://schemas.openxmlformats.org/officeDocument/2006/relationships/hyperlink" Target="https://doi.org/10.1080/03075079.2015.106760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myWPrPe5bVpRinp8WLokEWdLxg==">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2026-03-11T03:11:00Z</dcterms:created>
  <dc:creator>prajwal1827@outlook.com</dc:creator>
</cp:coreProperties>
</file>