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2DF" w:rsidRDefault="00FB72DF">
      <w:pPr>
        <w:pStyle w:val="BodyText"/>
        <w:spacing w:before="143"/>
        <w:rPr>
          <w:rFonts w:ascii="Times New Roman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FB72DF">
        <w:trPr>
          <w:trHeight w:val="290"/>
        </w:trPr>
        <w:tc>
          <w:tcPr>
            <w:tcW w:w="3161" w:type="dxa"/>
          </w:tcPr>
          <w:p w:rsidR="00FB72DF" w:rsidRDefault="00A931F1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163" w:type="dxa"/>
          </w:tcPr>
          <w:p w:rsidR="00FB72DF" w:rsidRDefault="007743CB">
            <w:pPr>
              <w:pStyle w:val="TableParagraph"/>
              <w:spacing w:before="28"/>
              <w:rPr>
                <w:sz w:val="20"/>
              </w:rPr>
            </w:pPr>
            <w:hyperlink r:id="rId7">
              <w:r w:rsidR="00A931F1">
                <w:rPr>
                  <w:color w:val="0000FF"/>
                  <w:sz w:val="20"/>
                </w:rPr>
                <w:t>Archives</w:t>
              </w:r>
              <w:r w:rsidR="00A931F1">
                <w:rPr>
                  <w:color w:val="0000FF"/>
                  <w:spacing w:val="-7"/>
                  <w:sz w:val="20"/>
                </w:rPr>
                <w:t xml:space="preserve"> </w:t>
              </w:r>
              <w:r w:rsidR="00A931F1">
                <w:rPr>
                  <w:color w:val="0000FF"/>
                  <w:sz w:val="20"/>
                </w:rPr>
                <w:t>of</w:t>
              </w:r>
              <w:r w:rsidR="00A931F1">
                <w:rPr>
                  <w:color w:val="0000FF"/>
                  <w:spacing w:val="-6"/>
                  <w:sz w:val="20"/>
                </w:rPr>
                <w:t xml:space="preserve"> </w:t>
              </w:r>
              <w:r w:rsidR="00A931F1">
                <w:rPr>
                  <w:color w:val="0000FF"/>
                  <w:sz w:val="20"/>
                </w:rPr>
                <w:t>Current</w:t>
              </w:r>
              <w:r w:rsidR="00A931F1">
                <w:rPr>
                  <w:color w:val="0000FF"/>
                  <w:spacing w:val="-6"/>
                  <w:sz w:val="20"/>
                </w:rPr>
                <w:t xml:space="preserve"> </w:t>
              </w:r>
              <w:r w:rsidR="00A931F1">
                <w:rPr>
                  <w:color w:val="0000FF"/>
                  <w:sz w:val="20"/>
                </w:rPr>
                <w:t>Research</w:t>
              </w:r>
              <w:r w:rsidR="00A931F1">
                <w:rPr>
                  <w:color w:val="0000FF"/>
                  <w:spacing w:val="-8"/>
                  <w:sz w:val="20"/>
                </w:rPr>
                <w:t xml:space="preserve"> </w:t>
              </w:r>
              <w:r w:rsidR="00A931F1">
                <w:rPr>
                  <w:color w:val="0000FF"/>
                  <w:spacing w:val="-2"/>
                  <w:sz w:val="20"/>
                </w:rPr>
                <w:t>International</w:t>
              </w:r>
            </w:hyperlink>
          </w:p>
        </w:tc>
      </w:tr>
      <w:tr w:rsidR="00FB72DF">
        <w:trPr>
          <w:trHeight w:val="290"/>
        </w:trPr>
        <w:tc>
          <w:tcPr>
            <w:tcW w:w="3161" w:type="dxa"/>
          </w:tcPr>
          <w:p w:rsidR="00FB72DF" w:rsidRDefault="00A931F1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163" w:type="dxa"/>
          </w:tcPr>
          <w:p w:rsidR="00FB72DF" w:rsidRDefault="00A931F1"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2"/>
                <w:sz w:val="20"/>
              </w:rPr>
              <w:t>Ms_ACRI_155812</w:t>
            </w:r>
          </w:p>
        </w:tc>
      </w:tr>
      <w:tr w:rsidR="00FB72DF">
        <w:trPr>
          <w:trHeight w:val="649"/>
        </w:trPr>
        <w:tc>
          <w:tcPr>
            <w:tcW w:w="3161" w:type="dxa"/>
          </w:tcPr>
          <w:p w:rsidR="00FB72DF" w:rsidRDefault="00A931F1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163" w:type="dxa"/>
          </w:tcPr>
          <w:p w:rsidR="00FB72DF" w:rsidRDefault="00A931F1">
            <w:pPr>
              <w:pStyle w:val="TableParagraph"/>
              <w:spacing w:before="95"/>
              <w:ind w:right="224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Agriculture: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Capacity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Empowerment through Extension Services</w:t>
            </w:r>
          </w:p>
        </w:tc>
      </w:tr>
      <w:tr w:rsidR="00FB72DF">
        <w:trPr>
          <w:trHeight w:val="333"/>
        </w:trPr>
        <w:tc>
          <w:tcPr>
            <w:tcW w:w="3161" w:type="dxa"/>
          </w:tcPr>
          <w:p w:rsidR="00FB72DF" w:rsidRDefault="00A931F1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163" w:type="dxa"/>
          </w:tcPr>
          <w:p w:rsidR="00FB72DF" w:rsidRDefault="00A931F1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</w:tr>
    </w:tbl>
    <w:p w:rsidR="00FB72DF" w:rsidRDefault="00FB72DF">
      <w:pPr>
        <w:pStyle w:val="BodyText"/>
        <w:rPr>
          <w:rFonts w:ascii="Times New Roman"/>
        </w:rPr>
      </w:pPr>
    </w:p>
    <w:p w:rsidR="00FB72DF" w:rsidRDefault="00FB72DF">
      <w:pPr>
        <w:pStyle w:val="BodyText"/>
        <w:spacing w:before="1"/>
      </w:pPr>
    </w:p>
    <w:p w:rsidR="00FB72DF" w:rsidRDefault="00A931F1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1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(Importance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manuscript)</w:t>
      </w:r>
    </w:p>
    <w:p w:rsidR="00FB72DF" w:rsidRDefault="00FB72DF">
      <w:pPr>
        <w:pStyle w:val="BodyText"/>
        <w:spacing w:before="229"/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FB72DF">
        <w:trPr>
          <w:trHeight w:val="640"/>
        </w:trPr>
        <w:tc>
          <w:tcPr>
            <w:tcW w:w="4820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6" w:type="dxa"/>
          </w:tcPr>
          <w:p w:rsidR="00FB72DF" w:rsidRDefault="00A931F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:rsidR="00FB72DF" w:rsidRDefault="00A931F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FB72DF">
        <w:trPr>
          <w:trHeight w:val="4598"/>
        </w:trPr>
        <w:tc>
          <w:tcPr>
            <w:tcW w:w="4820" w:type="dxa"/>
          </w:tcPr>
          <w:p w:rsidR="00FB72DF" w:rsidRDefault="00A931F1">
            <w:pPr>
              <w:pStyle w:val="TableParagraph"/>
              <w:ind w:right="378"/>
              <w:rPr>
                <w:sz w:val="20"/>
              </w:rPr>
            </w:pPr>
            <w:r>
              <w:rPr>
                <w:sz w:val="20"/>
              </w:rPr>
              <w:t>Please write a few sentences regarding the importance of this manuscript for the scientific community.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966" w:type="dxa"/>
          </w:tcPr>
          <w:p w:rsidR="00FB72DF" w:rsidRDefault="00A931F1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This manuscript offers a critical advancement in the field by addressing a long-standing gap in our understanding of Corporate Social Responsibility in Agriculture: Capacity Building and Farmer Empowerment through Extension Services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By introducing a novel methodology that enhances alignment of CSR initiatives with global development frameworks such as the Sustainable Development Goals (SDGs), the findings provide a more robust framework for interpreting complex data sets that were previously ambiguous. Furthermore, this research serves as a vital bridge between theoretical models and practical applications, offering the scientific community a scalable solution for A Review of Capacity Building and Farmer Empowerment through Extension Services, Ultimately, these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insights not only challenge existing paradigms but also lay the groundwork for future interdisciplinary </w:t>
            </w:r>
            <w:proofErr w:type="gramStart"/>
            <w:r>
              <w:rPr>
                <w:sz w:val="20"/>
              </w:rPr>
              <w:t>studies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aimed</w:t>
            </w:r>
            <w:proofErr w:type="gramEnd"/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at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optimizing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Corporate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Social</w:t>
            </w:r>
          </w:p>
          <w:p w:rsidR="00FB72DF" w:rsidRDefault="00A931F1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Responsibility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Agriculture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2DF" w:rsidRDefault="00FB72DF">
      <w:pPr>
        <w:pStyle w:val="TableParagraph"/>
        <w:rPr>
          <w:rFonts w:ascii="Times New Roman"/>
          <w:sz w:val="18"/>
        </w:rPr>
        <w:sectPr w:rsidR="00FB72DF">
          <w:headerReference w:type="default" r:id="rId8"/>
          <w:footerReference w:type="default" r:id="rId9"/>
          <w:type w:val="continuous"/>
          <w:pgSz w:w="16840" w:h="23820"/>
          <w:pgMar w:top="1700" w:right="1275" w:bottom="1620" w:left="1275" w:header="1284" w:footer="1427" w:gutter="0"/>
          <w:pgNumType w:start="1"/>
          <w:cols w:space="720"/>
        </w:sectPr>
      </w:pPr>
    </w:p>
    <w:p w:rsidR="00FB72DF" w:rsidRDefault="00FB72DF">
      <w:pPr>
        <w:pStyle w:val="BodyText"/>
      </w:pPr>
    </w:p>
    <w:p w:rsidR="00FB72DF" w:rsidRDefault="00FB72DF">
      <w:pPr>
        <w:pStyle w:val="BodyText"/>
        <w:spacing w:before="83"/>
      </w:pPr>
    </w:p>
    <w:p w:rsidR="00FB72DF" w:rsidRDefault="00A931F1">
      <w:pPr>
        <w:pStyle w:val="BodyText"/>
        <w:spacing w:before="1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4"/>
          <w:highlight w:val="yellow"/>
        </w:rPr>
        <w:t xml:space="preserve"> </w:t>
      </w:r>
      <w:r>
        <w:rPr>
          <w:color w:val="000000"/>
          <w:highlight w:val="yellow"/>
        </w:rPr>
        <w:t>2.1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(Objective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Publication)</w:t>
      </w:r>
    </w:p>
    <w:p w:rsidR="00FB72DF" w:rsidRDefault="00FB72DF">
      <w:pPr>
        <w:pStyle w:val="BodyText"/>
      </w:pPr>
    </w:p>
    <w:p w:rsidR="00FB72DF" w:rsidRDefault="00FB72DF">
      <w:pPr>
        <w:pStyle w:val="BodyText"/>
        <w:spacing w:before="229"/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FB72DF">
        <w:trPr>
          <w:trHeight w:val="407"/>
        </w:trPr>
        <w:tc>
          <w:tcPr>
            <w:tcW w:w="482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:rsidR="00FB72DF" w:rsidRDefault="00A931F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FB72DF">
        <w:trPr>
          <w:trHeight w:val="1261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paper? </w:t>
            </w:r>
            <w:r>
              <w:rPr>
                <w:color w:val="404040"/>
                <w:sz w:val="20"/>
              </w:rPr>
              <w:t>Rating 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262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comprehensive? </w:t>
            </w:r>
            <w:r>
              <w:rPr>
                <w:color w:val="404040"/>
                <w:sz w:val="20"/>
              </w:rPr>
              <w:t>Rating 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262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56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useful? </w:t>
            </w:r>
            <w:r>
              <w:rPr>
                <w:color w:val="404040"/>
                <w:sz w:val="20"/>
              </w:rPr>
              <w:t>Rating 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262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 sufficient and well organized?</w:t>
            </w:r>
          </w:p>
          <w:p w:rsidR="00FB72DF" w:rsidRDefault="00A931F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261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28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stated? </w:t>
            </w:r>
            <w:r>
              <w:rPr>
                <w:color w:val="404040"/>
                <w:sz w:val="20"/>
              </w:rPr>
              <w:t>Rating 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261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13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relevant? </w:t>
            </w:r>
            <w:r>
              <w:rPr>
                <w:color w:val="404040"/>
                <w:sz w:val="20"/>
              </w:rPr>
              <w:t>Rating 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262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28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recent? </w:t>
            </w:r>
            <w:r>
              <w:rPr>
                <w:color w:val="404040"/>
                <w:sz w:val="20"/>
              </w:rPr>
              <w:t>Rating 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261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explained </w:t>
            </w:r>
            <w:r>
              <w:rPr>
                <w:spacing w:val="-2"/>
                <w:sz w:val="20"/>
              </w:rPr>
              <w:t>properly?</w:t>
            </w:r>
          </w:p>
          <w:p w:rsidR="00FB72DF" w:rsidRDefault="00A931F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262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36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done? </w:t>
            </w:r>
            <w:r>
              <w:rPr>
                <w:color w:val="404040"/>
                <w:sz w:val="20"/>
              </w:rPr>
              <w:t>Rating 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151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gaps/future directions </w:t>
            </w:r>
            <w:proofErr w:type="gramStart"/>
            <w:r>
              <w:rPr>
                <w:sz w:val="20"/>
              </w:rPr>
              <w:t>done ?</w:t>
            </w:r>
            <w:proofErr w:type="gramEnd"/>
          </w:p>
          <w:p w:rsidR="00FB72DF" w:rsidRDefault="00A931F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B72DF" w:rsidRDefault="00A931F1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919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568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conclusions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logically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arrived? </w:t>
            </w:r>
            <w:r>
              <w:rPr>
                <w:color w:val="404040"/>
                <w:sz w:val="20"/>
              </w:rPr>
              <w:t>Rating Scale:</w:t>
            </w:r>
          </w:p>
          <w:p w:rsidR="00FB72DF" w:rsidRDefault="00A931F1">
            <w:pPr>
              <w:pStyle w:val="TableParagraph"/>
              <w:spacing w:line="230" w:lineRule="exact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920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discussed? </w:t>
            </w:r>
            <w:r>
              <w:rPr>
                <w:color w:val="404040"/>
                <w:sz w:val="20"/>
              </w:rPr>
              <w:t>Rating Scale:</w:t>
            </w:r>
          </w:p>
          <w:p w:rsidR="00FB72DF" w:rsidRDefault="00A931F1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379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peer reviewed authentic sources)</w:t>
            </w:r>
          </w:p>
          <w:p w:rsidR="00FB72DF" w:rsidRDefault="00A931F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FB72DF" w:rsidRDefault="00A931F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379"/>
        </w:trPr>
        <w:tc>
          <w:tcPr>
            <w:tcW w:w="4822" w:type="dxa"/>
          </w:tcPr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understandable language?</w:t>
            </w:r>
          </w:p>
          <w:p w:rsidR="00FB72DF" w:rsidRDefault="00A931F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FB72DF" w:rsidRDefault="00A931F1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FB72DF" w:rsidRDefault="00A931F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963" w:type="dxa"/>
          </w:tcPr>
          <w:p w:rsidR="00FB72DF" w:rsidRDefault="00A931F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2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2DF" w:rsidRDefault="00FB72DF">
      <w:pPr>
        <w:pStyle w:val="TableParagraph"/>
        <w:rPr>
          <w:rFonts w:ascii="Times New Roman"/>
          <w:sz w:val="18"/>
        </w:rPr>
        <w:sectPr w:rsidR="00FB72DF">
          <w:pgSz w:w="16840" w:h="23820"/>
          <w:pgMar w:top="1700" w:right="1275" w:bottom="1620" w:left="1275" w:header="1284" w:footer="1427" w:gutter="0"/>
          <w:cols w:space="720"/>
        </w:sectPr>
      </w:pPr>
    </w:p>
    <w:p w:rsidR="00FB72DF" w:rsidRDefault="00FB72DF">
      <w:pPr>
        <w:pStyle w:val="BodyText"/>
      </w:pPr>
    </w:p>
    <w:p w:rsidR="00FB72DF" w:rsidRDefault="00FB72DF">
      <w:pPr>
        <w:pStyle w:val="BodyText"/>
        <w:spacing w:before="83"/>
      </w:pPr>
    </w:p>
    <w:p w:rsidR="00FB72DF" w:rsidRDefault="00A931F1">
      <w:pPr>
        <w:pStyle w:val="BodyText"/>
        <w:spacing w:before="1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2.2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(Subjective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FB72DF" w:rsidRDefault="00FB72DF">
      <w:pPr>
        <w:pStyle w:val="BodyText"/>
        <w:spacing w:before="10"/>
        <w:rPr>
          <w:sz w:val="19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FB72DF">
        <w:trPr>
          <w:trHeight w:val="887"/>
        </w:trPr>
        <w:tc>
          <w:tcPr>
            <w:tcW w:w="3586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72" w:type="dxa"/>
          </w:tcPr>
          <w:p w:rsidR="00FB72DF" w:rsidRDefault="00A931F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Reviewer’s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</w:t>
            </w:r>
          </w:p>
        </w:tc>
        <w:tc>
          <w:tcPr>
            <w:tcW w:w="4318" w:type="dxa"/>
          </w:tcPr>
          <w:p w:rsidR="00FB72DF" w:rsidRDefault="00A931F1">
            <w:pPr>
              <w:pStyle w:val="TableParagraph"/>
              <w:spacing w:before="2" w:line="256" w:lineRule="auto"/>
              <w:ind w:right="368"/>
              <w:rPr>
                <w:sz w:val="20"/>
              </w:rPr>
            </w:pPr>
            <w:r>
              <w:rPr>
                <w:sz w:val="20"/>
              </w:rPr>
              <w:t>Author’s Feedback (It is mandatory that 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FB72DF">
        <w:trPr>
          <w:trHeight w:val="5520"/>
        </w:trPr>
        <w:tc>
          <w:tcPr>
            <w:tcW w:w="3586" w:type="dxa"/>
          </w:tcPr>
          <w:p w:rsidR="00FB72DF" w:rsidRDefault="00A931F1">
            <w:pPr>
              <w:pStyle w:val="TableParagraph"/>
              <w:spacing w:line="229" w:lineRule="exact"/>
              <w:ind w:left="468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suitable?</w:t>
            </w:r>
          </w:p>
          <w:p w:rsidR="00FB72DF" w:rsidRDefault="00FB72DF">
            <w:pPr>
              <w:pStyle w:val="TableParagraph"/>
              <w:ind w:left="0"/>
              <w:rPr>
                <w:sz w:val="20"/>
              </w:rPr>
            </w:pPr>
          </w:p>
          <w:p w:rsidR="00FB72DF" w:rsidRDefault="00A931F1">
            <w:pPr>
              <w:pStyle w:val="TableParagraph"/>
              <w:spacing w:before="1"/>
              <w:ind w:left="468" w:right="180"/>
              <w:rPr>
                <w:sz w:val="20"/>
              </w:rPr>
            </w:pPr>
            <w:r>
              <w:rPr>
                <w:sz w:val="20"/>
              </w:rPr>
              <w:t>If your answer is NO, please 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6272" w:type="dxa"/>
          </w:tcPr>
          <w:p w:rsidR="00FB72DF" w:rsidRDefault="00A931F1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The original title is a bit long and descriptive, which can sometimes dilute the impact of your main message. In academic publishing, a strong title is usually, concise, searchable, and action-oriented.</w:t>
            </w:r>
          </w:p>
          <w:p w:rsidR="00FB72DF" w:rsidRDefault="00A931F1">
            <w:pPr>
              <w:pStyle w:val="TableParagraph"/>
              <w:spacing w:before="228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Here are three ways to refine it, depending on the "vibe" of your </w:t>
            </w:r>
            <w:r>
              <w:rPr>
                <w:spacing w:val="-2"/>
                <w:sz w:val="20"/>
              </w:rPr>
              <w:t>manuscript:</w:t>
            </w:r>
          </w:p>
          <w:p w:rsidR="00FB72DF" w:rsidRDefault="00A931F1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journals)</w:t>
            </w:r>
          </w:p>
          <w:p w:rsidR="00FB72DF" w:rsidRDefault="00A931F1">
            <w:pPr>
              <w:pStyle w:val="TableParagraph"/>
              <w:spacing w:before="1"/>
              <w:ind w:left="468" w:right="102"/>
              <w:jc w:val="both"/>
              <w:rPr>
                <w:sz w:val="20"/>
              </w:rPr>
            </w:pPr>
            <w:r>
              <w:rPr>
                <w:sz w:val="20"/>
              </w:rPr>
              <w:t>“CSR in Agriculture: A Review of Farmer Empowerment and Extension Services"</w:t>
            </w:r>
          </w:p>
          <w:p w:rsidR="00FB72DF" w:rsidRDefault="00A931F1">
            <w:pPr>
              <w:pStyle w:val="TableParagraph"/>
              <w:ind w:left="468" w:right="97"/>
              <w:jc w:val="both"/>
              <w:rPr>
                <w:sz w:val="20"/>
              </w:rPr>
            </w:pPr>
            <w:r>
              <w:rPr>
                <w:sz w:val="20"/>
              </w:rPr>
              <w:t>Why it works: It removes the repetitive "Capacity Building" (which is often implied by empowerment) and gets straight 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two main variables. It is punchy and easy to cite.</w:t>
            </w:r>
          </w:p>
          <w:p w:rsidR="00FB72DF" w:rsidRDefault="00FB72DF">
            <w:pPr>
              <w:pStyle w:val="TableParagraph"/>
              <w:ind w:left="0"/>
              <w:rPr>
                <w:sz w:val="20"/>
              </w:rPr>
            </w:pPr>
          </w:p>
          <w:p w:rsidR="00FB72DF" w:rsidRDefault="00A931F1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8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The Impact-Focused (Best for policy or social science journals) "Empowering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Farmers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CSR: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Agricultural Extension Services”</w:t>
            </w:r>
          </w:p>
          <w:p w:rsidR="00FB72DF" w:rsidRDefault="00A931F1">
            <w:pPr>
              <w:pStyle w:val="TableParagraph"/>
              <w:ind w:left="468" w:right="103"/>
              <w:jc w:val="both"/>
              <w:rPr>
                <w:sz w:val="20"/>
              </w:rPr>
            </w:pPr>
            <w:r>
              <w:rPr>
                <w:sz w:val="20"/>
              </w:rPr>
              <w:t>Why it works: It puts the "result" (Empowerment) first. This version sounds less like a passive list and more like an investigation into how change actually happens.</w:t>
            </w:r>
          </w:p>
          <w:p w:rsidR="00FB72DF" w:rsidRDefault="00A931F1">
            <w:pPr>
              <w:pStyle w:val="TableParagraph"/>
              <w:spacing w:before="22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top-tier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under, 12– 15 words. Your original title was 16 words; the suggestions above range from 10 to 12 words.</w:t>
            </w:r>
          </w:p>
        </w:tc>
        <w:tc>
          <w:tcPr>
            <w:tcW w:w="4318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2DF" w:rsidRDefault="00FB72DF">
      <w:pPr>
        <w:pStyle w:val="TableParagraph"/>
        <w:rPr>
          <w:rFonts w:ascii="Times New Roman"/>
          <w:sz w:val="18"/>
        </w:rPr>
        <w:sectPr w:rsidR="00FB72DF">
          <w:pgSz w:w="16840" w:h="23820"/>
          <w:pgMar w:top="1700" w:right="1275" w:bottom="1620" w:left="1275" w:header="1284" w:footer="1427" w:gutter="0"/>
          <w:cols w:space="720"/>
        </w:sectPr>
      </w:pPr>
    </w:p>
    <w:p w:rsidR="00FB72DF" w:rsidRDefault="00FB72DF">
      <w:pPr>
        <w:pStyle w:val="BodyText"/>
        <w:spacing w:before="2"/>
        <w:rPr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FB72DF">
        <w:trPr>
          <w:trHeight w:val="7819"/>
        </w:trPr>
        <w:tc>
          <w:tcPr>
            <w:tcW w:w="3586" w:type="dxa"/>
          </w:tcPr>
          <w:p w:rsidR="00FB72DF" w:rsidRDefault="00A931F1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article </w:t>
            </w:r>
            <w:r>
              <w:rPr>
                <w:spacing w:val="-2"/>
                <w:sz w:val="20"/>
              </w:rPr>
              <w:t>comprehensive?</w:t>
            </w:r>
          </w:p>
          <w:p w:rsidR="00FB72DF" w:rsidRDefault="00FB72D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72DF" w:rsidRDefault="00A931F1">
            <w:pPr>
              <w:pStyle w:val="TableParagraph"/>
              <w:ind w:left="391" w:right="180"/>
              <w:rPr>
                <w:sz w:val="20"/>
              </w:rPr>
            </w:pPr>
            <w:r>
              <w:rPr>
                <w:sz w:val="20"/>
              </w:rPr>
              <w:t>If your answer is NO, please 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6272" w:type="dxa"/>
          </w:tcPr>
          <w:p w:rsidR="00FB72DF" w:rsidRDefault="00A931F1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Yes, to improvement a comprehensive abstract should act as a standalone summary that tells the reader exactly why the study was done, how it was conducted, what was found, and why it matters.</w:t>
            </w:r>
          </w:p>
          <w:p w:rsidR="00FB72DF" w:rsidRDefault="00A931F1">
            <w:pPr>
              <w:pStyle w:val="TableParagraph"/>
              <w:spacing w:before="229"/>
              <w:ind w:righ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feels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lacking,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likely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stronger "Problem-to-Solution" flow.</w:t>
            </w:r>
          </w:p>
          <w:p w:rsidR="00FB72DF" w:rsidRDefault="00A931F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"4-Sentence"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Framework</w:t>
            </w:r>
          </w:p>
          <w:p w:rsidR="00FB72DF" w:rsidRDefault="00A931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covers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everything,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marks:</w:t>
            </w:r>
          </w:p>
          <w:p w:rsidR="00FB72DF" w:rsidRDefault="00FB72D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72DF" w:rsidRDefault="00A931F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The Gap: Why is CSR in agriculture currently failing or under-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researched?</w:t>
            </w:r>
          </w:p>
          <w:p w:rsidR="00FB72DF" w:rsidRDefault="00A931F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The Approach: How did you conduct this review (e.g., analyzing case studies, comparing private vs. public models)?</w:t>
            </w:r>
          </w:p>
          <w:p w:rsidR="00FB72DF" w:rsidRDefault="00A931F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Finding: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services bridge the gap between CSR and farmer empowerment?</w:t>
            </w:r>
          </w:p>
          <w:p w:rsidR="00FB72DF" w:rsidRDefault="00A931F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Implication: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policymakers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corporations change their behavior based on your work?</w:t>
            </w:r>
          </w:p>
          <w:p w:rsidR="00FB72DF" w:rsidRDefault="00A931F1">
            <w:pPr>
              <w:pStyle w:val="TableParagraph"/>
              <w:spacing w:before="229"/>
              <w:jc w:val="both"/>
              <w:rPr>
                <w:sz w:val="20"/>
              </w:rPr>
            </w:pPr>
            <w:r>
              <w:rPr>
                <w:sz w:val="20"/>
              </w:rPr>
              <w:t>Suggested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Abstract</w:t>
            </w:r>
          </w:p>
          <w:p w:rsidR="00FB72DF" w:rsidRDefault="00A931F1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"Despite the growing investment in Corporate Social Responsibility (CSR) within the agricultural sector, the translation of these funds into sustainable farmer empowerment remains inconsistent. This article provides a comprehensive review of how agricultural extension services act as a critical intermediary in capacity building and resource dissemination. By evaluating various CSR-driven extension models, the study identifies that empowerment is most effective when technical training is paired with social capital development and long-term market access. The findings suggest that for CSR to move beyond 'philanthropy' to 'empowerment,' corporations must integrate participatory extension frameworks that prioritize farmer agency. This review offers a strategic roadmap for stakeholders to optimize CSR impact, ensuring more resilient and self-reliant farming communities."</w:t>
            </w:r>
          </w:p>
        </w:tc>
        <w:tc>
          <w:tcPr>
            <w:tcW w:w="4318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72DF">
        <w:trPr>
          <w:trHeight w:val="12421"/>
        </w:trPr>
        <w:tc>
          <w:tcPr>
            <w:tcW w:w="3586" w:type="dxa"/>
          </w:tcPr>
          <w:p w:rsidR="00FB72DF" w:rsidRDefault="00A931F1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scientifically </w:t>
            </w:r>
            <w:r>
              <w:rPr>
                <w:spacing w:val="-2"/>
                <w:sz w:val="20"/>
              </w:rPr>
              <w:t>correct?</w:t>
            </w:r>
          </w:p>
          <w:p w:rsidR="00FB72DF" w:rsidRDefault="00FB72DF">
            <w:pPr>
              <w:pStyle w:val="TableParagraph"/>
              <w:ind w:left="0"/>
              <w:rPr>
                <w:sz w:val="20"/>
              </w:rPr>
            </w:pPr>
          </w:p>
          <w:p w:rsidR="00FB72DF" w:rsidRDefault="00A931F1">
            <w:pPr>
              <w:pStyle w:val="TableParagraph"/>
              <w:ind w:left="391" w:right="180"/>
              <w:rPr>
                <w:sz w:val="20"/>
              </w:rPr>
            </w:pPr>
            <w:r>
              <w:rPr>
                <w:sz w:val="20"/>
              </w:rPr>
              <w:t>If your answer is NO, please 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6272" w:type="dxa"/>
          </w:tcPr>
          <w:p w:rsidR="00FB72DF" w:rsidRDefault="00A931F1">
            <w:pPr>
              <w:pStyle w:val="TableParagraph"/>
              <w:spacing w:before="230"/>
              <w:ind w:right="123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CSR in Agriculture and Extension Services, here is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checklist to ensure your work is scientifically sound:</w:t>
            </w:r>
          </w:p>
          <w:p w:rsidR="00FB72DF" w:rsidRDefault="00A931F1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29"/>
              <w:ind w:left="466" w:hanging="359"/>
              <w:rPr>
                <w:sz w:val="20"/>
              </w:rPr>
            </w:pPr>
            <w:r>
              <w:rPr>
                <w:spacing w:val="-2"/>
                <w:sz w:val="20"/>
              </w:rPr>
              <w:t>Theoretical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Grounding</w:t>
            </w:r>
          </w:p>
          <w:p w:rsidR="00FB72DF" w:rsidRDefault="00A931F1">
            <w:pPr>
              <w:pStyle w:val="TableParagraph"/>
              <w:ind w:left="468" w:righ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scientific </w:t>
            </w:r>
            <w:r>
              <w:rPr>
                <w:spacing w:val="-2"/>
                <w:sz w:val="20"/>
              </w:rPr>
              <w:t>frameworks?</w:t>
            </w:r>
          </w:p>
          <w:p w:rsidR="00FB72DF" w:rsidRDefault="00FB72D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B72DF" w:rsidRDefault="00A931F1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8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Social Capital Theory: Empowerment is scientifically linked to "social capital." Does your review discuss how extension 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(bonding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bridging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capital) among farmers?</w:t>
            </w:r>
          </w:p>
          <w:p w:rsidR="00FB72DF" w:rsidRDefault="00A931F1">
            <w:pPr>
              <w:pStyle w:val="TableParagraph"/>
              <w:spacing w:before="230"/>
              <w:ind w:left="468" w:right="107"/>
              <w:rPr>
                <w:sz w:val="20"/>
              </w:rPr>
            </w:pPr>
            <w:r>
              <w:rPr>
                <w:sz w:val="20"/>
              </w:rPr>
              <w:t>The Bottom-Up vs. Top-Down Model: A major scientific critique of CSR is that it is often "top-down" (corporates telling farmers 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robust,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argue for participatory extension models where farmers are co- creators of knowledge.</w:t>
            </w:r>
          </w:p>
          <w:p w:rsidR="00FB72DF" w:rsidRDefault="00A931F1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30"/>
              <w:ind w:left="466" w:hanging="359"/>
              <w:rPr>
                <w:sz w:val="20"/>
              </w:rPr>
            </w:pPr>
            <w:r>
              <w:rPr>
                <w:spacing w:val="-2"/>
                <w:sz w:val="20"/>
              </w:rPr>
              <w:t>Methodological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Rigor</w:t>
            </w:r>
          </w:p>
          <w:p w:rsidR="00FB72DF" w:rsidRDefault="00A931F1">
            <w:pPr>
              <w:pStyle w:val="TableParagraph"/>
              <w:ind w:left="468" w:right="107"/>
              <w:rPr>
                <w:sz w:val="20"/>
              </w:rPr>
            </w:pPr>
            <w:r>
              <w:rPr>
                <w:sz w:val="20"/>
              </w:rPr>
              <w:t>Since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"Review,"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depends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 how you selected your information:</w:t>
            </w:r>
          </w:p>
          <w:p w:rsidR="00FB72DF" w:rsidRDefault="00A931F1">
            <w:pPr>
              <w:pStyle w:val="TableParagraph"/>
              <w:spacing w:before="229"/>
              <w:ind w:left="468" w:right="107"/>
              <w:rPr>
                <w:sz w:val="20"/>
              </w:rPr>
            </w:pPr>
            <w:r>
              <w:rPr>
                <w:sz w:val="20"/>
              </w:rPr>
              <w:t>Objective Analysis: Do you acknowledge the "Greenwashing" risk?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limitations of CSR, such as its potential for being a PR tool rather than a genuine development strategy.</w:t>
            </w:r>
          </w:p>
          <w:p w:rsidR="00FB72DF" w:rsidRDefault="00A931F1">
            <w:pPr>
              <w:pStyle w:val="TableParagraph"/>
              <w:spacing w:before="230"/>
              <w:ind w:left="468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</w:t>
            </w:r>
          </w:p>
          <w:p w:rsidR="00FB72DF" w:rsidRDefault="00A931F1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"correct"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modern </w:t>
            </w:r>
            <w:r>
              <w:rPr>
                <w:spacing w:val="-2"/>
                <w:sz w:val="20"/>
              </w:rPr>
              <w:t>perspectives:</w:t>
            </w:r>
          </w:p>
          <w:p w:rsidR="00FB72DF" w:rsidRDefault="00FB72D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72DF" w:rsidRDefault="00A931F1">
            <w:pPr>
              <w:pStyle w:val="TableParagraph"/>
              <w:ind w:left="468" w:right="123"/>
              <w:rPr>
                <w:sz w:val="20"/>
              </w:rPr>
            </w:pPr>
            <w:r>
              <w:rPr>
                <w:sz w:val="20"/>
              </w:rPr>
              <w:t>Sustainability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ESG: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Climate- Smart Agriculture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(CSA)? 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modern </w:t>
            </w:r>
            <w:proofErr w:type="spellStart"/>
            <w:r>
              <w:rPr>
                <w:sz w:val="20"/>
              </w:rPr>
              <w:t>agri</w:t>
            </w:r>
            <w:proofErr w:type="spellEnd"/>
            <w:r>
              <w:rPr>
                <w:sz w:val="20"/>
              </w:rPr>
              <w:t>-CSR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now focuses on environmental sustainability alongside </w:t>
            </w:r>
            <w:r>
              <w:rPr>
                <w:spacing w:val="-2"/>
                <w:sz w:val="20"/>
              </w:rPr>
              <w:t>empowerment.</w:t>
            </w:r>
          </w:p>
          <w:p w:rsidR="00FB72DF" w:rsidRDefault="00A931F1">
            <w:pPr>
              <w:pStyle w:val="TableParagraph"/>
              <w:spacing w:before="230"/>
              <w:ind w:right="107"/>
              <w:rPr>
                <w:sz w:val="20"/>
              </w:rPr>
            </w:pPr>
            <w:r>
              <w:rPr>
                <w:sz w:val="20"/>
              </w:rPr>
              <w:t>Gender Dynamics: Scientifically, empowerment is not gender- neutral.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 the specific barriers faced by female smallholders?</w:t>
            </w:r>
          </w:p>
          <w:p w:rsidR="00FB72DF" w:rsidRDefault="00A931F1">
            <w:pPr>
              <w:pStyle w:val="TableParagraph"/>
              <w:spacing w:before="229"/>
              <w:ind w:right="174"/>
              <w:rPr>
                <w:sz w:val="20"/>
              </w:rPr>
            </w:pPr>
            <w:r>
              <w:rPr>
                <w:sz w:val="20"/>
              </w:rPr>
              <w:t>Digital Extension: Is the role of "Agri-Tech" (mobile apps, satellite data)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mentioned?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frontier in extension services.</w:t>
            </w:r>
          </w:p>
          <w:p w:rsidR="00FB72DF" w:rsidRDefault="00A931F1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Verdict</w:t>
            </w:r>
          </w:p>
          <w:p w:rsidR="00FB72DF" w:rsidRDefault="00A931F1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Your manuscript is theoretically correct if it treats "Extension Services"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mediator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farmer outcomes.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empirically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CSR has led to measurable increases in yield, income, or decision- making agency.</w:t>
            </w:r>
          </w:p>
        </w:tc>
        <w:tc>
          <w:tcPr>
            <w:tcW w:w="4318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2DF" w:rsidRDefault="00FB72DF">
      <w:pPr>
        <w:pStyle w:val="TableParagraph"/>
        <w:rPr>
          <w:rFonts w:ascii="Times New Roman"/>
          <w:sz w:val="18"/>
        </w:rPr>
        <w:sectPr w:rsidR="00FB72DF">
          <w:pgSz w:w="16840" w:h="23820"/>
          <w:pgMar w:top="1700" w:right="1275" w:bottom="1620" w:left="1275" w:header="1284" w:footer="1427" w:gutter="0"/>
          <w:cols w:space="720"/>
        </w:sectPr>
      </w:pPr>
    </w:p>
    <w:p w:rsidR="00FB72DF" w:rsidRDefault="00FB72DF">
      <w:pPr>
        <w:pStyle w:val="BodyText"/>
        <w:spacing w:before="2"/>
        <w:rPr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FB72DF">
        <w:trPr>
          <w:trHeight w:val="1840"/>
        </w:trPr>
        <w:tc>
          <w:tcPr>
            <w:tcW w:w="3586" w:type="dxa"/>
          </w:tcPr>
          <w:p w:rsidR="00FB72DF" w:rsidRDefault="00A931F1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recent?</w:t>
            </w:r>
          </w:p>
          <w:p w:rsidR="00FB72DF" w:rsidRDefault="00FB72D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72DF" w:rsidRDefault="00A931F1">
            <w:pPr>
              <w:pStyle w:val="TableParagraph"/>
              <w:ind w:left="468" w:right="595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please provide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:rsidR="00FB72DF" w:rsidRDefault="00A931F1">
            <w:pPr>
              <w:pStyle w:val="TableParagraph"/>
              <w:ind w:left="828" w:right="174"/>
              <w:rPr>
                <w:sz w:val="20"/>
              </w:rPr>
            </w:pPr>
            <w:r>
              <w:rPr>
                <w:sz w:val="20"/>
              </w:rPr>
              <w:t xml:space="preserve">No,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z w:val="20"/>
              </w:rPr>
              <w:t xml:space="preserve"> a review paper on CSR, Farmer Empowerment, and Extension Services, "sufficient and recent" usually 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30–50%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from the last 3–5 years (2021–2026).</w:t>
            </w:r>
          </w:p>
          <w:p w:rsidR="00FB72DF" w:rsidRDefault="00A931F1">
            <w:pPr>
              <w:pStyle w:val="TableParagraph"/>
              <w:spacing w:line="230" w:lineRule="exact"/>
              <w:ind w:left="828" w:right="174"/>
              <w:rPr>
                <w:sz w:val="20"/>
              </w:rPr>
            </w:pPr>
            <w:r>
              <w:rPr>
                <w:sz w:val="20"/>
              </w:rPr>
              <w:t>Since the landscape of agricultural technology and corporate ethics changes rapidly, your manuscript will appear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heavily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"classic"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CSR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 extension theories from the 1990s or early 2000s.</w:t>
            </w:r>
          </w:p>
        </w:tc>
        <w:tc>
          <w:tcPr>
            <w:tcW w:w="4318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2DF" w:rsidRDefault="00FB72DF">
      <w:pPr>
        <w:pStyle w:val="BodyText"/>
      </w:pPr>
    </w:p>
    <w:p w:rsidR="00FB72DF" w:rsidRDefault="00FB72DF">
      <w:pPr>
        <w:pStyle w:val="BodyText"/>
      </w:pPr>
    </w:p>
    <w:p w:rsidR="00FB72DF" w:rsidRDefault="00A931F1">
      <w:pPr>
        <w:pStyle w:val="BodyText"/>
        <w:spacing w:before="1"/>
        <w:ind w:left="556"/>
      </w:pPr>
      <w:r>
        <w:rPr>
          <w:u w:val="single"/>
        </w:rPr>
        <w:t>Editorial</w:t>
      </w:r>
      <w:r>
        <w:rPr>
          <w:spacing w:val="-9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7"/>
          <w:u w:val="single"/>
        </w:rPr>
        <w:t xml:space="preserve"> </w:t>
      </w:r>
      <w:r>
        <w:rPr>
          <w:u w:val="single"/>
        </w:rPr>
        <w:t>(This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7"/>
          <w:u w:val="single"/>
        </w:rPr>
        <w:t xml:space="preserve"> </w:t>
      </w:r>
      <w:r>
        <w:rPr>
          <w:u w:val="single"/>
        </w:rPr>
        <w:t>reserved</w:t>
      </w:r>
      <w:r>
        <w:rPr>
          <w:spacing w:val="-9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7"/>
          <w:u w:val="single"/>
        </w:rPr>
        <w:t xml:space="preserve"> </w:t>
      </w:r>
      <w:r>
        <w:rPr>
          <w:u w:val="single"/>
        </w:rPr>
        <w:t>from</w:t>
      </w:r>
      <w:r>
        <w:rPr>
          <w:spacing w:val="-7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9"/>
          <w:u w:val="single"/>
        </w:rPr>
        <w:t xml:space="preserve"> </w:t>
      </w:r>
      <w:r>
        <w:rPr>
          <w:u w:val="single"/>
        </w:rPr>
        <w:t>editorial</w:t>
      </w:r>
      <w:r>
        <w:rPr>
          <w:spacing w:val="1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editors):</w:t>
      </w:r>
    </w:p>
    <w:p w:rsidR="00FB72DF" w:rsidRDefault="00FB72DF">
      <w:pPr>
        <w:pStyle w:val="BodyText"/>
        <w:spacing w:before="10"/>
        <w:rPr>
          <w:sz w:val="19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0"/>
        <w:gridCol w:w="5244"/>
      </w:tblGrid>
      <w:tr w:rsidR="00FB72DF">
        <w:trPr>
          <w:trHeight w:val="230"/>
        </w:trPr>
        <w:tc>
          <w:tcPr>
            <w:tcW w:w="7940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44" w:type="dxa"/>
          </w:tcPr>
          <w:p w:rsidR="00FB72DF" w:rsidRDefault="00A931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FB72DF">
        <w:trPr>
          <w:trHeight w:val="921"/>
        </w:trPr>
        <w:tc>
          <w:tcPr>
            <w:tcW w:w="7940" w:type="dxa"/>
          </w:tcPr>
          <w:p w:rsidR="000A1C98" w:rsidRDefault="000A1C98" w:rsidP="000A1C9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Balanced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(Recommended)</w:t>
            </w:r>
          </w:p>
          <w:p w:rsidR="00FB72DF" w:rsidRDefault="000A1C98" w:rsidP="000A1C9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>"This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 often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overlooked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agricultural development: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extension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CSR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initiatives.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CSR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synthesizes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are—or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not—effectively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translated into genuine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farmer agency.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journal's focus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[Insert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Focus,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Development/Sustainability],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timely framework for evaluating the shift from corporate philanthropy to sustainable empowerment.</w:t>
            </w:r>
          </w:p>
        </w:tc>
        <w:tc>
          <w:tcPr>
            <w:tcW w:w="5244" w:type="dxa"/>
          </w:tcPr>
          <w:p w:rsidR="00FB72DF" w:rsidRDefault="00FB72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B72DF" w:rsidRDefault="00FB72DF">
      <w:pPr>
        <w:pStyle w:val="TableParagraph"/>
        <w:rPr>
          <w:rFonts w:ascii="Times New Roman"/>
          <w:sz w:val="18"/>
        </w:rPr>
        <w:sectPr w:rsidR="00FB72DF">
          <w:pgSz w:w="16840" w:h="23820"/>
          <w:pgMar w:top="1700" w:right="1275" w:bottom="1620" w:left="1275" w:header="1284" w:footer="142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ED6C8E" w:rsidRPr="00ED6C8E" w:rsidTr="0010053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D6C8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ED6C8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D6C8E" w:rsidRPr="00ED6C8E" w:rsidTr="0010053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8E" w:rsidRPr="00ED6C8E" w:rsidRDefault="00ED6C8E" w:rsidP="00ED6C8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6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D6C8E" w:rsidRPr="00ED6C8E" w:rsidRDefault="00ED6C8E" w:rsidP="00ED6C8E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6C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6C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6C8E" w:rsidRPr="00ED6C8E" w:rsidRDefault="00ED6C8E" w:rsidP="00ED6C8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D6C8E" w:rsidRPr="00ED6C8E" w:rsidTr="0010053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D6C8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D6C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D6C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D6C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D6C8E" w:rsidRPr="00ED6C8E" w:rsidRDefault="00ED6C8E" w:rsidP="00ED6C8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D6C8E" w:rsidRPr="00ED6C8E" w:rsidRDefault="00ED6C8E" w:rsidP="00ED6C8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D6C8E" w:rsidRPr="00ED6C8E" w:rsidRDefault="00ED6C8E" w:rsidP="00ED6C8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BF53CF" w:rsidRPr="00A75BF5" w:rsidRDefault="00BF53CF" w:rsidP="00BF53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75BF5">
        <w:rPr>
          <w:rFonts w:ascii="Arial" w:hAnsi="Arial" w:cs="Arial"/>
          <w:b/>
          <w:u w:val="single"/>
        </w:rPr>
        <w:t>Reviewer details:</w:t>
      </w:r>
    </w:p>
    <w:p w:rsidR="00BF53CF" w:rsidRPr="00A75BF5" w:rsidRDefault="00BF53CF" w:rsidP="00BF53C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F53CF" w:rsidRDefault="00BF53CF" w:rsidP="00BF53CF">
      <w:proofErr w:type="spellStart"/>
      <w:r w:rsidRPr="00A75BF5">
        <w:rPr>
          <w:rFonts w:ascii="Calibri" w:hAnsi="Calibri" w:cs="Calibri"/>
          <w:color w:val="000000"/>
        </w:rPr>
        <w:t>Padlah</w:t>
      </w:r>
      <w:proofErr w:type="spellEnd"/>
      <w:r w:rsidRPr="00A75BF5">
        <w:rPr>
          <w:rFonts w:ascii="Calibri" w:hAnsi="Calibri" w:cs="Calibri"/>
          <w:color w:val="000000"/>
        </w:rPr>
        <w:t xml:space="preserve"> </w:t>
      </w:r>
      <w:proofErr w:type="spellStart"/>
      <w:r w:rsidRPr="00A75BF5">
        <w:rPr>
          <w:rFonts w:ascii="Calibri" w:hAnsi="Calibri" w:cs="Calibri"/>
          <w:color w:val="000000"/>
        </w:rPr>
        <w:t>Riyadi</w:t>
      </w:r>
      <w:proofErr w:type="spellEnd"/>
      <w:r w:rsidRPr="00A75BF5">
        <w:rPr>
          <w:rFonts w:ascii="Calibri" w:hAnsi="Calibri" w:cs="Calibri"/>
          <w:color w:val="000000"/>
        </w:rPr>
        <w:t>., Open University, Indonesia</w:t>
      </w:r>
      <w:r w:rsidRPr="00A75BF5">
        <w:rPr>
          <w:rFonts w:ascii="Calibri" w:hAnsi="Calibri" w:cs="Calibri"/>
          <w:color w:val="000000"/>
        </w:rPr>
        <w:br/>
      </w:r>
    </w:p>
    <w:p w:rsidR="00A931F1" w:rsidRDefault="00A931F1">
      <w:bookmarkStart w:id="2" w:name="_GoBack"/>
      <w:bookmarkEnd w:id="2"/>
    </w:p>
    <w:sectPr w:rsidR="00A931F1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3CB" w:rsidRDefault="007743CB">
      <w:r>
        <w:separator/>
      </w:r>
    </w:p>
  </w:endnote>
  <w:endnote w:type="continuationSeparator" w:id="0">
    <w:p w:rsidR="007743CB" w:rsidRDefault="0077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2DF" w:rsidRDefault="00A931F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00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72DF" w:rsidRDefault="00A931F1">
                          <w:pPr>
                            <w:spacing w:before="10"/>
                            <w:ind w:left="180" w:right="18" w:hanging="161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ED6C8E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ED6C8E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FB72DF" w:rsidRDefault="00A931F1">
                    <w:pPr>
                      <w:spacing w:before="10"/>
                      <w:ind w:left="180" w:right="18" w:hanging="16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ED6C8E">
                      <w:rPr>
                        <w:rFonts w:ascii="Times New Roman"/>
                        <w:b/>
                        <w:noProof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ED6C8E">
                      <w:rPr>
                        <w:rFonts w:ascii="Times New Roman"/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3CB" w:rsidRDefault="007743CB">
      <w:r>
        <w:separator/>
      </w:r>
    </w:p>
  </w:footnote>
  <w:footnote w:type="continuationSeparator" w:id="0">
    <w:p w:rsidR="007743CB" w:rsidRDefault="0077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2DF" w:rsidRDefault="00A931F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9552" behindDoc="1" locked="0" layoutInCell="1" allowOverlap="1">
              <wp:simplePos x="0" y="0"/>
              <wp:positionH relativeFrom="page">
                <wp:posOffset>4690998</wp:posOffset>
              </wp:positionH>
              <wp:positionV relativeFrom="page">
                <wp:posOffset>802430</wp:posOffset>
              </wp:positionV>
              <wp:extent cx="130810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72DF" w:rsidRDefault="00A931F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000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8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35pt;margin-top:63.2pt;width:103pt;height:13.1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" filled="f" stroked="f">
              <v:textbox inset="0,0,0,0">
                <w:txbxContent>
                  <w:p w:rsidR="00FB72DF" w:rsidRDefault="00A931F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000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8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6EF"/>
    <w:multiLevelType w:val="hybridMultilevel"/>
    <w:tmpl w:val="23D8925E"/>
    <w:lvl w:ilvl="0" w:tplc="9A622CE6">
      <w:start w:val="1"/>
      <w:numFmt w:val="decimal"/>
      <w:lvlText w:val="%1)"/>
      <w:lvlJc w:val="left"/>
      <w:pPr>
        <w:ind w:left="46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FEE3DE2">
      <w:numFmt w:val="bullet"/>
      <w:lvlText w:val="•"/>
      <w:lvlJc w:val="left"/>
      <w:pPr>
        <w:ind w:left="1040" w:hanging="361"/>
      </w:pPr>
      <w:rPr>
        <w:rFonts w:hint="default"/>
        <w:lang w:val="en-US" w:eastAsia="en-US" w:bidi="ar-SA"/>
      </w:rPr>
    </w:lvl>
    <w:lvl w:ilvl="2" w:tplc="67463EBA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3" w:tplc="BAA4DF32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4" w:tplc="2EDADBC2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5" w:tplc="5ECE6EA2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6" w:tplc="B20E3534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  <w:lvl w:ilvl="7" w:tplc="6A28F8DA">
      <w:numFmt w:val="bullet"/>
      <w:lvlText w:val="•"/>
      <w:lvlJc w:val="left"/>
      <w:pPr>
        <w:ind w:left="4521" w:hanging="361"/>
      </w:pPr>
      <w:rPr>
        <w:rFonts w:hint="default"/>
        <w:lang w:val="en-US" w:eastAsia="en-US" w:bidi="ar-SA"/>
      </w:rPr>
    </w:lvl>
    <w:lvl w:ilvl="8" w:tplc="785AA842">
      <w:numFmt w:val="bullet"/>
      <w:lvlText w:val="•"/>
      <w:lvlJc w:val="left"/>
      <w:pPr>
        <w:ind w:left="510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7F2C3E"/>
    <w:multiLevelType w:val="hybridMultilevel"/>
    <w:tmpl w:val="F13409E0"/>
    <w:lvl w:ilvl="0" w:tplc="2FAAD342">
      <w:start w:val="1"/>
      <w:numFmt w:val="decimal"/>
      <w:lvlText w:val="%1."/>
      <w:lvlJc w:val="left"/>
      <w:pPr>
        <w:ind w:left="46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97CFEC6">
      <w:numFmt w:val="bullet"/>
      <w:lvlText w:val="•"/>
      <w:lvlJc w:val="left"/>
      <w:pPr>
        <w:ind w:left="1040" w:hanging="361"/>
      </w:pPr>
      <w:rPr>
        <w:rFonts w:hint="default"/>
        <w:lang w:val="en-US" w:eastAsia="en-US" w:bidi="ar-SA"/>
      </w:rPr>
    </w:lvl>
    <w:lvl w:ilvl="2" w:tplc="92DEDE52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3" w:tplc="7B36557E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4" w:tplc="2A7AE7B6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5" w:tplc="DB085624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6" w:tplc="3670E952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  <w:lvl w:ilvl="7" w:tplc="7FCE7892">
      <w:numFmt w:val="bullet"/>
      <w:lvlText w:val="•"/>
      <w:lvlJc w:val="left"/>
      <w:pPr>
        <w:ind w:left="4521" w:hanging="361"/>
      </w:pPr>
      <w:rPr>
        <w:rFonts w:hint="default"/>
        <w:lang w:val="en-US" w:eastAsia="en-US" w:bidi="ar-SA"/>
      </w:rPr>
    </w:lvl>
    <w:lvl w:ilvl="8" w:tplc="FBFA4D14">
      <w:numFmt w:val="bullet"/>
      <w:lvlText w:val="•"/>
      <w:lvlJc w:val="left"/>
      <w:pPr>
        <w:ind w:left="510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1E9429C"/>
    <w:multiLevelType w:val="hybridMultilevel"/>
    <w:tmpl w:val="54E43A02"/>
    <w:lvl w:ilvl="0" w:tplc="D35CFC38">
      <w:start w:val="1"/>
      <w:numFmt w:val="decimal"/>
      <w:lvlText w:val="%1."/>
      <w:lvlJc w:val="left"/>
      <w:pPr>
        <w:ind w:left="385" w:hanging="221"/>
      </w:pPr>
      <w:rPr>
        <w:rFonts w:hint="default"/>
        <w:spacing w:val="0"/>
        <w:w w:val="99"/>
        <w:lang w:val="en-US" w:eastAsia="en-US" w:bidi="ar-SA"/>
      </w:rPr>
    </w:lvl>
    <w:lvl w:ilvl="1" w:tplc="952EA972">
      <w:numFmt w:val="bullet"/>
      <w:lvlText w:val="•"/>
      <w:lvlJc w:val="left"/>
      <w:pPr>
        <w:ind w:left="1770" w:hanging="221"/>
      </w:pPr>
      <w:rPr>
        <w:rFonts w:hint="default"/>
        <w:lang w:val="en-US" w:eastAsia="en-US" w:bidi="ar-SA"/>
      </w:rPr>
    </w:lvl>
    <w:lvl w:ilvl="2" w:tplc="117AFB26">
      <w:numFmt w:val="bullet"/>
      <w:lvlText w:val="•"/>
      <w:lvlJc w:val="left"/>
      <w:pPr>
        <w:ind w:left="3161" w:hanging="221"/>
      </w:pPr>
      <w:rPr>
        <w:rFonts w:hint="default"/>
        <w:lang w:val="en-US" w:eastAsia="en-US" w:bidi="ar-SA"/>
      </w:rPr>
    </w:lvl>
    <w:lvl w:ilvl="3" w:tplc="92E8676E">
      <w:numFmt w:val="bullet"/>
      <w:lvlText w:val="•"/>
      <w:lvlJc w:val="left"/>
      <w:pPr>
        <w:ind w:left="4552" w:hanging="221"/>
      </w:pPr>
      <w:rPr>
        <w:rFonts w:hint="default"/>
        <w:lang w:val="en-US" w:eastAsia="en-US" w:bidi="ar-SA"/>
      </w:rPr>
    </w:lvl>
    <w:lvl w:ilvl="4" w:tplc="7DE0919E">
      <w:numFmt w:val="bullet"/>
      <w:lvlText w:val="•"/>
      <w:lvlJc w:val="left"/>
      <w:pPr>
        <w:ind w:left="5943" w:hanging="221"/>
      </w:pPr>
      <w:rPr>
        <w:rFonts w:hint="default"/>
        <w:lang w:val="en-US" w:eastAsia="en-US" w:bidi="ar-SA"/>
      </w:rPr>
    </w:lvl>
    <w:lvl w:ilvl="5" w:tplc="05003E0E">
      <w:numFmt w:val="bullet"/>
      <w:lvlText w:val="•"/>
      <w:lvlJc w:val="left"/>
      <w:pPr>
        <w:ind w:left="7334" w:hanging="221"/>
      </w:pPr>
      <w:rPr>
        <w:rFonts w:hint="default"/>
        <w:lang w:val="en-US" w:eastAsia="en-US" w:bidi="ar-SA"/>
      </w:rPr>
    </w:lvl>
    <w:lvl w:ilvl="6" w:tplc="0B9EF4B4">
      <w:numFmt w:val="bullet"/>
      <w:lvlText w:val="•"/>
      <w:lvlJc w:val="left"/>
      <w:pPr>
        <w:ind w:left="8725" w:hanging="221"/>
      </w:pPr>
      <w:rPr>
        <w:rFonts w:hint="default"/>
        <w:lang w:val="en-US" w:eastAsia="en-US" w:bidi="ar-SA"/>
      </w:rPr>
    </w:lvl>
    <w:lvl w:ilvl="7" w:tplc="3F921F8A">
      <w:numFmt w:val="bullet"/>
      <w:lvlText w:val="•"/>
      <w:lvlJc w:val="left"/>
      <w:pPr>
        <w:ind w:left="10115" w:hanging="221"/>
      </w:pPr>
      <w:rPr>
        <w:rFonts w:hint="default"/>
        <w:lang w:val="en-US" w:eastAsia="en-US" w:bidi="ar-SA"/>
      </w:rPr>
    </w:lvl>
    <w:lvl w:ilvl="8" w:tplc="4248539E">
      <w:numFmt w:val="bullet"/>
      <w:lvlText w:val="•"/>
      <w:lvlJc w:val="left"/>
      <w:pPr>
        <w:ind w:left="11506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48383E0E"/>
    <w:multiLevelType w:val="hybridMultilevel"/>
    <w:tmpl w:val="CE5672C0"/>
    <w:lvl w:ilvl="0" w:tplc="BCC08496">
      <w:start w:val="1"/>
      <w:numFmt w:val="decimal"/>
      <w:lvlText w:val="%1)"/>
      <w:lvlJc w:val="left"/>
      <w:pPr>
        <w:ind w:left="46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7B837EC">
      <w:numFmt w:val="bullet"/>
      <w:lvlText w:val="•"/>
      <w:lvlJc w:val="left"/>
      <w:pPr>
        <w:ind w:left="1040" w:hanging="361"/>
      </w:pPr>
      <w:rPr>
        <w:rFonts w:hint="default"/>
        <w:lang w:val="en-US" w:eastAsia="en-US" w:bidi="ar-SA"/>
      </w:rPr>
    </w:lvl>
    <w:lvl w:ilvl="2" w:tplc="E6C8142C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3" w:tplc="1B12FABC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4" w:tplc="B77EDB10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5" w:tplc="7A860648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6" w:tplc="65AAAF8A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  <w:lvl w:ilvl="7" w:tplc="D3FC098C">
      <w:numFmt w:val="bullet"/>
      <w:lvlText w:val="•"/>
      <w:lvlJc w:val="left"/>
      <w:pPr>
        <w:ind w:left="4521" w:hanging="361"/>
      </w:pPr>
      <w:rPr>
        <w:rFonts w:hint="default"/>
        <w:lang w:val="en-US" w:eastAsia="en-US" w:bidi="ar-SA"/>
      </w:rPr>
    </w:lvl>
    <w:lvl w:ilvl="8" w:tplc="AE78DCE0">
      <w:numFmt w:val="bullet"/>
      <w:lvlText w:val="•"/>
      <w:lvlJc w:val="left"/>
      <w:pPr>
        <w:ind w:left="5101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2DF"/>
    <w:rsid w:val="000A1C98"/>
    <w:rsid w:val="00605526"/>
    <w:rsid w:val="007743CB"/>
    <w:rsid w:val="00930C3D"/>
    <w:rsid w:val="00A931F1"/>
    <w:rsid w:val="00AF18D9"/>
    <w:rsid w:val="00BF53CF"/>
    <w:rsid w:val="00ED6C8E"/>
    <w:rsid w:val="00F3693C"/>
    <w:rsid w:val="00FB590B"/>
    <w:rsid w:val="00FB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99AE"/>
  <w15:docId w15:val="{DEE03110-26AA-4DF5-AF49-C04F6226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5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BF53CF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1602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8</cp:revision>
  <dcterms:created xsi:type="dcterms:W3CDTF">2026-03-26T07:18:00Z</dcterms:created>
  <dcterms:modified xsi:type="dcterms:W3CDTF">2026-03-30T06:04:00Z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LTSC</vt:lpwstr>
  </property>
</Properties>
</file>