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2799" w14:textId="642DA28D" w:rsidR="005D1768" w:rsidRDefault="005D1768" w:rsidP="005D1768">
      <w:pPr>
        <w:jc w:val="center"/>
        <w:rPr>
          <w:rFonts w:ascii="Times New Roman" w:hAnsi="Times New Roman" w:cs="Times New Roman"/>
          <w:b/>
          <w:sz w:val="28"/>
          <w:szCs w:val="24"/>
        </w:rPr>
      </w:pPr>
      <w:r w:rsidRPr="005D1768">
        <w:rPr>
          <w:rFonts w:ascii="Times New Roman" w:hAnsi="Times New Roman" w:cs="Times New Roman"/>
          <w:b/>
          <w:sz w:val="28"/>
          <w:szCs w:val="24"/>
        </w:rPr>
        <w:t>Employability Skills and Career Preparedness among College Students in Nagaland: An Empirical Study</w:t>
      </w:r>
    </w:p>
    <w:p w14:paraId="19A6943F" w14:textId="77777777" w:rsidR="001753FA" w:rsidRDefault="001753FA" w:rsidP="001753FA">
      <w:pPr>
        <w:shd w:val="clear" w:color="auto" w:fill="FFFFFF"/>
        <w:spacing w:after="0" w:line="235" w:lineRule="atLeast"/>
        <w:rPr>
          <w:rFonts w:ascii="Times New Roman" w:eastAsia="Times New Roman" w:hAnsi="Times New Roman" w:cs="Times New Roman"/>
          <w:b/>
          <w:bCs/>
          <w:color w:val="000000"/>
          <w:sz w:val="26"/>
          <w:szCs w:val="26"/>
        </w:rPr>
      </w:pPr>
    </w:p>
    <w:p w14:paraId="45C1EE8A" w14:textId="3BE8EC84" w:rsidR="005D1768" w:rsidRDefault="005D1768" w:rsidP="005D1768">
      <w:pPr>
        <w:jc w:val="center"/>
        <w:rPr>
          <w:rFonts w:ascii="Times New Roman" w:hAnsi="Times New Roman" w:cs="Times New Roman"/>
          <w:b/>
          <w:sz w:val="28"/>
          <w:szCs w:val="24"/>
        </w:rPr>
      </w:pPr>
      <w:bookmarkStart w:id="0" w:name="_GoBack"/>
      <w:bookmarkEnd w:id="0"/>
    </w:p>
    <w:p w14:paraId="77A56734" w14:textId="6EF6A50C" w:rsidR="005D1768" w:rsidRPr="005D1768" w:rsidRDefault="005D1768" w:rsidP="005D1768">
      <w:pPr>
        <w:jc w:val="both"/>
        <w:rPr>
          <w:rFonts w:ascii="Times New Roman" w:hAnsi="Times New Roman" w:cs="Times New Roman"/>
          <w:b/>
          <w:sz w:val="24"/>
          <w:szCs w:val="24"/>
        </w:rPr>
      </w:pPr>
      <w:r w:rsidRPr="005D1768">
        <w:rPr>
          <w:rFonts w:ascii="Times New Roman" w:hAnsi="Times New Roman" w:cs="Times New Roman"/>
          <w:b/>
          <w:sz w:val="24"/>
          <w:szCs w:val="24"/>
        </w:rPr>
        <w:t>Abstract</w:t>
      </w:r>
    </w:p>
    <w:p w14:paraId="71C64942" w14:textId="3E8FF8EC" w:rsidR="005D1768" w:rsidRPr="005D1768" w:rsidRDefault="0097764F" w:rsidP="005D1768">
      <w:pPr>
        <w:jc w:val="both"/>
        <w:rPr>
          <w:rFonts w:ascii="Times New Roman" w:hAnsi="Times New Roman" w:cs="Times New Roman"/>
          <w:sz w:val="24"/>
          <w:szCs w:val="24"/>
        </w:rPr>
      </w:pPr>
      <w:r w:rsidRPr="0097764F">
        <w:rPr>
          <w:rFonts w:ascii="Times New Roman" w:hAnsi="Times New Roman" w:cs="Times New Roman"/>
          <w:sz w:val="24"/>
          <w:szCs w:val="24"/>
        </w:rPr>
        <w:t>In recent years, the gap between higher education and employment has substantially widened, which has led to an increased focus on students</w:t>
      </w:r>
      <w:r w:rsidR="006205F9">
        <w:rPr>
          <w:rFonts w:ascii="Times New Roman" w:hAnsi="Times New Roman" w:cs="Times New Roman"/>
          <w:sz w:val="24"/>
          <w:szCs w:val="24"/>
        </w:rPr>
        <w:t>’</w:t>
      </w:r>
      <w:r w:rsidRPr="0097764F">
        <w:rPr>
          <w:rFonts w:ascii="Times New Roman" w:hAnsi="Times New Roman" w:cs="Times New Roman"/>
          <w:sz w:val="24"/>
          <w:szCs w:val="24"/>
        </w:rPr>
        <w:t xml:space="preserve"> employability skills and readiness for the career world. In particular, this study measures the actual level of employability skills and career readiness of college students in Nagaland and explores how these two factors are related to each other. To conduct this research, the authors structured a questionnaire and employed a 5-point Likert scale to gather primary data from a sample of 269 students. The data was then analyzed using descriptive statistics and Pearson</w:t>
      </w:r>
      <w:r w:rsidR="006205F9">
        <w:rPr>
          <w:rFonts w:ascii="Times New Roman" w:hAnsi="Times New Roman" w:cs="Times New Roman"/>
          <w:sz w:val="24"/>
          <w:szCs w:val="24"/>
        </w:rPr>
        <w:t>’</w:t>
      </w:r>
      <w:r w:rsidRPr="0097764F">
        <w:rPr>
          <w:rFonts w:ascii="Times New Roman" w:hAnsi="Times New Roman" w:cs="Times New Roman"/>
          <w:sz w:val="24"/>
          <w:szCs w:val="24"/>
        </w:rPr>
        <w:t>s correlation method. The results clearly show that students as a whole have an average level of both employability skills and career preparedness. Moreover, the study reveals that employability skills and career preparedness are positively and significantly correlated (r = 0. 64, p &lt; 0. 01). That means students who possess better employability skills tend to have higher levels of career readiness. This paper underlines that, to a great extent, universities and colleges should focus on offering skill-oriented courses, practical training, and career guidance programs as a means of improving their students</w:t>
      </w:r>
      <w:r w:rsidR="006205F9">
        <w:rPr>
          <w:rFonts w:ascii="Times New Roman" w:hAnsi="Times New Roman" w:cs="Times New Roman"/>
          <w:sz w:val="24"/>
          <w:szCs w:val="24"/>
        </w:rPr>
        <w:t>’</w:t>
      </w:r>
      <w:r w:rsidRPr="0097764F">
        <w:rPr>
          <w:rFonts w:ascii="Times New Roman" w:hAnsi="Times New Roman" w:cs="Times New Roman"/>
          <w:sz w:val="24"/>
          <w:szCs w:val="24"/>
        </w:rPr>
        <w:t xml:space="preserve"> employability and getting them ready for the labor market</w:t>
      </w:r>
      <w:r w:rsidR="005D1768" w:rsidRPr="005D1768">
        <w:rPr>
          <w:rFonts w:ascii="Times New Roman" w:hAnsi="Times New Roman" w:cs="Times New Roman"/>
          <w:sz w:val="24"/>
          <w:szCs w:val="24"/>
        </w:rPr>
        <w:t>.</w:t>
      </w:r>
    </w:p>
    <w:p w14:paraId="4EB54F5C" w14:textId="77777777" w:rsidR="005D1768" w:rsidRDefault="005D1768" w:rsidP="005D1768">
      <w:pPr>
        <w:jc w:val="both"/>
        <w:rPr>
          <w:rFonts w:ascii="Times New Roman" w:hAnsi="Times New Roman" w:cs="Times New Roman"/>
          <w:sz w:val="24"/>
          <w:szCs w:val="24"/>
        </w:rPr>
      </w:pPr>
    </w:p>
    <w:p w14:paraId="07EABA39" w14:textId="0A595E0A" w:rsidR="005D1768" w:rsidRPr="005D1768" w:rsidRDefault="005D1768" w:rsidP="005D1768">
      <w:pPr>
        <w:jc w:val="both"/>
        <w:rPr>
          <w:rFonts w:ascii="Times New Roman" w:hAnsi="Times New Roman" w:cs="Times New Roman"/>
          <w:sz w:val="24"/>
          <w:szCs w:val="24"/>
        </w:rPr>
      </w:pPr>
      <w:r w:rsidRPr="005D1768">
        <w:rPr>
          <w:rFonts w:ascii="Times New Roman" w:hAnsi="Times New Roman" w:cs="Times New Roman"/>
          <w:b/>
          <w:sz w:val="24"/>
          <w:szCs w:val="24"/>
        </w:rPr>
        <w:t>Keywords:</w:t>
      </w:r>
      <w:r w:rsidRPr="005D1768">
        <w:rPr>
          <w:rFonts w:ascii="Times New Roman" w:hAnsi="Times New Roman" w:cs="Times New Roman"/>
          <w:sz w:val="24"/>
          <w:szCs w:val="24"/>
        </w:rPr>
        <w:t xml:space="preserve"> Employability Skills, Career Preparedness, Higher Education, College Students</w:t>
      </w:r>
    </w:p>
    <w:p w14:paraId="36A876C0" w14:textId="77777777" w:rsidR="005D1768" w:rsidRPr="005D1768" w:rsidRDefault="005D1768" w:rsidP="005D1768">
      <w:pPr>
        <w:jc w:val="both"/>
        <w:rPr>
          <w:rFonts w:ascii="Times New Roman" w:hAnsi="Times New Roman" w:cs="Times New Roman"/>
          <w:b/>
          <w:sz w:val="28"/>
          <w:szCs w:val="24"/>
        </w:rPr>
      </w:pPr>
    </w:p>
    <w:p w14:paraId="0059354C" w14:textId="7D75A9F5" w:rsidR="00AC4CE0" w:rsidRPr="00A71CA1"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 Introduction</w:t>
      </w:r>
    </w:p>
    <w:p w14:paraId="459126BD" w14:textId="43C62523" w:rsidR="00AC4CE0" w:rsidRPr="00AC4CE0" w:rsidRDefault="00681938" w:rsidP="006205F9">
      <w:pPr>
        <w:jc w:val="both"/>
        <w:rPr>
          <w:rFonts w:ascii="Times New Roman" w:hAnsi="Times New Roman" w:cs="Times New Roman"/>
          <w:sz w:val="24"/>
          <w:szCs w:val="24"/>
        </w:rPr>
      </w:pPr>
      <w:r w:rsidRPr="00681938">
        <w:rPr>
          <w:rFonts w:ascii="Times New Roman" w:hAnsi="Times New Roman" w:cs="Times New Roman"/>
          <w:sz w:val="24"/>
          <w:szCs w:val="24"/>
        </w:rPr>
        <w:t>The transition from higher education to the job market has been a major concern for a long time, especially in many developing parts of the world where graduates are having a very hard time finding jobs that really suit their qualifications. While the possession of knowledge through education is extremely important, employers nowadays tend to give a greater weight to a number of transferable skills such as communication, teamwork problem-solving, adaptability, and decision-making. These are the skills that form the core of what is generally called employability skills, and they are considered to be very important in enhancing a person</w:t>
      </w:r>
      <w:r w:rsidR="006205F9">
        <w:rPr>
          <w:rFonts w:ascii="Times New Roman" w:hAnsi="Times New Roman" w:cs="Times New Roman"/>
          <w:sz w:val="24"/>
          <w:szCs w:val="24"/>
        </w:rPr>
        <w:t>’</w:t>
      </w:r>
      <w:r w:rsidRPr="00681938">
        <w:rPr>
          <w:rFonts w:ascii="Times New Roman" w:hAnsi="Times New Roman" w:cs="Times New Roman"/>
          <w:sz w:val="24"/>
          <w:szCs w:val="24"/>
        </w:rPr>
        <w:t>s ability to find, perform, and retain a job in the labor market that is highly competitive today. Besides that, the concept of career preparation has become a major element in measuring students</w:t>
      </w:r>
      <w:r w:rsidR="006205F9">
        <w:rPr>
          <w:rFonts w:ascii="Times New Roman" w:hAnsi="Times New Roman" w:cs="Times New Roman"/>
          <w:sz w:val="24"/>
          <w:szCs w:val="24"/>
        </w:rPr>
        <w:t>’</w:t>
      </w:r>
      <w:r w:rsidRPr="00681938">
        <w:rPr>
          <w:rFonts w:ascii="Times New Roman" w:hAnsi="Times New Roman" w:cs="Times New Roman"/>
          <w:sz w:val="24"/>
          <w:szCs w:val="24"/>
        </w:rPr>
        <w:t xml:space="preserve"> readiness for work. Being prepared for one</w:t>
      </w:r>
      <w:r w:rsidR="006205F9">
        <w:rPr>
          <w:rFonts w:ascii="Times New Roman" w:hAnsi="Times New Roman" w:cs="Times New Roman"/>
          <w:sz w:val="24"/>
          <w:szCs w:val="24"/>
        </w:rPr>
        <w:t>’</w:t>
      </w:r>
      <w:r w:rsidRPr="00681938">
        <w:rPr>
          <w:rFonts w:ascii="Times New Roman" w:hAnsi="Times New Roman" w:cs="Times New Roman"/>
          <w:sz w:val="24"/>
          <w:szCs w:val="24"/>
        </w:rPr>
        <w:t>s career is not just about having knowledge of what types of jobs exist; it also means being psychologically and emotionally prepared, having well-defined career goals, and being able to deal with work-related issues. However, a lot of students, even after they have met the academic requirements, do not get enough experiential learning, exposure to industries, and career guidance, which may eventually affect their readiness for employment</w:t>
      </w:r>
      <w:r w:rsidR="00AC4CE0" w:rsidRPr="00AC4CE0">
        <w:rPr>
          <w:rFonts w:ascii="Times New Roman" w:hAnsi="Times New Roman" w:cs="Times New Roman"/>
          <w:sz w:val="24"/>
          <w:szCs w:val="24"/>
        </w:rPr>
        <w:t>.</w:t>
      </w:r>
    </w:p>
    <w:p w14:paraId="5CD3E316" w14:textId="4ABEFF97" w:rsidR="00AC4CE0" w:rsidRPr="00AC4CE0" w:rsidRDefault="00681938" w:rsidP="00AC4CE0">
      <w:pPr>
        <w:jc w:val="both"/>
        <w:rPr>
          <w:rFonts w:ascii="Times New Roman" w:hAnsi="Times New Roman" w:cs="Times New Roman"/>
          <w:sz w:val="24"/>
          <w:szCs w:val="24"/>
        </w:rPr>
      </w:pPr>
      <w:r w:rsidRPr="00681938">
        <w:rPr>
          <w:rFonts w:ascii="Times New Roman" w:hAnsi="Times New Roman" w:cs="Times New Roman"/>
          <w:sz w:val="24"/>
          <w:szCs w:val="24"/>
        </w:rPr>
        <w:lastRenderedPageBreak/>
        <w:t>Looking at Nagaland, there are hardly any factual studies that show how much college students are ready for the world of work in terms of skills and career, and also if these two aspects have any connection. It is very important to know how these two things are linked if we want to find out what is lacking in the present educational system and how we can devise ways that will help students to get employed after education. This research investigates employability skills and career preparedness in college students of Nagaland and tries to understand if these two aspects are related. The study results may reveal to educators, institutions, and even policymakers how to craft skill development and career support programs</w:t>
      </w:r>
      <w:r w:rsidR="00AC4CE0" w:rsidRPr="00AC4CE0">
        <w:rPr>
          <w:rFonts w:ascii="Times New Roman" w:hAnsi="Times New Roman" w:cs="Times New Roman"/>
          <w:sz w:val="24"/>
          <w:szCs w:val="24"/>
        </w:rPr>
        <w:t>.</w:t>
      </w:r>
    </w:p>
    <w:p w14:paraId="0331AC6B" w14:textId="4F03E16E" w:rsidR="00AC4CE0" w:rsidRPr="00AC4CE0"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1.1 Objectives of the Study</w:t>
      </w:r>
    </w:p>
    <w:p w14:paraId="392C8E7E" w14:textId="62EC21EF"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The study is guided by the following objectives:</w:t>
      </w:r>
    </w:p>
    <w:p w14:paraId="7D6342FF" w14:textId="77777777"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 xml:space="preserve">1. To assess the level of employability skills among college students in Nagaland.  </w:t>
      </w:r>
    </w:p>
    <w:p w14:paraId="640E3EEC" w14:textId="77777777"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 xml:space="preserve">2. To evaluate the level of career preparedness among college students in Nagaland.  </w:t>
      </w:r>
    </w:p>
    <w:p w14:paraId="11AA139A" w14:textId="473A4AA8"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 xml:space="preserve">3. To analyze the relationship between employability skills and career preparedness among college students in Nagaland.  </w:t>
      </w:r>
    </w:p>
    <w:p w14:paraId="155B28E1" w14:textId="17DEBA06" w:rsidR="00AC4CE0" w:rsidRPr="00AC4CE0"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1.2 Hypothesis of the Study</w:t>
      </w:r>
    </w:p>
    <w:p w14:paraId="46814714" w14:textId="471212A7"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Based on the objectives of the study, the following hypothesis is formulated:</w:t>
      </w:r>
    </w:p>
    <w:p w14:paraId="0DD529ED" w14:textId="6AF4DC91"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H</w:t>
      </w:r>
      <w:r>
        <w:rPr>
          <w:rFonts w:ascii="Times New Roman" w:hAnsi="Times New Roman" w:cs="Times New Roman"/>
          <w:sz w:val="24"/>
          <w:szCs w:val="24"/>
          <w:vertAlign w:val="subscript"/>
        </w:rPr>
        <w:t>0</w:t>
      </w:r>
      <w:r w:rsidRPr="00AC4CE0">
        <w:rPr>
          <w:rFonts w:ascii="Times New Roman" w:hAnsi="Times New Roman" w:cs="Times New Roman"/>
          <w:sz w:val="24"/>
          <w:szCs w:val="24"/>
        </w:rPr>
        <w:t xml:space="preserve">: There is no significant relationship between employability skills and career preparedness among college students in Nagaland.  </w:t>
      </w:r>
    </w:p>
    <w:p w14:paraId="677B4743" w14:textId="4DACBE34" w:rsidR="00817102"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H</w:t>
      </w:r>
      <w:r>
        <w:rPr>
          <w:rFonts w:ascii="Times New Roman" w:hAnsi="Times New Roman" w:cs="Times New Roman"/>
          <w:sz w:val="24"/>
          <w:szCs w:val="24"/>
          <w:vertAlign w:val="subscript"/>
        </w:rPr>
        <w:t>1</w:t>
      </w:r>
      <w:r w:rsidRPr="00AC4CE0">
        <w:rPr>
          <w:rFonts w:ascii="Times New Roman" w:hAnsi="Times New Roman" w:cs="Times New Roman"/>
          <w:sz w:val="24"/>
          <w:szCs w:val="24"/>
        </w:rPr>
        <w:t xml:space="preserve">: There is a significant relationship between employability skills and career preparedness among college students in Nagaland.  </w:t>
      </w:r>
    </w:p>
    <w:p w14:paraId="1601D769" w14:textId="77777777" w:rsidR="00817102" w:rsidRDefault="00817102" w:rsidP="006F5ABE">
      <w:pPr>
        <w:jc w:val="both"/>
        <w:rPr>
          <w:rFonts w:ascii="Times New Roman" w:hAnsi="Times New Roman" w:cs="Times New Roman"/>
          <w:b/>
          <w:sz w:val="24"/>
          <w:szCs w:val="24"/>
        </w:rPr>
      </w:pPr>
    </w:p>
    <w:p w14:paraId="430C6196" w14:textId="1B2D6BAD"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 Literature Review</w:t>
      </w:r>
    </w:p>
    <w:p w14:paraId="5CF5B8F6" w14:textId="38889893"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2.1 Concept of Employability Skills</w:t>
      </w:r>
    </w:p>
    <w:p w14:paraId="0FE7BE52" w14:textId="33978CD5" w:rsidR="00D3163E" w:rsidRPr="00D3163E" w:rsidRDefault="00E153CA" w:rsidP="00D3163E">
      <w:pPr>
        <w:jc w:val="both"/>
        <w:rPr>
          <w:rFonts w:ascii="Times New Roman" w:hAnsi="Times New Roman" w:cs="Times New Roman"/>
          <w:sz w:val="24"/>
          <w:szCs w:val="24"/>
        </w:rPr>
      </w:pPr>
      <w:r w:rsidRPr="00E153CA">
        <w:rPr>
          <w:rFonts w:ascii="Times New Roman" w:hAnsi="Times New Roman" w:cs="Times New Roman"/>
          <w:sz w:val="24"/>
          <w:szCs w:val="24"/>
        </w:rPr>
        <w:t>Employability has been noted by various studies to go beyond mere capability to get a job. It is viewed as a complex concept which consists of a set of skills, character traits, and the ability to adjust that one needs to survive in a constantly changing labor market. Fugate, Kinicki, and Ashforth (2004) see employability as a psychological and social issue that comprises career identity, personal adaptability, and social and human capital, that is to say, people</w:t>
      </w:r>
      <w:r w:rsidR="006205F9">
        <w:rPr>
          <w:rFonts w:ascii="Times New Roman" w:hAnsi="Times New Roman" w:cs="Times New Roman"/>
          <w:sz w:val="24"/>
          <w:szCs w:val="24"/>
        </w:rPr>
        <w:t>’</w:t>
      </w:r>
      <w:r w:rsidRPr="00E153CA">
        <w:rPr>
          <w:rFonts w:ascii="Times New Roman" w:hAnsi="Times New Roman" w:cs="Times New Roman"/>
          <w:sz w:val="24"/>
          <w:szCs w:val="24"/>
        </w:rPr>
        <w:t>s potential to deal with changes in employment situations. On a wider scale, Harvey (2001) and McQuaid and Lindsay (2005) maintain that employability is also dependent on factors outside the individual such as the state of the labor market and support from institutions, which shows that it is not only determined by personal skills</w:t>
      </w:r>
      <w:r w:rsidR="00D3163E" w:rsidRPr="00D3163E">
        <w:rPr>
          <w:rFonts w:ascii="Times New Roman" w:hAnsi="Times New Roman" w:cs="Times New Roman"/>
          <w:sz w:val="24"/>
          <w:szCs w:val="24"/>
        </w:rPr>
        <w:t>.</w:t>
      </w:r>
    </w:p>
    <w:p w14:paraId="7DC826D2" w14:textId="695B0729" w:rsidR="00D3163E" w:rsidRPr="00D3163E" w:rsidRDefault="00B30D43" w:rsidP="00D3163E">
      <w:pPr>
        <w:jc w:val="both"/>
        <w:rPr>
          <w:rFonts w:ascii="Times New Roman" w:hAnsi="Times New Roman" w:cs="Times New Roman"/>
          <w:sz w:val="24"/>
          <w:szCs w:val="24"/>
        </w:rPr>
      </w:pPr>
      <w:r w:rsidRPr="00B30D43">
        <w:rPr>
          <w:rFonts w:ascii="Times New Roman" w:hAnsi="Times New Roman" w:cs="Times New Roman"/>
          <w:sz w:val="24"/>
          <w:szCs w:val="24"/>
        </w:rPr>
        <w:t xml:space="preserve">Supporting this multidimensional view of employability, several researchers focus on competence-based approaches. For instance, Van der Heijde and Van der Heijden (2006) argue that employability comprises a set of transferable skills like communication teamwork problem-solving adaptability along with the capability to implement one's knowledge. Moreover, </w:t>
      </w:r>
      <w:r w:rsidRPr="00B30D43">
        <w:rPr>
          <w:rFonts w:ascii="Times New Roman" w:hAnsi="Times New Roman" w:cs="Times New Roman"/>
          <w:sz w:val="24"/>
          <w:szCs w:val="24"/>
        </w:rPr>
        <w:lastRenderedPageBreak/>
        <w:t>Tomlinson (2012) notes that graduate employability is strongly associated with individuals</w:t>
      </w:r>
      <w:r w:rsidR="006205F9">
        <w:rPr>
          <w:rFonts w:ascii="Times New Roman" w:hAnsi="Times New Roman" w:cs="Times New Roman"/>
          <w:sz w:val="24"/>
          <w:szCs w:val="24"/>
        </w:rPr>
        <w:t>’</w:t>
      </w:r>
      <w:r w:rsidRPr="00B30D43">
        <w:rPr>
          <w:rFonts w:ascii="Times New Roman" w:hAnsi="Times New Roman" w:cs="Times New Roman"/>
          <w:sz w:val="24"/>
          <w:szCs w:val="24"/>
        </w:rPr>
        <w:t xml:space="preserve"> self-assessment of their labor market readiness, which includes their level of confidence, career awareness, and skills for managing career changes. Hence, employability skills basically entail a mix of knowledge, skills, and personality traits contributing to the individuals</w:t>
      </w:r>
      <w:r w:rsidR="006205F9">
        <w:rPr>
          <w:rFonts w:ascii="Times New Roman" w:hAnsi="Times New Roman" w:cs="Times New Roman"/>
          <w:sz w:val="24"/>
          <w:szCs w:val="24"/>
        </w:rPr>
        <w:t>’</w:t>
      </w:r>
      <w:r w:rsidRPr="00B30D43">
        <w:rPr>
          <w:rFonts w:ascii="Times New Roman" w:hAnsi="Times New Roman" w:cs="Times New Roman"/>
          <w:sz w:val="24"/>
          <w:szCs w:val="24"/>
        </w:rPr>
        <w:t xml:space="preserve"> capacity to obtain and retain jobs</w:t>
      </w:r>
      <w:r w:rsidR="00D3163E" w:rsidRPr="00D3163E">
        <w:rPr>
          <w:rFonts w:ascii="Times New Roman" w:hAnsi="Times New Roman" w:cs="Times New Roman"/>
          <w:sz w:val="24"/>
          <w:szCs w:val="24"/>
        </w:rPr>
        <w:t>.</w:t>
      </w:r>
    </w:p>
    <w:p w14:paraId="7536D6EA" w14:textId="412F24B4"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2.2 Employability Skills in Higher Education</w:t>
      </w:r>
    </w:p>
    <w:p w14:paraId="48713DA8" w14:textId="6A791A68" w:rsidR="00D3163E" w:rsidRPr="00D3163E"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 xml:space="preserve">Universities and colleges have an important part to play in teaching students how to be employable. According to Pool and Sewell (2007), apart from just teaching academic knowledge, universities should also give students skills which can be transferred to various jobs. Their </w:t>
      </w:r>
      <w:r w:rsidRPr="00891EF1">
        <w:rPr>
          <w:rFonts w:ascii="Times New Roman" w:hAnsi="Times New Roman" w:cs="Times New Roman"/>
          <w:sz w:val="24"/>
          <w:szCs w:val="24"/>
        </w:rPr>
        <w:t>Career</w:t>
      </w:r>
      <w:r w:rsidR="006205F9" w:rsidRPr="00891EF1">
        <w:rPr>
          <w:rFonts w:ascii="Times New Roman" w:hAnsi="Times New Roman" w:cs="Times New Roman"/>
          <w:sz w:val="24"/>
          <w:szCs w:val="24"/>
        </w:rPr>
        <w:t xml:space="preserve"> </w:t>
      </w:r>
      <w:r w:rsidRPr="00891EF1">
        <w:rPr>
          <w:rFonts w:ascii="Times New Roman" w:hAnsi="Times New Roman" w:cs="Times New Roman"/>
          <w:sz w:val="24"/>
          <w:szCs w:val="24"/>
        </w:rPr>
        <w:t>EDGE model</w:t>
      </w:r>
      <w:r w:rsidRPr="002876AF">
        <w:rPr>
          <w:rFonts w:ascii="Times New Roman" w:hAnsi="Times New Roman" w:cs="Times New Roman"/>
          <w:sz w:val="24"/>
          <w:szCs w:val="24"/>
        </w:rPr>
        <w:t xml:space="preserve"> proposes that a successful skill formation comes from the combination of the individual</w:t>
      </w:r>
      <w:r w:rsidR="006205F9">
        <w:rPr>
          <w:rFonts w:ascii="Times New Roman" w:hAnsi="Times New Roman" w:cs="Times New Roman"/>
          <w:sz w:val="24"/>
          <w:szCs w:val="24"/>
        </w:rPr>
        <w:t>’</w:t>
      </w:r>
      <w:r w:rsidRPr="002876AF">
        <w:rPr>
          <w:rFonts w:ascii="Times New Roman" w:hAnsi="Times New Roman" w:cs="Times New Roman"/>
          <w:sz w:val="24"/>
          <w:szCs w:val="24"/>
        </w:rPr>
        <w:t>s knowledge of the subject, generic skills, emotional intelligence, and career development learning. In the same way, Yorke and Knight (2007) highlight that employability should be a part of the curriculum and not a separate or additional element</w:t>
      </w:r>
      <w:r w:rsidR="00D3163E" w:rsidRPr="00D3163E">
        <w:rPr>
          <w:rFonts w:ascii="Times New Roman" w:hAnsi="Times New Roman" w:cs="Times New Roman"/>
          <w:sz w:val="24"/>
          <w:szCs w:val="24"/>
        </w:rPr>
        <w:t>.</w:t>
      </w:r>
    </w:p>
    <w:p w14:paraId="3976038E" w14:textId="02F38C66" w:rsidR="00817102" w:rsidRPr="00D3163E"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 xml:space="preserve">Besides knowledge and technical expertise, soft skills, including communication teamwork self-management, and adaptability, are highly valued by employers. Andrews and Higson (2008) pointed out that these skills are regarded as being on par or even exceeding the importance of technical skills or knowledge specific to a single discipline. </w:t>
      </w:r>
      <w:proofErr w:type="spellStart"/>
      <w:r w:rsidRPr="002876AF">
        <w:rPr>
          <w:rFonts w:ascii="Times New Roman" w:hAnsi="Times New Roman" w:cs="Times New Roman"/>
          <w:sz w:val="24"/>
          <w:szCs w:val="24"/>
        </w:rPr>
        <w:t>Bridgstock</w:t>
      </w:r>
      <w:proofErr w:type="spellEnd"/>
      <w:r w:rsidRPr="002876AF">
        <w:rPr>
          <w:rFonts w:ascii="Times New Roman" w:hAnsi="Times New Roman" w:cs="Times New Roman"/>
          <w:sz w:val="24"/>
          <w:szCs w:val="24"/>
        </w:rPr>
        <w:t xml:space="preserve"> (2009) emphasizes that career management skills such as planning, setting goals, and self-reflecting are the core ingredients to achieving success in one</w:t>
      </w:r>
      <w:r w:rsidR="006205F9">
        <w:rPr>
          <w:rFonts w:ascii="Times New Roman" w:hAnsi="Times New Roman" w:cs="Times New Roman"/>
          <w:sz w:val="24"/>
          <w:szCs w:val="24"/>
        </w:rPr>
        <w:t>’</w:t>
      </w:r>
      <w:r w:rsidRPr="002876AF">
        <w:rPr>
          <w:rFonts w:ascii="Times New Roman" w:hAnsi="Times New Roman" w:cs="Times New Roman"/>
          <w:sz w:val="24"/>
          <w:szCs w:val="24"/>
        </w:rPr>
        <w:t>s career over time. Clarke (2018) goes on to say that employability is not only the reflection of one</w:t>
      </w:r>
      <w:r w:rsidR="006205F9">
        <w:rPr>
          <w:rFonts w:ascii="Times New Roman" w:hAnsi="Times New Roman" w:cs="Times New Roman"/>
          <w:sz w:val="24"/>
          <w:szCs w:val="24"/>
        </w:rPr>
        <w:t>’</w:t>
      </w:r>
      <w:r w:rsidRPr="002876AF">
        <w:rPr>
          <w:rFonts w:ascii="Times New Roman" w:hAnsi="Times New Roman" w:cs="Times New Roman"/>
          <w:sz w:val="24"/>
          <w:szCs w:val="24"/>
        </w:rPr>
        <w:t>s abilities but it is also influenced by wider social factors and hence a comprehensive view of skills development throughout higher education is necessary. Continually, the literature reflects that acquiring employability skills should be at the core of the mission of the educational institutions and it is also vital for ramping up the students' employment readiness.</w:t>
      </w:r>
    </w:p>
    <w:p w14:paraId="5ED1EDBE" w14:textId="77777777" w:rsid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2.3 Employability Skills and Career Preparedness</w:t>
      </w:r>
    </w:p>
    <w:p w14:paraId="1242223B" w14:textId="736FB573" w:rsidR="002876AF"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Increasingly, studies are revealing a close link between employability skills and student readiness for entering the labor market. According to Rothwell, Herbert and Rothwell (2008), students</w:t>
      </w:r>
      <w:r w:rsidR="006205F9">
        <w:rPr>
          <w:rFonts w:ascii="Times New Roman" w:hAnsi="Times New Roman" w:cs="Times New Roman"/>
          <w:sz w:val="24"/>
          <w:szCs w:val="24"/>
        </w:rPr>
        <w:t>’</w:t>
      </w:r>
      <w:r w:rsidRPr="002876AF">
        <w:rPr>
          <w:rFonts w:ascii="Times New Roman" w:hAnsi="Times New Roman" w:cs="Times New Roman"/>
          <w:sz w:val="24"/>
          <w:szCs w:val="24"/>
        </w:rPr>
        <w:t xml:space="preserve"> self-assurance in their skills is a major factor that colors their perception of employability. Likewise, Finch et al. (2013) demonstrated that skills like communication, teamwork and problem-solving significantly impact students</w:t>
      </w:r>
      <w:r w:rsidR="006205F9">
        <w:rPr>
          <w:rFonts w:ascii="Times New Roman" w:hAnsi="Times New Roman" w:cs="Times New Roman"/>
          <w:sz w:val="24"/>
          <w:szCs w:val="24"/>
        </w:rPr>
        <w:t>’</w:t>
      </w:r>
      <w:r w:rsidRPr="002876AF">
        <w:rPr>
          <w:rFonts w:ascii="Times New Roman" w:hAnsi="Times New Roman" w:cs="Times New Roman"/>
          <w:sz w:val="24"/>
          <w:szCs w:val="24"/>
        </w:rPr>
        <w:t xml:space="preserve"> employability results. Hence, employability is not simply a matter of having the skills but also the proficiency in using them in actual situations.</w:t>
      </w:r>
    </w:p>
    <w:p w14:paraId="3B852E77" w14:textId="23D493DC" w:rsidR="002876AF"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Research tries to understand employability in different ways, thanks to the skill acquisition of individuals, their position in social and institutional structures, and the constant skills development process (Holmes, 2013). One aspect of career preparedness identified by Holmes (2013) is the interplay of one</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s internal capabilities and external opportunities. Furthermore, according to </w:t>
      </w:r>
      <w:proofErr w:type="spellStart"/>
      <w:r w:rsidRPr="002876AF">
        <w:rPr>
          <w:rFonts w:ascii="Times New Roman" w:hAnsi="Times New Roman" w:cs="Times New Roman"/>
          <w:sz w:val="24"/>
          <w:szCs w:val="24"/>
        </w:rPr>
        <w:t>DacrePool</w:t>
      </w:r>
      <w:proofErr w:type="spellEnd"/>
      <w:r w:rsidRPr="002876AF">
        <w:rPr>
          <w:rFonts w:ascii="Times New Roman" w:hAnsi="Times New Roman" w:cs="Times New Roman"/>
          <w:sz w:val="24"/>
          <w:szCs w:val="24"/>
        </w:rPr>
        <w:t xml:space="preserve">, </w:t>
      </w:r>
      <w:proofErr w:type="spellStart"/>
      <w:r w:rsidRPr="002876AF">
        <w:rPr>
          <w:rFonts w:ascii="Times New Roman" w:hAnsi="Times New Roman" w:cs="Times New Roman"/>
          <w:sz w:val="24"/>
          <w:szCs w:val="24"/>
        </w:rPr>
        <w:t>Qualter</w:t>
      </w:r>
      <w:proofErr w:type="spellEnd"/>
      <w:r w:rsidRPr="002876AF">
        <w:rPr>
          <w:rFonts w:ascii="Times New Roman" w:hAnsi="Times New Roman" w:cs="Times New Roman"/>
          <w:sz w:val="24"/>
          <w:szCs w:val="24"/>
        </w:rPr>
        <w:t>, and Sewell (2014), emotional intelligence and reflective learning are two very important factors raising employability. Jackson and Tomlinson (2020) also find that students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employability perceptions can be greatly enhanced through proactive career planning and involvement in career development activities, especially in situations of uncertain labor markets. Wilton (2011), on the other hand, points to the fact that employability skills are among the main </w:t>
      </w:r>
      <w:r w:rsidRPr="002876AF">
        <w:rPr>
          <w:rFonts w:ascii="Times New Roman" w:hAnsi="Times New Roman" w:cs="Times New Roman"/>
          <w:sz w:val="24"/>
          <w:szCs w:val="24"/>
        </w:rPr>
        <w:lastRenderedPageBreak/>
        <w:t>factors that lead graduates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success in getting a job. Summing up the findings from various sources, employability skills are evidently associated with career preparedness since they improve students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confidence, flexibility, and capability of meeting the labor market demands.</w:t>
      </w:r>
    </w:p>
    <w:p w14:paraId="7413A427" w14:textId="75904A74"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2.4 Research Gap</w:t>
      </w:r>
    </w:p>
    <w:p w14:paraId="72FAC360" w14:textId="4AE4C270" w:rsidR="006B4B02" w:rsidRDefault="006B4B02" w:rsidP="006F5ABE">
      <w:pPr>
        <w:jc w:val="both"/>
        <w:rPr>
          <w:rFonts w:ascii="Times New Roman" w:hAnsi="Times New Roman" w:cs="Times New Roman"/>
          <w:sz w:val="24"/>
          <w:szCs w:val="24"/>
        </w:rPr>
      </w:pPr>
      <w:r w:rsidRPr="006B4B02">
        <w:rPr>
          <w:rFonts w:ascii="Times New Roman" w:hAnsi="Times New Roman" w:cs="Times New Roman"/>
          <w:sz w:val="24"/>
          <w:szCs w:val="24"/>
        </w:rPr>
        <w:t xml:space="preserve">There are still many gaps despite the huge number of studies on the topic of skills for employability and effects on graduates. Mainstream existing literature largely concentrates on developed countries and general graduate populations, leaving aside very specific regional contexts. Furthermore, a lot of researches highlight conceptual frameworks or general employability outcomes. At the same time, they do not research with a focus on both employability skills and career preparedness, </w:t>
      </w:r>
      <w:r w:rsidR="00E43B5B">
        <w:rPr>
          <w:rFonts w:ascii="Times New Roman" w:hAnsi="Times New Roman" w:cs="Times New Roman"/>
          <w:sz w:val="24"/>
          <w:szCs w:val="24"/>
        </w:rPr>
        <w:t>i.e.,</w:t>
      </w:r>
      <w:r w:rsidRPr="006B4B02">
        <w:rPr>
          <w:rFonts w:ascii="Times New Roman" w:hAnsi="Times New Roman" w:cs="Times New Roman"/>
          <w:sz w:val="24"/>
          <w:szCs w:val="24"/>
        </w:rPr>
        <w:t xml:space="preserve"> the two aspects of employability, among students (Tomlinson, 2012; Clarke, 2018). </w:t>
      </w:r>
    </w:p>
    <w:p w14:paraId="68F0F5A2" w14:textId="46B532D8" w:rsidR="006B4B02" w:rsidRDefault="006B4B02" w:rsidP="006F5ABE">
      <w:pPr>
        <w:jc w:val="both"/>
        <w:rPr>
          <w:rFonts w:ascii="Times New Roman" w:hAnsi="Times New Roman" w:cs="Times New Roman"/>
          <w:sz w:val="24"/>
          <w:szCs w:val="24"/>
        </w:rPr>
      </w:pPr>
      <w:r w:rsidRPr="006B4B02">
        <w:rPr>
          <w:rFonts w:ascii="Times New Roman" w:hAnsi="Times New Roman" w:cs="Times New Roman"/>
          <w:sz w:val="24"/>
          <w:szCs w:val="24"/>
        </w:rPr>
        <w:t>Notwithstanding the fact that some papers have dealt with employability and career readiness as separate matters, very few papers have actually tested the direct link between these two variables using first-hand data. Besides, it makes the understanding of how employability skills impact students</w:t>
      </w:r>
      <w:r w:rsidR="00E43B5B">
        <w:rPr>
          <w:rFonts w:ascii="Times New Roman" w:hAnsi="Times New Roman" w:cs="Times New Roman"/>
          <w:sz w:val="24"/>
          <w:szCs w:val="24"/>
        </w:rPr>
        <w:t>’</w:t>
      </w:r>
      <w:r w:rsidRPr="006B4B02">
        <w:rPr>
          <w:rFonts w:ascii="Times New Roman" w:hAnsi="Times New Roman" w:cs="Times New Roman"/>
          <w:sz w:val="24"/>
          <w:szCs w:val="24"/>
        </w:rPr>
        <w:t xml:space="preserve"> perceived readiness for the local labor market very weak. For this reason, this research endeavors to fill the abovementioned voids by first, assessing the level of employability skills and career preparedness of students in Nagaland and second, analyzing the relationship between these variables with the help of empirical data. In this way, the research offers insights that are specific to a setting and at the same time, it demonstrates that the acquisition of skills is crucial for career readiness.</w:t>
      </w:r>
    </w:p>
    <w:p w14:paraId="14A9C3B6" w14:textId="19262F4A" w:rsidR="006F5ABE" w:rsidRPr="006F5ABE" w:rsidRDefault="006F5ABE" w:rsidP="006F5ABE">
      <w:pPr>
        <w:jc w:val="both"/>
        <w:rPr>
          <w:rFonts w:ascii="Times New Roman" w:hAnsi="Times New Roman" w:cs="Times New Roman"/>
          <w:b/>
          <w:sz w:val="24"/>
          <w:szCs w:val="24"/>
        </w:rPr>
      </w:pPr>
      <w:r w:rsidRPr="006F5ABE">
        <w:rPr>
          <w:rFonts w:ascii="Times New Roman" w:hAnsi="Times New Roman" w:cs="Times New Roman"/>
          <w:b/>
          <w:sz w:val="24"/>
          <w:szCs w:val="24"/>
        </w:rPr>
        <w:t>3. Research Methodology</w:t>
      </w:r>
    </w:p>
    <w:p w14:paraId="4FC5DE61" w14:textId="77777777" w:rsidR="006F5ABE" w:rsidRPr="006F5ABE" w:rsidRDefault="006F5ABE" w:rsidP="006F5ABE">
      <w:pPr>
        <w:jc w:val="both"/>
        <w:rPr>
          <w:rFonts w:ascii="Times New Roman" w:hAnsi="Times New Roman" w:cs="Times New Roman"/>
          <w:b/>
          <w:sz w:val="24"/>
          <w:szCs w:val="24"/>
        </w:rPr>
      </w:pPr>
      <w:r w:rsidRPr="006F5ABE">
        <w:rPr>
          <w:rFonts w:ascii="Times New Roman" w:hAnsi="Times New Roman" w:cs="Times New Roman"/>
          <w:b/>
          <w:sz w:val="24"/>
          <w:szCs w:val="24"/>
        </w:rPr>
        <w:t>3.1 Research Design</w:t>
      </w:r>
    </w:p>
    <w:p w14:paraId="688EAEC8" w14:textId="0BC33441" w:rsidR="00C2051D" w:rsidRDefault="0039131C" w:rsidP="006F5ABE">
      <w:pPr>
        <w:jc w:val="both"/>
        <w:rPr>
          <w:rFonts w:ascii="Times New Roman" w:hAnsi="Times New Roman" w:cs="Times New Roman"/>
          <w:sz w:val="24"/>
          <w:szCs w:val="24"/>
        </w:rPr>
      </w:pPr>
      <w:r w:rsidRPr="0039131C">
        <w:rPr>
          <w:rFonts w:ascii="Times New Roman" w:hAnsi="Times New Roman" w:cs="Times New Roman"/>
          <w:sz w:val="24"/>
          <w:szCs w:val="24"/>
        </w:rPr>
        <w:t xml:space="preserve">This </w:t>
      </w:r>
      <w:r>
        <w:rPr>
          <w:rFonts w:ascii="Times New Roman" w:hAnsi="Times New Roman" w:cs="Times New Roman"/>
          <w:sz w:val="24"/>
          <w:szCs w:val="24"/>
        </w:rPr>
        <w:t>study</w:t>
      </w:r>
      <w:r w:rsidRPr="0039131C">
        <w:rPr>
          <w:rFonts w:ascii="Times New Roman" w:hAnsi="Times New Roman" w:cs="Times New Roman"/>
          <w:sz w:val="24"/>
          <w:szCs w:val="24"/>
        </w:rPr>
        <w:t xml:space="preserve"> uses a descriptive and analytical research method to find out how well college students in Nagaland have employability skills and career preparedness and the correlation between these two factors. The descriptive part of the research is aimed at determining the level of employability skills and career preparedness whereas the analytical portion is meant for finding the association between the two. The study is a quantitative one and primary data was collected by means of a structured questionnaire. The main advantage of this method is that it allows quantification of students</w:t>
      </w:r>
      <w:r w:rsidR="00E43B5B">
        <w:rPr>
          <w:rFonts w:ascii="Times New Roman" w:hAnsi="Times New Roman" w:cs="Times New Roman"/>
          <w:sz w:val="24"/>
          <w:szCs w:val="24"/>
        </w:rPr>
        <w:t>’</w:t>
      </w:r>
      <w:r w:rsidRPr="0039131C">
        <w:rPr>
          <w:rFonts w:ascii="Times New Roman" w:hAnsi="Times New Roman" w:cs="Times New Roman"/>
          <w:sz w:val="24"/>
          <w:szCs w:val="24"/>
        </w:rPr>
        <w:t xml:space="preserve"> perceptions of their skills and preparedness, which leads to the possibility of statistical analysis. The research design is a good fit for the study as it allows for the description of the main variables and the examination of the hypothesized link between employability skills and career preparedness.</w:t>
      </w:r>
    </w:p>
    <w:p w14:paraId="4E13F527" w14:textId="4BC8E38E" w:rsidR="006359A9" w:rsidRDefault="006359A9" w:rsidP="006359A9">
      <w:pPr>
        <w:jc w:val="both"/>
        <w:rPr>
          <w:rFonts w:ascii="Times New Roman" w:hAnsi="Times New Roman" w:cs="Times New Roman"/>
          <w:b/>
          <w:sz w:val="24"/>
          <w:szCs w:val="24"/>
        </w:rPr>
      </w:pPr>
      <w:r w:rsidRPr="006359A9">
        <w:rPr>
          <w:rFonts w:ascii="Times New Roman" w:hAnsi="Times New Roman" w:cs="Times New Roman"/>
          <w:b/>
          <w:sz w:val="24"/>
          <w:szCs w:val="24"/>
        </w:rPr>
        <w:t>3.2 Data Source and Sample</w:t>
      </w:r>
    </w:p>
    <w:p w14:paraId="777E9596" w14:textId="6187F792" w:rsidR="00033994" w:rsidRDefault="00033994" w:rsidP="00386259">
      <w:pPr>
        <w:jc w:val="both"/>
        <w:rPr>
          <w:rFonts w:ascii="Times New Roman" w:hAnsi="Times New Roman" w:cs="Times New Roman"/>
          <w:sz w:val="24"/>
          <w:szCs w:val="24"/>
        </w:rPr>
      </w:pPr>
      <w:r>
        <w:rPr>
          <w:rFonts w:ascii="Times New Roman" w:hAnsi="Times New Roman" w:cs="Times New Roman"/>
          <w:sz w:val="24"/>
          <w:szCs w:val="24"/>
        </w:rPr>
        <w:t>The</w:t>
      </w:r>
      <w:r w:rsidRPr="00033994">
        <w:rPr>
          <w:rFonts w:ascii="Times New Roman" w:hAnsi="Times New Roman" w:cs="Times New Roman"/>
          <w:sz w:val="24"/>
          <w:szCs w:val="24"/>
        </w:rPr>
        <w:t xml:space="preserve"> research relies on primary data collected from college students in Nagaland via an online survey. The data collection tool was a structured questionnaire prepared in Google Forms and disseminated among students through multiple digital platforms such as student groups and social media channels. Finally, 269 valid responses were collected and used for analysis. A convenience sampling method was employed for this study, selecting respondents based on their availability and willingness to take part. The sample consists of students from various demographic groups - </w:t>
      </w:r>
      <w:r w:rsidRPr="00033994">
        <w:rPr>
          <w:rFonts w:ascii="Times New Roman" w:hAnsi="Times New Roman" w:cs="Times New Roman"/>
          <w:sz w:val="24"/>
          <w:szCs w:val="24"/>
        </w:rPr>
        <w:lastRenderedPageBreak/>
        <w:t>differences in gender age course level (undergraduate and postgraduate), field of study, and year of study were considered. The sample size is deemed sufficient for the study as it enables meaningful statistical analysis and a general understanding of employability skills and career preparedness among college students in the region.</w:t>
      </w:r>
    </w:p>
    <w:p w14:paraId="2C16E95D" w14:textId="323006B8" w:rsidR="00386259" w:rsidRPr="00386259" w:rsidRDefault="00386259" w:rsidP="00386259">
      <w:pPr>
        <w:jc w:val="both"/>
        <w:rPr>
          <w:rFonts w:ascii="Times New Roman" w:hAnsi="Times New Roman" w:cs="Times New Roman"/>
          <w:b/>
          <w:sz w:val="24"/>
          <w:szCs w:val="24"/>
        </w:rPr>
      </w:pPr>
      <w:r w:rsidRPr="00386259">
        <w:rPr>
          <w:rFonts w:ascii="Times New Roman" w:hAnsi="Times New Roman" w:cs="Times New Roman"/>
          <w:b/>
          <w:sz w:val="24"/>
          <w:szCs w:val="24"/>
        </w:rPr>
        <w:t>3.3 Instrument Design and Measurement Scale</w:t>
      </w:r>
    </w:p>
    <w:p w14:paraId="0B00D08C" w14:textId="77777777" w:rsidR="00494462" w:rsidRDefault="00494462" w:rsidP="00EB73A9">
      <w:pPr>
        <w:jc w:val="both"/>
        <w:rPr>
          <w:rFonts w:ascii="Times New Roman" w:hAnsi="Times New Roman" w:cs="Times New Roman"/>
          <w:sz w:val="24"/>
          <w:szCs w:val="24"/>
        </w:rPr>
      </w:pPr>
      <w:r w:rsidRPr="00494462">
        <w:rPr>
          <w:rFonts w:ascii="Times New Roman" w:hAnsi="Times New Roman" w:cs="Times New Roman"/>
          <w:sz w:val="24"/>
          <w:szCs w:val="24"/>
        </w:rPr>
        <w:t>To conduct the study, we gathered data through a structured questionnaire that had 3 parts: basic information, employability skills, and career preparedness. The purpose of the questionnaire was to understand how students perceive their skills and career readiness. In Section A, there were questions about demographic details like gender, age group, course level, field of study, and year of study. Sections B and C were about employability skills and career preparedness, respectively. These parts contained different statements and the respondents had to choose whether they agree or not.</w:t>
      </w:r>
    </w:p>
    <w:p w14:paraId="7E2386F7" w14:textId="721AD8EC" w:rsid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A 5-point Likert scale was used to measure responses, where 1 = Strongly Disagree, 2 = Disagree, 3 = Neutral, 4 = Agree, and 5 = Strongly Agree. Employability skills were measured using eight statements covering aspects such as communication, teamwork, problem-solving ability, adaptability, decision-making, digital skills, time management, and interpersonal skills. Career preparedness was measured using seven statements related to career awareness, goal clarity, confidence in employment, understanding of required skills, and readiness to face job-related challenges. The use of a Likert scale allows for the quantification of subjective perceptions and facilitates the application of statistical techniques for analysis.</w:t>
      </w:r>
    </w:p>
    <w:p w14:paraId="61BF3B49" w14:textId="39136124" w:rsidR="00386259" w:rsidRPr="00386259" w:rsidRDefault="00386259" w:rsidP="00386259">
      <w:pPr>
        <w:jc w:val="both"/>
        <w:rPr>
          <w:rFonts w:ascii="Times New Roman" w:hAnsi="Times New Roman" w:cs="Times New Roman"/>
          <w:b/>
          <w:sz w:val="24"/>
          <w:szCs w:val="24"/>
        </w:rPr>
      </w:pPr>
      <w:r w:rsidRPr="00386259">
        <w:rPr>
          <w:rFonts w:ascii="Times New Roman" w:hAnsi="Times New Roman" w:cs="Times New Roman"/>
          <w:b/>
          <w:sz w:val="24"/>
          <w:szCs w:val="24"/>
        </w:rPr>
        <w:t>3.4 Variables of the Study</w:t>
      </w:r>
    </w:p>
    <w:p w14:paraId="66F3D3F6" w14:textId="2326E1B0" w:rsidR="00EB73A9" w:rsidRP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The study is based on two key variables, namely employability skills and career preparedness, which are analyzed to understand their level and relationship among college students. Employability skills are treated as the independent variable in the study and represent the set of skills that enhance an individual’s ability to obtain and perform effectively in a job. This variable is measured using eight statements related to communication skills, teamwork, problem-solving ability, adaptability, decision-making, digital or technical skills, time management, and interpersonal skills.</w:t>
      </w:r>
    </w:p>
    <w:p w14:paraId="24E123AB" w14:textId="33176267" w:rsid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Career preparedness is considered the dependent variable in the study and reflects the extent to which students feel ready to enter the job market and manage their future careers. This variable is measured using seven statements covering aspects such as clarity of career goals, awareness of job opportunities, confidence in securing employment, understanding of required skills, and readiness to face job-related challenges. Composite scores for both variables are calculated by taking the average of responses to the respective statements, which are then used for further analysis.</w:t>
      </w:r>
    </w:p>
    <w:p w14:paraId="6584FB44" w14:textId="3E2E4FBD" w:rsidR="00425F10" w:rsidRPr="00425F10" w:rsidRDefault="00425F10" w:rsidP="00425F10">
      <w:pPr>
        <w:jc w:val="both"/>
        <w:rPr>
          <w:rFonts w:ascii="Times New Roman" w:hAnsi="Times New Roman" w:cs="Times New Roman"/>
          <w:b/>
          <w:sz w:val="24"/>
          <w:szCs w:val="24"/>
        </w:rPr>
      </w:pPr>
      <w:r w:rsidRPr="00425F10">
        <w:rPr>
          <w:rFonts w:ascii="Times New Roman" w:hAnsi="Times New Roman" w:cs="Times New Roman"/>
          <w:b/>
          <w:sz w:val="24"/>
          <w:szCs w:val="24"/>
        </w:rPr>
        <w:t>3.5 Analytical Tools and Techniques</w:t>
      </w:r>
    </w:p>
    <w:p w14:paraId="43D3BF80" w14:textId="3BDF3BD1" w:rsidR="00494462" w:rsidRDefault="00494462" w:rsidP="003842A9">
      <w:pPr>
        <w:jc w:val="both"/>
        <w:rPr>
          <w:rFonts w:ascii="Times New Roman" w:hAnsi="Times New Roman" w:cs="Times New Roman"/>
          <w:sz w:val="24"/>
          <w:szCs w:val="24"/>
        </w:rPr>
      </w:pPr>
      <w:r w:rsidRPr="00494462">
        <w:rPr>
          <w:rFonts w:ascii="Times New Roman" w:hAnsi="Times New Roman" w:cs="Times New Roman"/>
          <w:sz w:val="24"/>
          <w:szCs w:val="24"/>
        </w:rPr>
        <w:t xml:space="preserve">The data that was collected through the survey has been analyzed with the help of simple statistical methods for ensuring the clarity and easy interpretation of the results. The work of analyzing the data was done in Microsoft Excel, where the responses were first coded and then run through statistical evaluations. There were two main techniques of analysis that were used in the study. </w:t>
      </w:r>
      <w:r w:rsidRPr="00494462">
        <w:rPr>
          <w:rFonts w:ascii="Times New Roman" w:hAnsi="Times New Roman" w:cs="Times New Roman"/>
          <w:sz w:val="24"/>
          <w:szCs w:val="24"/>
        </w:rPr>
        <w:lastRenderedPageBreak/>
        <w:t>The first was the use of descriptive statistics, with the emphasis on mean, to determine the extent to which the respondents have employability skills and career readiness. The second one was Pearson</w:t>
      </w:r>
      <w:r w:rsidR="00E43B5B">
        <w:rPr>
          <w:rFonts w:ascii="Times New Roman" w:hAnsi="Times New Roman" w:cs="Times New Roman"/>
          <w:sz w:val="24"/>
          <w:szCs w:val="24"/>
        </w:rPr>
        <w:t>’</w:t>
      </w:r>
      <w:r w:rsidRPr="00494462">
        <w:rPr>
          <w:rFonts w:ascii="Times New Roman" w:hAnsi="Times New Roman" w:cs="Times New Roman"/>
          <w:sz w:val="24"/>
          <w:szCs w:val="24"/>
        </w:rPr>
        <w:t>s correlation analysis which was applied to analyze the link between the two, employability skills and career preparedness, where the correlation coefficient (r) reveals strength and direction of the relationship while the significance level (p-value) indicates its statistical significance. These analytical tools have been selected as they are very simple, effective, and suitable for the accomplishment of the objectives of the study.</w:t>
      </w:r>
    </w:p>
    <w:p w14:paraId="72B7FC5F" w14:textId="4CFA9284" w:rsidR="003842A9" w:rsidRP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4. Data Analysis and Results</w:t>
      </w:r>
    </w:p>
    <w:p w14:paraId="66B011AE" w14:textId="0CAF44F0" w:rsidR="003842A9" w:rsidRP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4.1 Profile of Respondents</w:t>
      </w:r>
    </w:p>
    <w:p w14:paraId="27FD1964" w14:textId="5DF0EF5F" w:rsidR="003842A9" w:rsidRDefault="003842A9" w:rsidP="003842A9">
      <w:pPr>
        <w:jc w:val="both"/>
        <w:rPr>
          <w:rFonts w:ascii="Times New Roman" w:hAnsi="Times New Roman" w:cs="Times New Roman"/>
          <w:sz w:val="24"/>
          <w:szCs w:val="24"/>
        </w:rPr>
      </w:pPr>
      <w:r w:rsidRPr="003842A9">
        <w:rPr>
          <w:rFonts w:ascii="Times New Roman" w:hAnsi="Times New Roman" w:cs="Times New Roman"/>
          <w:sz w:val="24"/>
          <w:szCs w:val="24"/>
        </w:rPr>
        <w:t>The demographic profile of the respondents provides an overview of the characteristics of the sample used in the study. A total of 269 college students from</w:t>
      </w:r>
      <w:r w:rsidR="00E43B5B">
        <w:rPr>
          <w:rFonts w:ascii="Times New Roman" w:hAnsi="Times New Roman" w:cs="Times New Roman"/>
          <w:sz w:val="24"/>
          <w:szCs w:val="24"/>
        </w:rPr>
        <w:t xml:space="preserve"> different colleges in</w:t>
      </w:r>
      <w:r w:rsidRPr="003842A9">
        <w:rPr>
          <w:rFonts w:ascii="Times New Roman" w:hAnsi="Times New Roman" w:cs="Times New Roman"/>
          <w:sz w:val="24"/>
          <w:szCs w:val="24"/>
        </w:rPr>
        <w:t xml:space="preserve"> Nagaland participated in the survey. The distribution of respondents across </w:t>
      </w:r>
      <w:r w:rsidR="00763BBF">
        <w:rPr>
          <w:rFonts w:ascii="Times New Roman" w:hAnsi="Times New Roman" w:cs="Times New Roman"/>
          <w:sz w:val="24"/>
          <w:szCs w:val="24"/>
        </w:rPr>
        <w:t xml:space="preserve">the </w:t>
      </w:r>
      <w:r w:rsidRPr="003842A9">
        <w:rPr>
          <w:rFonts w:ascii="Times New Roman" w:hAnsi="Times New Roman" w:cs="Times New Roman"/>
          <w:sz w:val="24"/>
          <w:szCs w:val="24"/>
        </w:rPr>
        <w:t>different demographic categories such as gender, age group, course level, field of study, and year of study is presented in Table 1.</w:t>
      </w:r>
    </w:p>
    <w:p w14:paraId="4EAC313A" w14:textId="2A72261C" w:rsid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Table 1</w:t>
      </w:r>
      <w:r w:rsidR="00A432AD">
        <w:rPr>
          <w:rFonts w:ascii="Times New Roman" w:hAnsi="Times New Roman" w:cs="Times New Roman"/>
          <w:b/>
          <w:sz w:val="24"/>
          <w:szCs w:val="24"/>
        </w:rPr>
        <w:t>.</w:t>
      </w:r>
      <w:r w:rsidRPr="003842A9">
        <w:rPr>
          <w:rFonts w:ascii="Times New Roman" w:hAnsi="Times New Roman" w:cs="Times New Roman"/>
          <w:b/>
          <w:sz w:val="24"/>
          <w:szCs w:val="24"/>
        </w:rPr>
        <w:t xml:space="preserve"> Profile of Respondents</w:t>
      </w:r>
    </w:p>
    <w:tbl>
      <w:tblPr>
        <w:tblStyle w:val="TableGrid"/>
        <w:tblW w:w="9264" w:type="dxa"/>
        <w:tblLook w:val="04A0" w:firstRow="1" w:lastRow="0" w:firstColumn="1" w:lastColumn="0" w:noHBand="0" w:noVBand="1"/>
      </w:tblPr>
      <w:tblGrid>
        <w:gridCol w:w="2081"/>
        <w:gridCol w:w="3267"/>
        <w:gridCol w:w="1645"/>
        <w:gridCol w:w="2271"/>
      </w:tblGrid>
      <w:tr w:rsidR="003842A9" w:rsidRPr="003842A9" w14:paraId="5185C373" w14:textId="77777777" w:rsidTr="003842A9">
        <w:trPr>
          <w:trHeight w:val="249"/>
        </w:trPr>
        <w:tc>
          <w:tcPr>
            <w:tcW w:w="0" w:type="auto"/>
            <w:hideMark/>
          </w:tcPr>
          <w:p w14:paraId="4AF22E85"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Variable</w:t>
            </w:r>
          </w:p>
        </w:tc>
        <w:tc>
          <w:tcPr>
            <w:tcW w:w="0" w:type="auto"/>
            <w:hideMark/>
          </w:tcPr>
          <w:p w14:paraId="47EF904A"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Category</w:t>
            </w:r>
          </w:p>
        </w:tc>
        <w:tc>
          <w:tcPr>
            <w:tcW w:w="0" w:type="auto"/>
            <w:hideMark/>
          </w:tcPr>
          <w:p w14:paraId="4C7F36E8"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Frequency</w:t>
            </w:r>
          </w:p>
        </w:tc>
        <w:tc>
          <w:tcPr>
            <w:tcW w:w="0" w:type="auto"/>
            <w:hideMark/>
          </w:tcPr>
          <w:p w14:paraId="476A3BD2"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Percentage (%)</w:t>
            </w:r>
          </w:p>
        </w:tc>
      </w:tr>
      <w:tr w:rsidR="003842A9" w:rsidRPr="003842A9" w14:paraId="79D416A7" w14:textId="77777777" w:rsidTr="003842A9">
        <w:trPr>
          <w:trHeight w:val="249"/>
        </w:trPr>
        <w:tc>
          <w:tcPr>
            <w:tcW w:w="0" w:type="auto"/>
            <w:hideMark/>
          </w:tcPr>
          <w:p w14:paraId="13A7FCA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Gender</w:t>
            </w:r>
          </w:p>
        </w:tc>
        <w:tc>
          <w:tcPr>
            <w:tcW w:w="0" w:type="auto"/>
            <w:hideMark/>
          </w:tcPr>
          <w:p w14:paraId="2E945F6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Male</w:t>
            </w:r>
          </w:p>
        </w:tc>
        <w:tc>
          <w:tcPr>
            <w:tcW w:w="0" w:type="auto"/>
            <w:hideMark/>
          </w:tcPr>
          <w:p w14:paraId="0D1C7F8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134</w:t>
            </w:r>
          </w:p>
        </w:tc>
        <w:tc>
          <w:tcPr>
            <w:tcW w:w="0" w:type="auto"/>
            <w:hideMark/>
          </w:tcPr>
          <w:p w14:paraId="1955561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49.8</w:t>
            </w:r>
          </w:p>
        </w:tc>
      </w:tr>
      <w:tr w:rsidR="003842A9" w:rsidRPr="003842A9" w14:paraId="44A19B90" w14:textId="77777777" w:rsidTr="003842A9">
        <w:trPr>
          <w:trHeight w:val="249"/>
        </w:trPr>
        <w:tc>
          <w:tcPr>
            <w:tcW w:w="0" w:type="auto"/>
            <w:hideMark/>
          </w:tcPr>
          <w:p w14:paraId="5875F941"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40E824B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Female</w:t>
            </w:r>
          </w:p>
        </w:tc>
        <w:tc>
          <w:tcPr>
            <w:tcW w:w="0" w:type="auto"/>
            <w:hideMark/>
          </w:tcPr>
          <w:p w14:paraId="24D5E5E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134</w:t>
            </w:r>
          </w:p>
        </w:tc>
        <w:tc>
          <w:tcPr>
            <w:tcW w:w="0" w:type="auto"/>
            <w:hideMark/>
          </w:tcPr>
          <w:p w14:paraId="3CE1FC8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49.8</w:t>
            </w:r>
          </w:p>
        </w:tc>
      </w:tr>
      <w:tr w:rsidR="003842A9" w:rsidRPr="003842A9" w14:paraId="40634FE0" w14:textId="77777777" w:rsidTr="003842A9">
        <w:trPr>
          <w:trHeight w:val="249"/>
        </w:trPr>
        <w:tc>
          <w:tcPr>
            <w:tcW w:w="0" w:type="auto"/>
            <w:hideMark/>
          </w:tcPr>
          <w:p w14:paraId="06D9B8F6"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69995A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Prefer not to say</w:t>
            </w:r>
          </w:p>
        </w:tc>
        <w:tc>
          <w:tcPr>
            <w:tcW w:w="0" w:type="auto"/>
            <w:hideMark/>
          </w:tcPr>
          <w:p w14:paraId="3B21B19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w:t>
            </w:r>
          </w:p>
        </w:tc>
        <w:tc>
          <w:tcPr>
            <w:tcW w:w="0" w:type="auto"/>
            <w:hideMark/>
          </w:tcPr>
          <w:p w14:paraId="16A7DA0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0.4</w:t>
            </w:r>
          </w:p>
        </w:tc>
      </w:tr>
      <w:tr w:rsidR="003842A9" w:rsidRPr="003842A9" w14:paraId="23971E1A" w14:textId="77777777" w:rsidTr="003842A9">
        <w:trPr>
          <w:trHeight w:val="249"/>
        </w:trPr>
        <w:tc>
          <w:tcPr>
            <w:tcW w:w="0" w:type="auto"/>
            <w:hideMark/>
          </w:tcPr>
          <w:p w14:paraId="3CFC135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Age Group</w:t>
            </w:r>
          </w:p>
        </w:tc>
        <w:tc>
          <w:tcPr>
            <w:tcW w:w="0" w:type="auto"/>
            <w:hideMark/>
          </w:tcPr>
          <w:p w14:paraId="2D7F2868"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Below 18</w:t>
            </w:r>
          </w:p>
        </w:tc>
        <w:tc>
          <w:tcPr>
            <w:tcW w:w="0" w:type="auto"/>
            <w:hideMark/>
          </w:tcPr>
          <w:p w14:paraId="023DE6E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w:t>
            </w:r>
          </w:p>
        </w:tc>
        <w:tc>
          <w:tcPr>
            <w:tcW w:w="0" w:type="auto"/>
            <w:hideMark/>
          </w:tcPr>
          <w:p w14:paraId="1BD05D4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1.1</w:t>
            </w:r>
          </w:p>
        </w:tc>
      </w:tr>
      <w:tr w:rsidR="003842A9" w:rsidRPr="003842A9" w14:paraId="6D709CC4" w14:textId="77777777" w:rsidTr="003842A9">
        <w:trPr>
          <w:trHeight w:val="249"/>
        </w:trPr>
        <w:tc>
          <w:tcPr>
            <w:tcW w:w="0" w:type="auto"/>
            <w:hideMark/>
          </w:tcPr>
          <w:p w14:paraId="776A837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4C434D84" w14:textId="5B082DF1"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sidRPr="003842A9">
              <w:rPr>
                <w:rFonts w:ascii="Times New Roman" w:eastAsia="Times New Roman" w:hAnsi="Times New Roman" w:cs="Times New Roman"/>
                <w:sz w:val="24"/>
                <w:szCs w:val="24"/>
              </w:rPr>
              <w:t>20</w:t>
            </w:r>
          </w:p>
        </w:tc>
        <w:tc>
          <w:tcPr>
            <w:tcW w:w="0" w:type="auto"/>
            <w:hideMark/>
          </w:tcPr>
          <w:p w14:paraId="4D01AB9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85</w:t>
            </w:r>
          </w:p>
        </w:tc>
        <w:tc>
          <w:tcPr>
            <w:tcW w:w="0" w:type="auto"/>
            <w:hideMark/>
          </w:tcPr>
          <w:p w14:paraId="5420127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31.6</w:t>
            </w:r>
          </w:p>
        </w:tc>
      </w:tr>
      <w:tr w:rsidR="003842A9" w:rsidRPr="003842A9" w14:paraId="400DD3E9" w14:textId="77777777" w:rsidTr="003842A9">
        <w:trPr>
          <w:trHeight w:val="249"/>
        </w:trPr>
        <w:tc>
          <w:tcPr>
            <w:tcW w:w="0" w:type="auto"/>
            <w:hideMark/>
          </w:tcPr>
          <w:p w14:paraId="143B06F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3787CE16" w14:textId="5875A401"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r w:rsidRPr="003842A9">
              <w:rPr>
                <w:rFonts w:ascii="Times New Roman" w:eastAsia="Times New Roman" w:hAnsi="Times New Roman" w:cs="Times New Roman"/>
                <w:sz w:val="24"/>
                <w:szCs w:val="24"/>
              </w:rPr>
              <w:t>23</w:t>
            </w:r>
          </w:p>
        </w:tc>
        <w:tc>
          <w:tcPr>
            <w:tcW w:w="0" w:type="auto"/>
            <w:hideMark/>
          </w:tcPr>
          <w:p w14:paraId="6FF9E1F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153</w:t>
            </w:r>
          </w:p>
        </w:tc>
        <w:tc>
          <w:tcPr>
            <w:tcW w:w="0" w:type="auto"/>
            <w:hideMark/>
          </w:tcPr>
          <w:p w14:paraId="605F38A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56.9</w:t>
            </w:r>
          </w:p>
        </w:tc>
      </w:tr>
      <w:tr w:rsidR="003842A9" w:rsidRPr="003842A9" w14:paraId="44381313" w14:textId="77777777" w:rsidTr="003842A9">
        <w:trPr>
          <w:trHeight w:val="262"/>
        </w:trPr>
        <w:tc>
          <w:tcPr>
            <w:tcW w:w="0" w:type="auto"/>
            <w:hideMark/>
          </w:tcPr>
          <w:p w14:paraId="6D8758A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7C61C62D"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Above 23</w:t>
            </w:r>
          </w:p>
        </w:tc>
        <w:tc>
          <w:tcPr>
            <w:tcW w:w="0" w:type="auto"/>
            <w:hideMark/>
          </w:tcPr>
          <w:p w14:paraId="4DFCAAC0"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28</w:t>
            </w:r>
          </w:p>
        </w:tc>
        <w:tc>
          <w:tcPr>
            <w:tcW w:w="0" w:type="auto"/>
            <w:hideMark/>
          </w:tcPr>
          <w:p w14:paraId="712F721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10.4</w:t>
            </w:r>
          </w:p>
        </w:tc>
      </w:tr>
      <w:tr w:rsidR="003842A9" w:rsidRPr="003842A9" w14:paraId="134810B7" w14:textId="77777777" w:rsidTr="003842A9">
        <w:trPr>
          <w:trHeight w:val="249"/>
        </w:trPr>
        <w:tc>
          <w:tcPr>
            <w:tcW w:w="0" w:type="auto"/>
            <w:hideMark/>
          </w:tcPr>
          <w:p w14:paraId="3640A78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Course Level</w:t>
            </w:r>
          </w:p>
        </w:tc>
        <w:tc>
          <w:tcPr>
            <w:tcW w:w="0" w:type="auto"/>
            <w:hideMark/>
          </w:tcPr>
          <w:p w14:paraId="6967C7E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Undergraduate (UG)</w:t>
            </w:r>
          </w:p>
        </w:tc>
        <w:tc>
          <w:tcPr>
            <w:tcW w:w="0" w:type="auto"/>
            <w:hideMark/>
          </w:tcPr>
          <w:p w14:paraId="4D6CA4E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215</w:t>
            </w:r>
          </w:p>
        </w:tc>
        <w:tc>
          <w:tcPr>
            <w:tcW w:w="0" w:type="auto"/>
            <w:hideMark/>
          </w:tcPr>
          <w:p w14:paraId="5C00519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79.9</w:t>
            </w:r>
          </w:p>
        </w:tc>
      </w:tr>
      <w:tr w:rsidR="003842A9" w:rsidRPr="003842A9" w14:paraId="04972E01" w14:textId="77777777" w:rsidTr="003842A9">
        <w:trPr>
          <w:trHeight w:val="249"/>
        </w:trPr>
        <w:tc>
          <w:tcPr>
            <w:tcW w:w="0" w:type="auto"/>
            <w:hideMark/>
          </w:tcPr>
          <w:p w14:paraId="4EB5E8B0"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33AC883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Postgraduate (PG)</w:t>
            </w:r>
          </w:p>
        </w:tc>
        <w:tc>
          <w:tcPr>
            <w:tcW w:w="0" w:type="auto"/>
            <w:hideMark/>
          </w:tcPr>
          <w:p w14:paraId="7CF2B5D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54</w:t>
            </w:r>
          </w:p>
        </w:tc>
        <w:tc>
          <w:tcPr>
            <w:tcW w:w="0" w:type="auto"/>
            <w:hideMark/>
          </w:tcPr>
          <w:p w14:paraId="0636EFB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20.1</w:t>
            </w:r>
          </w:p>
        </w:tc>
      </w:tr>
      <w:tr w:rsidR="003842A9" w:rsidRPr="003842A9" w14:paraId="29D2C019" w14:textId="77777777" w:rsidTr="003842A9">
        <w:trPr>
          <w:trHeight w:val="249"/>
        </w:trPr>
        <w:tc>
          <w:tcPr>
            <w:tcW w:w="0" w:type="auto"/>
            <w:hideMark/>
          </w:tcPr>
          <w:p w14:paraId="36CC8CC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Field of Study</w:t>
            </w:r>
          </w:p>
        </w:tc>
        <w:tc>
          <w:tcPr>
            <w:tcW w:w="0" w:type="auto"/>
            <w:hideMark/>
          </w:tcPr>
          <w:p w14:paraId="604122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Arts/Humanities</w:t>
            </w:r>
          </w:p>
        </w:tc>
        <w:tc>
          <w:tcPr>
            <w:tcW w:w="0" w:type="auto"/>
            <w:hideMark/>
          </w:tcPr>
          <w:p w14:paraId="3DC5422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160</w:t>
            </w:r>
          </w:p>
        </w:tc>
        <w:tc>
          <w:tcPr>
            <w:tcW w:w="0" w:type="auto"/>
            <w:hideMark/>
          </w:tcPr>
          <w:p w14:paraId="53882A7C"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59.5</w:t>
            </w:r>
          </w:p>
        </w:tc>
      </w:tr>
      <w:tr w:rsidR="003842A9" w:rsidRPr="003842A9" w14:paraId="15B1792B" w14:textId="77777777" w:rsidTr="003842A9">
        <w:trPr>
          <w:trHeight w:val="249"/>
        </w:trPr>
        <w:tc>
          <w:tcPr>
            <w:tcW w:w="0" w:type="auto"/>
            <w:hideMark/>
          </w:tcPr>
          <w:p w14:paraId="15204BE3"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30BFDE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Commerce/Management</w:t>
            </w:r>
          </w:p>
        </w:tc>
        <w:tc>
          <w:tcPr>
            <w:tcW w:w="0" w:type="auto"/>
            <w:hideMark/>
          </w:tcPr>
          <w:p w14:paraId="4E18A13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34</w:t>
            </w:r>
          </w:p>
        </w:tc>
        <w:tc>
          <w:tcPr>
            <w:tcW w:w="0" w:type="auto"/>
            <w:hideMark/>
          </w:tcPr>
          <w:p w14:paraId="21ECD4E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12.6</w:t>
            </w:r>
          </w:p>
        </w:tc>
      </w:tr>
      <w:tr w:rsidR="003842A9" w:rsidRPr="003842A9" w14:paraId="6374E530" w14:textId="77777777" w:rsidTr="003842A9">
        <w:trPr>
          <w:trHeight w:val="249"/>
        </w:trPr>
        <w:tc>
          <w:tcPr>
            <w:tcW w:w="0" w:type="auto"/>
            <w:hideMark/>
          </w:tcPr>
          <w:p w14:paraId="54821DC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EBCDC6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Science</w:t>
            </w:r>
          </w:p>
        </w:tc>
        <w:tc>
          <w:tcPr>
            <w:tcW w:w="0" w:type="auto"/>
            <w:hideMark/>
          </w:tcPr>
          <w:p w14:paraId="4E60C42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42</w:t>
            </w:r>
          </w:p>
        </w:tc>
        <w:tc>
          <w:tcPr>
            <w:tcW w:w="0" w:type="auto"/>
            <w:hideMark/>
          </w:tcPr>
          <w:p w14:paraId="7151A00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15.6</w:t>
            </w:r>
          </w:p>
        </w:tc>
      </w:tr>
      <w:tr w:rsidR="003842A9" w:rsidRPr="003842A9" w14:paraId="51090E2D" w14:textId="77777777" w:rsidTr="003842A9">
        <w:trPr>
          <w:trHeight w:val="249"/>
        </w:trPr>
        <w:tc>
          <w:tcPr>
            <w:tcW w:w="0" w:type="auto"/>
            <w:hideMark/>
          </w:tcPr>
          <w:p w14:paraId="16894891"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2BB1AC4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Engineering/Technology</w:t>
            </w:r>
          </w:p>
        </w:tc>
        <w:tc>
          <w:tcPr>
            <w:tcW w:w="0" w:type="auto"/>
            <w:hideMark/>
          </w:tcPr>
          <w:p w14:paraId="5A2A21B0"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6</w:t>
            </w:r>
          </w:p>
        </w:tc>
        <w:tc>
          <w:tcPr>
            <w:tcW w:w="0" w:type="auto"/>
            <w:hideMark/>
          </w:tcPr>
          <w:p w14:paraId="1D5B423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2.2</w:t>
            </w:r>
          </w:p>
        </w:tc>
      </w:tr>
      <w:tr w:rsidR="003842A9" w:rsidRPr="003842A9" w14:paraId="3F06E950" w14:textId="77777777" w:rsidTr="003842A9">
        <w:trPr>
          <w:trHeight w:val="249"/>
        </w:trPr>
        <w:tc>
          <w:tcPr>
            <w:tcW w:w="0" w:type="auto"/>
            <w:hideMark/>
          </w:tcPr>
          <w:p w14:paraId="6371C36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E61B48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Others</w:t>
            </w:r>
          </w:p>
        </w:tc>
        <w:tc>
          <w:tcPr>
            <w:tcW w:w="0" w:type="auto"/>
            <w:hideMark/>
          </w:tcPr>
          <w:p w14:paraId="2556CF9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27</w:t>
            </w:r>
          </w:p>
        </w:tc>
        <w:tc>
          <w:tcPr>
            <w:tcW w:w="0" w:type="auto"/>
            <w:hideMark/>
          </w:tcPr>
          <w:p w14:paraId="0E67CBED"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10.0</w:t>
            </w:r>
          </w:p>
        </w:tc>
      </w:tr>
      <w:tr w:rsidR="003842A9" w:rsidRPr="003842A9" w14:paraId="3017ECA8" w14:textId="77777777" w:rsidTr="003842A9">
        <w:trPr>
          <w:trHeight w:val="249"/>
        </w:trPr>
        <w:tc>
          <w:tcPr>
            <w:tcW w:w="0" w:type="auto"/>
            <w:hideMark/>
          </w:tcPr>
          <w:p w14:paraId="07316DF8"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Year of Study</w:t>
            </w:r>
          </w:p>
        </w:tc>
        <w:tc>
          <w:tcPr>
            <w:tcW w:w="0" w:type="auto"/>
            <w:hideMark/>
          </w:tcPr>
          <w:p w14:paraId="0E5476A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1st Year</w:t>
            </w:r>
          </w:p>
        </w:tc>
        <w:tc>
          <w:tcPr>
            <w:tcW w:w="0" w:type="auto"/>
            <w:hideMark/>
          </w:tcPr>
          <w:p w14:paraId="5958709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39</w:t>
            </w:r>
          </w:p>
        </w:tc>
        <w:tc>
          <w:tcPr>
            <w:tcW w:w="0" w:type="auto"/>
            <w:hideMark/>
          </w:tcPr>
          <w:p w14:paraId="30E3D96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14.5</w:t>
            </w:r>
          </w:p>
        </w:tc>
      </w:tr>
      <w:tr w:rsidR="003842A9" w:rsidRPr="003842A9" w14:paraId="34536C0B" w14:textId="77777777" w:rsidTr="003842A9">
        <w:trPr>
          <w:trHeight w:val="249"/>
        </w:trPr>
        <w:tc>
          <w:tcPr>
            <w:tcW w:w="0" w:type="auto"/>
            <w:hideMark/>
          </w:tcPr>
          <w:p w14:paraId="20DEB14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A4335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2nd Year</w:t>
            </w:r>
          </w:p>
        </w:tc>
        <w:tc>
          <w:tcPr>
            <w:tcW w:w="0" w:type="auto"/>
            <w:hideMark/>
          </w:tcPr>
          <w:p w14:paraId="1F57FCA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w:t>
            </w:r>
          </w:p>
        </w:tc>
        <w:tc>
          <w:tcPr>
            <w:tcW w:w="0" w:type="auto"/>
            <w:hideMark/>
          </w:tcPr>
          <w:p w14:paraId="0D84A24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18.2</w:t>
            </w:r>
          </w:p>
        </w:tc>
      </w:tr>
      <w:tr w:rsidR="003842A9" w:rsidRPr="003842A9" w14:paraId="1E3503A0" w14:textId="77777777" w:rsidTr="003842A9">
        <w:trPr>
          <w:trHeight w:val="249"/>
        </w:trPr>
        <w:tc>
          <w:tcPr>
            <w:tcW w:w="0" w:type="auto"/>
            <w:hideMark/>
          </w:tcPr>
          <w:p w14:paraId="7F64B670"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55B7DBB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3rd Year</w:t>
            </w:r>
          </w:p>
        </w:tc>
        <w:tc>
          <w:tcPr>
            <w:tcW w:w="0" w:type="auto"/>
            <w:hideMark/>
          </w:tcPr>
          <w:p w14:paraId="09753DEC"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122</w:t>
            </w:r>
          </w:p>
        </w:tc>
        <w:tc>
          <w:tcPr>
            <w:tcW w:w="0" w:type="auto"/>
            <w:hideMark/>
          </w:tcPr>
          <w:p w14:paraId="71D547E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45.4</w:t>
            </w:r>
          </w:p>
        </w:tc>
      </w:tr>
      <w:tr w:rsidR="003842A9" w:rsidRPr="003842A9" w14:paraId="5175E23B" w14:textId="77777777" w:rsidTr="003842A9">
        <w:trPr>
          <w:trHeight w:val="249"/>
        </w:trPr>
        <w:tc>
          <w:tcPr>
            <w:tcW w:w="0" w:type="auto"/>
            <w:hideMark/>
          </w:tcPr>
          <w:p w14:paraId="72D8D156"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02E3C3A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Final Year</w:t>
            </w:r>
          </w:p>
        </w:tc>
        <w:tc>
          <w:tcPr>
            <w:tcW w:w="0" w:type="auto"/>
            <w:hideMark/>
          </w:tcPr>
          <w:p w14:paraId="76D4ED3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59</w:t>
            </w:r>
          </w:p>
        </w:tc>
        <w:tc>
          <w:tcPr>
            <w:tcW w:w="0" w:type="auto"/>
            <w:hideMark/>
          </w:tcPr>
          <w:p w14:paraId="619CA5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21.9</w:t>
            </w:r>
          </w:p>
        </w:tc>
      </w:tr>
    </w:tbl>
    <w:p w14:paraId="6C22F4F9" w14:textId="6C9FC401" w:rsidR="003842A9" w:rsidRDefault="00A432AD" w:rsidP="003842A9">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2DF55E0E" w14:textId="21A8D2B5" w:rsidR="003E4AFC" w:rsidRP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The table shows that the sample is almost equally distributed by gender, with male and female respondents each accounting for 49.8 percent of the total sample. In terms of age, the majority of respondents (56.9 percent) fall within the 21</w:t>
      </w:r>
      <w:r w:rsidR="00A432AD">
        <w:rPr>
          <w:rFonts w:ascii="Times New Roman" w:hAnsi="Times New Roman" w:cs="Times New Roman"/>
          <w:sz w:val="24"/>
          <w:szCs w:val="24"/>
        </w:rPr>
        <w:t>-</w:t>
      </w:r>
      <w:r w:rsidRPr="003E4AFC">
        <w:rPr>
          <w:rFonts w:ascii="Times New Roman" w:hAnsi="Times New Roman" w:cs="Times New Roman"/>
          <w:sz w:val="24"/>
          <w:szCs w:val="24"/>
        </w:rPr>
        <w:t>23 age group, followed by 31.6 percent in the 18</w:t>
      </w:r>
      <w:r w:rsidR="00A432AD">
        <w:rPr>
          <w:rFonts w:ascii="Times New Roman" w:hAnsi="Times New Roman" w:cs="Times New Roman"/>
          <w:sz w:val="24"/>
          <w:szCs w:val="24"/>
        </w:rPr>
        <w:t>-</w:t>
      </w:r>
      <w:r w:rsidRPr="003E4AFC">
        <w:rPr>
          <w:rFonts w:ascii="Times New Roman" w:hAnsi="Times New Roman" w:cs="Times New Roman"/>
          <w:sz w:val="24"/>
          <w:szCs w:val="24"/>
        </w:rPr>
        <w:t>20 category.</w:t>
      </w:r>
      <w:r>
        <w:rPr>
          <w:rFonts w:ascii="Times New Roman" w:hAnsi="Times New Roman" w:cs="Times New Roman"/>
          <w:sz w:val="24"/>
          <w:szCs w:val="24"/>
        </w:rPr>
        <w:t xml:space="preserve"> </w:t>
      </w:r>
      <w:r w:rsidRPr="003E4AFC">
        <w:rPr>
          <w:rFonts w:ascii="Times New Roman" w:hAnsi="Times New Roman" w:cs="Times New Roman"/>
          <w:sz w:val="24"/>
          <w:szCs w:val="24"/>
        </w:rPr>
        <w:t xml:space="preserve">With regard to course level, a large proportion of the respondents (79.9 percent) are undergraduate students, while 20.1 percent are postgraduate students. In terms of academic discipline, most respondents belong to the Arts and Humanities stream (59.5 percent), followed by </w:t>
      </w:r>
      <w:r w:rsidR="002C5591">
        <w:rPr>
          <w:rFonts w:ascii="Times New Roman" w:hAnsi="Times New Roman" w:cs="Times New Roman"/>
          <w:sz w:val="24"/>
          <w:szCs w:val="24"/>
        </w:rPr>
        <w:lastRenderedPageBreak/>
        <w:t xml:space="preserve">the </w:t>
      </w:r>
      <w:r w:rsidRPr="003E4AFC">
        <w:rPr>
          <w:rFonts w:ascii="Times New Roman" w:hAnsi="Times New Roman" w:cs="Times New Roman"/>
          <w:sz w:val="24"/>
          <w:szCs w:val="24"/>
        </w:rPr>
        <w:t xml:space="preserve">Science (15.6 percent) and Commerce/Management (12.6 percent). A smaller proportion of </w:t>
      </w:r>
      <w:r w:rsidR="002C5591">
        <w:rPr>
          <w:rFonts w:ascii="Times New Roman" w:hAnsi="Times New Roman" w:cs="Times New Roman"/>
          <w:sz w:val="24"/>
          <w:szCs w:val="24"/>
        </w:rPr>
        <w:t xml:space="preserve">the </w:t>
      </w:r>
      <w:r w:rsidRPr="003E4AFC">
        <w:rPr>
          <w:rFonts w:ascii="Times New Roman" w:hAnsi="Times New Roman" w:cs="Times New Roman"/>
          <w:sz w:val="24"/>
          <w:szCs w:val="24"/>
        </w:rPr>
        <w:t>students are from Engineering/Technology and other fields.</w:t>
      </w:r>
    </w:p>
    <w:p w14:paraId="05D64AEE" w14:textId="274AC4B1" w:rsidR="003E4AFC" w:rsidRP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The distribution across year of study indicates that the largest group of respondents (45.4 percent) are in their third year, followed by final-year students (21.9 percent), second-year students (18.2 percent), and first-year students (14.5 percent).</w:t>
      </w:r>
    </w:p>
    <w:p w14:paraId="21B76728" w14:textId="2B789319" w:rsid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Overall, the sample represents a diverse group of college students, providing a suitable basis for analyzing employability skills and career preparedness.</w:t>
      </w:r>
    </w:p>
    <w:p w14:paraId="31E49369" w14:textId="77777777" w:rsidR="000E721A" w:rsidRPr="000E721A" w:rsidRDefault="000E721A" w:rsidP="000E721A">
      <w:pPr>
        <w:jc w:val="both"/>
        <w:rPr>
          <w:rFonts w:ascii="Times New Roman" w:hAnsi="Times New Roman" w:cs="Times New Roman"/>
          <w:b/>
          <w:sz w:val="24"/>
          <w:szCs w:val="24"/>
        </w:rPr>
      </w:pPr>
      <w:r w:rsidRPr="000E721A">
        <w:rPr>
          <w:rFonts w:ascii="Times New Roman" w:hAnsi="Times New Roman" w:cs="Times New Roman"/>
          <w:b/>
          <w:sz w:val="24"/>
          <w:szCs w:val="24"/>
        </w:rPr>
        <w:t>4.2 Descriptive Analysis of Employability Skills and Career Preparedness</w:t>
      </w:r>
    </w:p>
    <w:p w14:paraId="5B344D13" w14:textId="6E411119" w:rsidR="00A50C61" w:rsidRDefault="00A50C61" w:rsidP="000E721A">
      <w:pPr>
        <w:jc w:val="both"/>
        <w:rPr>
          <w:rFonts w:ascii="Times New Roman" w:hAnsi="Times New Roman" w:cs="Times New Roman"/>
          <w:sz w:val="24"/>
          <w:szCs w:val="24"/>
        </w:rPr>
      </w:pPr>
      <w:r w:rsidRPr="00A50C61">
        <w:rPr>
          <w:rFonts w:ascii="Times New Roman" w:hAnsi="Times New Roman" w:cs="Times New Roman"/>
          <w:sz w:val="24"/>
          <w:szCs w:val="24"/>
        </w:rPr>
        <w:t xml:space="preserve">To assess overall level of employability skills and career preparedness among college students, mean scores were calculated for both variables based on </w:t>
      </w:r>
      <w:r w:rsidR="002C5591">
        <w:rPr>
          <w:rFonts w:ascii="Times New Roman" w:hAnsi="Times New Roman" w:cs="Times New Roman"/>
          <w:sz w:val="24"/>
          <w:szCs w:val="24"/>
        </w:rPr>
        <w:t xml:space="preserve">the </w:t>
      </w:r>
      <w:r w:rsidRPr="00A50C61">
        <w:rPr>
          <w:rFonts w:ascii="Times New Roman" w:hAnsi="Times New Roman" w:cs="Times New Roman"/>
          <w:sz w:val="24"/>
          <w:szCs w:val="24"/>
        </w:rPr>
        <w:t xml:space="preserve">responses obtained through Likert scale. The results are presented in Table 2. The findings show that the mean score for employability skills is 3.47, while the mean score for career preparedness is 3.41 on a 5-point scale. These values indicate that </w:t>
      </w:r>
      <w:r w:rsidR="002C5591">
        <w:rPr>
          <w:rFonts w:ascii="Times New Roman" w:hAnsi="Times New Roman" w:cs="Times New Roman"/>
          <w:sz w:val="24"/>
          <w:szCs w:val="24"/>
        </w:rPr>
        <w:t xml:space="preserve">the </w:t>
      </w:r>
      <w:r w:rsidRPr="00A50C61">
        <w:rPr>
          <w:rFonts w:ascii="Times New Roman" w:hAnsi="Times New Roman" w:cs="Times New Roman"/>
          <w:sz w:val="24"/>
          <w:szCs w:val="24"/>
        </w:rPr>
        <w:t xml:space="preserve">students exhibit a moderate level, tending towards </w:t>
      </w:r>
      <w:r w:rsidR="002C5591">
        <w:rPr>
          <w:rFonts w:ascii="Times New Roman" w:hAnsi="Times New Roman" w:cs="Times New Roman"/>
          <w:sz w:val="24"/>
          <w:szCs w:val="24"/>
        </w:rPr>
        <w:t xml:space="preserve">the </w:t>
      </w:r>
      <w:r w:rsidRPr="00A50C61">
        <w:rPr>
          <w:rFonts w:ascii="Times New Roman" w:hAnsi="Times New Roman" w:cs="Times New Roman"/>
          <w:sz w:val="24"/>
          <w:szCs w:val="24"/>
        </w:rPr>
        <w:t>moderately high, of both employability skills and career preparedness.</w:t>
      </w:r>
    </w:p>
    <w:p w14:paraId="4AD40608" w14:textId="1122D840" w:rsidR="000E721A" w:rsidRDefault="000E721A" w:rsidP="000E721A">
      <w:pPr>
        <w:jc w:val="both"/>
        <w:rPr>
          <w:rFonts w:ascii="Times New Roman" w:hAnsi="Times New Roman" w:cs="Times New Roman"/>
          <w:b/>
          <w:sz w:val="24"/>
          <w:szCs w:val="24"/>
        </w:rPr>
      </w:pPr>
      <w:r w:rsidRPr="000E721A">
        <w:rPr>
          <w:rFonts w:ascii="Times New Roman" w:hAnsi="Times New Roman" w:cs="Times New Roman"/>
          <w:b/>
          <w:sz w:val="24"/>
          <w:szCs w:val="24"/>
        </w:rPr>
        <w:t>Table 2</w:t>
      </w:r>
      <w:r w:rsidR="00E678FF">
        <w:rPr>
          <w:rFonts w:ascii="Times New Roman" w:hAnsi="Times New Roman" w:cs="Times New Roman"/>
          <w:b/>
          <w:sz w:val="24"/>
          <w:szCs w:val="24"/>
        </w:rPr>
        <w:t>.</w:t>
      </w:r>
      <w:r w:rsidRPr="000E721A">
        <w:rPr>
          <w:rFonts w:ascii="Times New Roman" w:hAnsi="Times New Roman" w:cs="Times New Roman"/>
          <w:b/>
          <w:sz w:val="24"/>
          <w:szCs w:val="24"/>
        </w:rPr>
        <w:t xml:space="preserve"> Descriptive Statistics of Key Variables</w:t>
      </w:r>
    </w:p>
    <w:tbl>
      <w:tblPr>
        <w:tblStyle w:val="TableGrid"/>
        <w:tblW w:w="9359" w:type="dxa"/>
        <w:tblLook w:val="04A0" w:firstRow="1" w:lastRow="0" w:firstColumn="1" w:lastColumn="0" w:noHBand="0" w:noVBand="1"/>
      </w:tblPr>
      <w:tblGrid>
        <w:gridCol w:w="3937"/>
        <w:gridCol w:w="1439"/>
        <w:gridCol w:w="3983"/>
      </w:tblGrid>
      <w:tr w:rsidR="000E721A" w:rsidRPr="000E721A" w14:paraId="206A18EF" w14:textId="77777777" w:rsidTr="000E721A">
        <w:trPr>
          <w:trHeight w:val="335"/>
        </w:trPr>
        <w:tc>
          <w:tcPr>
            <w:tcW w:w="0" w:type="auto"/>
            <w:hideMark/>
          </w:tcPr>
          <w:p w14:paraId="0775A9C2"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Variable</w:t>
            </w:r>
          </w:p>
        </w:tc>
        <w:tc>
          <w:tcPr>
            <w:tcW w:w="0" w:type="auto"/>
            <w:hideMark/>
          </w:tcPr>
          <w:p w14:paraId="47FE3F2F"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Mean</w:t>
            </w:r>
          </w:p>
        </w:tc>
        <w:tc>
          <w:tcPr>
            <w:tcW w:w="0" w:type="auto"/>
            <w:hideMark/>
          </w:tcPr>
          <w:p w14:paraId="7FCAC164"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Standard Deviation</w:t>
            </w:r>
          </w:p>
        </w:tc>
      </w:tr>
      <w:tr w:rsidR="000E721A" w:rsidRPr="000E721A" w14:paraId="4A7E73FB" w14:textId="77777777" w:rsidTr="000E721A">
        <w:trPr>
          <w:trHeight w:val="359"/>
        </w:trPr>
        <w:tc>
          <w:tcPr>
            <w:tcW w:w="0" w:type="auto"/>
            <w:hideMark/>
          </w:tcPr>
          <w:p w14:paraId="214B4931"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Employability Skills</w:t>
            </w:r>
          </w:p>
        </w:tc>
        <w:tc>
          <w:tcPr>
            <w:tcW w:w="0" w:type="auto"/>
            <w:hideMark/>
          </w:tcPr>
          <w:p w14:paraId="60439166"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3.47</w:t>
            </w:r>
          </w:p>
        </w:tc>
        <w:tc>
          <w:tcPr>
            <w:tcW w:w="0" w:type="auto"/>
            <w:hideMark/>
          </w:tcPr>
          <w:p w14:paraId="1B2DE387"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0.66</w:t>
            </w:r>
          </w:p>
        </w:tc>
      </w:tr>
      <w:tr w:rsidR="000E721A" w:rsidRPr="000E721A" w14:paraId="36C5D13D" w14:textId="77777777" w:rsidTr="000E721A">
        <w:trPr>
          <w:trHeight w:val="311"/>
        </w:trPr>
        <w:tc>
          <w:tcPr>
            <w:tcW w:w="0" w:type="auto"/>
            <w:hideMark/>
          </w:tcPr>
          <w:p w14:paraId="70343807"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Career Preparedness</w:t>
            </w:r>
          </w:p>
        </w:tc>
        <w:tc>
          <w:tcPr>
            <w:tcW w:w="0" w:type="auto"/>
            <w:hideMark/>
          </w:tcPr>
          <w:p w14:paraId="1E564833"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3.41</w:t>
            </w:r>
          </w:p>
        </w:tc>
        <w:tc>
          <w:tcPr>
            <w:tcW w:w="0" w:type="auto"/>
            <w:hideMark/>
          </w:tcPr>
          <w:p w14:paraId="6F1C967B"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0.69</w:t>
            </w:r>
          </w:p>
        </w:tc>
      </w:tr>
    </w:tbl>
    <w:p w14:paraId="0D3935CE" w14:textId="7FDA2FAD" w:rsidR="000E721A" w:rsidRPr="00A432AD" w:rsidRDefault="00A432AD" w:rsidP="000E721A">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6AA269AA" w14:textId="6C5D74BC" w:rsidR="00A50C61" w:rsidRDefault="00A50C61" w:rsidP="000E721A">
      <w:pPr>
        <w:jc w:val="both"/>
        <w:rPr>
          <w:rFonts w:ascii="Times New Roman" w:hAnsi="Times New Roman" w:cs="Times New Roman"/>
          <w:sz w:val="24"/>
          <w:szCs w:val="24"/>
        </w:rPr>
      </w:pPr>
      <w:r w:rsidRPr="00A50C61">
        <w:rPr>
          <w:rFonts w:ascii="Times New Roman" w:hAnsi="Times New Roman" w:cs="Times New Roman"/>
          <w:sz w:val="24"/>
          <w:szCs w:val="24"/>
        </w:rPr>
        <w:t>The relatively close values of the mean scores suggest that students’ level of career preparedness is broadly aligned with their level of employability skills. However, since both mean values are only slightly above the neutral point (3), there remains scope for improvement, particularly in strengthening specific skill areas and enhancing career readiness initiatives among students.</w:t>
      </w:r>
    </w:p>
    <w:p w14:paraId="59CE5675" w14:textId="0078172F" w:rsidR="00ED57B4" w:rsidRDefault="00ED57B4" w:rsidP="00ED57B4">
      <w:pPr>
        <w:jc w:val="both"/>
        <w:rPr>
          <w:rFonts w:ascii="Times New Roman" w:hAnsi="Times New Roman" w:cs="Times New Roman"/>
          <w:b/>
          <w:sz w:val="24"/>
          <w:szCs w:val="24"/>
        </w:rPr>
      </w:pPr>
      <w:r w:rsidRPr="00ED57B4">
        <w:rPr>
          <w:rFonts w:ascii="Times New Roman" w:hAnsi="Times New Roman" w:cs="Times New Roman"/>
          <w:b/>
          <w:sz w:val="24"/>
          <w:szCs w:val="24"/>
        </w:rPr>
        <w:t>Figure 1</w:t>
      </w:r>
      <w:r w:rsidR="00E678FF">
        <w:rPr>
          <w:rFonts w:ascii="Times New Roman" w:hAnsi="Times New Roman" w:cs="Times New Roman"/>
          <w:b/>
          <w:sz w:val="24"/>
          <w:szCs w:val="24"/>
        </w:rPr>
        <w:t>.</w:t>
      </w:r>
      <w:r w:rsidRPr="00ED57B4">
        <w:rPr>
          <w:rFonts w:ascii="Times New Roman" w:hAnsi="Times New Roman" w:cs="Times New Roman"/>
          <w:b/>
          <w:sz w:val="24"/>
          <w:szCs w:val="24"/>
        </w:rPr>
        <w:t xml:space="preserve"> Mean Scores of Employability Skills and Career Preparedness</w:t>
      </w:r>
    </w:p>
    <w:p w14:paraId="6E6D3E84" w14:textId="6C62F273" w:rsidR="00ED57B4" w:rsidRPr="00ED57B4" w:rsidRDefault="00ED57B4" w:rsidP="00ED57B4">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AFC2562" wp14:editId="1515DD97">
            <wp:extent cx="4678878" cy="2398816"/>
            <wp:effectExtent l="0" t="0" r="762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7AEC89" w14:textId="488DB705" w:rsidR="00ED57B4" w:rsidRPr="00A432AD" w:rsidRDefault="00A432AD" w:rsidP="00ED57B4">
      <w:pPr>
        <w:jc w:val="both"/>
        <w:rPr>
          <w:rFonts w:ascii="Times New Roman" w:hAnsi="Times New Roman" w:cs="Times New Roman"/>
          <w:b/>
          <w:sz w:val="24"/>
          <w:szCs w:val="24"/>
        </w:rPr>
      </w:pPr>
      <w:r w:rsidRPr="00A432AD">
        <w:rPr>
          <w:rFonts w:ascii="Times New Roman" w:hAnsi="Times New Roman" w:cs="Times New Roman"/>
          <w:b/>
          <w:sz w:val="24"/>
          <w:szCs w:val="24"/>
        </w:rPr>
        <w:lastRenderedPageBreak/>
        <w:t xml:space="preserve">Source: </w:t>
      </w:r>
      <w:r w:rsidRPr="00A432AD">
        <w:rPr>
          <w:rFonts w:ascii="Times New Roman" w:hAnsi="Times New Roman" w:cs="Times New Roman"/>
          <w:sz w:val="24"/>
          <w:szCs w:val="24"/>
        </w:rPr>
        <w:t>Author’s calculation based on primary data</w:t>
      </w:r>
    </w:p>
    <w:p w14:paraId="1B0E5921" w14:textId="086CD4B5" w:rsidR="001E4970" w:rsidRDefault="001007E7" w:rsidP="00ED57B4">
      <w:pPr>
        <w:jc w:val="both"/>
        <w:rPr>
          <w:rFonts w:ascii="Times New Roman" w:hAnsi="Times New Roman" w:cs="Times New Roman"/>
          <w:sz w:val="24"/>
          <w:szCs w:val="24"/>
        </w:rPr>
      </w:pPr>
      <w:r w:rsidRPr="001007E7">
        <w:rPr>
          <w:rFonts w:ascii="Times New Roman" w:hAnsi="Times New Roman" w:cs="Times New Roman"/>
          <w:sz w:val="24"/>
          <w:szCs w:val="24"/>
        </w:rPr>
        <w:t>Figure 1 shows that the mean score of employability skills (3.47) is slightly higher than that of career preparedness (3.41), indicating that while students report a moderate level of employability skills, their perceived readiness for future careers is comparatively lower.</w:t>
      </w:r>
    </w:p>
    <w:p w14:paraId="3ECBB947" w14:textId="77777777" w:rsidR="001007E7" w:rsidRPr="001007E7" w:rsidRDefault="001007E7" w:rsidP="001007E7">
      <w:pPr>
        <w:jc w:val="both"/>
        <w:rPr>
          <w:rFonts w:ascii="Times New Roman" w:hAnsi="Times New Roman" w:cs="Times New Roman"/>
          <w:b/>
          <w:sz w:val="24"/>
          <w:szCs w:val="24"/>
        </w:rPr>
      </w:pPr>
      <w:r w:rsidRPr="001007E7">
        <w:rPr>
          <w:rFonts w:ascii="Times New Roman" w:hAnsi="Times New Roman" w:cs="Times New Roman"/>
          <w:b/>
          <w:sz w:val="24"/>
          <w:szCs w:val="24"/>
        </w:rPr>
        <w:t>4.3 Correlation Analysis between Employability Skills and Career Preparedness</w:t>
      </w:r>
    </w:p>
    <w:p w14:paraId="2F0E06CA" w14:textId="68C2BB00" w:rsidR="00A50C61" w:rsidRPr="00A50C61" w:rsidRDefault="00A50C61" w:rsidP="00A50C61">
      <w:pPr>
        <w:jc w:val="both"/>
        <w:rPr>
          <w:rFonts w:ascii="Times New Roman" w:hAnsi="Times New Roman" w:cs="Times New Roman"/>
          <w:sz w:val="24"/>
          <w:szCs w:val="24"/>
        </w:rPr>
      </w:pPr>
      <w:r w:rsidRPr="00A50C61">
        <w:rPr>
          <w:rFonts w:ascii="Times New Roman" w:hAnsi="Times New Roman" w:cs="Times New Roman"/>
          <w:sz w:val="24"/>
          <w:szCs w:val="24"/>
        </w:rPr>
        <w:t>To examine relationship between employability skills and career preparedness among college students,</w:t>
      </w:r>
      <w:r w:rsidR="002C5591">
        <w:rPr>
          <w:rFonts w:ascii="Times New Roman" w:hAnsi="Times New Roman" w:cs="Times New Roman"/>
          <w:sz w:val="24"/>
          <w:szCs w:val="24"/>
        </w:rPr>
        <w:t xml:space="preserve"> the</w:t>
      </w:r>
      <w:r w:rsidRPr="00A50C61">
        <w:rPr>
          <w:rFonts w:ascii="Times New Roman" w:hAnsi="Times New Roman" w:cs="Times New Roman"/>
          <w:sz w:val="24"/>
          <w:szCs w:val="24"/>
        </w:rPr>
        <w:t xml:space="preserve"> Pearson’s correlation analysis was conducted, and the results are presented in Table 3. The findings </w:t>
      </w:r>
      <w:r w:rsidR="00CA1FD5" w:rsidRPr="00A50C61">
        <w:rPr>
          <w:rFonts w:ascii="Times New Roman" w:hAnsi="Times New Roman" w:cs="Times New Roman"/>
          <w:sz w:val="24"/>
          <w:szCs w:val="24"/>
        </w:rPr>
        <w:t>reveal positive</w:t>
      </w:r>
      <w:r w:rsidRPr="00A50C61">
        <w:rPr>
          <w:rFonts w:ascii="Times New Roman" w:hAnsi="Times New Roman" w:cs="Times New Roman"/>
          <w:sz w:val="24"/>
          <w:szCs w:val="24"/>
        </w:rPr>
        <w:t xml:space="preserve"> and statistically significant relationship between the two variables, with a correlation coefficient of r = 0.64. This indicates a moderately strong positive association, suggesting that students with higher levels of employability skills tend to exhibit higher levels of career preparedness.</w:t>
      </w:r>
    </w:p>
    <w:p w14:paraId="57686B67" w14:textId="640CCA57" w:rsidR="000722F6" w:rsidRPr="000722F6" w:rsidRDefault="000722F6" w:rsidP="001007E7">
      <w:pPr>
        <w:jc w:val="both"/>
        <w:rPr>
          <w:rFonts w:ascii="Times New Roman" w:hAnsi="Times New Roman" w:cs="Times New Roman"/>
          <w:b/>
          <w:sz w:val="24"/>
          <w:szCs w:val="24"/>
        </w:rPr>
      </w:pPr>
      <w:r w:rsidRPr="000722F6">
        <w:rPr>
          <w:rFonts w:ascii="Times New Roman" w:hAnsi="Times New Roman" w:cs="Times New Roman"/>
          <w:b/>
          <w:sz w:val="24"/>
          <w:szCs w:val="24"/>
        </w:rPr>
        <w:t>Table 3</w:t>
      </w:r>
      <w:r w:rsidR="00E678FF">
        <w:rPr>
          <w:rFonts w:ascii="Times New Roman" w:hAnsi="Times New Roman" w:cs="Times New Roman"/>
          <w:b/>
          <w:sz w:val="24"/>
          <w:szCs w:val="24"/>
        </w:rPr>
        <w:t>.</w:t>
      </w:r>
      <w:r w:rsidRPr="000722F6">
        <w:rPr>
          <w:rFonts w:ascii="Times New Roman" w:hAnsi="Times New Roman" w:cs="Times New Roman"/>
          <w:b/>
          <w:sz w:val="24"/>
          <w:szCs w:val="24"/>
        </w:rPr>
        <w:t xml:space="preserve"> Correlation between Employability Skills and Career Preparedness</w:t>
      </w:r>
    </w:p>
    <w:tbl>
      <w:tblPr>
        <w:tblStyle w:val="TableGrid"/>
        <w:tblW w:w="9351" w:type="dxa"/>
        <w:tblLook w:val="04A0" w:firstRow="1" w:lastRow="0" w:firstColumn="1" w:lastColumn="0" w:noHBand="0" w:noVBand="1"/>
      </w:tblPr>
      <w:tblGrid>
        <w:gridCol w:w="2991"/>
        <w:gridCol w:w="3117"/>
        <w:gridCol w:w="3243"/>
      </w:tblGrid>
      <w:tr w:rsidR="001007E7" w:rsidRPr="001007E7" w14:paraId="26FD0A1C" w14:textId="77777777" w:rsidTr="001007E7">
        <w:trPr>
          <w:trHeight w:val="302"/>
        </w:trPr>
        <w:tc>
          <w:tcPr>
            <w:tcW w:w="0" w:type="auto"/>
            <w:hideMark/>
          </w:tcPr>
          <w:p w14:paraId="7B615B39"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Variables</w:t>
            </w:r>
          </w:p>
        </w:tc>
        <w:tc>
          <w:tcPr>
            <w:tcW w:w="0" w:type="auto"/>
            <w:hideMark/>
          </w:tcPr>
          <w:p w14:paraId="60F5A320"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Employability Skills</w:t>
            </w:r>
          </w:p>
        </w:tc>
        <w:tc>
          <w:tcPr>
            <w:tcW w:w="0" w:type="auto"/>
            <w:hideMark/>
          </w:tcPr>
          <w:p w14:paraId="4A7FE18F"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Career Preparedness</w:t>
            </w:r>
          </w:p>
        </w:tc>
      </w:tr>
      <w:tr w:rsidR="001007E7" w:rsidRPr="001007E7" w14:paraId="06AE38D0" w14:textId="77777777" w:rsidTr="001007E7">
        <w:trPr>
          <w:trHeight w:val="324"/>
        </w:trPr>
        <w:tc>
          <w:tcPr>
            <w:tcW w:w="0" w:type="auto"/>
            <w:hideMark/>
          </w:tcPr>
          <w:p w14:paraId="5479A1DF"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Employability Skills</w:t>
            </w:r>
          </w:p>
        </w:tc>
        <w:tc>
          <w:tcPr>
            <w:tcW w:w="0" w:type="auto"/>
            <w:hideMark/>
          </w:tcPr>
          <w:p w14:paraId="5943CFB6"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1</w:t>
            </w:r>
          </w:p>
        </w:tc>
        <w:tc>
          <w:tcPr>
            <w:tcW w:w="0" w:type="auto"/>
            <w:hideMark/>
          </w:tcPr>
          <w:p w14:paraId="198461F2"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0.64**</w:t>
            </w:r>
          </w:p>
        </w:tc>
      </w:tr>
      <w:tr w:rsidR="001007E7" w:rsidRPr="001007E7" w14:paraId="5132F31C" w14:textId="77777777" w:rsidTr="001007E7">
        <w:trPr>
          <w:trHeight w:val="280"/>
        </w:trPr>
        <w:tc>
          <w:tcPr>
            <w:tcW w:w="0" w:type="auto"/>
            <w:hideMark/>
          </w:tcPr>
          <w:p w14:paraId="64C64A5E"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Career Preparedness</w:t>
            </w:r>
          </w:p>
        </w:tc>
        <w:tc>
          <w:tcPr>
            <w:tcW w:w="0" w:type="auto"/>
            <w:hideMark/>
          </w:tcPr>
          <w:p w14:paraId="261FEAF1"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0.64**</w:t>
            </w:r>
          </w:p>
        </w:tc>
        <w:tc>
          <w:tcPr>
            <w:tcW w:w="0" w:type="auto"/>
            <w:hideMark/>
          </w:tcPr>
          <w:p w14:paraId="3184DD85"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1</w:t>
            </w:r>
          </w:p>
        </w:tc>
      </w:tr>
    </w:tbl>
    <w:p w14:paraId="67D38CBE" w14:textId="16B93232" w:rsidR="001007E7" w:rsidRPr="00A432AD" w:rsidRDefault="00A432AD" w:rsidP="001007E7">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r>
        <w:rPr>
          <w:rFonts w:ascii="Times New Roman" w:hAnsi="Times New Roman" w:cs="Times New Roman"/>
          <w:sz w:val="24"/>
          <w:szCs w:val="24"/>
        </w:rPr>
        <w:t xml:space="preserve">          </w:t>
      </w:r>
      <w:r w:rsidR="001007E7" w:rsidRPr="00E678FF">
        <w:rPr>
          <w:rFonts w:ascii="Times New Roman" w:hAnsi="Times New Roman" w:cs="Times New Roman"/>
          <w:b/>
          <w:sz w:val="24"/>
          <w:szCs w:val="24"/>
        </w:rPr>
        <w:t>Note:</w:t>
      </w:r>
      <w:r w:rsidR="001007E7" w:rsidRPr="001007E7">
        <w:rPr>
          <w:rFonts w:ascii="Times New Roman" w:hAnsi="Times New Roman" w:cs="Times New Roman"/>
          <w:sz w:val="24"/>
          <w:szCs w:val="24"/>
        </w:rPr>
        <w:t xml:space="preserve"> p &lt; 0.01 (significant at 1% level)</w:t>
      </w:r>
    </w:p>
    <w:p w14:paraId="768D6213" w14:textId="77777777" w:rsidR="00A50C61" w:rsidRDefault="00A50C61" w:rsidP="00A50C61">
      <w:pPr>
        <w:jc w:val="both"/>
        <w:rPr>
          <w:rFonts w:ascii="Times New Roman" w:hAnsi="Times New Roman" w:cs="Times New Roman"/>
          <w:sz w:val="24"/>
          <w:szCs w:val="24"/>
        </w:rPr>
      </w:pPr>
    </w:p>
    <w:p w14:paraId="67983C47" w14:textId="28F862C6" w:rsidR="00A50C61" w:rsidRPr="00A50C61" w:rsidRDefault="00A50C61" w:rsidP="001007E7">
      <w:pPr>
        <w:jc w:val="both"/>
        <w:rPr>
          <w:rFonts w:ascii="Times New Roman" w:hAnsi="Times New Roman" w:cs="Times New Roman"/>
          <w:sz w:val="24"/>
          <w:szCs w:val="24"/>
        </w:rPr>
      </w:pPr>
      <w:r w:rsidRPr="00A50C61">
        <w:rPr>
          <w:rFonts w:ascii="Times New Roman" w:hAnsi="Times New Roman" w:cs="Times New Roman"/>
          <w:sz w:val="24"/>
          <w:szCs w:val="24"/>
        </w:rPr>
        <w:t>The significance level (p &lt; 0.01) confirms that the relationship is statistically significant. Therefore, the null hypothesis (H01) is rejected, and the alternative hypothesis is accepted. This result indicates that employability skills play an important role in influencing career preparedness among college students in Nagaland.</w:t>
      </w:r>
    </w:p>
    <w:p w14:paraId="69731F95" w14:textId="18BC080A" w:rsidR="001007E7" w:rsidRPr="001007E7" w:rsidRDefault="001007E7" w:rsidP="001007E7">
      <w:pPr>
        <w:jc w:val="both"/>
        <w:rPr>
          <w:rFonts w:ascii="Times New Roman" w:hAnsi="Times New Roman" w:cs="Times New Roman"/>
          <w:b/>
          <w:sz w:val="24"/>
          <w:szCs w:val="24"/>
        </w:rPr>
      </w:pPr>
      <w:r w:rsidRPr="001007E7">
        <w:rPr>
          <w:rFonts w:ascii="Times New Roman" w:hAnsi="Times New Roman" w:cs="Times New Roman"/>
          <w:b/>
          <w:sz w:val="24"/>
          <w:szCs w:val="24"/>
        </w:rPr>
        <w:t>Figure 2</w:t>
      </w:r>
      <w:r w:rsidR="00E678FF">
        <w:rPr>
          <w:rFonts w:ascii="Times New Roman" w:hAnsi="Times New Roman" w:cs="Times New Roman"/>
          <w:b/>
          <w:sz w:val="24"/>
          <w:szCs w:val="24"/>
        </w:rPr>
        <w:t>.</w:t>
      </w:r>
      <w:r w:rsidRPr="001007E7">
        <w:rPr>
          <w:rFonts w:ascii="Times New Roman" w:hAnsi="Times New Roman" w:cs="Times New Roman"/>
          <w:b/>
          <w:sz w:val="24"/>
          <w:szCs w:val="24"/>
        </w:rPr>
        <w:t xml:space="preserve"> Relationship between Employability Skills and Career Preparedness</w:t>
      </w:r>
    </w:p>
    <w:p w14:paraId="492B29F3" w14:textId="441CA2D0" w:rsidR="001007E7" w:rsidRDefault="008D7CA9" w:rsidP="001007E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9EF0CA" wp14:editId="2932A202">
            <wp:extent cx="4168239" cy="276797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png"/>
                    <pic:cNvPicPr/>
                  </pic:nvPicPr>
                  <pic:blipFill>
                    <a:blip r:embed="rId8">
                      <a:extLst>
                        <a:ext uri="{28A0092B-C50C-407E-A947-70E740481C1C}">
                          <a14:useLocalDpi xmlns:a14="http://schemas.microsoft.com/office/drawing/2010/main" val="0"/>
                        </a:ext>
                      </a:extLst>
                    </a:blip>
                    <a:stretch>
                      <a:fillRect/>
                    </a:stretch>
                  </pic:blipFill>
                  <pic:spPr>
                    <a:xfrm>
                      <a:off x="0" y="0"/>
                      <a:ext cx="4186591" cy="2780158"/>
                    </a:xfrm>
                    <a:prstGeom prst="rect">
                      <a:avLst/>
                    </a:prstGeom>
                  </pic:spPr>
                </pic:pic>
              </a:graphicData>
            </a:graphic>
          </wp:inline>
        </w:drawing>
      </w:r>
    </w:p>
    <w:p w14:paraId="351FDF96" w14:textId="436AEAD8" w:rsidR="001007E7" w:rsidRPr="00E678FF" w:rsidRDefault="00E678FF" w:rsidP="001007E7">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008F7518" w14:textId="17F535DB" w:rsidR="001007E7" w:rsidRPr="001007E7" w:rsidRDefault="001007E7" w:rsidP="001007E7">
      <w:pPr>
        <w:jc w:val="both"/>
        <w:rPr>
          <w:rFonts w:ascii="Times New Roman" w:hAnsi="Times New Roman" w:cs="Times New Roman"/>
          <w:sz w:val="24"/>
          <w:szCs w:val="24"/>
        </w:rPr>
      </w:pPr>
      <w:r w:rsidRPr="001007E7">
        <w:rPr>
          <w:rFonts w:ascii="Times New Roman" w:hAnsi="Times New Roman" w:cs="Times New Roman"/>
          <w:sz w:val="24"/>
          <w:szCs w:val="24"/>
        </w:rPr>
        <w:lastRenderedPageBreak/>
        <w:t>The scatter plot illustrates the relationship between employability skills and career preparedness. The upward-sloping trend line indicates a positive linear relationship between the two variables. This visual representation reinforces the correlation result, showing that as employability skills increase, career preparedness also tends to increase among students.</w:t>
      </w:r>
    </w:p>
    <w:p w14:paraId="1A4EB0E4" w14:textId="77777777" w:rsidR="00532EE4" w:rsidRDefault="00532EE4" w:rsidP="00B10C19">
      <w:pPr>
        <w:jc w:val="both"/>
        <w:rPr>
          <w:rFonts w:ascii="Times New Roman" w:hAnsi="Times New Roman" w:cs="Times New Roman"/>
          <w:b/>
          <w:sz w:val="24"/>
          <w:szCs w:val="24"/>
        </w:rPr>
      </w:pPr>
    </w:p>
    <w:p w14:paraId="23D6599A" w14:textId="6151CDBD" w:rsidR="00B10C19" w:rsidRPr="00600C1E" w:rsidRDefault="00B10C19" w:rsidP="00B10C19">
      <w:pPr>
        <w:jc w:val="both"/>
        <w:rPr>
          <w:rFonts w:ascii="Times New Roman" w:hAnsi="Times New Roman" w:cs="Times New Roman"/>
          <w:b/>
          <w:sz w:val="24"/>
          <w:szCs w:val="24"/>
        </w:rPr>
      </w:pPr>
      <w:r w:rsidRPr="00B10C19">
        <w:rPr>
          <w:rFonts w:ascii="Times New Roman" w:hAnsi="Times New Roman" w:cs="Times New Roman"/>
          <w:b/>
          <w:sz w:val="24"/>
          <w:szCs w:val="24"/>
        </w:rPr>
        <w:t>5. Discussion</w:t>
      </w:r>
    </w:p>
    <w:p w14:paraId="3EAD8C9B" w14:textId="1ABF4AC2" w:rsidR="009864CA" w:rsidRDefault="009864CA" w:rsidP="0000442E">
      <w:pPr>
        <w:jc w:val="both"/>
        <w:rPr>
          <w:rFonts w:ascii="Times New Roman" w:hAnsi="Times New Roman" w:cs="Times New Roman"/>
          <w:sz w:val="24"/>
          <w:szCs w:val="24"/>
        </w:rPr>
      </w:pPr>
      <w:r w:rsidRPr="009864CA">
        <w:rPr>
          <w:rFonts w:ascii="Times New Roman" w:hAnsi="Times New Roman" w:cs="Times New Roman"/>
          <w:sz w:val="24"/>
          <w:szCs w:val="24"/>
        </w:rPr>
        <w:t>The research results give valuable information about the degree of employment skills and career readiness of college students in Nagaland and the connection between these two factors. The outcome of the descriptive study shows that pupils have a moderate, somewhat high level of employability skills and career preparedness. This means that although students have some core skills like communication, team-building, and problem-solving, they are far from ready at a very high level for future careers, which shows that they need to be improved through real-life experiences and skill development programs</w:t>
      </w:r>
      <w:r>
        <w:rPr>
          <w:rFonts w:ascii="Times New Roman" w:hAnsi="Times New Roman" w:cs="Times New Roman"/>
          <w:sz w:val="24"/>
          <w:szCs w:val="24"/>
        </w:rPr>
        <w:t>.</w:t>
      </w:r>
    </w:p>
    <w:p w14:paraId="01BA9627" w14:textId="361816A2" w:rsidR="009864CA" w:rsidRDefault="009864CA" w:rsidP="00B10C19">
      <w:pPr>
        <w:jc w:val="both"/>
        <w:rPr>
          <w:rFonts w:ascii="Times New Roman" w:hAnsi="Times New Roman" w:cs="Times New Roman"/>
          <w:sz w:val="24"/>
          <w:szCs w:val="24"/>
        </w:rPr>
      </w:pPr>
      <w:r w:rsidRPr="009864CA">
        <w:rPr>
          <w:rFonts w:ascii="Times New Roman" w:hAnsi="Times New Roman" w:cs="Times New Roman"/>
          <w:sz w:val="24"/>
          <w:szCs w:val="24"/>
        </w:rPr>
        <w:t>The correlation analysis showed a positive and highly significant connection between employability skills and career preparedness. In other words, students who are good at employability skills generally feel more oriented to their careers in the future. Employability skills from the standpoint of human capital can be considered as an expression of individual capital that strengthens one</w:t>
      </w:r>
      <w:r w:rsidR="003805FC">
        <w:rPr>
          <w:rFonts w:ascii="Times New Roman" w:hAnsi="Times New Roman" w:cs="Times New Roman"/>
          <w:sz w:val="24"/>
          <w:szCs w:val="24"/>
        </w:rPr>
        <w:t>’</w:t>
      </w:r>
      <w:r w:rsidRPr="009864CA">
        <w:rPr>
          <w:rFonts w:ascii="Times New Roman" w:hAnsi="Times New Roman" w:cs="Times New Roman"/>
          <w:sz w:val="24"/>
          <w:szCs w:val="24"/>
        </w:rPr>
        <w:t>s capacity to fulfill job demands and successfully relocate in the labor market. The results are in line with the literature, which highlights that apart from getting to know the study content, the skills of interacting, cooperating, and being able to change are very significant for being ready for a career.</w:t>
      </w:r>
    </w:p>
    <w:p w14:paraId="4E2BDB13" w14:textId="3591E21C" w:rsidR="0000442E" w:rsidRDefault="0000442E" w:rsidP="00B10C19">
      <w:pPr>
        <w:jc w:val="both"/>
        <w:rPr>
          <w:rFonts w:ascii="Times New Roman" w:hAnsi="Times New Roman" w:cs="Times New Roman"/>
          <w:sz w:val="24"/>
          <w:szCs w:val="24"/>
        </w:rPr>
      </w:pPr>
      <w:r w:rsidRPr="0000442E">
        <w:rPr>
          <w:rFonts w:ascii="Times New Roman" w:hAnsi="Times New Roman" w:cs="Times New Roman"/>
          <w:sz w:val="24"/>
          <w:szCs w:val="24"/>
        </w:rPr>
        <w:t xml:space="preserve">Overall, the results highlight the need for educational institutions to place greater emphasis on skill-based learning, practical training, and </w:t>
      </w:r>
      <w:r w:rsidR="009864CA">
        <w:rPr>
          <w:rFonts w:ascii="Times New Roman" w:hAnsi="Times New Roman" w:cs="Times New Roman"/>
          <w:sz w:val="24"/>
          <w:szCs w:val="24"/>
        </w:rPr>
        <w:t xml:space="preserve">the </w:t>
      </w:r>
      <w:r w:rsidRPr="0000442E">
        <w:rPr>
          <w:rFonts w:ascii="Times New Roman" w:hAnsi="Times New Roman" w:cs="Times New Roman"/>
          <w:sz w:val="24"/>
          <w:szCs w:val="24"/>
        </w:rPr>
        <w:t xml:space="preserve">career development programs. Initiatives such as </w:t>
      </w:r>
      <w:r w:rsidR="009864CA">
        <w:rPr>
          <w:rFonts w:ascii="Times New Roman" w:hAnsi="Times New Roman" w:cs="Times New Roman"/>
          <w:sz w:val="24"/>
          <w:szCs w:val="24"/>
        </w:rPr>
        <w:t xml:space="preserve">the </w:t>
      </w:r>
      <w:r w:rsidRPr="0000442E">
        <w:rPr>
          <w:rFonts w:ascii="Times New Roman" w:hAnsi="Times New Roman" w:cs="Times New Roman"/>
          <w:sz w:val="24"/>
          <w:szCs w:val="24"/>
        </w:rPr>
        <w:t>internships, workshops, and career counseling can play a significant role in bridging gap between academic learning and industry requirements, thereby improving students’ preparedness for future careers.</w:t>
      </w:r>
    </w:p>
    <w:p w14:paraId="5735E9A6" w14:textId="77777777" w:rsidR="00D11E9F" w:rsidRDefault="00D11E9F" w:rsidP="00B10C19">
      <w:pPr>
        <w:jc w:val="both"/>
        <w:rPr>
          <w:rFonts w:ascii="Times New Roman" w:hAnsi="Times New Roman" w:cs="Times New Roman"/>
          <w:sz w:val="24"/>
          <w:szCs w:val="24"/>
        </w:rPr>
      </w:pPr>
    </w:p>
    <w:p w14:paraId="1CCFFAD4" w14:textId="047F17F6" w:rsidR="002D186B" w:rsidRPr="002D186B" w:rsidRDefault="002D186B" w:rsidP="002D186B">
      <w:pPr>
        <w:jc w:val="both"/>
        <w:rPr>
          <w:rFonts w:ascii="Times New Roman" w:hAnsi="Times New Roman" w:cs="Times New Roman"/>
          <w:b/>
          <w:sz w:val="24"/>
          <w:szCs w:val="24"/>
        </w:rPr>
      </w:pPr>
      <w:r w:rsidRPr="002D186B">
        <w:rPr>
          <w:rFonts w:ascii="Times New Roman" w:hAnsi="Times New Roman" w:cs="Times New Roman"/>
          <w:b/>
          <w:sz w:val="24"/>
          <w:szCs w:val="24"/>
        </w:rPr>
        <w:t>6. Conclusion and Recommendations</w:t>
      </w:r>
    </w:p>
    <w:p w14:paraId="181793B8" w14:textId="5B02EFEA" w:rsidR="009864CA" w:rsidRDefault="009864CA" w:rsidP="00D11E9F">
      <w:pPr>
        <w:jc w:val="both"/>
        <w:rPr>
          <w:rFonts w:ascii="Times New Roman" w:hAnsi="Times New Roman" w:cs="Times New Roman"/>
          <w:sz w:val="24"/>
          <w:szCs w:val="24"/>
        </w:rPr>
      </w:pPr>
      <w:r w:rsidRPr="009864CA">
        <w:rPr>
          <w:rFonts w:ascii="Times New Roman" w:hAnsi="Times New Roman" w:cs="Times New Roman"/>
          <w:sz w:val="24"/>
          <w:szCs w:val="24"/>
        </w:rPr>
        <w:t>The present study focused on assessing the level of employability skills and career preparedness of the college students of Nagaland. It also examined the link between these two variables. The results show that the students have an average level of employability skills and career preparedness, which means that though the students have been given some fundamental abilities, there are still many opportunities for them to be better. Besides, the study reveals a positive and statistically significant correlation between employability skills and career preparedness. This means that the acquisition of skills such as communication teamwork adaptability, and decision-making contributes significantly to the enhancement of one's readiness for a career after studies. In this context, the study underscores the role of skill development as a part of higher education in raising the employability of students</w:t>
      </w:r>
      <w:r>
        <w:rPr>
          <w:rFonts w:ascii="Times New Roman" w:hAnsi="Times New Roman" w:cs="Times New Roman"/>
          <w:sz w:val="24"/>
          <w:szCs w:val="24"/>
        </w:rPr>
        <w:t xml:space="preserve">. </w:t>
      </w:r>
    </w:p>
    <w:p w14:paraId="32ACD2B9" w14:textId="5EF02671" w:rsidR="00D11E9F" w:rsidRDefault="0008261E" w:rsidP="00D11E9F">
      <w:pPr>
        <w:jc w:val="both"/>
        <w:rPr>
          <w:rFonts w:ascii="Times New Roman" w:hAnsi="Times New Roman" w:cs="Times New Roman"/>
          <w:sz w:val="24"/>
          <w:szCs w:val="24"/>
        </w:rPr>
      </w:pPr>
      <w:r w:rsidRPr="0008261E">
        <w:rPr>
          <w:rFonts w:ascii="Times New Roman" w:hAnsi="Times New Roman" w:cs="Times New Roman"/>
          <w:sz w:val="24"/>
          <w:szCs w:val="24"/>
        </w:rPr>
        <w:lastRenderedPageBreak/>
        <w:t xml:space="preserve">The study suggests that </w:t>
      </w:r>
      <w:r>
        <w:rPr>
          <w:rFonts w:ascii="Times New Roman" w:hAnsi="Times New Roman" w:cs="Times New Roman"/>
          <w:sz w:val="24"/>
          <w:szCs w:val="24"/>
        </w:rPr>
        <w:t>colleges</w:t>
      </w:r>
      <w:r w:rsidRPr="0008261E">
        <w:rPr>
          <w:rFonts w:ascii="Times New Roman" w:hAnsi="Times New Roman" w:cs="Times New Roman"/>
          <w:sz w:val="24"/>
          <w:szCs w:val="24"/>
        </w:rPr>
        <w:t xml:space="preserve"> can switch to a skill-oriented model by adding hands-on training, internships, and bringing students closer to the real-time industry environment through the curriculum. Besides, enhancing career guidance, and counseling services can make a student more aware of the opportunities in the career field as well as the skills that are required. Lawmakers and teachers should be in contact to create a program that would develop all the skills of a student and at the same time prepare the student for the job market</w:t>
      </w:r>
      <w:r w:rsidR="00D11E9F" w:rsidRPr="00D11E9F">
        <w:rPr>
          <w:rFonts w:ascii="Times New Roman" w:hAnsi="Times New Roman" w:cs="Times New Roman"/>
          <w:sz w:val="24"/>
          <w:szCs w:val="24"/>
        </w:rPr>
        <w:t>.</w:t>
      </w:r>
    </w:p>
    <w:p w14:paraId="40EBF26B" w14:textId="77777777" w:rsidR="00D11E9F" w:rsidRDefault="00D11E9F" w:rsidP="002D186B">
      <w:pPr>
        <w:jc w:val="both"/>
        <w:rPr>
          <w:rFonts w:ascii="Times New Roman" w:hAnsi="Times New Roman" w:cs="Times New Roman"/>
          <w:sz w:val="24"/>
          <w:szCs w:val="24"/>
        </w:rPr>
      </w:pPr>
    </w:p>
    <w:p w14:paraId="28DA59DF" w14:textId="15AC91B1" w:rsidR="002D186B" w:rsidRPr="002D186B" w:rsidRDefault="002D186B" w:rsidP="002D186B">
      <w:pPr>
        <w:jc w:val="both"/>
        <w:rPr>
          <w:rFonts w:ascii="Times New Roman" w:hAnsi="Times New Roman" w:cs="Times New Roman"/>
          <w:b/>
          <w:sz w:val="24"/>
          <w:szCs w:val="24"/>
        </w:rPr>
      </w:pPr>
      <w:r w:rsidRPr="002D186B">
        <w:rPr>
          <w:rFonts w:ascii="Times New Roman" w:hAnsi="Times New Roman" w:cs="Times New Roman"/>
          <w:b/>
          <w:sz w:val="24"/>
          <w:szCs w:val="24"/>
        </w:rPr>
        <w:t>6.1 Limitations of the Study</w:t>
      </w:r>
    </w:p>
    <w:p w14:paraId="01FA88DC" w14:textId="3B9F95C4" w:rsidR="007F664A" w:rsidRDefault="007A5CD7" w:rsidP="002D186B">
      <w:pPr>
        <w:jc w:val="both"/>
        <w:rPr>
          <w:rFonts w:ascii="Times New Roman" w:hAnsi="Times New Roman" w:cs="Times New Roman"/>
          <w:sz w:val="24"/>
          <w:szCs w:val="24"/>
        </w:rPr>
      </w:pPr>
      <w:r w:rsidRPr="007A5CD7">
        <w:rPr>
          <w:rFonts w:ascii="Times New Roman" w:hAnsi="Times New Roman" w:cs="Times New Roman"/>
          <w:sz w:val="24"/>
          <w:szCs w:val="24"/>
        </w:rPr>
        <w:t>The study however does not come without its limitations. First, the data was gathered through convenience sampling, and so there is a risk that the results cannot be generalized. Also, the research relies entirely on self-reported answers, which might have been influenced by bias. Besides, the study focuses only on Nagaland, so the findings may not be an accurate reflection of students from other regions. Eventually, investigators may want to use bigger and more varied samples, and could also include a number of different variables to understand better the factors that influence career preparedness.</w:t>
      </w:r>
    </w:p>
    <w:p w14:paraId="1DAED7CF" w14:textId="77777777" w:rsidR="00E34AEF" w:rsidRDefault="00E34AEF" w:rsidP="002D186B">
      <w:pPr>
        <w:jc w:val="both"/>
        <w:rPr>
          <w:rFonts w:ascii="Times New Roman" w:hAnsi="Times New Roman" w:cs="Times New Roman"/>
          <w:sz w:val="24"/>
          <w:szCs w:val="24"/>
        </w:rPr>
      </w:pPr>
    </w:p>
    <w:p w14:paraId="17D0175B" w14:textId="77777777" w:rsidR="00E34AEF" w:rsidRPr="00E34AEF" w:rsidRDefault="00E34AEF" w:rsidP="00E34AEF">
      <w:pPr>
        <w:spacing w:after="200" w:line="276" w:lineRule="auto"/>
        <w:rPr>
          <w:rFonts w:ascii="Arial" w:eastAsia="Times New Roman" w:hAnsi="Arial" w:cs="Arial"/>
          <w:b/>
          <w:bCs/>
          <w:lang w:val="en-GB" w:eastAsia="en-GB"/>
        </w:rPr>
      </w:pPr>
      <w:r w:rsidRPr="00E34AEF">
        <w:rPr>
          <w:rFonts w:ascii="Arial" w:eastAsia="Times New Roman" w:hAnsi="Arial" w:cs="Arial"/>
          <w:b/>
          <w:bCs/>
          <w:lang w:val="en-GB" w:eastAsia="en-GB"/>
        </w:rPr>
        <w:t>COMPETING INTERESTS DISCLAIMER:</w:t>
      </w:r>
    </w:p>
    <w:p w14:paraId="251CB4C2" w14:textId="77777777" w:rsidR="00E34AEF" w:rsidRPr="00E34AEF" w:rsidRDefault="00E34AEF" w:rsidP="00E34AEF">
      <w:pPr>
        <w:spacing w:after="200" w:line="276" w:lineRule="auto"/>
        <w:rPr>
          <w:rFonts w:ascii="Calibri" w:eastAsia="Times New Roman" w:hAnsi="Calibri" w:cs="Times New Roman"/>
          <w:lang w:val="en-GB" w:eastAsia="en-GB"/>
        </w:rPr>
      </w:pPr>
      <w:r w:rsidRPr="00E34AE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462BE50F" w14:textId="77777777" w:rsidR="00E34AEF" w:rsidRDefault="00E34AEF" w:rsidP="002D186B">
      <w:pPr>
        <w:jc w:val="both"/>
        <w:rPr>
          <w:rFonts w:ascii="Times New Roman" w:hAnsi="Times New Roman" w:cs="Times New Roman"/>
          <w:sz w:val="24"/>
          <w:szCs w:val="24"/>
        </w:rPr>
      </w:pPr>
    </w:p>
    <w:p w14:paraId="3FE51A4B" w14:textId="77777777" w:rsidR="00E34AEF" w:rsidRDefault="00E34AEF" w:rsidP="002D186B">
      <w:pPr>
        <w:jc w:val="both"/>
        <w:rPr>
          <w:rFonts w:ascii="Times New Roman" w:hAnsi="Times New Roman" w:cs="Times New Roman"/>
          <w:sz w:val="24"/>
          <w:szCs w:val="24"/>
        </w:rPr>
      </w:pPr>
    </w:p>
    <w:p w14:paraId="0CAF7961" w14:textId="1ABAD65A" w:rsidR="00411861" w:rsidRPr="009864CA" w:rsidRDefault="00411861" w:rsidP="00411861">
      <w:pPr>
        <w:jc w:val="both"/>
        <w:rPr>
          <w:rFonts w:ascii="Times New Roman" w:hAnsi="Times New Roman" w:cs="Times New Roman"/>
          <w:b/>
          <w:sz w:val="24"/>
          <w:szCs w:val="24"/>
        </w:rPr>
      </w:pPr>
      <w:r w:rsidRPr="008B311C">
        <w:rPr>
          <w:rFonts w:ascii="Times New Roman" w:hAnsi="Times New Roman" w:cs="Times New Roman"/>
          <w:b/>
          <w:sz w:val="24"/>
          <w:szCs w:val="24"/>
        </w:rPr>
        <w:t>References</w:t>
      </w:r>
    </w:p>
    <w:p w14:paraId="42D02DD1" w14:textId="7FF0E030"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Andrews, J., &amp; Higson, H. (2008). Graduate employability, ‘soft skills’ versus ‘hard’ business knowledge: A European study. Higher Education in Europe, 33(4), 411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422. </w:t>
      </w:r>
      <w:hyperlink r:id="rId9" w:history="1">
        <w:r w:rsidR="008B311C" w:rsidRPr="00EB1503">
          <w:rPr>
            <w:rStyle w:val="Hyperlink"/>
            <w:rFonts w:ascii="Times New Roman" w:hAnsi="Times New Roman" w:cs="Times New Roman"/>
            <w:sz w:val="24"/>
            <w:szCs w:val="24"/>
          </w:rPr>
          <w:t>https://doi.org/10.1080/03797720802522627</w:t>
        </w:r>
      </w:hyperlink>
      <w:r w:rsidR="008B311C">
        <w:rPr>
          <w:rFonts w:ascii="Times New Roman" w:hAnsi="Times New Roman" w:cs="Times New Roman"/>
          <w:sz w:val="24"/>
          <w:szCs w:val="24"/>
        </w:rPr>
        <w:t xml:space="preserve"> </w:t>
      </w:r>
    </w:p>
    <w:p w14:paraId="477A91E1" w14:textId="77777777" w:rsidR="00411861" w:rsidRPr="00411861" w:rsidRDefault="00411861" w:rsidP="00411861">
      <w:pPr>
        <w:spacing w:after="0"/>
        <w:jc w:val="both"/>
        <w:rPr>
          <w:rFonts w:ascii="Times New Roman" w:hAnsi="Times New Roman" w:cs="Times New Roman"/>
          <w:sz w:val="24"/>
          <w:szCs w:val="24"/>
        </w:rPr>
      </w:pPr>
    </w:p>
    <w:p w14:paraId="443B2E3E" w14:textId="5B2CC7B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proofErr w:type="spellStart"/>
      <w:r w:rsidRPr="00411861">
        <w:rPr>
          <w:rFonts w:ascii="Times New Roman" w:hAnsi="Times New Roman" w:cs="Times New Roman"/>
          <w:sz w:val="24"/>
          <w:szCs w:val="24"/>
        </w:rPr>
        <w:t>Bridgstock</w:t>
      </w:r>
      <w:proofErr w:type="spellEnd"/>
      <w:r w:rsidRPr="00411861">
        <w:rPr>
          <w:rFonts w:ascii="Times New Roman" w:hAnsi="Times New Roman" w:cs="Times New Roman"/>
          <w:sz w:val="24"/>
          <w:szCs w:val="24"/>
        </w:rPr>
        <w:t>, R. (2009). The graduate attributes we’ve overlooked: Enhancing graduate employability through career management skills. Higher Education Research &amp; Development, 28(1), 31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44. </w:t>
      </w:r>
      <w:hyperlink r:id="rId10" w:history="1">
        <w:r w:rsidR="008B311C" w:rsidRPr="00EB1503">
          <w:rPr>
            <w:rStyle w:val="Hyperlink"/>
            <w:rFonts w:ascii="Times New Roman" w:hAnsi="Times New Roman" w:cs="Times New Roman"/>
            <w:sz w:val="24"/>
            <w:szCs w:val="24"/>
          </w:rPr>
          <w:t>https://doi.org/10.1080/07294360802444347</w:t>
        </w:r>
      </w:hyperlink>
      <w:r w:rsidR="008B311C">
        <w:rPr>
          <w:rFonts w:ascii="Times New Roman" w:hAnsi="Times New Roman" w:cs="Times New Roman"/>
          <w:sz w:val="24"/>
          <w:szCs w:val="24"/>
        </w:rPr>
        <w:t xml:space="preserve"> </w:t>
      </w:r>
    </w:p>
    <w:p w14:paraId="2D69E1A2" w14:textId="77777777" w:rsidR="00411861" w:rsidRPr="00411861" w:rsidRDefault="00411861" w:rsidP="00411861">
      <w:pPr>
        <w:spacing w:after="0"/>
        <w:jc w:val="both"/>
        <w:rPr>
          <w:rFonts w:ascii="Times New Roman" w:hAnsi="Times New Roman" w:cs="Times New Roman"/>
          <w:sz w:val="24"/>
          <w:szCs w:val="24"/>
        </w:rPr>
      </w:pPr>
    </w:p>
    <w:p w14:paraId="5201C6E9" w14:textId="19054E53"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Clarke, M. (2018). Rethinking graduate employability: The role of capital, individual attributes and context. Studies in Higher Education, 43(11), 1923</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1937. </w:t>
      </w:r>
      <w:hyperlink r:id="rId11" w:history="1">
        <w:r w:rsidR="008B311C" w:rsidRPr="00EB1503">
          <w:rPr>
            <w:rStyle w:val="Hyperlink"/>
            <w:rFonts w:ascii="Times New Roman" w:hAnsi="Times New Roman" w:cs="Times New Roman"/>
            <w:sz w:val="24"/>
            <w:szCs w:val="24"/>
          </w:rPr>
          <w:t>https://doi.org/10.1080/03075079.2017.1294152</w:t>
        </w:r>
      </w:hyperlink>
      <w:r w:rsidR="008B311C">
        <w:rPr>
          <w:rFonts w:ascii="Times New Roman" w:hAnsi="Times New Roman" w:cs="Times New Roman"/>
          <w:sz w:val="24"/>
          <w:szCs w:val="24"/>
        </w:rPr>
        <w:t xml:space="preserve"> </w:t>
      </w:r>
    </w:p>
    <w:p w14:paraId="2938C84A" w14:textId="77777777" w:rsidR="00411861" w:rsidRPr="00411861" w:rsidRDefault="00411861" w:rsidP="00411861">
      <w:pPr>
        <w:spacing w:after="0"/>
        <w:jc w:val="both"/>
        <w:rPr>
          <w:rFonts w:ascii="Times New Roman" w:hAnsi="Times New Roman" w:cs="Times New Roman"/>
          <w:sz w:val="24"/>
          <w:szCs w:val="24"/>
        </w:rPr>
      </w:pPr>
    </w:p>
    <w:p w14:paraId="02688B17" w14:textId="70E27F87"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Dacre Pool, L., Qualter, P., &amp; Sewell, P. (2014). Exploring the factor structure of the </w:t>
      </w:r>
      <w:proofErr w:type="spellStart"/>
      <w:r w:rsidRPr="00411861">
        <w:rPr>
          <w:rFonts w:ascii="Times New Roman" w:hAnsi="Times New Roman" w:cs="Times New Roman"/>
          <w:sz w:val="24"/>
          <w:szCs w:val="24"/>
        </w:rPr>
        <w:t>CareerEDGE</w:t>
      </w:r>
      <w:proofErr w:type="spellEnd"/>
      <w:r w:rsidRPr="00411861">
        <w:rPr>
          <w:rFonts w:ascii="Times New Roman" w:hAnsi="Times New Roman" w:cs="Times New Roman"/>
          <w:sz w:val="24"/>
          <w:szCs w:val="24"/>
        </w:rPr>
        <w:t xml:space="preserve"> employability development profile. Education + Training, 56(4), 303</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313. </w:t>
      </w:r>
      <w:hyperlink r:id="rId12" w:history="1">
        <w:r w:rsidR="008B311C" w:rsidRPr="00EB1503">
          <w:rPr>
            <w:rStyle w:val="Hyperlink"/>
            <w:rFonts w:ascii="Times New Roman" w:hAnsi="Times New Roman" w:cs="Times New Roman"/>
            <w:sz w:val="24"/>
            <w:szCs w:val="24"/>
          </w:rPr>
          <w:t>https://doi.org/10.1108/ET-01-2013-0009</w:t>
        </w:r>
      </w:hyperlink>
      <w:r w:rsidR="008B311C">
        <w:rPr>
          <w:rFonts w:ascii="Times New Roman" w:hAnsi="Times New Roman" w:cs="Times New Roman"/>
          <w:sz w:val="24"/>
          <w:szCs w:val="24"/>
        </w:rPr>
        <w:t xml:space="preserve"> </w:t>
      </w:r>
    </w:p>
    <w:p w14:paraId="7FAC9A6A" w14:textId="77777777" w:rsidR="00411861" w:rsidRPr="00411861" w:rsidRDefault="00411861" w:rsidP="00411861">
      <w:pPr>
        <w:spacing w:after="0"/>
        <w:jc w:val="both"/>
        <w:rPr>
          <w:rFonts w:ascii="Times New Roman" w:hAnsi="Times New Roman" w:cs="Times New Roman"/>
          <w:sz w:val="24"/>
          <w:szCs w:val="24"/>
        </w:rPr>
      </w:pPr>
    </w:p>
    <w:p w14:paraId="1BACC308" w14:textId="0BD4B70A"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Finch, D. J., Hamilton, L. K., Baldwin, R., &amp; Zehner, M. (2013). An exploratory study of factors affecting undergraduate employability. Education + Training, 55(7), 681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704. </w:t>
      </w:r>
      <w:hyperlink r:id="rId13" w:history="1">
        <w:r w:rsidR="008B311C" w:rsidRPr="00EB1503">
          <w:rPr>
            <w:rStyle w:val="Hyperlink"/>
            <w:rFonts w:ascii="Times New Roman" w:hAnsi="Times New Roman" w:cs="Times New Roman"/>
            <w:sz w:val="24"/>
            <w:szCs w:val="24"/>
          </w:rPr>
          <w:t>https://doi.org/10.1108/ET-07-2012-0077</w:t>
        </w:r>
      </w:hyperlink>
      <w:r w:rsidR="008B311C">
        <w:rPr>
          <w:rFonts w:ascii="Times New Roman" w:hAnsi="Times New Roman" w:cs="Times New Roman"/>
          <w:sz w:val="24"/>
          <w:szCs w:val="24"/>
        </w:rPr>
        <w:t xml:space="preserve"> </w:t>
      </w:r>
    </w:p>
    <w:p w14:paraId="4DC2D150" w14:textId="77777777" w:rsidR="00411861" w:rsidRPr="00411861" w:rsidRDefault="00411861" w:rsidP="00411861">
      <w:pPr>
        <w:spacing w:after="0"/>
        <w:jc w:val="both"/>
        <w:rPr>
          <w:rFonts w:ascii="Times New Roman" w:hAnsi="Times New Roman" w:cs="Times New Roman"/>
          <w:sz w:val="24"/>
          <w:szCs w:val="24"/>
        </w:rPr>
      </w:pPr>
    </w:p>
    <w:p w14:paraId="45E4C7DF" w14:textId="679CC8D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Fugate, M., Kinicki, A. J., &amp; Ashforth, B. E. (2004). Employability: A psycho-social construct, its dimensions, and applications. Journal of Vocational Behavior, 65(1), 14</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38. </w:t>
      </w:r>
      <w:hyperlink r:id="rId14" w:history="1">
        <w:r w:rsidR="008B311C" w:rsidRPr="00EB1503">
          <w:rPr>
            <w:rStyle w:val="Hyperlink"/>
            <w:rFonts w:ascii="Times New Roman" w:hAnsi="Times New Roman" w:cs="Times New Roman"/>
            <w:sz w:val="24"/>
            <w:szCs w:val="24"/>
          </w:rPr>
          <w:t>https://doi.org/10.1016/j.jvb.2003.10.005</w:t>
        </w:r>
      </w:hyperlink>
      <w:r w:rsidR="008B311C">
        <w:rPr>
          <w:rFonts w:ascii="Times New Roman" w:hAnsi="Times New Roman" w:cs="Times New Roman"/>
          <w:sz w:val="24"/>
          <w:szCs w:val="24"/>
        </w:rPr>
        <w:t xml:space="preserve"> </w:t>
      </w:r>
    </w:p>
    <w:p w14:paraId="74D49FBC" w14:textId="77777777" w:rsidR="00411861" w:rsidRPr="00411861" w:rsidRDefault="00411861" w:rsidP="00411861">
      <w:pPr>
        <w:spacing w:after="0"/>
        <w:jc w:val="both"/>
        <w:rPr>
          <w:rFonts w:ascii="Times New Roman" w:hAnsi="Times New Roman" w:cs="Times New Roman"/>
          <w:sz w:val="24"/>
          <w:szCs w:val="24"/>
        </w:rPr>
      </w:pPr>
    </w:p>
    <w:p w14:paraId="1C00D474" w14:textId="0531EA5F"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Guilbert, L., Bernaud, J. L., </w:t>
      </w:r>
      <w:proofErr w:type="spellStart"/>
      <w:r w:rsidRPr="00411861">
        <w:rPr>
          <w:rFonts w:ascii="Times New Roman" w:hAnsi="Times New Roman" w:cs="Times New Roman"/>
          <w:sz w:val="24"/>
          <w:szCs w:val="24"/>
        </w:rPr>
        <w:t>Gouvernet</w:t>
      </w:r>
      <w:proofErr w:type="spellEnd"/>
      <w:r w:rsidRPr="00411861">
        <w:rPr>
          <w:rFonts w:ascii="Times New Roman" w:hAnsi="Times New Roman" w:cs="Times New Roman"/>
          <w:sz w:val="24"/>
          <w:szCs w:val="24"/>
        </w:rPr>
        <w:t>, B., &amp; Rossier, J. (2016). Employability: Review and research prospects. International Journal for Educational and Vocational Guidance, 16(1), 69</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89. </w:t>
      </w:r>
      <w:hyperlink r:id="rId15" w:history="1">
        <w:r w:rsidR="008B311C" w:rsidRPr="00EB1503">
          <w:rPr>
            <w:rStyle w:val="Hyperlink"/>
            <w:rFonts w:ascii="Times New Roman" w:hAnsi="Times New Roman" w:cs="Times New Roman"/>
            <w:sz w:val="24"/>
            <w:szCs w:val="24"/>
          </w:rPr>
          <w:t>https://doi.org/10.1007/s10775-015-9288-4</w:t>
        </w:r>
      </w:hyperlink>
      <w:r w:rsidR="008B311C">
        <w:rPr>
          <w:rFonts w:ascii="Times New Roman" w:hAnsi="Times New Roman" w:cs="Times New Roman"/>
          <w:sz w:val="24"/>
          <w:szCs w:val="24"/>
        </w:rPr>
        <w:t xml:space="preserve"> </w:t>
      </w:r>
    </w:p>
    <w:p w14:paraId="66E32202" w14:textId="77777777" w:rsidR="00411861" w:rsidRPr="00411861" w:rsidRDefault="00411861" w:rsidP="00411861">
      <w:pPr>
        <w:spacing w:after="0"/>
        <w:jc w:val="both"/>
        <w:rPr>
          <w:rFonts w:ascii="Times New Roman" w:hAnsi="Times New Roman" w:cs="Times New Roman"/>
          <w:sz w:val="24"/>
          <w:szCs w:val="24"/>
        </w:rPr>
      </w:pPr>
    </w:p>
    <w:p w14:paraId="329C8596" w14:textId="77CA042F"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Harvey, L. (2001). Defining and measuring employability. Quality in Higher Education, 7(2), 97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109. </w:t>
      </w:r>
      <w:hyperlink r:id="rId16" w:history="1">
        <w:r w:rsidR="008B311C" w:rsidRPr="00EB1503">
          <w:rPr>
            <w:rStyle w:val="Hyperlink"/>
            <w:rFonts w:ascii="Times New Roman" w:hAnsi="Times New Roman" w:cs="Times New Roman"/>
            <w:sz w:val="24"/>
            <w:szCs w:val="24"/>
          </w:rPr>
          <w:t>https://doi.org/10.1080/13538320120059990</w:t>
        </w:r>
      </w:hyperlink>
      <w:r w:rsidR="008B311C">
        <w:rPr>
          <w:rFonts w:ascii="Times New Roman" w:hAnsi="Times New Roman" w:cs="Times New Roman"/>
          <w:sz w:val="24"/>
          <w:szCs w:val="24"/>
        </w:rPr>
        <w:t xml:space="preserve"> </w:t>
      </w:r>
    </w:p>
    <w:p w14:paraId="39BDA3AF" w14:textId="77777777" w:rsidR="00411861" w:rsidRPr="00411861" w:rsidRDefault="00411861" w:rsidP="00411861">
      <w:pPr>
        <w:spacing w:after="0"/>
        <w:jc w:val="both"/>
        <w:rPr>
          <w:rFonts w:ascii="Times New Roman" w:hAnsi="Times New Roman" w:cs="Times New Roman"/>
          <w:sz w:val="24"/>
          <w:szCs w:val="24"/>
        </w:rPr>
      </w:pPr>
    </w:p>
    <w:p w14:paraId="3B3D4266" w14:textId="15C14483"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Holmes, L. (2013). Competing perspectives on graduate employability: Possession, position or process? Studies in Higher Education, 38(4), 538</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554. </w:t>
      </w:r>
      <w:hyperlink r:id="rId17" w:history="1">
        <w:r w:rsidR="008B311C" w:rsidRPr="00EB1503">
          <w:rPr>
            <w:rStyle w:val="Hyperlink"/>
            <w:rFonts w:ascii="Times New Roman" w:hAnsi="Times New Roman" w:cs="Times New Roman"/>
            <w:sz w:val="24"/>
            <w:szCs w:val="24"/>
          </w:rPr>
          <w:t>https://doi.org/10.1080/03075079.2011.587140</w:t>
        </w:r>
      </w:hyperlink>
      <w:r w:rsidR="008B311C">
        <w:rPr>
          <w:rFonts w:ascii="Times New Roman" w:hAnsi="Times New Roman" w:cs="Times New Roman"/>
          <w:sz w:val="24"/>
          <w:szCs w:val="24"/>
        </w:rPr>
        <w:t xml:space="preserve"> </w:t>
      </w:r>
    </w:p>
    <w:p w14:paraId="38290405" w14:textId="77777777" w:rsidR="00411861" w:rsidRPr="00411861" w:rsidRDefault="00411861" w:rsidP="00411861">
      <w:pPr>
        <w:spacing w:after="0"/>
        <w:jc w:val="both"/>
        <w:rPr>
          <w:rFonts w:ascii="Times New Roman" w:hAnsi="Times New Roman" w:cs="Times New Roman"/>
          <w:sz w:val="24"/>
          <w:szCs w:val="24"/>
        </w:rPr>
      </w:pPr>
    </w:p>
    <w:p w14:paraId="188BF9CD" w14:textId="465B14F0"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Jackson, D., &amp; Tomlinson, M. (2020). Investigating the relationship between career planning, proactivity and employability perceptions among higher education students in uncertain labour market conditions. Higher Education, 80, 435</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455. </w:t>
      </w:r>
      <w:hyperlink r:id="rId18" w:history="1">
        <w:r w:rsidR="008B311C" w:rsidRPr="00EB1503">
          <w:rPr>
            <w:rStyle w:val="Hyperlink"/>
            <w:rFonts w:ascii="Times New Roman" w:hAnsi="Times New Roman" w:cs="Times New Roman"/>
            <w:sz w:val="24"/>
            <w:szCs w:val="24"/>
          </w:rPr>
          <w:t>https://doi.org/10.1007/s10734-019-00490-5</w:t>
        </w:r>
      </w:hyperlink>
      <w:r w:rsidR="008B311C">
        <w:rPr>
          <w:rFonts w:ascii="Times New Roman" w:hAnsi="Times New Roman" w:cs="Times New Roman"/>
          <w:sz w:val="24"/>
          <w:szCs w:val="24"/>
        </w:rPr>
        <w:t xml:space="preserve"> </w:t>
      </w:r>
    </w:p>
    <w:p w14:paraId="4CFAF9F9" w14:textId="651C2CF3" w:rsidR="00411861" w:rsidRPr="00411861" w:rsidRDefault="008B311C" w:rsidP="0041186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5354B0C1" w14:textId="213EE8EB"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McQuaid, R. W., &amp; Lindsay, C. (2005). The concept of employability. Urban Studies, 42(2), 197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219. </w:t>
      </w:r>
      <w:hyperlink r:id="rId19" w:history="1">
        <w:r w:rsidR="008B311C" w:rsidRPr="00EB1503">
          <w:rPr>
            <w:rStyle w:val="Hyperlink"/>
            <w:rFonts w:ascii="Times New Roman" w:hAnsi="Times New Roman" w:cs="Times New Roman"/>
            <w:sz w:val="24"/>
            <w:szCs w:val="24"/>
          </w:rPr>
          <w:t>https://doi.org/10.1080/0042098042000316100</w:t>
        </w:r>
      </w:hyperlink>
      <w:r w:rsidR="008B311C">
        <w:rPr>
          <w:rFonts w:ascii="Times New Roman" w:hAnsi="Times New Roman" w:cs="Times New Roman"/>
          <w:sz w:val="24"/>
          <w:szCs w:val="24"/>
        </w:rPr>
        <w:t xml:space="preserve"> </w:t>
      </w:r>
    </w:p>
    <w:p w14:paraId="730DBA25" w14:textId="77777777" w:rsidR="00411861" w:rsidRPr="00411861" w:rsidRDefault="00411861" w:rsidP="00411861">
      <w:pPr>
        <w:spacing w:after="0"/>
        <w:jc w:val="both"/>
        <w:rPr>
          <w:rFonts w:ascii="Times New Roman" w:hAnsi="Times New Roman" w:cs="Times New Roman"/>
          <w:sz w:val="24"/>
          <w:szCs w:val="24"/>
        </w:rPr>
      </w:pPr>
    </w:p>
    <w:p w14:paraId="70AB1C11" w14:textId="3C3F9D8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Pool, L. D., &amp; Sewell, P. (2007). The key to employability: Developing a practical model of graduate employability. Education + Training, 49(4), 277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289. </w:t>
      </w:r>
      <w:hyperlink r:id="rId20" w:history="1">
        <w:r w:rsidR="008B311C" w:rsidRPr="00EB1503">
          <w:rPr>
            <w:rStyle w:val="Hyperlink"/>
            <w:rFonts w:ascii="Times New Roman" w:hAnsi="Times New Roman" w:cs="Times New Roman"/>
            <w:sz w:val="24"/>
            <w:szCs w:val="24"/>
          </w:rPr>
          <w:t>https://doi.org/10.1108/00400910710754435</w:t>
        </w:r>
      </w:hyperlink>
      <w:r w:rsidR="008B311C">
        <w:rPr>
          <w:rFonts w:ascii="Times New Roman" w:hAnsi="Times New Roman" w:cs="Times New Roman"/>
          <w:sz w:val="24"/>
          <w:szCs w:val="24"/>
        </w:rPr>
        <w:t xml:space="preserve"> </w:t>
      </w:r>
    </w:p>
    <w:p w14:paraId="6F60B77A" w14:textId="77777777" w:rsidR="00411861" w:rsidRPr="00411861" w:rsidRDefault="00411861" w:rsidP="00411861">
      <w:pPr>
        <w:spacing w:after="0"/>
        <w:jc w:val="both"/>
        <w:rPr>
          <w:rFonts w:ascii="Times New Roman" w:hAnsi="Times New Roman" w:cs="Times New Roman"/>
          <w:sz w:val="24"/>
          <w:szCs w:val="24"/>
        </w:rPr>
      </w:pPr>
    </w:p>
    <w:p w14:paraId="6C6BB489" w14:textId="49FFF680"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Rothwell, A., Herbert, I., &amp; Rothwell, F. (2008). Self-perceived employability: Construction and initial validation of a scale for university students. Journal of Vocational Behavior, 73(1), 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12. </w:t>
      </w:r>
      <w:hyperlink r:id="rId21" w:history="1">
        <w:r w:rsidR="008B311C" w:rsidRPr="00EB1503">
          <w:rPr>
            <w:rStyle w:val="Hyperlink"/>
            <w:rFonts w:ascii="Times New Roman" w:hAnsi="Times New Roman" w:cs="Times New Roman"/>
            <w:sz w:val="24"/>
            <w:szCs w:val="24"/>
          </w:rPr>
          <w:t>https://doi.org/10.1016/j.jvb.2007.12.001</w:t>
        </w:r>
      </w:hyperlink>
      <w:r w:rsidR="008B311C">
        <w:rPr>
          <w:rFonts w:ascii="Times New Roman" w:hAnsi="Times New Roman" w:cs="Times New Roman"/>
          <w:sz w:val="24"/>
          <w:szCs w:val="24"/>
        </w:rPr>
        <w:t xml:space="preserve"> </w:t>
      </w:r>
    </w:p>
    <w:p w14:paraId="7AF9D74A" w14:textId="77777777" w:rsidR="00411861" w:rsidRPr="00411861" w:rsidRDefault="00411861" w:rsidP="00411861">
      <w:pPr>
        <w:spacing w:after="0"/>
        <w:jc w:val="both"/>
        <w:rPr>
          <w:rFonts w:ascii="Times New Roman" w:hAnsi="Times New Roman" w:cs="Times New Roman"/>
          <w:sz w:val="24"/>
          <w:szCs w:val="24"/>
        </w:rPr>
      </w:pPr>
    </w:p>
    <w:p w14:paraId="5DC524E5" w14:textId="5685469E"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Savickas, M. L. (1997). Career adaptability: An integrative construct for life-span, life-space theory. The Career Development Quarterly, 45(3), 247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259. </w:t>
      </w:r>
      <w:hyperlink r:id="rId22" w:history="1">
        <w:r w:rsidR="008B311C" w:rsidRPr="00EB1503">
          <w:rPr>
            <w:rStyle w:val="Hyperlink"/>
            <w:rFonts w:ascii="Times New Roman" w:hAnsi="Times New Roman" w:cs="Times New Roman"/>
            <w:sz w:val="24"/>
            <w:szCs w:val="24"/>
          </w:rPr>
          <w:t>https://doi.org/10.1002/j.2161-0045.1997.tb00469.x</w:t>
        </w:r>
      </w:hyperlink>
      <w:r w:rsidR="008B311C">
        <w:rPr>
          <w:rFonts w:ascii="Times New Roman" w:hAnsi="Times New Roman" w:cs="Times New Roman"/>
          <w:sz w:val="24"/>
          <w:szCs w:val="24"/>
        </w:rPr>
        <w:t xml:space="preserve"> </w:t>
      </w:r>
    </w:p>
    <w:p w14:paraId="6F255E7F" w14:textId="77777777" w:rsidR="00411861" w:rsidRPr="00411861" w:rsidRDefault="00411861" w:rsidP="00411861">
      <w:pPr>
        <w:spacing w:after="0"/>
        <w:jc w:val="both"/>
        <w:rPr>
          <w:rFonts w:ascii="Times New Roman" w:hAnsi="Times New Roman" w:cs="Times New Roman"/>
          <w:sz w:val="24"/>
          <w:szCs w:val="24"/>
        </w:rPr>
      </w:pPr>
    </w:p>
    <w:p w14:paraId="07A73144" w14:textId="71E1E961"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Sin, C., &amp; Neave, G. (2016). Employability deconstructed: Perceptions of Bologna stakeholders. Studies in Higher Education, 41(8), 1447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1462. </w:t>
      </w:r>
      <w:hyperlink r:id="rId23" w:history="1">
        <w:r w:rsidR="008B311C" w:rsidRPr="00EB1503">
          <w:rPr>
            <w:rStyle w:val="Hyperlink"/>
            <w:rFonts w:ascii="Times New Roman" w:hAnsi="Times New Roman" w:cs="Times New Roman"/>
            <w:sz w:val="24"/>
            <w:szCs w:val="24"/>
          </w:rPr>
          <w:t>https://doi.org/10.1080/03075079.2014.977859</w:t>
        </w:r>
      </w:hyperlink>
      <w:r w:rsidR="008B311C">
        <w:rPr>
          <w:rFonts w:ascii="Times New Roman" w:hAnsi="Times New Roman" w:cs="Times New Roman"/>
          <w:sz w:val="24"/>
          <w:szCs w:val="24"/>
        </w:rPr>
        <w:t xml:space="preserve"> </w:t>
      </w:r>
    </w:p>
    <w:p w14:paraId="3419AC62" w14:textId="77777777" w:rsidR="00411861" w:rsidRPr="00411861" w:rsidRDefault="00411861" w:rsidP="00411861">
      <w:pPr>
        <w:spacing w:after="0"/>
        <w:jc w:val="both"/>
        <w:rPr>
          <w:rFonts w:ascii="Times New Roman" w:hAnsi="Times New Roman" w:cs="Times New Roman"/>
          <w:sz w:val="24"/>
          <w:szCs w:val="24"/>
        </w:rPr>
      </w:pPr>
    </w:p>
    <w:p w14:paraId="57F70BA9" w14:textId="13CB42F5"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Tomlinson, M. (2012). Graduate employability: A review of conceptual and empirical themes. Higher Education Policy, 25(4), 407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431. </w:t>
      </w:r>
      <w:hyperlink r:id="rId24" w:history="1">
        <w:r w:rsidR="008B311C" w:rsidRPr="00EB1503">
          <w:rPr>
            <w:rStyle w:val="Hyperlink"/>
            <w:rFonts w:ascii="Times New Roman" w:hAnsi="Times New Roman" w:cs="Times New Roman"/>
            <w:sz w:val="24"/>
            <w:szCs w:val="24"/>
          </w:rPr>
          <w:t>https://doi.org/10.1057/hep.2011.26</w:t>
        </w:r>
      </w:hyperlink>
      <w:r w:rsidR="008B311C">
        <w:rPr>
          <w:rFonts w:ascii="Times New Roman" w:hAnsi="Times New Roman" w:cs="Times New Roman"/>
          <w:sz w:val="24"/>
          <w:szCs w:val="24"/>
        </w:rPr>
        <w:t xml:space="preserve"> </w:t>
      </w:r>
    </w:p>
    <w:p w14:paraId="3B8726FD" w14:textId="77777777" w:rsidR="00411861" w:rsidRPr="00411861" w:rsidRDefault="00411861" w:rsidP="00411861">
      <w:pPr>
        <w:spacing w:after="0"/>
        <w:jc w:val="both"/>
        <w:rPr>
          <w:rFonts w:ascii="Times New Roman" w:hAnsi="Times New Roman" w:cs="Times New Roman"/>
          <w:sz w:val="24"/>
          <w:szCs w:val="24"/>
        </w:rPr>
      </w:pPr>
    </w:p>
    <w:p w14:paraId="4AEF9485" w14:textId="2BA979A4"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Van der Heijde, C. M., &amp; Van der Heijden, B. I. J. M. (2006). A competence-based and multidimensional operationalization and measurement of employability. Human Resource Management, 45(3), 449</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476. </w:t>
      </w:r>
      <w:hyperlink r:id="rId25" w:history="1">
        <w:r w:rsidR="008B311C" w:rsidRPr="00EB1503">
          <w:rPr>
            <w:rStyle w:val="Hyperlink"/>
            <w:rFonts w:ascii="Times New Roman" w:hAnsi="Times New Roman" w:cs="Times New Roman"/>
            <w:sz w:val="24"/>
            <w:szCs w:val="24"/>
          </w:rPr>
          <w:t>https://doi.org/10.1002/hrm.20119</w:t>
        </w:r>
      </w:hyperlink>
      <w:r w:rsidR="008B311C">
        <w:rPr>
          <w:rFonts w:ascii="Times New Roman" w:hAnsi="Times New Roman" w:cs="Times New Roman"/>
          <w:sz w:val="24"/>
          <w:szCs w:val="24"/>
        </w:rPr>
        <w:t xml:space="preserve"> </w:t>
      </w:r>
    </w:p>
    <w:p w14:paraId="64219FA3" w14:textId="77777777" w:rsidR="00411861" w:rsidRPr="00411861" w:rsidRDefault="00411861" w:rsidP="00411861">
      <w:pPr>
        <w:spacing w:after="0"/>
        <w:jc w:val="both"/>
        <w:rPr>
          <w:rFonts w:ascii="Times New Roman" w:hAnsi="Times New Roman" w:cs="Times New Roman"/>
          <w:sz w:val="24"/>
          <w:szCs w:val="24"/>
        </w:rPr>
      </w:pPr>
    </w:p>
    <w:p w14:paraId="78F60A93" w14:textId="3381F1F5"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Wilton, N. (2011). Do employability skills really matter in the UK graduate labour market? Work, Employment and Society, 25(1), 85</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100. </w:t>
      </w:r>
      <w:hyperlink r:id="rId26" w:history="1">
        <w:r w:rsidR="008B311C" w:rsidRPr="00EB1503">
          <w:rPr>
            <w:rStyle w:val="Hyperlink"/>
            <w:rFonts w:ascii="Times New Roman" w:hAnsi="Times New Roman" w:cs="Times New Roman"/>
            <w:sz w:val="24"/>
            <w:szCs w:val="24"/>
          </w:rPr>
          <w:t>https://doi.org/10.1177/0950017010389244</w:t>
        </w:r>
      </w:hyperlink>
      <w:r w:rsidR="008B311C">
        <w:rPr>
          <w:rFonts w:ascii="Times New Roman" w:hAnsi="Times New Roman" w:cs="Times New Roman"/>
          <w:sz w:val="24"/>
          <w:szCs w:val="24"/>
        </w:rPr>
        <w:t xml:space="preserve"> </w:t>
      </w:r>
    </w:p>
    <w:p w14:paraId="1200ABDB" w14:textId="77777777" w:rsidR="00411861" w:rsidRPr="00411861" w:rsidRDefault="00411861" w:rsidP="00411861">
      <w:pPr>
        <w:spacing w:after="0"/>
        <w:jc w:val="both"/>
        <w:rPr>
          <w:rFonts w:ascii="Times New Roman" w:hAnsi="Times New Roman" w:cs="Times New Roman"/>
          <w:sz w:val="24"/>
          <w:szCs w:val="24"/>
        </w:rPr>
      </w:pPr>
    </w:p>
    <w:p w14:paraId="3CEA5079" w14:textId="059603C0" w:rsidR="007F664A"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Yorke, M., &amp; Knight, P. T. (2007). Evidence-informed pedagogy and the enhancement of student employability. Teaching in Higher Education, 12(2), 157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170. </w:t>
      </w:r>
      <w:hyperlink r:id="rId27" w:history="1">
        <w:r w:rsidR="008B311C" w:rsidRPr="00EB1503">
          <w:rPr>
            <w:rStyle w:val="Hyperlink"/>
            <w:rFonts w:ascii="Times New Roman" w:hAnsi="Times New Roman" w:cs="Times New Roman"/>
            <w:sz w:val="24"/>
            <w:szCs w:val="24"/>
          </w:rPr>
          <w:t>https://doi.org/10.1080/13562510701191877</w:t>
        </w:r>
      </w:hyperlink>
      <w:r w:rsidR="008B311C">
        <w:rPr>
          <w:rFonts w:ascii="Times New Roman" w:hAnsi="Times New Roman" w:cs="Times New Roman"/>
          <w:sz w:val="24"/>
          <w:szCs w:val="24"/>
        </w:rPr>
        <w:t xml:space="preserve"> </w:t>
      </w:r>
    </w:p>
    <w:sectPr w:rsidR="007F664A" w:rsidRPr="00411861">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B2684" w14:textId="77777777" w:rsidR="00582F64" w:rsidRDefault="00582F64" w:rsidP="00B13620">
      <w:pPr>
        <w:spacing w:after="0" w:line="240" w:lineRule="auto"/>
      </w:pPr>
      <w:r>
        <w:separator/>
      </w:r>
    </w:p>
  </w:endnote>
  <w:endnote w:type="continuationSeparator" w:id="0">
    <w:p w14:paraId="1529DE21" w14:textId="77777777" w:rsidR="00582F64" w:rsidRDefault="00582F64" w:rsidP="00B1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3C84" w14:textId="77777777" w:rsidR="00B13620" w:rsidRDefault="00B1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6683" w14:textId="77777777" w:rsidR="00B13620" w:rsidRDefault="00B13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D36E" w14:textId="77777777" w:rsidR="00B13620" w:rsidRDefault="00B1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37308" w14:textId="77777777" w:rsidR="00582F64" w:rsidRDefault="00582F64" w:rsidP="00B13620">
      <w:pPr>
        <w:spacing w:after="0" w:line="240" w:lineRule="auto"/>
      </w:pPr>
      <w:r>
        <w:separator/>
      </w:r>
    </w:p>
  </w:footnote>
  <w:footnote w:type="continuationSeparator" w:id="0">
    <w:p w14:paraId="53C7E225" w14:textId="77777777" w:rsidR="00582F64" w:rsidRDefault="00582F64" w:rsidP="00B1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6314" w14:textId="3E56841C" w:rsidR="00B13620" w:rsidRDefault="00B13620">
    <w:pPr>
      <w:pStyle w:val="Header"/>
    </w:pPr>
    <w:r>
      <w:rPr>
        <w:noProof/>
      </w:rPr>
      <w:pict w14:anchorId="54D9B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F10B" w14:textId="5F00BB45" w:rsidR="00B13620" w:rsidRDefault="00B13620">
    <w:pPr>
      <w:pStyle w:val="Header"/>
    </w:pPr>
    <w:r>
      <w:rPr>
        <w:noProof/>
      </w:rPr>
      <w:pict w14:anchorId="03794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8182" w14:textId="467302F7" w:rsidR="00B13620" w:rsidRDefault="00B13620">
    <w:pPr>
      <w:pStyle w:val="Header"/>
    </w:pPr>
    <w:r>
      <w:rPr>
        <w:noProof/>
      </w:rPr>
      <w:pict w14:anchorId="5F7C8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6E50"/>
    <w:multiLevelType w:val="hybridMultilevel"/>
    <w:tmpl w:val="77A45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D5"/>
    <w:rsid w:val="0000442E"/>
    <w:rsid w:val="00033994"/>
    <w:rsid w:val="000722F6"/>
    <w:rsid w:val="0008261E"/>
    <w:rsid w:val="000E721A"/>
    <w:rsid w:val="001007E7"/>
    <w:rsid w:val="001753FA"/>
    <w:rsid w:val="001E4970"/>
    <w:rsid w:val="002876AF"/>
    <w:rsid w:val="002C5591"/>
    <w:rsid w:val="002D186B"/>
    <w:rsid w:val="002F1C10"/>
    <w:rsid w:val="003805FC"/>
    <w:rsid w:val="003842A9"/>
    <w:rsid w:val="00386259"/>
    <w:rsid w:val="0039131C"/>
    <w:rsid w:val="003C0890"/>
    <w:rsid w:val="003E4AFC"/>
    <w:rsid w:val="00411861"/>
    <w:rsid w:val="00425F10"/>
    <w:rsid w:val="004554E0"/>
    <w:rsid w:val="00494462"/>
    <w:rsid w:val="004F74BD"/>
    <w:rsid w:val="0051559E"/>
    <w:rsid w:val="005158FA"/>
    <w:rsid w:val="00532EE4"/>
    <w:rsid w:val="00582F64"/>
    <w:rsid w:val="005D1768"/>
    <w:rsid w:val="00600C1E"/>
    <w:rsid w:val="006205F9"/>
    <w:rsid w:val="006359A9"/>
    <w:rsid w:val="00681938"/>
    <w:rsid w:val="006B4B02"/>
    <w:rsid w:val="006F5ABE"/>
    <w:rsid w:val="007559EF"/>
    <w:rsid w:val="00763BBF"/>
    <w:rsid w:val="007A5CD7"/>
    <w:rsid w:val="007E60AE"/>
    <w:rsid w:val="007F664A"/>
    <w:rsid w:val="00817102"/>
    <w:rsid w:val="00891EF1"/>
    <w:rsid w:val="008B311C"/>
    <w:rsid w:val="008D7CA9"/>
    <w:rsid w:val="00905A58"/>
    <w:rsid w:val="00926051"/>
    <w:rsid w:val="0097764F"/>
    <w:rsid w:val="009864CA"/>
    <w:rsid w:val="00A060CA"/>
    <w:rsid w:val="00A432AD"/>
    <w:rsid w:val="00A50C61"/>
    <w:rsid w:val="00A71CA1"/>
    <w:rsid w:val="00AC4CE0"/>
    <w:rsid w:val="00B10C19"/>
    <w:rsid w:val="00B13620"/>
    <w:rsid w:val="00B30D43"/>
    <w:rsid w:val="00C2051D"/>
    <w:rsid w:val="00C55A64"/>
    <w:rsid w:val="00CA1FD5"/>
    <w:rsid w:val="00D11E9F"/>
    <w:rsid w:val="00D13489"/>
    <w:rsid w:val="00D315D5"/>
    <w:rsid w:val="00D3163E"/>
    <w:rsid w:val="00D4273E"/>
    <w:rsid w:val="00D95FCE"/>
    <w:rsid w:val="00E153CA"/>
    <w:rsid w:val="00E34AEF"/>
    <w:rsid w:val="00E43B5B"/>
    <w:rsid w:val="00E678FF"/>
    <w:rsid w:val="00E72246"/>
    <w:rsid w:val="00EB73A9"/>
    <w:rsid w:val="00ED57B4"/>
    <w:rsid w:val="00EE417C"/>
    <w:rsid w:val="00F15876"/>
    <w:rsid w:val="00FD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02645"/>
  <w15:chartTrackingRefBased/>
  <w15:docId w15:val="{0BCA5CE5-9793-49EB-956F-87B1BB3E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861"/>
    <w:pPr>
      <w:ind w:left="720"/>
      <w:contextualSpacing/>
    </w:pPr>
  </w:style>
  <w:style w:type="character" w:styleId="Hyperlink">
    <w:name w:val="Hyperlink"/>
    <w:basedOn w:val="DefaultParagraphFont"/>
    <w:uiPriority w:val="99"/>
    <w:unhideWhenUsed/>
    <w:rsid w:val="008B311C"/>
    <w:rPr>
      <w:color w:val="0563C1" w:themeColor="hyperlink"/>
      <w:u w:val="single"/>
    </w:rPr>
  </w:style>
  <w:style w:type="character" w:styleId="UnresolvedMention">
    <w:name w:val="Unresolved Mention"/>
    <w:basedOn w:val="DefaultParagraphFont"/>
    <w:uiPriority w:val="99"/>
    <w:semiHidden/>
    <w:unhideWhenUsed/>
    <w:rsid w:val="008B311C"/>
    <w:rPr>
      <w:color w:val="605E5C"/>
      <w:shd w:val="clear" w:color="auto" w:fill="E1DFDD"/>
    </w:rPr>
  </w:style>
  <w:style w:type="paragraph" w:styleId="Header">
    <w:name w:val="header"/>
    <w:basedOn w:val="Normal"/>
    <w:link w:val="HeaderChar"/>
    <w:uiPriority w:val="99"/>
    <w:unhideWhenUsed/>
    <w:rsid w:val="00B1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620"/>
  </w:style>
  <w:style w:type="paragraph" w:styleId="Footer">
    <w:name w:val="footer"/>
    <w:basedOn w:val="Normal"/>
    <w:link w:val="FooterChar"/>
    <w:uiPriority w:val="99"/>
    <w:unhideWhenUsed/>
    <w:rsid w:val="00B1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34714">
      <w:bodyDiv w:val="1"/>
      <w:marLeft w:val="0"/>
      <w:marRight w:val="0"/>
      <w:marTop w:val="0"/>
      <w:marBottom w:val="0"/>
      <w:divBdr>
        <w:top w:val="none" w:sz="0" w:space="0" w:color="auto"/>
        <w:left w:val="none" w:sz="0" w:space="0" w:color="auto"/>
        <w:bottom w:val="none" w:sz="0" w:space="0" w:color="auto"/>
        <w:right w:val="none" w:sz="0" w:space="0" w:color="auto"/>
      </w:divBdr>
    </w:div>
    <w:div w:id="567032693">
      <w:bodyDiv w:val="1"/>
      <w:marLeft w:val="0"/>
      <w:marRight w:val="0"/>
      <w:marTop w:val="0"/>
      <w:marBottom w:val="0"/>
      <w:divBdr>
        <w:top w:val="none" w:sz="0" w:space="0" w:color="auto"/>
        <w:left w:val="none" w:sz="0" w:space="0" w:color="auto"/>
        <w:bottom w:val="none" w:sz="0" w:space="0" w:color="auto"/>
        <w:right w:val="none" w:sz="0" w:space="0" w:color="auto"/>
      </w:divBdr>
    </w:div>
    <w:div w:id="1556118010">
      <w:bodyDiv w:val="1"/>
      <w:marLeft w:val="0"/>
      <w:marRight w:val="0"/>
      <w:marTop w:val="0"/>
      <w:marBottom w:val="0"/>
      <w:divBdr>
        <w:top w:val="none" w:sz="0" w:space="0" w:color="auto"/>
        <w:left w:val="none" w:sz="0" w:space="0" w:color="auto"/>
        <w:bottom w:val="none" w:sz="0" w:space="0" w:color="auto"/>
        <w:right w:val="none" w:sz="0" w:space="0" w:color="auto"/>
      </w:divBdr>
    </w:div>
    <w:div w:id="21452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ET-07-2012-0077" TargetMode="External"/><Relationship Id="rId18" Type="http://schemas.openxmlformats.org/officeDocument/2006/relationships/hyperlink" Target="https://doi.org/10.1007/s10734-019-00490-5" TargetMode="External"/><Relationship Id="rId26" Type="http://schemas.openxmlformats.org/officeDocument/2006/relationships/hyperlink" Target="https://doi.org/10.1177/0950017010389244" TargetMode="External"/><Relationship Id="rId3" Type="http://schemas.openxmlformats.org/officeDocument/2006/relationships/settings" Target="settings.xml"/><Relationship Id="rId21" Type="http://schemas.openxmlformats.org/officeDocument/2006/relationships/hyperlink" Target="https://doi.org/10.1016/j.jvb.2007.12.001"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1108/ET-01-2013-0009" TargetMode="External"/><Relationship Id="rId17" Type="http://schemas.openxmlformats.org/officeDocument/2006/relationships/hyperlink" Target="https://doi.org/10.1080/03075079.2011.587140" TargetMode="External"/><Relationship Id="rId25" Type="http://schemas.openxmlformats.org/officeDocument/2006/relationships/hyperlink" Target="https://doi.org/10.1002/hrm.2011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13538320120059990" TargetMode="External"/><Relationship Id="rId20" Type="http://schemas.openxmlformats.org/officeDocument/2006/relationships/hyperlink" Target="https://doi.org/10.1108/0040091071075443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075079.2017.1294152" TargetMode="External"/><Relationship Id="rId24" Type="http://schemas.openxmlformats.org/officeDocument/2006/relationships/hyperlink" Target="https://doi.org/10.1057/hep.2011.26"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0775-015-9288-4" TargetMode="External"/><Relationship Id="rId23" Type="http://schemas.openxmlformats.org/officeDocument/2006/relationships/hyperlink" Target="https://doi.org/10.1080/03075079.2014.977859" TargetMode="External"/><Relationship Id="rId28" Type="http://schemas.openxmlformats.org/officeDocument/2006/relationships/header" Target="header1.xml"/><Relationship Id="rId10" Type="http://schemas.openxmlformats.org/officeDocument/2006/relationships/hyperlink" Target="https://doi.org/10.1080/07294360802444347" TargetMode="External"/><Relationship Id="rId19" Type="http://schemas.openxmlformats.org/officeDocument/2006/relationships/hyperlink" Target="https://doi.org/10.1080/004209804200031610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80/03797720802522627" TargetMode="External"/><Relationship Id="rId14" Type="http://schemas.openxmlformats.org/officeDocument/2006/relationships/hyperlink" Target="https://doi.org/10.1016/j.jvb.2003.10.005" TargetMode="External"/><Relationship Id="rId22" Type="http://schemas.openxmlformats.org/officeDocument/2006/relationships/hyperlink" Target="https://doi.org/10.1002/j.2161-0045.1997.tb00469.x" TargetMode="External"/><Relationship Id="rId27" Type="http://schemas.openxmlformats.org/officeDocument/2006/relationships/hyperlink" Target="https://doi.org/10.1080/1356251070119187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Employability Skills</c:v>
                </c:pt>
                <c:pt idx="1">
                  <c:v>Career Preparedness</c:v>
                </c:pt>
              </c:strCache>
            </c:strRef>
          </c:cat>
          <c:val>
            <c:numRef>
              <c:f>Sheet1!$B$2:$B$3</c:f>
              <c:numCache>
                <c:formatCode>General</c:formatCode>
                <c:ptCount val="2"/>
                <c:pt idx="0">
                  <c:v>3.47</c:v>
                </c:pt>
                <c:pt idx="1">
                  <c:v>3.41</c:v>
                </c:pt>
              </c:numCache>
            </c:numRef>
          </c:val>
          <c:extLst>
            <c:ext xmlns:c16="http://schemas.microsoft.com/office/drawing/2014/chart" uri="{C3380CC4-5D6E-409C-BE32-E72D297353CC}">
              <c16:uniqueId val="{00000000-7F6D-48CE-943B-8DC90AD9A37E}"/>
            </c:ext>
          </c:extLst>
        </c:ser>
        <c:dLbls>
          <c:dLblPos val="outEnd"/>
          <c:showLegendKey val="0"/>
          <c:showVal val="1"/>
          <c:showCatName val="0"/>
          <c:showSerName val="0"/>
          <c:showPercent val="0"/>
          <c:showBubbleSize val="0"/>
        </c:dLbls>
        <c:gapWidth val="219"/>
        <c:overlap val="-27"/>
        <c:axId val="2050482975"/>
        <c:axId val="2111818735"/>
      </c:barChart>
      <c:catAx>
        <c:axId val="2050482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Variables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818735"/>
        <c:crosses val="autoZero"/>
        <c:auto val="1"/>
        <c:lblAlgn val="ctr"/>
        <c:lblOffset val="100"/>
        <c:noMultiLvlLbl val="0"/>
      </c:catAx>
      <c:valAx>
        <c:axId val="21118187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Mean Score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0482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12</Pages>
  <Words>4598</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SDI 1084</cp:lastModifiedBy>
  <cp:revision>70</cp:revision>
  <dcterms:created xsi:type="dcterms:W3CDTF">2026-04-03T15:01:00Z</dcterms:created>
  <dcterms:modified xsi:type="dcterms:W3CDTF">2026-04-07T10:15:00Z</dcterms:modified>
</cp:coreProperties>
</file>