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95FA9" w14:textId="4829BE28" w:rsidR="00F352DA" w:rsidRDefault="00FC0651" w:rsidP="00746041">
      <w:pPr>
        <w:rPr>
          <w:b/>
          <w:bCs/>
          <w:sz w:val="28"/>
          <w:szCs w:val="28"/>
        </w:rPr>
      </w:pPr>
      <w:r w:rsidRPr="00FC0651">
        <w:rPr>
          <w:b/>
          <w:bCs/>
          <w:sz w:val="28"/>
          <w:szCs w:val="28"/>
        </w:rPr>
        <w:t>Original Research Article</w:t>
      </w:r>
    </w:p>
    <w:p w14:paraId="7857BC75" w14:textId="77777777" w:rsidR="00FC0651" w:rsidRDefault="00FC0651" w:rsidP="00746041">
      <w:pPr>
        <w:rPr>
          <w:b/>
          <w:bCs/>
          <w:sz w:val="28"/>
          <w:szCs w:val="28"/>
        </w:rPr>
      </w:pPr>
    </w:p>
    <w:p w14:paraId="0354BE8F" w14:textId="77777777" w:rsidR="00FC0651" w:rsidRDefault="00FC0651" w:rsidP="00746041">
      <w:pPr>
        <w:rPr>
          <w:b/>
          <w:bCs/>
          <w:sz w:val="28"/>
          <w:szCs w:val="28"/>
        </w:rPr>
      </w:pPr>
    </w:p>
    <w:p w14:paraId="42BA5FE4" w14:textId="7E5C1B89" w:rsidR="00C47424" w:rsidRDefault="0084763F" w:rsidP="00746041">
      <w:pPr>
        <w:rPr>
          <w:rFonts w:ascii="Arial" w:hAnsi="Arial" w:cs="Arial"/>
          <w:b/>
          <w:bCs/>
        </w:rPr>
      </w:pPr>
      <w:r w:rsidRPr="00C500B6">
        <w:rPr>
          <w:rFonts w:ascii="Arial" w:hAnsi="Arial" w:cs="Arial"/>
          <w:b/>
          <w:bCs/>
        </w:rPr>
        <w:t>Jute Farming i</w:t>
      </w:r>
      <w:r w:rsidR="00964C9D" w:rsidRPr="00C500B6">
        <w:rPr>
          <w:rFonts w:ascii="Arial" w:hAnsi="Arial" w:cs="Arial"/>
          <w:b/>
          <w:bCs/>
        </w:rPr>
        <w:t>n Selected Areas of</w:t>
      </w:r>
      <w:r w:rsidR="004B006C" w:rsidRPr="00C500B6">
        <w:rPr>
          <w:rFonts w:ascii="Arial" w:hAnsi="Arial" w:cs="Arial"/>
          <w:b/>
          <w:bCs/>
        </w:rPr>
        <w:t xml:space="preserve"> Kishoreganj District</w:t>
      </w:r>
      <w:r w:rsidR="00964C9D" w:rsidRPr="00C500B6">
        <w:rPr>
          <w:rFonts w:ascii="Arial" w:hAnsi="Arial" w:cs="Arial"/>
          <w:b/>
          <w:bCs/>
        </w:rPr>
        <w:t xml:space="preserve"> i</w:t>
      </w:r>
      <w:r w:rsidR="004B006C" w:rsidRPr="00C500B6">
        <w:rPr>
          <w:rFonts w:ascii="Arial" w:hAnsi="Arial" w:cs="Arial"/>
          <w:b/>
          <w:bCs/>
        </w:rPr>
        <w:t>n Bangladesh</w:t>
      </w:r>
      <w:r w:rsidR="005F2F1D" w:rsidRPr="00C500B6">
        <w:rPr>
          <w:rFonts w:ascii="Arial" w:hAnsi="Arial" w:cs="Arial"/>
          <w:b/>
          <w:bCs/>
        </w:rPr>
        <w:t>:  Production Trends and Profitability Analysis</w:t>
      </w:r>
    </w:p>
    <w:p w14:paraId="2775E6B5" w14:textId="77777777" w:rsidR="002E736D" w:rsidRDefault="002E736D" w:rsidP="00746041">
      <w:pPr>
        <w:rPr>
          <w:rFonts w:ascii="Arial" w:hAnsi="Arial" w:cs="Arial"/>
          <w:b/>
          <w:bCs/>
        </w:rPr>
      </w:pPr>
    </w:p>
    <w:p w14:paraId="02C09E3F" w14:textId="77777777" w:rsidR="00BF5E39" w:rsidRPr="00F352DA" w:rsidRDefault="00BF5E39" w:rsidP="00431D30">
      <w:pPr>
        <w:jc w:val="center"/>
        <w:rPr>
          <w:b/>
          <w:sz w:val="28"/>
          <w:szCs w:val="28"/>
        </w:rPr>
      </w:pPr>
    </w:p>
    <w:p w14:paraId="34360056" w14:textId="74913C3B" w:rsidR="00431D30" w:rsidRPr="000C7D0B" w:rsidRDefault="00431D30" w:rsidP="00F352DA">
      <w:pPr>
        <w:jc w:val="left"/>
        <w:rPr>
          <w:rFonts w:ascii="Arial" w:hAnsi="Arial" w:cs="Arial"/>
          <w:b/>
          <w:sz w:val="22"/>
          <w:szCs w:val="22"/>
        </w:rPr>
      </w:pPr>
      <w:r w:rsidRPr="000C7D0B">
        <w:rPr>
          <w:rFonts w:ascii="Arial" w:hAnsi="Arial" w:cs="Arial"/>
          <w:b/>
          <w:sz w:val="22"/>
          <w:szCs w:val="22"/>
        </w:rPr>
        <w:t>ABSTRACT</w:t>
      </w:r>
    </w:p>
    <w:p w14:paraId="4A46F11F" w14:textId="342695C9" w:rsidR="00010DD9" w:rsidRPr="00BF5E39" w:rsidRDefault="00010DD9" w:rsidP="00BF5E39">
      <w:r w:rsidRPr="00BF5E39">
        <w:t xml:space="preserve">Jute remains a vital cash crop in Bangladesh, contributing to rural livelihoods and national export earnings. This study empirically examined profitability, long-term production trends, and the major challenges of jute cultivation in </w:t>
      </w:r>
      <w:proofErr w:type="spellStart"/>
      <w:r w:rsidRPr="00BF5E39">
        <w:t>Pakundia</w:t>
      </w:r>
      <w:proofErr w:type="spellEnd"/>
      <w:r w:rsidRPr="00BF5E39">
        <w:t xml:space="preserve"> and </w:t>
      </w:r>
      <w:proofErr w:type="spellStart"/>
      <w:r w:rsidRPr="00BF5E39">
        <w:t>Katiadi</w:t>
      </w:r>
      <w:proofErr w:type="spellEnd"/>
      <w:r w:rsidRPr="00BF5E39">
        <w:t xml:space="preserve"> </w:t>
      </w:r>
      <w:proofErr w:type="spellStart"/>
      <w:r w:rsidRPr="00BF5E39">
        <w:t>upazilas</w:t>
      </w:r>
      <w:proofErr w:type="spellEnd"/>
      <w:r w:rsidRPr="00BF5E39">
        <w:t xml:space="preserve"> of Kishoreganj district </w:t>
      </w:r>
      <w:r w:rsidR="004E7653">
        <w:t xml:space="preserve">in Bangladesh </w:t>
      </w:r>
      <w:r w:rsidR="00F352DA">
        <w:t>during</w:t>
      </w:r>
      <w:r w:rsidRPr="00BF5E39">
        <w:t xml:space="preserve"> 2025 production year. Primary data were collected f</w:t>
      </w:r>
      <w:r w:rsidR="00F352DA">
        <w:t>rom 65 farmers through random</w:t>
      </w:r>
      <w:r w:rsidRPr="00BF5E39">
        <w:t xml:space="preserve"> sampling, and time-series data covering 30 years were analyzed using an exponential growth model. The profitability analysis revealed that the average total cost of jute production was Tk. 57,647.36 per acre, while the average gross return and net return were Tk. 73,129.08 and Tk. 15,481.72 per acre, respectively. The Benefit–Cost Ratio 1.27 confirmed</w:t>
      </w:r>
      <w:r w:rsidR="004E7653">
        <w:t xml:space="preserve"> that jute farming is</w:t>
      </w:r>
      <w:r w:rsidRPr="00BF5E39">
        <w:t xml:space="preserve"> profitable, though high production and marketing uncertainties continue to threaten sustainability. </w:t>
      </w:r>
      <w:r w:rsidR="004E7653" w:rsidRPr="00BF5E39">
        <w:t>Trend</w:t>
      </w:r>
      <w:r w:rsidRPr="00BF5E39">
        <w:t xml:space="preserve"> analysis showed that the area under jute cultivation has significantly declined (–1.40% annually at 1% level), and production has also decreased slightly (–0.80% annually at 10% level), while yield has increased over time (+0.60% annually at 1% level), partly compensating for area loss. Farmers identified constraints such as limited retting facilities, high labor wages, low market prices, costly inputs, inadequate extension support, and limited access to quality seeds and credit. They suggested for improved retting infrastructure, government incentives, fair price assurance, timely input supply, and capacity-building initiatives. Overall, jute farming remains economically viable but is constrained by production and market-related risks. Therefo</w:t>
      </w:r>
      <w:r w:rsidR="00B2187A">
        <w:t xml:space="preserve">re, strengthened policy support, </w:t>
      </w:r>
      <w:r w:rsidRPr="00BF5E39">
        <w:t>efficient supply chains, are crucial fo</w:t>
      </w:r>
      <w:r w:rsidR="00B2187A">
        <w:t>r sustaining the golden fiber of</w:t>
      </w:r>
      <w:r w:rsidRPr="00BF5E39">
        <w:t xml:space="preserve"> Kishoreganj district</w:t>
      </w:r>
      <w:r w:rsidR="00B2187A">
        <w:t xml:space="preserve"> in Bangladesh</w:t>
      </w:r>
      <w:r w:rsidRPr="00BF5E39">
        <w:t>.</w:t>
      </w:r>
    </w:p>
    <w:p w14:paraId="1E98123A" w14:textId="7D786987" w:rsidR="00431D30" w:rsidRPr="00F352DA" w:rsidRDefault="00FE0064" w:rsidP="00C418F7">
      <w:pPr>
        <w:jc w:val="left"/>
        <w:rPr>
          <w:bCs/>
          <w:i/>
        </w:rPr>
      </w:pPr>
      <w:r w:rsidRPr="00F352DA">
        <w:rPr>
          <w:bCs/>
          <w:i/>
        </w:rPr>
        <w:t>Keywords: Jute, trend, production, profitability, Bangladesh.</w:t>
      </w:r>
    </w:p>
    <w:p w14:paraId="598BAA37" w14:textId="77777777" w:rsidR="00431D30" w:rsidRDefault="00431D30">
      <w:pPr>
        <w:rPr>
          <w:b/>
          <w:bCs/>
          <w:sz w:val="28"/>
          <w:szCs w:val="28"/>
        </w:rPr>
      </w:pPr>
      <w:r>
        <w:rPr>
          <w:b/>
          <w:bCs/>
          <w:sz w:val="28"/>
          <w:szCs w:val="28"/>
        </w:rPr>
        <w:br w:type="page"/>
      </w:r>
    </w:p>
    <w:p w14:paraId="07ACDAFD" w14:textId="77777777" w:rsidR="00FB2459" w:rsidRPr="00100A6B" w:rsidRDefault="00FB2459" w:rsidP="00FB2459">
      <w:pPr>
        <w:ind w:left="90"/>
        <w:rPr>
          <w:bCs/>
        </w:rPr>
      </w:pPr>
    </w:p>
    <w:p w14:paraId="0D59D72F" w14:textId="7A3899F6" w:rsidR="0028733A" w:rsidRPr="00F352DA" w:rsidRDefault="001C54A1" w:rsidP="00F352DA">
      <w:pPr>
        <w:pStyle w:val="ListParagraph"/>
        <w:numPr>
          <w:ilvl w:val="0"/>
          <w:numId w:val="20"/>
        </w:numPr>
        <w:rPr>
          <w:rFonts w:ascii="Arial" w:hAnsi="Arial" w:cs="Arial"/>
          <w:b/>
          <w:bCs/>
          <w:sz w:val="24"/>
          <w:szCs w:val="24"/>
        </w:rPr>
      </w:pPr>
      <w:r w:rsidRPr="00F352DA">
        <w:rPr>
          <w:rFonts w:ascii="Arial" w:hAnsi="Arial" w:cs="Arial"/>
          <w:b/>
          <w:bCs/>
          <w:sz w:val="24"/>
          <w:szCs w:val="24"/>
        </w:rPr>
        <w:t>Introduction</w:t>
      </w:r>
    </w:p>
    <w:p w14:paraId="4AA0CD30" w14:textId="3764BFBE" w:rsidR="00D15482" w:rsidRPr="00100A6B" w:rsidRDefault="00D15482" w:rsidP="00D15482">
      <w:r w:rsidRPr="00100A6B">
        <w:t>In Bangladesh, jute, sometimes referred to as the "golden fiber," is a significant traditional cash crop. Jute, behind cotton, is really the second most significant natural fiber consumed worldwide</w:t>
      </w:r>
      <w:r w:rsidR="00FF3FA0">
        <w:t xml:space="preserve">. </w:t>
      </w:r>
      <w:r w:rsidR="000D4F07" w:rsidRPr="00100A6B">
        <w:t xml:space="preserve">In addition, jute is less expensive, more reusable, resilient, and adaptable than synthetic fibers. Jute has several other important benefits, like being agro-based, </w:t>
      </w:r>
      <w:r w:rsidR="008D3508">
        <w:t xml:space="preserve">being produced yearly, being renewable, and being </w:t>
      </w:r>
      <w:r w:rsidR="000D4F07" w:rsidRPr="00100A6B">
        <w:t>biodegradable</w:t>
      </w:r>
      <w:r w:rsidR="00C02830" w:rsidRPr="00100A6B">
        <w:t xml:space="preserve"> </w:t>
      </w:r>
      <w:r w:rsidR="00771520" w:rsidRPr="00100A6B">
        <w:t>(</w:t>
      </w:r>
      <w:hyperlink r:id="rId8" w:history="1">
        <w:r w:rsidR="00771520" w:rsidRPr="00100A6B">
          <w:rPr>
            <w:rStyle w:val="Hyperlink"/>
            <w:color w:val="auto"/>
            <w:u w:val="none"/>
          </w:rPr>
          <w:t>Basu</w:t>
        </w:r>
      </w:hyperlink>
      <w:r w:rsidR="00771520" w:rsidRPr="00100A6B">
        <w:t xml:space="preserve"> and </w:t>
      </w:r>
      <w:hyperlink r:id="rId9" w:history="1">
        <w:r w:rsidR="00771520" w:rsidRPr="00100A6B">
          <w:rPr>
            <w:rStyle w:val="Hyperlink"/>
            <w:color w:val="auto"/>
            <w:u w:val="none"/>
          </w:rPr>
          <w:t>Roy</w:t>
        </w:r>
      </w:hyperlink>
      <w:r w:rsidR="00771520" w:rsidRPr="00100A6B">
        <w:t>, 2008)</w:t>
      </w:r>
      <w:r w:rsidR="0056036B" w:rsidRPr="00100A6B">
        <w:t>.</w:t>
      </w:r>
    </w:p>
    <w:p w14:paraId="2C8D359F" w14:textId="4E4E3C72" w:rsidR="00845690" w:rsidRPr="00100A6B" w:rsidRDefault="00D15482" w:rsidP="00845690">
      <w:r w:rsidRPr="00100A6B">
        <w:t xml:space="preserve">More than forty kinds of jute are known to exist, but only two are economically grown: </w:t>
      </w:r>
      <w:r w:rsidRPr="00100A6B">
        <w:rPr>
          <w:i/>
          <w:iCs/>
        </w:rPr>
        <w:t>Corchorus capsularis</w:t>
      </w:r>
      <w:r w:rsidRPr="00100A6B">
        <w:t xml:space="preserve"> L., sometimes called white jute, and </w:t>
      </w:r>
      <w:r w:rsidRPr="00100A6B">
        <w:rPr>
          <w:i/>
          <w:iCs/>
        </w:rPr>
        <w:t xml:space="preserve">Corchorus </w:t>
      </w:r>
      <w:proofErr w:type="spellStart"/>
      <w:r w:rsidRPr="00100A6B">
        <w:rPr>
          <w:i/>
          <w:iCs/>
        </w:rPr>
        <w:t>olitorius</w:t>
      </w:r>
      <w:proofErr w:type="spellEnd"/>
      <w:r w:rsidRPr="00100A6B">
        <w:t xml:space="preserve"> L., also called </w:t>
      </w:r>
      <w:proofErr w:type="spellStart"/>
      <w:r w:rsidRPr="00100A6B">
        <w:t>Tossa</w:t>
      </w:r>
      <w:proofErr w:type="spellEnd"/>
      <w:r w:rsidRPr="00100A6B">
        <w:t>/traditional jute</w:t>
      </w:r>
      <w:r w:rsidR="005D0162">
        <w:t>.</w:t>
      </w:r>
      <w:r w:rsidRPr="00100A6B">
        <w:t xml:space="preserve"> </w:t>
      </w:r>
      <w:r w:rsidR="00F65A8B">
        <w:t xml:space="preserve"> Ideal growth temperature for jute is between 20</w:t>
      </w:r>
      <w:r w:rsidR="00BC67BD" w:rsidRPr="00BC67BD">
        <w:rPr>
          <w:vertAlign w:val="superscript"/>
        </w:rPr>
        <w:t>0</w:t>
      </w:r>
      <w:r w:rsidR="00F65A8B">
        <w:t xml:space="preserve"> to 40</w:t>
      </w:r>
      <w:r w:rsidR="00BC67BD" w:rsidRPr="00BC67BD">
        <w:rPr>
          <w:vertAlign w:val="superscript"/>
        </w:rPr>
        <w:t>0</w:t>
      </w:r>
      <w:r w:rsidR="00F65A8B">
        <w:t xml:space="preserve"> c and relative humidity levels between 70% and 80% with weekly rainfall of 5-</w:t>
      </w:r>
      <w:r w:rsidR="002E7F62">
        <w:t>8 cm during the growth season. T</w:t>
      </w:r>
      <w:r w:rsidR="00F65A8B">
        <w:t xml:space="preserve">he retting process of jute involves socking bundles of jute stems in slow running water. The </w:t>
      </w:r>
      <w:proofErr w:type="spellStart"/>
      <w:r w:rsidR="00F65A8B">
        <w:t>fibres</w:t>
      </w:r>
      <w:proofErr w:type="spellEnd"/>
      <w:r w:rsidR="00F65A8B">
        <w:t xml:space="preserve"> are extracted through removing non- fibrous material during the striping process </w:t>
      </w:r>
      <w:proofErr w:type="gramStart"/>
      <w:r w:rsidR="00F65A8B">
        <w:t xml:space="preserve">( </w:t>
      </w:r>
      <w:proofErr w:type="spellStart"/>
      <w:r w:rsidR="00F65A8B">
        <w:t>Moniruzzamn</w:t>
      </w:r>
      <w:proofErr w:type="spellEnd"/>
      <w:proofErr w:type="gramEnd"/>
      <w:r w:rsidR="00F65A8B">
        <w:t xml:space="preserve"> </w:t>
      </w:r>
      <w:r w:rsidR="00F65A8B" w:rsidRPr="006E2F79">
        <w:rPr>
          <w:i/>
        </w:rPr>
        <w:t>e</w:t>
      </w:r>
      <w:r w:rsidR="006E2F79" w:rsidRPr="006E2F79">
        <w:rPr>
          <w:i/>
        </w:rPr>
        <w:t>t</w:t>
      </w:r>
      <w:r w:rsidR="00F65A8B" w:rsidRPr="006E2F79">
        <w:rPr>
          <w:i/>
        </w:rPr>
        <w:t xml:space="preserve"> al</w:t>
      </w:r>
      <w:r w:rsidR="00F65A8B">
        <w:t xml:space="preserve">, 2024). </w:t>
      </w:r>
      <w:r w:rsidRPr="00100A6B">
        <w:t xml:space="preserve">Elimination of health risks and contamination to the environment is one of jute's </w:t>
      </w:r>
      <w:r w:rsidR="007B3CFA">
        <w:t>essential</w:t>
      </w:r>
      <w:r w:rsidRPr="00100A6B">
        <w:t xml:space="preserve"> qualities</w:t>
      </w:r>
      <w:r w:rsidR="0056036B" w:rsidRPr="00100A6B">
        <w:t xml:space="preserve"> (Kazal </w:t>
      </w:r>
      <w:r w:rsidR="0056036B" w:rsidRPr="001C7A8D">
        <w:rPr>
          <w:i/>
        </w:rPr>
        <w:t>et al</w:t>
      </w:r>
      <w:r w:rsidR="000D4F07" w:rsidRPr="00100A6B">
        <w:t>.</w:t>
      </w:r>
      <w:r w:rsidR="00C02830" w:rsidRPr="00100A6B">
        <w:t>, 2013</w:t>
      </w:r>
      <w:r w:rsidR="0056036B" w:rsidRPr="00100A6B">
        <w:t>)</w:t>
      </w:r>
      <w:r w:rsidRPr="00100A6B">
        <w:t>.</w:t>
      </w:r>
      <w:r w:rsidR="001C7A8D">
        <w:t xml:space="preserve"> </w:t>
      </w:r>
      <w:r w:rsidR="00845690" w:rsidRPr="00100A6B">
        <w:t>For ages, jute has been an essential component of Bengali culture, especially in the southwest and some areas of West Bengal. Bangladeshi farmers are proud to produce jute, sometimes known as "the golden fiber" or "</w:t>
      </w:r>
      <w:proofErr w:type="spellStart"/>
      <w:r w:rsidR="007B3CFA">
        <w:t>Sonali</w:t>
      </w:r>
      <w:proofErr w:type="spellEnd"/>
      <w:r w:rsidR="00845690" w:rsidRPr="00100A6B">
        <w:t xml:space="preserve"> </w:t>
      </w:r>
      <w:proofErr w:type="spellStart"/>
      <w:r w:rsidR="00845690" w:rsidRPr="00100A6B">
        <w:t>ansh</w:t>
      </w:r>
      <w:proofErr w:type="spellEnd"/>
      <w:r w:rsidR="00845690" w:rsidRPr="00100A6B">
        <w:t xml:space="preserve">" </w:t>
      </w:r>
      <w:r w:rsidR="00FA16CF" w:rsidRPr="00100A6B">
        <w:t xml:space="preserve">(Rahman </w:t>
      </w:r>
      <w:r w:rsidR="00FA16CF" w:rsidRPr="001C7A8D">
        <w:rPr>
          <w:i/>
        </w:rPr>
        <w:t>et al</w:t>
      </w:r>
      <w:r w:rsidR="00FA16CF" w:rsidRPr="00100A6B">
        <w:t>., 2017).</w:t>
      </w:r>
    </w:p>
    <w:p w14:paraId="404EF1E6" w14:textId="7F09CD68" w:rsidR="00845690" w:rsidRPr="00100A6B" w:rsidRDefault="00845690" w:rsidP="00845690">
      <w:r w:rsidRPr="00100A6B">
        <w:t xml:space="preserve"> Bangladesh is the producer of the highest caliber natural jute fiber. The British East India Company </w:t>
      </w:r>
      <w:r w:rsidR="007B3CFA">
        <w:t>pioneered</w:t>
      </w:r>
      <w:r w:rsidRPr="00100A6B">
        <w:t xml:space="preserve"> jute commerce throughout the colonial era, marking the beginning of the history of the commodity. Jute was initially sent by the East India Company in 1793, and they carried on commerce into the 19th century. Processing businesses had to be established since jute products (such as sacks, bags, hessian for carpet backing, etc.) had a higher </w:t>
      </w:r>
      <w:r w:rsidR="007B3CFA">
        <w:t>value-added</w:t>
      </w:r>
      <w:r w:rsidRPr="00100A6B">
        <w:t xml:space="preserve"> than raw jute. </w:t>
      </w:r>
      <w:r w:rsidR="00FA16CF" w:rsidRPr="00100A6B">
        <w:t xml:space="preserve">(Rahman </w:t>
      </w:r>
      <w:r w:rsidR="00FA16CF" w:rsidRPr="007C0824">
        <w:rPr>
          <w:i/>
        </w:rPr>
        <w:t>et al</w:t>
      </w:r>
      <w:r w:rsidR="00FA16CF" w:rsidRPr="00100A6B">
        <w:t>., 2017).</w:t>
      </w:r>
    </w:p>
    <w:p w14:paraId="14F5C8FB" w14:textId="2E1CF291" w:rsidR="00E35637" w:rsidRDefault="00845690" w:rsidP="00845690">
      <w:r w:rsidRPr="00100A6B">
        <w:t>Throughout the 1950s and 1960s, Bangladesh had a monopoly on the production and sale of jute. There isn't now a monopolistic position of this kind due to competition from Nepal, China, India, and Uzbekistan. Even yet, Bangladesh continues to be the world's second-largest producer of jute, after India, and has been a major export since the 1950s. Nonetheless, over time, Bangladesh's jute sector experienced significant disruptions. During the early years, the government provided both explicit and implicit subsidies to the jute business. These subsidies were subsequently terminated.</w:t>
      </w:r>
      <w:r w:rsidR="00E35637" w:rsidRPr="00100A6B">
        <w:t xml:space="preserve"> Moreover, the jute industry was not eligible for the direct incentives that supported the nation's industrialization and were given to export-oriented private businesses in the form of tax breaks on machinery and equipment </w:t>
      </w:r>
      <w:r w:rsidR="00E35637" w:rsidRPr="00100A6B">
        <w:lastRenderedPageBreak/>
        <w:t>imports</w:t>
      </w:r>
      <w:r w:rsidR="00C878A4" w:rsidRPr="00100A6B">
        <w:t xml:space="preserve"> (</w:t>
      </w:r>
      <w:r w:rsidR="00533C20" w:rsidRPr="00100A6B">
        <w:t xml:space="preserve">Rahman </w:t>
      </w:r>
      <w:r w:rsidR="00533C20" w:rsidRPr="007C0824">
        <w:rPr>
          <w:i/>
        </w:rPr>
        <w:t>et al</w:t>
      </w:r>
      <w:r w:rsidR="00533C20" w:rsidRPr="00100A6B">
        <w:t>., 20</w:t>
      </w:r>
      <w:r w:rsidR="00F61C3F" w:rsidRPr="00100A6B">
        <w:t>1</w:t>
      </w:r>
      <w:r w:rsidR="00533C20" w:rsidRPr="00100A6B">
        <w:t>7</w:t>
      </w:r>
      <w:r w:rsidR="00C878A4" w:rsidRPr="00100A6B">
        <w:t>)</w:t>
      </w:r>
      <w:r w:rsidR="00E35637" w:rsidRPr="00100A6B">
        <w:t>.</w:t>
      </w:r>
      <w:r w:rsidR="009F60EA">
        <w:t xml:space="preserve"> </w:t>
      </w:r>
      <w:r w:rsidR="00E35637" w:rsidRPr="00100A6B">
        <w:t xml:space="preserve">Ultimately, in 1994, the government signed an agreement with the World Bank/IDA to reform the jute sector in response to a decline in global jute demand during the 1990s and ongoing losses in publicly-owned jute mills. </w:t>
      </w:r>
    </w:p>
    <w:p w14:paraId="52141A67" w14:textId="696B52F3" w:rsidR="00923729" w:rsidRPr="0039793B" w:rsidRDefault="00964C9D" w:rsidP="00923729">
      <w:r>
        <w:t xml:space="preserve">Bangladesh is the second largest producer of Jute </w:t>
      </w:r>
      <w:proofErr w:type="spellStart"/>
      <w:r>
        <w:t>fibre</w:t>
      </w:r>
      <w:proofErr w:type="spellEnd"/>
      <w:r>
        <w:t xml:space="preserve"> in the world </w:t>
      </w:r>
      <w:proofErr w:type="spellStart"/>
      <w:r>
        <w:t>cotributing</w:t>
      </w:r>
      <w:proofErr w:type="spellEnd"/>
      <w:r>
        <w:t xml:space="preserve"> 30% of the </w:t>
      </w:r>
      <w:proofErr w:type="spellStart"/>
      <w:r>
        <w:t>the</w:t>
      </w:r>
      <w:proofErr w:type="spellEnd"/>
      <w:r>
        <w:t xml:space="preserve"> total global production </w:t>
      </w:r>
      <w:proofErr w:type="gramStart"/>
      <w:r>
        <w:t xml:space="preserve">( </w:t>
      </w:r>
      <w:proofErr w:type="spellStart"/>
      <w:r>
        <w:t>Rahmna</w:t>
      </w:r>
      <w:proofErr w:type="spellEnd"/>
      <w:proofErr w:type="gramEnd"/>
      <w:r>
        <w:t xml:space="preserve"> </w:t>
      </w:r>
      <w:r w:rsidRPr="00964C9D">
        <w:rPr>
          <w:i/>
        </w:rPr>
        <w:t>et al</w:t>
      </w:r>
      <w:r w:rsidR="007C0824">
        <w:t>; 2017&amp;</w:t>
      </w:r>
      <w:r>
        <w:t xml:space="preserve"> Siddique, 2018).</w:t>
      </w:r>
      <w:r w:rsidR="004225F2">
        <w:t xml:space="preserve"> Jute and jute products of </w:t>
      </w:r>
      <w:r w:rsidR="00F772AA">
        <w:t>Bangladesh</w:t>
      </w:r>
      <w:r w:rsidR="004225F2">
        <w:t xml:space="preserve"> are the unique items for exports that </w:t>
      </w:r>
      <w:r w:rsidR="009F60EA">
        <w:t>have</w:t>
      </w:r>
      <w:r w:rsidR="004225F2">
        <w:t xml:space="preserve"> ecological sustainability and </w:t>
      </w:r>
      <w:proofErr w:type="gramStart"/>
      <w:r w:rsidR="004225F2">
        <w:t>environmental</w:t>
      </w:r>
      <w:proofErr w:type="gramEnd"/>
      <w:r w:rsidR="004225F2">
        <w:t xml:space="preserve"> friendly characteristics.</w:t>
      </w:r>
      <w:r w:rsidR="00923729">
        <w:t xml:space="preserve"> </w:t>
      </w:r>
      <w:proofErr w:type="spellStart"/>
      <w:r w:rsidR="00923729">
        <w:t>bangladesh</w:t>
      </w:r>
      <w:proofErr w:type="spellEnd"/>
      <w:r w:rsidR="00923729">
        <w:t xml:space="preserve"> produced 95.82 lakh</w:t>
      </w:r>
      <w:r w:rsidR="00923729" w:rsidRPr="00923729">
        <w:rPr>
          <w:vertAlign w:val="superscript"/>
        </w:rPr>
        <w:t>1</w:t>
      </w:r>
      <w:r w:rsidR="00923729">
        <w:t xml:space="preserve"> bales</w:t>
      </w:r>
      <w:proofErr w:type="gramStart"/>
      <w:r w:rsidR="00923729" w:rsidRPr="00923729">
        <w:rPr>
          <w:vertAlign w:val="superscript"/>
        </w:rPr>
        <w:t>2</w:t>
      </w:r>
      <w:r w:rsidR="00923729">
        <w:rPr>
          <w:vertAlign w:val="superscript"/>
        </w:rPr>
        <w:t xml:space="preserve">  </w:t>
      </w:r>
      <w:r w:rsidR="00923729" w:rsidRPr="00923729">
        <w:t>raw</w:t>
      </w:r>
      <w:proofErr w:type="gramEnd"/>
      <w:r w:rsidR="00923729">
        <w:t xml:space="preserve"> jute in the fiscal year 2023-2024  (BBS, 2024) and earning export revenue of $820.16 million in the  </w:t>
      </w:r>
      <w:proofErr w:type="spellStart"/>
      <w:r w:rsidR="006E2F79">
        <w:t>the</w:t>
      </w:r>
      <w:proofErr w:type="spellEnd"/>
      <w:r w:rsidR="006E2F79">
        <w:t xml:space="preserve"> year</w:t>
      </w:r>
      <w:r w:rsidR="00BD7E96">
        <w:t xml:space="preserve"> 2025</w:t>
      </w:r>
      <w:r w:rsidR="00923729">
        <w:t>(EPB, 2025)</w:t>
      </w:r>
    </w:p>
    <w:p w14:paraId="6DE5403F" w14:textId="77777777" w:rsidR="00BF5E39" w:rsidRPr="0039793B" w:rsidRDefault="00BF5E39" w:rsidP="00BF5E39">
      <w:r w:rsidRPr="0039793B">
        <w:t>Jute is considered one of the most promising eco-friendly fibers due to its biodegradable nature and wide range of industrial uses. Although Bangladesh has a long historical connection with jute, its global importance declined with the emergence of synthetic substitutes. In recent years, the increasing environmental concerns and innovations such as jute genome sequencing have renewed interest in jute-based products. However, jute production in Bangladesh is still not keeping pace with this rising demand, mainly due to persistent challenges faced by farmers, including high production costs, low profitability, poor access to quality seeds, and inadequate market facilities.</w:t>
      </w:r>
    </w:p>
    <w:p w14:paraId="26B512C5" w14:textId="11CCBD86" w:rsidR="00BF5E39" w:rsidRDefault="00BF5E39" w:rsidP="00BF5E39">
      <w:r w:rsidRPr="0039793B">
        <w:t xml:space="preserve">Kishoreganj is one of the important jute-growing districts in Bangladesh, but farmers in this region have been experiencing fluctuating yields and declining profitability over the years. Although several studies have examined different aspects of jute production in Bangladesh, detailed research focusing specifically on trends in production, profitability, and farmer-level constraints in the selected upazilas of Kishoreganj remains limited. Therefore, </w:t>
      </w:r>
      <w:r w:rsidR="00F90813">
        <w:t>this study attempts to fill this knowledge gap</w:t>
      </w:r>
      <w:r w:rsidRPr="0039793B">
        <w:t xml:space="preserve"> by providing updated field-based evidence from these </w:t>
      </w:r>
      <w:r w:rsidR="00C24373" w:rsidRPr="0039793B">
        <w:t>areas.</w:t>
      </w:r>
      <w:r w:rsidR="00C24373">
        <w:t xml:space="preserve"> The precise objectives of the current study </w:t>
      </w:r>
      <w:proofErr w:type="gramStart"/>
      <w:r w:rsidR="00C24373">
        <w:t>are :</w:t>
      </w:r>
      <w:proofErr w:type="gramEnd"/>
      <w:r w:rsidR="00F90813">
        <w:t xml:space="preserve"> </w:t>
      </w:r>
      <w:r w:rsidR="00C24373">
        <w:t xml:space="preserve">(i) to analyze the trend of jute in terms of area, production and yield and (ii) </w:t>
      </w:r>
      <w:r w:rsidR="00B44AB9">
        <w:t>to analyze the profitability and factors affecting the productivity of jute as well as the major constraints faced by the farmers in the study area.</w:t>
      </w:r>
      <w:r w:rsidR="001026A9">
        <w:t xml:space="preserve"> </w:t>
      </w:r>
    </w:p>
    <w:p w14:paraId="68115A75" w14:textId="6D582BE7" w:rsidR="008C7045" w:rsidRDefault="008C7045" w:rsidP="00BF5E39">
      <w:r>
        <w:t xml:space="preserve">The study is organized into four sections, emphasizing the importance of jute and jute </w:t>
      </w:r>
      <w:r w:rsidR="00F90813">
        <w:t xml:space="preserve">products. </w:t>
      </w:r>
      <w:r>
        <w:t>Section 2 presents the methodology applied in this study and section 3 discusses the results obtained from the analysis. Finally</w:t>
      </w:r>
      <w:r w:rsidR="005949F8">
        <w:t>,</w:t>
      </w:r>
      <w:r>
        <w:t xml:space="preserve"> section 4 draws the conclusion and policy recommendations.</w:t>
      </w:r>
    </w:p>
    <w:p w14:paraId="67164CA0" w14:textId="77777777" w:rsidR="0056036B" w:rsidRPr="00100A6B" w:rsidRDefault="0056036B" w:rsidP="00ED680E"/>
    <w:p w14:paraId="6011FBD0" w14:textId="77777777" w:rsidR="00B932A4" w:rsidRPr="00100A6B" w:rsidRDefault="00B932A4" w:rsidP="00ED680E"/>
    <w:p w14:paraId="7F109586" w14:textId="77777777" w:rsidR="00ED680E" w:rsidRPr="00100A6B" w:rsidRDefault="00ED680E" w:rsidP="009C5B03">
      <w:pPr>
        <w:jc w:val="center"/>
        <w:rPr>
          <w:b/>
          <w:bCs/>
        </w:rPr>
      </w:pPr>
    </w:p>
    <w:p w14:paraId="0DDA5DB6" w14:textId="77777777" w:rsidR="00ED680E" w:rsidRPr="00100A6B" w:rsidRDefault="00ED680E" w:rsidP="009C5B03">
      <w:pPr>
        <w:jc w:val="center"/>
        <w:rPr>
          <w:b/>
          <w:bCs/>
        </w:rPr>
      </w:pPr>
    </w:p>
    <w:p w14:paraId="12738CB3" w14:textId="76365938" w:rsidR="00723A8E" w:rsidRPr="00100A6B" w:rsidRDefault="00C279CE" w:rsidP="00723A8E">
      <w:r>
        <w:rPr>
          <w:b/>
          <w:bCs/>
          <w:sz w:val="28"/>
          <w:szCs w:val="28"/>
        </w:rPr>
        <w:lastRenderedPageBreak/>
        <w:t>2. Materials and Methods</w:t>
      </w:r>
    </w:p>
    <w:p w14:paraId="6837CD60" w14:textId="6DD9C06A" w:rsidR="009E096D" w:rsidRDefault="009E096D" w:rsidP="004B5CE8">
      <w:pPr>
        <w:rPr>
          <w:b/>
          <w:bCs/>
        </w:rPr>
      </w:pPr>
      <w:r>
        <w:rPr>
          <w:b/>
          <w:bCs/>
        </w:rPr>
        <w:t xml:space="preserve">2.1 </w:t>
      </w:r>
      <w:r w:rsidR="00486AC9">
        <w:rPr>
          <w:b/>
          <w:bCs/>
        </w:rPr>
        <w:t>Study area</w:t>
      </w:r>
    </w:p>
    <w:p w14:paraId="4E2C9C3F" w14:textId="282B19C6" w:rsidR="006F7B30" w:rsidRPr="00100A6B" w:rsidRDefault="00486AC9" w:rsidP="006F7B30">
      <w:r w:rsidRPr="00486AC9">
        <w:rPr>
          <w:bCs/>
        </w:rPr>
        <w:t xml:space="preserve">In Bangladesh Jute is grown in almost everywhere. </w:t>
      </w:r>
      <w:proofErr w:type="gramStart"/>
      <w:r w:rsidRPr="00486AC9">
        <w:rPr>
          <w:bCs/>
        </w:rPr>
        <w:t>However</w:t>
      </w:r>
      <w:proofErr w:type="gramEnd"/>
      <w:r w:rsidRPr="00486AC9">
        <w:rPr>
          <w:bCs/>
        </w:rPr>
        <w:t xml:space="preserve"> fiber quality depends on soil and retting conditions</w:t>
      </w:r>
      <w:r>
        <w:rPr>
          <w:bCs/>
        </w:rPr>
        <w:t xml:space="preserve">. For the present study, </w:t>
      </w:r>
      <w:proofErr w:type="spellStart"/>
      <w:r w:rsidR="000E241F">
        <w:t>Katiadi</w:t>
      </w:r>
      <w:proofErr w:type="spellEnd"/>
      <w:r w:rsidR="006C45F9">
        <w:t xml:space="preserve"> and</w:t>
      </w:r>
      <w:r w:rsidR="000E241F">
        <w:t xml:space="preserve"> </w:t>
      </w:r>
      <w:proofErr w:type="spellStart"/>
      <w:r w:rsidR="000E241F">
        <w:t>Pakundia</w:t>
      </w:r>
      <w:proofErr w:type="spellEnd"/>
      <w:r w:rsidR="000E241F">
        <w:t xml:space="preserve"> </w:t>
      </w:r>
      <w:proofErr w:type="spellStart"/>
      <w:r w:rsidR="00FB5C58" w:rsidRPr="00100A6B">
        <w:t>upazilas</w:t>
      </w:r>
      <w:proofErr w:type="spellEnd"/>
      <w:r>
        <w:t xml:space="preserve"> of Kishoreganj district in Bangladesh</w:t>
      </w:r>
      <w:r w:rsidR="00FB5C58" w:rsidRPr="00100A6B">
        <w:t xml:space="preserve"> were purposefully chosen as a research location due to their favorable soil and land types for jute farming.</w:t>
      </w:r>
      <w:r>
        <w:t xml:space="preserve"> </w:t>
      </w:r>
      <w:r w:rsidR="006F7B30" w:rsidRPr="00100A6B">
        <w:t>Kishoreganj district is located in the center of Bangladesh. It is 2,688 square kilometers in size and is located in the Dhaka division. This city is surrounded by two significant rivers, the Meghna and the Brahmaputra. The majority of Kishoreganj residents are empl</w:t>
      </w:r>
      <w:r w:rsidR="005949F8">
        <w:t>oyed in the agricultural sector (BBS, 2024).</w:t>
      </w:r>
      <w:r w:rsidR="006F7B30" w:rsidRPr="00100A6B">
        <w:t xml:space="preserve"> </w:t>
      </w:r>
    </w:p>
    <w:p w14:paraId="4A1E5ACA" w14:textId="06237379" w:rsidR="00475FE0" w:rsidRDefault="00804F36" w:rsidP="005C3311">
      <w:pPr>
        <w:rPr>
          <w:b/>
        </w:rPr>
      </w:pPr>
      <w:r>
        <w:rPr>
          <w:b/>
        </w:rPr>
        <w:t>2.2: Nature and Sources of D</w:t>
      </w:r>
      <w:r w:rsidR="00486AC9" w:rsidRPr="00486AC9">
        <w:rPr>
          <w:b/>
        </w:rPr>
        <w:t>ata</w:t>
      </w:r>
    </w:p>
    <w:p w14:paraId="696048B1" w14:textId="451A8C28" w:rsidR="00486AC9" w:rsidRPr="00486AC9" w:rsidRDefault="00486AC9" w:rsidP="005C3311">
      <w:r w:rsidRPr="00486AC9">
        <w:t>The rese</w:t>
      </w:r>
      <w:r w:rsidR="005949F8">
        <w:t>arch is based on both primary and secondary</w:t>
      </w:r>
      <w:r w:rsidRPr="00486AC9">
        <w:t xml:space="preserve"> data. Secondary data includes, jute cultivated area and production data (from 1992-93 to</w:t>
      </w:r>
      <w:r w:rsidR="005949F8">
        <w:t xml:space="preserve"> 2022-23) were collected from yearbook of agricultural s</w:t>
      </w:r>
      <w:r w:rsidRPr="00486AC9">
        <w:t>tat</w:t>
      </w:r>
      <w:r w:rsidR="006E2F79">
        <w:t>istics - (from 1997</w:t>
      </w:r>
      <w:r w:rsidRPr="00486AC9">
        <w:t xml:space="preserve"> to 2023) published by Bangladesh Bureau of Statistics (BBS). Jute production data for 2008-09 were not found in the Statist</w:t>
      </w:r>
      <w:r w:rsidR="005949F8">
        <w:t>ical Yearbook of Bangladesh. Therefore,</w:t>
      </w:r>
      <w:r w:rsidRPr="00486AC9">
        <w:t xml:space="preserve"> this year were skipped at the time of analysis. Primary data were collected from the study area by face-to-face interview after making an interview schedule.</w:t>
      </w:r>
      <w:r w:rsidR="00665A2F">
        <w:t xml:space="preserve"> The study sample consisted of selected jute growers</w:t>
      </w:r>
      <w:proofErr w:type="gramStart"/>
      <w:r w:rsidR="00665A2F">
        <w:t>.</w:t>
      </w:r>
      <w:r w:rsidR="00665A2F" w:rsidRPr="00665A2F">
        <w:t xml:space="preserve"> .</w:t>
      </w:r>
      <w:proofErr w:type="gramEnd"/>
      <w:r w:rsidR="00665A2F">
        <w:t xml:space="preserve"> A total of </w:t>
      </w:r>
      <w:r w:rsidR="00665A2F" w:rsidRPr="00665A2F">
        <w:t xml:space="preserve">65 </w:t>
      </w:r>
      <w:r w:rsidR="00665A2F">
        <w:t xml:space="preserve">jute growers from </w:t>
      </w:r>
      <w:proofErr w:type="spellStart"/>
      <w:r w:rsidR="00665A2F">
        <w:t>Katiadi</w:t>
      </w:r>
      <w:proofErr w:type="spellEnd"/>
      <w:r w:rsidR="00665A2F">
        <w:t xml:space="preserve"> and </w:t>
      </w:r>
      <w:proofErr w:type="spellStart"/>
      <w:r w:rsidR="00665A2F">
        <w:t>Pakundia</w:t>
      </w:r>
      <w:proofErr w:type="spellEnd"/>
      <w:r w:rsidR="00665A2F">
        <w:t xml:space="preserve"> </w:t>
      </w:r>
      <w:proofErr w:type="spellStart"/>
      <w:r w:rsidR="00665A2F">
        <w:t>upazilas</w:t>
      </w:r>
      <w:proofErr w:type="spellEnd"/>
      <w:r w:rsidR="00665A2F">
        <w:t xml:space="preserve"> of </w:t>
      </w:r>
      <w:proofErr w:type="spellStart"/>
      <w:r w:rsidR="00665A2F">
        <w:t>kishoreganj</w:t>
      </w:r>
      <w:proofErr w:type="spellEnd"/>
      <w:r w:rsidR="00665A2F">
        <w:t xml:space="preserve"> district </w:t>
      </w:r>
      <w:r w:rsidR="00665A2F" w:rsidRPr="00665A2F">
        <w:t xml:space="preserve">were chosen </w:t>
      </w:r>
      <w:r w:rsidR="00665A2F">
        <w:t xml:space="preserve">using simple </w:t>
      </w:r>
      <w:r w:rsidR="005949F8">
        <w:t xml:space="preserve">random sampling technique </w:t>
      </w:r>
      <w:r w:rsidR="00665A2F" w:rsidRPr="00665A2F">
        <w:t>data collection. Farmers were interviewed face-to-face</w:t>
      </w:r>
      <w:r w:rsidR="00665A2F">
        <w:t xml:space="preserve"> in order to gather information during the period of June to July 2025.</w:t>
      </w:r>
    </w:p>
    <w:p w14:paraId="4E82C954" w14:textId="77777777" w:rsidR="00970B6E" w:rsidRPr="00100A6B" w:rsidRDefault="00970B6E" w:rsidP="00E90F48"/>
    <w:p w14:paraId="5243E5D1" w14:textId="4A604711" w:rsidR="00E90F48" w:rsidRPr="0024250C" w:rsidRDefault="00F526B4" w:rsidP="00A7373C">
      <w:pPr>
        <w:rPr>
          <w:rFonts w:ascii="Arial" w:hAnsi="Arial" w:cs="Arial"/>
          <w:b/>
          <w:bCs/>
          <w:sz w:val="22"/>
          <w:szCs w:val="22"/>
        </w:rPr>
      </w:pPr>
      <w:r w:rsidRPr="0024250C">
        <w:rPr>
          <w:rFonts w:ascii="Arial" w:hAnsi="Arial" w:cs="Arial"/>
          <w:b/>
          <w:bCs/>
          <w:sz w:val="22"/>
          <w:szCs w:val="22"/>
        </w:rPr>
        <w:t>2.3</w:t>
      </w:r>
      <w:r>
        <w:rPr>
          <w:b/>
          <w:bCs/>
        </w:rPr>
        <w:t xml:space="preserve"> </w:t>
      </w:r>
      <w:r w:rsidRPr="0024250C">
        <w:rPr>
          <w:rFonts w:ascii="Arial" w:hAnsi="Arial" w:cs="Arial"/>
          <w:b/>
          <w:bCs/>
          <w:sz w:val="22"/>
          <w:szCs w:val="22"/>
        </w:rPr>
        <w:t>Specification of the Empirical Model</w:t>
      </w:r>
    </w:p>
    <w:p w14:paraId="0E80CF49" w14:textId="4C6D7B52" w:rsidR="00F139B4" w:rsidRPr="00F526B4" w:rsidRDefault="00F139B4" w:rsidP="00F139B4">
      <w:pPr>
        <w:rPr>
          <w:b/>
          <w:bCs/>
        </w:rPr>
      </w:pPr>
      <w:r>
        <w:rPr>
          <w:b/>
          <w:bCs/>
          <w:sz w:val="28"/>
          <w:szCs w:val="28"/>
        </w:rPr>
        <w:t>2</w:t>
      </w:r>
      <w:r w:rsidRPr="006C1FD6">
        <w:rPr>
          <w:b/>
          <w:bCs/>
          <w:sz w:val="28"/>
          <w:szCs w:val="28"/>
        </w:rPr>
        <w:t>.</w:t>
      </w:r>
      <w:r w:rsidR="00F526B4">
        <w:rPr>
          <w:b/>
          <w:bCs/>
          <w:sz w:val="28"/>
          <w:szCs w:val="28"/>
        </w:rPr>
        <w:t>3.1</w:t>
      </w:r>
      <w:r w:rsidRPr="006C1FD6">
        <w:rPr>
          <w:b/>
          <w:bCs/>
          <w:sz w:val="28"/>
          <w:szCs w:val="28"/>
        </w:rPr>
        <w:t xml:space="preserve"> </w:t>
      </w:r>
      <w:r w:rsidRPr="00F526B4">
        <w:rPr>
          <w:b/>
          <w:bCs/>
        </w:rPr>
        <w:t>Trend Analysis of Jute Area, Production, and Yield</w:t>
      </w:r>
    </w:p>
    <w:p w14:paraId="3A3B42DC" w14:textId="31234813" w:rsidR="00F139B4" w:rsidRDefault="00F139B4" w:rsidP="00F139B4">
      <w:r w:rsidRPr="006C1FD6">
        <w:t>To evaluate the growth pattern of jute cultivation over time, both the log-linear growth model and the Compound Annual Growt</w:t>
      </w:r>
      <w:r w:rsidR="00F526B4">
        <w:t xml:space="preserve">h Rate (CAGR) methods were used. </w:t>
      </w:r>
    </w:p>
    <w:p w14:paraId="731F18F0" w14:textId="3653E365" w:rsidR="00F139B4" w:rsidRPr="006C1FD6" w:rsidRDefault="00F139B4" w:rsidP="00F139B4">
      <w:pPr>
        <w:rPr>
          <w:b/>
          <w:bCs/>
        </w:rPr>
      </w:pPr>
      <w:r w:rsidRPr="006C1FD6">
        <w:rPr>
          <w:b/>
          <w:bCs/>
        </w:rPr>
        <w:t>Log-Linear Growth Model</w:t>
      </w:r>
    </w:p>
    <w:p w14:paraId="0B0CB65D" w14:textId="3560904F" w:rsidR="00F139B4" w:rsidRDefault="00F526B4" w:rsidP="00F139B4">
      <w:r>
        <w:t>F</w:t>
      </w:r>
      <w:r w:rsidRPr="00F526B4">
        <w:t>oll</w:t>
      </w:r>
      <w:r>
        <w:t>owing (Gujarati &amp; Porter, 2009), t</w:t>
      </w:r>
      <w:r w:rsidR="00F139B4" w:rsidRPr="00F060D0">
        <w:t xml:space="preserve">he specification of the </w:t>
      </w:r>
      <w:r w:rsidR="00F139B4">
        <w:t>Growth-Model</w:t>
      </w:r>
      <w:r w:rsidR="00F139B4" w:rsidRPr="00F060D0">
        <w:t xml:space="preserve"> </w:t>
      </w:r>
      <w:r w:rsidR="00F139B4" w:rsidRPr="0013585E">
        <w:t>i</w:t>
      </w:r>
      <w:r w:rsidR="00F139B4" w:rsidRPr="00F060D0">
        <w:t>s as follows:</w:t>
      </w:r>
    </w:p>
    <w:p w14:paraId="01BCB4FA" w14:textId="09B2795F" w:rsidR="00F139B4" w:rsidRPr="00DF6A5A" w:rsidRDefault="00F139B4" w:rsidP="00F139B4">
      <w:pPr>
        <w:jc w:val="center"/>
      </w:pPr>
      <w:r w:rsidRPr="00381496">
        <w:rPr>
          <w:b/>
          <w:bCs/>
        </w:rPr>
        <w:t xml:space="preserve">Y = </w:t>
      </w:r>
      <w:proofErr w:type="gramStart"/>
      <w:r w:rsidRPr="00381496">
        <w:rPr>
          <w:b/>
          <w:bCs/>
        </w:rPr>
        <w:t>a</w:t>
      </w:r>
      <w:proofErr w:type="gramEnd"/>
      <w:r w:rsidRPr="00381496">
        <w:rPr>
          <w:b/>
          <w:bCs/>
        </w:rPr>
        <w:t xml:space="preserve"> </w:t>
      </w:r>
      <w:proofErr w:type="spellStart"/>
      <w:r w:rsidRPr="00381496">
        <w:rPr>
          <w:b/>
          <w:bCs/>
        </w:rPr>
        <w:t>e</w:t>
      </w:r>
      <w:r w:rsidRPr="00381496">
        <w:rPr>
          <w:b/>
          <w:bCs/>
          <w:vertAlign w:val="superscript"/>
        </w:rPr>
        <w:t>bt</w:t>
      </w:r>
      <w:proofErr w:type="spellEnd"/>
      <w:r>
        <w:rPr>
          <w:b/>
          <w:bCs/>
          <w:vertAlign w:val="superscript"/>
        </w:rPr>
        <w:t xml:space="preserve"> </w:t>
      </w:r>
    </w:p>
    <w:p w14:paraId="3F778E39" w14:textId="77777777" w:rsidR="00F139B4" w:rsidRDefault="00F139B4" w:rsidP="00F139B4">
      <w:r>
        <w:t xml:space="preserve">Taking natural </w:t>
      </w:r>
      <w:proofErr w:type="gramStart"/>
      <w:r>
        <w:t>log</w:t>
      </w:r>
      <w:proofErr w:type="gramEnd"/>
      <w:r>
        <w:t xml:space="preserve"> t</w:t>
      </w:r>
      <w:r w:rsidRPr="006C1FD6">
        <w:t>he following model was applied to estimate the annual growth rate:</w:t>
      </w:r>
    </w:p>
    <w:p w14:paraId="6897EB69" w14:textId="77777777" w:rsidR="00F139B4" w:rsidRPr="00381496" w:rsidRDefault="00F139B4" w:rsidP="00F139B4">
      <w:pPr>
        <w:jc w:val="center"/>
        <w:rPr>
          <w:b/>
          <w:bCs/>
          <w:vertAlign w:val="superscript"/>
        </w:rPr>
      </w:pPr>
      <w:r>
        <w:rPr>
          <w:b/>
          <w:bCs/>
        </w:rPr>
        <w:t>l</w:t>
      </w:r>
      <w:r w:rsidRPr="00381496">
        <w:rPr>
          <w:b/>
          <w:bCs/>
        </w:rPr>
        <w:t xml:space="preserve">n </w:t>
      </w:r>
      <w:proofErr w:type="spellStart"/>
      <w:r w:rsidRPr="00381496">
        <w:rPr>
          <w:b/>
          <w:bCs/>
        </w:rPr>
        <w:t>Y</w:t>
      </w:r>
      <w:r w:rsidRPr="00381496">
        <w:rPr>
          <w:b/>
          <w:bCs/>
          <w:vertAlign w:val="subscript"/>
        </w:rPr>
        <w:t>t</w:t>
      </w:r>
      <w:proofErr w:type="spellEnd"/>
      <w:r w:rsidRPr="00381496">
        <w:rPr>
          <w:b/>
          <w:bCs/>
        </w:rPr>
        <w:t xml:space="preserve"> = a + </w:t>
      </w:r>
      <w:proofErr w:type="spellStart"/>
      <w:r w:rsidRPr="00381496">
        <w:rPr>
          <w:b/>
          <w:bCs/>
        </w:rPr>
        <w:t>bt</w:t>
      </w:r>
      <w:proofErr w:type="spellEnd"/>
      <w:r w:rsidRPr="00381496">
        <w:rPr>
          <w:b/>
          <w:bCs/>
        </w:rPr>
        <w:t xml:space="preserve"> + e</w:t>
      </w:r>
      <w:r w:rsidRPr="00381496">
        <w:rPr>
          <w:b/>
          <w:bCs/>
          <w:vertAlign w:val="superscript"/>
        </w:rPr>
        <w:t>t</w:t>
      </w:r>
    </w:p>
    <w:p w14:paraId="272F0FA9" w14:textId="77777777" w:rsidR="00F139B4" w:rsidRPr="00E84885" w:rsidRDefault="00F139B4" w:rsidP="00F139B4">
      <w:r w:rsidRPr="00E84885">
        <w:t>Where,</w:t>
      </w:r>
    </w:p>
    <w:p w14:paraId="53788B2E" w14:textId="77777777" w:rsidR="00F139B4" w:rsidRPr="00E84885" w:rsidRDefault="00F139B4" w:rsidP="00F139B4">
      <w:pPr>
        <w:ind w:left="720"/>
      </w:pPr>
      <w:proofErr w:type="spellStart"/>
      <w:r w:rsidRPr="00E84885">
        <w:t>Y</w:t>
      </w:r>
      <w:r w:rsidRPr="00E84885">
        <w:rPr>
          <w:vertAlign w:val="subscript"/>
        </w:rPr>
        <w:t>t</w:t>
      </w:r>
      <w:proofErr w:type="spellEnd"/>
      <w:r w:rsidRPr="00E84885">
        <w:t>​ = jute area, production, or yield in year t;</w:t>
      </w:r>
    </w:p>
    <w:p w14:paraId="528033CF" w14:textId="77777777" w:rsidR="00F139B4" w:rsidRPr="00E84885" w:rsidRDefault="00F139B4" w:rsidP="00F139B4">
      <w:pPr>
        <w:ind w:left="720"/>
      </w:pPr>
      <w:r w:rsidRPr="00E84885">
        <w:t>t = time (year);</w:t>
      </w:r>
    </w:p>
    <w:p w14:paraId="1B506CB6" w14:textId="77777777" w:rsidR="00F139B4" w:rsidRPr="00E84885" w:rsidRDefault="00F139B4" w:rsidP="00F139B4">
      <w:pPr>
        <w:ind w:left="720"/>
      </w:pPr>
      <w:r w:rsidRPr="00E84885">
        <w:lastRenderedPageBreak/>
        <w:t>b = growth coefficient;</w:t>
      </w:r>
    </w:p>
    <w:p w14:paraId="776733CB" w14:textId="77777777" w:rsidR="00F139B4" w:rsidRPr="00E84885" w:rsidRDefault="00F139B4" w:rsidP="00F139B4">
      <w:pPr>
        <w:ind w:left="720"/>
      </w:pPr>
      <w:r w:rsidRPr="00E84885">
        <w:t>e​ = error term;</w:t>
      </w:r>
    </w:p>
    <w:p w14:paraId="4D3ADCFE" w14:textId="77777777" w:rsidR="00F139B4" w:rsidRDefault="00F139B4" w:rsidP="00F139B4">
      <w:r w:rsidRPr="00E84885">
        <w:t>The percentage growth rate was derived from:</w:t>
      </w:r>
    </w:p>
    <w:p w14:paraId="663CEBFD" w14:textId="4B56C7E0" w:rsidR="00F139B4" w:rsidRPr="00E84885" w:rsidRDefault="00F139B4" w:rsidP="00F139B4">
      <w:pPr>
        <w:jc w:val="center"/>
        <w:rPr>
          <w:b/>
          <w:bCs/>
        </w:rPr>
      </w:pPr>
      <w:r w:rsidRPr="00E84885">
        <w:rPr>
          <w:b/>
          <w:bCs/>
        </w:rPr>
        <w:t>Growth rate (%) = (e</w:t>
      </w:r>
      <w:r w:rsidRPr="00E84885">
        <w:rPr>
          <w:b/>
          <w:bCs/>
          <w:vertAlign w:val="superscript"/>
        </w:rPr>
        <w:t>b</w:t>
      </w:r>
      <w:r w:rsidRPr="00E84885">
        <w:rPr>
          <w:b/>
          <w:bCs/>
        </w:rPr>
        <w:t xml:space="preserve"> – 1) × 100</w:t>
      </w:r>
      <w:r>
        <w:rPr>
          <w:b/>
          <w:bCs/>
        </w:rPr>
        <w:t xml:space="preserve"> </w:t>
      </w:r>
    </w:p>
    <w:p w14:paraId="4EBF53E2" w14:textId="0395C259" w:rsidR="00F139B4" w:rsidRPr="00E84885" w:rsidRDefault="00F139B4" w:rsidP="00F139B4">
      <w:r w:rsidRPr="00E84885">
        <w:t>If b is significant and positive → increasing t</w:t>
      </w:r>
      <w:r w:rsidR="00F526B4">
        <w:t>rend,</w:t>
      </w:r>
    </w:p>
    <w:p w14:paraId="1D01D4D4" w14:textId="77777777" w:rsidR="00F139B4" w:rsidRPr="00E84885" w:rsidRDefault="00F139B4" w:rsidP="00F139B4">
      <w:r w:rsidRPr="00E84885">
        <w:t>If b is significant and negative → declining trend.</w:t>
      </w:r>
    </w:p>
    <w:p w14:paraId="6191ADDB" w14:textId="50ABCD3A" w:rsidR="00F139B4" w:rsidRPr="00E84885" w:rsidRDefault="00F139B4" w:rsidP="00F139B4">
      <w:pPr>
        <w:rPr>
          <w:b/>
          <w:bCs/>
        </w:rPr>
      </w:pPr>
      <w:r w:rsidRPr="00E84885">
        <w:rPr>
          <w:b/>
          <w:bCs/>
        </w:rPr>
        <w:t xml:space="preserve"> Compound Annual Growth Rate (CAGR)</w:t>
      </w:r>
    </w:p>
    <w:p w14:paraId="2CC792EF" w14:textId="0305680F" w:rsidR="00F139B4" w:rsidRPr="00E84885" w:rsidRDefault="00F526B4" w:rsidP="00F139B4">
      <w:r w:rsidRPr="00F526B4">
        <w:t>Following (Gujarati &amp; Porter, 2009)</w:t>
      </w:r>
      <w:r>
        <w:t>,</w:t>
      </w:r>
      <w:r w:rsidRPr="00E84885">
        <w:t xml:space="preserve"> CAGR</w:t>
      </w:r>
      <w:r w:rsidR="00F139B4" w:rsidRPr="00E84885">
        <w:t xml:space="preserve"> was</w:t>
      </w:r>
      <w:r>
        <w:t xml:space="preserve"> also </w:t>
      </w:r>
      <w:r w:rsidR="00F139B4" w:rsidRPr="00E84885">
        <w:t>calculated from the first and last year observations using:</w:t>
      </w:r>
    </w:p>
    <w:p w14:paraId="7F5CB5A2" w14:textId="234D768C" w:rsidR="00F139B4" w:rsidRPr="00E84885" w:rsidRDefault="00F139B4" w:rsidP="00F139B4">
      <w:pPr>
        <w:jc w:val="center"/>
        <w:rPr>
          <w:rFonts w:eastAsiaTheme="minorEastAsia"/>
        </w:rPr>
      </w:pPr>
      <w:r w:rsidRPr="0082518D">
        <w:rPr>
          <w:rFonts w:eastAsiaTheme="minorEastAsia"/>
          <w:b/>
          <w:bCs/>
          <w:iCs/>
        </w:rPr>
        <w:t>CAGR</w:t>
      </w:r>
      <w:r>
        <w:rPr>
          <w:rFonts w:eastAsiaTheme="minorEastAsia"/>
          <w:b/>
          <w:bCs/>
          <w:iCs/>
          <w:sz w:val="28"/>
          <w:szCs w:val="28"/>
        </w:rPr>
        <w:t xml:space="preserve"> </w:t>
      </w:r>
      <m:oMath>
        <m:r>
          <m:rPr>
            <m:sty m:val="bi"/>
          </m:rPr>
          <w:rPr>
            <w:rFonts w:ascii="Cambria Math" w:hAnsi="Cambria Math"/>
            <w:sz w:val="28"/>
            <w:szCs w:val="28"/>
          </w:rPr>
          <m:t>=(</m:t>
        </m:r>
        <m:sSup>
          <m:sSupPr>
            <m:ctrlPr>
              <w:rPr>
                <w:rFonts w:ascii="Cambria Math" w:hAnsi="Cambria Math"/>
                <w:b/>
                <w:bCs/>
                <w:i/>
                <w:sz w:val="28"/>
                <w:szCs w:val="28"/>
              </w:rPr>
            </m:ctrlPr>
          </m:sSupPr>
          <m:e>
            <m:f>
              <m:fPr>
                <m:ctrlPr>
                  <w:rPr>
                    <w:rFonts w:ascii="Cambria Math" w:hAnsi="Cambria Math"/>
                    <w:b/>
                    <w:bCs/>
                    <w:i/>
                    <w:sz w:val="28"/>
                    <w:szCs w:val="28"/>
                  </w:rPr>
                </m:ctrlPr>
              </m:fPr>
              <m:num>
                <m:sSub>
                  <m:sSubPr>
                    <m:ctrlPr>
                      <w:rPr>
                        <w:rFonts w:ascii="Cambria Math" w:hAnsi="Cambria Math"/>
                        <w:b/>
                        <w:bCs/>
                        <w:i/>
                        <w:sz w:val="28"/>
                        <w:szCs w:val="28"/>
                      </w:rPr>
                    </m:ctrlPr>
                  </m:sSubPr>
                  <m:e>
                    <m:r>
                      <m:rPr>
                        <m:sty m:val="b"/>
                      </m:rPr>
                      <w:rPr>
                        <w:rFonts w:ascii="Cambria Math" w:hAnsi="Cambria Math"/>
                        <w:sz w:val="28"/>
                        <w:szCs w:val="28"/>
                      </w:rPr>
                      <m:t>Y</m:t>
                    </m:r>
                  </m:e>
                  <m:sub>
                    <m:r>
                      <m:rPr>
                        <m:sty m:val="bi"/>
                      </m:rPr>
                      <w:rPr>
                        <w:rFonts w:ascii="Cambria Math" w:hAnsi="Cambria Math"/>
                        <w:sz w:val="28"/>
                        <w:szCs w:val="28"/>
                      </w:rPr>
                      <m:t>N</m:t>
                    </m:r>
                  </m:sub>
                </m:sSub>
              </m:num>
              <m:den>
                <m:sSub>
                  <m:sSubPr>
                    <m:ctrlPr>
                      <w:rPr>
                        <w:rFonts w:ascii="Cambria Math" w:hAnsi="Cambria Math"/>
                        <w:b/>
                        <w:bCs/>
                        <w:i/>
                        <w:sz w:val="28"/>
                        <w:szCs w:val="28"/>
                      </w:rPr>
                    </m:ctrlPr>
                  </m:sSubPr>
                  <m:e>
                    <m:r>
                      <m:rPr>
                        <m:sty m:val="b"/>
                      </m:rPr>
                      <w:rPr>
                        <w:rFonts w:ascii="Cambria Math" w:hAnsi="Cambria Math"/>
                        <w:sz w:val="28"/>
                        <w:szCs w:val="28"/>
                      </w:rPr>
                      <m:t>Y</m:t>
                    </m:r>
                  </m:e>
                  <m:sub>
                    <m:r>
                      <m:rPr>
                        <m:sty m:val="bi"/>
                      </m:rPr>
                      <w:rPr>
                        <w:rFonts w:ascii="Cambria Math" w:hAnsi="Cambria Math"/>
                        <w:sz w:val="28"/>
                        <w:szCs w:val="28"/>
                      </w:rPr>
                      <m:t>0</m:t>
                    </m:r>
                  </m:sub>
                </m:sSub>
              </m:den>
            </m:f>
            <m:r>
              <m:rPr>
                <m:sty m:val="bi"/>
              </m:rPr>
              <w:rPr>
                <w:rFonts w:ascii="Cambria Math" w:hAnsi="Cambria Math"/>
                <w:sz w:val="28"/>
                <w:szCs w:val="28"/>
              </w:rPr>
              <m:t>)</m:t>
            </m:r>
          </m:e>
          <m:sup>
            <m:f>
              <m:fPr>
                <m:ctrlPr>
                  <w:rPr>
                    <w:rFonts w:ascii="Cambria Math" w:hAnsi="Cambria Math"/>
                    <w:b/>
                    <w:bCs/>
                    <w:i/>
                    <w:sz w:val="28"/>
                    <w:szCs w:val="28"/>
                  </w:rPr>
                </m:ctrlPr>
              </m:fPr>
              <m:num>
                <m:r>
                  <m:rPr>
                    <m:sty m:val="bi"/>
                  </m:rPr>
                  <w:rPr>
                    <w:rFonts w:ascii="Cambria Math" w:hAnsi="Cambria Math"/>
                    <w:sz w:val="28"/>
                    <w:szCs w:val="28"/>
                  </w:rPr>
                  <m:t>1</m:t>
                </m:r>
              </m:num>
              <m:den>
                <m:r>
                  <m:rPr>
                    <m:sty m:val="bi"/>
                  </m:rPr>
                  <w:rPr>
                    <w:rFonts w:ascii="Cambria Math" w:hAnsi="Cambria Math"/>
                    <w:sz w:val="28"/>
                    <w:szCs w:val="28"/>
                  </w:rPr>
                  <m:t>N-1</m:t>
                </m:r>
              </m:den>
            </m:f>
          </m:sup>
        </m:sSup>
      </m:oMath>
      <w:r w:rsidRPr="00323E95">
        <w:rPr>
          <w:rFonts w:eastAsiaTheme="minorEastAsia"/>
          <w:b/>
          <w:bCs/>
        </w:rPr>
        <w:t xml:space="preserve"> </w:t>
      </w:r>
      <w:r>
        <w:rPr>
          <w:rFonts w:eastAsiaTheme="minorEastAsia"/>
          <w:b/>
          <w:bCs/>
        </w:rPr>
        <w:t xml:space="preserve">– </w:t>
      </w:r>
      <w:r w:rsidRPr="00323E95">
        <w:rPr>
          <w:rFonts w:eastAsiaTheme="minorEastAsia"/>
          <w:b/>
          <w:bCs/>
        </w:rPr>
        <w:t>1</w:t>
      </w:r>
      <w:r>
        <w:rPr>
          <w:rFonts w:eastAsiaTheme="minorEastAsia"/>
          <w:b/>
          <w:bCs/>
        </w:rPr>
        <w:t xml:space="preserve"> </w:t>
      </w:r>
    </w:p>
    <w:p w14:paraId="22B10DC0" w14:textId="77777777" w:rsidR="00F139B4" w:rsidRPr="0082518D" w:rsidRDefault="00F139B4" w:rsidP="00F139B4">
      <w:r w:rsidRPr="00E84885">
        <w:t>Where,</w:t>
      </w:r>
      <w:r w:rsidRPr="00E84885">
        <w:br/>
      </w:r>
      <w:r w:rsidRPr="0082518D">
        <w:t>Y</w:t>
      </w:r>
      <w:r w:rsidRPr="0082518D">
        <w:rPr>
          <w:vertAlign w:val="subscript"/>
        </w:rPr>
        <w:t>0</w:t>
      </w:r>
      <w:r w:rsidRPr="00E84885">
        <w:t xml:space="preserve"> = initial year value</w:t>
      </w:r>
      <w:r w:rsidRPr="0082518D">
        <w:t>;</w:t>
      </w:r>
    </w:p>
    <w:p w14:paraId="7D694900" w14:textId="77777777" w:rsidR="00F139B4" w:rsidRPr="0082518D" w:rsidRDefault="00F139B4" w:rsidP="00F139B4">
      <w:r w:rsidRPr="0082518D">
        <w:t>Y</w:t>
      </w:r>
      <w:r w:rsidRPr="0082518D">
        <w:rPr>
          <w:i/>
          <w:iCs/>
          <w:vertAlign w:val="subscript"/>
        </w:rPr>
        <w:t>N</w:t>
      </w:r>
      <w:r w:rsidRPr="0082518D">
        <w:t xml:space="preserve"> </w:t>
      </w:r>
      <w:r w:rsidRPr="00E84885">
        <w:t>= final year value</w:t>
      </w:r>
      <w:r w:rsidRPr="0082518D">
        <w:t xml:space="preserve">; and </w:t>
      </w:r>
    </w:p>
    <w:p w14:paraId="4B22856D" w14:textId="77777777" w:rsidR="00F139B4" w:rsidRDefault="00F139B4" w:rsidP="00F139B4">
      <w:r w:rsidRPr="0082518D">
        <w:rPr>
          <w:i/>
          <w:iCs/>
        </w:rPr>
        <w:t>N</w:t>
      </w:r>
      <w:r w:rsidRPr="0082518D">
        <w:t xml:space="preserve"> </w:t>
      </w:r>
      <w:r w:rsidRPr="00E84885">
        <w:t>= number of years</w:t>
      </w:r>
      <w:r>
        <w:t>.</w:t>
      </w:r>
    </w:p>
    <w:p w14:paraId="06658D54" w14:textId="77777777" w:rsidR="00F139B4" w:rsidRPr="000956F3" w:rsidRDefault="00F139B4" w:rsidP="00F139B4">
      <w:r w:rsidRPr="0082518D">
        <w:t>This provided a complementary measure to confirm the direction and magnitude of long-term change.</w:t>
      </w:r>
    </w:p>
    <w:p w14:paraId="091B6E8A" w14:textId="77777777" w:rsidR="00F139B4" w:rsidRDefault="00F139B4" w:rsidP="003273C2"/>
    <w:p w14:paraId="450D10F6" w14:textId="3B4D4477" w:rsidR="00F139B4" w:rsidRPr="0024250C" w:rsidRDefault="00F139B4" w:rsidP="00F139B4">
      <w:pPr>
        <w:rPr>
          <w:rFonts w:ascii="Arial" w:hAnsi="Arial" w:cs="Arial"/>
          <w:b/>
          <w:bCs/>
          <w:sz w:val="22"/>
          <w:szCs w:val="22"/>
        </w:rPr>
      </w:pPr>
      <w:r w:rsidRPr="0024250C">
        <w:rPr>
          <w:rFonts w:ascii="Arial" w:hAnsi="Arial" w:cs="Arial"/>
          <w:b/>
          <w:bCs/>
          <w:sz w:val="22"/>
          <w:szCs w:val="22"/>
        </w:rPr>
        <w:t>2.</w:t>
      </w:r>
      <w:r w:rsidR="00F526B4" w:rsidRPr="0024250C">
        <w:rPr>
          <w:rFonts w:ascii="Arial" w:hAnsi="Arial" w:cs="Arial"/>
          <w:b/>
          <w:bCs/>
          <w:sz w:val="22"/>
          <w:szCs w:val="22"/>
        </w:rPr>
        <w:t>3.2</w:t>
      </w:r>
      <w:r w:rsidRPr="0024250C">
        <w:rPr>
          <w:rFonts w:ascii="Arial" w:hAnsi="Arial" w:cs="Arial"/>
          <w:b/>
          <w:bCs/>
          <w:sz w:val="22"/>
          <w:szCs w:val="22"/>
        </w:rPr>
        <w:t xml:space="preserve"> Profitability Analysis</w:t>
      </w:r>
    </w:p>
    <w:p w14:paraId="069BD216" w14:textId="215CB5D2" w:rsidR="00D9366F" w:rsidRPr="00D9366F" w:rsidRDefault="00D9366F" w:rsidP="00F139B4">
      <w:pPr>
        <w:rPr>
          <w:bCs/>
        </w:rPr>
      </w:pPr>
      <w:r w:rsidRPr="00D9366F">
        <w:rPr>
          <w:bCs/>
        </w:rPr>
        <w:t xml:space="preserve">The descriptive statistical techniques were used for summation, average and percentage of gross return, gross cost and net return and profitability of jute producers. </w:t>
      </w:r>
    </w:p>
    <w:p w14:paraId="2685AEC7" w14:textId="09E0C6B5" w:rsidR="00F139B4" w:rsidRPr="006D4F7A" w:rsidRDefault="00F139B4" w:rsidP="00F139B4">
      <w:pPr>
        <w:rPr>
          <w:b/>
          <w:bCs/>
        </w:rPr>
      </w:pPr>
      <w:r w:rsidRPr="006D4F7A">
        <w:rPr>
          <w:b/>
          <w:bCs/>
        </w:rPr>
        <w:t>Calculation of Gross Return</w:t>
      </w:r>
    </w:p>
    <w:p w14:paraId="718EC642" w14:textId="77777777" w:rsidR="00F139B4" w:rsidRPr="006D4F7A" w:rsidRDefault="00F139B4" w:rsidP="00F139B4">
      <w:r w:rsidRPr="006D4F7A">
        <w:t>Gross return was calculated by multiplying the total volume of a production of a product by the average price of that product in the harvesting period (Dillon &amp; Hardaker, 1980).</w:t>
      </w:r>
    </w:p>
    <w:p w14:paraId="0D58B423" w14:textId="18E83CF0" w:rsidR="00F139B4" w:rsidRPr="006D4F7A" w:rsidRDefault="00F139B4" w:rsidP="00F139B4">
      <w:r w:rsidRPr="006D4F7A">
        <w:t>The following equation was used to calculate gross return.</w:t>
      </w:r>
    </w:p>
    <w:p w14:paraId="1F035465" w14:textId="77777777" w:rsidR="00F139B4" w:rsidRPr="00612050" w:rsidRDefault="00F139B4" w:rsidP="00F139B4">
      <w:pPr>
        <w:jc w:val="center"/>
        <w:rPr>
          <w:b/>
          <w:bCs/>
        </w:rPr>
      </w:pPr>
      <w:r w:rsidRPr="00612050">
        <w:rPr>
          <w:b/>
          <w:bCs/>
        </w:rPr>
        <w:t>Gross Return = Quantity of the product × Average price of the product</w:t>
      </w:r>
      <w:r>
        <w:rPr>
          <w:b/>
          <w:bCs/>
        </w:rPr>
        <w:t>.</w:t>
      </w:r>
    </w:p>
    <w:p w14:paraId="3DEEE3A1" w14:textId="47490EA6" w:rsidR="009279E8" w:rsidRPr="00612050" w:rsidRDefault="009279E8" w:rsidP="009279E8">
      <w:pPr>
        <w:rPr>
          <w:b/>
          <w:bCs/>
        </w:rPr>
      </w:pPr>
      <w:r w:rsidRPr="00612050">
        <w:rPr>
          <w:b/>
          <w:bCs/>
        </w:rPr>
        <w:t xml:space="preserve"> Calculation of Gross Margin</w:t>
      </w:r>
    </w:p>
    <w:p w14:paraId="109F674A" w14:textId="7895F06A" w:rsidR="009279E8" w:rsidRDefault="009279E8" w:rsidP="009279E8">
      <w:r w:rsidRPr="006D4F7A">
        <w:t xml:space="preserve">Gross margin is defined as the difference between gross return and variable costs. Generally, farmers want maximum return over variable cost of production. The argument for using the gross margin analysis is that the farmers are interested to get returns over variable cost. Gross margin was calculated on </w:t>
      </w:r>
      <w:r w:rsidR="00000361">
        <w:t>total variable cost (</w:t>
      </w:r>
      <w:r w:rsidRPr="006D4F7A">
        <w:t>TVC</w:t>
      </w:r>
      <w:r w:rsidR="00000361">
        <w:t>)</w:t>
      </w:r>
      <w:r w:rsidRPr="006D4F7A">
        <w:t xml:space="preserve"> basis. Per </w:t>
      </w:r>
      <w:r>
        <w:t>acre</w:t>
      </w:r>
      <w:r w:rsidRPr="006D4F7A">
        <w:t xml:space="preserve"> gross margin was obtained by subtracting variable costs from gross return.</w:t>
      </w:r>
    </w:p>
    <w:p w14:paraId="4E4A4684" w14:textId="2B351C87" w:rsidR="009279E8" w:rsidRPr="006D4F7A" w:rsidRDefault="009279E8" w:rsidP="009279E8">
      <w:r w:rsidRPr="006D4F7A">
        <w:t>That is,</w:t>
      </w:r>
      <w:r w:rsidR="00000361">
        <w:t xml:space="preserve"> </w:t>
      </w:r>
    </w:p>
    <w:p w14:paraId="12801E7B" w14:textId="77777777" w:rsidR="009279E8" w:rsidRPr="00612050" w:rsidRDefault="009279E8" w:rsidP="009279E8">
      <w:pPr>
        <w:jc w:val="center"/>
        <w:rPr>
          <w:b/>
          <w:bCs/>
        </w:rPr>
      </w:pPr>
      <w:r w:rsidRPr="00612050">
        <w:rPr>
          <w:b/>
          <w:bCs/>
        </w:rPr>
        <w:t>Gross margin = Gross return – Total Variable cost.</w:t>
      </w:r>
    </w:p>
    <w:p w14:paraId="5EBCA2B9" w14:textId="77777777" w:rsidR="00EB5042" w:rsidRDefault="009279E8" w:rsidP="009279E8">
      <w:pPr>
        <w:rPr>
          <w:b/>
          <w:bCs/>
        </w:rPr>
      </w:pPr>
      <w:r w:rsidRPr="00612050">
        <w:rPr>
          <w:b/>
          <w:bCs/>
        </w:rPr>
        <w:lastRenderedPageBreak/>
        <w:t xml:space="preserve"> </w:t>
      </w:r>
    </w:p>
    <w:p w14:paraId="21DB0520" w14:textId="05BB7870" w:rsidR="009279E8" w:rsidRPr="00612050" w:rsidRDefault="009279E8" w:rsidP="009279E8">
      <w:pPr>
        <w:rPr>
          <w:b/>
          <w:bCs/>
        </w:rPr>
      </w:pPr>
      <w:r w:rsidRPr="00612050">
        <w:rPr>
          <w:b/>
          <w:bCs/>
        </w:rPr>
        <w:t>Calculation of Net Return</w:t>
      </w:r>
    </w:p>
    <w:p w14:paraId="6A606DC5" w14:textId="77777777" w:rsidR="009279E8" w:rsidRPr="00612050" w:rsidRDefault="009279E8" w:rsidP="009279E8">
      <w:r w:rsidRPr="00612050">
        <w:t>Net return or profit was calculated by deducting the total production cost from the total return or gross return. That is,</w:t>
      </w:r>
    </w:p>
    <w:p w14:paraId="106013E8" w14:textId="77777777" w:rsidR="009279E8" w:rsidRPr="00612050" w:rsidRDefault="009279E8" w:rsidP="009279E8">
      <w:pPr>
        <w:jc w:val="center"/>
        <w:rPr>
          <w:b/>
          <w:bCs/>
        </w:rPr>
      </w:pPr>
      <w:r w:rsidRPr="00612050">
        <w:rPr>
          <w:b/>
          <w:bCs/>
        </w:rPr>
        <w:t>Net return = Gross return – Total cost.</w:t>
      </w:r>
    </w:p>
    <w:p w14:paraId="50E86FFD" w14:textId="154C5DDA" w:rsidR="009279E8" w:rsidRPr="00612050" w:rsidRDefault="009279E8" w:rsidP="009279E8">
      <w:pPr>
        <w:rPr>
          <w:b/>
          <w:bCs/>
        </w:rPr>
      </w:pPr>
      <w:r w:rsidRPr="00612050">
        <w:rPr>
          <w:b/>
          <w:bCs/>
        </w:rPr>
        <w:t xml:space="preserve"> Benefit Cost Ratio (BCR)</w:t>
      </w:r>
    </w:p>
    <w:p w14:paraId="001D2C68" w14:textId="77777777" w:rsidR="009279E8" w:rsidRPr="00612050" w:rsidRDefault="009279E8" w:rsidP="009279E8">
      <w:r w:rsidRPr="00612050">
        <w:t xml:space="preserve">The BCR is a relative measure, which is used to compare benefit per unit of cost. The BCR was estimated as a ratio of gross returns </w:t>
      </w:r>
      <w:r w:rsidRPr="00BF117B">
        <w:t>and Total costs</w:t>
      </w:r>
      <w:r w:rsidRPr="00612050">
        <w:t>.</w:t>
      </w:r>
    </w:p>
    <w:p w14:paraId="7A3D500B" w14:textId="77777777" w:rsidR="009279E8" w:rsidRPr="00612050" w:rsidRDefault="009279E8" w:rsidP="009279E8">
      <w:r w:rsidRPr="00612050">
        <w:t>The formula of calculating BCR (undiscounted) is shown below:</w:t>
      </w:r>
    </w:p>
    <w:p w14:paraId="1D34B408" w14:textId="77777777" w:rsidR="009279E8" w:rsidRPr="001C2B1B" w:rsidRDefault="009279E8" w:rsidP="009279E8">
      <w:pPr>
        <w:jc w:val="center"/>
        <w:rPr>
          <w:b/>
          <w:bCs/>
        </w:rPr>
      </w:pPr>
      <w:r w:rsidRPr="001C2B1B">
        <w:rPr>
          <w:b/>
          <w:bCs/>
        </w:rPr>
        <w:t xml:space="preserve">BCR = Gross </w:t>
      </w:r>
      <w:r w:rsidRPr="00612050">
        <w:rPr>
          <w:b/>
          <w:bCs/>
        </w:rPr>
        <w:t xml:space="preserve">return </w:t>
      </w:r>
      <w:r w:rsidRPr="001C2B1B">
        <w:rPr>
          <w:b/>
          <w:bCs/>
        </w:rPr>
        <w:t xml:space="preserve">/ </w:t>
      </w:r>
      <w:r w:rsidRPr="00612050">
        <w:rPr>
          <w:b/>
          <w:bCs/>
        </w:rPr>
        <w:t xml:space="preserve">Total </w:t>
      </w:r>
      <w:r w:rsidRPr="001C2B1B">
        <w:rPr>
          <w:b/>
          <w:bCs/>
        </w:rPr>
        <w:t>cost.</w:t>
      </w:r>
    </w:p>
    <w:p w14:paraId="63A089D4" w14:textId="77777777" w:rsidR="009279E8" w:rsidRDefault="009279E8" w:rsidP="009279E8">
      <w:pPr>
        <w:rPr>
          <w:b/>
          <w:bCs/>
          <w:sz w:val="28"/>
          <w:szCs w:val="28"/>
        </w:rPr>
      </w:pPr>
    </w:p>
    <w:p w14:paraId="799A7650" w14:textId="02A631F9" w:rsidR="009279E8" w:rsidRPr="006013AC" w:rsidRDefault="00036E95" w:rsidP="009279E8">
      <w:pPr>
        <w:rPr>
          <w:rFonts w:ascii="Arial" w:hAnsi="Arial" w:cs="Arial"/>
          <w:sz w:val="22"/>
          <w:szCs w:val="22"/>
        </w:rPr>
      </w:pPr>
      <w:r w:rsidRPr="006013AC">
        <w:rPr>
          <w:rFonts w:ascii="Arial" w:hAnsi="Arial" w:cs="Arial"/>
          <w:b/>
          <w:bCs/>
          <w:sz w:val="22"/>
          <w:szCs w:val="22"/>
        </w:rPr>
        <w:t>2.4</w:t>
      </w:r>
      <w:r w:rsidR="009279E8" w:rsidRPr="006013AC">
        <w:rPr>
          <w:rFonts w:ascii="Arial" w:hAnsi="Arial" w:cs="Arial"/>
          <w:b/>
          <w:bCs/>
          <w:sz w:val="22"/>
          <w:szCs w:val="22"/>
        </w:rPr>
        <w:t xml:space="preserve"> Analysis of Problems and Solutions in Jute Farming </w:t>
      </w:r>
    </w:p>
    <w:p w14:paraId="35B9DE6A" w14:textId="1C9EE094" w:rsidR="009279E8" w:rsidRPr="00833F42" w:rsidRDefault="009279E8" w:rsidP="009279E8">
      <w:r w:rsidRPr="003273C2">
        <w:t>To find out problems related to jute farming</w:t>
      </w:r>
      <w:r>
        <w:t>,</w:t>
      </w:r>
      <w:r w:rsidRPr="003273C2">
        <w:t xml:space="preserve"> here used </w:t>
      </w:r>
      <w:r>
        <w:t xml:space="preserve">the </w:t>
      </w:r>
      <w:r w:rsidRPr="003273C2">
        <w:t>Problem Faced Index (PFI) with ra</w:t>
      </w:r>
      <w:r w:rsidR="00D9366F">
        <w:t>nk order. Here after using Stata</w:t>
      </w:r>
      <w:r w:rsidRPr="003273C2">
        <w:t xml:space="preserve"> Software (</w:t>
      </w:r>
      <w:r w:rsidR="00D9366F" w:rsidRPr="00C838C5">
        <w:t>Stata</w:t>
      </w:r>
      <w:r w:rsidR="00D9366F">
        <w:t xml:space="preserve"> </w:t>
      </w:r>
      <w:r w:rsidR="00D9366F" w:rsidRPr="00C838C5">
        <w:t>2015</w:t>
      </w:r>
      <w:r w:rsidRPr="003273C2">
        <w:t>) frequency of four comparison of problem were found for each problem. After that</w:t>
      </w:r>
      <w:r>
        <w:t>,</w:t>
      </w:r>
      <w:r w:rsidRPr="003273C2">
        <w:t xml:space="preserve"> “Problem not at all” </w:t>
      </w:r>
      <w:r>
        <w:t xml:space="preserve">is </w:t>
      </w:r>
      <w:r w:rsidRPr="003273C2">
        <w:t xml:space="preserve">multiplied with “0”, “Low” problem </w:t>
      </w:r>
      <w:r>
        <w:t xml:space="preserve">is </w:t>
      </w:r>
      <w:r w:rsidRPr="003273C2">
        <w:t xml:space="preserve">multiplied with “1”, “Medium” problem </w:t>
      </w:r>
      <w:r>
        <w:t xml:space="preserve">is </w:t>
      </w:r>
      <w:r w:rsidRPr="003273C2">
        <w:t xml:space="preserve">multiplied </w:t>
      </w:r>
      <w:r>
        <w:t>by</w:t>
      </w:r>
      <w:r w:rsidRPr="003273C2">
        <w:t xml:space="preserve"> “2” and </w:t>
      </w:r>
      <w:r>
        <w:t xml:space="preserve">the </w:t>
      </w:r>
      <w:r w:rsidRPr="003273C2">
        <w:t xml:space="preserve">“High” problem multiplied </w:t>
      </w:r>
      <w:r>
        <w:t>by</w:t>
      </w:r>
      <w:r w:rsidRPr="003273C2">
        <w:t xml:space="preserve"> “3</w:t>
      </w:r>
      <w:r w:rsidRPr="00833F42">
        <w:t xml:space="preserve">”. Finally, summing them for respective </w:t>
      </w:r>
      <w:r w:rsidR="00D9366F" w:rsidRPr="00833F42">
        <w:t>problem</w:t>
      </w:r>
      <w:r w:rsidR="00D9366F">
        <w:t>, values were putted</w:t>
      </w:r>
      <w:r w:rsidRPr="00833F42">
        <w:t xml:space="preserve"> on the respective PFI cell, and ranking them. The formula is as below,</w:t>
      </w:r>
    </w:p>
    <w:p w14:paraId="36964C05" w14:textId="77777777" w:rsidR="009279E8" w:rsidRPr="00833F42" w:rsidRDefault="009279E8" w:rsidP="009279E8">
      <w:pPr>
        <w:jc w:val="center"/>
        <w:rPr>
          <w:b/>
          <w:bCs/>
        </w:rPr>
      </w:pPr>
      <w:r w:rsidRPr="00833F42">
        <w:rPr>
          <w:b/>
          <w:bCs/>
        </w:rPr>
        <w:t>PFI = (Problem not at all × 0) + (Low problem × 1) + (Medium problem × 2)</w:t>
      </w:r>
    </w:p>
    <w:p w14:paraId="3EEF288B" w14:textId="161A4BF6" w:rsidR="009279E8" w:rsidRPr="00657B02" w:rsidRDefault="009279E8" w:rsidP="009279E8">
      <w:pPr>
        <w:jc w:val="center"/>
      </w:pPr>
      <w:r w:rsidRPr="00833F42">
        <w:rPr>
          <w:b/>
          <w:bCs/>
        </w:rPr>
        <w:t>+ (High problem × 3)</w:t>
      </w:r>
      <w:r w:rsidR="00D9366F">
        <w:rPr>
          <w:b/>
          <w:bCs/>
        </w:rPr>
        <w:t>.</w:t>
      </w:r>
      <w:r>
        <w:rPr>
          <w:b/>
          <w:bCs/>
        </w:rPr>
        <w:t xml:space="preserve"> </w:t>
      </w:r>
      <w:r w:rsidRPr="00657B02">
        <w:t xml:space="preserve">(Alam </w:t>
      </w:r>
      <w:r w:rsidRPr="00D9366F">
        <w:rPr>
          <w:i/>
        </w:rPr>
        <w:t>et al</w:t>
      </w:r>
      <w:r w:rsidRPr="00657B02">
        <w:t>., 2018).</w:t>
      </w:r>
    </w:p>
    <w:p w14:paraId="77F33655" w14:textId="5F86B2C7" w:rsidR="009279E8" w:rsidRDefault="009279E8" w:rsidP="009279E8">
      <w:r w:rsidRPr="00833F42">
        <w:t>Solutions used Stata Software (</w:t>
      </w:r>
      <w:r w:rsidRPr="00C838C5">
        <w:t>Stata</w:t>
      </w:r>
      <w:r w:rsidR="00D9366F">
        <w:t xml:space="preserve"> </w:t>
      </w:r>
      <w:r w:rsidRPr="00C838C5">
        <w:t>Corp, 2015</w:t>
      </w:r>
      <w:r w:rsidRPr="00833F42">
        <w:t>) to find out the frequency and then put them in Microsoft Excel (</w:t>
      </w:r>
      <w:r>
        <w:t>V</w:t>
      </w:r>
      <w:r w:rsidRPr="00833F42">
        <w:t xml:space="preserve">ersion 2016), to get recommended chart. </w:t>
      </w:r>
    </w:p>
    <w:p w14:paraId="0053E65A" w14:textId="77777777" w:rsidR="001C54A1" w:rsidRDefault="001C54A1" w:rsidP="009279E8"/>
    <w:p w14:paraId="68CB8EFC" w14:textId="6453C3D8" w:rsidR="001C54A1" w:rsidRPr="0048345C" w:rsidRDefault="0048345C" w:rsidP="0048345C">
      <w:pPr>
        <w:rPr>
          <w:rFonts w:ascii="Arial" w:hAnsi="Arial" w:cs="Arial"/>
          <w:b/>
        </w:rPr>
      </w:pPr>
      <w:r>
        <w:rPr>
          <w:rFonts w:ascii="Arial" w:hAnsi="Arial" w:cs="Arial"/>
          <w:b/>
        </w:rPr>
        <w:t>3.</w:t>
      </w:r>
      <w:r w:rsidRPr="0048345C">
        <w:rPr>
          <w:rFonts w:ascii="Arial" w:hAnsi="Arial" w:cs="Arial"/>
          <w:b/>
        </w:rPr>
        <w:t xml:space="preserve"> Results</w:t>
      </w:r>
      <w:r w:rsidR="001C54A1" w:rsidRPr="0048345C">
        <w:rPr>
          <w:rFonts w:ascii="Arial" w:hAnsi="Arial" w:cs="Arial"/>
          <w:b/>
        </w:rPr>
        <w:t xml:space="preserve"> and Discussion </w:t>
      </w:r>
    </w:p>
    <w:p w14:paraId="1FCE2B5D" w14:textId="563BD8DA" w:rsidR="0048345C" w:rsidRPr="0048345C" w:rsidRDefault="0048345C" w:rsidP="00A94115">
      <w:pPr>
        <w:rPr>
          <w:rFonts w:ascii="Arial" w:hAnsi="Arial" w:cs="Arial"/>
          <w:b/>
        </w:rPr>
      </w:pPr>
      <w:r>
        <w:rPr>
          <w:rFonts w:ascii="Arial" w:hAnsi="Arial" w:cs="Arial"/>
          <w:b/>
          <w:bCs/>
        </w:rPr>
        <w:t>3.1</w:t>
      </w:r>
      <w:r w:rsidRPr="0048345C">
        <w:rPr>
          <w:rFonts w:ascii="Arial" w:hAnsi="Arial" w:cs="Arial"/>
          <w:b/>
          <w:bCs/>
        </w:rPr>
        <w:t>Socioeconomic characteristics of Jute Farmers</w:t>
      </w:r>
    </w:p>
    <w:p w14:paraId="389E9DE7" w14:textId="2F7750EF" w:rsidR="00B824B9" w:rsidRPr="00100A6B" w:rsidRDefault="00EB5042" w:rsidP="00355ADE">
      <w:r w:rsidRPr="00EB5042">
        <w:t>Table 1 presents the socioeconomic characteristics of the sample jute growers.</w:t>
      </w:r>
      <w:r>
        <w:t xml:space="preserve"> </w:t>
      </w:r>
      <w:r w:rsidR="00390F95" w:rsidRPr="00100A6B">
        <w:t xml:space="preserve">It was found that </w:t>
      </w:r>
      <w:r w:rsidR="00390F95">
        <w:t xml:space="preserve">most of </w:t>
      </w:r>
      <w:r w:rsidR="00390F95" w:rsidRPr="00100A6B">
        <w:t>the chosen jute producers</w:t>
      </w:r>
      <w:r w:rsidR="00390F95">
        <w:t>’</w:t>
      </w:r>
      <w:r w:rsidR="00390F95" w:rsidRPr="00100A6B">
        <w:t xml:space="preserve"> </w:t>
      </w:r>
      <w:r>
        <w:t>(</w:t>
      </w:r>
      <w:r w:rsidR="00883F9A">
        <w:t>46.15</w:t>
      </w:r>
      <w:r w:rsidR="00390F95">
        <w:t>%</w:t>
      </w:r>
      <w:r>
        <w:t>)</w:t>
      </w:r>
      <w:r w:rsidR="00B824B9">
        <w:t xml:space="preserve"> </w:t>
      </w:r>
      <w:r w:rsidR="00390F95">
        <w:t xml:space="preserve">were 45-60 </w:t>
      </w:r>
      <w:r w:rsidR="00390F95" w:rsidRPr="00100A6B">
        <w:t xml:space="preserve">years </w:t>
      </w:r>
      <w:r w:rsidRPr="00100A6B">
        <w:t xml:space="preserve">old. </w:t>
      </w:r>
      <w:r w:rsidR="00390F95" w:rsidRPr="00100A6B">
        <w:t xml:space="preserve">It was found that of the total chosen jute </w:t>
      </w:r>
      <w:r w:rsidR="00036E95" w:rsidRPr="00100A6B">
        <w:t>producers’;</w:t>
      </w:r>
      <w:r w:rsidR="00390F95" w:rsidRPr="00100A6B">
        <w:t xml:space="preserve"> </w:t>
      </w:r>
      <w:r w:rsidR="00390F95">
        <w:t>almost all are</w:t>
      </w:r>
      <w:r w:rsidR="00390F95" w:rsidRPr="00100A6B">
        <w:t xml:space="preserve"> male </w:t>
      </w:r>
      <w:r w:rsidR="00390F95">
        <w:t xml:space="preserve">except </w:t>
      </w:r>
      <w:r w:rsidR="00883F9A">
        <w:t>1.54</w:t>
      </w:r>
      <w:r w:rsidR="00390F95">
        <w:t>%</w:t>
      </w:r>
      <w:r w:rsidR="006013AC">
        <w:t xml:space="preserve"> female</w:t>
      </w:r>
      <w:r w:rsidR="00B824B9" w:rsidRPr="00100A6B">
        <w:t>. A farmer can effectively manage his land if he has a good education. Depending on their degree of education, the sample farmers were divided into five groups. The majority of jute farmers (</w:t>
      </w:r>
      <w:r w:rsidR="00B824B9" w:rsidRPr="00F54A85">
        <w:t>43.</w:t>
      </w:r>
      <w:r w:rsidR="00883F9A">
        <w:t>08</w:t>
      </w:r>
      <w:r w:rsidR="00B824B9" w:rsidRPr="00100A6B">
        <w:t xml:space="preserve">% of all farmers) were </w:t>
      </w:r>
      <w:r w:rsidR="00883F9A">
        <w:t xml:space="preserve">primary level educated </w:t>
      </w:r>
      <w:r w:rsidR="00FE22FA">
        <w:t xml:space="preserve">followed by </w:t>
      </w:r>
      <w:r w:rsidR="00883F9A">
        <w:t>30.77</w:t>
      </w:r>
      <w:r w:rsidR="00FE22FA">
        <w:t xml:space="preserve">% of jute farmers were </w:t>
      </w:r>
      <w:r w:rsidR="00883F9A">
        <w:t>illiterate</w:t>
      </w:r>
      <w:r w:rsidR="00FE22FA">
        <w:t xml:space="preserve">. </w:t>
      </w:r>
      <w:r w:rsidR="00883F9A">
        <w:t>21.54</w:t>
      </w:r>
      <w:r w:rsidR="00B824B9" w:rsidRPr="00100A6B">
        <w:t xml:space="preserve">% of jute farmers were secondary level educated, and only </w:t>
      </w:r>
      <w:r w:rsidR="00883F9A">
        <w:t>4.62</w:t>
      </w:r>
      <w:r w:rsidR="00B824B9" w:rsidRPr="00100A6B">
        <w:t xml:space="preserve">% of the farmers had earned a higher secondary degree. </w:t>
      </w:r>
    </w:p>
    <w:p w14:paraId="28CFFAFC" w14:textId="0A028047" w:rsidR="00390F95" w:rsidRDefault="00FE22FA" w:rsidP="00355ADE">
      <w:r w:rsidRPr="00100A6B">
        <w:lastRenderedPageBreak/>
        <w:t>In Bangladesh, rural people's occupations are increasingly diversified. About 9</w:t>
      </w:r>
      <w:r w:rsidR="00883F9A">
        <w:t>0.77</w:t>
      </w:r>
      <w:r w:rsidRPr="00100A6B">
        <w:t xml:space="preserve">% of rural people take agriculture as their major occupation. They seek farm </w:t>
      </w:r>
      <w:r>
        <w:t>income-earning</w:t>
      </w:r>
      <w:r w:rsidRPr="00100A6B">
        <w:t xml:space="preserve"> opportunities. In our study area</w:t>
      </w:r>
      <w:r>
        <w:t>,</w:t>
      </w:r>
      <w:r w:rsidRPr="00100A6B">
        <w:t xml:space="preserve"> every sample</w:t>
      </w:r>
      <w:r w:rsidR="006013AC">
        <w:t xml:space="preserve"> </w:t>
      </w:r>
      <w:proofErr w:type="gramStart"/>
      <w:r w:rsidR="006013AC">
        <w:t>farmers</w:t>
      </w:r>
      <w:proofErr w:type="gramEnd"/>
      <w:r w:rsidRPr="00100A6B">
        <w:t xml:space="preserve"> was involved in agriculture but </w:t>
      </w:r>
      <w:r w:rsidR="00883F9A">
        <w:t>9.33</w:t>
      </w:r>
      <w:r w:rsidRPr="00100A6B">
        <w:t xml:space="preserve">% was involved with </w:t>
      </w:r>
      <w:r>
        <w:t>off-farm</w:t>
      </w:r>
      <w:r w:rsidRPr="00100A6B">
        <w:t xml:space="preserve"> activities a</w:t>
      </w:r>
      <w:r>
        <w:t>s</w:t>
      </w:r>
      <w:r w:rsidRPr="00100A6B">
        <w:t xml:space="preserve"> their major occupation that </w:t>
      </w:r>
      <w:r>
        <w:t>included</w:t>
      </w:r>
      <w:r w:rsidRPr="00100A6B">
        <w:t xml:space="preserve"> service, small business, driving</w:t>
      </w:r>
      <w:r>
        <w:t>,</w:t>
      </w:r>
      <w:r w:rsidRPr="00100A6B">
        <w:t xml:space="preserve"> etc.</w:t>
      </w:r>
    </w:p>
    <w:p w14:paraId="58011D46" w14:textId="2B67FC19" w:rsidR="00F3152C" w:rsidRPr="00100A6B" w:rsidRDefault="00F3152C" w:rsidP="00355ADE">
      <w:r w:rsidRPr="00100A6B">
        <w:t xml:space="preserve">In the study area, family size has been considered as one which has a total number of People living together with the same head of the family. The family member includes </w:t>
      </w:r>
      <w:r>
        <w:t xml:space="preserve">a </w:t>
      </w:r>
      <w:r w:rsidRPr="00100A6B">
        <w:t xml:space="preserve">wife, sons, </w:t>
      </w:r>
      <w:r>
        <w:t xml:space="preserve">an </w:t>
      </w:r>
      <w:r w:rsidRPr="00100A6B">
        <w:t>unmarried daughter, father, mother</w:t>
      </w:r>
      <w:r>
        <w:t>,</w:t>
      </w:r>
      <w:r w:rsidRPr="00100A6B">
        <w:t xml:space="preserve"> and brother. The total </w:t>
      </w:r>
      <w:r>
        <w:t>number</w:t>
      </w:r>
      <w:r w:rsidRPr="00100A6B">
        <w:t xml:space="preserve"> of persons of all families </w:t>
      </w:r>
      <w:r>
        <w:t>was</w:t>
      </w:r>
      <w:r w:rsidRPr="00100A6B">
        <w:t xml:space="preserve"> divided into three categories which are- small, medium</w:t>
      </w:r>
      <w:r>
        <w:t>,</w:t>
      </w:r>
      <w:r w:rsidRPr="00100A6B">
        <w:t xml:space="preserve"> and large family. Small family consists of up to 4 members, medium family consists of 5 to 8 members and large family consists of greater than 8 members.</w:t>
      </w:r>
      <w:r>
        <w:t xml:space="preserve"> Almost half (</w:t>
      </w:r>
      <w:r w:rsidR="00883F9A">
        <w:t>49.23</w:t>
      </w:r>
      <w:r>
        <w:t>%) of the sampled</w:t>
      </w:r>
      <w:r w:rsidRPr="00100A6B">
        <w:t xml:space="preserve"> farmers in this area have </w:t>
      </w:r>
      <w:r w:rsidR="00883F9A">
        <w:t>small</w:t>
      </w:r>
      <w:r w:rsidRPr="00100A6B">
        <w:t xml:space="preserve">-sized families, and the percentage of large families </w:t>
      </w:r>
      <w:r>
        <w:t>is</w:t>
      </w:r>
      <w:r w:rsidRPr="00100A6B">
        <w:t xml:space="preserve"> rather low (</w:t>
      </w:r>
      <w:r w:rsidR="00883F9A">
        <w:t>3.08</w:t>
      </w:r>
      <w:r w:rsidRPr="00100A6B">
        <w:t>%).</w:t>
      </w:r>
    </w:p>
    <w:p w14:paraId="68041BCC" w14:textId="65654E78" w:rsidR="0020370B" w:rsidRDefault="00D04710" w:rsidP="001C54A1">
      <w:r w:rsidRPr="00100A6B">
        <w:t xml:space="preserve">Farm </w:t>
      </w:r>
      <w:r w:rsidR="001C54A1" w:rsidRPr="00100A6B">
        <w:t>size represents</w:t>
      </w:r>
      <w:r w:rsidRPr="00100A6B">
        <w:t xml:space="preserve"> a farmers’ economic condition. It includes crop fields, fisheries, livestock or poultry farm etc. In the selected area, </w:t>
      </w:r>
      <w:r>
        <w:t>al</w:t>
      </w:r>
      <w:r w:rsidRPr="00100A6B">
        <w:t>most farmers are marginal</w:t>
      </w:r>
      <w:r>
        <w:t xml:space="preserve"> </w:t>
      </w:r>
      <w:r w:rsidR="00346B38">
        <w:t>(46.15</w:t>
      </w:r>
      <w:r>
        <w:t>%)</w:t>
      </w:r>
      <w:r w:rsidRPr="00100A6B">
        <w:t>. Marginal farmers are who have land between 0.51-1.00 acres.</w:t>
      </w:r>
      <w:r>
        <w:t xml:space="preserve"> </w:t>
      </w:r>
      <w:r w:rsidRPr="00100A6B">
        <w:t xml:space="preserve">Only </w:t>
      </w:r>
      <w:r w:rsidR="00346B38">
        <w:t>6.15</w:t>
      </w:r>
      <w:r w:rsidRPr="00100A6B">
        <w:t>%</w:t>
      </w:r>
      <w:r>
        <w:t xml:space="preserve"> </w:t>
      </w:r>
      <w:r w:rsidRPr="00100A6B">
        <w:t>of farmers’</w:t>
      </w:r>
      <w:r>
        <w:t xml:space="preserve"> </w:t>
      </w:r>
      <w:r w:rsidRPr="00100A6B">
        <w:t xml:space="preserve">farm </w:t>
      </w:r>
      <w:r w:rsidR="001C54A1" w:rsidRPr="00100A6B">
        <w:t>size is</w:t>
      </w:r>
      <w:r>
        <w:t xml:space="preserve"> </w:t>
      </w:r>
      <w:r w:rsidR="00346B38">
        <w:t>medium</w:t>
      </w:r>
      <w:r w:rsidRPr="00100A6B">
        <w:t>.</w:t>
      </w:r>
      <w:r>
        <w:t xml:space="preserve"> </w:t>
      </w:r>
      <w:r w:rsidR="00346B38">
        <w:t>Medium</w:t>
      </w:r>
      <w:r w:rsidRPr="00100A6B">
        <w:t xml:space="preserve"> farmers are who have land </w:t>
      </w:r>
      <w:r w:rsidR="00346B38" w:rsidRPr="00100A6B">
        <w:t xml:space="preserve">between </w:t>
      </w:r>
      <w:r w:rsidR="00346B38">
        <w:t>2</w:t>
      </w:r>
      <w:r w:rsidR="00346B38" w:rsidRPr="00100A6B">
        <w:t>.51-</w:t>
      </w:r>
      <w:r w:rsidR="00346B38">
        <w:t>5</w:t>
      </w:r>
      <w:r w:rsidR="00346B38" w:rsidRPr="00100A6B">
        <w:t xml:space="preserve">.00 </w:t>
      </w:r>
      <w:r w:rsidR="00FC2965" w:rsidRPr="00100A6B">
        <w:t>acres. Farmer’s</w:t>
      </w:r>
      <w:r w:rsidR="00B359F2" w:rsidRPr="00100A6B">
        <w:t xml:space="preserve"> income depends mostly on their farm size. In the selected area, most farmers’</w:t>
      </w:r>
      <w:r w:rsidR="00B359F2">
        <w:t xml:space="preserve"> (</w:t>
      </w:r>
      <w:r w:rsidR="00346B38">
        <w:t>73.31</w:t>
      </w:r>
      <w:r w:rsidR="00B359F2">
        <w:t>%)</w:t>
      </w:r>
      <w:r w:rsidR="00B359F2" w:rsidRPr="00100A6B">
        <w:t xml:space="preserve"> annual income is </w:t>
      </w:r>
      <w:r w:rsidR="001C54A1">
        <w:t>small</w:t>
      </w:r>
      <w:r w:rsidR="00B359F2" w:rsidRPr="00100A6B">
        <w:t>. They</w:t>
      </w:r>
      <w:r w:rsidR="00B359F2">
        <w:t xml:space="preserve"> earn </w:t>
      </w:r>
      <w:r w:rsidR="00C46E00">
        <w:t>up to</w:t>
      </w:r>
      <w:r w:rsidR="001C54A1">
        <w:t xml:space="preserve"> 120,000 Tk. In a year,</w:t>
      </w:r>
      <w:r w:rsidR="00B359F2" w:rsidRPr="00100A6B">
        <w:t xml:space="preserve"> </w:t>
      </w:r>
      <w:r w:rsidR="00C46E00" w:rsidRPr="00100A6B">
        <w:t>only</w:t>
      </w:r>
      <w:r w:rsidR="00B359F2" w:rsidRPr="00100A6B">
        <w:t xml:space="preserve"> </w:t>
      </w:r>
      <w:r w:rsidR="00346B38">
        <w:t>27.69</w:t>
      </w:r>
      <w:r w:rsidR="00B359F2" w:rsidRPr="00100A6B">
        <w:t>%</w:t>
      </w:r>
      <w:r w:rsidR="00B359F2">
        <w:t xml:space="preserve"> </w:t>
      </w:r>
      <w:r w:rsidR="00B359F2" w:rsidRPr="00100A6B">
        <w:t xml:space="preserve">of farmers’ income is </w:t>
      </w:r>
      <w:r w:rsidR="00B359F2">
        <w:t>high</w:t>
      </w:r>
      <w:r w:rsidR="00C46E00">
        <w:t xml:space="preserve"> and t</w:t>
      </w:r>
      <w:r w:rsidR="00B359F2" w:rsidRPr="00100A6B">
        <w:t>hey earn</w:t>
      </w:r>
      <w:r w:rsidR="001C54A1">
        <w:t>ed</w:t>
      </w:r>
      <w:r w:rsidR="00B359F2" w:rsidRPr="00100A6B">
        <w:t xml:space="preserve"> </w:t>
      </w:r>
      <w:r w:rsidR="00C46E00">
        <w:t xml:space="preserve">between Tk. </w:t>
      </w:r>
      <w:r w:rsidR="00671D24">
        <w:t>120,000-</w:t>
      </w:r>
      <w:r w:rsidR="00B359F2" w:rsidRPr="00100A6B">
        <w:t xml:space="preserve">240,000. </w:t>
      </w:r>
    </w:p>
    <w:p w14:paraId="3CDA94CF" w14:textId="56EBA330" w:rsidR="009D6A37" w:rsidRDefault="009D6A37" w:rsidP="00A14D54"/>
    <w:p w14:paraId="783DC533" w14:textId="69EC7DD6" w:rsidR="0020370B" w:rsidRPr="0048345C" w:rsidRDefault="0020370B" w:rsidP="00A14D54">
      <w:pPr>
        <w:rPr>
          <w:rFonts w:ascii="Arial" w:hAnsi="Arial" w:cs="Arial"/>
          <w:b/>
          <w:bCs/>
          <w:sz w:val="22"/>
          <w:szCs w:val="22"/>
        </w:rPr>
      </w:pPr>
      <w:r w:rsidRPr="0048345C">
        <w:rPr>
          <w:rFonts w:ascii="Arial" w:hAnsi="Arial" w:cs="Arial"/>
          <w:b/>
          <w:sz w:val="22"/>
          <w:szCs w:val="22"/>
        </w:rPr>
        <w:t>Table 1</w:t>
      </w:r>
      <w:r w:rsidR="00A97C0E" w:rsidRPr="0048345C">
        <w:rPr>
          <w:rFonts w:ascii="Arial" w:hAnsi="Arial" w:cs="Arial"/>
          <w:b/>
          <w:sz w:val="22"/>
          <w:szCs w:val="22"/>
        </w:rPr>
        <w:t>:</w:t>
      </w:r>
      <w:r w:rsidR="001C54A1" w:rsidRPr="0048345C">
        <w:rPr>
          <w:rFonts w:ascii="Arial" w:hAnsi="Arial" w:cs="Arial"/>
          <w:b/>
          <w:bCs/>
          <w:sz w:val="22"/>
          <w:szCs w:val="22"/>
        </w:rPr>
        <w:t xml:space="preserve"> Socioeconomic characteristics</w:t>
      </w:r>
      <w:r w:rsidRPr="0048345C">
        <w:rPr>
          <w:rFonts w:ascii="Arial" w:hAnsi="Arial" w:cs="Arial"/>
          <w:b/>
          <w:bCs/>
          <w:sz w:val="22"/>
          <w:szCs w:val="22"/>
        </w:rPr>
        <w:t xml:space="preserve"> of Jute Farmers</w:t>
      </w:r>
    </w:p>
    <w:tbl>
      <w:tblPr>
        <w:tblStyle w:val="TableGrid"/>
        <w:tblW w:w="9067" w:type="dxa"/>
        <w:tblLayout w:type="fixed"/>
        <w:tblLook w:val="04A0" w:firstRow="1" w:lastRow="0" w:firstColumn="1" w:lastColumn="0" w:noHBand="0" w:noVBand="1"/>
      </w:tblPr>
      <w:tblGrid>
        <w:gridCol w:w="2065"/>
        <w:gridCol w:w="2041"/>
        <w:gridCol w:w="3260"/>
        <w:gridCol w:w="1701"/>
      </w:tblGrid>
      <w:tr w:rsidR="001C5A73" w:rsidRPr="00F93F9B" w14:paraId="4B4AD5A9" w14:textId="77777777" w:rsidTr="001C5A73">
        <w:tc>
          <w:tcPr>
            <w:tcW w:w="2065" w:type="dxa"/>
          </w:tcPr>
          <w:p w14:paraId="41DD8FC6" w14:textId="0C83839D" w:rsidR="001C5A73" w:rsidRPr="00F93F9B" w:rsidRDefault="001C5A73" w:rsidP="00970B6E">
            <w:pPr>
              <w:spacing w:line="276" w:lineRule="auto"/>
              <w:jc w:val="left"/>
              <w:rPr>
                <w:b/>
                <w:bCs/>
              </w:rPr>
            </w:pPr>
            <w:r w:rsidRPr="00F93F9B">
              <w:rPr>
                <w:b/>
                <w:bCs/>
              </w:rPr>
              <w:t>Characteristics</w:t>
            </w:r>
          </w:p>
        </w:tc>
        <w:tc>
          <w:tcPr>
            <w:tcW w:w="2041" w:type="dxa"/>
          </w:tcPr>
          <w:p w14:paraId="6BE17745" w14:textId="149A2E8C" w:rsidR="001C5A73" w:rsidRPr="00F93F9B" w:rsidRDefault="001C5A73" w:rsidP="00970B6E">
            <w:pPr>
              <w:spacing w:line="276" w:lineRule="auto"/>
              <w:jc w:val="left"/>
              <w:rPr>
                <w:b/>
                <w:bCs/>
              </w:rPr>
            </w:pPr>
            <w:r w:rsidRPr="00F93F9B">
              <w:rPr>
                <w:b/>
                <w:bCs/>
              </w:rPr>
              <w:t>Scoring method</w:t>
            </w:r>
          </w:p>
        </w:tc>
        <w:tc>
          <w:tcPr>
            <w:tcW w:w="3260" w:type="dxa"/>
          </w:tcPr>
          <w:p w14:paraId="43A971D3" w14:textId="362CEF98" w:rsidR="001C5A73" w:rsidRPr="00F93F9B" w:rsidRDefault="001C5A73" w:rsidP="00970B6E">
            <w:pPr>
              <w:spacing w:line="276" w:lineRule="auto"/>
              <w:jc w:val="left"/>
              <w:rPr>
                <w:b/>
                <w:bCs/>
              </w:rPr>
            </w:pPr>
            <w:r w:rsidRPr="00F93F9B">
              <w:rPr>
                <w:b/>
                <w:bCs/>
              </w:rPr>
              <w:t>Categories</w:t>
            </w:r>
          </w:p>
        </w:tc>
        <w:tc>
          <w:tcPr>
            <w:tcW w:w="1701" w:type="dxa"/>
          </w:tcPr>
          <w:p w14:paraId="56808AE3" w14:textId="395162C0" w:rsidR="001C5A73" w:rsidRPr="00F93F9B" w:rsidRDefault="001C5A73" w:rsidP="00970B6E">
            <w:pPr>
              <w:spacing w:line="276" w:lineRule="auto"/>
              <w:jc w:val="left"/>
              <w:rPr>
                <w:b/>
                <w:bCs/>
              </w:rPr>
            </w:pPr>
            <w:r w:rsidRPr="00F93F9B">
              <w:rPr>
                <w:b/>
                <w:bCs/>
              </w:rPr>
              <w:t>Percent</w:t>
            </w:r>
          </w:p>
        </w:tc>
      </w:tr>
      <w:tr w:rsidR="001C5A73" w:rsidRPr="009D6A37" w14:paraId="22E4680E" w14:textId="77777777" w:rsidTr="001C5A73">
        <w:tc>
          <w:tcPr>
            <w:tcW w:w="2065" w:type="dxa"/>
          </w:tcPr>
          <w:p w14:paraId="10F38F23" w14:textId="7273FC50" w:rsidR="001C5A73" w:rsidRPr="009D6A37" w:rsidRDefault="001C5A73" w:rsidP="00970B6E">
            <w:pPr>
              <w:spacing w:line="276" w:lineRule="auto"/>
            </w:pPr>
            <w:r>
              <w:t>Age</w:t>
            </w:r>
          </w:p>
        </w:tc>
        <w:tc>
          <w:tcPr>
            <w:tcW w:w="2041" w:type="dxa"/>
          </w:tcPr>
          <w:p w14:paraId="6AC6E3EA" w14:textId="5F65E545" w:rsidR="001C5A73" w:rsidRPr="009D6A37" w:rsidRDefault="001C5A73" w:rsidP="00970B6E">
            <w:pPr>
              <w:spacing w:line="276" w:lineRule="auto"/>
            </w:pPr>
            <w:r>
              <w:t>Years</w:t>
            </w:r>
          </w:p>
        </w:tc>
        <w:tc>
          <w:tcPr>
            <w:tcW w:w="3260" w:type="dxa"/>
          </w:tcPr>
          <w:p w14:paraId="658A1D4C" w14:textId="656B7B0B" w:rsidR="001C5A73" w:rsidRDefault="001C5A73" w:rsidP="00970B6E">
            <w:pPr>
              <w:spacing w:line="276" w:lineRule="auto"/>
            </w:pPr>
            <w:r>
              <w:t>Less than 30 years</w:t>
            </w:r>
          </w:p>
          <w:p w14:paraId="2B90EE70" w14:textId="77777777" w:rsidR="001C5A73" w:rsidRDefault="001C5A73" w:rsidP="00970B6E">
            <w:pPr>
              <w:spacing w:line="276" w:lineRule="auto"/>
            </w:pPr>
            <w:r>
              <w:t>30-44</w:t>
            </w:r>
          </w:p>
          <w:p w14:paraId="30857851" w14:textId="77777777" w:rsidR="001C5A73" w:rsidRDefault="001C5A73" w:rsidP="00970B6E">
            <w:pPr>
              <w:spacing w:line="276" w:lineRule="auto"/>
            </w:pPr>
            <w:r>
              <w:t>45-60</w:t>
            </w:r>
          </w:p>
          <w:p w14:paraId="6B227CAB" w14:textId="41540B19" w:rsidR="001C5A73" w:rsidRPr="009D6A37" w:rsidRDefault="001C5A73" w:rsidP="00970B6E">
            <w:pPr>
              <w:spacing w:line="276" w:lineRule="auto"/>
            </w:pPr>
            <w:r>
              <w:t>Above 60 years</w:t>
            </w:r>
          </w:p>
        </w:tc>
        <w:tc>
          <w:tcPr>
            <w:tcW w:w="1701" w:type="dxa"/>
          </w:tcPr>
          <w:p w14:paraId="3DC5D87B" w14:textId="3D23F019" w:rsidR="001C5A73" w:rsidRDefault="001C5A73" w:rsidP="00970B6E">
            <w:pPr>
              <w:spacing w:line="276" w:lineRule="auto"/>
              <w:jc w:val="center"/>
            </w:pPr>
            <w:r>
              <w:t>6.15</w:t>
            </w:r>
          </w:p>
          <w:p w14:paraId="3C8C1D0F" w14:textId="7B5223EC" w:rsidR="001C5A73" w:rsidRDefault="001C5A73" w:rsidP="00970B6E">
            <w:pPr>
              <w:spacing w:line="276" w:lineRule="auto"/>
              <w:jc w:val="center"/>
            </w:pPr>
            <w:r>
              <w:t>23.08</w:t>
            </w:r>
          </w:p>
          <w:p w14:paraId="021276F2" w14:textId="10995F65" w:rsidR="001C5A73" w:rsidRDefault="001C5A73" w:rsidP="00970B6E">
            <w:pPr>
              <w:spacing w:line="276" w:lineRule="auto"/>
              <w:jc w:val="center"/>
            </w:pPr>
            <w:r>
              <w:t>46.15</w:t>
            </w:r>
          </w:p>
          <w:p w14:paraId="2515A548" w14:textId="59EFECC6" w:rsidR="001C5A73" w:rsidRPr="009D6A37" w:rsidRDefault="001C5A73" w:rsidP="00970B6E">
            <w:pPr>
              <w:spacing w:line="276" w:lineRule="auto"/>
              <w:jc w:val="center"/>
            </w:pPr>
            <w:r>
              <w:t>24.62</w:t>
            </w:r>
          </w:p>
        </w:tc>
      </w:tr>
      <w:tr w:rsidR="001C5A73" w:rsidRPr="009D6A37" w14:paraId="0A689F86" w14:textId="77777777" w:rsidTr="001C5A73">
        <w:tc>
          <w:tcPr>
            <w:tcW w:w="2065" w:type="dxa"/>
          </w:tcPr>
          <w:p w14:paraId="2F789EFA" w14:textId="5C368C91" w:rsidR="001C5A73" w:rsidRPr="009D6A37" w:rsidRDefault="001C5A73" w:rsidP="00970B6E">
            <w:pPr>
              <w:spacing w:line="276" w:lineRule="auto"/>
            </w:pPr>
            <w:r>
              <w:t>Sex</w:t>
            </w:r>
          </w:p>
        </w:tc>
        <w:tc>
          <w:tcPr>
            <w:tcW w:w="2041" w:type="dxa"/>
          </w:tcPr>
          <w:p w14:paraId="4177B802" w14:textId="77777777" w:rsidR="001C5A73" w:rsidRPr="009D6A37" w:rsidRDefault="001C5A73" w:rsidP="00970B6E">
            <w:pPr>
              <w:spacing w:line="276" w:lineRule="auto"/>
            </w:pPr>
          </w:p>
        </w:tc>
        <w:tc>
          <w:tcPr>
            <w:tcW w:w="3260" w:type="dxa"/>
          </w:tcPr>
          <w:p w14:paraId="22DD9A05" w14:textId="77777777" w:rsidR="001C5A73" w:rsidRDefault="001C5A73" w:rsidP="00970B6E">
            <w:pPr>
              <w:spacing w:line="276" w:lineRule="auto"/>
            </w:pPr>
            <w:r>
              <w:t>Male</w:t>
            </w:r>
          </w:p>
          <w:p w14:paraId="28DB00BE" w14:textId="2DB4BD6B" w:rsidR="001C5A73" w:rsidRPr="009D6A37" w:rsidRDefault="001C5A73" w:rsidP="00970B6E">
            <w:pPr>
              <w:spacing w:line="276" w:lineRule="auto"/>
            </w:pPr>
            <w:r>
              <w:t>Female</w:t>
            </w:r>
          </w:p>
        </w:tc>
        <w:tc>
          <w:tcPr>
            <w:tcW w:w="1701" w:type="dxa"/>
          </w:tcPr>
          <w:p w14:paraId="4969B616" w14:textId="17DB3302" w:rsidR="001C5A73" w:rsidRDefault="001C5A73" w:rsidP="00970B6E">
            <w:pPr>
              <w:spacing w:line="276" w:lineRule="auto"/>
              <w:jc w:val="center"/>
            </w:pPr>
            <w:r>
              <w:t>98.46</w:t>
            </w:r>
          </w:p>
          <w:p w14:paraId="74B82E98" w14:textId="3BDC6756" w:rsidR="001C5A73" w:rsidRPr="009D6A37" w:rsidRDefault="001C5A73" w:rsidP="00970B6E">
            <w:pPr>
              <w:spacing w:line="276" w:lineRule="auto"/>
              <w:jc w:val="center"/>
            </w:pPr>
            <w:r>
              <w:t>1.54</w:t>
            </w:r>
          </w:p>
        </w:tc>
      </w:tr>
      <w:tr w:rsidR="001C5A73" w:rsidRPr="009D6A37" w14:paraId="2C00AFF5" w14:textId="77777777" w:rsidTr="001C5A73">
        <w:tc>
          <w:tcPr>
            <w:tcW w:w="2065" w:type="dxa"/>
          </w:tcPr>
          <w:p w14:paraId="67923FAF" w14:textId="4FB8C5EB" w:rsidR="001C5A73" w:rsidRPr="009D6A37" w:rsidRDefault="001C5A73" w:rsidP="00970B6E">
            <w:pPr>
              <w:spacing w:line="276" w:lineRule="auto"/>
            </w:pPr>
            <w:r>
              <w:t>Education</w:t>
            </w:r>
          </w:p>
        </w:tc>
        <w:tc>
          <w:tcPr>
            <w:tcW w:w="2041" w:type="dxa"/>
          </w:tcPr>
          <w:p w14:paraId="70A2047F" w14:textId="4F60A82B" w:rsidR="001C5A73" w:rsidRPr="009D6A37" w:rsidRDefault="001C5A73" w:rsidP="00970B6E">
            <w:pPr>
              <w:spacing w:line="276" w:lineRule="auto"/>
            </w:pPr>
            <w:r>
              <w:t>Years of schooling</w:t>
            </w:r>
          </w:p>
        </w:tc>
        <w:tc>
          <w:tcPr>
            <w:tcW w:w="3260" w:type="dxa"/>
          </w:tcPr>
          <w:p w14:paraId="57B19732" w14:textId="77777777" w:rsidR="001C5A73" w:rsidRDefault="001C5A73" w:rsidP="00970B6E">
            <w:pPr>
              <w:spacing w:line="276" w:lineRule="auto"/>
            </w:pPr>
            <w:r>
              <w:t>Illiterate</w:t>
            </w:r>
          </w:p>
          <w:p w14:paraId="4BDE872B" w14:textId="77777777" w:rsidR="001C5A73" w:rsidRDefault="001C5A73" w:rsidP="00970B6E">
            <w:pPr>
              <w:spacing w:line="276" w:lineRule="auto"/>
            </w:pPr>
            <w:r>
              <w:t>Primary</w:t>
            </w:r>
          </w:p>
          <w:p w14:paraId="628D34DA" w14:textId="77777777" w:rsidR="001C5A73" w:rsidRDefault="001C5A73" w:rsidP="00970B6E">
            <w:pPr>
              <w:spacing w:line="276" w:lineRule="auto"/>
            </w:pPr>
            <w:r>
              <w:t>Secondary</w:t>
            </w:r>
          </w:p>
          <w:p w14:paraId="129379DF" w14:textId="759E1A08" w:rsidR="001C5A73" w:rsidRPr="00115C90" w:rsidRDefault="001C5A73" w:rsidP="00970B6E">
            <w:pPr>
              <w:spacing w:line="276" w:lineRule="auto"/>
            </w:pPr>
            <w:r>
              <w:t>Higher Secondary</w:t>
            </w:r>
          </w:p>
        </w:tc>
        <w:tc>
          <w:tcPr>
            <w:tcW w:w="1701" w:type="dxa"/>
          </w:tcPr>
          <w:p w14:paraId="3120556E" w14:textId="141255E6" w:rsidR="001C5A73" w:rsidRDefault="00BC439E" w:rsidP="00970B6E">
            <w:pPr>
              <w:spacing w:line="276" w:lineRule="auto"/>
              <w:jc w:val="center"/>
            </w:pPr>
            <w:r>
              <w:t>30.77</w:t>
            </w:r>
          </w:p>
          <w:p w14:paraId="060955DE" w14:textId="5B89BD59" w:rsidR="001C5A73" w:rsidRDefault="00BC439E" w:rsidP="00970B6E">
            <w:pPr>
              <w:spacing w:line="276" w:lineRule="auto"/>
              <w:jc w:val="center"/>
            </w:pPr>
            <w:r>
              <w:t>43.08</w:t>
            </w:r>
          </w:p>
          <w:p w14:paraId="68875CA4" w14:textId="33E067AD" w:rsidR="001C5A73" w:rsidRDefault="00BC439E" w:rsidP="00970B6E">
            <w:pPr>
              <w:spacing w:line="276" w:lineRule="auto"/>
              <w:jc w:val="center"/>
            </w:pPr>
            <w:r>
              <w:t>21.54</w:t>
            </w:r>
          </w:p>
          <w:p w14:paraId="3EB70BB2" w14:textId="4D0F2BD5" w:rsidR="001C5A73" w:rsidRPr="009D6A37" w:rsidRDefault="00BC439E" w:rsidP="00BC439E">
            <w:pPr>
              <w:spacing w:line="276" w:lineRule="auto"/>
              <w:jc w:val="center"/>
            </w:pPr>
            <w:r>
              <w:t>4.62</w:t>
            </w:r>
          </w:p>
        </w:tc>
      </w:tr>
      <w:tr w:rsidR="001C5A73" w:rsidRPr="009D6A37" w14:paraId="60E217AB" w14:textId="77777777" w:rsidTr="001C5A73">
        <w:tc>
          <w:tcPr>
            <w:tcW w:w="2065" w:type="dxa"/>
          </w:tcPr>
          <w:p w14:paraId="316B0460" w14:textId="2AD68D8B" w:rsidR="001C5A73" w:rsidRPr="009D6A37" w:rsidRDefault="001C5A73" w:rsidP="00970B6E">
            <w:pPr>
              <w:spacing w:line="276" w:lineRule="auto"/>
            </w:pPr>
            <w:r>
              <w:t>Major Occupation</w:t>
            </w:r>
          </w:p>
        </w:tc>
        <w:tc>
          <w:tcPr>
            <w:tcW w:w="2041" w:type="dxa"/>
          </w:tcPr>
          <w:p w14:paraId="71939D74" w14:textId="77777777" w:rsidR="001C5A73" w:rsidRPr="009D6A37" w:rsidRDefault="001C5A73" w:rsidP="00970B6E">
            <w:pPr>
              <w:spacing w:line="276" w:lineRule="auto"/>
            </w:pPr>
          </w:p>
        </w:tc>
        <w:tc>
          <w:tcPr>
            <w:tcW w:w="3260" w:type="dxa"/>
          </w:tcPr>
          <w:p w14:paraId="66EB75AC" w14:textId="77777777" w:rsidR="001C5A73" w:rsidRDefault="001C5A73" w:rsidP="00970B6E">
            <w:pPr>
              <w:spacing w:line="276" w:lineRule="auto"/>
            </w:pPr>
            <w:r>
              <w:t>Farming</w:t>
            </w:r>
          </w:p>
          <w:p w14:paraId="3F6F64B9" w14:textId="77777777" w:rsidR="001C5A73" w:rsidRDefault="001C5A73" w:rsidP="00970B6E">
            <w:pPr>
              <w:spacing w:line="276" w:lineRule="auto"/>
            </w:pPr>
            <w:r>
              <w:t>Small Business</w:t>
            </w:r>
          </w:p>
          <w:p w14:paraId="470C6F64" w14:textId="6AF26188" w:rsidR="001C5A73" w:rsidRPr="009D6A37" w:rsidRDefault="001C5A73" w:rsidP="00970B6E">
            <w:pPr>
              <w:spacing w:line="276" w:lineRule="auto"/>
            </w:pPr>
            <w:r>
              <w:t>Other</w:t>
            </w:r>
          </w:p>
        </w:tc>
        <w:tc>
          <w:tcPr>
            <w:tcW w:w="1701" w:type="dxa"/>
          </w:tcPr>
          <w:p w14:paraId="2906A53C" w14:textId="6ABB5FD0" w:rsidR="001C5A73" w:rsidRDefault="00BC439E" w:rsidP="00970B6E">
            <w:pPr>
              <w:spacing w:line="276" w:lineRule="auto"/>
              <w:jc w:val="center"/>
            </w:pPr>
            <w:r>
              <w:t>90.77</w:t>
            </w:r>
          </w:p>
          <w:p w14:paraId="4C1A62B6" w14:textId="2891180C" w:rsidR="001C5A73" w:rsidRDefault="00BC439E" w:rsidP="00970B6E">
            <w:pPr>
              <w:spacing w:line="276" w:lineRule="auto"/>
              <w:jc w:val="center"/>
            </w:pPr>
            <w:r>
              <w:t>6.15</w:t>
            </w:r>
          </w:p>
          <w:p w14:paraId="431A19BB" w14:textId="5A914D31" w:rsidR="001C5A73" w:rsidRPr="009D6A37" w:rsidRDefault="00BC439E" w:rsidP="00970B6E">
            <w:pPr>
              <w:spacing w:line="276" w:lineRule="auto"/>
              <w:jc w:val="center"/>
            </w:pPr>
            <w:r>
              <w:t>3.08</w:t>
            </w:r>
          </w:p>
        </w:tc>
      </w:tr>
      <w:tr w:rsidR="001C5A73" w:rsidRPr="009D6A37" w14:paraId="4C0711FA" w14:textId="77777777" w:rsidTr="001C5A73">
        <w:tc>
          <w:tcPr>
            <w:tcW w:w="2065" w:type="dxa"/>
          </w:tcPr>
          <w:p w14:paraId="769FC219" w14:textId="33EF198F" w:rsidR="001C5A73" w:rsidRPr="009D6A37" w:rsidRDefault="001C5A73" w:rsidP="00970B6E">
            <w:pPr>
              <w:spacing w:line="276" w:lineRule="auto"/>
            </w:pPr>
            <w:r>
              <w:t>Family size</w:t>
            </w:r>
          </w:p>
        </w:tc>
        <w:tc>
          <w:tcPr>
            <w:tcW w:w="2041" w:type="dxa"/>
          </w:tcPr>
          <w:p w14:paraId="69E61F22" w14:textId="13902037" w:rsidR="001C5A73" w:rsidRPr="009D6A37" w:rsidRDefault="001C5A73" w:rsidP="00970B6E">
            <w:pPr>
              <w:spacing w:line="276" w:lineRule="auto"/>
            </w:pPr>
            <w:r>
              <w:t>No. of persons</w:t>
            </w:r>
          </w:p>
        </w:tc>
        <w:tc>
          <w:tcPr>
            <w:tcW w:w="3260" w:type="dxa"/>
          </w:tcPr>
          <w:p w14:paraId="288B4FA7" w14:textId="77777777" w:rsidR="001C5A73" w:rsidRDefault="001C5A73" w:rsidP="00970B6E">
            <w:pPr>
              <w:spacing w:line="276" w:lineRule="auto"/>
            </w:pPr>
            <w:r>
              <w:t xml:space="preserve">Small (Up to 4) </w:t>
            </w:r>
          </w:p>
          <w:p w14:paraId="42E8BD43" w14:textId="10C272DB" w:rsidR="001C5A73" w:rsidRDefault="001C5A73" w:rsidP="00970B6E">
            <w:pPr>
              <w:spacing w:line="276" w:lineRule="auto"/>
            </w:pPr>
            <w:r>
              <w:t xml:space="preserve">Medium (5-8) </w:t>
            </w:r>
          </w:p>
          <w:p w14:paraId="3C45447A" w14:textId="02EE49A4" w:rsidR="001C5A73" w:rsidRPr="009D6A37" w:rsidRDefault="001C5A73" w:rsidP="00970B6E">
            <w:pPr>
              <w:spacing w:line="276" w:lineRule="auto"/>
            </w:pPr>
            <w:r>
              <w:lastRenderedPageBreak/>
              <w:t>Large (above 8)</w:t>
            </w:r>
          </w:p>
        </w:tc>
        <w:tc>
          <w:tcPr>
            <w:tcW w:w="1701" w:type="dxa"/>
          </w:tcPr>
          <w:p w14:paraId="166FBA12" w14:textId="6973D30E" w:rsidR="001C5A73" w:rsidRDefault="00BC439E" w:rsidP="00970B6E">
            <w:pPr>
              <w:spacing w:line="276" w:lineRule="auto"/>
              <w:jc w:val="center"/>
            </w:pPr>
            <w:r>
              <w:lastRenderedPageBreak/>
              <w:t>49.23</w:t>
            </w:r>
          </w:p>
          <w:p w14:paraId="27452D22" w14:textId="54070924" w:rsidR="001C5A73" w:rsidRDefault="00BC439E" w:rsidP="00970B6E">
            <w:pPr>
              <w:spacing w:line="276" w:lineRule="auto"/>
              <w:jc w:val="center"/>
            </w:pPr>
            <w:r>
              <w:t>47.69</w:t>
            </w:r>
          </w:p>
          <w:p w14:paraId="4860D017" w14:textId="57E8775C" w:rsidR="001C5A73" w:rsidRPr="009D6A37" w:rsidRDefault="00BC439E" w:rsidP="00970B6E">
            <w:pPr>
              <w:spacing w:line="276" w:lineRule="auto"/>
              <w:jc w:val="center"/>
            </w:pPr>
            <w:r>
              <w:lastRenderedPageBreak/>
              <w:t>3.08</w:t>
            </w:r>
          </w:p>
        </w:tc>
      </w:tr>
      <w:tr w:rsidR="001C5A73" w:rsidRPr="009D6A37" w14:paraId="07BCE329" w14:textId="77777777" w:rsidTr="001C5A73">
        <w:tc>
          <w:tcPr>
            <w:tcW w:w="2065" w:type="dxa"/>
          </w:tcPr>
          <w:p w14:paraId="46498048" w14:textId="58D9C7CB" w:rsidR="001C5A73" w:rsidRPr="009D6A37" w:rsidRDefault="001C5A73" w:rsidP="00970B6E">
            <w:pPr>
              <w:spacing w:line="276" w:lineRule="auto"/>
            </w:pPr>
            <w:r>
              <w:lastRenderedPageBreak/>
              <w:t>Farm size</w:t>
            </w:r>
          </w:p>
        </w:tc>
        <w:tc>
          <w:tcPr>
            <w:tcW w:w="2041" w:type="dxa"/>
          </w:tcPr>
          <w:p w14:paraId="0CCB298B" w14:textId="14F3721C" w:rsidR="001C5A73" w:rsidRPr="009D6A37" w:rsidRDefault="001C5A73" w:rsidP="00970B6E">
            <w:pPr>
              <w:spacing w:line="276" w:lineRule="auto"/>
            </w:pPr>
            <w:r>
              <w:t>Acre</w:t>
            </w:r>
          </w:p>
        </w:tc>
        <w:tc>
          <w:tcPr>
            <w:tcW w:w="3260" w:type="dxa"/>
          </w:tcPr>
          <w:p w14:paraId="6145825D" w14:textId="048D285F" w:rsidR="001C5A73" w:rsidRDefault="001C5A73" w:rsidP="00970B6E">
            <w:pPr>
              <w:spacing w:line="276" w:lineRule="auto"/>
            </w:pPr>
            <w:r w:rsidRPr="00100A6B">
              <w:t>Landless</w:t>
            </w:r>
            <w:r>
              <w:t xml:space="preserve"> (</w:t>
            </w:r>
            <w:r w:rsidRPr="00100A6B">
              <w:t>up to 0.5</w:t>
            </w:r>
            <w:r>
              <w:t>)</w:t>
            </w:r>
          </w:p>
          <w:p w14:paraId="3D36B948" w14:textId="77777777" w:rsidR="001C5A73" w:rsidRDefault="001C5A73" w:rsidP="00970B6E">
            <w:pPr>
              <w:spacing w:line="276" w:lineRule="auto"/>
            </w:pPr>
            <w:r w:rsidRPr="00100A6B">
              <w:t>Marginal</w:t>
            </w:r>
            <w:r>
              <w:t xml:space="preserve"> (</w:t>
            </w:r>
            <w:r w:rsidRPr="00100A6B">
              <w:t>0.51-1.00</w:t>
            </w:r>
            <w:r>
              <w:t>)</w:t>
            </w:r>
          </w:p>
          <w:p w14:paraId="4E8E143B" w14:textId="77777777" w:rsidR="001C5A73" w:rsidRDefault="001C5A73" w:rsidP="00970B6E">
            <w:pPr>
              <w:spacing w:line="276" w:lineRule="auto"/>
            </w:pPr>
            <w:r w:rsidRPr="00100A6B">
              <w:t>Small</w:t>
            </w:r>
            <w:r>
              <w:t xml:space="preserve"> (</w:t>
            </w:r>
            <w:r w:rsidRPr="00100A6B">
              <w:t>1.01-2.5</w:t>
            </w:r>
            <w:r>
              <w:t>)</w:t>
            </w:r>
          </w:p>
          <w:p w14:paraId="43847697" w14:textId="77777777" w:rsidR="001C5A73" w:rsidRDefault="001C5A73" w:rsidP="00970B6E">
            <w:pPr>
              <w:spacing w:line="276" w:lineRule="auto"/>
            </w:pPr>
            <w:r w:rsidRPr="00100A6B">
              <w:t>Medium</w:t>
            </w:r>
            <w:r>
              <w:t xml:space="preserve"> (</w:t>
            </w:r>
            <w:r w:rsidRPr="00100A6B">
              <w:t>2.51-5.00</w:t>
            </w:r>
            <w:r>
              <w:t>)</w:t>
            </w:r>
          </w:p>
          <w:p w14:paraId="690575BC" w14:textId="62B2196A" w:rsidR="001C5A73" w:rsidRPr="009D6A37" w:rsidRDefault="001C5A73" w:rsidP="00970B6E">
            <w:pPr>
              <w:spacing w:line="276" w:lineRule="auto"/>
            </w:pPr>
            <w:r>
              <w:t>Large (above 5.00)</w:t>
            </w:r>
          </w:p>
        </w:tc>
        <w:tc>
          <w:tcPr>
            <w:tcW w:w="1701" w:type="dxa"/>
          </w:tcPr>
          <w:p w14:paraId="09F44B68" w14:textId="3D32E212" w:rsidR="001C5A73" w:rsidRDefault="00FA6282" w:rsidP="00970B6E">
            <w:pPr>
              <w:spacing w:line="276" w:lineRule="auto"/>
              <w:jc w:val="center"/>
            </w:pPr>
            <w:r>
              <w:t>29.23</w:t>
            </w:r>
          </w:p>
          <w:p w14:paraId="64F0C85C" w14:textId="10C5DEA7" w:rsidR="001C5A73" w:rsidRDefault="00FA6282" w:rsidP="00970B6E">
            <w:pPr>
              <w:spacing w:line="276" w:lineRule="auto"/>
              <w:jc w:val="center"/>
            </w:pPr>
            <w:r>
              <w:t>46.15</w:t>
            </w:r>
          </w:p>
          <w:p w14:paraId="4139DB85" w14:textId="1C7AEA5D" w:rsidR="001C5A73" w:rsidRDefault="00FA6282" w:rsidP="00970B6E">
            <w:pPr>
              <w:spacing w:line="276" w:lineRule="auto"/>
              <w:jc w:val="center"/>
            </w:pPr>
            <w:r>
              <w:t>18.46</w:t>
            </w:r>
          </w:p>
          <w:p w14:paraId="48CB28BA" w14:textId="4DD0D4C3" w:rsidR="001C5A73" w:rsidRDefault="00FA6282" w:rsidP="00970B6E">
            <w:pPr>
              <w:spacing w:line="276" w:lineRule="auto"/>
              <w:jc w:val="center"/>
            </w:pPr>
            <w:r>
              <w:t>6.15</w:t>
            </w:r>
          </w:p>
          <w:p w14:paraId="1182AF00" w14:textId="6AF2EC98" w:rsidR="001C5A73" w:rsidRPr="009D6A37" w:rsidRDefault="00FA6282" w:rsidP="00970B6E">
            <w:pPr>
              <w:spacing w:line="276" w:lineRule="auto"/>
              <w:jc w:val="center"/>
            </w:pPr>
            <w:r>
              <w:t>0.00</w:t>
            </w:r>
          </w:p>
        </w:tc>
      </w:tr>
      <w:tr w:rsidR="001C5A73" w:rsidRPr="009D6A37" w14:paraId="37319733" w14:textId="77777777" w:rsidTr="001C5A73">
        <w:tc>
          <w:tcPr>
            <w:tcW w:w="2065" w:type="dxa"/>
          </w:tcPr>
          <w:p w14:paraId="74634793" w14:textId="77610E0E" w:rsidR="001C5A73" w:rsidRPr="009D6A37" w:rsidRDefault="001C5A73" w:rsidP="00970B6E">
            <w:pPr>
              <w:spacing w:line="276" w:lineRule="auto"/>
            </w:pPr>
            <w:r>
              <w:t>Annual income</w:t>
            </w:r>
          </w:p>
        </w:tc>
        <w:tc>
          <w:tcPr>
            <w:tcW w:w="2041" w:type="dxa"/>
          </w:tcPr>
          <w:p w14:paraId="1FBDCEA3" w14:textId="5426311C" w:rsidR="001C5A73" w:rsidRPr="009D6A37" w:rsidRDefault="001C5A73" w:rsidP="00970B6E">
            <w:pPr>
              <w:spacing w:line="276" w:lineRule="auto"/>
            </w:pPr>
            <w:r>
              <w:t>(000) Taka</w:t>
            </w:r>
          </w:p>
        </w:tc>
        <w:tc>
          <w:tcPr>
            <w:tcW w:w="3260" w:type="dxa"/>
          </w:tcPr>
          <w:p w14:paraId="2FD33118" w14:textId="55306DC3" w:rsidR="001C5A73" w:rsidRDefault="001C5A73" w:rsidP="00970B6E">
            <w:pPr>
              <w:spacing w:line="276" w:lineRule="auto"/>
            </w:pPr>
            <w:r>
              <w:t>Small (Up to 120)</w:t>
            </w:r>
          </w:p>
          <w:p w14:paraId="540F39B6" w14:textId="751724C2" w:rsidR="001C5A73" w:rsidRDefault="001C5A73" w:rsidP="00970B6E">
            <w:pPr>
              <w:spacing w:line="276" w:lineRule="auto"/>
            </w:pPr>
            <w:r>
              <w:t>Medium (120-240)</w:t>
            </w:r>
          </w:p>
          <w:p w14:paraId="4FACFCFC" w14:textId="17D3B164" w:rsidR="001C5A73" w:rsidRPr="009D6A37" w:rsidRDefault="001C5A73" w:rsidP="00970B6E">
            <w:pPr>
              <w:spacing w:line="276" w:lineRule="auto"/>
            </w:pPr>
            <w:r>
              <w:t>High (Above 240)</w:t>
            </w:r>
          </w:p>
        </w:tc>
        <w:tc>
          <w:tcPr>
            <w:tcW w:w="1701" w:type="dxa"/>
          </w:tcPr>
          <w:p w14:paraId="3E753FBC" w14:textId="00AE647E" w:rsidR="001C5A73" w:rsidRDefault="00BC439E" w:rsidP="00970B6E">
            <w:pPr>
              <w:spacing w:line="276" w:lineRule="auto"/>
              <w:jc w:val="center"/>
            </w:pPr>
            <w:r>
              <w:t>72.31</w:t>
            </w:r>
          </w:p>
          <w:p w14:paraId="6D703F20" w14:textId="77777777" w:rsidR="001C5A73" w:rsidRDefault="00BC439E" w:rsidP="00BC439E">
            <w:pPr>
              <w:spacing w:line="276" w:lineRule="auto"/>
              <w:jc w:val="center"/>
            </w:pPr>
            <w:r>
              <w:t>27.69</w:t>
            </w:r>
          </w:p>
          <w:p w14:paraId="3A722B1C" w14:textId="14F67A11" w:rsidR="00BC439E" w:rsidRPr="009D6A37" w:rsidRDefault="00BC439E" w:rsidP="00BC439E">
            <w:pPr>
              <w:spacing w:line="276" w:lineRule="auto"/>
              <w:jc w:val="center"/>
            </w:pPr>
            <w:r>
              <w:t>0.00</w:t>
            </w:r>
          </w:p>
        </w:tc>
      </w:tr>
    </w:tbl>
    <w:p w14:paraId="7DA89947" w14:textId="77777777" w:rsidR="004275A2" w:rsidRDefault="004275A2" w:rsidP="004130C9"/>
    <w:p w14:paraId="5ACF2021" w14:textId="77777777" w:rsidR="00B90ABB" w:rsidRDefault="00B90ABB" w:rsidP="004130C9"/>
    <w:p w14:paraId="505DEB8A" w14:textId="6BCFFBE3" w:rsidR="004149C3" w:rsidRPr="0006753F" w:rsidRDefault="003B5E8F" w:rsidP="004149C3">
      <w:pPr>
        <w:rPr>
          <w:rFonts w:ascii="Arial" w:hAnsi="Arial" w:cs="Arial"/>
          <w:b/>
          <w:bCs/>
          <w:sz w:val="22"/>
          <w:szCs w:val="22"/>
        </w:rPr>
      </w:pPr>
      <w:r w:rsidRPr="0006753F">
        <w:rPr>
          <w:rFonts w:ascii="Arial" w:hAnsi="Arial" w:cs="Arial"/>
          <w:b/>
          <w:bCs/>
          <w:sz w:val="22"/>
          <w:szCs w:val="22"/>
        </w:rPr>
        <w:t>3.2</w:t>
      </w:r>
      <w:r w:rsidR="004149C3" w:rsidRPr="0006753F">
        <w:rPr>
          <w:rFonts w:ascii="Arial" w:hAnsi="Arial" w:cs="Arial"/>
          <w:b/>
          <w:bCs/>
          <w:sz w:val="22"/>
          <w:szCs w:val="22"/>
        </w:rPr>
        <w:t xml:space="preserve"> Trend Analysis of Jute Cultivated Area in the Study Area</w:t>
      </w:r>
    </w:p>
    <w:p w14:paraId="3E21EFD0" w14:textId="6D5F9970" w:rsidR="004149C3" w:rsidRPr="00ED2B2D" w:rsidRDefault="004149C3" w:rsidP="004149C3">
      <w:pPr>
        <w:rPr>
          <w:b/>
          <w:bCs/>
        </w:rPr>
      </w:pPr>
      <w:r>
        <w:rPr>
          <w:b/>
          <w:bCs/>
        </w:rPr>
        <w:t>3</w:t>
      </w:r>
      <w:r w:rsidRPr="00ED2B2D">
        <w:rPr>
          <w:b/>
          <w:bCs/>
        </w:rPr>
        <w:t>.</w:t>
      </w:r>
      <w:r w:rsidR="003B5E8F">
        <w:rPr>
          <w:b/>
          <w:bCs/>
        </w:rPr>
        <w:t>2</w:t>
      </w:r>
      <w:r>
        <w:rPr>
          <w:b/>
          <w:bCs/>
        </w:rPr>
        <w:t>.</w:t>
      </w:r>
      <w:r w:rsidRPr="00ED2B2D">
        <w:rPr>
          <w:b/>
          <w:bCs/>
        </w:rPr>
        <w:t xml:space="preserve">1 Growth </w:t>
      </w:r>
      <w:r>
        <w:rPr>
          <w:b/>
          <w:bCs/>
        </w:rPr>
        <w:t>e</w:t>
      </w:r>
      <w:r w:rsidRPr="00ED2B2D">
        <w:rPr>
          <w:b/>
          <w:bCs/>
        </w:rPr>
        <w:t>stimation through Log-Linear Model</w:t>
      </w:r>
    </w:p>
    <w:p w14:paraId="36F9E0DF" w14:textId="77777777" w:rsidR="004149C3" w:rsidRDefault="004149C3" w:rsidP="004149C3">
      <w:r w:rsidRPr="00ED2B2D">
        <w:t>Results from the semi-log regression indicate a statistically significant declining trend in the jute cultivated area during the study period. The estimated coefficient for year is –0.01</w:t>
      </w:r>
      <w:r>
        <w:t>4</w:t>
      </w:r>
      <w:r w:rsidRPr="00ED2B2D">
        <w:t>, and it is significant at the 1% level (p = 0.001). This suggests that jute area has been decreasing over time.</w:t>
      </w:r>
    </w:p>
    <w:p w14:paraId="2B348A7A" w14:textId="78FA44EC" w:rsidR="004149C3" w:rsidRPr="008C2F7D" w:rsidRDefault="004149C3" w:rsidP="004149C3">
      <w:pPr>
        <w:rPr>
          <w:b/>
          <w:bCs/>
        </w:rPr>
      </w:pPr>
      <w:r w:rsidRPr="008C2F7D">
        <w:rPr>
          <w:b/>
          <w:bCs/>
        </w:rPr>
        <w:t xml:space="preserve">Table </w:t>
      </w:r>
      <w:r w:rsidR="00A97C0E">
        <w:rPr>
          <w:b/>
          <w:bCs/>
        </w:rPr>
        <w:t>2</w:t>
      </w:r>
      <w:r w:rsidRPr="008C2F7D">
        <w:rPr>
          <w:b/>
          <w:bCs/>
        </w:rPr>
        <w:t xml:space="preserve">: </w:t>
      </w:r>
      <w:r w:rsidRPr="008A42C2">
        <w:rPr>
          <w:b/>
          <w:bCs/>
        </w:rPr>
        <w:t>Estimated Coefficients and Statistics of the Growth Model for the Trend of Jute Area</w:t>
      </w:r>
    </w:p>
    <w:tbl>
      <w:tblPr>
        <w:tblStyle w:val="TableGrid"/>
        <w:tblW w:w="0" w:type="auto"/>
        <w:tblLook w:val="04A0" w:firstRow="1" w:lastRow="0" w:firstColumn="1" w:lastColumn="0" w:noHBand="0" w:noVBand="1"/>
      </w:tblPr>
      <w:tblGrid>
        <w:gridCol w:w="2689"/>
        <w:gridCol w:w="1559"/>
        <w:gridCol w:w="1843"/>
        <w:gridCol w:w="1275"/>
        <w:gridCol w:w="1131"/>
      </w:tblGrid>
      <w:tr w:rsidR="004149C3" w:rsidRPr="008C2F7D" w14:paraId="4AA20B51" w14:textId="77777777" w:rsidTr="00FF3FA0">
        <w:tc>
          <w:tcPr>
            <w:tcW w:w="2689" w:type="dxa"/>
          </w:tcPr>
          <w:p w14:paraId="19B13E64" w14:textId="5729432C" w:rsidR="004149C3" w:rsidRPr="008C2F7D" w:rsidRDefault="003B5E8F" w:rsidP="00FF3FA0">
            <w:pPr>
              <w:rPr>
                <w:b/>
                <w:bCs/>
              </w:rPr>
            </w:pPr>
            <w:r>
              <w:rPr>
                <w:b/>
                <w:bCs/>
              </w:rPr>
              <w:t xml:space="preserve">In </w:t>
            </w:r>
            <w:r w:rsidR="004149C3" w:rsidRPr="008C2F7D">
              <w:rPr>
                <w:b/>
                <w:bCs/>
              </w:rPr>
              <w:t>area</w:t>
            </w:r>
          </w:p>
        </w:tc>
        <w:tc>
          <w:tcPr>
            <w:tcW w:w="1559" w:type="dxa"/>
          </w:tcPr>
          <w:p w14:paraId="3FB35486" w14:textId="77777777" w:rsidR="004149C3" w:rsidRPr="008C2F7D" w:rsidRDefault="004149C3" w:rsidP="00FF3FA0">
            <w:pPr>
              <w:jc w:val="center"/>
              <w:rPr>
                <w:b/>
                <w:bCs/>
              </w:rPr>
            </w:pPr>
            <w:r w:rsidRPr="008C2F7D">
              <w:rPr>
                <w:b/>
                <w:bCs/>
              </w:rPr>
              <w:t>Coefficients</w:t>
            </w:r>
          </w:p>
        </w:tc>
        <w:tc>
          <w:tcPr>
            <w:tcW w:w="1843" w:type="dxa"/>
          </w:tcPr>
          <w:p w14:paraId="5DBE7C7C" w14:textId="77777777" w:rsidR="004149C3" w:rsidRPr="008C2F7D" w:rsidRDefault="004149C3" w:rsidP="00FF3FA0">
            <w:pPr>
              <w:jc w:val="center"/>
              <w:rPr>
                <w:b/>
                <w:bCs/>
              </w:rPr>
            </w:pPr>
            <w:r w:rsidRPr="008C2F7D">
              <w:rPr>
                <w:b/>
                <w:bCs/>
              </w:rPr>
              <w:t>Standard Error</w:t>
            </w:r>
          </w:p>
        </w:tc>
        <w:tc>
          <w:tcPr>
            <w:tcW w:w="1275" w:type="dxa"/>
          </w:tcPr>
          <w:p w14:paraId="6FBA78C9" w14:textId="77777777" w:rsidR="004149C3" w:rsidRPr="008C2F7D" w:rsidRDefault="004149C3" w:rsidP="00FF3FA0">
            <w:pPr>
              <w:jc w:val="center"/>
              <w:rPr>
                <w:b/>
                <w:bCs/>
              </w:rPr>
            </w:pPr>
            <w:r w:rsidRPr="008C2F7D">
              <w:rPr>
                <w:b/>
                <w:bCs/>
              </w:rPr>
              <w:t>t Stat</w:t>
            </w:r>
          </w:p>
        </w:tc>
        <w:tc>
          <w:tcPr>
            <w:tcW w:w="1131" w:type="dxa"/>
          </w:tcPr>
          <w:p w14:paraId="5FB8ABC2" w14:textId="77777777" w:rsidR="004149C3" w:rsidRPr="008C2F7D" w:rsidRDefault="004149C3" w:rsidP="00FF3FA0">
            <w:pPr>
              <w:jc w:val="center"/>
              <w:rPr>
                <w:b/>
                <w:bCs/>
              </w:rPr>
            </w:pPr>
            <w:r w:rsidRPr="008C2F7D">
              <w:rPr>
                <w:b/>
                <w:bCs/>
              </w:rPr>
              <w:t>P-value</w:t>
            </w:r>
          </w:p>
        </w:tc>
      </w:tr>
      <w:tr w:rsidR="004149C3" w:rsidRPr="008C2F7D" w14:paraId="0BECF34F" w14:textId="77777777" w:rsidTr="00FF3FA0">
        <w:tc>
          <w:tcPr>
            <w:tcW w:w="2689" w:type="dxa"/>
          </w:tcPr>
          <w:p w14:paraId="4598F419" w14:textId="77777777" w:rsidR="004149C3" w:rsidRPr="008C2F7D" w:rsidRDefault="004149C3" w:rsidP="00FF3FA0">
            <w:r w:rsidRPr="008C2F7D">
              <w:t>Constant</w:t>
            </w:r>
          </w:p>
        </w:tc>
        <w:tc>
          <w:tcPr>
            <w:tcW w:w="1559" w:type="dxa"/>
          </w:tcPr>
          <w:p w14:paraId="17D93C79" w14:textId="77777777" w:rsidR="004149C3" w:rsidRPr="008C2F7D" w:rsidRDefault="004149C3" w:rsidP="00FF3FA0">
            <w:pPr>
              <w:jc w:val="center"/>
            </w:pPr>
            <w:r w:rsidRPr="008C2F7D">
              <w:t>38.544 ***</w:t>
            </w:r>
          </w:p>
        </w:tc>
        <w:tc>
          <w:tcPr>
            <w:tcW w:w="1843" w:type="dxa"/>
          </w:tcPr>
          <w:p w14:paraId="03F1BC30" w14:textId="77777777" w:rsidR="004149C3" w:rsidRPr="008C2F7D" w:rsidRDefault="004149C3" w:rsidP="00FF3FA0">
            <w:pPr>
              <w:jc w:val="center"/>
            </w:pPr>
            <w:r w:rsidRPr="008C2F7D">
              <w:t>7.895</w:t>
            </w:r>
          </w:p>
        </w:tc>
        <w:tc>
          <w:tcPr>
            <w:tcW w:w="1275" w:type="dxa"/>
          </w:tcPr>
          <w:p w14:paraId="6BCD22D3" w14:textId="77777777" w:rsidR="004149C3" w:rsidRPr="008C2F7D" w:rsidRDefault="004149C3" w:rsidP="00FF3FA0">
            <w:pPr>
              <w:jc w:val="center"/>
            </w:pPr>
            <w:r w:rsidRPr="008C2F7D">
              <w:t>4.88</w:t>
            </w:r>
          </w:p>
        </w:tc>
        <w:tc>
          <w:tcPr>
            <w:tcW w:w="1131" w:type="dxa"/>
          </w:tcPr>
          <w:p w14:paraId="37BDEAFE" w14:textId="77777777" w:rsidR="004149C3" w:rsidRPr="008C2F7D" w:rsidRDefault="004149C3" w:rsidP="00FF3FA0">
            <w:pPr>
              <w:jc w:val="center"/>
            </w:pPr>
            <w:r w:rsidRPr="008C2F7D">
              <w:t>0.000</w:t>
            </w:r>
          </w:p>
        </w:tc>
      </w:tr>
      <w:tr w:rsidR="004149C3" w:rsidRPr="008C2F7D" w14:paraId="44A6B60E" w14:textId="77777777" w:rsidTr="00FF3FA0">
        <w:tc>
          <w:tcPr>
            <w:tcW w:w="2689" w:type="dxa"/>
          </w:tcPr>
          <w:p w14:paraId="1C3ED9CB" w14:textId="77777777" w:rsidR="004149C3" w:rsidRPr="008C2F7D" w:rsidRDefault="004149C3" w:rsidP="00FF3FA0">
            <w:r w:rsidRPr="008C2F7D">
              <w:t>Year</w:t>
            </w:r>
          </w:p>
        </w:tc>
        <w:tc>
          <w:tcPr>
            <w:tcW w:w="1559" w:type="dxa"/>
          </w:tcPr>
          <w:p w14:paraId="32360E26" w14:textId="77777777" w:rsidR="004149C3" w:rsidRPr="008C2F7D" w:rsidRDefault="004149C3" w:rsidP="00FF3FA0">
            <w:pPr>
              <w:jc w:val="center"/>
            </w:pPr>
            <w:r w:rsidRPr="008C2F7D">
              <w:t>-.014 ***</w:t>
            </w:r>
          </w:p>
        </w:tc>
        <w:tc>
          <w:tcPr>
            <w:tcW w:w="1843" w:type="dxa"/>
          </w:tcPr>
          <w:p w14:paraId="5EC993A1" w14:textId="77777777" w:rsidR="004149C3" w:rsidRPr="008C2F7D" w:rsidRDefault="004149C3" w:rsidP="00FF3FA0">
            <w:pPr>
              <w:jc w:val="center"/>
            </w:pPr>
            <w:r w:rsidRPr="008C2F7D">
              <w:t>.0039</w:t>
            </w:r>
          </w:p>
        </w:tc>
        <w:tc>
          <w:tcPr>
            <w:tcW w:w="1275" w:type="dxa"/>
          </w:tcPr>
          <w:p w14:paraId="763180CB" w14:textId="77777777" w:rsidR="004149C3" w:rsidRPr="008C2F7D" w:rsidRDefault="004149C3" w:rsidP="00FF3FA0">
            <w:pPr>
              <w:jc w:val="center"/>
            </w:pPr>
            <w:r w:rsidRPr="008C2F7D">
              <w:t>-3.54</w:t>
            </w:r>
          </w:p>
        </w:tc>
        <w:tc>
          <w:tcPr>
            <w:tcW w:w="1131" w:type="dxa"/>
          </w:tcPr>
          <w:p w14:paraId="6426EEDE" w14:textId="77777777" w:rsidR="004149C3" w:rsidRPr="008C2F7D" w:rsidRDefault="004149C3" w:rsidP="00FF3FA0">
            <w:pPr>
              <w:jc w:val="center"/>
            </w:pPr>
            <w:r w:rsidRPr="008C2F7D">
              <w:t>0.001</w:t>
            </w:r>
          </w:p>
        </w:tc>
      </w:tr>
      <w:tr w:rsidR="004149C3" w:rsidRPr="008C2F7D" w14:paraId="560324E1" w14:textId="77777777" w:rsidTr="00FF3FA0">
        <w:tc>
          <w:tcPr>
            <w:tcW w:w="2689" w:type="dxa"/>
          </w:tcPr>
          <w:p w14:paraId="4AA31725" w14:textId="77777777" w:rsidR="004149C3" w:rsidRPr="008C2F7D" w:rsidRDefault="004149C3" w:rsidP="00FF3FA0">
            <w:r w:rsidRPr="008C2F7D">
              <w:t>R</w:t>
            </w:r>
            <w:r w:rsidRPr="008C2F7D">
              <w:rPr>
                <w:vertAlign w:val="superscript"/>
              </w:rPr>
              <w:t>2</w:t>
            </w:r>
          </w:p>
        </w:tc>
        <w:tc>
          <w:tcPr>
            <w:tcW w:w="5808" w:type="dxa"/>
            <w:gridSpan w:val="4"/>
          </w:tcPr>
          <w:p w14:paraId="6DBBBB08" w14:textId="77777777" w:rsidR="004149C3" w:rsidRPr="008C2F7D" w:rsidRDefault="004149C3" w:rsidP="00FF3FA0">
            <w:pPr>
              <w:jc w:val="center"/>
            </w:pPr>
            <w:r w:rsidRPr="008C2F7D">
              <w:t>0.3096</w:t>
            </w:r>
          </w:p>
        </w:tc>
      </w:tr>
      <w:tr w:rsidR="004149C3" w:rsidRPr="008C2F7D" w14:paraId="5DFE5DA6" w14:textId="77777777" w:rsidTr="00FF3FA0">
        <w:tc>
          <w:tcPr>
            <w:tcW w:w="2689" w:type="dxa"/>
          </w:tcPr>
          <w:p w14:paraId="51AAB90F" w14:textId="77777777" w:rsidR="004149C3" w:rsidRPr="008C2F7D" w:rsidRDefault="004149C3" w:rsidP="00FF3FA0">
            <w:r w:rsidRPr="008C2F7D">
              <w:t>Adj R</w:t>
            </w:r>
            <w:r w:rsidRPr="008C2F7D">
              <w:rPr>
                <w:vertAlign w:val="superscript"/>
              </w:rPr>
              <w:t>2</w:t>
            </w:r>
          </w:p>
        </w:tc>
        <w:tc>
          <w:tcPr>
            <w:tcW w:w="5808" w:type="dxa"/>
            <w:gridSpan w:val="4"/>
          </w:tcPr>
          <w:p w14:paraId="1D8A4ED1" w14:textId="77777777" w:rsidR="004149C3" w:rsidRPr="008C2F7D" w:rsidRDefault="004149C3" w:rsidP="00FF3FA0">
            <w:pPr>
              <w:tabs>
                <w:tab w:val="left" w:pos="1808"/>
              </w:tabs>
              <w:jc w:val="center"/>
            </w:pPr>
            <w:r w:rsidRPr="008C2F7D">
              <w:t>0.2849</w:t>
            </w:r>
          </w:p>
        </w:tc>
      </w:tr>
      <w:tr w:rsidR="004149C3" w:rsidRPr="008C2F7D" w14:paraId="7063E2B2" w14:textId="77777777" w:rsidTr="00FF3FA0">
        <w:tc>
          <w:tcPr>
            <w:tcW w:w="2689" w:type="dxa"/>
            <w:tcBorders>
              <w:bottom w:val="single" w:sz="4" w:space="0" w:color="auto"/>
            </w:tcBorders>
          </w:tcPr>
          <w:p w14:paraId="025B8C37" w14:textId="77777777" w:rsidR="004149C3" w:rsidRPr="008C2F7D" w:rsidRDefault="004149C3" w:rsidP="00FF3FA0">
            <w:r w:rsidRPr="008C2F7D">
              <w:t>F - value</w:t>
            </w:r>
          </w:p>
        </w:tc>
        <w:tc>
          <w:tcPr>
            <w:tcW w:w="5808" w:type="dxa"/>
            <w:gridSpan w:val="4"/>
            <w:tcBorders>
              <w:bottom w:val="single" w:sz="4" w:space="0" w:color="auto"/>
            </w:tcBorders>
          </w:tcPr>
          <w:p w14:paraId="0D1EC478" w14:textId="77777777" w:rsidR="004149C3" w:rsidRPr="008C2F7D" w:rsidRDefault="004149C3" w:rsidP="00FF3FA0">
            <w:pPr>
              <w:jc w:val="center"/>
            </w:pPr>
            <w:r w:rsidRPr="008C2F7D">
              <w:t>F (1,28) = 12.55 ***</w:t>
            </w:r>
          </w:p>
        </w:tc>
      </w:tr>
    </w:tbl>
    <w:p w14:paraId="42FCB2DA" w14:textId="77777777" w:rsidR="004149C3" w:rsidRPr="008C2F7D" w:rsidRDefault="004149C3" w:rsidP="004149C3">
      <w:pPr>
        <w:spacing w:line="240" w:lineRule="auto"/>
      </w:pPr>
      <w:r w:rsidRPr="008C2F7D">
        <w:t xml:space="preserve">Source: Author’s </w:t>
      </w:r>
      <w:r>
        <w:t>c</w:t>
      </w:r>
      <w:r w:rsidRPr="008C2F7D">
        <w:t xml:space="preserve">alculation </w:t>
      </w:r>
      <w:r>
        <w:t>b</w:t>
      </w:r>
      <w:r w:rsidRPr="008C2F7D">
        <w:t xml:space="preserve">ased on </w:t>
      </w:r>
      <w:r>
        <w:t>s</w:t>
      </w:r>
      <w:r w:rsidRPr="008C2F7D">
        <w:t xml:space="preserve">econdary </w:t>
      </w:r>
      <w:r>
        <w:t>d</w:t>
      </w:r>
      <w:r w:rsidRPr="008C2F7D">
        <w:t>ata, 2025</w:t>
      </w:r>
    </w:p>
    <w:p w14:paraId="73662AFC" w14:textId="77777777" w:rsidR="004149C3" w:rsidRPr="008C2F7D" w:rsidRDefault="004149C3" w:rsidP="004149C3">
      <w:pPr>
        <w:spacing w:line="240" w:lineRule="auto"/>
      </w:pPr>
      <w:r w:rsidRPr="008C2F7D">
        <w:t>Note:              *** = Significant at 1 percent level;</w:t>
      </w:r>
    </w:p>
    <w:p w14:paraId="318C04ED" w14:textId="77777777" w:rsidR="004149C3" w:rsidRPr="008C2F7D" w:rsidRDefault="004149C3" w:rsidP="004149C3">
      <w:pPr>
        <w:spacing w:line="240" w:lineRule="auto"/>
        <w:ind w:left="1440"/>
      </w:pPr>
      <w:r w:rsidRPr="008C2F7D">
        <w:t>** = Significant at 5 percent level;</w:t>
      </w:r>
    </w:p>
    <w:p w14:paraId="63A5C9D8" w14:textId="77777777" w:rsidR="004149C3" w:rsidRPr="008C2F7D" w:rsidRDefault="004149C3" w:rsidP="004149C3">
      <w:pPr>
        <w:spacing w:line="240" w:lineRule="auto"/>
        <w:ind w:left="1440"/>
      </w:pPr>
      <w:r w:rsidRPr="008C2F7D">
        <w:t>* = Significant at 10 percent level.</w:t>
      </w:r>
    </w:p>
    <w:p w14:paraId="1694DCC7" w14:textId="37C50DFB" w:rsidR="00E17C17" w:rsidRDefault="004149C3" w:rsidP="003B5E8F">
      <w:pPr>
        <w:spacing w:before="240"/>
      </w:pPr>
      <w:r w:rsidRPr="008A4C73">
        <w:t>The calculated exact annual growth rate is –1.38%, while the approximate value is –1.39% per year. This sustained decline implies that farmers are gradually shifting land away from jute to other crops that may be more profitable or require less labor and management.</w:t>
      </w:r>
      <w:r w:rsidR="003B5E8F">
        <w:t xml:space="preserve"> </w:t>
      </w:r>
      <w:r w:rsidRPr="008A4C73">
        <w:t>The model also explains 30.96% of the variation in jute area (R² = 0.3096), indicating a moderate goodness of fit.</w:t>
      </w:r>
    </w:p>
    <w:p w14:paraId="5949706E" w14:textId="6DE20FF1" w:rsidR="00E17C17" w:rsidRPr="008C2F7D" w:rsidRDefault="00E17C17" w:rsidP="00E17C17">
      <w:pPr>
        <w:rPr>
          <w:b/>
          <w:bCs/>
        </w:rPr>
      </w:pPr>
      <w:r>
        <w:rPr>
          <w:b/>
          <w:bCs/>
        </w:rPr>
        <w:t>3</w:t>
      </w:r>
      <w:r w:rsidRPr="008C2F7D">
        <w:rPr>
          <w:b/>
          <w:bCs/>
        </w:rPr>
        <w:t>.</w:t>
      </w:r>
      <w:r w:rsidR="003B5E8F">
        <w:rPr>
          <w:b/>
          <w:bCs/>
        </w:rPr>
        <w:t>2</w:t>
      </w:r>
      <w:r w:rsidRPr="008C2F7D">
        <w:rPr>
          <w:b/>
          <w:bCs/>
        </w:rPr>
        <w:t>.2 Compound Annual Growth Rate (CAGR)</w:t>
      </w:r>
    </w:p>
    <w:p w14:paraId="716B0F03" w14:textId="77777777" w:rsidR="00E17C17" w:rsidRDefault="00E17C17" w:rsidP="00E17C17">
      <w:r w:rsidRPr="008C2F7D">
        <w:t>The CAGR for jute cultivated area during the period was estimated as –1.27% per year. This confirms the negative direction of growth and highlights long-term contraction in jute cultivation.</w:t>
      </w:r>
    </w:p>
    <w:p w14:paraId="2901CCEA" w14:textId="77777777" w:rsidR="00355ADE" w:rsidRPr="008C2F7D" w:rsidRDefault="00355ADE" w:rsidP="00E17C17"/>
    <w:p w14:paraId="332BEB3D" w14:textId="3C620114" w:rsidR="00E17C17" w:rsidRPr="0006753F" w:rsidRDefault="003B5E8F" w:rsidP="00E17C17">
      <w:pPr>
        <w:rPr>
          <w:rFonts w:ascii="Arial" w:hAnsi="Arial" w:cs="Arial"/>
          <w:b/>
          <w:bCs/>
          <w:sz w:val="22"/>
          <w:szCs w:val="22"/>
        </w:rPr>
      </w:pPr>
      <w:r w:rsidRPr="0006753F">
        <w:rPr>
          <w:rFonts w:ascii="Arial" w:hAnsi="Arial" w:cs="Arial"/>
          <w:b/>
          <w:bCs/>
          <w:sz w:val="22"/>
          <w:szCs w:val="22"/>
        </w:rPr>
        <w:t>3.3</w:t>
      </w:r>
      <w:r w:rsidR="00E17C17" w:rsidRPr="0006753F">
        <w:rPr>
          <w:rFonts w:ascii="Arial" w:hAnsi="Arial" w:cs="Arial"/>
          <w:b/>
          <w:bCs/>
          <w:sz w:val="22"/>
          <w:szCs w:val="22"/>
        </w:rPr>
        <w:t xml:space="preserve"> Trend Analysis of Jute Production in the Study Area</w:t>
      </w:r>
    </w:p>
    <w:p w14:paraId="36EC5475" w14:textId="1D59691C" w:rsidR="00E17C17" w:rsidRPr="008C2F7D" w:rsidRDefault="003B5E8F" w:rsidP="00E17C17">
      <w:pPr>
        <w:rPr>
          <w:b/>
          <w:bCs/>
        </w:rPr>
      </w:pPr>
      <w:r>
        <w:rPr>
          <w:b/>
          <w:bCs/>
        </w:rPr>
        <w:t>3.3</w:t>
      </w:r>
      <w:r w:rsidR="00E17C17" w:rsidRPr="008C2F7D">
        <w:rPr>
          <w:b/>
          <w:bCs/>
        </w:rPr>
        <w:t xml:space="preserve">.1 Growth </w:t>
      </w:r>
      <w:r w:rsidR="00E17C17">
        <w:rPr>
          <w:b/>
          <w:bCs/>
        </w:rPr>
        <w:t>e</w:t>
      </w:r>
      <w:r w:rsidR="00E17C17" w:rsidRPr="008C2F7D">
        <w:rPr>
          <w:b/>
          <w:bCs/>
        </w:rPr>
        <w:t>stimation through Log-Linear Model</w:t>
      </w:r>
    </w:p>
    <w:p w14:paraId="2370E96B" w14:textId="77777777" w:rsidR="00E17C17" w:rsidRPr="001C216B" w:rsidRDefault="00E17C17" w:rsidP="00E17C17">
      <w:r w:rsidRPr="001C216B">
        <w:t>The coefficient for year in the ln-production model is –0.008. Although negative, it is statistically significant at the 1</w:t>
      </w:r>
      <w:r>
        <w:t>0</w:t>
      </w:r>
      <w:r w:rsidRPr="001C216B">
        <w:t>% level (p = 0.074). Production has therefore declined, but the pace is less alarming compared to area reduction.</w:t>
      </w:r>
    </w:p>
    <w:p w14:paraId="3DB76A57" w14:textId="56447C62" w:rsidR="00E17C17" w:rsidRPr="008C2F7D" w:rsidRDefault="00E17C17" w:rsidP="00E17C17">
      <w:pPr>
        <w:rPr>
          <w:b/>
          <w:bCs/>
        </w:rPr>
      </w:pPr>
      <w:r w:rsidRPr="008C2F7D">
        <w:rPr>
          <w:b/>
          <w:bCs/>
        </w:rPr>
        <w:t xml:space="preserve">Table </w:t>
      </w:r>
      <w:r>
        <w:rPr>
          <w:b/>
          <w:bCs/>
        </w:rPr>
        <w:t>3</w:t>
      </w:r>
      <w:r w:rsidRPr="008C2F7D">
        <w:rPr>
          <w:b/>
          <w:bCs/>
        </w:rPr>
        <w:t xml:space="preserve">: </w:t>
      </w:r>
      <w:r w:rsidRPr="008A42C2">
        <w:rPr>
          <w:b/>
          <w:bCs/>
        </w:rPr>
        <w:t>Estimated Coefficients and Statistical Results of the Growth Model for Jute Production Trend</w:t>
      </w:r>
    </w:p>
    <w:tbl>
      <w:tblPr>
        <w:tblStyle w:val="TableGrid"/>
        <w:tblW w:w="0" w:type="auto"/>
        <w:tblLook w:val="04A0" w:firstRow="1" w:lastRow="0" w:firstColumn="1" w:lastColumn="0" w:noHBand="0" w:noVBand="1"/>
      </w:tblPr>
      <w:tblGrid>
        <w:gridCol w:w="2689"/>
        <w:gridCol w:w="1559"/>
        <w:gridCol w:w="1843"/>
        <w:gridCol w:w="1275"/>
        <w:gridCol w:w="1131"/>
      </w:tblGrid>
      <w:tr w:rsidR="00E17C17" w:rsidRPr="008C2F7D" w14:paraId="62CAEC78" w14:textId="77777777" w:rsidTr="00FF3FA0">
        <w:tc>
          <w:tcPr>
            <w:tcW w:w="2689" w:type="dxa"/>
          </w:tcPr>
          <w:p w14:paraId="4077557C" w14:textId="77777777" w:rsidR="00E17C17" w:rsidRPr="008C2F7D" w:rsidRDefault="00E17C17" w:rsidP="00FF3FA0">
            <w:pPr>
              <w:jc w:val="left"/>
              <w:rPr>
                <w:b/>
                <w:bCs/>
              </w:rPr>
            </w:pPr>
            <w:proofErr w:type="spellStart"/>
            <w:r w:rsidRPr="008C2F7D">
              <w:rPr>
                <w:b/>
                <w:bCs/>
              </w:rPr>
              <w:t>In_</w:t>
            </w:r>
            <w:r>
              <w:rPr>
                <w:b/>
                <w:bCs/>
              </w:rPr>
              <w:t>prod</w:t>
            </w:r>
            <w:proofErr w:type="spellEnd"/>
          </w:p>
        </w:tc>
        <w:tc>
          <w:tcPr>
            <w:tcW w:w="1559" w:type="dxa"/>
          </w:tcPr>
          <w:p w14:paraId="3D1753A2" w14:textId="77777777" w:rsidR="00E17C17" w:rsidRPr="008C2F7D" w:rsidRDefault="00E17C17" w:rsidP="00FF3FA0">
            <w:pPr>
              <w:jc w:val="center"/>
              <w:rPr>
                <w:b/>
                <w:bCs/>
              </w:rPr>
            </w:pPr>
            <w:r w:rsidRPr="008C2F7D">
              <w:rPr>
                <w:b/>
                <w:bCs/>
              </w:rPr>
              <w:t>Coefficients</w:t>
            </w:r>
          </w:p>
        </w:tc>
        <w:tc>
          <w:tcPr>
            <w:tcW w:w="1843" w:type="dxa"/>
          </w:tcPr>
          <w:p w14:paraId="42F042AC" w14:textId="77777777" w:rsidR="00E17C17" w:rsidRPr="008C2F7D" w:rsidRDefault="00E17C17" w:rsidP="00FF3FA0">
            <w:pPr>
              <w:jc w:val="center"/>
              <w:rPr>
                <w:b/>
                <w:bCs/>
              </w:rPr>
            </w:pPr>
            <w:r w:rsidRPr="008C2F7D">
              <w:rPr>
                <w:b/>
                <w:bCs/>
              </w:rPr>
              <w:t>Standard Error</w:t>
            </w:r>
          </w:p>
        </w:tc>
        <w:tc>
          <w:tcPr>
            <w:tcW w:w="1275" w:type="dxa"/>
          </w:tcPr>
          <w:p w14:paraId="163A8BA4" w14:textId="77777777" w:rsidR="00E17C17" w:rsidRPr="008C2F7D" w:rsidRDefault="00E17C17" w:rsidP="00FF3FA0">
            <w:pPr>
              <w:jc w:val="center"/>
              <w:rPr>
                <w:b/>
                <w:bCs/>
              </w:rPr>
            </w:pPr>
            <w:r w:rsidRPr="008C2F7D">
              <w:rPr>
                <w:b/>
                <w:bCs/>
              </w:rPr>
              <w:t>t Stat</w:t>
            </w:r>
          </w:p>
        </w:tc>
        <w:tc>
          <w:tcPr>
            <w:tcW w:w="1131" w:type="dxa"/>
          </w:tcPr>
          <w:p w14:paraId="5F0BCD2C" w14:textId="77777777" w:rsidR="00E17C17" w:rsidRPr="008C2F7D" w:rsidRDefault="00E17C17" w:rsidP="00FF3FA0">
            <w:pPr>
              <w:jc w:val="center"/>
              <w:rPr>
                <w:b/>
                <w:bCs/>
              </w:rPr>
            </w:pPr>
            <w:r w:rsidRPr="008C2F7D">
              <w:rPr>
                <w:b/>
                <w:bCs/>
              </w:rPr>
              <w:t>P-value</w:t>
            </w:r>
          </w:p>
        </w:tc>
      </w:tr>
      <w:tr w:rsidR="00E17C17" w:rsidRPr="008C2F7D" w14:paraId="6B49068F" w14:textId="77777777" w:rsidTr="00FF3FA0">
        <w:tc>
          <w:tcPr>
            <w:tcW w:w="2689" w:type="dxa"/>
          </w:tcPr>
          <w:p w14:paraId="1DDEAF7B" w14:textId="77777777" w:rsidR="00E17C17" w:rsidRPr="008C2F7D" w:rsidRDefault="00E17C17" w:rsidP="00FF3FA0">
            <w:pPr>
              <w:jc w:val="left"/>
            </w:pPr>
            <w:r w:rsidRPr="008C2F7D">
              <w:t>Constant</w:t>
            </w:r>
          </w:p>
        </w:tc>
        <w:tc>
          <w:tcPr>
            <w:tcW w:w="1559" w:type="dxa"/>
          </w:tcPr>
          <w:p w14:paraId="02FECD24" w14:textId="77777777" w:rsidR="00E17C17" w:rsidRPr="008C2F7D" w:rsidRDefault="00E17C17" w:rsidP="00FF3FA0">
            <w:pPr>
              <w:jc w:val="center"/>
            </w:pPr>
            <w:r w:rsidRPr="008C2F7D">
              <w:t>27.891</w:t>
            </w:r>
            <w:r>
              <w:t xml:space="preserve"> </w:t>
            </w:r>
            <w:r w:rsidRPr="008C2F7D">
              <w:t>***</w:t>
            </w:r>
          </w:p>
        </w:tc>
        <w:tc>
          <w:tcPr>
            <w:tcW w:w="1843" w:type="dxa"/>
          </w:tcPr>
          <w:p w14:paraId="04108E30" w14:textId="77777777" w:rsidR="00E17C17" w:rsidRPr="008C2F7D" w:rsidRDefault="00E17C17" w:rsidP="00FF3FA0">
            <w:pPr>
              <w:jc w:val="center"/>
            </w:pPr>
            <w:r w:rsidRPr="008C2F7D">
              <w:t>8.57</w:t>
            </w:r>
            <w:r>
              <w:t>7</w:t>
            </w:r>
          </w:p>
        </w:tc>
        <w:tc>
          <w:tcPr>
            <w:tcW w:w="1275" w:type="dxa"/>
          </w:tcPr>
          <w:p w14:paraId="0A2B6C15" w14:textId="77777777" w:rsidR="00E17C17" w:rsidRPr="008C2F7D" w:rsidRDefault="00E17C17" w:rsidP="00FF3FA0">
            <w:pPr>
              <w:jc w:val="center"/>
            </w:pPr>
            <w:r w:rsidRPr="008C2F7D">
              <w:t>3.25</w:t>
            </w:r>
          </w:p>
        </w:tc>
        <w:tc>
          <w:tcPr>
            <w:tcW w:w="1131" w:type="dxa"/>
          </w:tcPr>
          <w:p w14:paraId="3EDE2548" w14:textId="77777777" w:rsidR="00E17C17" w:rsidRPr="008C2F7D" w:rsidRDefault="00E17C17" w:rsidP="00FF3FA0">
            <w:pPr>
              <w:jc w:val="center"/>
            </w:pPr>
            <w:r w:rsidRPr="008C2F7D">
              <w:t>0.003</w:t>
            </w:r>
          </w:p>
        </w:tc>
      </w:tr>
      <w:tr w:rsidR="00E17C17" w:rsidRPr="008C2F7D" w14:paraId="735C47F5" w14:textId="77777777" w:rsidTr="00FF3FA0">
        <w:tc>
          <w:tcPr>
            <w:tcW w:w="2689" w:type="dxa"/>
          </w:tcPr>
          <w:p w14:paraId="6B8D993A" w14:textId="77777777" w:rsidR="00E17C17" w:rsidRPr="008C2F7D" w:rsidRDefault="00E17C17" w:rsidP="00FF3FA0">
            <w:pPr>
              <w:jc w:val="left"/>
            </w:pPr>
            <w:r w:rsidRPr="008C2F7D">
              <w:t>Year</w:t>
            </w:r>
          </w:p>
        </w:tc>
        <w:tc>
          <w:tcPr>
            <w:tcW w:w="1559" w:type="dxa"/>
          </w:tcPr>
          <w:p w14:paraId="323C3AE2" w14:textId="77777777" w:rsidR="00E17C17" w:rsidRPr="008C2F7D" w:rsidRDefault="00E17C17" w:rsidP="00FF3FA0">
            <w:pPr>
              <w:jc w:val="center"/>
            </w:pPr>
            <w:r w:rsidRPr="00A136D8">
              <w:t>-</w:t>
            </w:r>
            <w:r>
              <w:t>0</w:t>
            </w:r>
            <w:r w:rsidRPr="00A136D8">
              <w:t>.00</w:t>
            </w:r>
            <w:r>
              <w:t>8</w:t>
            </w:r>
            <w:r w:rsidRPr="00A136D8">
              <w:t xml:space="preserve"> </w:t>
            </w:r>
            <w:r w:rsidRPr="008C2F7D">
              <w:t>*</w:t>
            </w:r>
          </w:p>
        </w:tc>
        <w:tc>
          <w:tcPr>
            <w:tcW w:w="1843" w:type="dxa"/>
          </w:tcPr>
          <w:p w14:paraId="4BABD0D5" w14:textId="77777777" w:rsidR="00E17C17" w:rsidRPr="008C2F7D" w:rsidRDefault="00E17C17" w:rsidP="00FF3FA0">
            <w:pPr>
              <w:jc w:val="center"/>
            </w:pPr>
            <w:r>
              <w:t>0</w:t>
            </w:r>
            <w:r w:rsidRPr="00A136D8">
              <w:t>.004</w:t>
            </w:r>
          </w:p>
        </w:tc>
        <w:tc>
          <w:tcPr>
            <w:tcW w:w="1275" w:type="dxa"/>
          </w:tcPr>
          <w:p w14:paraId="19776854" w14:textId="77777777" w:rsidR="00E17C17" w:rsidRPr="008C2F7D" w:rsidRDefault="00E17C17" w:rsidP="00FF3FA0">
            <w:pPr>
              <w:jc w:val="center"/>
            </w:pPr>
            <w:r w:rsidRPr="00A136D8">
              <w:t>-1.86</w:t>
            </w:r>
          </w:p>
        </w:tc>
        <w:tc>
          <w:tcPr>
            <w:tcW w:w="1131" w:type="dxa"/>
          </w:tcPr>
          <w:p w14:paraId="14EA160A" w14:textId="77777777" w:rsidR="00E17C17" w:rsidRPr="008C2F7D" w:rsidRDefault="00E17C17" w:rsidP="00FF3FA0">
            <w:pPr>
              <w:jc w:val="center"/>
            </w:pPr>
            <w:r w:rsidRPr="00A136D8">
              <w:t>0.074</w:t>
            </w:r>
          </w:p>
        </w:tc>
      </w:tr>
      <w:tr w:rsidR="00E17C17" w:rsidRPr="008C2F7D" w14:paraId="555A7EDC" w14:textId="77777777" w:rsidTr="00FF3FA0">
        <w:tc>
          <w:tcPr>
            <w:tcW w:w="2689" w:type="dxa"/>
          </w:tcPr>
          <w:p w14:paraId="36418966" w14:textId="77777777" w:rsidR="00E17C17" w:rsidRPr="008C2F7D" w:rsidRDefault="00E17C17" w:rsidP="00FF3FA0">
            <w:pPr>
              <w:jc w:val="left"/>
            </w:pPr>
            <w:r w:rsidRPr="008C2F7D">
              <w:t>R</w:t>
            </w:r>
            <w:r w:rsidRPr="008C2F7D">
              <w:rPr>
                <w:vertAlign w:val="superscript"/>
              </w:rPr>
              <w:t>2</w:t>
            </w:r>
          </w:p>
        </w:tc>
        <w:tc>
          <w:tcPr>
            <w:tcW w:w="5808" w:type="dxa"/>
            <w:gridSpan w:val="4"/>
          </w:tcPr>
          <w:p w14:paraId="0B40F097" w14:textId="77777777" w:rsidR="00E17C17" w:rsidRPr="008C2F7D" w:rsidRDefault="00E17C17" w:rsidP="00FF3FA0">
            <w:pPr>
              <w:jc w:val="center"/>
            </w:pPr>
            <w:r w:rsidRPr="00A136D8">
              <w:t>0.1099</w:t>
            </w:r>
          </w:p>
        </w:tc>
      </w:tr>
      <w:tr w:rsidR="00E17C17" w:rsidRPr="008C2F7D" w14:paraId="55A05A75" w14:textId="77777777" w:rsidTr="00FF3FA0">
        <w:tc>
          <w:tcPr>
            <w:tcW w:w="2689" w:type="dxa"/>
          </w:tcPr>
          <w:p w14:paraId="0BC1ABFF" w14:textId="77777777" w:rsidR="00E17C17" w:rsidRPr="008C2F7D" w:rsidRDefault="00E17C17" w:rsidP="00FF3FA0">
            <w:pPr>
              <w:jc w:val="left"/>
            </w:pPr>
            <w:r w:rsidRPr="008C2F7D">
              <w:t>Adj R</w:t>
            </w:r>
            <w:r w:rsidRPr="008C2F7D">
              <w:rPr>
                <w:vertAlign w:val="superscript"/>
              </w:rPr>
              <w:t>2</w:t>
            </w:r>
          </w:p>
        </w:tc>
        <w:tc>
          <w:tcPr>
            <w:tcW w:w="5808" w:type="dxa"/>
            <w:gridSpan w:val="4"/>
          </w:tcPr>
          <w:p w14:paraId="1FF00299" w14:textId="77777777" w:rsidR="00E17C17" w:rsidRPr="008C2F7D" w:rsidRDefault="00E17C17" w:rsidP="00FF3FA0">
            <w:pPr>
              <w:tabs>
                <w:tab w:val="left" w:pos="1808"/>
              </w:tabs>
              <w:jc w:val="center"/>
            </w:pPr>
            <w:r w:rsidRPr="00A136D8">
              <w:t>0.0781</w:t>
            </w:r>
          </w:p>
        </w:tc>
      </w:tr>
      <w:tr w:rsidR="00E17C17" w:rsidRPr="008C2F7D" w14:paraId="706D3945" w14:textId="77777777" w:rsidTr="00FF3FA0">
        <w:tc>
          <w:tcPr>
            <w:tcW w:w="2689" w:type="dxa"/>
            <w:tcBorders>
              <w:bottom w:val="single" w:sz="4" w:space="0" w:color="auto"/>
            </w:tcBorders>
          </w:tcPr>
          <w:p w14:paraId="03BB2129" w14:textId="77777777" w:rsidR="00E17C17" w:rsidRPr="008C2F7D" w:rsidRDefault="00E17C17" w:rsidP="00FF3FA0">
            <w:pPr>
              <w:jc w:val="left"/>
            </w:pPr>
            <w:r w:rsidRPr="008C2F7D">
              <w:t>F - value</w:t>
            </w:r>
          </w:p>
        </w:tc>
        <w:tc>
          <w:tcPr>
            <w:tcW w:w="5808" w:type="dxa"/>
            <w:gridSpan w:val="4"/>
            <w:tcBorders>
              <w:bottom w:val="single" w:sz="4" w:space="0" w:color="auto"/>
            </w:tcBorders>
          </w:tcPr>
          <w:p w14:paraId="3CF3CF87" w14:textId="77777777" w:rsidR="00E17C17" w:rsidRPr="008C2F7D" w:rsidRDefault="00E17C17" w:rsidP="00FF3FA0">
            <w:pPr>
              <w:jc w:val="center"/>
            </w:pPr>
            <w:r w:rsidRPr="008C2F7D">
              <w:t>F (1,28) =</w:t>
            </w:r>
            <w:r w:rsidRPr="00A136D8">
              <w:t xml:space="preserve"> 3.46</w:t>
            </w:r>
            <w:r>
              <w:t xml:space="preserve"> </w:t>
            </w:r>
            <w:r w:rsidRPr="008C2F7D">
              <w:t>*</w:t>
            </w:r>
          </w:p>
        </w:tc>
      </w:tr>
    </w:tbl>
    <w:p w14:paraId="293AF3FE" w14:textId="77777777" w:rsidR="00E17C17" w:rsidRPr="008C2F7D" w:rsidRDefault="00E17C17" w:rsidP="00E17C17">
      <w:pPr>
        <w:spacing w:line="240" w:lineRule="auto"/>
      </w:pPr>
      <w:r w:rsidRPr="008C2F7D">
        <w:t xml:space="preserve">Source: Author’s </w:t>
      </w:r>
      <w:r>
        <w:t>c</w:t>
      </w:r>
      <w:r w:rsidRPr="008C2F7D">
        <w:t xml:space="preserve">alculation </w:t>
      </w:r>
      <w:r>
        <w:t>b</w:t>
      </w:r>
      <w:r w:rsidRPr="008C2F7D">
        <w:t xml:space="preserve">ased on </w:t>
      </w:r>
      <w:r>
        <w:t>s</w:t>
      </w:r>
      <w:r w:rsidRPr="008C2F7D">
        <w:t xml:space="preserve">econdary </w:t>
      </w:r>
      <w:r>
        <w:t>d</w:t>
      </w:r>
      <w:r w:rsidRPr="008C2F7D">
        <w:t>ata, 2025</w:t>
      </w:r>
    </w:p>
    <w:p w14:paraId="55AF2EB7" w14:textId="77777777" w:rsidR="00E17C17" w:rsidRPr="008C2F7D" w:rsidRDefault="00E17C17" w:rsidP="00E17C17">
      <w:pPr>
        <w:spacing w:line="240" w:lineRule="auto"/>
      </w:pPr>
      <w:r w:rsidRPr="008C2F7D">
        <w:t>Note:              *** = Significant at 1 percent level;</w:t>
      </w:r>
    </w:p>
    <w:p w14:paraId="3C9FFB59" w14:textId="77777777" w:rsidR="00E17C17" w:rsidRPr="008C2F7D" w:rsidRDefault="00E17C17" w:rsidP="00E17C17">
      <w:pPr>
        <w:spacing w:line="240" w:lineRule="auto"/>
        <w:ind w:left="1440"/>
      </w:pPr>
      <w:r w:rsidRPr="008C2F7D">
        <w:t>** = Significant at 5 percent level;</w:t>
      </w:r>
    </w:p>
    <w:p w14:paraId="607A4924" w14:textId="77777777" w:rsidR="00E17C17" w:rsidRDefault="00E17C17" w:rsidP="00E17C17">
      <w:pPr>
        <w:spacing w:line="240" w:lineRule="auto"/>
        <w:ind w:left="1440"/>
      </w:pPr>
      <w:r w:rsidRPr="008C2F7D">
        <w:t>* = Significant at 10 percent level.</w:t>
      </w:r>
    </w:p>
    <w:p w14:paraId="0BB5D217" w14:textId="599AC3A9" w:rsidR="00E17C17" w:rsidRPr="001C216B" w:rsidRDefault="00E17C17" w:rsidP="003B5E8F">
      <w:pPr>
        <w:spacing w:before="240"/>
      </w:pPr>
      <w:r w:rsidRPr="008C2F7D">
        <w:t xml:space="preserve">The estimated exact and approximate annual growth rates are –0.79% and </w:t>
      </w:r>
      <w:r w:rsidRPr="009E4247">
        <w:t>-</w:t>
      </w:r>
      <w:r w:rsidRPr="008C2F7D">
        <w:t>0.79%, respectively.</w:t>
      </w:r>
      <w:r w:rsidR="003B5E8F">
        <w:t xml:space="preserve"> </w:t>
      </w:r>
      <w:r w:rsidRPr="008C2F7D">
        <w:t>The R² value of 0.1099 indicates</w:t>
      </w:r>
      <w:r w:rsidRPr="009E4247">
        <w:t xml:space="preserve"> t</w:t>
      </w:r>
      <w:r w:rsidRPr="008A4C73">
        <w:t xml:space="preserve">he model explains </w:t>
      </w:r>
      <w:r w:rsidRPr="009E4247">
        <w:t>10.99</w:t>
      </w:r>
      <w:r w:rsidRPr="008A4C73">
        <w:t xml:space="preserve">% of the variation in jute </w:t>
      </w:r>
      <w:r w:rsidRPr="009E4247">
        <w:t>production. This is</w:t>
      </w:r>
      <w:r w:rsidRPr="008C2F7D">
        <w:t xml:space="preserve"> a relatively weak explanatory power of time on production variation, suggesting that other factors such as weather, input use, and market prices have played notable roles.</w:t>
      </w:r>
    </w:p>
    <w:p w14:paraId="721C59B1" w14:textId="61C6286A" w:rsidR="00E17C17" w:rsidRPr="009E4247" w:rsidRDefault="003B5E8F" w:rsidP="00E17C17">
      <w:pPr>
        <w:rPr>
          <w:b/>
          <w:bCs/>
        </w:rPr>
      </w:pPr>
      <w:r>
        <w:rPr>
          <w:b/>
          <w:bCs/>
        </w:rPr>
        <w:t>3.3</w:t>
      </w:r>
      <w:r w:rsidR="00E17C17" w:rsidRPr="009E4247">
        <w:rPr>
          <w:b/>
          <w:bCs/>
        </w:rPr>
        <w:t>.2 Compound Annual Growth Rate (CAGR)</w:t>
      </w:r>
    </w:p>
    <w:p w14:paraId="44A9CE2A" w14:textId="77777777" w:rsidR="00E17C17" w:rsidRDefault="00E17C17" w:rsidP="00E17C17">
      <w:r w:rsidRPr="009E4247">
        <w:t>CAGR analysis also confirms a negative yearly change in jute production, calculated as –0.54%.</w:t>
      </w:r>
    </w:p>
    <w:p w14:paraId="2EA28091" w14:textId="77777777" w:rsidR="00E17C17" w:rsidRDefault="00E17C17" w:rsidP="00E17C17"/>
    <w:p w14:paraId="41570CA1" w14:textId="08578FA6" w:rsidR="00E17C17" w:rsidRPr="009E4247" w:rsidRDefault="003E54C8" w:rsidP="00E17C17">
      <w:pPr>
        <w:rPr>
          <w:b/>
          <w:bCs/>
          <w:sz w:val="28"/>
          <w:szCs w:val="28"/>
        </w:rPr>
      </w:pPr>
      <w:r>
        <w:rPr>
          <w:b/>
          <w:bCs/>
          <w:sz w:val="28"/>
          <w:szCs w:val="28"/>
        </w:rPr>
        <w:t>3.4</w:t>
      </w:r>
      <w:r w:rsidR="00E17C17" w:rsidRPr="009E4247">
        <w:rPr>
          <w:b/>
          <w:bCs/>
          <w:sz w:val="28"/>
          <w:szCs w:val="28"/>
        </w:rPr>
        <w:t xml:space="preserve"> Trend Analysis of Jute Yield in the Study Area</w:t>
      </w:r>
    </w:p>
    <w:p w14:paraId="438C617E" w14:textId="78CBCB59" w:rsidR="00E17C17" w:rsidRPr="009E4247" w:rsidRDefault="003E54C8" w:rsidP="00E17C17">
      <w:pPr>
        <w:rPr>
          <w:b/>
          <w:bCs/>
        </w:rPr>
      </w:pPr>
      <w:r>
        <w:rPr>
          <w:b/>
          <w:bCs/>
        </w:rPr>
        <w:t>3.4</w:t>
      </w:r>
      <w:r w:rsidR="00E17C17" w:rsidRPr="009E4247">
        <w:rPr>
          <w:b/>
          <w:bCs/>
        </w:rPr>
        <w:t>.1 Growth Estimation through Log-Linear Model</w:t>
      </w:r>
    </w:p>
    <w:p w14:paraId="037C4D06" w14:textId="451EE32E" w:rsidR="00E17C17" w:rsidRPr="009E4247" w:rsidRDefault="00E17C17" w:rsidP="00E17C17">
      <w:r w:rsidRPr="009E4247">
        <w:t>Contrary to area and production trends, jute yield shows a positive and highly significant increasing trend. The coefficient for year is +0.00</w:t>
      </w:r>
      <w:r>
        <w:t>6</w:t>
      </w:r>
      <w:r w:rsidRPr="009E4247">
        <w:t>, significant at the 1% level (p = 0.000).</w:t>
      </w:r>
      <w:r>
        <w:t xml:space="preserve"> </w:t>
      </w:r>
      <w:r w:rsidRPr="00ED2B2D">
        <w:t xml:space="preserve">This suggests that jute </w:t>
      </w:r>
      <w:r>
        <w:t>yield</w:t>
      </w:r>
      <w:r w:rsidRPr="00ED2B2D">
        <w:t xml:space="preserve"> has been </w:t>
      </w:r>
      <w:r>
        <w:t>in</w:t>
      </w:r>
      <w:r w:rsidRPr="00ED2B2D">
        <w:t>creasing over time</w:t>
      </w:r>
      <w:r>
        <w:t>, though area and production has decreased</w:t>
      </w:r>
      <w:r w:rsidRPr="00ED2B2D">
        <w:t>.</w:t>
      </w:r>
    </w:p>
    <w:p w14:paraId="3667FA89" w14:textId="0A9888E9" w:rsidR="00E17C17" w:rsidRPr="008A42C2" w:rsidRDefault="00E17C17" w:rsidP="00E17C17">
      <w:pPr>
        <w:rPr>
          <w:b/>
          <w:bCs/>
        </w:rPr>
      </w:pPr>
      <w:r w:rsidRPr="008C2F7D">
        <w:rPr>
          <w:b/>
          <w:bCs/>
        </w:rPr>
        <w:t xml:space="preserve">Table </w:t>
      </w:r>
      <w:r w:rsidR="003E54C8">
        <w:rPr>
          <w:b/>
          <w:bCs/>
        </w:rPr>
        <w:t>4</w:t>
      </w:r>
      <w:r w:rsidRPr="008C2F7D">
        <w:rPr>
          <w:b/>
          <w:bCs/>
        </w:rPr>
        <w:t xml:space="preserve">: </w:t>
      </w:r>
      <w:r w:rsidRPr="008A42C2">
        <w:rPr>
          <w:b/>
          <w:bCs/>
        </w:rPr>
        <w:t>Estimated Growth Model Coefficients for the Trend of Jute Yield</w:t>
      </w:r>
    </w:p>
    <w:tbl>
      <w:tblPr>
        <w:tblStyle w:val="TableGrid"/>
        <w:tblW w:w="0" w:type="auto"/>
        <w:tblLook w:val="04A0" w:firstRow="1" w:lastRow="0" w:firstColumn="1" w:lastColumn="0" w:noHBand="0" w:noVBand="1"/>
      </w:tblPr>
      <w:tblGrid>
        <w:gridCol w:w="2689"/>
        <w:gridCol w:w="1559"/>
        <w:gridCol w:w="1843"/>
        <w:gridCol w:w="1275"/>
        <w:gridCol w:w="1131"/>
      </w:tblGrid>
      <w:tr w:rsidR="00E17C17" w:rsidRPr="008C2F7D" w14:paraId="2E7F7EB4" w14:textId="77777777" w:rsidTr="00FF3FA0">
        <w:tc>
          <w:tcPr>
            <w:tcW w:w="2689" w:type="dxa"/>
          </w:tcPr>
          <w:p w14:paraId="4E03399A" w14:textId="77777777" w:rsidR="00E17C17" w:rsidRPr="008C2F7D" w:rsidRDefault="00E17C17" w:rsidP="00FF3FA0">
            <w:pPr>
              <w:rPr>
                <w:b/>
                <w:bCs/>
              </w:rPr>
            </w:pPr>
            <w:proofErr w:type="spellStart"/>
            <w:r w:rsidRPr="008C2F7D">
              <w:rPr>
                <w:b/>
                <w:bCs/>
              </w:rPr>
              <w:t>In_</w:t>
            </w:r>
            <w:r>
              <w:rPr>
                <w:b/>
                <w:bCs/>
              </w:rPr>
              <w:t>yield</w:t>
            </w:r>
            <w:proofErr w:type="spellEnd"/>
          </w:p>
        </w:tc>
        <w:tc>
          <w:tcPr>
            <w:tcW w:w="1559" w:type="dxa"/>
          </w:tcPr>
          <w:p w14:paraId="6CC5AEFF" w14:textId="77777777" w:rsidR="00E17C17" w:rsidRPr="008C2F7D" w:rsidRDefault="00E17C17" w:rsidP="00FF3FA0">
            <w:pPr>
              <w:jc w:val="center"/>
              <w:rPr>
                <w:b/>
                <w:bCs/>
              </w:rPr>
            </w:pPr>
            <w:r w:rsidRPr="008C2F7D">
              <w:rPr>
                <w:b/>
                <w:bCs/>
              </w:rPr>
              <w:t>Coefficients</w:t>
            </w:r>
          </w:p>
        </w:tc>
        <w:tc>
          <w:tcPr>
            <w:tcW w:w="1843" w:type="dxa"/>
          </w:tcPr>
          <w:p w14:paraId="76D7559C" w14:textId="77777777" w:rsidR="00E17C17" w:rsidRPr="008C2F7D" w:rsidRDefault="00E17C17" w:rsidP="00FF3FA0">
            <w:pPr>
              <w:jc w:val="center"/>
              <w:rPr>
                <w:b/>
                <w:bCs/>
              </w:rPr>
            </w:pPr>
            <w:r w:rsidRPr="008C2F7D">
              <w:rPr>
                <w:b/>
                <w:bCs/>
              </w:rPr>
              <w:t>Standard Error</w:t>
            </w:r>
          </w:p>
        </w:tc>
        <w:tc>
          <w:tcPr>
            <w:tcW w:w="1275" w:type="dxa"/>
          </w:tcPr>
          <w:p w14:paraId="3DFC2DF2" w14:textId="77777777" w:rsidR="00E17C17" w:rsidRPr="008C2F7D" w:rsidRDefault="00E17C17" w:rsidP="00FF3FA0">
            <w:pPr>
              <w:jc w:val="center"/>
              <w:rPr>
                <w:b/>
                <w:bCs/>
              </w:rPr>
            </w:pPr>
            <w:r w:rsidRPr="008C2F7D">
              <w:rPr>
                <w:b/>
                <w:bCs/>
              </w:rPr>
              <w:t>t Stat</w:t>
            </w:r>
          </w:p>
        </w:tc>
        <w:tc>
          <w:tcPr>
            <w:tcW w:w="1131" w:type="dxa"/>
          </w:tcPr>
          <w:p w14:paraId="0E7B6287" w14:textId="77777777" w:rsidR="00E17C17" w:rsidRPr="008C2F7D" w:rsidRDefault="00E17C17" w:rsidP="00FF3FA0">
            <w:pPr>
              <w:jc w:val="center"/>
              <w:rPr>
                <w:b/>
                <w:bCs/>
              </w:rPr>
            </w:pPr>
            <w:r w:rsidRPr="008C2F7D">
              <w:rPr>
                <w:b/>
                <w:bCs/>
              </w:rPr>
              <w:t>P-value</w:t>
            </w:r>
          </w:p>
        </w:tc>
      </w:tr>
      <w:tr w:rsidR="00E17C17" w:rsidRPr="008C2F7D" w14:paraId="494C7926" w14:textId="77777777" w:rsidTr="00FF3FA0">
        <w:tc>
          <w:tcPr>
            <w:tcW w:w="2689" w:type="dxa"/>
          </w:tcPr>
          <w:p w14:paraId="6C2C98ED" w14:textId="77777777" w:rsidR="00E17C17" w:rsidRPr="008C2F7D" w:rsidRDefault="00E17C17" w:rsidP="00FF3FA0">
            <w:r w:rsidRPr="008C2F7D">
              <w:t>Constant</w:t>
            </w:r>
          </w:p>
        </w:tc>
        <w:tc>
          <w:tcPr>
            <w:tcW w:w="1559" w:type="dxa"/>
          </w:tcPr>
          <w:p w14:paraId="05F3BEA0" w14:textId="77777777" w:rsidR="00E17C17" w:rsidRPr="008C2F7D" w:rsidRDefault="00E17C17" w:rsidP="00FF3FA0">
            <w:pPr>
              <w:jc w:val="center"/>
            </w:pPr>
            <w:r w:rsidRPr="006F0CC3">
              <w:t>-10.65</w:t>
            </w:r>
            <w:r>
              <w:t>3</w:t>
            </w:r>
            <w:r w:rsidRPr="006F0CC3">
              <w:t xml:space="preserve"> </w:t>
            </w:r>
            <w:r w:rsidRPr="008C2F7D">
              <w:t>***</w:t>
            </w:r>
          </w:p>
        </w:tc>
        <w:tc>
          <w:tcPr>
            <w:tcW w:w="1843" w:type="dxa"/>
          </w:tcPr>
          <w:p w14:paraId="72E4C3C8" w14:textId="77777777" w:rsidR="00E17C17" w:rsidRPr="008C2F7D" w:rsidRDefault="00E17C17" w:rsidP="00FF3FA0">
            <w:pPr>
              <w:jc w:val="center"/>
            </w:pPr>
            <w:r w:rsidRPr="006F0CC3">
              <w:t>2.0</w:t>
            </w:r>
            <w:r>
              <w:t>20</w:t>
            </w:r>
          </w:p>
        </w:tc>
        <w:tc>
          <w:tcPr>
            <w:tcW w:w="1275" w:type="dxa"/>
          </w:tcPr>
          <w:p w14:paraId="4D37D0AF" w14:textId="77777777" w:rsidR="00E17C17" w:rsidRPr="008C2F7D" w:rsidRDefault="00E17C17" w:rsidP="00FF3FA0">
            <w:pPr>
              <w:jc w:val="center"/>
            </w:pPr>
            <w:r w:rsidRPr="001F6AF3">
              <w:t>-5.27</w:t>
            </w:r>
          </w:p>
        </w:tc>
        <w:tc>
          <w:tcPr>
            <w:tcW w:w="1131" w:type="dxa"/>
          </w:tcPr>
          <w:p w14:paraId="714D9B51" w14:textId="77777777" w:rsidR="00E17C17" w:rsidRPr="008C2F7D" w:rsidRDefault="00E17C17" w:rsidP="00FF3FA0">
            <w:pPr>
              <w:jc w:val="center"/>
            </w:pPr>
            <w:r w:rsidRPr="008C2F7D">
              <w:t>0.000</w:t>
            </w:r>
          </w:p>
        </w:tc>
      </w:tr>
      <w:tr w:rsidR="00E17C17" w:rsidRPr="008C2F7D" w14:paraId="1E325580" w14:textId="77777777" w:rsidTr="00FF3FA0">
        <w:tc>
          <w:tcPr>
            <w:tcW w:w="2689" w:type="dxa"/>
          </w:tcPr>
          <w:p w14:paraId="15D07110" w14:textId="77777777" w:rsidR="00E17C17" w:rsidRPr="008C2F7D" w:rsidRDefault="00E17C17" w:rsidP="00FF3FA0">
            <w:r w:rsidRPr="008C2F7D">
              <w:t>Year</w:t>
            </w:r>
          </w:p>
        </w:tc>
        <w:tc>
          <w:tcPr>
            <w:tcW w:w="1559" w:type="dxa"/>
          </w:tcPr>
          <w:p w14:paraId="788E2683" w14:textId="77777777" w:rsidR="00E17C17" w:rsidRPr="008C2F7D" w:rsidRDefault="00E17C17" w:rsidP="00FF3FA0">
            <w:pPr>
              <w:jc w:val="center"/>
            </w:pPr>
            <w:r>
              <w:t>0</w:t>
            </w:r>
            <w:r w:rsidRPr="001F6AF3">
              <w:t>.00</w:t>
            </w:r>
            <w:r>
              <w:t xml:space="preserve">6 </w:t>
            </w:r>
            <w:r w:rsidRPr="008C2F7D">
              <w:t>***</w:t>
            </w:r>
          </w:p>
        </w:tc>
        <w:tc>
          <w:tcPr>
            <w:tcW w:w="1843" w:type="dxa"/>
          </w:tcPr>
          <w:p w14:paraId="0068562C" w14:textId="77777777" w:rsidR="00E17C17" w:rsidRPr="008C2F7D" w:rsidRDefault="00E17C17" w:rsidP="00FF3FA0">
            <w:pPr>
              <w:jc w:val="center"/>
            </w:pPr>
            <w:r>
              <w:t>0</w:t>
            </w:r>
            <w:r w:rsidRPr="001F6AF3">
              <w:t>.001</w:t>
            </w:r>
          </w:p>
        </w:tc>
        <w:tc>
          <w:tcPr>
            <w:tcW w:w="1275" w:type="dxa"/>
          </w:tcPr>
          <w:p w14:paraId="3DBE7CB9" w14:textId="77777777" w:rsidR="00E17C17" w:rsidRPr="008C2F7D" w:rsidRDefault="00E17C17" w:rsidP="00FF3FA0">
            <w:pPr>
              <w:jc w:val="center"/>
            </w:pPr>
            <w:r w:rsidRPr="001F6AF3">
              <w:t>5.96</w:t>
            </w:r>
          </w:p>
        </w:tc>
        <w:tc>
          <w:tcPr>
            <w:tcW w:w="1131" w:type="dxa"/>
          </w:tcPr>
          <w:p w14:paraId="4FC39B86" w14:textId="77777777" w:rsidR="00E17C17" w:rsidRPr="008C2F7D" w:rsidRDefault="00E17C17" w:rsidP="00FF3FA0">
            <w:pPr>
              <w:jc w:val="center"/>
            </w:pPr>
            <w:r w:rsidRPr="008C2F7D">
              <w:t>0.00</w:t>
            </w:r>
            <w:r>
              <w:t>0</w:t>
            </w:r>
          </w:p>
        </w:tc>
      </w:tr>
      <w:tr w:rsidR="00E17C17" w:rsidRPr="008C2F7D" w14:paraId="3D3B9815" w14:textId="77777777" w:rsidTr="00FF3FA0">
        <w:tc>
          <w:tcPr>
            <w:tcW w:w="2689" w:type="dxa"/>
          </w:tcPr>
          <w:p w14:paraId="0C06BF9C" w14:textId="77777777" w:rsidR="00E17C17" w:rsidRPr="008C2F7D" w:rsidRDefault="00E17C17" w:rsidP="00FF3FA0">
            <w:r w:rsidRPr="008C2F7D">
              <w:lastRenderedPageBreak/>
              <w:t>R</w:t>
            </w:r>
            <w:r w:rsidRPr="008C2F7D">
              <w:rPr>
                <w:vertAlign w:val="superscript"/>
              </w:rPr>
              <w:t>2</w:t>
            </w:r>
          </w:p>
        </w:tc>
        <w:tc>
          <w:tcPr>
            <w:tcW w:w="5808" w:type="dxa"/>
            <w:gridSpan w:val="4"/>
          </w:tcPr>
          <w:p w14:paraId="79F1684F" w14:textId="77777777" w:rsidR="00E17C17" w:rsidRPr="008C2F7D" w:rsidRDefault="00E17C17" w:rsidP="00FF3FA0">
            <w:pPr>
              <w:jc w:val="center"/>
            </w:pPr>
            <w:r w:rsidRPr="001F6AF3">
              <w:t>0.5588</w:t>
            </w:r>
          </w:p>
        </w:tc>
      </w:tr>
      <w:tr w:rsidR="00E17C17" w:rsidRPr="008C2F7D" w14:paraId="3CC04BA9" w14:textId="77777777" w:rsidTr="00FF3FA0">
        <w:tc>
          <w:tcPr>
            <w:tcW w:w="2689" w:type="dxa"/>
          </w:tcPr>
          <w:p w14:paraId="3246415C" w14:textId="77777777" w:rsidR="00E17C17" w:rsidRPr="008C2F7D" w:rsidRDefault="00E17C17" w:rsidP="00FF3FA0">
            <w:r w:rsidRPr="008C2F7D">
              <w:t>Adj R</w:t>
            </w:r>
            <w:r w:rsidRPr="008C2F7D">
              <w:rPr>
                <w:vertAlign w:val="superscript"/>
              </w:rPr>
              <w:t>2</w:t>
            </w:r>
          </w:p>
        </w:tc>
        <w:tc>
          <w:tcPr>
            <w:tcW w:w="5808" w:type="dxa"/>
            <w:gridSpan w:val="4"/>
          </w:tcPr>
          <w:p w14:paraId="4C463732" w14:textId="77777777" w:rsidR="00E17C17" w:rsidRPr="008C2F7D" w:rsidRDefault="00E17C17" w:rsidP="00FF3FA0">
            <w:pPr>
              <w:tabs>
                <w:tab w:val="left" w:pos="1808"/>
              </w:tabs>
              <w:jc w:val="center"/>
            </w:pPr>
            <w:r w:rsidRPr="001F6AF3">
              <w:t>0.5431</w:t>
            </w:r>
          </w:p>
        </w:tc>
      </w:tr>
      <w:tr w:rsidR="00E17C17" w:rsidRPr="008C2F7D" w14:paraId="7963EEBF" w14:textId="77777777" w:rsidTr="00FF3FA0">
        <w:tc>
          <w:tcPr>
            <w:tcW w:w="2689" w:type="dxa"/>
            <w:tcBorders>
              <w:bottom w:val="single" w:sz="4" w:space="0" w:color="auto"/>
            </w:tcBorders>
          </w:tcPr>
          <w:p w14:paraId="38236BB6" w14:textId="77777777" w:rsidR="00E17C17" w:rsidRPr="008C2F7D" w:rsidRDefault="00E17C17" w:rsidP="00FF3FA0">
            <w:r w:rsidRPr="008C2F7D">
              <w:t>F - value</w:t>
            </w:r>
          </w:p>
        </w:tc>
        <w:tc>
          <w:tcPr>
            <w:tcW w:w="5808" w:type="dxa"/>
            <w:gridSpan w:val="4"/>
            <w:tcBorders>
              <w:bottom w:val="single" w:sz="4" w:space="0" w:color="auto"/>
            </w:tcBorders>
          </w:tcPr>
          <w:p w14:paraId="41E7EC60" w14:textId="77777777" w:rsidR="00E17C17" w:rsidRPr="008C2F7D" w:rsidRDefault="00E17C17" w:rsidP="00FF3FA0">
            <w:pPr>
              <w:jc w:val="center"/>
            </w:pPr>
            <w:r w:rsidRPr="008C2F7D">
              <w:t xml:space="preserve">F (1,28) = </w:t>
            </w:r>
            <w:r w:rsidRPr="001F6AF3">
              <w:t>35.46</w:t>
            </w:r>
            <w:r w:rsidRPr="008C2F7D">
              <w:t>***</w:t>
            </w:r>
          </w:p>
        </w:tc>
      </w:tr>
    </w:tbl>
    <w:p w14:paraId="09CB075B" w14:textId="77777777" w:rsidR="00E17C17" w:rsidRPr="008C2F7D" w:rsidRDefault="00E17C17" w:rsidP="00E17C17">
      <w:pPr>
        <w:spacing w:line="240" w:lineRule="auto"/>
      </w:pPr>
      <w:r w:rsidRPr="008C2F7D">
        <w:t xml:space="preserve">Source: Author’s </w:t>
      </w:r>
      <w:r>
        <w:t>c</w:t>
      </w:r>
      <w:r w:rsidRPr="008C2F7D">
        <w:t xml:space="preserve">alculation </w:t>
      </w:r>
      <w:r>
        <w:t>b</w:t>
      </w:r>
      <w:r w:rsidRPr="008C2F7D">
        <w:t xml:space="preserve">ased on </w:t>
      </w:r>
      <w:r>
        <w:t>s</w:t>
      </w:r>
      <w:r w:rsidRPr="008C2F7D">
        <w:t xml:space="preserve">econdary </w:t>
      </w:r>
      <w:r>
        <w:t>d</w:t>
      </w:r>
      <w:r w:rsidRPr="008C2F7D">
        <w:t>ata, 2025</w:t>
      </w:r>
    </w:p>
    <w:p w14:paraId="4CE5EC2C" w14:textId="77777777" w:rsidR="00E17C17" w:rsidRPr="008C2F7D" w:rsidRDefault="00E17C17" w:rsidP="00E17C17">
      <w:pPr>
        <w:spacing w:line="240" w:lineRule="auto"/>
      </w:pPr>
      <w:r w:rsidRPr="008C2F7D">
        <w:t>Note:              *** = Significant at 1 percent level;</w:t>
      </w:r>
    </w:p>
    <w:p w14:paraId="2BA24414" w14:textId="77777777" w:rsidR="00E17C17" w:rsidRPr="008C2F7D" w:rsidRDefault="00E17C17" w:rsidP="00E17C17">
      <w:pPr>
        <w:spacing w:line="240" w:lineRule="auto"/>
        <w:ind w:left="1440"/>
      </w:pPr>
      <w:r w:rsidRPr="008C2F7D">
        <w:t>** = Significant at 5 percent level;</w:t>
      </w:r>
    </w:p>
    <w:p w14:paraId="0B1A82EB" w14:textId="77777777" w:rsidR="00E17C17" w:rsidRDefault="00E17C17" w:rsidP="00E17C17">
      <w:pPr>
        <w:spacing w:line="240" w:lineRule="auto"/>
        <w:ind w:left="1440"/>
      </w:pPr>
      <w:r w:rsidRPr="008C2F7D">
        <w:t>* = Significant at 10 percent level.</w:t>
      </w:r>
    </w:p>
    <w:p w14:paraId="131D2812" w14:textId="77777777" w:rsidR="00E17C17" w:rsidRPr="00635A90" w:rsidRDefault="00E17C17" w:rsidP="00E17C17">
      <w:pPr>
        <w:spacing w:before="240"/>
      </w:pPr>
      <w:r w:rsidRPr="00635A90">
        <w:t xml:space="preserve">The estimated exact and approximate annual growth rates are </w:t>
      </w:r>
      <w:r>
        <w:t>+</w:t>
      </w:r>
      <w:r w:rsidRPr="00635A90">
        <w:t>0.</w:t>
      </w:r>
      <w:r>
        <w:t>60</w:t>
      </w:r>
      <w:r w:rsidRPr="00635A90">
        <w:t xml:space="preserve">% and </w:t>
      </w:r>
      <w:r>
        <w:t>+</w:t>
      </w:r>
      <w:r w:rsidRPr="00635A90">
        <w:t>0.</w:t>
      </w:r>
      <w:r>
        <w:t>60</w:t>
      </w:r>
      <w:r w:rsidRPr="00635A90">
        <w:t>%, respectively.</w:t>
      </w:r>
    </w:p>
    <w:p w14:paraId="609704F1" w14:textId="77777777" w:rsidR="00E17C17" w:rsidRPr="006F0CC3" w:rsidRDefault="00E17C17" w:rsidP="00E17C17">
      <w:r w:rsidRPr="009E4247">
        <w:t xml:space="preserve">The model has a strong fit (R² = 0.5588), indicating that </w:t>
      </w:r>
      <w:r>
        <w:t>55.88%</w:t>
      </w:r>
      <w:r w:rsidRPr="009E4247">
        <w:t xml:space="preserve"> variation in yield is explained by year progression—reflecting technological progress, improved variety adoption, and better management practices over time.</w:t>
      </w:r>
    </w:p>
    <w:p w14:paraId="1CA5798E" w14:textId="005A10C6" w:rsidR="00E17C17" w:rsidRPr="006F0CC3" w:rsidRDefault="003E54C8" w:rsidP="00E17C17">
      <w:pPr>
        <w:rPr>
          <w:b/>
          <w:bCs/>
        </w:rPr>
      </w:pPr>
      <w:r>
        <w:rPr>
          <w:b/>
          <w:bCs/>
        </w:rPr>
        <w:t>3.4</w:t>
      </w:r>
      <w:r w:rsidR="00A97C0E">
        <w:rPr>
          <w:b/>
          <w:bCs/>
        </w:rPr>
        <w:t>.</w:t>
      </w:r>
      <w:r w:rsidR="00E17C17" w:rsidRPr="006F0CC3">
        <w:rPr>
          <w:b/>
          <w:bCs/>
        </w:rPr>
        <w:t>2 Compound Annual Growth Rate (CAGR)</w:t>
      </w:r>
    </w:p>
    <w:p w14:paraId="1334F48F" w14:textId="77777777" w:rsidR="00E17C17" w:rsidRDefault="00E17C17" w:rsidP="00E17C17">
      <w:r w:rsidRPr="00524D39">
        <w:t xml:space="preserve">The CAGR of yield is +0.74% per year, which supports the regression findings of gradually increasing productivity. Though area and production </w:t>
      </w:r>
      <w:proofErr w:type="gramStart"/>
      <w:r w:rsidRPr="00524D39">
        <w:t>is</w:t>
      </w:r>
      <w:proofErr w:type="gramEnd"/>
      <w:r w:rsidRPr="00524D39">
        <w:t xml:space="preserve"> decreasing, jute yield is increasing because of modern technology, mechanization, improved seed, pesticide etc.</w:t>
      </w:r>
    </w:p>
    <w:p w14:paraId="1A42351A" w14:textId="77777777" w:rsidR="003E54C8" w:rsidRDefault="003E54C8" w:rsidP="00E17C17"/>
    <w:p w14:paraId="30123050" w14:textId="44D43E23" w:rsidR="00E17C17" w:rsidRDefault="00E17C17" w:rsidP="00272239">
      <w:pPr>
        <w:jc w:val="center"/>
      </w:pPr>
      <w:r>
        <w:rPr>
          <w:noProof/>
        </w:rPr>
        <w:drawing>
          <wp:inline distT="0" distB="0" distL="0" distR="0" wp14:anchorId="1D608CB9" wp14:editId="1C035E0A">
            <wp:extent cx="5335270" cy="2533650"/>
            <wp:effectExtent l="0" t="0" r="17780" b="0"/>
            <wp:docPr id="1897207290" name="Chart 1">
              <a:extLst xmlns:a="http://schemas.openxmlformats.org/drawingml/2006/main">
                <a:ext uri="{FF2B5EF4-FFF2-40B4-BE49-F238E27FC236}">
                  <a16:creationId xmlns:a16="http://schemas.microsoft.com/office/drawing/2014/main" id="{86D2FFA5-92EF-D157-8326-6993CB837D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0AF160" w14:textId="6A594FFE" w:rsidR="00E17C17" w:rsidRDefault="00E17C17" w:rsidP="00E17C17">
      <w:pPr>
        <w:jc w:val="center"/>
        <w:rPr>
          <w:b/>
          <w:bCs/>
        </w:rPr>
      </w:pPr>
      <w:r w:rsidRPr="00852D67">
        <w:rPr>
          <w:b/>
          <w:bCs/>
        </w:rPr>
        <w:t>Figure 1: Trend of Jute in the Study Area</w:t>
      </w:r>
    </w:p>
    <w:p w14:paraId="48DAA97F" w14:textId="779B360A" w:rsidR="00E17C17" w:rsidRPr="00D36C79" w:rsidRDefault="00E17C17" w:rsidP="00E17C17">
      <w:pPr>
        <w:spacing w:line="240" w:lineRule="auto"/>
      </w:pPr>
      <w:r w:rsidRPr="008C2F7D">
        <w:t xml:space="preserve">Source: Author’s </w:t>
      </w:r>
      <w:r w:rsidR="003E54C8">
        <w:t>computation</w:t>
      </w:r>
      <w:r w:rsidRPr="008C2F7D">
        <w:t xml:space="preserve"> </w:t>
      </w:r>
      <w:r>
        <w:t>b</w:t>
      </w:r>
      <w:r w:rsidRPr="008C2F7D">
        <w:t xml:space="preserve">ased on </w:t>
      </w:r>
      <w:r>
        <w:t>s</w:t>
      </w:r>
      <w:r w:rsidRPr="008C2F7D">
        <w:t xml:space="preserve">econdary </w:t>
      </w:r>
      <w:r w:rsidR="00E541F1">
        <w:t>data (BBS 1997</w:t>
      </w:r>
      <w:r w:rsidR="003E54C8">
        <w:t>- BBS 2023)</w:t>
      </w:r>
    </w:p>
    <w:p w14:paraId="6BA5FA9F" w14:textId="77777777" w:rsidR="00970B6E" w:rsidRDefault="00970B6E" w:rsidP="004130C9"/>
    <w:p w14:paraId="22634E41" w14:textId="0366CF34" w:rsidR="00A97C0E" w:rsidRPr="00B75007" w:rsidRDefault="00184BC4" w:rsidP="004130C9">
      <w:pPr>
        <w:rPr>
          <w:rFonts w:ascii="Arial" w:hAnsi="Arial" w:cs="Arial"/>
          <w:b/>
          <w:bCs/>
          <w:sz w:val="22"/>
          <w:szCs w:val="22"/>
        </w:rPr>
      </w:pPr>
      <w:r w:rsidRPr="00B75007">
        <w:rPr>
          <w:rFonts w:ascii="Arial" w:hAnsi="Arial" w:cs="Arial"/>
          <w:b/>
          <w:bCs/>
          <w:sz w:val="22"/>
          <w:szCs w:val="22"/>
        </w:rPr>
        <w:t>3.5</w:t>
      </w:r>
      <w:r w:rsidR="00A97C0E" w:rsidRPr="00B75007">
        <w:rPr>
          <w:rFonts w:ascii="Arial" w:hAnsi="Arial" w:cs="Arial"/>
          <w:b/>
          <w:bCs/>
          <w:sz w:val="22"/>
          <w:szCs w:val="22"/>
        </w:rPr>
        <w:t xml:space="preserve"> Profitability of Jute Production</w:t>
      </w:r>
    </w:p>
    <w:p w14:paraId="24C98C3D" w14:textId="28D959C2" w:rsidR="00A97C0E" w:rsidRPr="007156D7" w:rsidRDefault="00184BC4" w:rsidP="00A97C0E">
      <w:pPr>
        <w:rPr>
          <w:b/>
          <w:bCs/>
        </w:rPr>
      </w:pPr>
      <w:r>
        <w:rPr>
          <w:b/>
          <w:bCs/>
        </w:rPr>
        <w:t>3.5</w:t>
      </w:r>
      <w:r w:rsidR="00A97C0E" w:rsidRPr="007156D7">
        <w:rPr>
          <w:b/>
          <w:bCs/>
        </w:rPr>
        <w:t>.1 Gross Margin Analysis</w:t>
      </w:r>
    </w:p>
    <w:p w14:paraId="6315B761" w14:textId="0ABBD329" w:rsidR="00A97C0E" w:rsidRDefault="00A97C0E" w:rsidP="00A97C0E">
      <w:r w:rsidRPr="00661278">
        <w:t xml:space="preserve">One of the most important aspects of this study was to evaluate the profitability of </w:t>
      </w:r>
      <w:r>
        <w:t>jute</w:t>
      </w:r>
      <w:r w:rsidRPr="00661278">
        <w:t xml:space="preserve"> production for different categories of farmers A quick way to assess the profitability was to calculate the gross margin. </w:t>
      </w:r>
      <w:r w:rsidR="003358C5">
        <w:t>T</w:t>
      </w:r>
      <w:r w:rsidRPr="00661278">
        <w:t xml:space="preserve">he average figures of per </w:t>
      </w:r>
      <w:r>
        <w:t>acre</w:t>
      </w:r>
      <w:r w:rsidRPr="00661278">
        <w:t xml:space="preserve"> yield, total cost, total revenue, and gross margin for</w:t>
      </w:r>
      <w:r>
        <w:t xml:space="preserve"> landless, marginal,</w:t>
      </w:r>
      <w:r w:rsidRPr="00661278">
        <w:t xml:space="preserve"> small</w:t>
      </w:r>
      <w:r>
        <w:t xml:space="preserve"> and</w:t>
      </w:r>
      <w:r w:rsidRPr="00661278">
        <w:t xml:space="preserve"> medium</w:t>
      </w:r>
      <w:r>
        <w:t xml:space="preserve"> </w:t>
      </w:r>
      <w:r w:rsidRPr="00661278">
        <w:t>farmers respectively</w:t>
      </w:r>
      <w:r w:rsidR="003358C5">
        <w:t xml:space="preserve"> are presented in </w:t>
      </w:r>
      <w:r w:rsidR="003358C5">
        <w:lastRenderedPageBreak/>
        <w:t xml:space="preserve">Table </w:t>
      </w:r>
      <w:r w:rsidR="002E736D">
        <w:t>5</w:t>
      </w:r>
      <w:r w:rsidRPr="00661278">
        <w:t xml:space="preserve">. In </w:t>
      </w:r>
      <w:r>
        <w:t>jute</w:t>
      </w:r>
      <w:r w:rsidRPr="00661278">
        <w:t xml:space="preserve"> production, the variable cost mainly consists of expenses on seed, fertilizer, pesticides, and human labor, etc.</w:t>
      </w:r>
    </w:p>
    <w:p w14:paraId="20975B99" w14:textId="41E45574" w:rsidR="00A97C0E" w:rsidRPr="00B75007" w:rsidRDefault="00A97C0E" w:rsidP="00A97C0E">
      <w:pPr>
        <w:rPr>
          <w:rFonts w:ascii="Arial" w:hAnsi="Arial" w:cs="Arial"/>
          <w:b/>
          <w:bCs/>
          <w:sz w:val="22"/>
          <w:szCs w:val="22"/>
        </w:rPr>
      </w:pPr>
      <w:r w:rsidRPr="00B75007">
        <w:rPr>
          <w:rFonts w:ascii="Arial" w:hAnsi="Arial" w:cs="Arial"/>
          <w:b/>
          <w:bCs/>
          <w:sz w:val="22"/>
          <w:szCs w:val="22"/>
        </w:rPr>
        <w:t xml:space="preserve">Table </w:t>
      </w:r>
      <w:r w:rsidR="002E736D">
        <w:rPr>
          <w:rFonts w:ascii="Arial" w:hAnsi="Arial" w:cs="Arial"/>
          <w:b/>
          <w:bCs/>
          <w:sz w:val="22"/>
          <w:szCs w:val="22"/>
        </w:rPr>
        <w:t>5</w:t>
      </w:r>
      <w:r w:rsidRPr="00B75007">
        <w:rPr>
          <w:rFonts w:ascii="Arial" w:hAnsi="Arial" w:cs="Arial"/>
          <w:b/>
          <w:bCs/>
          <w:sz w:val="22"/>
          <w:szCs w:val="22"/>
        </w:rPr>
        <w:t>: Per Acre Costs and Return of Jute Cultivation for All Farmers</w:t>
      </w:r>
    </w:p>
    <w:tbl>
      <w:tblPr>
        <w:tblStyle w:val="TableGrid"/>
        <w:tblW w:w="9067" w:type="dxa"/>
        <w:tblLayout w:type="fixed"/>
        <w:tblLook w:val="04A0" w:firstRow="1" w:lastRow="0" w:firstColumn="1" w:lastColumn="0" w:noHBand="0" w:noVBand="1"/>
      </w:tblPr>
      <w:tblGrid>
        <w:gridCol w:w="2972"/>
        <w:gridCol w:w="1134"/>
        <w:gridCol w:w="1276"/>
        <w:gridCol w:w="1134"/>
        <w:gridCol w:w="850"/>
        <w:gridCol w:w="1701"/>
      </w:tblGrid>
      <w:tr w:rsidR="00A97C0E" w14:paraId="0371F1AF" w14:textId="77777777" w:rsidTr="00272239">
        <w:tc>
          <w:tcPr>
            <w:tcW w:w="2972" w:type="dxa"/>
            <w:vMerge w:val="restart"/>
          </w:tcPr>
          <w:p w14:paraId="69A1C8B5" w14:textId="77777777" w:rsidR="00A97C0E" w:rsidRPr="009B4AED" w:rsidRDefault="00A97C0E" w:rsidP="00FF3FA0">
            <w:pPr>
              <w:rPr>
                <w:rFonts w:cstheme="minorHAnsi"/>
                <w:b/>
                <w:bCs/>
              </w:rPr>
            </w:pPr>
            <w:r w:rsidRPr="009B4AED">
              <w:rPr>
                <w:rFonts w:cstheme="minorHAnsi"/>
                <w:b/>
                <w:bCs/>
              </w:rPr>
              <w:t>Items</w:t>
            </w:r>
          </w:p>
        </w:tc>
        <w:tc>
          <w:tcPr>
            <w:tcW w:w="6095" w:type="dxa"/>
            <w:gridSpan w:val="5"/>
          </w:tcPr>
          <w:p w14:paraId="7E9DB692" w14:textId="77777777" w:rsidR="00A97C0E" w:rsidRPr="009B4AED" w:rsidRDefault="00A97C0E" w:rsidP="00FF3FA0">
            <w:pPr>
              <w:jc w:val="center"/>
              <w:rPr>
                <w:b/>
                <w:bCs/>
              </w:rPr>
            </w:pPr>
            <w:r w:rsidRPr="009B4AED">
              <w:rPr>
                <w:b/>
                <w:bCs/>
              </w:rPr>
              <w:t>All Farmers</w:t>
            </w:r>
          </w:p>
        </w:tc>
      </w:tr>
      <w:tr w:rsidR="00A97C0E" w14:paraId="41255C97" w14:textId="77777777" w:rsidTr="00272239">
        <w:tc>
          <w:tcPr>
            <w:tcW w:w="2972" w:type="dxa"/>
            <w:vMerge/>
          </w:tcPr>
          <w:p w14:paraId="455176C1" w14:textId="77777777" w:rsidR="00A97C0E" w:rsidRPr="009B4AED" w:rsidRDefault="00A97C0E" w:rsidP="00FF3FA0">
            <w:pPr>
              <w:rPr>
                <w:rFonts w:cstheme="minorHAnsi"/>
                <w:b/>
                <w:bCs/>
              </w:rPr>
            </w:pPr>
          </w:p>
        </w:tc>
        <w:tc>
          <w:tcPr>
            <w:tcW w:w="1134" w:type="dxa"/>
          </w:tcPr>
          <w:p w14:paraId="61459C15" w14:textId="77777777" w:rsidR="00A97C0E" w:rsidRPr="009B4AED" w:rsidRDefault="00A97C0E" w:rsidP="00FF3FA0">
            <w:pPr>
              <w:jc w:val="center"/>
              <w:rPr>
                <w:rFonts w:cstheme="minorHAnsi"/>
                <w:b/>
                <w:bCs/>
              </w:rPr>
            </w:pPr>
            <w:r w:rsidRPr="009B4AED">
              <w:rPr>
                <w:rFonts w:cstheme="minorHAnsi"/>
                <w:b/>
                <w:bCs/>
              </w:rPr>
              <w:t>Unit</w:t>
            </w:r>
          </w:p>
        </w:tc>
        <w:tc>
          <w:tcPr>
            <w:tcW w:w="1276" w:type="dxa"/>
          </w:tcPr>
          <w:p w14:paraId="4681C6E4" w14:textId="77777777" w:rsidR="00A97C0E" w:rsidRPr="009B4AED" w:rsidRDefault="00A97C0E" w:rsidP="00FF3FA0">
            <w:pPr>
              <w:jc w:val="center"/>
              <w:rPr>
                <w:rFonts w:cstheme="minorHAnsi"/>
                <w:b/>
                <w:bCs/>
              </w:rPr>
            </w:pPr>
            <w:r w:rsidRPr="009B4AED">
              <w:rPr>
                <w:rFonts w:cstheme="minorHAnsi"/>
                <w:b/>
                <w:bCs/>
              </w:rPr>
              <w:t>Quantity</w:t>
            </w:r>
          </w:p>
        </w:tc>
        <w:tc>
          <w:tcPr>
            <w:tcW w:w="1134" w:type="dxa"/>
          </w:tcPr>
          <w:p w14:paraId="7BB7FCEE" w14:textId="77777777" w:rsidR="00A97C0E" w:rsidRPr="009B4AED" w:rsidRDefault="00A97C0E" w:rsidP="00FF3FA0">
            <w:pPr>
              <w:jc w:val="center"/>
              <w:rPr>
                <w:rFonts w:cstheme="minorHAnsi"/>
                <w:b/>
                <w:bCs/>
              </w:rPr>
            </w:pPr>
            <w:r w:rsidRPr="009B4AED">
              <w:rPr>
                <w:rFonts w:cstheme="minorHAnsi"/>
                <w:b/>
                <w:bCs/>
              </w:rPr>
              <w:t>Price Tk./Unit</w:t>
            </w:r>
          </w:p>
        </w:tc>
        <w:tc>
          <w:tcPr>
            <w:tcW w:w="850" w:type="dxa"/>
          </w:tcPr>
          <w:p w14:paraId="5C6F2A13" w14:textId="77777777" w:rsidR="00A97C0E" w:rsidRPr="009B4AED" w:rsidRDefault="00A97C0E" w:rsidP="00FF3FA0">
            <w:pPr>
              <w:jc w:val="center"/>
              <w:rPr>
                <w:rFonts w:cstheme="minorHAnsi"/>
                <w:b/>
                <w:bCs/>
              </w:rPr>
            </w:pPr>
            <w:r w:rsidRPr="009B4AED">
              <w:rPr>
                <w:rFonts w:cstheme="minorHAnsi"/>
                <w:b/>
                <w:bCs/>
              </w:rPr>
              <w:t>%</w:t>
            </w:r>
          </w:p>
        </w:tc>
        <w:tc>
          <w:tcPr>
            <w:tcW w:w="1701" w:type="dxa"/>
          </w:tcPr>
          <w:p w14:paraId="2FADFF3C" w14:textId="77777777" w:rsidR="00A97C0E" w:rsidRPr="009B4AED" w:rsidRDefault="00A97C0E" w:rsidP="00FF3FA0">
            <w:pPr>
              <w:jc w:val="center"/>
              <w:rPr>
                <w:rFonts w:cstheme="minorHAnsi"/>
                <w:b/>
                <w:bCs/>
              </w:rPr>
            </w:pPr>
            <w:r w:rsidRPr="009B4AED">
              <w:rPr>
                <w:rFonts w:cstheme="minorHAnsi"/>
                <w:b/>
                <w:bCs/>
              </w:rPr>
              <w:t>Total Value (Tk.)</w:t>
            </w:r>
          </w:p>
        </w:tc>
      </w:tr>
      <w:tr w:rsidR="00A97C0E" w14:paraId="785D5F43" w14:textId="77777777" w:rsidTr="00272239">
        <w:tc>
          <w:tcPr>
            <w:tcW w:w="2972" w:type="dxa"/>
          </w:tcPr>
          <w:p w14:paraId="515DE4BF" w14:textId="77777777" w:rsidR="00A97C0E" w:rsidRPr="009B4AED" w:rsidRDefault="00A97C0E" w:rsidP="00FF3FA0">
            <w:pPr>
              <w:rPr>
                <w:rFonts w:cstheme="minorHAnsi"/>
                <w:b/>
                <w:bCs/>
              </w:rPr>
            </w:pPr>
            <w:r w:rsidRPr="009B4AED">
              <w:rPr>
                <w:rFonts w:cstheme="minorHAnsi"/>
                <w:b/>
                <w:bCs/>
              </w:rPr>
              <w:t>A. Gross return</w:t>
            </w:r>
          </w:p>
        </w:tc>
        <w:tc>
          <w:tcPr>
            <w:tcW w:w="1134" w:type="dxa"/>
          </w:tcPr>
          <w:p w14:paraId="1A1D4FB3" w14:textId="77777777" w:rsidR="00A97C0E" w:rsidRPr="009B4AED" w:rsidRDefault="00A97C0E" w:rsidP="00FF3FA0">
            <w:pPr>
              <w:jc w:val="center"/>
              <w:rPr>
                <w:rFonts w:cstheme="minorHAnsi"/>
              </w:rPr>
            </w:pPr>
          </w:p>
        </w:tc>
        <w:tc>
          <w:tcPr>
            <w:tcW w:w="1276" w:type="dxa"/>
          </w:tcPr>
          <w:p w14:paraId="71875779" w14:textId="77777777" w:rsidR="00A97C0E" w:rsidRPr="009B4AED" w:rsidRDefault="00A97C0E" w:rsidP="00FF3FA0">
            <w:pPr>
              <w:jc w:val="center"/>
              <w:rPr>
                <w:rFonts w:cstheme="minorHAnsi"/>
              </w:rPr>
            </w:pPr>
          </w:p>
        </w:tc>
        <w:tc>
          <w:tcPr>
            <w:tcW w:w="1134" w:type="dxa"/>
          </w:tcPr>
          <w:p w14:paraId="7033A7CD" w14:textId="77777777" w:rsidR="00A97C0E" w:rsidRPr="009B4AED" w:rsidRDefault="00A97C0E" w:rsidP="00FF3FA0">
            <w:pPr>
              <w:jc w:val="center"/>
              <w:rPr>
                <w:rFonts w:cstheme="minorHAnsi"/>
              </w:rPr>
            </w:pPr>
          </w:p>
        </w:tc>
        <w:tc>
          <w:tcPr>
            <w:tcW w:w="850" w:type="dxa"/>
            <w:vAlign w:val="center"/>
          </w:tcPr>
          <w:p w14:paraId="08B96494" w14:textId="77777777" w:rsidR="00A97C0E" w:rsidRPr="009B4AED" w:rsidRDefault="00A97C0E" w:rsidP="00FF3FA0">
            <w:pPr>
              <w:jc w:val="center"/>
              <w:rPr>
                <w:rFonts w:cstheme="minorHAnsi"/>
              </w:rPr>
            </w:pPr>
          </w:p>
        </w:tc>
        <w:tc>
          <w:tcPr>
            <w:tcW w:w="1701" w:type="dxa"/>
          </w:tcPr>
          <w:p w14:paraId="4B54340B" w14:textId="77777777" w:rsidR="00A97C0E" w:rsidRPr="009B4AED" w:rsidRDefault="00A97C0E" w:rsidP="00FF3FA0">
            <w:pPr>
              <w:jc w:val="center"/>
              <w:rPr>
                <w:rFonts w:cstheme="minorHAnsi"/>
              </w:rPr>
            </w:pPr>
          </w:p>
        </w:tc>
      </w:tr>
      <w:tr w:rsidR="00A97C0E" w14:paraId="2212768F" w14:textId="77777777" w:rsidTr="00272239">
        <w:tc>
          <w:tcPr>
            <w:tcW w:w="2972" w:type="dxa"/>
          </w:tcPr>
          <w:p w14:paraId="311C824E" w14:textId="77777777" w:rsidR="00A97C0E" w:rsidRPr="009B4AED" w:rsidRDefault="00A97C0E" w:rsidP="00FF3FA0">
            <w:pPr>
              <w:rPr>
                <w:rFonts w:cstheme="minorHAnsi"/>
              </w:rPr>
            </w:pPr>
            <w:r w:rsidRPr="009B4AED">
              <w:rPr>
                <w:rFonts w:cstheme="minorHAnsi"/>
              </w:rPr>
              <w:t>Jute Fiber</w:t>
            </w:r>
          </w:p>
        </w:tc>
        <w:tc>
          <w:tcPr>
            <w:tcW w:w="1134" w:type="dxa"/>
          </w:tcPr>
          <w:p w14:paraId="2DBFB2A5" w14:textId="77777777" w:rsidR="00A97C0E" w:rsidRPr="009B4AED" w:rsidRDefault="00A97C0E" w:rsidP="00FF3FA0">
            <w:pPr>
              <w:jc w:val="center"/>
              <w:rPr>
                <w:rFonts w:cstheme="minorHAnsi"/>
              </w:rPr>
            </w:pPr>
            <w:r w:rsidRPr="009B4AED">
              <w:rPr>
                <w:rFonts w:cstheme="minorHAnsi"/>
              </w:rPr>
              <w:t>Kg</w:t>
            </w:r>
          </w:p>
        </w:tc>
        <w:tc>
          <w:tcPr>
            <w:tcW w:w="1276" w:type="dxa"/>
          </w:tcPr>
          <w:p w14:paraId="2E352248" w14:textId="77777777" w:rsidR="00A97C0E" w:rsidRPr="009B4AED" w:rsidRDefault="00A97C0E" w:rsidP="00FF3FA0">
            <w:pPr>
              <w:jc w:val="center"/>
              <w:rPr>
                <w:rFonts w:cstheme="minorHAnsi"/>
              </w:rPr>
            </w:pPr>
            <w:r w:rsidRPr="009B4AED">
              <w:rPr>
                <w:rFonts w:cstheme="minorHAnsi"/>
              </w:rPr>
              <w:t>555.17</w:t>
            </w:r>
          </w:p>
        </w:tc>
        <w:tc>
          <w:tcPr>
            <w:tcW w:w="1134" w:type="dxa"/>
          </w:tcPr>
          <w:p w14:paraId="477102CA" w14:textId="77777777" w:rsidR="00A97C0E" w:rsidRPr="009B4AED" w:rsidRDefault="00A97C0E" w:rsidP="00FF3FA0">
            <w:pPr>
              <w:jc w:val="center"/>
              <w:rPr>
                <w:rFonts w:cstheme="minorHAnsi"/>
              </w:rPr>
            </w:pPr>
            <w:r w:rsidRPr="009B4AED">
              <w:rPr>
                <w:rFonts w:cstheme="minorHAnsi"/>
              </w:rPr>
              <w:t>85.23</w:t>
            </w:r>
          </w:p>
        </w:tc>
        <w:tc>
          <w:tcPr>
            <w:tcW w:w="850" w:type="dxa"/>
            <w:vAlign w:val="center"/>
          </w:tcPr>
          <w:p w14:paraId="5584E908" w14:textId="77777777" w:rsidR="00A97C0E" w:rsidRPr="009B4AED" w:rsidRDefault="00A97C0E" w:rsidP="00FF3FA0">
            <w:pPr>
              <w:jc w:val="center"/>
              <w:rPr>
                <w:rFonts w:cstheme="minorHAnsi"/>
              </w:rPr>
            </w:pPr>
          </w:p>
        </w:tc>
        <w:tc>
          <w:tcPr>
            <w:tcW w:w="1701" w:type="dxa"/>
          </w:tcPr>
          <w:p w14:paraId="66ECB617" w14:textId="77777777" w:rsidR="00A97C0E" w:rsidRPr="009B4AED" w:rsidRDefault="00A97C0E" w:rsidP="00FF3FA0">
            <w:pPr>
              <w:jc w:val="center"/>
              <w:rPr>
                <w:rFonts w:cstheme="minorHAnsi"/>
              </w:rPr>
            </w:pPr>
            <w:r w:rsidRPr="009B4AED">
              <w:rPr>
                <w:rFonts w:cstheme="minorHAnsi"/>
              </w:rPr>
              <w:t>47486.62</w:t>
            </w:r>
          </w:p>
        </w:tc>
      </w:tr>
      <w:tr w:rsidR="00A97C0E" w14:paraId="539F1619" w14:textId="77777777" w:rsidTr="00272239">
        <w:tc>
          <w:tcPr>
            <w:tcW w:w="2972" w:type="dxa"/>
          </w:tcPr>
          <w:p w14:paraId="395B1C7F" w14:textId="77777777" w:rsidR="00A97C0E" w:rsidRPr="009B4AED" w:rsidRDefault="00A97C0E" w:rsidP="00FF3FA0">
            <w:pPr>
              <w:rPr>
                <w:rFonts w:cstheme="minorHAnsi"/>
              </w:rPr>
            </w:pPr>
            <w:r w:rsidRPr="009B4AED">
              <w:rPr>
                <w:rFonts w:cstheme="minorHAnsi"/>
              </w:rPr>
              <w:t>Jute Stick</w:t>
            </w:r>
          </w:p>
        </w:tc>
        <w:tc>
          <w:tcPr>
            <w:tcW w:w="1134" w:type="dxa"/>
          </w:tcPr>
          <w:p w14:paraId="77611817" w14:textId="77777777" w:rsidR="00A97C0E" w:rsidRPr="009B4AED" w:rsidRDefault="00A97C0E" w:rsidP="00FF3FA0">
            <w:pPr>
              <w:jc w:val="center"/>
              <w:rPr>
                <w:rFonts w:cstheme="minorHAnsi"/>
              </w:rPr>
            </w:pPr>
          </w:p>
        </w:tc>
        <w:tc>
          <w:tcPr>
            <w:tcW w:w="1276" w:type="dxa"/>
          </w:tcPr>
          <w:p w14:paraId="62E61008" w14:textId="77777777" w:rsidR="00A97C0E" w:rsidRPr="009B4AED" w:rsidRDefault="00A97C0E" w:rsidP="00FF3FA0">
            <w:pPr>
              <w:jc w:val="center"/>
              <w:rPr>
                <w:rFonts w:cstheme="minorHAnsi"/>
              </w:rPr>
            </w:pPr>
          </w:p>
        </w:tc>
        <w:tc>
          <w:tcPr>
            <w:tcW w:w="1134" w:type="dxa"/>
          </w:tcPr>
          <w:p w14:paraId="2F01EF7B" w14:textId="77777777" w:rsidR="00A97C0E" w:rsidRPr="009B4AED" w:rsidRDefault="00A97C0E" w:rsidP="00FF3FA0">
            <w:pPr>
              <w:jc w:val="center"/>
              <w:rPr>
                <w:rFonts w:cstheme="minorHAnsi"/>
              </w:rPr>
            </w:pPr>
          </w:p>
        </w:tc>
        <w:tc>
          <w:tcPr>
            <w:tcW w:w="850" w:type="dxa"/>
            <w:vAlign w:val="center"/>
          </w:tcPr>
          <w:p w14:paraId="784CFCB9" w14:textId="77777777" w:rsidR="00A97C0E" w:rsidRPr="009B4AED" w:rsidRDefault="00A97C0E" w:rsidP="00FF3FA0">
            <w:pPr>
              <w:jc w:val="center"/>
              <w:rPr>
                <w:rFonts w:cstheme="minorHAnsi"/>
              </w:rPr>
            </w:pPr>
          </w:p>
        </w:tc>
        <w:tc>
          <w:tcPr>
            <w:tcW w:w="1701" w:type="dxa"/>
          </w:tcPr>
          <w:p w14:paraId="3C884A81" w14:textId="77777777" w:rsidR="00A97C0E" w:rsidRPr="009B4AED" w:rsidRDefault="00A97C0E" w:rsidP="00FF3FA0">
            <w:pPr>
              <w:jc w:val="center"/>
              <w:rPr>
                <w:rFonts w:cstheme="minorHAnsi"/>
              </w:rPr>
            </w:pPr>
            <w:r w:rsidRPr="009B4AED">
              <w:rPr>
                <w:rFonts w:cstheme="minorHAnsi"/>
              </w:rPr>
              <w:t>25642.46</w:t>
            </w:r>
          </w:p>
        </w:tc>
      </w:tr>
      <w:tr w:rsidR="00A97C0E" w14:paraId="168CBAA4" w14:textId="77777777" w:rsidTr="00272239">
        <w:tc>
          <w:tcPr>
            <w:tcW w:w="2972" w:type="dxa"/>
          </w:tcPr>
          <w:p w14:paraId="191F91C1" w14:textId="77777777" w:rsidR="00A97C0E" w:rsidRPr="009B4AED" w:rsidRDefault="00A97C0E" w:rsidP="00FF3FA0">
            <w:pPr>
              <w:rPr>
                <w:rFonts w:cstheme="minorHAnsi"/>
              </w:rPr>
            </w:pPr>
            <w:r w:rsidRPr="009B4AED">
              <w:rPr>
                <w:rFonts w:cstheme="minorHAnsi"/>
              </w:rPr>
              <w:t>Total</w:t>
            </w:r>
          </w:p>
        </w:tc>
        <w:tc>
          <w:tcPr>
            <w:tcW w:w="1134" w:type="dxa"/>
          </w:tcPr>
          <w:p w14:paraId="6B275654" w14:textId="77777777" w:rsidR="00A97C0E" w:rsidRPr="009B4AED" w:rsidRDefault="00A97C0E" w:rsidP="00FF3FA0">
            <w:pPr>
              <w:jc w:val="center"/>
              <w:rPr>
                <w:rFonts w:cstheme="minorHAnsi"/>
              </w:rPr>
            </w:pPr>
          </w:p>
        </w:tc>
        <w:tc>
          <w:tcPr>
            <w:tcW w:w="1276" w:type="dxa"/>
          </w:tcPr>
          <w:p w14:paraId="5F27BDB7" w14:textId="77777777" w:rsidR="00A97C0E" w:rsidRPr="009B4AED" w:rsidRDefault="00A97C0E" w:rsidP="00FF3FA0">
            <w:pPr>
              <w:jc w:val="center"/>
              <w:rPr>
                <w:rFonts w:cstheme="minorHAnsi"/>
              </w:rPr>
            </w:pPr>
          </w:p>
        </w:tc>
        <w:tc>
          <w:tcPr>
            <w:tcW w:w="1134" w:type="dxa"/>
          </w:tcPr>
          <w:p w14:paraId="12A5F039" w14:textId="77777777" w:rsidR="00A97C0E" w:rsidRPr="009B4AED" w:rsidRDefault="00A97C0E" w:rsidP="00FF3FA0">
            <w:pPr>
              <w:jc w:val="center"/>
              <w:rPr>
                <w:rFonts w:cstheme="minorHAnsi"/>
              </w:rPr>
            </w:pPr>
          </w:p>
        </w:tc>
        <w:tc>
          <w:tcPr>
            <w:tcW w:w="850" w:type="dxa"/>
            <w:vAlign w:val="center"/>
          </w:tcPr>
          <w:p w14:paraId="02FD6CEA" w14:textId="77777777" w:rsidR="00A97C0E" w:rsidRPr="009B4AED" w:rsidRDefault="00A97C0E" w:rsidP="00FF3FA0">
            <w:pPr>
              <w:jc w:val="center"/>
              <w:rPr>
                <w:rFonts w:cstheme="minorHAnsi"/>
              </w:rPr>
            </w:pPr>
          </w:p>
        </w:tc>
        <w:tc>
          <w:tcPr>
            <w:tcW w:w="1701" w:type="dxa"/>
          </w:tcPr>
          <w:p w14:paraId="4F47F4F2" w14:textId="77777777" w:rsidR="00A97C0E" w:rsidRPr="009B4AED" w:rsidRDefault="00A97C0E" w:rsidP="00FF3FA0">
            <w:pPr>
              <w:jc w:val="center"/>
              <w:rPr>
                <w:rFonts w:cstheme="minorHAnsi"/>
              </w:rPr>
            </w:pPr>
            <w:r w:rsidRPr="009B4AED">
              <w:rPr>
                <w:rFonts w:cstheme="minorHAnsi"/>
              </w:rPr>
              <w:t>73129.08</w:t>
            </w:r>
          </w:p>
        </w:tc>
      </w:tr>
      <w:tr w:rsidR="00A97C0E" w14:paraId="2D8FB12D" w14:textId="77777777" w:rsidTr="00272239">
        <w:tc>
          <w:tcPr>
            <w:tcW w:w="2972" w:type="dxa"/>
          </w:tcPr>
          <w:p w14:paraId="2FE0DE13" w14:textId="77777777" w:rsidR="00A97C0E" w:rsidRPr="009B4AED" w:rsidRDefault="00A97C0E" w:rsidP="00FF3FA0">
            <w:pPr>
              <w:rPr>
                <w:rFonts w:cstheme="minorHAnsi"/>
                <w:b/>
                <w:bCs/>
              </w:rPr>
            </w:pPr>
            <w:r w:rsidRPr="009B4AED">
              <w:rPr>
                <w:rFonts w:cstheme="minorHAnsi"/>
                <w:b/>
                <w:bCs/>
              </w:rPr>
              <w:t>B. Variable costs</w:t>
            </w:r>
          </w:p>
        </w:tc>
        <w:tc>
          <w:tcPr>
            <w:tcW w:w="1134" w:type="dxa"/>
          </w:tcPr>
          <w:p w14:paraId="60B45717" w14:textId="77777777" w:rsidR="00A97C0E" w:rsidRPr="009B4AED" w:rsidRDefault="00A97C0E" w:rsidP="00FF3FA0">
            <w:pPr>
              <w:jc w:val="center"/>
              <w:rPr>
                <w:rFonts w:cstheme="minorHAnsi"/>
              </w:rPr>
            </w:pPr>
          </w:p>
        </w:tc>
        <w:tc>
          <w:tcPr>
            <w:tcW w:w="1276" w:type="dxa"/>
          </w:tcPr>
          <w:p w14:paraId="017E058B" w14:textId="77777777" w:rsidR="00A97C0E" w:rsidRPr="009B4AED" w:rsidRDefault="00A97C0E" w:rsidP="00FF3FA0">
            <w:pPr>
              <w:jc w:val="center"/>
              <w:rPr>
                <w:rFonts w:cstheme="minorHAnsi"/>
              </w:rPr>
            </w:pPr>
          </w:p>
        </w:tc>
        <w:tc>
          <w:tcPr>
            <w:tcW w:w="1134" w:type="dxa"/>
          </w:tcPr>
          <w:p w14:paraId="5AA76675" w14:textId="77777777" w:rsidR="00A97C0E" w:rsidRPr="009B4AED" w:rsidRDefault="00A97C0E" w:rsidP="00FF3FA0">
            <w:pPr>
              <w:jc w:val="center"/>
              <w:rPr>
                <w:rFonts w:cstheme="minorHAnsi"/>
              </w:rPr>
            </w:pPr>
          </w:p>
        </w:tc>
        <w:tc>
          <w:tcPr>
            <w:tcW w:w="850" w:type="dxa"/>
            <w:vAlign w:val="center"/>
          </w:tcPr>
          <w:p w14:paraId="631282D9" w14:textId="77777777" w:rsidR="00A97C0E" w:rsidRPr="009B4AED" w:rsidRDefault="00A97C0E" w:rsidP="00FF3FA0">
            <w:pPr>
              <w:jc w:val="center"/>
              <w:rPr>
                <w:rFonts w:cstheme="minorHAnsi"/>
              </w:rPr>
            </w:pPr>
          </w:p>
        </w:tc>
        <w:tc>
          <w:tcPr>
            <w:tcW w:w="1701" w:type="dxa"/>
          </w:tcPr>
          <w:p w14:paraId="5832BD29" w14:textId="77777777" w:rsidR="00A97C0E" w:rsidRPr="009B4AED" w:rsidRDefault="00A97C0E" w:rsidP="00FF3FA0">
            <w:pPr>
              <w:jc w:val="center"/>
              <w:rPr>
                <w:rFonts w:cstheme="minorHAnsi"/>
              </w:rPr>
            </w:pPr>
          </w:p>
        </w:tc>
      </w:tr>
      <w:tr w:rsidR="00A97C0E" w14:paraId="5DD3E782" w14:textId="77777777" w:rsidTr="00272239">
        <w:tc>
          <w:tcPr>
            <w:tcW w:w="2972" w:type="dxa"/>
          </w:tcPr>
          <w:p w14:paraId="7C8CD8AC" w14:textId="77777777" w:rsidR="00A97C0E" w:rsidRPr="009B4AED" w:rsidRDefault="00A97C0E" w:rsidP="00FF3FA0">
            <w:pPr>
              <w:rPr>
                <w:rFonts w:cstheme="minorHAnsi"/>
              </w:rPr>
            </w:pPr>
            <w:r w:rsidRPr="009B4AED">
              <w:rPr>
                <w:rFonts w:cstheme="minorHAnsi"/>
              </w:rPr>
              <w:t>Power tiller</w:t>
            </w:r>
          </w:p>
        </w:tc>
        <w:tc>
          <w:tcPr>
            <w:tcW w:w="1134" w:type="dxa"/>
          </w:tcPr>
          <w:p w14:paraId="426129B5" w14:textId="77777777" w:rsidR="00A97C0E" w:rsidRPr="009B4AED" w:rsidRDefault="00A97C0E" w:rsidP="00FF3FA0">
            <w:pPr>
              <w:jc w:val="center"/>
              <w:rPr>
                <w:rFonts w:cstheme="minorHAnsi"/>
              </w:rPr>
            </w:pPr>
          </w:p>
        </w:tc>
        <w:tc>
          <w:tcPr>
            <w:tcW w:w="1276" w:type="dxa"/>
          </w:tcPr>
          <w:p w14:paraId="2489DBE6" w14:textId="77777777" w:rsidR="00A97C0E" w:rsidRPr="009B4AED" w:rsidRDefault="00A97C0E" w:rsidP="00FF3FA0">
            <w:pPr>
              <w:jc w:val="center"/>
              <w:rPr>
                <w:rFonts w:cstheme="minorHAnsi"/>
              </w:rPr>
            </w:pPr>
          </w:p>
        </w:tc>
        <w:tc>
          <w:tcPr>
            <w:tcW w:w="1134" w:type="dxa"/>
          </w:tcPr>
          <w:p w14:paraId="57C5C38C" w14:textId="77777777" w:rsidR="00A97C0E" w:rsidRPr="009B4AED" w:rsidRDefault="00A97C0E" w:rsidP="00FF3FA0">
            <w:pPr>
              <w:jc w:val="center"/>
              <w:rPr>
                <w:rFonts w:cstheme="minorHAnsi"/>
              </w:rPr>
            </w:pPr>
          </w:p>
        </w:tc>
        <w:tc>
          <w:tcPr>
            <w:tcW w:w="850" w:type="dxa"/>
            <w:vAlign w:val="center"/>
          </w:tcPr>
          <w:p w14:paraId="58EBA627" w14:textId="77777777" w:rsidR="00A97C0E" w:rsidRPr="009B4AED" w:rsidRDefault="00A97C0E" w:rsidP="00FF3FA0">
            <w:pPr>
              <w:jc w:val="center"/>
              <w:rPr>
                <w:rFonts w:cstheme="minorHAnsi"/>
              </w:rPr>
            </w:pPr>
            <w:r w:rsidRPr="009B4AED">
              <w:rPr>
                <w:rFonts w:cstheme="minorHAnsi"/>
              </w:rPr>
              <w:t>9.92</w:t>
            </w:r>
          </w:p>
        </w:tc>
        <w:tc>
          <w:tcPr>
            <w:tcW w:w="1701" w:type="dxa"/>
          </w:tcPr>
          <w:p w14:paraId="63520D44" w14:textId="77777777" w:rsidR="00A97C0E" w:rsidRPr="009B4AED" w:rsidRDefault="00A97C0E" w:rsidP="00FF3FA0">
            <w:pPr>
              <w:jc w:val="center"/>
              <w:rPr>
                <w:rFonts w:cstheme="minorHAnsi"/>
              </w:rPr>
            </w:pPr>
            <w:r w:rsidRPr="009B4AED">
              <w:rPr>
                <w:rFonts w:cstheme="minorHAnsi"/>
              </w:rPr>
              <w:t>5719.08</w:t>
            </w:r>
          </w:p>
        </w:tc>
      </w:tr>
      <w:tr w:rsidR="00A97C0E" w14:paraId="19D1C1CB" w14:textId="77777777" w:rsidTr="00272239">
        <w:tc>
          <w:tcPr>
            <w:tcW w:w="2972" w:type="dxa"/>
          </w:tcPr>
          <w:p w14:paraId="25653F18" w14:textId="77777777" w:rsidR="00A97C0E" w:rsidRPr="009B4AED" w:rsidRDefault="00A97C0E" w:rsidP="00FF3FA0">
            <w:pPr>
              <w:rPr>
                <w:rFonts w:cstheme="minorHAnsi"/>
              </w:rPr>
            </w:pPr>
            <w:r w:rsidRPr="009B4AED">
              <w:rPr>
                <w:rFonts w:cstheme="minorHAnsi"/>
              </w:rPr>
              <w:t>Seeds</w:t>
            </w:r>
          </w:p>
        </w:tc>
        <w:tc>
          <w:tcPr>
            <w:tcW w:w="1134" w:type="dxa"/>
          </w:tcPr>
          <w:p w14:paraId="38323F88" w14:textId="77777777" w:rsidR="00A97C0E" w:rsidRPr="009B4AED" w:rsidRDefault="00A97C0E" w:rsidP="00FF3FA0">
            <w:pPr>
              <w:jc w:val="center"/>
              <w:rPr>
                <w:rFonts w:cstheme="minorHAnsi"/>
              </w:rPr>
            </w:pPr>
            <w:r w:rsidRPr="009B4AED">
              <w:rPr>
                <w:rFonts w:cstheme="minorHAnsi"/>
              </w:rPr>
              <w:t>Kg</w:t>
            </w:r>
          </w:p>
        </w:tc>
        <w:tc>
          <w:tcPr>
            <w:tcW w:w="1276" w:type="dxa"/>
          </w:tcPr>
          <w:p w14:paraId="7ABC06A4" w14:textId="77777777" w:rsidR="00A97C0E" w:rsidRPr="009B4AED" w:rsidRDefault="00A97C0E" w:rsidP="00FF3FA0">
            <w:pPr>
              <w:jc w:val="center"/>
              <w:rPr>
                <w:rFonts w:cstheme="minorHAnsi"/>
              </w:rPr>
            </w:pPr>
            <w:r w:rsidRPr="009B4AED">
              <w:rPr>
                <w:rFonts w:cstheme="minorHAnsi"/>
              </w:rPr>
              <w:t>3.11</w:t>
            </w:r>
          </w:p>
        </w:tc>
        <w:tc>
          <w:tcPr>
            <w:tcW w:w="1134" w:type="dxa"/>
          </w:tcPr>
          <w:p w14:paraId="1A57B14D" w14:textId="77777777" w:rsidR="00A97C0E" w:rsidRPr="009B4AED" w:rsidRDefault="00A97C0E" w:rsidP="00FF3FA0">
            <w:pPr>
              <w:jc w:val="center"/>
              <w:rPr>
                <w:rFonts w:cstheme="minorHAnsi"/>
              </w:rPr>
            </w:pPr>
            <w:r w:rsidRPr="009B4AED">
              <w:rPr>
                <w:rFonts w:cstheme="minorHAnsi"/>
              </w:rPr>
              <w:t>280</w:t>
            </w:r>
          </w:p>
        </w:tc>
        <w:tc>
          <w:tcPr>
            <w:tcW w:w="850" w:type="dxa"/>
            <w:vAlign w:val="center"/>
          </w:tcPr>
          <w:p w14:paraId="313983DB" w14:textId="77777777" w:rsidR="00A97C0E" w:rsidRPr="009B4AED" w:rsidRDefault="00A97C0E" w:rsidP="00FF3FA0">
            <w:pPr>
              <w:jc w:val="center"/>
              <w:rPr>
                <w:rFonts w:cstheme="minorHAnsi"/>
              </w:rPr>
            </w:pPr>
            <w:r w:rsidRPr="009B4AED">
              <w:rPr>
                <w:rFonts w:cstheme="minorHAnsi"/>
              </w:rPr>
              <w:t>1.50</w:t>
            </w:r>
          </w:p>
        </w:tc>
        <w:tc>
          <w:tcPr>
            <w:tcW w:w="1701" w:type="dxa"/>
          </w:tcPr>
          <w:p w14:paraId="06843AD5" w14:textId="77777777" w:rsidR="00A97C0E" w:rsidRPr="009B4AED" w:rsidRDefault="00A97C0E" w:rsidP="00FF3FA0">
            <w:pPr>
              <w:jc w:val="center"/>
              <w:rPr>
                <w:rFonts w:cstheme="minorHAnsi"/>
              </w:rPr>
            </w:pPr>
            <w:r w:rsidRPr="009B4AED">
              <w:rPr>
                <w:rFonts w:cstheme="minorHAnsi"/>
              </w:rPr>
              <w:t>867.54</w:t>
            </w:r>
          </w:p>
        </w:tc>
      </w:tr>
      <w:tr w:rsidR="00A97C0E" w14:paraId="78AC4D36" w14:textId="77777777" w:rsidTr="00272239">
        <w:tc>
          <w:tcPr>
            <w:tcW w:w="2972" w:type="dxa"/>
          </w:tcPr>
          <w:p w14:paraId="1F043601" w14:textId="77777777" w:rsidR="00A97C0E" w:rsidRPr="009B4AED" w:rsidRDefault="00A97C0E" w:rsidP="00FF3FA0">
            <w:pPr>
              <w:rPr>
                <w:rFonts w:cstheme="minorHAnsi"/>
              </w:rPr>
            </w:pPr>
            <w:r w:rsidRPr="009B4AED">
              <w:rPr>
                <w:rFonts w:cstheme="minorHAnsi"/>
              </w:rPr>
              <w:t>Human Labor</w:t>
            </w:r>
          </w:p>
        </w:tc>
        <w:tc>
          <w:tcPr>
            <w:tcW w:w="1134" w:type="dxa"/>
          </w:tcPr>
          <w:p w14:paraId="7F98931C" w14:textId="77777777" w:rsidR="00A97C0E" w:rsidRPr="009B4AED" w:rsidRDefault="00A97C0E" w:rsidP="00FF3FA0">
            <w:pPr>
              <w:jc w:val="center"/>
              <w:rPr>
                <w:rFonts w:cstheme="minorHAnsi"/>
              </w:rPr>
            </w:pPr>
            <w:r w:rsidRPr="009B4AED">
              <w:rPr>
                <w:rFonts w:cstheme="minorHAnsi"/>
              </w:rPr>
              <w:t>Man/day</w:t>
            </w:r>
          </w:p>
        </w:tc>
        <w:tc>
          <w:tcPr>
            <w:tcW w:w="1276" w:type="dxa"/>
          </w:tcPr>
          <w:p w14:paraId="1B5095B5" w14:textId="77777777" w:rsidR="00A97C0E" w:rsidRPr="009B4AED" w:rsidRDefault="00A97C0E" w:rsidP="00FF3FA0">
            <w:pPr>
              <w:jc w:val="center"/>
              <w:rPr>
                <w:rFonts w:cstheme="minorHAnsi"/>
              </w:rPr>
            </w:pPr>
            <w:r w:rsidRPr="009B4AED">
              <w:rPr>
                <w:rFonts w:cstheme="minorHAnsi"/>
              </w:rPr>
              <w:t>33.72</w:t>
            </w:r>
          </w:p>
        </w:tc>
        <w:tc>
          <w:tcPr>
            <w:tcW w:w="1134" w:type="dxa"/>
          </w:tcPr>
          <w:p w14:paraId="7D8BF008" w14:textId="77777777" w:rsidR="00A97C0E" w:rsidRPr="009B4AED" w:rsidRDefault="00A97C0E" w:rsidP="00FF3FA0">
            <w:pPr>
              <w:jc w:val="center"/>
              <w:rPr>
                <w:rFonts w:cstheme="minorHAnsi"/>
              </w:rPr>
            </w:pPr>
            <w:r w:rsidRPr="009B4AED">
              <w:rPr>
                <w:rFonts w:cstheme="minorHAnsi"/>
              </w:rPr>
              <w:t>664</w:t>
            </w:r>
          </w:p>
        </w:tc>
        <w:tc>
          <w:tcPr>
            <w:tcW w:w="850" w:type="dxa"/>
            <w:vAlign w:val="center"/>
          </w:tcPr>
          <w:p w14:paraId="7C845458" w14:textId="77777777" w:rsidR="00A97C0E" w:rsidRPr="009B4AED" w:rsidRDefault="00A97C0E" w:rsidP="00FF3FA0">
            <w:pPr>
              <w:jc w:val="center"/>
              <w:rPr>
                <w:rFonts w:cstheme="minorHAnsi"/>
              </w:rPr>
            </w:pPr>
            <w:r w:rsidRPr="009B4AED">
              <w:rPr>
                <w:rFonts w:cstheme="minorHAnsi"/>
              </w:rPr>
              <w:t>38.89</w:t>
            </w:r>
          </w:p>
        </w:tc>
        <w:tc>
          <w:tcPr>
            <w:tcW w:w="1701" w:type="dxa"/>
          </w:tcPr>
          <w:p w14:paraId="7BA4B478" w14:textId="77777777" w:rsidR="00A97C0E" w:rsidRPr="009B4AED" w:rsidRDefault="00A97C0E" w:rsidP="00FF3FA0">
            <w:pPr>
              <w:jc w:val="center"/>
              <w:rPr>
                <w:rFonts w:cstheme="minorHAnsi"/>
              </w:rPr>
            </w:pPr>
            <w:r w:rsidRPr="009B4AED">
              <w:rPr>
                <w:rFonts w:cstheme="minorHAnsi"/>
              </w:rPr>
              <w:t>22421.38</w:t>
            </w:r>
          </w:p>
        </w:tc>
      </w:tr>
      <w:tr w:rsidR="00A97C0E" w14:paraId="16881BC1" w14:textId="77777777" w:rsidTr="00272239">
        <w:tc>
          <w:tcPr>
            <w:tcW w:w="2972" w:type="dxa"/>
          </w:tcPr>
          <w:p w14:paraId="051B06EF" w14:textId="77777777" w:rsidR="00A97C0E" w:rsidRPr="009B4AED" w:rsidRDefault="00A97C0E" w:rsidP="00FF3FA0">
            <w:pPr>
              <w:rPr>
                <w:rFonts w:cstheme="minorHAnsi"/>
              </w:rPr>
            </w:pPr>
            <w:r w:rsidRPr="009B4AED">
              <w:rPr>
                <w:rFonts w:cstheme="minorHAnsi"/>
              </w:rPr>
              <w:t>Urea</w:t>
            </w:r>
          </w:p>
        </w:tc>
        <w:tc>
          <w:tcPr>
            <w:tcW w:w="1134" w:type="dxa"/>
          </w:tcPr>
          <w:p w14:paraId="78E5AB1B" w14:textId="77777777" w:rsidR="00A97C0E" w:rsidRPr="009B4AED" w:rsidRDefault="00A97C0E" w:rsidP="00FF3FA0">
            <w:pPr>
              <w:jc w:val="center"/>
              <w:rPr>
                <w:rFonts w:cstheme="minorHAnsi"/>
              </w:rPr>
            </w:pPr>
            <w:r w:rsidRPr="009B4AED">
              <w:rPr>
                <w:rFonts w:cstheme="minorHAnsi"/>
              </w:rPr>
              <w:t>Kg</w:t>
            </w:r>
          </w:p>
        </w:tc>
        <w:tc>
          <w:tcPr>
            <w:tcW w:w="1276" w:type="dxa"/>
          </w:tcPr>
          <w:p w14:paraId="1DE21210" w14:textId="77777777" w:rsidR="00A97C0E" w:rsidRPr="009B4AED" w:rsidRDefault="00A97C0E" w:rsidP="00FF3FA0">
            <w:pPr>
              <w:jc w:val="center"/>
              <w:rPr>
                <w:rFonts w:cstheme="minorHAnsi"/>
              </w:rPr>
            </w:pPr>
            <w:r w:rsidRPr="009B4AED">
              <w:rPr>
                <w:rFonts w:cstheme="minorHAnsi"/>
              </w:rPr>
              <w:t>32.52</w:t>
            </w:r>
          </w:p>
        </w:tc>
        <w:tc>
          <w:tcPr>
            <w:tcW w:w="1134" w:type="dxa"/>
          </w:tcPr>
          <w:p w14:paraId="04DBAEFB" w14:textId="77777777" w:rsidR="00A97C0E" w:rsidRPr="009B4AED" w:rsidRDefault="00A97C0E" w:rsidP="00FF3FA0">
            <w:pPr>
              <w:jc w:val="center"/>
              <w:rPr>
                <w:rFonts w:cstheme="minorHAnsi"/>
              </w:rPr>
            </w:pPr>
            <w:r w:rsidRPr="009B4AED">
              <w:rPr>
                <w:rFonts w:cstheme="minorHAnsi"/>
              </w:rPr>
              <w:t>30.03</w:t>
            </w:r>
          </w:p>
        </w:tc>
        <w:tc>
          <w:tcPr>
            <w:tcW w:w="850" w:type="dxa"/>
            <w:vAlign w:val="center"/>
          </w:tcPr>
          <w:p w14:paraId="7AD48B60" w14:textId="77777777" w:rsidR="00A97C0E" w:rsidRPr="009B4AED" w:rsidRDefault="00A97C0E" w:rsidP="00FF3FA0">
            <w:pPr>
              <w:jc w:val="center"/>
              <w:rPr>
                <w:rFonts w:cstheme="minorHAnsi"/>
              </w:rPr>
            </w:pPr>
            <w:r w:rsidRPr="009B4AED">
              <w:rPr>
                <w:rFonts w:cstheme="minorHAnsi"/>
              </w:rPr>
              <w:t>1.69</w:t>
            </w:r>
          </w:p>
        </w:tc>
        <w:tc>
          <w:tcPr>
            <w:tcW w:w="1701" w:type="dxa"/>
          </w:tcPr>
          <w:p w14:paraId="46F3EAEB" w14:textId="77777777" w:rsidR="00A97C0E" w:rsidRPr="009B4AED" w:rsidRDefault="00A97C0E" w:rsidP="00FF3FA0">
            <w:pPr>
              <w:jc w:val="center"/>
              <w:rPr>
                <w:rFonts w:cstheme="minorHAnsi"/>
              </w:rPr>
            </w:pPr>
            <w:r w:rsidRPr="009B4AED">
              <w:rPr>
                <w:rFonts w:cstheme="minorHAnsi"/>
              </w:rPr>
              <w:t>974.25</w:t>
            </w:r>
          </w:p>
        </w:tc>
      </w:tr>
      <w:tr w:rsidR="00A97C0E" w14:paraId="5735FD88" w14:textId="77777777" w:rsidTr="00272239">
        <w:tc>
          <w:tcPr>
            <w:tcW w:w="2972" w:type="dxa"/>
          </w:tcPr>
          <w:p w14:paraId="7E9D818B" w14:textId="77777777" w:rsidR="00A97C0E" w:rsidRPr="009B4AED" w:rsidRDefault="00A97C0E" w:rsidP="00FF3FA0">
            <w:pPr>
              <w:rPr>
                <w:rFonts w:cstheme="minorHAnsi"/>
              </w:rPr>
            </w:pPr>
            <w:r w:rsidRPr="009B4AED">
              <w:rPr>
                <w:rFonts w:cstheme="minorHAnsi"/>
              </w:rPr>
              <w:t>TSP</w:t>
            </w:r>
          </w:p>
        </w:tc>
        <w:tc>
          <w:tcPr>
            <w:tcW w:w="1134" w:type="dxa"/>
          </w:tcPr>
          <w:p w14:paraId="7B7FA7CE" w14:textId="77777777" w:rsidR="00A97C0E" w:rsidRPr="009B4AED" w:rsidRDefault="00A97C0E" w:rsidP="00FF3FA0">
            <w:pPr>
              <w:jc w:val="center"/>
              <w:rPr>
                <w:rFonts w:cstheme="minorHAnsi"/>
              </w:rPr>
            </w:pPr>
            <w:r w:rsidRPr="009B4AED">
              <w:rPr>
                <w:rFonts w:cstheme="minorHAnsi"/>
              </w:rPr>
              <w:t>Kg</w:t>
            </w:r>
          </w:p>
        </w:tc>
        <w:tc>
          <w:tcPr>
            <w:tcW w:w="1276" w:type="dxa"/>
          </w:tcPr>
          <w:p w14:paraId="6B5582D8" w14:textId="77777777" w:rsidR="00A97C0E" w:rsidRPr="009B4AED" w:rsidRDefault="00A97C0E" w:rsidP="00FF3FA0">
            <w:pPr>
              <w:jc w:val="center"/>
              <w:rPr>
                <w:rFonts w:cstheme="minorHAnsi"/>
              </w:rPr>
            </w:pPr>
            <w:r w:rsidRPr="009B4AED">
              <w:rPr>
                <w:rFonts w:cstheme="minorHAnsi"/>
              </w:rPr>
              <w:t>25.38</w:t>
            </w:r>
          </w:p>
        </w:tc>
        <w:tc>
          <w:tcPr>
            <w:tcW w:w="1134" w:type="dxa"/>
          </w:tcPr>
          <w:p w14:paraId="4A897FCB" w14:textId="77777777" w:rsidR="00A97C0E" w:rsidRPr="009B4AED" w:rsidRDefault="00A97C0E" w:rsidP="00FF3FA0">
            <w:pPr>
              <w:jc w:val="center"/>
              <w:rPr>
                <w:rFonts w:cstheme="minorHAnsi"/>
              </w:rPr>
            </w:pPr>
            <w:r w:rsidRPr="009B4AED">
              <w:rPr>
                <w:rFonts w:cstheme="minorHAnsi"/>
              </w:rPr>
              <w:t>32.91</w:t>
            </w:r>
          </w:p>
        </w:tc>
        <w:tc>
          <w:tcPr>
            <w:tcW w:w="850" w:type="dxa"/>
            <w:vAlign w:val="center"/>
          </w:tcPr>
          <w:p w14:paraId="17F87B2C" w14:textId="77777777" w:rsidR="00A97C0E" w:rsidRPr="009B4AED" w:rsidRDefault="00A97C0E" w:rsidP="00FF3FA0">
            <w:pPr>
              <w:jc w:val="center"/>
              <w:rPr>
                <w:rFonts w:cstheme="minorHAnsi"/>
              </w:rPr>
            </w:pPr>
            <w:r w:rsidRPr="009B4AED">
              <w:rPr>
                <w:rFonts w:cstheme="minorHAnsi"/>
              </w:rPr>
              <w:t>1.44</w:t>
            </w:r>
          </w:p>
        </w:tc>
        <w:tc>
          <w:tcPr>
            <w:tcW w:w="1701" w:type="dxa"/>
          </w:tcPr>
          <w:p w14:paraId="3299F418" w14:textId="77777777" w:rsidR="00A97C0E" w:rsidRPr="009B4AED" w:rsidRDefault="00A97C0E" w:rsidP="00FF3FA0">
            <w:pPr>
              <w:jc w:val="center"/>
              <w:rPr>
                <w:rFonts w:cstheme="minorHAnsi"/>
              </w:rPr>
            </w:pPr>
            <w:r w:rsidRPr="009B4AED">
              <w:rPr>
                <w:rFonts w:cstheme="minorHAnsi"/>
              </w:rPr>
              <w:t>831.63</w:t>
            </w:r>
          </w:p>
        </w:tc>
      </w:tr>
      <w:tr w:rsidR="00A97C0E" w14:paraId="7900EBF7" w14:textId="77777777" w:rsidTr="00272239">
        <w:tc>
          <w:tcPr>
            <w:tcW w:w="2972" w:type="dxa"/>
          </w:tcPr>
          <w:p w14:paraId="4D4C28D1" w14:textId="77777777" w:rsidR="00A97C0E" w:rsidRPr="009B4AED" w:rsidRDefault="00A97C0E" w:rsidP="00FF3FA0">
            <w:pPr>
              <w:rPr>
                <w:rFonts w:cstheme="minorHAnsi"/>
              </w:rPr>
            </w:pPr>
            <w:r w:rsidRPr="009B4AED">
              <w:rPr>
                <w:rFonts w:cstheme="minorHAnsi"/>
              </w:rPr>
              <w:t>Pesticides</w:t>
            </w:r>
          </w:p>
        </w:tc>
        <w:tc>
          <w:tcPr>
            <w:tcW w:w="1134" w:type="dxa"/>
          </w:tcPr>
          <w:p w14:paraId="7DC6AEAB" w14:textId="77777777" w:rsidR="00A97C0E" w:rsidRPr="009B4AED" w:rsidRDefault="00A97C0E" w:rsidP="00FF3FA0">
            <w:pPr>
              <w:jc w:val="center"/>
              <w:rPr>
                <w:rFonts w:cstheme="minorHAnsi"/>
              </w:rPr>
            </w:pPr>
          </w:p>
        </w:tc>
        <w:tc>
          <w:tcPr>
            <w:tcW w:w="1276" w:type="dxa"/>
          </w:tcPr>
          <w:p w14:paraId="4A27C0AB" w14:textId="77777777" w:rsidR="00A97C0E" w:rsidRPr="009B4AED" w:rsidRDefault="00A97C0E" w:rsidP="00FF3FA0">
            <w:pPr>
              <w:jc w:val="center"/>
              <w:rPr>
                <w:rFonts w:cstheme="minorHAnsi"/>
              </w:rPr>
            </w:pPr>
          </w:p>
        </w:tc>
        <w:tc>
          <w:tcPr>
            <w:tcW w:w="1134" w:type="dxa"/>
          </w:tcPr>
          <w:p w14:paraId="72174559" w14:textId="77777777" w:rsidR="00A97C0E" w:rsidRPr="009B4AED" w:rsidRDefault="00A97C0E" w:rsidP="00FF3FA0">
            <w:pPr>
              <w:jc w:val="center"/>
              <w:rPr>
                <w:rFonts w:cstheme="minorHAnsi"/>
              </w:rPr>
            </w:pPr>
          </w:p>
        </w:tc>
        <w:tc>
          <w:tcPr>
            <w:tcW w:w="850" w:type="dxa"/>
            <w:vAlign w:val="center"/>
          </w:tcPr>
          <w:p w14:paraId="01CC5063" w14:textId="77777777" w:rsidR="00A97C0E" w:rsidRPr="009B4AED" w:rsidRDefault="00A97C0E" w:rsidP="00FF3FA0">
            <w:pPr>
              <w:jc w:val="center"/>
              <w:rPr>
                <w:rFonts w:cstheme="minorHAnsi"/>
              </w:rPr>
            </w:pPr>
            <w:r w:rsidRPr="009B4AED">
              <w:rPr>
                <w:rFonts w:cstheme="minorHAnsi"/>
              </w:rPr>
              <w:t>1.47</w:t>
            </w:r>
          </w:p>
        </w:tc>
        <w:tc>
          <w:tcPr>
            <w:tcW w:w="1701" w:type="dxa"/>
          </w:tcPr>
          <w:p w14:paraId="16348C8E" w14:textId="77777777" w:rsidR="00A97C0E" w:rsidRPr="009B4AED" w:rsidRDefault="00A97C0E" w:rsidP="00FF3FA0">
            <w:pPr>
              <w:jc w:val="center"/>
              <w:rPr>
                <w:rFonts w:cstheme="minorHAnsi"/>
              </w:rPr>
            </w:pPr>
            <w:r w:rsidRPr="009B4AED">
              <w:rPr>
                <w:rFonts w:cstheme="minorHAnsi"/>
              </w:rPr>
              <w:t>845.69</w:t>
            </w:r>
          </w:p>
        </w:tc>
      </w:tr>
      <w:tr w:rsidR="00A97C0E" w14:paraId="0FF04717" w14:textId="77777777" w:rsidTr="00272239">
        <w:tc>
          <w:tcPr>
            <w:tcW w:w="2972" w:type="dxa"/>
          </w:tcPr>
          <w:p w14:paraId="33696568" w14:textId="77777777" w:rsidR="00A97C0E" w:rsidRPr="009B4AED" w:rsidRDefault="00A97C0E" w:rsidP="00FF3FA0">
            <w:pPr>
              <w:rPr>
                <w:rFonts w:cstheme="minorHAnsi"/>
              </w:rPr>
            </w:pPr>
            <w:r w:rsidRPr="009B4AED">
              <w:rPr>
                <w:rFonts w:cstheme="minorHAnsi"/>
              </w:rPr>
              <w:t>Transportation for retting</w:t>
            </w:r>
          </w:p>
        </w:tc>
        <w:tc>
          <w:tcPr>
            <w:tcW w:w="1134" w:type="dxa"/>
          </w:tcPr>
          <w:p w14:paraId="6D64183A" w14:textId="77777777" w:rsidR="00A97C0E" w:rsidRPr="009B4AED" w:rsidRDefault="00A97C0E" w:rsidP="00FF3FA0">
            <w:pPr>
              <w:jc w:val="center"/>
              <w:rPr>
                <w:rFonts w:cstheme="minorHAnsi"/>
              </w:rPr>
            </w:pPr>
          </w:p>
        </w:tc>
        <w:tc>
          <w:tcPr>
            <w:tcW w:w="1276" w:type="dxa"/>
          </w:tcPr>
          <w:p w14:paraId="340253EB" w14:textId="77777777" w:rsidR="00A97C0E" w:rsidRPr="009B4AED" w:rsidRDefault="00A97C0E" w:rsidP="00FF3FA0">
            <w:pPr>
              <w:jc w:val="center"/>
              <w:rPr>
                <w:rFonts w:cstheme="minorHAnsi"/>
              </w:rPr>
            </w:pPr>
          </w:p>
        </w:tc>
        <w:tc>
          <w:tcPr>
            <w:tcW w:w="1134" w:type="dxa"/>
          </w:tcPr>
          <w:p w14:paraId="585A391C" w14:textId="77777777" w:rsidR="00A97C0E" w:rsidRPr="009B4AED" w:rsidRDefault="00A97C0E" w:rsidP="00FF3FA0">
            <w:pPr>
              <w:jc w:val="center"/>
              <w:rPr>
                <w:rFonts w:cstheme="minorHAnsi"/>
              </w:rPr>
            </w:pPr>
          </w:p>
        </w:tc>
        <w:tc>
          <w:tcPr>
            <w:tcW w:w="850" w:type="dxa"/>
            <w:vAlign w:val="center"/>
          </w:tcPr>
          <w:p w14:paraId="184DBFBD" w14:textId="77777777" w:rsidR="00A97C0E" w:rsidRPr="009B4AED" w:rsidRDefault="00A97C0E" w:rsidP="00FF3FA0">
            <w:pPr>
              <w:jc w:val="center"/>
              <w:rPr>
                <w:rFonts w:cstheme="minorHAnsi"/>
              </w:rPr>
            </w:pPr>
            <w:r w:rsidRPr="009B4AED">
              <w:rPr>
                <w:rFonts w:cstheme="minorHAnsi"/>
              </w:rPr>
              <w:t>1.09</w:t>
            </w:r>
          </w:p>
        </w:tc>
        <w:tc>
          <w:tcPr>
            <w:tcW w:w="1701" w:type="dxa"/>
          </w:tcPr>
          <w:p w14:paraId="79C183F5" w14:textId="77777777" w:rsidR="00A97C0E" w:rsidRPr="009B4AED" w:rsidRDefault="00A97C0E" w:rsidP="00FF3FA0">
            <w:pPr>
              <w:jc w:val="center"/>
              <w:rPr>
                <w:rFonts w:cstheme="minorHAnsi"/>
              </w:rPr>
            </w:pPr>
            <w:r w:rsidRPr="009B4AED">
              <w:rPr>
                <w:rFonts w:cstheme="minorHAnsi"/>
              </w:rPr>
              <w:t>630</w:t>
            </w:r>
          </w:p>
        </w:tc>
      </w:tr>
      <w:tr w:rsidR="00A97C0E" w14:paraId="0D77C710" w14:textId="77777777" w:rsidTr="00272239">
        <w:tc>
          <w:tcPr>
            <w:tcW w:w="2972" w:type="dxa"/>
          </w:tcPr>
          <w:p w14:paraId="0FE40537" w14:textId="77777777" w:rsidR="00A97C0E" w:rsidRPr="009B4AED" w:rsidRDefault="00A97C0E" w:rsidP="00FF3FA0">
            <w:pPr>
              <w:rPr>
                <w:rFonts w:cstheme="minorHAnsi"/>
              </w:rPr>
            </w:pPr>
            <w:r w:rsidRPr="009B4AED">
              <w:rPr>
                <w:rFonts w:cstheme="minorHAnsi"/>
              </w:rPr>
              <w:t>Interest on Operating Capital</w:t>
            </w:r>
          </w:p>
        </w:tc>
        <w:tc>
          <w:tcPr>
            <w:tcW w:w="1134" w:type="dxa"/>
          </w:tcPr>
          <w:p w14:paraId="39A8C9E0" w14:textId="77777777" w:rsidR="00A97C0E" w:rsidRPr="009B4AED" w:rsidRDefault="00A97C0E" w:rsidP="00FF3FA0">
            <w:pPr>
              <w:jc w:val="center"/>
              <w:rPr>
                <w:rFonts w:cstheme="minorHAnsi"/>
              </w:rPr>
            </w:pPr>
          </w:p>
        </w:tc>
        <w:tc>
          <w:tcPr>
            <w:tcW w:w="1276" w:type="dxa"/>
          </w:tcPr>
          <w:p w14:paraId="1B556760" w14:textId="77777777" w:rsidR="00A97C0E" w:rsidRPr="009B4AED" w:rsidRDefault="00A97C0E" w:rsidP="00FF3FA0">
            <w:pPr>
              <w:jc w:val="center"/>
              <w:rPr>
                <w:rFonts w:cstheme="minorHAnsi"/>
              </w:rPr>
            </w:pPr>
          </w:p>
        </w:tc>
        <w:tc>
          <w:tcPr>
            <w:tcW w:w="1134" w:type="dxa"/>
          </w:tcPr>
          <w:p w14:paraId="366B8EEA" w14:textId="77777777" w:rsidR="00A97C0E" w:rsidRPr="009B4AED" w:rsidRDefault="00A97C0E" w:rsidP="00FF3FA0">
            <w:pPr>
              <w:jc w:val="center"/>
              <w:rPr>
                <w:rFonts w:cstheme="minorHAnsi"/>
              </w:rPr>
            </w:pPr>
          </w:p>
        </w:tc>
        <w:tc>
          <w:tcPr>
            <w:tcW w:w="850" w:type="dxa"/>
            <w:vAlign w:val="center"/>
          </w:tcPr>
          <w:p w14:paraId="575673F5" w14:textId="77777777" w:rsidR="00A97C0E" w:rsidRPr="009B4AED" w:rsidRDefault="00A97C0E" w:rsidP="00FF3FA0">
            <w:pPr>
              <w:jc w:val="center"/>
              <w:rPr>
                <w:rFonts w:cstheme="minorHAnsi"/>
              </w:rPr>
            </w:pPr>
            <w:r w:rsidRPr="009B4AED">
              <w:rPr>
                <w:rFonts w:cstheme="minorHAnsi"/>
              </w:rPr>
              <w:t>2.80</w:t>
            </w:r>
          </w:p>
        </w:tc>
        <w:tc>
          <w:tcPr>
            <w:tcW w:w="1701" w:type="dxa"/>
          </w:tcPr>
          <w:p w14:paraId="2AAB6CC0" w14:textId="77777777" w:rsidR="00A97C0E" w:rsidRPr="009B4AED" w:rsidRDefault="00A97C0E" w:rsidP="00FF3FA0">
            <w:pPr>
              <w:jc w:val="center"/>
              <w:rPr>
                <w:rFonts w:cstheme="minorHAnsi"/>
              </w:rPr>
            </w:pPr>
            <w:r w:rsidRPr="009B4AED">
              <w:rPr>
                <w:rFonts w:cstheme="minorHAnsi"/>
              </w:rPr>
              <w:t>1614.48</w:t>
            </w:r>
          </w:p>
        </w:tc>
      </w:tr>
      <w:tr w:rsidR="00A97C0E" w14:paraId="1541B4F1" w14:textId="77777777" w:rsidTr="00272239">
        <w:tc>
          <w:tcPr>
            <w:tcW w:w="2972" w:type="dxa"/>
          </w:tcPr>
          <w:p w14:paraId="471C64F6" w14:textId="77777777" w:rsidR="00A97C0E" w:rsidRPr="009B4AED" w:rsidRDefault="00A97C0E" w:rsidP="00FF3FA0">
            <w:pPr>
              <w:rPr>
                <w:rFonts w:cstheme="minorHAnsi"/>
              </w:rPr>
            </w:pPr>
            <w:r w:rsidRPr="009B4AED">
              <w:rPr>
                <w:rFonts w:cstheme="minorHAnsi"/>
              </w:rPr>
              <w:t>Total Variable Costs</w:t>
            </w:r>
          </w:p>
        </w:tc>
        <w:tc>
          <w:tcPr>
            <w:tcW w:w="1134" w:type="dxa"/>
          </w:tcPr>
          <w:p w14:paraId="275A1B64" w14:textId="77777777" w:rsidR="00A97C0E" w:rsidRPr="009B4AED" w:rsidRDefault="00A97C0E" w:rsidP="00FF3FA0">
            <w:pPr>
              <w:jc w:val="center"/>
              <w:rPr>
                <w:rFonts w:cstheme="minorHAnsi"/>
              </w:rPr>
            </w:pPr>
          </w:p>
        </w:tc>
        <w:tc>
          <w:tcPr>
            <w:tcW w:w="1276" w:type="dxa"/>
          </w:tcPr>
          <w:p w14:paraId="46D9A5FE" w14:textId="77777777" w:rsidR="00A97C0E" w:rsidRPr="009B4AED" w:rsidRDefault="00A97C0E" w:rsidP="00FF3FA0">
            <w:pPr>
              <w:jc w:val="center"/>
              <w:rPr>
                <w:rFonts w:cstheme="minorHAnsi"/>
              </w:rPr>
            </w:pPr>
          </w:p>
        </w:tc>
        <w:tc>
          <w:tcPr>
            <w:tcW w:w="1134" w:type="dxa"/>
          </w:tcPr>
          <w:p w14:paraId="26C1D2DF" w14:textId="77777777" w:rsidR="00A97C0E" w:rsidRPr="009B4AED" w:rsidRDefault="00A97C0E" w:rsidP="00FF3FA0">
            <w:pPr>
              <w:jc w:val="center"/>
              <w:rPr>
                <w:rFonts w:cstheme="minorHAnsi"/>
              </w:rPr>
            </w:pPr>
          </w:p>
        </w:tc>
        <w:tc>
          <w:tcPr>
            <w:tcW w:w="850" w:type="dxa"/>
            <w:vAlign w:val="center"/>
          </w:tcPr>
          <w:p w14:paraId="74C3876E" w14:textId="77777777" w:rsidR="00A97C0E" w:rsidRPr="009B4AED" w:rsidRDefault="00A97C0E" w:rsidP="00FF3FA0">
            <w:pPr>
              <w:jc w:val="center"/>
              <w:rPr>
                <w:rFonts w:cstheme="minorHAnsi"/>
              </w:rPr>
            </w:pPr>
          </w:p>
        </w:tc>
        <w:tc>
          <w:tcPr>
            <w:tcW w:w="1701" w:type="dxa"/>
          </w:tcPr>
          <w:p w14:paraId="0C2F7FAD" w14:textId="77777777" w:rsidR="00A97C0E" w:rsidRPr="009B4AED" w:rsidRDefault="00A97C0E" w:rsidP="00FF3FA0">
            <w:pPr>
              <w:jc w:val="center"/>
              <w:rPr>
                <w:rFonts w:cstheme="minorHAnsi"/>
              </w:rPr>
            </w:pPr>
            <w:r w:rsidRPr="009B4AED">
              <w:rPr>
                <w:rFonts w:cstheme="minorHAnsi"/>
              </w:rPr>
              <w:t>33904.05</w:t>
            </w:r>
          </w:p>
        </w:tc>
      </w:tr>
      <w:tr w:rsidR="00A97C0E" w14:paraId="0C5A1EFB" w14:textId="77777777" w:rsidTr="00272239">
        <w:tc>
          <w:tcPr>
            <w:tcW w:w="2972" w:type="dxa"/>
          </w:tcPr>
          <w:p w14:paraId="14C731A8" w14:textId="77777777" w:rsidR="00A97C0E" w:rsidRPr="009B4AED" w:rsidRDefault="00A97C0E" w:rsidP="00FF3FA0">
            <w:pPr>
              <w:rPr>
                <w:rFonts w:cstheme="minorHAnsi"/>
                <w:b/>
                <w:bCs/>
              </w:rPr>
            </w:pPr>
            <w:r w:rsidRPr="009B4AED">
              <w:rPr>
                <w:rFonts w:cstheme="minorHAnsi"/>
                <w:b/>
                <w:bCs/>
              </w:rPr>
              <w:t>C. Gross Margin (A-B)</w:t>
            </w:r>
          </w:p>
        </w:tc>
        <w:tc>
          <w:tcPr>
            <w:tcW w:w="1134" w:type="dxa"/>
          </w:tcPr>
          <w:p w14:paraId="38C8C509" w14:textId="77777777" w:rsidR="00A97C0E" w:rsidRPr="009B4AED" w:rsidRDefault="00A97C0E" w:rsidP="00FF3FA0">
            <w:pPr>
              <w:jc w:val="center"/>
              <w:rPr>
                <w:rFonts w:cstheme="minorHAnsi"/>
              </w:rPr>
            </w:pPr>
          </w:p>
        </w:tc>
        <w:tc>
          <w:tcPr>
            <w:tcW w:w="1276" w:type="dxa"/>
          </w:tcPr>
          <w:p w14:paraId="093BBD4B" w14:textId="77777777" w:rsidR="00A97C0E" w:rsidRPr="009B4AED" w:rsidRDefault="00A97C0E" w:rsidP="00FF3FA0">
            <w:pPr>
              <w:jc w:val="center"/>
              <w:rPr>
                <w:rFonts w:cstheme="minorHAnsi"/>
              </w:rPr>
            </w:pPr>
          </w:p>
        </w:tc>
        <w:tc>
          <w:tcPr>
            <w:tcW w:w="1134" w:type="dxa"/>
          </w:tcPr>
          <w:p w14:paraId="53D9A39D" w14:textId="77777777" w:rsidR="00A97C0E" w:rsidRPr="009B4AED" w:rsidRDefault="00A97C0E" w:rsidP="00FF3FA0">
            <w:pPr>
              <w:jc w:val="center"/>
              <w:rPr>
                <w:rFonts w:cstheme="minorHAnsi"/>
              </w:rPr>
            </w:pPr>
          </w:p>
        </w:tc>
        <w:tc>
          <w:tcPr>
            <w:tcW w:w="850" w:type="dxa"/>
            <w:vAlign w:val="center"/>
          </w:tcPr>
          <w:p w14:paraId="5F668ECE" w14:textId="77777777" w:rsidR="00A97C0E" w:rsidRPr="009B4AED" w:rsidRDefault="00A97C0E" w:rsidP="00FF3FA0">
            <w:pPr>
              <w:jc w:val="center"/>
              <w:rPr>
                <w:rFonts w:cstheme="minorHAnsi"/>
              </w:rPr>
            </w:pPr>
          </w:p>
        </w:tc>
        <w:tc>
          <w:tcPr>
            <w:tcW w:w="1701" w:type="dxa"/>
          </w:tcPr>
          <w:p w14:paraId="7C816DB1" w14:textId="77777777" w:rsidR="00A97C0E" w:rsidRPr="009B4AED" w:rsidRDefault="00A97C0E" w:rsidP="00FF3FA0">
            <w:pPr>
              <w:jc w:val="center"/>
              <w:rPr>
                <w:rFonts w:cstheme="minorHAnsi"/>
              </w:rPr>
            </w:pPr>
            <w:r w:rsidRPr="009B4AED">
              <w:rPr>
                <w:rFonts w:cstheme="minorHAnsi"/>
              </w:rPr>
              <w:t>39225.03</w:t>
            </w:r>
          </w:p>
        </w:tc>
      </w:tr>
      <w:tr w:rsidR="00A97C0E" w14:paraId="16618644" w14:textId="77777777" w:rsidTr="00272239">
        <w:tc>
          <w:tcPr>
            <w:tcW w:w="2972" w:type="dxa"/>
          </w:tcPr>
          <w:p w14:paraId="78634A70" w14:textId="77777777" w:rsidR="00A97C0E" w:rsidRPr="009B4AED" w:rsidRDefault="00A97C0E" w:rsidP="00FF3FA0">
            <w:pPr>
              <w:rPr>
                <w:rFonts w:cstheme="minorHAnsi"/>
                <w:b/>
                <w:bCs/>
              </w:rPr>
            </w:pPr>
            <w:r w:rsidRPr="009B4AED">
              <w:rPr>
                <w:rFonts w:cstheme="minorHAnsi"/>
                <w:b/>
                <w:bCs/>
              </w:rPr>
              <w:t>D. Fixed Costs</w:t>
            </w:r>
          </w:p>
        </w:tc>
        <w:tc>
          <w:tcPr>
            <w:tcW w:w="1134" w:type="dxa"/>
          </w:tcPr>
          <w:p w14:paraId="142BA0ED" w14:textId="77777777" w:rsidR="00A97C0E" w:rsidRPr="009B4AED" w:rsidRDefault="00A97C0E" w:rsidP="00FF3FA0">
            <w:pPr>
              <w:jc w:val="center"/>
              <w:rPr>
                <w:rFonts w:cstheme="minorHAnsi"/>
              </w:rPr>
            </w:pPr>
          </w:p>
        </w:tc>
        <w:tc>
          <w:tcPr>
            <w:tcW w:w="1276" w:type="dxa"/>
          </w:tcPr>
          <w:p w14:paraId="68C96FD9" w14:textId="77777777" w:rsidR="00A97C0E" w:rsidRPr="009B4AED" w:rsidRDefault="00A97C0E" w:rsidP="00FF3FA0">
            <w:pPr>
              <w:jc w:val="center"/>
              <w:rPr>
                <w:rFonts w:cstheme="minorHAnsi"/>
              </w:rPr>
            </w:pPr>
          </w:p>
        </w:tc>
        <w:tc>
          <w:tcPr>
            <w:tcW w:w="1134" w:type="dxa"/>
          </w:tcPr>
          <w:p w14:paraId="12D4CA2D" w14:textId="77777777" w:rsidR="00A97C0E" w:rsidRPr="009B4AED" w:rsidRDefault="00A97C0E" w:rsidP="00FF3FA0">
            <w:pPr>
              <w:jc w:val="center"/>
              <w:rPr>
                <w:rFonts w:cstheme="minorHAnsi"/>
              </w:rPr>
            </w:pPr>
          </w:p>
        </w:tc>
        <w:tc>
          <w:tcPr>
            <w:tcW w:w="850" w:type="dxa"/>
            <w:vAlign w:val="center"/>
          </w:tcPr>
          <w:p w14:paraId="085CDADF" w14:textId="77777777" w:rsidR="00A97C0E" w:rsidRPr="009B4AED" w:rsidRDefault="00A97C0E" w:rsidP="00FF3FA0">
            <w:pPr>
              <w:jc w:val="center"/>
              <w:rPr>
                <w:rFonts w:cstheme="minorHAnsi"/>
              </w:rPr>
            </w:pPr>
          </w:p>
        </w:tc>
        <w:tc>
          <w:tcPr>
            <w:tcW w:w="1701" w:type="dxa"/>
          </w:tcPr>
          <w:p w14:paraId="6D454B2A" w14:textId="77777777" w:rsidR="00A97C0E" w:rsidRPr="009B4AED" w:rsidRDefault="00A97C0E" w:rsidP="00FF3FA0">
            <w:pPr>
              <w:jc w:val="center"/>
              <w:rPr>
                <w:rFonts w:cstheme="minorHAnsi"/>
              </w:rPr>
            </w:pPr>
          </w:p>
        </w:tc>
      </w:tr>
      <w:tr w:rsidR="00A97C0E" w14:paraId="7A51DFB1" w14:textId="77777777" w:rsidTr="00272239">
        <w:tc>
          <w:tcPr>
            <w:tcW w:w="2972" w:type="dxa"/>
          </w:tcPr>
          <w:p w14:paraId="3668A9DB" w14:textId="77777777" w:rsidR="00A97C0E" w:rsidRPr="009B4AED" w:rsidRDefault="00A97C0E" w:rsidP="00FF3FA0">
            <w:pPr>
              <w:rPr>
                <w:rFonts w:cstheme="minorHAnsi"/>
              </w:rPr>
            </w:pPr>
            <w:r w:rsidRPr="009B4AED">
              <w:rPr>
                <w:rFonts w:cstheme="minorHAnsi"/>
              </w:rPr>
              <w:t>Land rental value</w:t>
            </w:r>
          </w:p>
        </w:tc>
        <w:tc>
          <w:tcPr>
            <w:tcW w:w="1134" w:type="dxa"/>
          </w:tcPr>
          <w:p w14:paraId="68491783" w14:textId="77777777" w:rsidR="00A97C0E" w:rsidRPr="009B4AED" w:rsidRDefault="00A97C0E" w:rsidP="00FF3FA0">
            <w:pPr>
              <w:jc w:val="center"/>
              <w:rPr>
                <w:rFonts w:cstheme="minorHAnsi"/>
              </w:rPr>
            </w:pPr>
          </w:p>
        </w:tc>
        <w:tc>
          <w:tcPr>
            <w:tcW w:w="1276" w:type="dxa"/>
          </w:tcPr>
          <w:p w14:paraId="5717FE71" w14:textId="77777777" w:rsidR="00A97C0E" w:rsidRPr="009B4AED" w:rsidRDefault="00A97C0E" w:rsidP="00FF3FA0">
            <w:pPr>
              <w:jc w:val="center"/>
              <w:rPr>
                <w:rFonts w:cstheme="minorHAnsi"/>
              </w:rPr>
            </w:pPr>
          </w:p>
        </w:tc>
        <w:tc>
          <w:tcPr>
            <w:tcW w:w="1134" w:type="dxa"/>
          </w:tcPr>
          <w:p w14:paraId="4E890692" w14:textId="77777777" w:rsidR="00A97C0E" w:rsidRPr="009B4AED" w:rsidRDefault="00A97C0E" w:rsidP="00FF3FA0">
            <w:pPr>
              <w:jc w:val="center"/>
              <w:rPr>
                <w:rFonts w:cstheme="minorHAnsi"/>
              </w:rPr>
            </w:pPr>
          </w:p>
        </w:tc>
        <w:tc>
          <w:tcPr>
            <w:tcW w:w="850" w:type="dxa"/>
            <w:vAlign w:val="center"/>
          </w:tcPr>
          <w:p w14:paraId="79CE00DA" w14:textId="77777777" w:rsidR="00A97C0E" w:rsidRPr="009B4AED" w:rsidRDefault="00A97C0E" w:rsidP="00FF3FA0">
            <w:pPr>
              <w:jc w:val="center"/>
              <w:rPr>
                <w:rFonts w:cstheme="minorHAnsi"/>
              </w:rPr>
            </w:pPr>
            <w:r w:rsidRPr="009B4AED">
              <w:rPr>
                <w:rFonts w:cstheme="minorHAnsi"/>
              </w:rPr>
              <w:t>41.19</w:t>
            </w:r>
          </w:p>
        </w:tc>
        <w:tc>
          <w:tcPr>
            <w:tcW w:w="1701" w:type="dxa"/>
          </w:tcPr>
          <w:p w14:paraId="6F03A806" w14:textId="77777777" w:rsidR="00A97C0E" w:rsidRPr="009B4AED" w:rsidRDefault="00A97C0E" w:rsidP="00FF3FA0">
            <w:pPr>
              <w:jc w:val="center"/>
              <w:rPr>
                <w:rFonts w:cstheme="minorHAnsi"/>
              </w:rPr>
            </w:pPr>
            <w:r w:rsidRPr="009B4AED">
              <w:rPr>
                <w:rFonts w:cstheme="minorHAnsi"/>
              </w:rPr>
              <w:t>23743.31</w:t>
            </w:r>
          </w:p>
        </w:tc>
      </w:tr>
      <w:tr w:rsidR="00A97C0E" w14:paraId="59B39794" w14:textId="77777777" w:rsidTr="00272239">
        <w:tc>
          <w:tcPr>
            <w:tcW w:w="2972" w:type="dxa"/>
          </w:tcPr>
          <w:p w14:paraId="31FF90B3" w14:textId="77777777" w:rsidR="00A97C0E" w:rsidRPr="009B4AED" w:rsidRDefault="00A97C0E" w:rsidP="00FF3FA0">
            <w:pPr>
              <w:rPr>
                <w:rFonts w:cstheme="minorHAnsi"/>
              </w:rPr>
            </w:pPr>
            <w:r w:rsidRPr="009B4AED">
              <w:rPr>
                <w:rFonts w:cstheme="minorHAnsi"/>
              </w:rPr>
              <w:t>Total Fixed Costs</w:t>
            </w:r>
          </w:p>
        </w:tc>
        <w:tc>
          <w:tcPr>
            <w:tcW w:w="1134" w:type="dxa"/>
          </w:tcPr>
          <w:p w14:paraId="345EDF32" w14:textId="77777777" w:rsidR="00A97C0E" w:rsidRPr="009B4AED" w:rsidRDefault="00A97C0E" w:rsidP="00FF3FA0">
            <w:pPr>
              <w:jc w:val="center"/>
              <w:rPr>
                <w:rFonts w:cstheme="minorHAnsi"/>
              </w:rPr>
            </w:pPr>
          </w:p>
        </w:tc>
        <w:tc>
          <w:tcPr>
            <w:tcW w:w="1276" w:type="dxa"/>
          </w:tcPr>
          <w:p w14:paraId="36A55589" w14:textId="77777777" w:rsidR="00A97C0E" w:rsidRPr="009B4AED" w:rsidRDefault="00A97C0E" w:rsidP="00FF3FA0">
            <w:pPr>
              <w:jc w:val="center"/>
              <w:rPr>
                <w:rFonts w:cstheme="minorHAnsi"/>
              </w:rPr>
            </w:pPr>
          </w:p>
        </w:tc>
        <w:tc>
          <w:tcPr>
            <w:tcW w:w="1134" w:type="dxa"/>
          </w:tcPr>
          <w:p w14:paraId="7FCF3079" w14:textId="77777777" w:rsidR="00A97C0E" w:rsidRPr="009B4AED" w:rsidRDefault="00A97C0E" w:rsidP="00FF3FA0">
            <w:pPr>
              <w:jc w:val="center"/>
              <w:rPr>
                <w:rFonts w:cstheme="minorHAnsi"/>
              </w:rPr>
            </w:pPr>
          </w:p>
        </w:tc>
        <w:tc>
          <w:tcPr>
            <w:tcW w:w="850" w:type="dxa"/>
            <w:vAlign w:val="center"/>
          </w:tcPr>
          <w:p w14:paraId="4A838BA4" w14:textId="77777777" w:rsidR="00A97C0E" w:rsidRPr="009B4AED" w:rsidRDefault="00A97C0E" w:rsidP="00FF3FA0">
            <w:pPr>
              <w:jc w:val="center"/>
              <w:rPr>
                <w:rFonts w:cstheme="minorHAnsi"/>
              </w:rPr>
            </w:pPr>
          </w:p>
        </w:tc>
        <w:tc>
          <w:tcPr>
            <w:tcW w:w="1701" w:type="dxa"/>
          </w:tcPr>
          <w:p w14:paraId="3390EBD2" w14:textId="77777777" w:rsidR="00A97C0E" w:rsidRPr="009B4AED" w:rsidRDefault="00A97C0E" w:rsidP="00FF3FA0">
            <w:pPr>
              <w:jc w:val="center"/>
              <w:rPr>
                <w:rFonts w:cstheme="minorHAnsi"/>
              </w:rPr>
            </w:pPr>
            <w:r w:rsidRPr="009B4AED">
              <w:rPr>
                <w:rFonts w:cstheme="minorHAnsi"/>
              </w:rPr>
              <w:t>23743.31</w:t>
            </w:r>
          </w:p>
        </w:tc>
      </w:tr>
      <w:tr w:rsidR="00A97C0E" w14:paraId="06F58D57" w14:textId="77777777" w:rsidTr="00272239">
        <w:tc>
          <w:tcPr>
            <w:tcW w:w="2972" w:type="dxa"/>
          </w:tcPr>
          <w:p w14:paraId="59CADCC2" w14:textId="77777777" w:rsidR="00A97C0E" w:rsidRPr="009B4AED" w:rsidRDefault="00A97C0E" w:rsidP="00FF3FA0">
            <w:pPr>
              <w:rPr>
                <w:rFonts w:cstheme="minorHAnsi"/>
                <w:b/>
                <w:bCs/>
              </w:rPr>
            </w:pPr>
            <w:r w:rsidRPr="009B4AED">
              <w:rPr>
                <w:rFonts w:cstheme="minorHAnsi"/>
                <w:b/>
                <w:bCs/>
              </w:rPr>
              <w:t>E. Total Cost (B+D)</w:t>
            </w:r>
          </w:p>
        </w:tc>
        <w:tc>
          <w:tcPr>
            <w:tcW w:w="1134" w:type="dxa"/>
          </w:tcPr>
          <w:p w14:paraId="5683F011" w14:textId="77777777" w:rsidR="00A97C0E" w:rsidRPr="009B4AED" w:rsidRDefault="00A97C0E" w:rsidP="00FF3FA0">
            <w:pPr>
              <w:jc w:val="center"/>
              <w:rPr>
                <w:rFonts w:cstheme="minorHAnsi"/>
              </w:rPr>
            </w:pPr>
          </w:p>
        </w:tc>
        <w:tc>
          <w:tcPr>
            <w:tcW w:w="1276" w:type="dxa"/>
          </w:tcPr>
          <w:p w14:paraId="1E9DA41B" w14:textId="77777777" w:rsidR="00A97C0E" w:rsidRPr="009B4AED" w:rsidRDefault="00A97C0E" w:rsidP="00FF3FA0">
            <w:pPr>
              <w:jc w:val="center"/>
              <w:rPr>
                <w:rFonts w:cstheme="minorHAnsi"/>
              </w:rPr>
            </w:pPr>
          </w:p>
        </w:tc>
        <w:tc>
          <w:tcPr>
            <w:tcW w:w="1134" w:type="dxa"/>
          </w:tcPr>
          <w:p w14:paraId="20AD50D0" w14:textId="77777777" w:rsidR="00A97C0E" w:rsidRPr="009B4AED" w:rsidRDefault="00A97C0E" w:rsidP="00FF3FA0">
            <w:pPr>
              <w:jc w:val="center"/>
              <w:rPr>
                <w:rFonts w:cstheme="minorHAnsi"/>
              </w:rPr>
            </w:pPr>
          </w:p>
        </w:tc>
        <w:tc>
          <w:tcPr>
            <w:tcW w:w="850" w:type="dxa"/>
            <w:vAlign w:val="center"/>
          </w:tcPr>
          <w:p w14:paraId="34020D76" w14:textId="77777777" w:rsidR="00A97C0E" w:rsidRPr="009B4AED" w:rsidRDefault="00A97C0E" w:rsidP="00FF3FA0">
            <w:pPr>
              <w:jc w:val="center"/>
              <w:rPr>
                <w:rFonts w:cstheme="minorHAnsi"/>
              </w:rPr>
            </w:pPr>
            <w:r w:rsidRPr="009B4AED">
              <w:rPr>
                <w:rFonts w:cstheme="minorHAnsi"/>
              </w:rPr>
              <w:t>100</w:t>
            </w:r>
          </w:p>
        </w:tc>
        <w:tc>
          <w:tcPr>
            <w:tcW w:w="1701" w:type="dxa"/>
          </w:tcPr>
          <w:p w14:paraId="4DCB2FCC" w14:textId="77777777" w:rsidR="00A97C0E" w:rsidRPr="009B4AED" w:rsidRDefault="00A97C0E" w:rsidP="00FF3FA0">
            <w:pPr>
              <w:jc w:val="center"/>
              <w:rPr>
                <w:rFonts w:cstheme="minorHAnsi"/>
              </w:rPr>
            </w:pPr>
            <w:r w:rsidRPr="009B4AED">
              <w:rPr>
                <w:rFonts w:cstheme="minorHAnsi"/>
              </w:rPr>
              <w:t>57647.36</w:t>
            </w:r>
          </w:p>
        </w:tc>
      </w:tr>
      <w:tr w:rsidR="00A97C0E" w14:paraId="5E824593" w14:textId="77777777" w:rsidTr="00272239">
        <w:tc>
          <w:tcPr>
            <w:tcW w:w="2972" w:type="dxa"/>
          </w:tcPr>
          <w:p w14:paraId="153BE91F" w14:textId="77777777" w:rsidR="00A97C0E" w:rsidRPr="009B4AED" w:rsidRDefault="00A97C0E" w:rsidP="00FF3FA0">
            <w:pPr>
              <w:rPr>
                <w:rFonts w:cstheme="minorHAnsi"/>
                <w:b/>
                <w:bCs/>
              </w:rPr>
            </w:pPr>
            <w:r w:rsidRPr="009B4AED">
              <w:rPr>
                <w:rFonts w:cstheme="minorHAnsi"/>
                <w:b/>
                <w:bCs/>
              </w:rPr>
              <w:t>F. Net Return (A-E)</w:t>
            </w:r>
          </w:p>
        </w:tc>
        <w:tc>
          <w:tcPr>
            <w:tcW w:w="1134" w:type="dxa"/>
          </w:tcPr>
          <w:p w14:paraId="366B0BAD" w14:textId="77777777" w:rsidR="00A97C0E" w:rsidRPr="009B4AED" w:rsidRDefault="00A97C0E" w:rsidP="00FF3FA0">
            <w:pPr>
              <w:jc w:val="center"/>
              <w:rPr>
                <w:rFonts w:cstheme="minorHAnsi"/>
              </w:rPr>
            </w:pPr>
          </w:p>
        </w:tc>
        <w:tc>
          <w:tcPr>
            <w:tcW w:w="1276" w:type="dxa"/>
          </w:tcPr>
          <w:p w14:paraId="43ABB547" w14:textId="77777777" w:rsidR="00A97C0E" w:rsidRPr="009B4AED" w:rsidRDefault="00A97C0E" w:rsidP="00FF3FA0">
            <w:pPr>
              <w:jc w:val="center"/>
              <w:rPr>
                <w:rFonts w:cstheme="minorHAnsi"/>
              </w:rPr>
            </w:pPr>
          </w:p>
        </w:tc>
        <w:tc>
          <w:tcPr>
            <w:tcW w:w="1134" w:type="dxa"/>
          </w:tcPr>
          <w:p w14:paraId="2D563EEF" w14:textId="77777777" w:rsidR="00A97C0E" w:rsidRPr="009B4AED" w:rsidRDefault="00A97C0E" w:rsidP="00FF3FA0">
            <w:pPr>
              <w:jc w:val="center"/>
              <w:rPr>
                <w:rFonts w:cstheme="minorHAnsi"/>
              </w:rPr>
            </w:pPr>
          </w:p>
        </w:tc>
        <w:tc>
          <w:tcPr>
            <w:tcW w:w="850" w:type="dxa"/>
            <w:vAlign w:val="center"/>
          </w:tcPr>
          <w:p w14:paraId="60B91E01" w14:textId="77777777" w:rsidR="00A97C0E" w:rsidRPr="009B4AED" w:rsidRDefault="00A97C0E" w:rsidP="00FF3FA0">
            <w:pPr>
              <w:jc w:val="center"/>
              <w:rPr>
                <w:rFonts w:cstheme="minorHAnsi"/>
              </w:rPr>
            </w:pPr>
          </w:p>
        </w:tc>
        <w:tc>
          <w:tcPr>
            <w:tcW w:w="1701" w:type="dxa"/>
          </w:tcPr>
          <w:p w14:paraId="38C0FBA2" w14:textId="77777777" w:rsidR="00A97C0E" w:rsidRPr="009B4AED" w:rsidRDefault="00A97C0E" w:rsidP="00FF3FA0">
            <w:pPr>
              <w:jc w:val="center"/>
              <w:rPr>
                <w:rFonts w:cstheme="minorHAnsi"/>
              </w:rPr>
            </w:pPr>
            <w:r w:rsidRPr="009B4AED">
              <w:rPr>
                <w:rFonts w:cstheme="minorHAnsi"/>
              </w:rPr>
              <w:t>15481.72</w:t>
            </w:r>
          </w:p>
        </w:tc>
      </w:tr>
      <w:tr w:rsidR="00272239" w14:paraId="789AD80B" w14:textId="77777777" w:rsidTr="00272239">
        <w:tc>
          <w:tcPr>
            <w:tcW w:w="2972" w:type="dxa"/>
          </w:tcPr>
          <w:p w14:paraId="39E4C65F" w14:textId="77777777" w:rsidR="00272239" w:rsidRPr="00927D25" w:rsidRDefault="00272239" w:rsidP="00FF3FA0">
            <w:r w:rsidRPr="00927D25">
              <w:t>BCR (undiscounted)</w:t>
            </w:r>
          </w:p>
        </w:tc>
        <w:tc>
          <w:tcPr>
            <w:tcW w:w="6095" w:type="dxa"/>
            <w:gridSpan w:val="5"/>
          </w:tcPr>
          <w:p w14:paraId="4B00CBE4" w14:textId="77777777" w:rsidR="00272239" w:rsidRPr="00927D25" w:rsidRDefault="00272239" w:rsidP="00FF3FA0">
            <w:pPr>
              <w:jc w:val="center"/>
              <w:rPr>
                <w:rFonts w:cs="Arial"/>
              </w:rPr>
            </w:pPr>
            <w:r w:rsidRPr="00927D25">
              <w:t>1.27</w:t>
            </w:r>
          </w:p>
        </w:tc>
      </w:tr>
    </w:tbl>
    <w:p w14:paraId="26F50396" w14:textId="4CFE4210" w:rsidR="00A97C0E" w:rsidRDefault="00A97C0E" w:rsidP="00A97C0E">
      <w:r w:rsidRPr="00CE3228">
        <w:t xml:space="preserve">Source: Author’s </w:t>
      </w:r>
      <w:r>
        <w:t>c</w:t>
      </w:r>
      <w:r w:rsidRPr="00CE3228">
        <w:t>alculation based on field survey, 2025</w:t>
      </w:r>
    </w:p>
    <w:p w14:paraId="3A15B40A" w14:textId="65E1E3E9" w:rsidR="007156D7" w:rsidRPr="00794BD7" w:rsidRDefault="007156D7" w:rsidP="007156D7">
      <w:pPr>
        <w:rPr>
          <w:rFonts w:eastAsia="Times New Roman" w:cs="Arial"/>
          <w:color w:val="000000"/>
          <w:kern w:val="0"/>
          <w14:ligatures w14:val="none"/>
        </w:rPr>
      </w:pPr>
      <w:r w:rsidRPr="00A81AD1">
        <w:t xml:space="preserve">Total cost was measured by adding all variable and fixed input costs. The per acre average total cost for jute production in the study area was calculated at Tk. 57647.36 (Table </w:t>
      </w:r>
      <w:r w:rsidR="002E736D">
        <w:t>5</w:t>
      </w:r>
      <w:r w:rsidRPr="00A81AD1">
        <w:t>) for all farmers together</w:t>
      </w:r>
      <w:r w:rsidR="003358C5">
        <w:t xml:space="preserve">. </w:t>
      </w:r>
      <w:r w:rsidRPr="00A81AD1">
        <w:t>Gross return was calculated by multiplying the total amount of products by the average farm-gate price. In the study area, the average per acre output for all farmers was 555.17 kg, and its value was Tk. 73129.08 (Table </w:t>
      </w:r>
      <w:r w:rsidR="002E736D">
        <w:t>5</w:t>
      </w:r>
      <w:r w:rsidRPr="00A81AD1">
        <w:t xml:space="preserve">). This return consisted of income from selling jute fiber as well as by-products such as </w:t>
      </w:r>
      <w:r w:rsidR="003358C5" w:rsidRPr="00A81AD1">
        <w:t>sticks.</w:t>
      </w:r>
      <w:r w:rsidR="003358C5" w:rsidRPr="008162B4">
        <w:t xml:space="preserve"> Within</w:t>
      </w:r>
      <w:r w:rsidRPr="008162B4">
        <w:t xml:space="preserve"> the selected area, the average net return across all farmer categories was Tk. </w:t>
      </w:r>
      <w:r w:rsidRPr="00B97B51">
        <w:t>15481.</w:t>
      </w:r>
      <w:proofErr w:type="gramStart"/>
      <w:r w:rsidRPr="00B97B51">
        <w:t>72</w:t>
      </w:r>
      <w:r w:rsidRPr="008162B4">
        <w:t>.</w:t>
      </w:r>
      <w:r w:rsidR="003358C5">
        <w:t>The</w:t>
      </w:r>
      <w:proofErr w:type="gramEnd"/>
      <w:r w:rsidR="003358C5">
        <w:t xml:space="preserve"> results</w:t>
      </w:r>
      <w:r w:rsidRPr="008162B4">
        <w:t xml:space="preserve"> indicates that jute is a profitable crop in the study area, although</w:t>
      </w:r>
      <w:r>
        <w:t xml:space="preserve"> </w:t>
      </w:r>
      <w:r w:rsidRPr="008162B4">
        <w:t xml:space="preserve">revenue levels varied among different farm sizes. </w:t>
      </w:r>
    </w:p>
    <w:p w14:paraId="0CD3CFD2" w14:textId="22CCECEA" w:rsidR="00272239" w:rsidRPr="00006CBD" w:rsidRDefault="00272239" w:rsidP="00272239">
      <w:r w:rsidRPr="00006CBD">
        <w:t xml:space="preserve">The Benefit Cost Ratio (BCR) is a relative measure—it's essentially a way to compare the benefit you get for every unit of cost. In this particular study, the BCR for jute was worked out as the ratio of the total gross return to the total cost. </w:t>
      </w:r>
    </w:p>
    <w:p w14:paraId="412C5AB7" w14:textId="7F5EA461" w:rsidR="007156D7" w:rsidRDefault="00272239" w:rsidP="007156D7">
      <w:r w:rsidRPr="00006CBD">
        <w:lastRenderedPageBreak/>
        <w:t xml:space="preserve">Interestingly, the average per </w:t>
      </w:r>
      <w:r>
        <w:t>acre</w:t>
      </w:r>
      <w:r w:rsidRPr="00006CBD">
        <w:t xml:space="preserve"> benefit </w:t>
      </w:r>
      <w:r>
        <w:t>cost</w:t>
      </w:r>
      <w:r w:rsidRPr="00006CBD">
        <w:t xml:space="preserve"> ratio across the entire study area was also calculated at 1.</w:t>
      </w:r>
      <w:r>
        <w:t>27</w:t>
      </w:r>
      <w:r w:rsidRPr="00006CBD">
        <w:t xml:space="preserve">. </w:t>
      </w:r>
    </w:p>
    <w:p w14:paraId="677F0B52" w14:textId="77777777" w:rsidR="00A97C0E" w:rsidRPr="00A97C0E" w:rsidRDefault="00A97C0E" w:rsidP="00A97C0E"/>
    <w:p w14:paraId="480D36D2" w14:textId="34EED503" w:rsidR="004130C9" w:rsidRPr="00100A6B" w:rsidRDefault="001C5959" w:rsidP="007A4118">
      <w:pPr>
        <w:rPr>
          <w:b/>
          <w:bCs/>
        </w:rPr>
      </w:pPr>
      <w:r>
        <w:rPr>
          <w:b/>
          <w:bCs/>
        </w:rPr>
        <w:t>3.6 Analysis on Problems Related to J</w:t>
      </w:r>
      <w:r w:rsidR="004130C9" w:rsidRPr="00100A6B">
        <w:rPr>
          <w:b/>
          <w:bCs/>
        </w:rPr>
        <w:t xml:space="preserve">ute </w:t>
      </w:r>
      <w:r>
        <w:rPr>
          <w:b/>
          <w:bCs/>
        </w:rPr>
        <w:t>P</w:t>
      </w:r>
      <w:r w:rsidR="005B65C8" w:rsidRPr="00100A6B">
        <w:rPr>
          <w:b/>
          <w:bCs/>
        </w:rPr>
        <w:t>roduction</w:t>
      </w:r>
      <w:r w:rsidR="004130C9" w:rsidRPr="00100A6B">
        <w:rPr>
          <w:b/>
          <w:bCs/>
        </w:rPr>
        <w:t xml:space="preserve"> and </w:t>
      </w:r>
      <w:r w:rsidR="007E5ECC" w:rsidRPr="00100A6B">
        <w:rPr>
          <w:b/>
          <w:bCs/>
        </w:rPr>
        <w:t>its</w:t>
      </w:r>
      <w:r>
        <w:rPr>
          <w:b/>
          <w:bCs/>
        </w:rPr>
        <w:t xml:space="preserve"> P</w:t>
      </w:r>
      <w:r w:rsidR="004130C9" w:rsidRPr="00100A6B">
        <w:rPr>
          <w:b/>
          <w:bCs/>
        </w:rPr>
        <w:t>robable solution</w:t>
      </w:r>
      <w:r w:rsidR="00C7143A" w:rsidRPr="00100A6B">
        <w:rPr>
          <w:b/>
          <w:bCs/>
        </w:rPr>
        <w:t>s</w:t>
      </w:r>
    </w:p>
    <w:p w14:paraId="3F6BAED4" w14:textId="63928AC3" w:rsidR="0085569A" w:rsidRDefault="00842B42" w:rsidP="00CB2495">
      <w:pPr>
        <w:rPr>
          <w:rFonts w:eastAsia="Times New Roman"/>
          <w:kern w:val="0"/>
          <w14:ligatures w14:val="none"/>
        </w:rPr>
      </w:pPr>
      <w:r w:rsidRPr="00CF5AE9">
        <w:rPr>
          <w:rFonts w:eastAsia="Times New Roman"/>
          <w:kern w:val="0"/>
          <w14:ligatures w14:val="none"/>
        </w:rPr>
        <w:t xml:space="preserve">The Problem Faced Index (PFI), which has values ranging from </w:t>
      </w:r>
      <w:r w:rsidR="0085569A">
        <w:rPr>
          <w:rFonts w:eastAsia="Times New Roman"/>
          <w:kern w:val="0"/>
          <w14:ligatures w14:val="none"/>
        </w:rPr>
        <w:t>78</w:t>
      </w:r>
      <w:r w:rsidRPr="00CF5AE9">
        <w:rPr>
          <w:rFonts w:eastAsia="Times New Roman"/>
          <w:kern w:val="0"/>
          <w14:ligatures w14:val="none"/>
        </w:rPr>
        <w:t xml:space="preserve"> to </w:t>
      </w:r>
      <w:r w:rsidR="0085569A">
        <w:rPr>
          <w:rFonts w:eastAsia="Times New Roman"/>
          <w:kern w:val="0"/>
          <w14:ligatures w14:val="none"/>
        </w:rPr>
        <w:t>19</w:t>
      </w:r>
      <w:r w:rsidRPr="00CF5AE9">
        <w:rPr>
          <w:rFonts w:eastAsia="Times New Roman"/>
          <w:kern w:val="0"/>
          <w14:ligatures w14:val="none"/>
        </w:rPr>
        <w:t>4 out of a possible 0</w:t>
      </w:r>
      <w:r w:rsidR="0085569A">
        <w:rPr>
          <w:rFonts w:eastAsia="Times New Roman"/>
          <w:kern w:val="0"/>
          <w14:ligatures w14:val="none"/>
        </w:rPr>
        <w:t>-19</w:t>
      </w:r>
      <w:r w:rsidRPr="00CF5AE9">
        <w:rPr>
          <w:rFonts w:eastAsia="Times New Roman"/>
          <w:kern w:val="0"/>
          <w14:ligatures w14:val="none"/>
        </w:rPr>
        <w:t xml:space="preserve">5, was used in the study to identify and rate several issues influencing jute output. </w:t>
      </w:r>
      <w:r w:rsidR="00AD5167">
        <w:rPr>
          <w:rFonts w:eastAsia="Times New Roman"/>
          <w:kern w:val="0"/>
          <w14:ligatures w14:val="none"/>
        </w:rPr>
        <w:t>Lack of water bodies for</w:t>
      </w:r>
      <w:r w:rsidR="00AD5167" w:rsidRPr="00CF5AE9">
        <w:rPr>
          <w:rFonts w:eastAsia="Times New Roman"/>
          <w:kern w:val="0"/>
          <w14:ligatures w14:val="none"/>
        </w:rPr>
        <w:t xml:space="preserve"> </w:t>
      </w:r>
      <w:r w:rsidR="00AD5167">
        <w:rPr>
          <w:rFonts w:eastAsia="Times New Roman"/>
          <w:kern w:val="0"/>
          <w14:ligatures w14:val="none"/>
        </w:rPr>
        <w:t>retting</w:t>
      </w:r>
      <w:r w:rsidR="00AD5167" w:rsidRPr="00CF5AE9">
        <w:rPr>
          <w:rFonts w:eastAsia="Times New Roman"/>
          <w:kern w:val="0"/>
          <w14:ligatures w14:val="none"/>
        </w:rPr>
        <w:t xml:space="preserve"> </w:t>
      </w:r>
      <w:r w:rsidR="00AD5167">
        <w:rPr>
          <w:rFonts w:eastAsia="Times New Roman"/>
          <w:kern w:val="0"/>
          <w14:ligatures w14:val="none"/>
        </w:rPr>
        <w:t xml:space="preserve">of </w:t>
      </w:r>
      <w:r w:rsidR="00AD5167" w:rsidRPr="00CF5AE9">
        <w:rPr>
          <w:rFonts w:eastAsia="Times New Roman"/>
          <w:kern w:val="0"/>
          <w14:ligatures w14:val="none"/>
        </w:rPr>
        <w:t>jute are</w:t>
      </w:r>
      <w:r w:rsidR="0085569A" w:rsidRPr="00CF5AE9">
        <w:rPr>
          <w:rFonts w:eastAsia="Times New Roman"/>
          <w:kern w:val="0"/>
          <w14:ligatures w14:val="none"/>
        </w:rPr>
        <w:t xml:space="preserve"> the </w:t>
      </w:r>
      <w:r w:rsidR="0085569A">
        <w:rPr>
          <w:rFonts w:eastAsia="Times New Roman"/>
          <w:kern w:val="0"/>
          <w14:ligatures w14:val="none"/>
        </w:rPr>
        <w:t xml:space="preserve">first </w:t>
      </w:r>
      <w:r w:rsidR="0085569A" w:rsidRPr="00CF5AE9">
        <w:rPr>
          <w:rFonts w:eastAsia="Times New Roman"/>
          <w:kern w:val="0"/>
          <w14:ligatures w14:val="none"/>
        </w:rPr>
        <w:t xml:space="preserve">issue. </w:t>
      </w:r>
      <w:r w:rsidR="007240D4" w:rsidRPr="007240D4">
        <w:rPr>
          <w:rFonts w:eastAsia="Times New Roman"/>
          <w:kern w:val="0"/>
          <w14:ligatures w14:val="none"/>
        </w:rPr>
        <w:t>Although the region has a few bodies of water, it is not enough. It would also be detrimental to the fish to retting jute in ponds that are now widely utilized for fishing. Farmers used to dig small ponds for this purpose, but these days the practice is discouraged due to falling jute prices and demand.</w:t>
      </w:r>
    </w:p>
    <w:p w14:paraId="082A11C7" w14:textId="352FF6F1" w:rsidR="0034414C" w:rsidRPr="00B75007" w:rsidRDefault="0034414C" w:rsidP="0034414C">
      <w:pPr>
        <w:rPr>
          <w:rFonts w:ascii="Arial" w:hAnsi="Arial" w:cs="Arial"/>
          <w:b/>
          <w:bCs/>
          <w:sz w:val="22"/>
          <w:szCs w:val="22"/>
        </w:rPr>
      </w:pPr>
      <w:r w:rsidRPr="00B75007">
        <w:rPr>
          <w:rFonts w:ascii="Arial" w:hAnsi="Arial" w:cs="Arial"/>
          <w:b/>
          <w:bCs/>
          <w:sz w:val="22"/>
          <w:szCs w:val="22"/>
        </w:rPr>
        <w:t xml:space="preserve">Table </w:t>
      </w:r>
      <w:r w:rsidR="002E736D">
        <w:rPr>
          <w:rFonts w:ascii="Arial" w:hAnsi="Arial" w:cs="Arial"/>
          <w:b/>
          <w:bCs/>
          <w:sz w:val="22"/>
          <w:szCs w:val="22"/>
        </w:rPr>
        <w:t>6</w:t>
      </w:r>
      <w:r w:rsidRPr="00B75007">
        <w:rPr>
          <w:rFonts w:ascii="Arial" w:hAnsi="Arial" w:cs="Arial"/>
          <w:b/>
          <w:bCs/>
          <w:sz w:val="22"/>
          <w:szCs w:val="22"/>
        </w:rPr>
        <w:t xml:space="preserve">: </w:t>
      </w:r>
      <w:bookmarkStart w:id="0" w:name="_Hlk152985496"/>
      <w:r w:rsidRPr="00B75007">
        <w:rPr>
          <w:rFonts w:ascii="Arial" w:hAnsi="Arial" w:cs="Arial"/>
          <w:b/>
          <w:bCs/>
          <w:sz w:val="22"/>
          <w:szCs w:val="22"/>
        </w:rPr>
        <w:t xml:space="preserve">Problem Faced Index </w:t>
      </w:r>
      <w:bookmarkEnd w:id="0"/>
      <w:r w:rsidRPr="00B75007">
        <w:rPr>
          <w:rFonts w:ascii="Arial" w:hAnsi="Arial" w:cs="Arial"/>
          <w:b/>
          <w:bCs/>
          <w:sz w:val="22"/>
          <w:szCs w:val="22"/>
        </w:rPr>
        <w:t>(PFI) with Rank Order</w:t>
      </w:r>
    </w:p>
    <w:tbl>
      <w:tblPr>
        <w:tblStyle w:val="TableGrid"/>
        <w:tblW w:w="9072" w:type="dxa"/>
        <w:tblInd w:w="-5" w:type="dxa"/>
        <w:tblLayout w:type="fixed"/>
        <w:tblLook w:val="04A0" w:firstRow="1" w:lastRow="0" w:firstColumn="1" w:lastColumn="0" w:noHBand="0" w:noVBand="1"/>
      </w:tblPr>
      <w:tblGrid>
        <w:gridCol w:w="2977"/>
        <w:gridCol w:w="1134"/>
        <w:gridCol w:w="1134"/>
        <w:gridCol w:w="1134"/>
        <w:gridCol w:w="1134"/>
        <w:gridCol w:w="709"/>
        <w:gridCol w:w="850"/>
      </w:tblGrid>
      <w:tr w:rsidR="0034414C" w:rsidRPr="0085631E" w14:paraId="34CDF40E" w14:textId="77777777" w:rsidTr="00355ADE">
        <w:trPr>
          <w:trHeight w:val="378"/>
        </w:trPr>
        <w:tc>
          <w:tcPr>
            <w:tcW w:w="2977" w:type="dxa"/>
            <w:vMerge w:val="restart"/>
          </w:tcPr>
          <w:p w14:paraId="50F8A1FC" w14:textId="77777777" w:rsidR="0034414C" w:rsidRPr="00510984" w:rsidRDefault="0034414C" w:rsidP="00FF3FA0">
            <w:pPr>
              <w:rPr>
                <w:b/>
                <w:bCs/>
              </w:rPr>
            </w:pPr>
            <w:r w:rsidRPr="00510984">
              <w:rPr>
                <w:b/>
                <w:bCs/>
              </w:rPr>
              <w:t>Problems</w:t>
            </w:r>
          </w:p>
        </w:tc>
        <w:tc>
          <w:tcPr>
            <w:tcW w:w="4536" w:type="dxa"/>
            <w:gridSpan w:val="4"/>
          </w:tcPr>
          <w:p w14:paraId="6D6B29B5" w14:textId="77777777" w:rsidR="0034414C" w:rsidRPr="00510984" w:rsidRDefault="0034414C" w:rsidP="00FF3FA0">
            <w:pPr>
              <w:jc w:val="center"/>
              <w:rPr>
                <w:b/>
                <w:bCs/>
              </w:rPr>
            </w:pPr>
            <w:r w:rsidRPr="00510984">
              <w:rPr>
                <w:b/>
                <w:bCs/>
              </w:rPr>
              <w:t>Numbers of farmers</w:t>
            </w:r>
          </w:p>
        </w:tc>
        <w:tc>
          <w:tcPr>
            <w:tcW w:w="709" w:type="dxa"/>
            <w:vMerge w:val="restart"/>
          </w:tcPr>
          <w:p w14:paraId="432BEF27" w14:textId="77777777" w:rsidR="0034414C" w:rsidRPr="00510984" w:rsidRDefault="0034414C" w:rsidP="00FF3FA0">
            <w:pPr>
              <w:jc w:val="center"/>
              <w:rPr>
                <w:b/>
                <w:bCs/>
              </w:rPr>
            </w:pPr>
            <w:r w:rsidRPr="00510984">
              <w:rPr>
                <w:b/>
                <w:bCs/>
              </w:rPr>
              <w:t>PFI</w:t>
            </w:r>
          </w:p>
        </w:tc>
        <w:tc>
          <w:tcPr>
            <w:tcW w:w="850" w:type="dxa"/>
            <w:vMerge w:val="restart"/>
          </w:tcPr>
          <w:p w14:paraId="07828250" w14:textId="77777777" w:rsidR="0034414C" w:rsidRPr="00510984" w:rsidRDefault="0034414C" w:rsidP="00FF3FA0">
            <w:pPr>
              <w:jc w:val="center"/>
              <w:rPr>
                <w:b/>
                <w:bCs/>
              </w:rPr>
            </w:pPr>
            <w:r w:rsidRPr="00510984">
              <w:rPr>
                <w:b/>
                <w:bCs/>
              </w:rPr>
              <w:t>Rank order</w:t>
            </w:r>
          </w:p>
        </w:tc>
      </w:tr>
      <w:tr w:rsidR="0034414C" w:rsidRPr="0085631E" w14:paraId="39643A70" w14:textId="77777777" w:rsidTr="00355ADE">
        <w:trPr>
          <w:trHeight w:val="378"/>
        </w:trPr>
        <w:tc>
          <w:tcPr>
            <w:tcW w:w="2977" w:type="dxa"/>
            <w:vMerge/>
          </w:tcPr>
          <w:p w14:paraId="5C189161" w14:textId="77777777" w:rsidR="0034414C" w:rsidRPr="00510984" w:rsidRDefault="0034414C" w:rsidP="00FF3FA0">
            <w:pPr>
              <w:rPr>
                <w:b/>
                <w:bCs/>
              </w:rPr>
            </w:pPr>
          </w:p>
        </w:tc>
        <w:tc>
          <w:tcPr>
            <w:tcW w:w="1134" w:type="dxa"/>
          </w:tcPr>
          <w:p w14:paraId="358E1D57" w14:textId="77777777" w:rsidR="0034414C" w:rsidRPr="00510984" w:rsidRDefault="0034414C" w:rsidP="00FF3FA0">
            <w:pPr>
              <w:jc w:val="center"/>
              <w:rPr>
                <w:b/>
                <w:bCs/>
              </w:rPr>
            </w:pPr>
            <w:r w:rsidRPr="00510984">
              <w:rPr>
                <w:b/>
                <w:bCs/>
              </w:rPr>
              <w:t>Problem not at all</w:t>
            </w:r>
          </w:p>
        </w:tc>
        <w:tc>
          <w:tcPr>
            <w:tcW w:w="1134" w:type="dxa"/>
          </w:tcPr>
          <w:p w14:paraId="28086A0C" w14:textId="77777777" w:rsidR="0034414C" w:rsidRPr="00510984" w:rsidRDefault="0034414C" w:rsidP="00FF3FA0">
            <w:pPr>
              <w:jc w:val="center"/>
              <w:rPr>
                <w:b/>
                <w:bCs/>
              </w:rPr>
            </w:pPr>
            <w:r w:rsidRPr="00510984">
              <w:rPr>
                <w:b/>
                <w:bCs/>
              </w:rPr>
              <w:t>Low problem</w:t>
            </w:r>
          </w:p>
        </w:tc>
        <w:tc>
          <w:tcPr>
            <w:tcW w:w="1134" w:type="dxa"/>
          </w:tcPr>
          <w:p w14:paraId="65D92739" w14:textId="77777777" w:rsidR="0034414C" w:rsidRPr="00510984" w:rsidRDefault="0034414C" w:rsidP="00FF3FA0">
            <w:pPr>
              <w:jc w:val="center"/>
              <w:rPr>
                <w:b/>
                <w:bCs/>
              </w:rPr>
            </w:pPr>
            <w:r w:rsidRPr="00510984">
              <w:rPr>
                <w:b/>
                <w:bCs/>
              </w:rPr>
              <w:t>Medium</w:t>
            </w:r>
          </w:p>
          <w:p w14:paraId="56C29FE1" w14:textId="77777777" w:rsidR="0034414C" w:rsidRPr="00510984" w:rsidRDefault="0034414C" w:rsidP="00FF3FA0">
            <w:pPr>
              <w:jc w:val="center"/>
              <w:rPr>
                <w:b/>
                <w:bCs/>
              </w:rPr>
            </w:pPr>
            <w:r w:rsidRPr="00510984">
              <w:rPr>
                <w:b/>
                <w:bCs/>
              </w:rPr>
              <w:t>problem</w:t>
            </w:r>
          </w:p>
        </w:tc>
        <w:tc>
          <w:tcPr>
            <w:tcW w:w="1134" w:type="dxa"/>
          </w:tcPr>
          <w:p w14:paraId="037C6358" w14:textId="77777777" w:rsidR="0034414C" w:rsidRPr="00510984" w:rsidRDefault="0034414C" w:rsidP="00FF3FA0">
            <w:pPr>
              <w:jc w:val="center"/>
              <w:rPr>
                <w:b/>
                <w:bCs/>
              </w:rPr>
            </w:pPr>
            <w:r w:rsidRPr="00510984">
              <w:rPr>
                <w:b/>
                <w:bCs/>
              </w:rPr>
              <w:t>High problem</w:t>
            </w:r>
          </w:p>
        </w:tc>
        <w:tc>
          <w:tcPr>
            <w:tcW w:w="709" w:type="dxa"/>
            <w:vMerge/>
          </w:tcPr>
          <w:p w14:paraId="55FBC9F6" w14:textId="77777777" w:rsidR="0034414C" w:rsidRPr="00510984" w:rsidRDefault="0034414C" w:rsidP="00FF3FA0">
            <w:pPr>
              <w:jc w:val="center"/>
              <w:rPr>
                <w:b/>
                <w:bCs/>
              </w:rPr>
            </w:pPr>
          </w:p>
        </w:tc>
        <w:tc>
          <w:tcPr>
            <w:tcW w:w="850" w:type="dxa"/>
            <w:vMerge/>
          </w:tcPr>
          <w:p w14:paraId="377FB58A" w14:textId="77777777" w:rsidR="0034414C" w:rsidRPr="00510984" w:rsidRDefault="0034414C" w:rsidP="00FF3FA0">
            <w:pPr>
              <w:jc w:val="center"/>
              <w:rPr>
                <w:b/>
                <w:bCs/>
              </w:rPr>
            </w:pPr>
          </w:p>
        </w:tc>
      </w:tr>
      <w:tr w:rsidR="0034414C" w:rsidRPr="0038201B" w14:paraId="32D99C3F" w14:textId="77777777" w:rsidTr="00355ADE">
        <w:trPr>
          <w:trHeight w:val="728"/>
        </w:trPr>
        <w:tc>
          <w:tcPr>
            <w:tcW w:w="2977" w:type="dxa"/>
          </w:tcPr>
          <w:p w14:paraId="5522A338" w14:textId="77777777" w:rsidR="0034414C" w:rsidRPr="00510984" w:rsidRDefault="0034414C" w:rsidP="00FF3FA0">
            <w:r w:rsidRPr="00510984">
              <w:t>Lack of water bodies for retting of jute</w:t>
            </w:r>
          </w:p>
        </w:tc>
        <w:tc>
          <w:tcPr>
            <w:tcW w:w="1134" w:type="dxa"/>
          </w:tcPr>
          <w:p w14:paraId="2CDC6E97" w14:textId="77777777" w:rsidR="0034414C" w:rsidRPr="00510984" w:rsidRDefault="0034414C" w:rsidP="00FF3FA0">
            <w:pPr>
              <w:jc w:val="center"/>
            </w:pPr>
            <w:r w:rsidRPr="00510984">
              <w:t>0</w:t>
            </w:r>
          </w:p>
        </w:tc>
        <w:tc>
          <w:tcPr>
            <w:tcW w:w="1134" w:type="dxa"/>
          </w:tcPr>
          <w:p w14:paraId="1F8B6921" w14:textId="77777777" w:rsidR="0034414C" w:rsidRPr="00510984" w:rsidRDefault="0034414C" w:rsidP="00FF3FA0">
            <w:pPr>
              <w:jc w:val="center"/>
            </w:pPr>
            <w:r w:rsidRPr="00510984">
              <w:t>0</w:t>
            </w:r>
          </w:p>
        </w:tc>
        <w:tc>
          <w:tcPr>
            <w:tcW w:w="1134" w:type="dxa"/>
          </w:tcPr>
          <w:p w14:paraId="424CDB66" w14:textId="77777777" w:rsidR="0034414C" w:rsidRPr="00510984" w:rsidRDefault="0034414C" w:rsidP="00FF3FA0">
            <w:pPr>
              <w:jc w:val="center"/>
            </w:pPr>
            <w:r w:rsidRPr="00510984">
              <w:t>1</w:t>
            </w:r>
          </w:p>
        </w:tc>
        <w:tc>
          <w:tcPr>
            <w:tcW w:w="1134" w:type="dxa"/>
          </w:tcPr>
          <w:p w14:paraId="1989ABAD" w14:textId="77777777" w:rsidR="0034414C" w:rsidRPr="00510984" w:rsidRDefault="0034414C" w:rsidP="00FF3FA0">
            <w:pPr>
              <w:jc w:val="center"/>
            </w:pPr>
            <w:r w:rsidRPr="00510984">
              <w:t>64</w:t>
            </w:r>
          </w:p>
        </w:tc>
        <w:tc>
          <w:tcPr>
            <w:tcW w:w="709" w:type="dxa"/>
          </w:tcPr>
          <w:p w14:paraId="518BDA99" w14:textId="77777777" w:rsidR="0034414C" w:rsidRPr="00510984" w:rsidRDefault="0034414C" w:rsidP="00FF3FA0">
            <w:pPr>
              <w:jc w:val="center"/>
            </w:pPr>
            <w:r w:rsidRPr="00510984">
              <w:t>194</w:t>
            </w:r>
          </w:p>
        </w:tc>
        <w:tc>
          <w:tcPr>
            <w:tcW w:w="850" w:type="dxa"/>
          </w:tcPr>
          <w:p w14:paraId="7D4DF5BF" w14:textId="77777777" w:rsidR="0034414C" w:rsidRPr="00510984" w:rsidRDefault="0034414C" w:rsidP="00FF3FA0">
            <w:pPr>
              <w:jc w:val="center"/>
            </w:pPr>
            <w:r w:rsidRPr="00510984">
              <w:t>1</w:t>
            </w:r>
          </w:p>
        </w:tc>
      </w:tr>
      <w:tr w:rsidR="0034414C" w:rsidRPr="0038201B" w14:paraId="72836871" w14:textId="77777777" w:rsidTr="00355ADE">
        <w:tc>
          <w:tcPr>
            <w:tcW w:w="2977" w:type="dxa"/>
          </w:tcPr>
          <w:p w14:paraId="614BDA1A" w14:textId="77777777" w:rsidR="0034414C" w:rsidRPr="00510984" w:rsidRDefault="0034414C" w:rsidP="00FF3FA0">
            <w:r w:rsidRPr="00510984">
              <w:t>High wage of labor</w:t>
            </w:r>
          </w:p>
        </w:tc>
        <w:tc>
          <w:tcPr>
            <w:tcW w:w="1134" w:type="dxa"/>
          </w:tcPr>
          <w:p w14:paraId="35FB00A5" w14:textId="77777777" w:rsidR="0034414C" w:rsidRPr="00510984" w:rsidRDefault="0034414C" w:rsidP="00FF3FA0">
            <w:pPr>
              <w:jc w:val="center"/>
            </w:pPr>
            <w:r w:rsidRPr="00510984">
              <w:t>1</w:t>
            </w:r>
          </w:p>
        </w:tc>
        <w:tc>
          <w:tcPr>
            <w:tcW w:w="1134" w:type="dxa"/>
          </w:tcPr>
          <w:p w14:paraId="795494AD" w14:textId="77777777" w:rsidR="0034414C" w:rsidRPr="00510984" w:rsidRDefault="0034414C" w:rsidP="00FF3FA0">
            <w:pPr>
              <w:jc w:val="center"/>
            </w:pPr>
            <w:r w:rsidRPr="00510984">
              <w:t>2</w:t>
            </w:r>
          </w:p>
        </w:tc>
        <w:tc>
          <w:tcPr>
            <w:tcW w:w="1134" w:type="dxa"/>
          </w:tcPr>
          <w:p w14:paraId="3CD8AFC7" w14:textId="77777777" w:rsidR="0034414C" w:rsidRPr="00510984" w:rsidRDefault="0034414C" w:rsidP="00FF3FA0">
            <w:pPr>
              <w:jc w:val="center"/>
            </w:pPr>
            <w:r w:rsidRPr="00510984">
              <w:t>8</w:t>
            </w:r>
          </w:p>
        </w:tc>
        <w:tc>
          <w:tcPr>
            <w:tcW w:w="1134" w:type="dxa"/>
          </w:tcPr>
          <w:p w14:paraId="5FDC33BE" w14:textId="77777777" w:rsidR="0034414C" w:rsidRPr="00510984" w:rsidRDefault="0034414C" w:rsidP="00FF3FA0">
            <w:pPr>
              <w:jc w:val="center"/>
            </w:pPr>
            <w:r w:rsidRPr="00510984">
              <w:t>54</w:t>
            </w:r>
          </w:p>
        </w:tc>
        <w:tc>
          <w:tcPr>
            <w:tcW w:w="709" w:type="dxa"/>
          </w:tcPr>
          <w:p w14:paraId="1DB9E0AF" w14:textId="77777777" w:rsidR="0034414C" w:rsidRPr="00510984" w:rsidRDefault="0034414C" w:rsidP="00FF3FA0">
            <w:pPr>
              <w:jc w:val="center"/>
            </w:pPr>
            <w:r w:rsidRPr="00510984">
              <w:t>180</w:t>
            </w:r>
          </w:p>
        </w:tc>
        <w:tc>
          <w:tcPr>
            <w:tcW w:w="850" w:type="dxa"/>
          </w:tcPr>
          <w:p w14:paraId="7EED592F" w14:textId="77777777" w:rsidR="0034414C" w:rsidRPr="00510984" w:rsidRDefault="0034414C" w:rsidP="00FF3FA0">
            <w:pPr>
              <w:jc w:val="center"/>
            </w:pPr>
            <w:r w:rsidRPr="00510984">
              <w:t>2</w:t>
            </w:r>
          </w:p>
        </w:tc>
      </w:tr>
      <w:tr w:rsidR="0034414C" w:rsidRPr="0038201B" w14:paraId="3837D132" w14:textId="77777777" w:rsidTr="00355ADE">
        <w:trPr>
          <w:trHeight w:val="638"/>
        </w:trPr>
        <w:tc>
          <w:tcPr>
            <w:tcW w:w="2977" w:type="dxa"/>
          </w:tcPr>
          <w:p w14:paraId="364AA75F" w14:textId="77777777" w:rsidR="0034414C" w:rsidRPr="00510984" w:rsidRDefault="0034414C" w:rsidP="00FF3FA0">
            <w:r w:rsidRPr="00510984">
              <w:t>Low market price and low demand of jute</w:t>
            </w:r>
          </w:p>
        </w:tc>
        <w:tc>
          <w:tcPr>
            <w:tcW w:w="1134" w:type="dxa"/>
          </w:tcPr>
          <w:p w14:paraId="6903A5C6" w14:textId="77777777" w:rsidR="0034414C" w:rsidRPr="00510984" w:rsidRDefault="0034414C" w:rsidP="00FF3FA0">
            <w:pPr>
              <w:jc w:val="center"/>
            </w:pPr>
            <w:r w:rsidRPr="00510984">
              <w:t>8</w:t>
            </w:r>
          </w:p>
        </w:tc>
        <w:tc>
          <w:tcPr>
            <w:tcW w:w="1134" w:type="dxa"/>
          </w:tcPr>
          <w:p w14:paraId="4BFB9AF5" w14:textId="77777777" w:rsidR="0034414C" w:rsidRPr="00510984" w:rsidRDefault="0034414C" w:rsidP="00FF3FA0">
            <w:pPr>
              <w:jc w:val="center"/>
            </w:pPr>
            <w:r w:rsidRPr="00510984">
              <w:t>11</w:t>
            </w:r>
          </w:p>
        </w:tc>
        <w:tc>
          <w:tcPr>
            <w:tcW w:w="1134" w:type="dxa"/>
          </w:tcPr>
          <w:p w14:paraId="0E7496C7" w14:textId="77777777" w:rsidR="0034414C" w:rsidRPr="00510984" w:rsidRDefault="0034414C" w:rsidP="00FF3FA0">
            <w:pPr>
              <w:jc w:val="center"/>
            </w:pPr>
            <w:r w:rsidRPr="00510984">
              <w:t>15</w:t>
            </w:r>
          </w:p>
        </w:tc>
        <w:tc>
          <w:tcPr>
            <w:tcW w:w="1134" w:type="dxa"/>
          </w:tcPr>
          <w:p w14:paraId="29C907BE" w14:textId="77777777" w:rsidR="0034414C" w:rsidRPr="00510984" w:rsidRDefault="0034414C" w:rsidP="00FF3FA0">
            <w:pPr>
              <w:jc w:val="center"/>
            </w:pPr>
            <w:r w:rsidRPr="00510984">
              <w:t>31</w:t>
            </w:r>
          </w:p>
        </w:tc>
        <w:tc>
          <w:tcPr>
            <w:tcW w:w="709" w:type="dxa"/>
          </w:tcPr>
          <w:p w14:paraId="203AC763" w14:textId="77777777" w:rsidR="0034414C" w:rsidRPr="00510984" w:rsidRDefault="0034414C" w:rsidP="00FF3FA0">
            <w:pPr>
              <w:jc w:val="center"/>
            </w:pPr>
            <w:r w:rsidRPr="00510984">
              <w:t>134</w:t>
            </w:r>
          </w:p>
        </w:tc>
        <w:tc>
          <w:tcPr>
            <w:tcW w:w="850" w:type="dxa"/>
          </w:tcPr>
          <w:p w14:paraId="09FFDFC2" w14:textId="77777777" w:rsidR="0034414C" w:rsidRPr="00510984" w:rsidRDefault="0034414C" w:rsidP="00FF3FA0">
            <w:pPr>
              <w:jc w:val="center"/>
            </w:pPr>
            <w:r w:rsidRPr="00510984">
              <w:t>3</w:t>
            </w:r>
          </w:p>
        </w:tc>
      </w:tr>
      <w:tr w:rsidR="0034414C" w:rsidRPr="0038201B" w14:paraId="703C2EA5" w14:textId="77777777" w:rsidTr="00355ADE">
        <w:trPr>
          <w:trHeight w:val="701"/>
        </w:trPr>
        <w:tc>
          <w:tcPr>
            <w:tcW w:w="2977" w:type="dxa"/>
          </w:tcPr>
          <w:p w14:paraId="50613C16" w14:textId="77777777" w:rsidR="0034414C" w:rsidRPr="00510984" w:rsidRDefault="0034414C" w:rsidP="00FF3FA0">
            <w:r w:rsidRPr="00510984">
              <w:t>High cost of transportation</w:t>
            </w:r>
          </w:p>
        </w:tc>
        <w:tc>
          <w:tcPr>
            <w:tcW w:w="1134" w:type="dxa"/>
          </w:tcPr>
          <w:p w14:paraId="3D4AF86D" w14:textId="77777777" w:rsidR="0034414C" w:rsidRPr="00510984" w:rsidRDefault="0034414C" w:rsidP="00FF3FA0">
            <w:pPr>
              <w:jc w:val="center"/>
            </w:pPr>
            <w:r w:rsidRPr="00510984">
              <w:t>1</w:t>
            </w:r>
          </w:p>
        </w:tc>
        <w:tc>
          <w:tcPr>
            <w:tcW w:w="1134" w:type="dxa"/>
          </w:tcPr>
          <w:p w14:paraId="00293EAD" w14:textId="77777777" w:rsidR="0034414C" w:rsidRPr="00510984" w:rsidRDefault="0034414C" w:rsidP="00FF3FA0">
            <w:pPr>
              <w:jc w:val="center"/>
            </w:pPr>
            <w:r w:rsidRPr="00510984">
              <w:t>5</w:t>
            </w:r>
          </w:p>
        </w:tc>
        <w:tc>
          <w:tcPr>
            <w:tcW w:w="1134" w:type="dxa"/>
          </w:tcPr>
          <w:p w14:paraId="4956147D" w14:textId="77777777" w:rsidR="0034414C" w:rsidRPr="00510984" w:rsidRDefault="0034414C" w:rsidP="00FF3FA0">
            <w:pPr>
              <w:jc w:val="center"/>
            </w:pPr>
            <w:r w:rsidRPr="00510984">
              <w:t>57</w:t>
            </w:r>
          </w:p>
        </w:tc>
        <w:tc>
          <w:tcPr>
            <w:tcW w:w="1134" w:type="dxa"/>
          </w:tcPr>
          <w:p w14:paraId="065CEE9C" w14:textId="77777777" w:rsidR="0034414C" w:rsidRPr="00510984" w:rsidRDefault="0034414C" w:rsidP="00FF3FA0">
            <w:pPr>
              <w:jc w:val="center"/>
            </w:pPr>
            <w:r w:rsidRPr="00510984">
              <w:t>2</w:t>
            </w:r>
          </w:p>
        </w:tc>
        <w:tc>
          <w:tcPr>
            <w:tcW w:w="709" w:type="dxa"/>
          </w:tcPr>
          <w:p w14:paraId="363A8773" w14:textId="77777777" w:rsidR="0034414C" w:rsidRPr="00510984" w:rsidRDefault="0034414C" w:rsidP="00FF3FA0">
            <w:pPr>
              <w:jc w:val="center"/>
            </w:pPr>
            <w:r w:rsidRPr="00510984">
              <w:t>125</w:t>
            </w:r>
          </w:p>
        </w:tc>
        <w:tc>
          <w:tcPr>
            <w:tcW w:w="850" w:type="dxa"/>
          </w:tcPr>
          <w:p w14:paraId="7E6B2A21" w14:textId="77777777" w:rsidR="0034414C" w:rsidRPr="00510984" w:rsidRDefault="0034414C" w:rsidP="00FF3FA0">
            <w:pPr>
              <w:jc w:val="center"/>
            </w:pPr>
            <w:r w:rsidRPr="00510984">
              <w:t>4</w:t>
            </w:r>
          </w:p>
        </w:tc>
      </w:tr>
      <w:tr w:rsidR="0034414C" w:rsidRPr="0038201B" w14:paraId="1F44065C" w14:textId="77777777" w:rsidTr="00355ADE">
        <w:trPr>
          <w:trHeight w:val="674"/>
        </w:trPr>
        <w:tc>
          <w:tcPr>
            <w:tcW w:w="2977" w:type="dxa"/>
          </w:tcPr>
          <w:p w14:paraId="4FD6571E" w14:textId="77777777" w:rsidR="0034414C" w:rsidRPr="00510984" w:rsidRDefault="0034414C" w:rsidP="00FF3FA0">
            <w:r w:rsidRPr="00510984">
              <w:t>High price of fertilizers</w:t>
            </w:r>
          </w:p>
        </w:tc>
        <w:tc>
          <w:tcPr>
            <w:tcW w:w="1134" w:type="dxa"/>
          </w:tcPr>
          <w:p w14:paraId="6CD8F861" w14:textId="77777777" w:rsidR="0034414C" w:rsidRPr="00510984" w:rsidRDefault="0034414C" w:rsidP="00FF3FA0">
            <w:pPr>
              <w:jc w:val="center"/>
            </w:pPr>
            <w:r w:rsidRPr="00510984">
              <w:t>2</w:t>
            </w:r>
          </w:p>
        </w:tc>
        <w:tc>
          <w:tcPr>
            <w:tcW w:w="1134" w:type="dxa"/>
          </w:tcPr>
          <w:p w14:paraId="5ABDA350" w14:textId="77777777" w:rsidR="0034414C" w:rsidRPr="00510984" w:rsidRDefault="0034414C" w:rsidP="00FF3FA0">
            <w:pPr>
              <w:jc w:val="center"/>
            </w:pPr>
            <w:r w:rsidRPr="00510984">
              <w:t>5</w:t>
            </w:r>
          </w:p>
        </w:tc>
        <w:tc>
          <w:tcPr>
            <w:tcW w:w="1134" w:type="dxa"/>
          </w:tcPr>
          <w:p w14:paraId="382F1A7E" w14:textId="77777777" w:rsidR="0034414C" w:rsidRPr="00510984" w:rsidRDefault="0034414C" w:rsidP="00FF3FA0">
            <w:pPr>
              <w:jc w:val="center"/>
            </w:pPr>
            <w:r w:rsidRPr="00510984">
              <w:t>55</w:t>
            </w:r>
          </w:p>
        </w:tc>
        <w:tc>
          <w:tcPr>
            <w:tcW w:w="1134" w:type="dxa"/>
          </w:tcPr>
          <w:p w14:paraId="021812DE" w14:textId="77777777" w:rsidR="0034414C" w:rsidRPr="00510984" w:rsidRDefault="0034414C" w:rsidP="00FF3FA0">
            <w:pPr>
              <w:jc w:val="center"/>
            </w:pPr>
            <w:r w:rsidRPr="00510984">
              <w:t>3</w:t>
            </w:r>
          </w:p>
        </w:tc>
        <w:tc>
          <w:tcPr>
            <w:tcW w:w="709" w:type="dxa"/>
          </w:tcPr>
          <w:p w14:paraId="70987FE0" w14:textId="77777777" w:rsidR="0034414C" w:rsidRPr="00510984" w:rsidRDefault="0034414C" w:rsidP="00FF3FA0">
            <w:pPr>
              <w:jc w:val="center"/>
            </w:pPr>
            <w:r w:rsidRPr="00510984">
              <w:t>124</w:t>
            </w:r>
          </w:p>
        </w:tc>
        <w:tc>
          <w:tcPr>
            <w:tcW w:w="850" w:type="dxa"/>
          </w:tcPr>
          <w:p w14:paraId="256E9B2E" w14:textId="77777777" w:rsidR="0034414C" w:rsidRPr="00510984" w:rsidRDefault="0034414C" w:rsidP="00FF3FA0">
            <w:pPr>
              <w:jc w:val="center"/>
            </w:pPr>
            <w:r w:rsidRPr="00510984">
              <w:t>5</w:t>
            </w:r>
          </w:p>
        </w:tc>
      </w:tr>
      <w:tr w:rsidR="0034414C" w:rsidRPr="0038201B" w14:paraId="29751583" w14:textId="77777777" w:rsidTr="00355ADE">
        <w:trPr>
          <w:trHeight w:val="1088"/>
        </w:trPr>
        <w:tc>
          <w:tcPr>
            <w:tcW w:w="2977" w:type="dxa"/>
          </w:tcPr>
          <w:p w14:paraId="0FB4B850" w14:textId="77777777" w:rsidR="0034414C" w:rsidRPr="00510984" w:rsidRDefault="0034414C" w:rsidP="00FF3FA0">
            <w:r w:rsidRPr="00510984">
              <w:t>Inadequate help from block supervisors (SAAO)</w:t>
            </w:r>
          </w:p>
        </w:tc>
        <w:tc>
          <w:tcPr>
            <w:tcW w:w="1134" w:type="dxa"/>
          </w:tcPr>
          <w:p w14:paraId="230F9414" w14:textId="77777777" w:rsidR="0034414C" w:rsidRPr="00510984" w:rsidRDefault="0034414C" w:rsidP="00FF3FA0">
            <w:pPr>
              <w:jc w:val="center"/>
            </w:pPr>
            <w:r w:rsidRPr="00510984">
              <w:t>13</w:t>
            </w:r>
          </w:p>
        </w:tc>
        <w:tc>
          <w:tcPr>
            <w:tcW w:w="1134" w:type="dxa"/>
          </w:tcPr>
          <w:p w14:paraId="27B093E4" w14:textId="77777777" w:rsidR="0034414C" w:rsidRPr="00510984" w:rsidRDefault="0034414C" w:rsidP="00FF3FA0">
            <w:pPr>
              <w:jc w:val="center"/>
            </w:pPr>
            <w:r w:rsidRPr="00510984">
              <w:t>11</w:t>
            </w:r>
          </w:p>
        </w:tc>
        <w:tc>
          <w:tcPr>
            <w:tcW w:w="1134" w:type="dxa"/>
          </w:tcPr>
          <w:p w14:paraId="3C265663" w14:textId="77777777" w:rsidR="0034414C" w:rsidRPr="00510984" w:rsidRDefault="0034414C" w:rsidP="00FF3FA0">
            <w:pPr>
              <w:jc w:val="center"/>
            </w:pPr>
            <w:r w:rsidRPr="00510984">
              <w:t>11</w:t>
            </w:r>
          </w:p>
        </w:tc>
        <w:tc>
          <w:tcPr>
            <w:tcW w:w="1134" w:type="dxa"/>
          </w:tcPr>
          <w:p w14:paraId="25CCF586" w14:textId="77777777" w:rsidR="0034414C" w:rsidRPr="00510984" w:rsidRDefault="0034414C" w:rsidP="00FF3FA0">
            <w:pPr>
              <w:jc w:val="center"/>
            </w:pPr>
            <w:r w:rsidRPr="00510984">
              <w:t>30</w:t>
            </w:r>
          </w:p>
        </w:tc>
        <w:tc>
          <w:tcPr>
            <w:tcW w:w="709" w:type="dxa"/>
          </w:tcPr>
          <w:p w14:paraId="42F3DC30" w14:textId="77777777" w:rsidR="0034414C" w:rsidRPr="00510984" w:rsidRDefault="0034414C" w:rsidP="00FF3FA0">
            <w:pPr>
              <w:jc w:val="center"/>
            </w:pPr>
            <w:r w:rsidRPr="00510984">
              <w:t>123</w:t>
            </w:r>
          </w:p>
        </w:tc>
        <w:tc>
          <w:tcPr>
            <w:tcW w:w="850" w:type="dxa"/>
          </w:tcPr>
          <w:p w14:paraId="2052F45B" w14:textId="77777777" w:rsidR="0034414C" w:rsidRPr="00510984" w:rsidRDefault="0034414C" w:rsidP="00FF3FA0">
            <w:pPr>
              <w:jc w:val="center"/>
            </w:pPr>
            <w:r w:rsidRPr="00510984">
              <w:t>6</w:t>
            </w:r>
          </w:p>
        </w:tc>
      </w:tr>
      <w:tr w:rsidR="0034414C" w:rsidRPr="0038201B" w14:paraId="274413CE" w14:textId="77777777" w:rsidTr="00355ADE">
        <w:trPr>
          <w:trHeight w:val="1097"/>
        </w:trPr>
        <w:tc>
          <w:tcPr>
            <w:tcW w:w="2977" w:type="dxa"/>
          </w:tcPr>
          <w:p w14:paraId="0BC6FCE3" w14:textId="77777777" w:rsidR="0034414C" w:rsidRPr="004971E6" w:rsidRDefault="0034414C" w:rsidP="00FF3FA0">
            <w:r w:rsidRPr="004971E6">
              <w:t>HYV seeds are not available at sowing time</w:t>
            </w:r>
          </w:p>
        </w:tc>
        <w:tc>
          <w:tcPr>
            <w:tcW w:w="1134" w:type="dxa"/>
          </w:tcPr>
          <w:p w14:paraId="6BE05014" w14:textId="77777777" w:rsidR="0034414C" w:rsidRPr="00510984" w:rsidRDefault="0034414C" w:rsidP="00FF3FA0">
            <w:pPr>
              <w:jc w:val="center"/>
            </w:pPr>
            <w:r w:rsidRPr="00510984">
              <w:t>3</w:t>
            </w:r>
          </w:p>
        </w:tc>
        <w:tc>
          <w:tcPr>
            <w:tcW w:w="1134" w:type="dxa"/>
          </w:tcPr>
          <w:p w14:paraId="176CF146" w14:textId="77777777" w:rsidR="0034414C" w:rsidRPr="00510984" w:rsidRDefault="0034414C" w:rsidP="00FF3FA0">
            <w:pPr>
              <w:jc w:val="center"/>
            </w:pPr>
            <w:r w:rsidRPr="00510984">
              <w:t>21</w:t>
            </w:r>
          </w:p>
        </w:tc>
        <w:tc>
          <w:tcPr>
            <w:tcW w:w="1134" w:type="dxa"/>
          </w:tcPr>
          <w:p w14:paraId="4970D462" w14:textId="77777777" w:rsidR="0034414C" w:rsidRPr="00510984" w:rsidRDefault="0034414C" w:rsidP="00FF3FA0">
            <w:pPr>
              <w:jc w:val="center"/>
            </w:pPr>
            <w:r w:rsidRPr="00510984">
              <w:t>37</w:t>
            </w:r>
          </w:p>
        </w:tc>
        <w:tc>
          <w:tcPr>
            <w:tcW w:w="1134" w:type="dxa"/>
          </w:tcPr>
          <w:p w14:paraId="08909829" w14:textId="77777777" w:rsidR="0034414C" w:rsidRPr="00510984" w:rsidRDefault="0034414C" w:rsidP="00FF3FA0">
            <w:pPr>
              <w:jc w:val="center"/>
            </w:pPr>
            <w:r w:rsidRPr="00510984">
              <w:t>4</w:t>
            </w:r>
          </w:p>
        </w:tc>
        <w:tc>
          <w:tcPr>
            <w:tcW w:w="709" w:type="dxa"/>
          </w:tcPr>
          <w:p w14:paraId="2E2A073B" w14:textId="77777777" w:rsidR="0034414C" w:rsidRPr="00510984" w:rsidRDefault="0034414C" w:rsidP="00FF3FA0">
            <w:pPr>
              <w:jc w:val="center"/>
            </w:pPr>
            <w:r w:rsidRPr="00510984">
              <w:t>107</w:t>
            </w:r>
          </w:p>
        </w:tc>
        <w:tc>
          <w:tcPr>
            <w:tcW w:w="850" w:type="dxa"/>
          </w:tcPr>
          <w:p w14:paraId="1D642DF7" w14:textId="77777777" w:rsidR="0034414C" w:rsidRPr="00510984" w:rsidRDefault="0034414C" w:rsidP="00FF3FA0">
            <w:pPr>
              <w:jc w:val="center"/>
            </w:pPr>
            <w:r w:rsidRPr="00510984">
              <w:t>7</w:t>
            </w:r>
          </w:p>
        </w:tc>
      </w:tr>
      <w:tr w:rsidR="0034414C" w:rsidRPr="0038201B" w14:paraId="74C406F5" w14:textId="77777777" w:rsidTr="00355ADE">
        <w:trPr>
          <w:trHeight w:val="1376"/>
        </w:trPr>
        <w:tc>
          <w:tcPr>
            <w:tcW w:w="2977" w:type="dxa"/>
          </w:tcPr>
          <w:p w14:paraId="79B88CB7" w14:textId="77777777" w:rsidR="0034414C" w:rsidRPr="00510984" w:rsidRDefault="0034414C" w:rsidP="00FF3FA0">
            <w:r w:rsidRPr="00510984">
              <w:t>Long chain of middlemen and malpractices in the market</w:t>
            </w:r>
          </w:p>
        </w:tc>
        <w:tc>
          <w:tcPr>
            <w:tcW w:w="1134" w:type="dxa"/>
          </w:tcPr>
          <w:p w14:paraId="37FB423D" w14:textId="77777777" w:rsidR="0034414C" w:rsidRPr="00510984" w:rsidRDefault="0034414C" w:rsidP="00FF3FA0">
            <w:pPr>
              <w:jc w:val="center"/>
            </w:pPr>
            <w:r w:rsidRPr="00510984">
              <w:t>5</w:t>
            </w:r>
          </w:p>
        </w:tc>
        <w:tc>
          <w:tcPr>
            <w:tcW w:w="1134" w:type="dxa"/>
          </w:tcPr>
          <w:p w14:paraId="3D28FE72" w14:textId="77777777" w:rsidR="0034414C" w:rsidRPr="00510984" w:rsidRDefault="0034414C" w:rsidP="00FF3FA0">
            <w:pPr>
              <w:jc w:val="center"/>
            </w:pPr>
            <w:r w:rsidRPr="00510984">
              <w:t>31</w:t>
            </w:r>
          </w:p>
        </w:tc>
        <w:tc>
          <w:tcPr>
            <w:tcW w:w="1134" w:type="dxa"/>
          </w:tcPr>
          <w:p w14:paraId="68B61E8C" w14:textId="77777777" w:rsidR="0034414C" w:rsidRPr="00510984" w:rsidRDefault="0034414C" w:rsidP="00FF3FA0">
            <w:pPr>
              <w:jc w:val="center"/>
            </w:pPr>
            <w:r w:rsidRPr="00510984">
              <w:t>24</w:t>
            </w:r>
          </w:p>
        </w:tc>
        <w:tc>
          <w:tcPr>
            <w:tcW w:w="1134" w:type="dxa"/>
          </w:tcPr>
          <w:p w14:paraId="2DBED779" w14:textId="77777777" w:rsidR="0034414C" w:rsidRPr="00510984" w:rsidRDefault="0034414C" w:rsidP="00FF3FA0">
            <w:pPr>
              <w:jc w:val="center"/>
            </w:pPr>
            <w:r w:rsidRPr="00510984">
              <w:t>5</w:t>
            </w:r>
          </w:p>
        </w:tc>
        <w:tc>
          <w:tcPr>
            <w:tcW w:w="709" w:type="dxa"/>
          </w:tcPr>
          <w:p w14:paraId="0D5D050B" w14:textId="77777777" w:rsidR="0034414C" w:rsidRPr="00510984" w:rsidRDefault="0034414C" w:rsidP="00FF3FA0">
            <w:pPr>
              <w:jc w:val="center"/>
            </w:pPr>
            <w:r w:rsidRPr="00510984">
              <w:t>94</w:t>
            </w:r>
          </w:p>
        </w:tc>
        <w:tc>
          <w:tcPr>
            <w:tcW w:w="850" w:type="dxa"/>
          </w:tcPr>
          <w:p w14:paraId="4497206E" w14:textId="77777777" w:rsidR="0034414C" w:rsidRPr="00510984" w:rsidRDefault="0034414C" w:rsidP="00FF3FA0">
            <w:pPr>
              <w:jc w:val="center"/>
            </w:pPr>
            <w:r w:rsidRPr="00510984">
              <w:t>8</w:t>
            </w:r>
          </w:p>
        </w:tc>
      </w:tr>
      <w:tr w:rsidR="0034414C" w:rsidRPr="0038201B" w14:paraId="43D86E7F" w14:textId="77777777" w:rsidTr="00355ADE">
        <w:trPr>
          <w:trHeight w:val="701"/>
        </w:trPr>
        <w:tc>
          <w:tcPr>
            <w:tcW w:w="2977" w:type="dxa"/>
          </w:tcPr>
          <w:p w14:paraId="1F4BCD88" w14:textId="77777777" w:rsidR="0034414C" w:rsidRPr="00510984" w:rsidRDefault="0034414C" w:rsidP="00FF3FA0">
            <w:r w:rsidRPr="00510984">
              <w:t>Difficulty in getting loan</w:t>
            </w:r>
          </w:p>
        </w:tc>
        <w:tc>
          <w:tcPr>
            <w:tcW w:w="1134" w:type="dxa"/>
          </w:tcPr>
          <w:p w14:paraId="3A189CDE" w14:textId="77777777" w:rsidR="0034414C" w:rsidRPr="00510984" w:rsidRDefault="0034414C" w:rsidP="00FF3FA0">
            <w:pPr>
              <w:jc w:val="center"/>
            </w:pPr>
            <w:r w:rsidRPr="00510984">
              <w:t>13</w:t>
            </w:r>
          </w:p>
        </w:tc>
        <w:tc>
          <w:tcPr>
            <w:tcW w:w="1134" w:type="dxa"/>
          </w:tcPr>
          <w:p w14:paraId="5D46CEE8" w14:textId="77777777" w:rsidR="0034414C" w:rsidRPr="00510984" w:rsidRDefault="0034414C" w:rsidP="00FF3FA0">
            <w:pPr>
              <w:jc w:val="center"/>
            </w:pPr>
            <w:r w:rsidRPr="00510984">
              <w:t>23</w:t>
            </w:r>
          </w:p>
        </w:tc>
        <w:tc>
          <w:tcPr>
            <w:tcW w:w="1134" w:type="dxa"/>
          </w:tcPr>
          <w:p w14:paraId="007C8775" w14:textId="77777777" w:rsidR="0034414C" w:rsidRPr="00510984" w:rsidRDefault="0034414C" w:rsidP="00FF3FA0">
            <w:pPr>
              <w:jc w:val="center"/>
            </w:pPr>
            <w:r w:rsidRPr="00510984">
              <w:t>20</w:t>
            </w:r>
          </w:p>
        </w:tc>
        <w:tc>
          <w:tcPr>
            <w:tcW w:w="1134" w:type="dxa"/>
          </w:tcPr>
          <w:p w14:paraId="44653991" w14:textId="77777777" w:rsidR="0034414C" w:rsidRPr="00510984" w:rsidRDefault="0034414C" w:rsidP="00FF3FA0">
            <w:pPr>
              <w:jc w:val="center"/>
            </w:pPr>
            <w:r w:rsidRPr="00510984">
              <w:t>9</w:t>
            </w:r>
          </w:p>
        </w:tc>
        <w:tc>
          <w:tcPr>
            <w:tcW w:w="709" w:type="dxa"/>
          </w:tcPr>
          <w:p w14:paraId="7A5E5401" w14:textId="77777777" w:rsidR="0034414C" w:rsidRPr="00510984" w:rsidRDefault="0034414C" w:rsidP="00FF3FA0">
            <w:pPr>
              <w:jc w:val="center"/>
            </w:pPr>
            <w:r w:rsidRPr="00510984">
              <w:t>90</w:t>
            </w:r>
          </w:p>
        </w:tc>
        <w:tc>
          <w:tcPr>
            <w:tcW w:w="850" w:type="dxa"/>
          </w:tcPr>
          <w:p w14:paraId="0FC997FD" w14:textId="77777777" w:rsidR="0034414C" w:rsidRPr="00510984" w:rsidRDefault="0034414C" w:rsidP="00FF3FA0">
            <w:pPr>
              <w:jc w:val="center"/>
            </w:pPr>
            <w:r w:rsidRPr="00510984">
              <w:t>9</w:t>
            </w:r>
          </w:p>
        </w:tc>
      </w:tr>
      <w:tr w:rsidR="0034414C" w:rsidRPr="0038201B" w14:paraId="0992D594" w14:textId="77777777" w:rsidTr="00355ADE">
        <w:tc>
          <w:tcPr>
            <w:tcW w:w="2977" w:type="dxa"/>
          </w:tcPr>
          <w:p w14:paraId="6113D0B5" w14:textId="77777777" w:rsidR="0034414C" w:rsidRPr="00510984" w:rsidRDefault="0034414C" w:rsidP="00FF3FA0">
            <w:r w:rsidRPr="00510984">
              <w:t>Lack of capital</w:t>
            </w:r>
          </w:p>
        </w:tc>
        <w:tc>
          <w:tcPr>
            <w:tcW w:w="1134" w:type="dxa"/>
          </w:tcPr>
          <w:p w14:paraId="503A9009" w14:textId="77777777" w:rsidR="0034414C" w:rsidRPr="00510984" w:rsidRDefault="0034414C" w:rsidP="00FF3FA0">
            <w:pPr>
              <w:jc w:val="center"/>
            </w:pPr>
            <w:r w:rsidRPr="00510984">
              <w:t>22</w:t>
            </w:r>
          </w:p>
        </w:tc>
        <w:tc>
          <w:tcPr>
            <w:tcW w:w="1134" w:type="dxa"/>
          </w:tcPr>
          <w:p w14:paraId="71B492C4" w14:textId="77777777" w:rsidR="0034414C" w:rsidRPr="00510984" w:rsidRDefault="0034414C" w:rsidP="00FF3FA0">
            <w:pPr>
              <w:jc w:val="center"/>
            </w:pPr>
            <w:r w:rsidRPr="00510984">
              <w:t>20</w:t>
            </w:r>
          </w:p>
        </w:tc>
        <w:tc>
          <w:tcPr>
            <w:tcW w:w="1134" w:type="dxa"/>
          </w:tcPr>
          <w:p w14:paraId="376F5FD1" w14:textId="77777777" w:rsidR="0034414C" w:rsidRPr="00510984" w:rsidRDefault="0034414C" w:rsidP="00FF3FA0">
            <w:pPr>
              <w:jc w:val="center"/>
            </w:pPr>
            <w:r w:rsidRPr="00510984">
              <w:t>11</w:t>
            </w:r>
          </w:p>
        </w:tc>
        <w:tc>
          <w:tcPr>
            <w:tcW w:w="1134" w:type="dxa"/>
          </w:tcPr>
          <w:p w14:paraId="46BB9D15" w14:textId="77777777" w:rsidR="0034414C" w:rsidRPr="00510984" w:rsidRDefault="0034414C" w:rsidP="00FF3FA0">
            <w:pPr>
              <w:jc w:val="center"/>
            </w:pPr>
            <w:r w:rsidRPr="00510984">
              <w:t>12</w:t>
            </w:r>
          </w:p>
        </w:tc>
        <w:tc>
          <w:tcPr>
            <w:tcW w:w="709" w:type="dxa"/>
          </w:tcPr>
          <w:p w14:paraId="26860566" w14:textId="77777777" w:rsidR="0034414C" w:rsidRPr="00510984" w:rsidRDefault="0034414C" w:rsidP="00FF3FA0">
            <w:pPr>
              <w:jc w:val="center"/>
            </w:pPr>
            <w:r w:rsidRPr="00510984">
              <w:t>78</w:t>
            </w:r>
          </w:p>
        </w:tc>
        <w:tc>
          <w:tcPr>
            <w:tcW w:w="850" w:type="dxa"/>
          </w:tcPr>
          <w:p w14:paraId="7E89DA91" w14:textId="77777777" w:rsidR="0034414C" w:rsidRPr="00510984" w:rsidRDefault="0034414C" w:rsidP="00FF3FA0">
            <w:pPr>
              <w:jc w:val="center"/>
            </w:pPr>
            <w:r w:rsidRPr="00510984">
              <w:t>10</w:t>
            </w:r>
          </w:p>
        </w:tc>
      </w:tr>
    </w:tbl>
    <w:p w14:paraId="61184DA1" w14:textId="77777777" w:rsidR="0034414C" w:rsidRDefault="0034414C" w:rsidP="0034414C">
      <w:pPr>
        <w:spacing w:line="240" w:lineRule="auto"/>
      </w:pPr>
      <w:r w:rsidRPr="00CE3228">
        <w:t xml:space="preserve">Source: Author’s </w:t>
      </w:r>
      <w:r>
        <w:t>c</w:t>
      </w:r>
      <w:r w:rsidRPr="00CE3228">
        <w:t>alculation based on field survey, 2025</w:t>
      </w:r>
    </w:p>
    <w:p w14:paraId="4D9C067A" w14:textId="77777777" w:rsidR="00CB2495" w:rsidRDefault="00CB2495" w:rsidP="0034414C">
      <w:pPr>
        <w:spacing w:line="240" w:lineRule="auto"/>
      </w:pPr>
    </w:p>
    <w:p w14:paraId="75B15D0B" w14:textId="45C7666A" w:rsidR="00CB2495" w:rsidRDefault="00CB2495" w:rsidP="00CB2495">
      <w:r>
        <w:lastRenderedPageBreak/>
        <w:t xml:space="preserve">With labor expenses ranging from 800 to 1200 taka for </w:t>
      </w:r>
      <w:proofErr w:type="gramStart"/>
      <w:r>
        <w:t>one man</w:t>
      </w:r>
      <w:proofErr w:type="gramEnd"/>
      <w:r>
        <w:t xml:space="preserve"> days in the research region, the high salary of labor was the issue with the second ranking. Farmers' profitability is low due to rise in production costs. The third problem is the low demand and market price for jute, which is made worse by the introduction of less expensive, non-perishable synthetic fibers. This change has had a significant effect on the worldwide jute market, which has been referred to as the "Golden Fiber”. Transportation of jute is expensive as well. For jute growers, this has meant higher total production costs du</w:t>
      </w:r>
      <w:r w:rsidR="007240D4">
        <w:t xml:space="preserve">e to rising fertilizer </w:t>
      </w:r>
      <w:proofErr w:type="spellStart"/>
      <w:proofErr w:type="gramStart"/>
      <w:r w:rsidR="007240D4">
        <w:t>costs.</w:t>
      </w:r>
      <w:r>
        <w:t>There</w:t>
      </w:r>
      <w:proofErr w:type="spellEnd"/>
      <w:proofErr w:type="gramEnd"/>
      <w:r>
        <w:t xml:space="preserve"> is disparity in the help and direction provided to jute farmers from the extension workers. Farmers find it challenging to obtain HYV seeds during sowing season due to the research area's distant location. HYV seed availability might increase jute production and farmer interest. Farmers did not get fair price due to malpractices of middlemen which in turn results in financial losses and lowers their interest in jute cultivation. Financial constraints of the farmers are also </w:t>
      </w:r>
      <w:proofErr w:type="gramStart"/>
      <w:r>
        <w:t>hinders</w:t>
      </w:r>
      <w:proofErr w:type="gramEnd"/>
      <w:r>
        <w:t xml:space="preserve"> their jute cultivation properly.</w:t>
      </w:r>
    </w:p>
    <w:p w14:paraId="334C3CD1" w14:textId="77777777" w:rsidR="0034414C" w:rsidRDefault="0034414C" w:rsidP="0034414C">
      <w:pPr>
        <w:spacing w:line="240" w:lineRule="auto"/>
      </w:pPr>
    </w:p>
    <w:p w14:paraId="20D8F338" w14:textId="682CBD01" w:rsidR="008D26B4" w:rsidRDefault="0034414C" w:rsidP="00826FC9">
      <w:r>
        <w:rPr>
          <w:noProof/>
        </w:rPr>
        <w:drawing>
          <wp:inline distT="0" distB="0" distL="0" distR="0" wp14:anchorId="175BCB4C" wp14:editId="395513E0">
            <wp:extent cx="5648325" cy="3000375"/>
            <wp:effectExtent l="0" t="0" r="9525" b="9525"/>
            <wp:docPr id="1424260030" name="Chart 1">
              <a:extLst xmlns:a="http://schemas.openxmlformats.org/drawingml/2006/main">
                <a:ext uri="{FF2B5EF4-FFF2-40B4-BE49-F238E27FC236}">
                  <a16:creationId xmlns:a16="http://schemas.microsoft.com/office/drawing/2014/main" id="{EFA9AE69-C45C-A215-7C11-C33BE95470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C636DC" w14:textId="2DF88E78" w:rsidR="00DF30F1" w:rsidRPr="007240D4" w:rsidRDefault="007240D4" w:rsidP="00746041">
      <w:pPr>
        <w:rPr>
          <w:b/>
        </w:rPr>
      </w:pPr>
      <w:r>
        <w:rPr>
          <w:b/>
          <w:bCs/>
        </w:rPr>
        <w:t xml:space="preserve">Figure </w:t>
      </w:r>
      <w:r w:rsidR="0034414C" w:rsidRPr="007240D4">
        <w:rPr>
          <w:b/>
          <w:bCs/>
        </w:rPr>
        <w:t>2</w:t>
      </w:r>
      <w:r w:rsidR="00B177A2" w:rsidRPr="007240D4">
        <w:rPr>
          <w:b/>
          <w:bCs/>
        </w:rPr>
        <w:t xml:space="preserve">: Probable solutions recommended by jute farmers </w:t>
      </w:r>
      <w:r w:rsidR="00B177A2" w:rsidRPr="007240D4">
        <w:rPr>
          <w:b/>
        </w:rPr>
        <w:t>(multiple response have been taken)</w:t>
      </w:r>
      <w:r w:rsidR="00DF30F1" w:rsidRPr="007240D4">
        <w:rPr>
          <w:b/>
        </w:rPr>
        <w:t xml:space="preserve"> </w:t>
      </w:r>
    </w:p>
    <w:p w14:paraId="6B658B28" w14:textId="18751393" w:rsidR="007240D4" w:rsidRDefault="007240D4" w:rsidP="00746041">
      <w:r>
        <w:t xml:space="preserve">Farmer’s responses regarding different problems of jute farming are depicted in figure 2. 93.85 percent </w:t>
      </w:r>
      <w:proofErr w:type="gramStart"/>
      <w:r>
        <w:t>farmers’</w:t>
      </w:r>
      <w:proofErr w:type="gramEnd"/>
      <w:r>
        <w:t xml:space="preserve"> recommended for increasing water bodies for retting of jute. If government provides incentive to the jute growers, more and more farmers will be inspired to jute production as responded by 83%the jute growers. If the real producer can get a sufficient price after selling the jute, they will produce more and more jute. Reduction of jute cost is essential responded by the 81 % percent sample farmers.</w:t>
      </w:r>
      <w:r w:rsidR="004924E7">
        <w:t xml:space="preserve"> Availability of HYV seed, and other </w:t>
      </w:r>
      <w:r w:rsidR="004924E7">
        <w:lastRenderedPageBreak/>
        <w:t>input can be very much helpful for the farmers for timely planting and thereby increasing productivity in jute farming. Farmers (41%) also respond that government intervention can ensure fair price for the jute farmers to make them profitable. If all the suggestions against respective problems are properly addressed, it will greatly improve the study areas jute farming profitability</w:t>
      </w:r>
      <w:r w:rsidR="004924E7" w:rsidRPr="004924E7">
        <w:t xml:space="preserve"> </w:t>
      </w:r>
      <w:r w:rsidR="004924E7">
        <w:t>as well as sustainability.</w:t>
      </w:r>
    </w:p>
    <w:p w14:paraId="31986635" w14:textId="77777777" w:rsidR="007240D4" w:rsidRDefault="007240D4" w:rsidP="00746041"/>
    <w:p w14:paraId="3E95CFA7" w14:textId="057E1B63" w:rsidR="007240D4" w:rsidRPr="00B75007" w:rsidRDefault="00DA13E8" w:rsidP="00746041">
      <w:pPr>
        <w:rPr>
          <w:rFonts w:ascii="Arial" w:hAnsi="Arial" w:cs="Arial"/>
          <w:b/>
          <w:sz w:val="22"/>
          <w:szCs w:val="22"/>
        </w:rPr>
      </w:pPr>
      <w:r w:rsidRPr="00B75007">
        <w:rPr>
          <w:rFonts w:ascii="Arial" w:hAnsi="Arial" w:cs="Arial"/>
          <w:b/>
          <w:sz w:val="22"/>
          <w:szCs w:val="22"/>
        </w:rPr>
        <w:t>4. Conclusion</w:t>
      </w:r>
    </w:p>
    <w:p w14:paraId="7047B5B3" w14:textId="2BBF3B02" w:rsidR="00D7063D" w:rsidRDefault="009F3653" w:rsidP="00746041">
      <w:r>
        <w:t>J</w:t>
      </w:r>
      <w:r w:rsidRPr="00B50442">
        <w:t>ute</w:t>
      </w:r>
      <w:r w:rsidR="00B50442" w:rsidRPr="00B50442">
        <w:t xml:space="preserve"> is one of the historically important cash crops in </w:t>
      </w:r>
      <w:proofErr w:type="spellStart"/>
      <w:r w:rsidR="00B50442" w:rsidRPr="00B50442">
        <w:t>Bnagldesh</w:t>
      </w:r>
      <w:proofErr w:type="spellEnd"/>
      <w:r w:rsidR="00B50442" w:rsidRPr="00B50442">
        <w:t xml:space="preserve"> which contributes in </w:t>
      </w:r>
      <w:proofErr w:type="spellStart"/>
      <w:r w:rsidR="00B50442" w:rsidRPr="00B50442">
        <w:t>foregin</w:t>
      </w:r>
      <w:proofErr w:type="spellEnd"/>
      <w:r w:rsidR="00B50442" w:rsidRPr="00B50442">
        <w:t xml:space="preserve"> exchange earning in substantial proportion in every year</w:t>
      </w:r>
      <w:r w:rsidR="00B50442">
        <w:t xml:space="preserve">. </w:t>
      </w:r>
      <w:r w:rsidR="00B90ABB">
        <w:t xml:space="preserve">Kishoreganj district of </w:t>
      </w:r>
      <w:r w:rsidR="009756EB">
        <w:t xml:space="preserve">Bangladesh is one of the </w:t>
      </w:r>
      <w:proofErr w:type="gramStart"/>
      <w:r w:rsidR="009756EB">
        <w:t>jute</w:t>
      </w:r>
      <w:proofErr w:type="gramEnd"/>
      <w:r w:rsidR="009756EB">
        <w:t xml:space="preserve"> growing regions in Bangladesh. This study was conducted based on primary as well as secondary data.  The primary goal of thesis study was to analyze the profitability and trend analysis of the jute in terms of area, production and yield. Gross margin analysis and growth model were used to achieve the study objectives.  The study results found that this crop farming is profitable and economically viable in the study areas. </w:t>
      </w:r>
      <w:r w:rsidR="00B90ABB">
        <w:t>Trend analysis</w:t>
      </w:r>
      <w:r w:rsidR="009756EB">
        <w:t xml:space="preserve"> from the estimation of growth model</w:t>
      </w:r>
      <w:r w:rsidR="00B90ABB">
        <w:t xml:space="preserve"> shows that</w:t>
      </w:r>
      <w:r w:rsidR="001531E0">
        <w:t xml:space="preserve"> although acreage in jute production in the study area is decreasing over the years, yie</w:t>
      </w:r>
      <w:r w:rsidR="009756EB">
        <w:t>ld is relatively increasing. But this crop farming</w:t>
      </w:r>
      <w:r w:rsidR="00D7063D" w:rsidRPr="00D7063D">
        <w:t xml:space="preserve"> faces challenges such as labor shortages, retting water scarcity, and price uncertainty. Although yields have improved, the cultivated area is declining, and profits are insufficient to encourage expansion. </w:t>
      </w:r>
      <w:r w:rsidR="009756EB">
        <w:t xml:space="preserve">Jute industry is reviving because of environmental issues and increasing demand of jute products. </w:t>
      </w:r>
      <w:r w:rsidR="00D7063D" w:rsidRPr="00D7063D">
        <w:t>Given jute’s environmental and export potential, targeted policies, better input supply, and improved market support are essential to sustain cultivation and ensure long-term profitability in Kishoreganj.</w:t>
      </w:r>
    </w:p>
    <w:p w14:paraId="4B981FD5" w14:textId="33B13979" w:rsidR="00173FD6" w:rsidRDefault="00173FD6" w:rsidP="00746041">
      <w:r>
        <w:t xml:space="preserve"> This study’s strength is presenting the trend of jute acreage and production and its growth performance along with profitability analysis which addressing the existing knowledge gaps in the literature. This study is a valuable reference in this context. However, this study is conducted in covering small number of jute growers as well as covering only two </w:t>
      </w:r>
      <w:proofErr w:type="spellStart"/>
      <w:r>
        <w:t>upazials</w:t>
      </w:r>
      <w:proofErr w:type="spellEnd"/>
      <w:r>
        <w:t xml:space="preserve"> due to financial constraints which could have been broadens for more comprehensive results for policy analysis.</w:t>
      </w:r>
    </w:p>
    <w:p w14:paraId="0A46F1B8" w14:textId="466D1E64" w:rsidR="00AF0EFB" w:rsidRDefault="00B75007" w:rsidP="00746041">
      <w:r>
        <w:t xml:space="preserve"> </w:t>
      </w:r>
      <w:bookmarkStart w:id="1" w:name="_GoBack"/>
      <w:bookmarkEnd w:id="1"/>
    </w:p>
    <w:p w14:paraId="058E3008" w14:textId="70D2A3B6" w:rsidR="00D7063D" w:rsidRDefault="00D7063D" w:rsidP="00746041">
      <w:r>
        <w:t>Competing Interests</w:t>
      </w:r>
    </w:p>
    <w:p w14:paraId="5BDF62AE" w14:textId="2E71EFD1" w:rsidR="00D7063D" w:rsidRDefault="00D7063D" w:rsidP="00746041">
      <w:r>
        <w:t>Authors have declared that no competing interests exist.</w:t>
      </w:r>
    </w:p>
    <w:p w14:paraId="71E8616F" w14:textId="77777777" w:rsidR="00BC65A9" w:rsidRDefault="00BC65A9" w:rsidP="00746041"/>
    <w:p w14:paraId="44C02198" w14:textId="77777777" w:rsidR="00BC65A9" w:rsidRDefault="00BC65A9" w:rsidP="00BC65A9">
      <w:r>
        <w:t>COMPETING INTERESTS DISCLAIMER:</w:t>
      </w:r>
    </w:p>
    <w:p w14:paraId="19D5AC26" w14:textId="77777777" w:rsidR="00BC65A9" w:rsidRDefault="00BC65A9" w:rsidP="00BC65A9">
      <w:r>
        <w:lastRenderedPageBreak/>
        <w:t>Authors have declared that they have no known competing financial interests OR non-financial interests OR personal relationships that could have appeared to influence the work reported in this paper.</w:t>
      </w:r>
    </w:p>
    <w:p w14:paraId="3539DECF" w14:textId="77777777" w:rsidR="00BC65A9" w:rsidRDefault="00BC65A9" w:rsidP="00BC65A9"/>
    <w:p w14:paraId="39C2A733" w14:textId="77777777" w:rsidR="00BC65A9" w:rsidRDefault="00BC65A9" w:rsidP="00746041"/>
    <w:p w14:paraId="144C0FB0" w14:textId="562804FB" w:rsidR="007240D4" w:rsidRDefault="007240D4" w:rsidP="00746041"/>
    <w:p w14:paraId="42B34EC8" w14:textId="69AB8506" w:rsidR="00F676B1" w:rsidRPr="00100A6B" w:rsidRDefault="00D15482" w:rsidP="00C167A0">
      <w:pPr>
        <w:jc w:val="left"/>
        <w:rPr>
          <w:b/>
          <w:bCs/>
          <w:sz w:val="28"/>
          <w:szCs w:val="28"/>
        </w:rPr>
      </w:pPr>
      <w:r w:rsidRPr="00100A6B">
        <w:rPr>
          <w:b/>
          <w:bCs/>
          <w:sz w:val="28"/>
          <w:szCs w:val="28"/>
        </w:rPr>
        <w:t>R</w:t>
      </w:r>
      <w:r w:rsidR="00DB21AC" w:rsidRPr="00100A6B">
        <w:rPr>
          <w:b/>
          <w:bCs/>
          <w:sz w:val="28"/>
          <w:szCs w:val="28"/>
        </w:rPr>
        <w:t>EFERENCES</w:t>
      </w:r>
    </w:p>
    <w:p w14:paraId="27DF1A23" w14:textId="77777777" w:rsidR="00355ADE" w:rsidRPr="00355ADE" w:rsidRDefault="00355ADE" w:rsidP="00355ADE">
      <w:pPr>
        <w:ind w:left="720" w:hanging="720"/>
      </w:pPr>
      <w:r w:rsidRPr="00355ADE">
        <w:rPr>
          <w:shd w:val="clear" w:color="auto" w:fill="FFFFFF"/>
        </w:rPr>
        <w:t>Alam, M. Z., Islam, M. S., &amp; Kabir, M. H. (2018). Problems faced by the bean farmer in selected areas of Pabna district in Bangladesh. </w:t>
      </w:r>
      <w:r w:rsidRPr="00355ADE">
        <w:rPr>
          <w:i/>
          <w:iCs/>
          <w:shd w:val="clear" w:color="auto" w:fill="FFFFFF"/>
        </w:rPr>
        <w:t>Research in Agriculture Livestock and Fisheries</w:t>
      </w:r>
      <w:r w:rsidRPr="00355ADE">
        <w:rPr>
          <w:shd w:val="clear" w:color="auto" w:fill="FFFFFF"/>
        </w:rPr>
        <w:t>, </w:t>
      </w:r>
      <w:r w:rsidRPr="00355ADE">
        <w:rPr>
          <w:i/>
          <w:iCs/>
          <w:shd w:val="clear" w:color="auto" w:fill="FFFFFF"/>
        </w:rPr>
        <w:t>5</w:t>
      </w:r>
      <w:r w:rsidRPr="00355ADE">
        <w:rPr>
          <w:shd w:val="clear" w:color="auto" w:fill="FFFFFF"/>
        </w:rPr>
        <w:t xml:space="preserve">, 11-18. </w:t>
      </w:r>
      <w:hyperlink r:id="rId12" w:history="1">
        <w:r w:rsidRPr="00355ADE">
          <w:rPr>
            <w:rStyle w:val="Hyperlink"/>
            <w:color w:val="auto"/>
          </w:rPr>
          <w:t>http://dx.doi.org/10.3329/ralf.v5i1.36547</w:t>
        </w:r>
      </w:hyperlink>
    </w:p>
    <w:p w14:paraId="34FA80BD" w14:textId="63D671D3" w:rsidR="00355ADE" w:rsidRDefault="00355ADE" w:rsidP="00994431">
      <w:pPr>
        <w:ind w:left="720" w:hanging="720"/>
        <w:rPr>
          <w:rStyle w:val="Hyperlink"/>
          <w:color w:val="auto"/>
          <w:u w:val="none"/>
        </w:rPr>
      </w:pPr>
      <w:r w:rsidRPr="00355ADE">
        <w:rPr>
          <w:shd w:val="clear" w:color="auto" w:fill="FFFFFF"/>
        </w:rPr>
        <w:t xml:space="preserve">Basu, G., &amp; Roy, A. N. (2008). Blending of jute with different natural </w:t>
      </w:r>
      <w:proofErr w:type="spellStart"/>
      <w:r w:rsidRPr="00355ADE">
        <w:rPr>
          <w:shd w:val="clear" w:color="auto" w:fill="FFFFFF"/>
        </w:rPr>
        <w:t>fibres</w:t>
      </w:r>
      <w:proofErr w:type="spellEnd"/>
      <w:r w:rsidRPr="00355ADE">
        <w:rPr>
          <w:shd w:val="clear" w:color="auto" w:fill="FFFFFF"/>
        </w:rPr>
        <w:t>. </w:t>
      </w:r>
      <w:r w:rsidRPr="00355ADE">
        <w:rPr>
          <w:i/>
          <w:iCs/>
          <w:shd w:val="clear" w:color="auto" w:fill="FFFFFF"/>
        </w:rPr>
        <w:t>Journal of Natural Fibers</w:t>
      </w:r>
      <w:r w:rsidRPr="00355ADE">
        <w:rPr>
          <w:shd w:val="clear" w:color="auto" w:fill="FFFFFF"/>
        </w:rPr>
        <w:t>, </w:t>
      </w:r>
      <w:r w:rsidRPr="00355ADE">
        <w:rPr>
          <w:i/>
          <w:iCs/>
          <w:shd w:val="clear" w:color="auto" w:fill="FFFFFF"/>
        </w:rPr>
        <w:t>4</w:t>
      </w:r>
      <w:r w:rsidRPr="00355ADE">
        <w:rPr>
          <w:shd w:val="clear" w:color="auto" w:fill="FFFFFF"/>
        </w:rPr>
        <w:t xml:space="preserve">, 13-29. </w:t>
      </w:r>
      <w:hyperlink r:id="rId13" w:history="1">
        <w:r w:rsidRPr="00355ADE">
          <w:rPr>
            <w:rStyle w:val="Hyperlink"/>
            <w:color w:val="auto"/>
            <w:u w:val="none"/>
          </w:rPr>
          <w:t>https://doi.org/10.1080/15440470801893323</w:t>
        </w:r>
      </w:hyperlink>
      <w:r w:rsidR="00095815">
        <w:rPr>
          <w:rStyle w:val="Hyperlink"/>
          <w:color w:val="auto"/>
          <w:u w:val="none"/>
        </w:rPr>
        <w:t>.</w:t>
      </w:r>
    </w:p>
    <w:p w14:paraId="18C8B105" w14:textId="2BAF55A1" w:rsidR="00095815" w:rsidRDefault="00095815" w:rsidP="00095815">
      <w:pPr>
        <w:ind w:left="720" w:hanging="720"/>
        <w:rPr>
          <w:rStyle w:val="Hyperlink"/>
          <w:color w:val="auto"/>
          <w:u w:val="none"/>
        </w:rPr>
      </w:pPr>
      <w:r w:rsidRPr="00095815">
        <w:rPr>
          <w:rStyle w:val="Hyperlink"/>
          <w:color w:val="auto"/>
          <w:u w:val="none"/>
        </w:rPr>
        <w:t>Bangl</w:t>
      </w:r>
      <w:r w:rsidR="00731A32">
        <w:rPr>
          <w:rStyle w:val="Hyperlink"/>
          <w:color w:val="auto"/>
          <w:u w:val="none"/>
        </w:rPr>
        <w:t>adesh Bureau of Statistics (1997</w:t>
      </w:r>
      <w:r w:rsidRPr="00095815">
        <w:rPr>
          <w:rStyle w:val="Hyperlink"/>
          <w:color w:val="auto"/>
          <w:u w:val="none"/>
        </w:rPr>
        <w:t>). Yearbook</w:t>
      </w:r>
      <w:r w:rsidR="00731A32">
        <w:rPr>
          <w:rStyle w:val="Hyperlink"/>
          <w:color w:val="auto"/>
          <w:u w:val="none"/>
        </w:rPr>
        <w:t xml:space="preserve"> of Agricultural Statistics 1997</w:t>
      </w:r>
      <w:r w:rsidRPr="00095815">
        <w:rPr>
          <w:rStyle w:val="Hyperlink"/>
          <w:color w:val="auto"/>
          <w:u w:val="none"/>
        </w:rPr>
        <w:t>. Bangladesh Bureau of Statistics, Ministry of Planning, Government of the People’s Republic of Bangladesh.</w:t>
      </w:r>
    </w:p>
    <w:p w14:paraId="36317D06" w14:textId="4FC2B8E1" w:rsidR="00731A32"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(2000</w:t>
      </w:r>
      <w:r w:rsidRPr="00731A32">
        <w:rPr>
          <w:rStyle w:val="Hyperlink"/>
          <w:color w:val="auto"/>
          <w:u w:val="none"/>
        </w:rPr>
        <w:t>). Yearbook</w:t>
      </w:r>
      <w:r>
        <w:rPr>
          <w:rStyle w:val="Hyperlink"/>
          <w:color w:val="auto"/>
          <w:u w:val="none"/>
        </w:rPr>
        <w:t xml:space="preserve"> of Agricultural Statistics 2000</w:t>
      </w:r>
      <w:r w:rsidRPr="00731A32">
        <w:rPr>
          <w:rStyle w:val="Hyperlink"/>
          <w:color w:val="auto"/>
          <w:u w:val="none"/>
        </w:rPr>
        <w:t>. Bangladesh Bureau of Statistics, Ministry of Planning, Government of the People’s Republic of Bangladesh.</w:t>
      </w:r>
    </w:p>
    <w:p w14:paraId="1A2A4F42" w14:textId="5004FB20" w:rsidR="00731A32"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(2005</w:t>
      </w:r>
      <w:r w:rsidRPr="00731A32">
        <w:rPr>
          <w:rStyle w:val="Hyperlink"/>
          <w:color w:val="auto"/>
          <w:u w:val="none"/>
        </w:rPr>
        <w:t>). Yearbook of Agricultural Stat</w:t>
      </w:r>
      <w:r>
        <w:rPr>
          <w:rStyle w:val="Hyperlink"/>
          <w:color w:val="auto"/>
          <w:u w:val="none"/>
        </w:rPr>
        <w:t>istics 2005</w:t>
      </w:r>
      <w:r w:rsidRPr="00731A32">
        <w:rPr>
          <w:rStyle w:val="Hyperlink"/>
          <w:color w:val="auto"/>
          <w:u w:val="none"/>
        </w:rPr>
        <w:t>. Bangladesh Bureau of Statistics, Ministry of Planning, Government of the People’s Republic of Bangladesh.</w:t>
      </w:r>
    </w:p>
    <w:p w14:paraId="1A814DE0" w14:textId="7C3D27E2" w:rsidR="00731A32"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(2006</w:t>
      </w:r>
      <w:r w:rsidRPr="00731A32">
        <w:rPr>
          <w:rStyle w:val="Hyperlink"/>
          <w:color w:val="auto"/>
          <w:u w:val="none"/>
        </w:rPr>
        <w:t>). Yearbook</w:t>
      </w:r>
      <w:r>
        <w:rPr>
          <w:rStyle w:val="Hyperlink"/>
          <w:color w:val="auto"/>
          <w:u w:val="none"/>
        </w:rPr>
        <w:t xml:space="preserve"> of Agricultural Statistics 2006</w:t>
      </w:r>
      <w:r w:rsidRPr="00731A32">
        <w:rPr>
          <w:rStyle w:val="Hyperlink"/>
          <w:color w:val="auto"/>
          <w:u w:val="none"/>
        </w:rPr>
        <w:t>. Bangladesh Bureau of Statistics, Ministry of Planning, Government of the People’s Republic of Bangladesh.</w:t>
      </w:r>
    </w:p>
    <w:p w14:paraId="79DB7446" w14:textId="22574109" w:rsidR="00731A32" w:rsidRDefault="00731A32" w:rsidP="00095815">
      <w:pPr>
        <w:ind w:left="720" w:hanging="720"/>
        <w:rPr>
          <w:rStyle w:val="Hyperlink"/>
          <w:color w:val="auto"/>
          <w:u w:val="none"/>
        </w:rPr>
      </w:pPr>
      <w:r w:rsidRPr="00731A32">
        <w:rPr>
          <w:rStyle w:val="Hyperlink"/>
          <w:color w:val="auto"/>
          <w:u w:val="none"/>
        </w:rPr>
        <w:t>Bangladesh Bureau of Sta</w:t>
      </w:r>
      <w:r>
        <w:rPr>
          <w:rStyle w:val="Hyperlink"/>
          <w:color w:val="auto"/>
          <w:u w:val="none"/>
        </w:rPr>
        <w:t>tistics (2008</w:t>
      </w:r>
      <w:r w:rsidRPr="00731A32">
        <w:rPr>
          <w:rStyle w:val="Hyperlink"/>
          <w:color w:val="auto"/>
          <w:u w:val="none"/>
        </w:rPr>
        <w:t>). Yearbook</w:t>
      </w:r>
      <w:r>
        <w:rPr>
          <w:rStyle w:val="Hyperlink"/>
          <w:color w:val="auto"/>
          <w:u w:val="none"/>
        </w:rPr>
        <w:t xml:space="preserve"> of Agricultural Statistics 2008</w:t>
      </w:r>
      <w:r w:rsidRPr="00731A32">
        <w:rPr>
          <w:rStyle w:val="Hyperlink"/>
          <w:color w:val="auto"/>
          <w:u w:val="none"/>
        </w:rPr>
        <w:t>. Bangladesh Bureau of Statistics, Ministry of Planning, Government of the People’s Republic of Bangladesh.</w:t>
      </w:r>
    </w:p>
    <w:p w14:paraId="457B3DC0" w14:textId="4EA7145F" w:rsidR="00731A32"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(2011</w:t>
      </w:r>
      <w:r w:rsidRPr="00731A32">
        <w:rPr>
          <w:rStyle w:val="Hyperlink"/>
          <w:color w:val="auto"/>
          <w:u w:val="none"/>
        </w:rPr>
        <w:t>). Yearbook</w:t>
      </w:r>
      <w:r>
        <w:rPr>
          <w:rStyle w:val="Hyperlink"/>
          <w:color w:val="auto"/>
          <w:u w:val="none"/>
        </w:rPr>
        <w:t xml:space="preserve"> of Agricultural Statistics 2011</w:t>
      </w:r>
      <w:r w:rsidRPr="00731A32">
        <w:rPr>
          <w:rStyle w:val="Hyperlink"/>
          <w:color w:val="auto"/>
          <w:u w:val="none"/>
        </w:rPr>
        <w:t>. Bangladesh Bureau of Statistics, Ministry of Planning, Government of the People’s Republic of Bangladesh.</w:t>
      </w:r>
    </w:p>
    <w:p w14:paraId="5F859FE1" w14:textId="2FFCD0AD" w:rsidR="00731A32"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(2013</w:t>
      </w:r>
      <w:r w:rsidRPr="00731A32">
        <w:rPr>
          <w:rStyle w:val="Hyperlink"/>
          <w:color w:val="auto"/>
          <w:u w:val="none"/>
        </w:rPr>
        <w:t>). Yearboo</w:t>
      </w:r>
      <w:r>
        <w:rPr>
          <w:rStyle w:val="Hyperlink"/>
          <w:color w:val="auto"/>
          <w:u w:val="none"/>
        </w:rPr>
        <w:t>k of Agricultural Statistics 201</w:t>
      </w:r>
      <w:r w:rsidRPr="00731A32">
        <w:rPr>
          <w:rStyle w:val="Hyperlink"/>
          <w:color w:val="auto"/>
          <w:u w:val="none"/>
        </w:rPr>
        <w:t>3. Bangladesh Bureau of Statistics, Ministry of Planning, Government of the People’s Republic of Bangladesh.</w:t>
      </w:r>
    </w:p>
    <w:p w14:paraId="7308A60D" w14:textId="4A8C8783" w:rsidR="00731A32" w:rsidRDefault="00731A32" w:rsidP="00095815">
      <w:pPr>
        <w:ind w:left="720" w:hanging="720"/>
        <w:rPr>
          <w:rStyle w:val="Hyperlink"/>
          <w:color w:val="auto"/>
          <w:u w:val="none"/>
        </w:rPr>
      </w:pPr>
      <w:r w:rsidRPr="00731A32">
        <w:rPr>
          <w:rStyle w:val="Hyperlink"/>
          <w:color w:val="auto"/>
          <w:u w:val="none"/>
        </w:rPr>
        <w:lastRenderedPageBreak/>
        <w:t>Bangl</w:t>
      </w:r>
      <w:r>
        <w:rPr>
          <w:rStyle w:val="Hyperlink"/>
          <w:color w:val="auto"/>
          <w:u w:val="none"/>
        </w:rPr>
        <w:t>adesh Bureau of Statistics (2015</w:t>
      </w:r>
      <w:r w:rsidRPr="00731A32">
        <w:rPr>
          <w:rStyle w:val="Hyperlink"/>
          <w:color w:val="auto"/>
          <w:u w:val="none"/>
        </w:rPr>
        <w:t>). Yearbook</w:t>
      </w:r>
      <w:r>
        <w:rPr>
          <w:rStyle w:val="Hyperlink"/>
          <w:color w:val="auto"/>
          <w:u w:val="none"/>
        </w:rPr>
        <w:t xml:space="preserve"> of Agricultural Statistics 2015</w:t>
      </w:r>
      <w:r w:rsidRPr="00731A32">
        <w:rPr>
          <w:rStyle w:val="Hyperlink"/>
          <w:color w:val="auto"/>
          <w:u w:val="none"/>
        </w:rPr>
        <w:t>. Bangladesh Bureau of Statistics, Ministry of Planning, Government of the People’s Republic of Bangladesh.</w:t>
      </w:r>
    </w:p>
    <w:p w14:paraId="06A6382E" w14:textId="2C5D9ED9" w:rsidR="00731A32"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(2019</w:t>
      </w:r>
      <w:r w:rsidRPr="00731A32">
        <w:rPr>
          <w:rStyle w:val="Hyperlink"/>
          <w:color w:val="auto"/>
          <w:u w:val="none"/>
        </w:rPr>
        <w:t>). Yearbook</w:t>
      </w:r>
      <w:r>
        <w:rPr>
          <w:rStyle w:val="Hyperlink"/>
          <w:color w:val="auto"/>
          <w:u w:val="none"/>
        </w:rPr>
        <w:t xml:space="preserve"> of Agricultural Statistics 2019</w:t>
      </w:r>
      <w:r w:rsidRPr="00731A32">
        <w:rPr>
          <w:rStyle w:val="Hyperlink"/>
          <w:color w:val="auto"/>
          <w:u w:val="none"/>
        </w:rPr>
        <w:t>. Bangladesh Bureau of Statistics, Ministry of Planning, Government of the People’s Republic of Bangladesh.</w:t>
      </w:r>
    </w:p>
    <w:p w14:paraId="0B948DF8" w14:textId="0A54E2B7" w:rsidR="00731A32"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(2023</w:t>
      </w:r>
      <w:r w:rsidRPr="00731A32">
        <w:rPr>
          <w:rStyle w:val="Hyperlink"/>
          <w:color w:val="auto"/>
          <w:u w:val="none"/>
        </w:rPr>
        <w:t>). Yearbook</w:t>
      </w:r>
      <w:r>
        <w:rPr>
          <w:rStyle w:val="Hyperlink"/>
          <w:color w:val="auto"/>
          <w:u w:val="none"/>
        </w:rPr>
        <w:t xml:space="preserve"> of Agricultural Statistics 2023</w:t>
      </w:r>
      <w:r w:rsidRPr="00731A32">
        <w:rPr>
          <w:rStyle w:val="Hyperlink"/>
          <w:color w:val="auto"/>
          <w:u w:val="none"/>
        </w:rPr>
        <w:t>. Bangladesh Bureau of Statistics, Ministry of Planning, Government of the People’s Republic of Bangladesh.</w:t>
      </w:r>
    </w:p>
    <w:p w14:paraId="630F1552" w14:textId="59449485" w:rsidR="00731A32" w:rsidRPr="00095815" w:rsidRDefault="00731A32" w:rsidP="00095815">
      <w:pPr>
        <w:ind w:left="720" w:hanging="720"/>
        <w:rPr>
          <w:rStyle w:val="Hyperlink"/>
          <w:color w:val="auto"/>
          <w:u w:val="none"/>
        </w:rPr>
      </w:pPr>
      <w:r w:rsidRPr="00731A32">
        <w:rPr>
          <w:rStyle w:val="Hyperlink"/>
          <w:color w:val="auto"/>
          <w:u w:val="none"/>
        </w:rPr>
        <w:t>Bangl</w:t>
      </w:r>
      <w:r>
        <w:rPr>
          <w:rStyle w:val="Hyperlink"/>
          <w:color w:val="auto"/>
          <w:u w:val="none"/>
        </w:rPr>
        <w:t>adesh Bureau of Statistics (2024</w:t>
      </w:r>
      <w:r w:rsidRPr="00731A32">
        <w:rPr>
          <w:rStyle w:val="Hyperlink"/>
          <w:color w:val="auto"/>
          <w:u w:val="none"/>
        </w:rPr>
        <w:t>). Stat</w:t>
      </w:r>
      <w:r>
        <w:rPr>
          <w:rStyle w:val="Hyperlink"/>
          <w:color w:val="auto"/>
          <w:u w:val="none"/>
        </w:rPr>
        <w:t>istical Yearbook Bangladesh 2024</w:t>
      </w:r>
      <w:r w:rsidRPr="00731A32">
        <w:rPr>
          <w:rStyle w:val="Hyperlink"/>
          <w:color w:val="auto"/>
          <w:u w:val="none"/>
        </w:rPr>
        <w:t>. Bangladesh Bureau of Statistics, Ministry of Planning, Government of the People’s Republic of Bangladesh.</w:t>
      </w:r>
    </w:p>
    <w:p w14:paraId="34D9A9C2" w14:textId="229D23BB" w:rsidR="00095815" w:rsidRPr="00355ADE" w:rsidRDefault="00095815" w:rsidP="00095815">
      <w:pPr>
        <w:ind w:left="720" w:hanging="720"/>
        <w:rPr>
          <w:rStyle w:val="Hyperlink"/>
          <w:color w:val="auto"/>
          <w:u w:val="none"/>
        </w:rPr>
      </w:pPr>
      <w:r w:rsidRPr="00095815">
        <w:rPr>
          <w:rStyle w:val="Hyperlink"/>
          <w:color w:val="auto"/>
          <w:u w:val="none"/>
        </w:rPr>
        <w:t>Bangl</w:t>
      </w:r>
      <w:r w:rsidR="00731A32">
        <w:rPr>
          <w:rStyle w:val="Hyperlink"/>
          <w:color w:val="auto"/>
          <w:u w:val="none"/>
        </w:rPr>
        <w:t>adesh Bureau of Statistics (2024</w:t>
      </w:r>
      <w:r w:rsidRPr="00095815">
        <w:rPr>
          <w:rStyle w:val="Hyperlink"/>
          <w:color w:val="auto"/>
          <w:u w:val="none"/>
        </w:rPr>
        <w:t>). Population &amp; Housing Census 2022 — Community Report: Kishoreganj District. Statistics and Informatics Division, Ministry of Planning, Government of the People’s Republic of Bangladesh. Retrieved October 20, 2024, from https://nsds.bbs.gov.bd/storage/files/1/Publications/PHC_2021%20Community%20Report/DHAKA%20DIVISION/Community%20Report%20Kishoreganj.pdf</w:t>
      </w:r>
    </w:p>
    <w:p w14:paraId="0929AC34" w14:textId="77777777" w:rsidR="00355ADE" w:rsidRPr="00355ADE" w:rsidRDefault="00355ADE" w:rsidP="009B4C47">
      <w:pPr>
        <w:ind w:left="720" w:hanging="720"/>
        <w:rPr>
          <w:rStyle w:val="Hyperlink"/>
          <w:color w:val="auto"/>
        </w:rPr>
      </w:pPr>
      <w:r w:rsidRPr="00355ADE">
        <w:t xml:space="preserve">Dillon, J. L., &amp; Hardaker, J. B. (1980). </w:t>
      </w:r>
      <w:r w:rsidRPr="00355ADE">
        <w:rPr>
          <w:i/>
          <w:iCs/>
        </w:rPr>
        <w:t>Farm management: Research for small farmer development.</w:t>
      </w:r>
      <w:r w:rsidRPr="00355ADE">
        <w:t xml:space="preserve"> Rome, Italy: Food and Agriculture Organization of the United Nations (FAO). Retrieved from </w:t>
      </w:r>
      <w:hyperlink r:id="rId14" w:tgtFrame="_new" w:history="1">
        <w:r w:rsidRPr="00355ADE">
          <w:rPr>
            <w:rStyle w:val="Hyperlink"/>
            <w:color w:val="auto"/>
          </w:rPr>
          <w:t>https://www.fao.org/3/x5648e/x5648e00.htm</w:t>
        </w:r>
      </w:hyperlink>
    </w:p>
    <w:p w14:paraId="1EBFFCB1" w14:textId="77777777" w:rsidR="00355ADE" w:rsidRPr="00355ADE" w:rsidRDefault="00355ADE" w:rsidP="009B4C47">
      <w:pPr>
        <w:ind w:left="720" w:hanging="720"/>
      </w:pPr>
      <w:r w:rsidRPr="00355ADE">
        <w:t xml:space="preserve">Gujarati, D. N., &amp; Porter, D. C. (2009). </w:t>
      </w:r>
      <w:r w:rsidRPr="00355ADE">
        <w:rPr>
          <w:i/>
          <w:iCs/>
        </w:rPr>
        <w:t>Basic econometrics</w:t>
      </w:r>
      <w:r w:rsidRPr="00355ADE">
        <w:t xml:space="preserve"> (5th ed., pp. 469–472). McGraw-Hill Irwin.</w:t>
      </w:r>
    </w:p>
    <w:p w14:paraId="3310594A" w14:textId="77777777" w:rsidR="00355ADE" w:rsidRPr="00355ADE" w:rsidRDefault="00355ADE" w:rsidP="00994431">
      <w:pPr>
        <w:ind w:left="720" w:hanging="720"/>
        <w:rPr>
          <w:i/>
          <w:iCs/>
          <w:shd w:val="clear" w:color="auto" w:fill="FFFFFF"/>
        </w:rPr>
      </w:pPr>
      <w:r w:rsidRPr="00355ADE">
        <w:t xml:space="preserve">Kazal, M. M. H., Rahman, S., Alam, M. J., &amp; Hossain, S. T. (2013). Financial and Economic Profitability of Selected Agricultural Crops in Bangladesh, NFPCSP-FAO Research Grant Report #05/11, </w:t>
      </w:r>
      <w:r w:rsidRPr="00355ADE">
        <w:rPr>
          <w:i/>
          <w:iCs/>
        </w:rPr>
        <w:t xml:space="preserve">Food Planning and Monitoring Unit, Ministry of Food, Dhaka, </w:t>
      </w:r>
      <w:r w:rsidRPr="00355ADE">
        <w:rPr>
          <w:i/>
          <w:iCs/>
          <w:shd w:val="clear" w:color="auto" w:fill="FFFFFF"/>
        </w:rPr>
        <w:t>Government of the People’s Republic of Bangladesh.</w:t>
      </w:r>
    </w:p>
    <w:p w14:paraId="153E45BA" w14:textId="32C06BBF" w:rsidR="00355ADE" w:rsidRDefault="00602D4C" w:rsidP="009B4C47">
      <w:pPr>
        <w:ind w:left="720" w:hanging="720"/>
        <w:rPr>
          <w:rStyle w:val="Hyperlink"/>
          <w:color w:val="auto"/>
        </w:rPr>
      </w:pPr>
      <w:r>
        <w:t xml:space="preserve">Microsoft Corporation. (2016). </w:t>
      </w:r>
      <w:r w:rsidR="00355ADE" w:rsidRPr="00602D4C">
        <w:rPr>
          <w:iCs/>
        </w:rPr>
        <w:t>Microsoft Excel (Version 2016</w:t>
      </w:r>
      <w:r w:rsidR="00355ADE" w:rsidRPr="00355ADE">
        <w:rPr>
          <w:i/>
          <w:iCs/>
        </w:rPr>
        <w:t>)</w:t>
      </w:r>
      <w:r w:rsidR="00355ADE" w:rsidRPr="00355ADE">
        <w:t xml:space="preserve"> [Computer software]. Microsoft Corporation. </w:t>
      </w:r>
      <w:hyperlink r:id="rId15" w:history="1">
        <w:r w:rsidR="00355ADE" w:rsidRPr="00355ADE">
          <w:rPr>
            <w:rStyle w:val="Hyperlink"/>
            <w:color w:val="auto"/>
          </w:rPr>
          <w:t>https://www.microsoft.com/</w:t>
        </w:r>
      </w:hyperlink>
    </w:p>
    <w:p w14:paraId="6D4E7845" w14:textId="22DB9D8F" w:rsidR="00602D4C" w:rsidRPr="005F34FC" w:rsidRDefault="00602D4C" w:rsidP="009B4C47">
      <w:pPr>
        <w:ind w:left="720" w:hanging="720"/>
        <w:rPr>
          <w:rStyle w:val="Hyperlink"/>
          <w:color w:val="auto"/>
          <w:u w:val="none"/>
        </w:rPr>
      </w:pPr>
      <w:proofErr w:type="spellStart"/>
      <w:r w:rsidRPr="00602D4C">
        <w:rPr>
          <w:rStyle w:val="Hyperlink"/>
          <w:color w:val="auto"/>
          <w:u w:val="none"/>
        </w:rPr>
        <w:t>Moniruzzaman</w:t>
      </w:r>
      <w:proofErr w:type="spellEnd"/>
      <w:r w:rsidRPr="00602D4C">
        <w:rPr>
          <w:rStyle w:val="Hyperlink"/>
          <w:color w:val="auto"/>
          <w:u w:val="none"/>
        </w:rPr>
        <w:t>, S. M.</w:t>
      </w:r>
      <w:r>
        <w:rPr>
          <w:rStyle w:val="Hyperlink"/>
          <w:color w:val="auto"/>
          <w:u w:val="none"/>
        </w:rPr>
        <w:t>,</w:t>
      </w:r>
      <w:r w:rsidRPr="00602D4C">
        <w:rPr>
          <w:rStyle w:val="Hyperlink"/>
          <w:color w:val="auto"/>
          <w:u w:val="none"/>
        </w:rPr>
        <w:t xml:space="preserve"> </w:t>
      </w:r>
      <w:r>
        <w:rPr>
          <w:rStyle w:val="Hyperlink"/>
          <w:color w:val="auto"/>
          <w:u w:val="none"/>
        </w:rPr>
        <w:t xml:space="preserve">Alam, M. J. Sharma, D. Begum, I. A. Patino, M. T. O., MicKenzie, A. </w:t>
      </w:r>
      <w:proofErr w:type="gramStart"/>
      <w:r>
        <w:rPr>
          <w:rStyle w:val="Hyperlink"/>
          <w:color w:val="auto"/>
          <w:u w:val="none"/>
        </w:rPr>
        <w:t>M.</w:t>
      </w:r>
      <w:r w:rsidR="005F34FC">
        <w:rPr>
          <w:rStyle w:val="Hyperlink"/>
          <w:color w:val="auto"/>
          <w:u w:val="none"/>
        </w:rPr>
        <w:t>(</w:t>
      </w:r>
      <w:proofErr w:type="gramEnd"/>
      <w:r w:rsidR="005F34FC">
        <w:rPr>
          <w:rStyle w:val="Hyperlink"/>
          <w:color w:val="auto"/>
          <w:u w:val="none"/>
        </w:rPr>
        <w:t xml:space="preserve">2024). Value chain analysis of jute fiber in </w:t>
      </w:r>
      <w:proofErr w:type="spellStart"/>
      <w:r w:rsidR="005F34FC">
        <w:rPr>
          <w:rStyle w:val="Hyperlink"/>
          <w:color w:val="auto"/>
          <w:u w:val="none"/>
        </w:rPr>
        <w:t>Bangladesh.Social</w:t>
      </w:r>
      <w:proofErr w:type="spellEnd"/>
      <w:r w:rsidR="005F34FC">
        <w:rPr>
          <w:rStyle w:val="Hyperlink"/>
          <w:color w:val="auto"/>
          <w:u w:val="none"/>
        </w:rPr>
        <w:t xml:space="preserve">. </w:t>
      </w:r>
      <w:r w:rsidR="005F34FC" w:rsidRPr="005F34FC">
        <w:rPr>
          <w:rStyle w:val="Hyperlink"/>
          <w:i/>
          <w:color w:val="auto"/>
          <w:u w:val="none"/>
        </w:rPr>
        <w:t>Sciences and Humanities Open</w:t>
      </w:r>
      <w:r w:rsidR="005F34FC">
        <w:rPr>
          <w:rStyle w:val="Hyperlink"/>
          <w:i/>
          <w:color w:val="auto"/>
          <w:u w:val="none"/>
        </w:rPr>
        <w:t xml:space="preserve">. </w:t>
      </w:r>
      <w:r w:rsidR="005F34FC" w:rsidRPr="005F34FC">
        <w:rPr>
          <w:rStyle w:val="Hyperlink"/>
          <w:color w:val="auto"/>
          <w:u w:val="none"/>
        </w:rPr>
        <w:t>10(2024)101088</w:t>
      </w:r>
      <w:r w:rsidR="005F34FC">
        <w:rPr>
          <w:rStyle w:val="Hyperlink"/>
          <w:color w:val="auto"/>
          <w:u w:val="none"/>
        </w:rPr>
        <w:t>.</w:t>
      </w:r>
    </w:p>
    <w:p w14:paraId="1F39E021" w14:textId="1B392223" w:rsidR="00355ADE" w:rsidRPr="00355ADE" w:rsidRDefault="00355ADE" w:rsidP="00994431">
      <w:pPr>
        <w:ind w:left="720" w:hanging="720"/>
        <w:rPr>
          <w:rStyle w:val="Hyperlink"/>
          <w:color w:val="auto"/>
          <w:u w:val="none"/>
        </w:rPr>
      </w:pPr>
      <w:proofErr w:type="gramStart"/>
      <w:r w:rsidRPr="00355ADE">
        <w:rPr>
          <w:shd w:val="clear" w:color="auto" w:fill="FFFFFF"/>
        </w:rPr>
        <w:lastRenderedPageBreak/>
        <w:t>.Rahm</w:t>
      </w:r>
      <w:r w:rsidR="00602D4C">
        <w:rPr>
          <w:shd w:val="clear" w:color="auto" w:fill="FFFFFF"/>
        </w:rPr>
        <w:t>an</w:t>
      </w:r>
      <w:proofErr w:type="gramEnd"/>
      <w:r w:rsidR="00602D4C">
        <w:rPr>
          <w:shd w:val="clear" w:color="auto" w:fill="FFFFFF"/>
        </w:rPr>
        <w:t>, S., Kazal, M. M. H., Begum, I.</w:t>
      </w:r>
      <w:r w:rsidRPr="00355ADE">
        <w:rPr>
          <w:shd w:val="clear" w:color="auto" w:fill="FFFFFF"/>
        </w:rPr>
        <w:t>A., &amp; Alam, M. J. (2017).</w:t>
      </w:r>
      <w:r w:rsidR="00602D4C">
        <w:rPr>
          <w:shd w:val="clear" w:color="auto" w:fill="FFFFFF"/>
        </w:rPr>
        <w:t xml:space="preserve"> Exploring the future potential </w:t>
      </w:r>
      <w:r w:rsidRPr="00355ADE">
        <w:rPr>
          <w:shd w:val="clear" w:color="auto" w:fill="FFFFFF"/>
        </w:rPr>
        <w:t>of jute in Bangladesh. </w:t>
      </w:r>
      <w:r w:rsidRPr="00355ADE">
        <w:rPr>
          <w:i/>
          <w:iCs/>
          <w:shd w:val="clear" w:color="auto" w:fill="FFFFFF"/>
        </w:rPr>
        <w:t>Agriculture</w:t>
      </w:r>
      <w:r w:rsidRPr="00355ADE">
        <w:rPr>
          <w:shd w:val="clear" w:color="auto" w:fill="FFFFFF"/>
        </w:rPr>
        <w:t>, </w:t>
      </w:r>
      <w:r w:rsidRPr="00355ADE">
        <w:rPr>
          <w:i/>
          <w:iCs/>
          <w:shd w:val="clear" w:color="auto" w:fill="FFFFFF"/>
        </w:rPr>
        <w:t>7(12)</w:t>
      </w:r>
      <w:r w:rsidRPr="00355ADE">
        <w:rPr>
          <w:shd w:val="clear" w:color="auto" w:fill="FFFFFF"/>
        </w:rPr>
        <w:t xml:space="preserve">, 96. </w:t>
      </w:r>
      <w:hyperlink r:id="rId16" w:history="1">
        <w:r w:rsidRPr="00355ADE">
          <w:rPr>
            <w:rStyle w:val="Hyperlink"/>
            <w:color w:val="auto"/>
            <w:u w:val="none"/>
          </w:rPr>
          <w:t>https://doi.org/10.3390/agriculture7120096</w:t>
        </w:r>
      </w:hyperlink>
    </w:p>
    <w:p w14:paraId="0A582038" w14:textId="0C9400F0" w:rsidR="00355ADE" w:rsidRPr="00355ADE" w:rsidRDefault="00355ADE" w:rsidP="009B4C47">
      <w:pPr>
        <w:ind w:left="720" w:hanging="720"/>
      </w:pPr>
      <w:r w:rsidRPr="00355ADE">
        <w:t>Stata</w:t>
      </w:r>
      <w:r w:rsidR="00645F0C">
        <w:t xml:space="preserve"> </w:t>
      </w:r>
      <w:r w:rsidRPr="00355ADE">
        <w:t xml:space="preserve">Corp. (2015). </w:t>
      </w:r>
      <w:r w:rsidRPr="00355ADE">
        <w:rPr>
          <w:i/>
          <w:iCs/>
        </w:rPr>
        <w:t>Stata statistical software: Release 14</w:t>
      </w:r>
      <w:r w:rsidRPr="00355ADE">
        <w:t xml:space="preserve"> [Computer software]. </w:t>
      </w:r>
      <w:proofErr w:type="spellStart"/>
      <w:r w:rsidRPr="00355ADE">
        <w:t>StataCorp</w:t>
      </w:r>
      <w:proofErr w:type="spellEnd"/>
      <w:r w:rsidRPr="00355ADE">
        <w:t xml:space="preserve"> LP. </w:t>
      </w:r>
      <w:hyperlink r:id="rId17" w:tgtFrame="_new" w:history="1">
        <w:r w:rsidRPr="00355ADE">
          <w:rPr>
            <w:rStyle w:val="Hyperlink"/>
            <w:color w:val="auto"/>
          </w:rPr>
          <w:t>https://www.stata.com</w:t>
        </w:r>
      </w:hyperlink>
    </w:p>
    <w:p w14:paraId="5C9FC6A8" w14:textId="77777777" w:rsidR="005D0950" w:rsidRDefault="005D0950" w:rsidP="00543910">
      <w:pPr>
        <w:ind w:left="720" w:hanging="720"/>
      </w:pPr>
    </w:p>
    <w:p w14:paraId="58A73616" w14:textId="77777777" w:rsidR="005D0950" w:rsidRDefault="005D0950" w:rsidP="00543910">
      <w:pPr>
        <w:ind w:left="720" w:hanging="720"/>
      </w:pPr>
    </w:p>
    <w:p w14:paraId="68176682" w14:textId="77777777" w:rsidR="005D0950" w:rsidRDefault="005D0950" w:rsidP="00543910">
      <w:pPr>
        <w:ind w:left="720" w:hanging="720"/>
      </w:pPr>
    </w:p>
    <w:sectPr w:rsidR="005D0950" w:rsidSect="0072529F">
      <w:headerReference w:type="even" r:id="rId18"/>
      <w:headerReference w:type="default" r:id="rId19"/>
      <w:footerReference w:type="even" r:id="rId20"/>
      <w:footerReference w:type="default" r:id="rId21"/>
      <w:headerReference w:type="first" r:id="rId22"/>
      <w:footerReference w:type="first" r:id="rId23"/>
      <w:pgSz w:w="11906" w:h="16838" w:code="9"/>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510F" w14:textId="77777777" w:rsidR="00D6609C" w:rsidRDefault="00D6609C" w:rsidP="0028733A">
      <w:pPr>
        <w:spacing w:line="240" w:lineRule="auto"/>
      </w:pPr>
      <w:r>
        <w:separator/>
      </w:r>
    </w:p>
  </w:endnote>
  <w:endnote w:type="continuationSeparator" w:id="0">
    <w:p w14:paraId="798BB6A0" w14:textId="77777777" w:rsidR="00D6609C" w:rsidRDefault="00D6609C" w:rsidP="00287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CE5E9" w14:textId="77777777" w:rsidR="00AC3206" w:rsidRDefault="00AC3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282467"/>
      <w:docPartObj>
        <w:docPartGallery w:val="Page Numbers (Bottom of Page)"/>
        <w:docPartUnique/>
      </w:docPartObj>
    </w:sdtPr>
    <w:sdtEndPr>
      <w:rPr>
        <w:noProof/>
      </w:rPr>
    </w:sdtEndPr>
    <w:sdtContent>
      <w:p w14:paraId="77B569C7" w14:textId="77777777" w:rsidR="002E7F62" w:rsidRDefault="002E7F62">
        <w:pPr>
          <w:pStyle w:val="Footer"/>
          <w:jc w:val="center"/>
        </w:pPr>
        <w:r>
          <w:fldChar w:fldCharType="begin"/>
        </w:r>
        <w:r>
          <w:instrText xml:space="preserve"> PAGE   \* MERGEFORMAT </w:instrText>
        </w:r>
        <w:r>
          <w:fldChar w:fldCharType="separate"/>
        </w:r>
        <w:r w:rsidR="00851CED">
          <w:rPr>
            <w:noProof/>
          </w:rPr>
          <w:t>17</w:t>
        </w:r>
        <w:r>
          <w:rPr>
            <w:noProof/>
          </w:rPr>
          <w:fldChar w:fldCharType="end"/>
        </w:r>
      </w:p>
    </w:sdtContent>
  </w:sdt>
  <w:p w14:paraId="05A7FDF1" w14:textId="77777777" w:rsidR="002E7F62" w:rsidRDefault="002E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8F81F" w14:textId="77777777" w:rsidR="00AC3206" w:rsidRDefault="00AC3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DA71F" w14:textId="77777777" w:rsidR="00D6609C" w:rsidRDefault="00D6609C" w:rsidP="0028733A">
      <w:pPr>
        <w:spacing w:line="240" w:lineRule="auto"/>
      </w:pPr>
      <w:r>
        <w:separator/>
      </w:r>
    </w:p>
  </w:footnote>
  <w:footnote w:type="continuationSeparator" w:id="0">
    <w:p w14:paraId="22C4AA43" w14:textId="77777777" w:rsidR="00D6609C" w:rsidRDefault="00D6609C" w:rsidP="002873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E7A46" w14:textId="7BD4B5B1" w:rsidR="00AC3206" w:rsidRDefault="00D6609C">
    <w:pPr>
      <w:pStyle w:val="Header"/>
    </w:pPr>
    <w:r>
      <w:rPr>
        <w:noProof/>
      </w:rPr>
      <w:pict w14:anchorId="4DF2E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152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4ADFB" w14:textId="10C2B825" w:rsidR="00AC3206" w:rsidRDefault="00D6609C">
    <w:pPr>
      <w:pStyle w:val="Header"/>
    </w:pPr>
    <w:r>
      <w:rPr>
        <w:noProof/>
      </w:rPr>
      <w:pict w14:anchorId="33139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152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00EB5" w14:textId="1F1A074E" w:rsidR="00AC3206" w:rsidRDefault="00D6609C">
    <w:pPr>
      <w:pStyle w:val="Header"/>
    </w:pPr>
    <w:r>
      <w:rPr>
        <w:noProof/>
      </w:rPr>
      <w:pict w14:anchorId="6D2AD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7152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71E"/>
    <w:multiLevelType w:val="hybridMultilevel"/>
    <w:tmpl w:val="E998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622CB"/>
    <w:multiLevelType w:val="hybridMultilevel"/>
    <w:tmpl w:val="F198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60EA7"/>
    <w:multiLevelType w:val="hybridMultilevel"/>
    <w:tmpl w:val="24844526"/>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E777341"/>
    <w:multiLevelType w:val="hybridMultilevel"/>
    <w:tmpl w:val="A500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15E99"/>
    <w:multiLevelType w:val="hybridMultilevel"/>
    <w:tmpl w:val="A572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E37F9"/>
    <w:multiLevelType w:val="hybridMultilevel"/>
    <w:tmpl w:val="08E8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3A3513"/>
    <w:multiLevelType w:val="hybridMultilevel"/>
    <w:tmpl w:val="BA7A7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C0C2A"/>
    <w:multiLevelType w:val="hybridMultilevel"/>
    <w:tmpl w:val="A22C1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384393"/>
    <w:multiLevelType w:val="hybridMultilevel"/>
    <w:tmpl w:val="68760124"/>
    <w:lvl w:ilvl="0" w:tplc="0A943B9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7677AD"/>
    <w:multiLevelType w:val="hybridMultilevel"/>
    <w:tmpl w:val="E97A85D6"/>
    <w:lvl w:ilvl="0" w:tplc="F8C64DD0">
      <w:start w:val="1"/>
      <w:numFmt w:val="decimal"/>
      <w:lvlText w:val="%1)"/>
      <w:lvlJc w:val="left"/>
      <w:pPr>
        <w:ind w:left="720" w:hanging="360"/>
      </w:pPr>
      <w:rPr>
        <w:rFonts w:ascii="Times New Roman" w:hAnsi="Times New Roman" w:cs="Times New Roman"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404FE"/>
    <w:multiLevelType w:val="hybridMultilevel"/>
    <w:tmpl w:val="9F2E50EA"/>
    <w:lvl w:ilvl="0" w:tplc="8904F6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4730E"/>
    <w:multiLevelType w:val="hybridMultilevel"/>
    <w:tmpl w:val="7C183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8164ED"/>
    <w:multiLevelType w:val="hybridMultilevel"/>
    <w:tmpl w:val="4E905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20526"/>
    <w:multiLevelType w:val="hybridMultilevel"/>
    <w:tmpl w:val="36F01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22386"/>
    <w:multiLevelType w:val="hybridMultilevel"/>
    <w:tmpl w:val="F4867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5D9B"/>
    <w:multiLevelType w:val="hybridMultilevel"/>
    <w:tmpl w:val="B17E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4C0BE5"/>
    <w:multiLevelType w:val="hybridMultilevel"/>
    <w:tmpl w:val="FEC2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A6C3E"/>
    <w:multiLevelType w:val="hybridMultilevel"/>
    <w:tmpl w:val="9FBED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3585D"/>
    <w:multiLevelType w:val="hybridMultilevel"/>
    <w:tmpl w:val="62D2944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B645D0"/>
    <w:multiLevelType w:val="hybridMultilevel"/>
    <w:tmpl w:val="FEAC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2"/>
  </w:num>
  <w:num w:numId="4">
    <w:abstractNumId w:val="9"/>
  </w:num>
  <w:num w:numId="5">
    <w:abstractNumId w:val="18"/>
  </w:num>
  <w:num w:numId="6">
    <w:abstractNumId w:val="7"/>
  </w:num>
  <w:num w:numId="7">
    <w:abstractNumId w:val="3"/>
  </w:num>
  <w:num w:numId="8">
    <w:abstractNumId w:val="14"/>
  </w:num>
  <w:num w:numId="9">
    <w:abstractNumId w:val="6"/>
  </w:num>
  <w:num w:numId="10">
    <w:abstractNumId w:val="17"/>
  </w:num>
  <w:num w:numId="11">
    <w:abstractNumId w:val="1"/>
  </w:num>
  <w:num w:numId="12">
    <w:abstractNumId w:val="19"/>
  </w:num>
  <w:num w:numId="13">
    <w:abstractNumId w:val="15"/>
  </w:num>
  <w:num w:numId="14">
    <w:abstractNumId w:val="11"/>
  </w:num>
  <w:num w:numId="15">
    <w:abstractNumId w:val="16"/>
  </w:num>
  <w:num w:numId="16">
    <w:abstractNumId w:val="12"/>
  </w:num>
  <w:num w:numId="17">
    <w:abstractNumId w:val="0"/>
  </w:num>
  <w:num w:numId="18">
    <w:abstractNumId w:val="5"/>
  </w:num>
  <w:num w:numId="19">
    <w:abstractNumId w:val="4"/>
  </w:num>
  <w:num w:numId="20">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NjA0NzAwNwFCMyUdpeDU4uLM/DyQAuNaAMkSKfcsAAAA"/>
  </w:docVars>
  <w:rsids>
    <w:rsidRoot w:val="00233A2D"/>
    <w:rsid w:val="0000019C"/>
    <w:rsid w:val="00000361"/>
    <w:rsid w:val="00001F9D"/>
    <w:rsid w:val="00010DD9"/>
    <w:rsid w:val="00020231"/>
    <w:rsid w:val="0002405D"/>
    <w:rsid w:val="00032784"/>
    <w:rsid w:val="00034B33"/>
    <w:rsid w:val="00036E95"/>
    <w:rsid w:val="000403FF"/>
    <w:rsid w:val="00043388"/>
    <w:rsid w:val="00044D41"/>
    <w:rsid w:val="00046E7A"/>
    <w:rsid w:val="0006753F"/>
    <w:rsid w:val="00091D67"/>
    <w:rsid w:val="00095815"/>
    <w:rsid w:val="000A5C6D"/>
    <w:rsid w:val="000A7808"/>
    <w:rsid w:val="000B2F7E"/>
    <w:rsid w:val="000B5E2B"/>
    <w:rsid w:val="000B7104"/>
    <w:rsid w:val="000C2FE4"/>
    <w:rsid w:val="000C6CA4"/>
    <w:rsid w:val="000C7D0B"/>
    <w:rsid w:val="000D1404"/>
    <w:rsid w:val="000D4F07"/>
    <w:rsid w:val="000E241F"/>
    <w:rsid w:val="000E3CD8"/>
    <w:rsid w:val="000E3E4F"/>
    <w:rsid w:val="000E4480"/>
    <w:rsid w:val="000F30E0"/>
    <w:rsid w:val="001002D5"/>
    <w:rsid w:val="00100A6B"/>
    <w:rsid w:val="001026A9"/>
    <w:rsid w:val="00107AC8"/>
    <w:rsid w:val="00115AB2"/>
    <w:rsid w:val="00115C90"/>
    <w:rsid w:val="0012044F"/>
    <w:rsid w:val="00121E32"/>
    <w:rsid w:val="001304FB"/>
    <w:rsid w:val="00132BDF"/>
    <w:rsid w:val="00133846"/>
    <w:rsid w:val="00137CBB"/>
    <w:rsid w:val="00145E1F"/>
    <w:rsid w:val="001531E0"/>
    <w:rsid w:val="00153E31"/>
    <w:rsid w:val="001571C3"/>
    <w:rsid w:val="00162564"/>
    <w:rsid w:val="001679A7"/>
    <w:rsid w:val="001730D1"/>
    <w:rsid w:val="00173FD6"/>
    <w:rsid w:val="001835BE"/>
    <w:rsid w:val="00184BC4"/>
    <w:rsid w:val="00191830"/>
    <w:rsid w:val="001969C2"/>
    <w:rsid w:val="001A1EF5"/>
    <w:rsid w:val="001A4791"/>
    <w:rsid w:val="001A6E9E"/>
    <w:rsid w:val="001B0DA0"/>
    <w:rsid w:val="001B262A"/>
    <w:rsid w:val="001B47B1"/>
    <w:rsid w:val="001C4A0D"/>
    <w:rsid w:val="001C54A1"/>
    <w:rsid w:val="001C5959"/>
    <w:rsid w:val="001C5A73"/>
    <w:rsid w:val="001C7A8D"/>
    <w:rsid w:val="001D35F7"/>
    <w:rsid w:val="001D4351"/>
    <w:rsid w:val="001E0C57"/>
    <w:rsid w:val="001E1EBC"/>
    <w:rsid w:val="001F6C01"/>
    <w:rsid w:val="001F72DB"/>
    <w:rsid w:val="0020370B"/>
    <w:rsid w:val="00206669"/>
    <w:rsid w:val="00210481"/>
    <w:rsid w:val="00212CBF"/>
    <w:rsid w:val="00213F52"/>
    <w:rsid w:val="00224BD8"/>
    <w:rsid w:val="002263AB"/>
    <w:rsid w:val="00230057"/>
    <w:rsid w:val="00232F91"/>
    <w:rsid w:val="00233A2D"/>
    <w:rsid w:val="0024250C"/>
    <w:rsid w:val="00267779"/>
    <w:rsid w:val="0027133B"/>
    <w:rsid w:val="00272239"/>
    <w:rsid w:val="00273BED"/>
    <w:rsid w:val="0027540E"/>
    <w:rsid w:val="00276470"/>
    <w:rsid w:val="00282FF6"/>
    <w:rsid w:val="0028733A"/>
    <w:rsid w:val="00287530"/>
    <w:rsid w:val="00287A5F"/>
    <w:rsid w:val="00290C96"/>
    <w:rsid w:val="002921D3"/>
    <w:rsid w:val="00292C40"/>
    <w:rsid w:val="00294A03"/>
    <w:rsid w:val="002A3F47"/>
    <w:rsid w:val="002B0737"/>
    <w:rsid w:val="002C0309"/>
    <w:rsid w:val="002C066E"/>
    <w:rsid w:val="002C6F00"/>
    <w:rsid w:val="002C7EDE"/>
    <w:rsid w:val="002D42B8"/>
    <w:rsid w:val="002D63F1"/>
    <w:rsid w:val="002E736D"/>
    <w:rsid w:val="002E7C30"/>
    <w:rsid w:val="002E7F62"/>
    <w:rsid w:val="002F19C5"/>
    <w:rsid w:val="002F1F67"/>
    <w:rsid w:val="002F21AE"/>
    <w:rsid w:val="002F7DD2"/>
    <w:rsid w:val="00303604"/>
    <w:rsid w:val="00306288"/>
    <w:rsid w:val="0032721C"/>
    <w:rsid w:val="003273C2"/>
    <w:rsid w:val="003358C5"/>
    <w:rsid w:val="00336CCC"/>
    <w:rsid w:val="0034414C"/>
    <w:rsid w:val="00346B38"/>
    <w:rsid w:val="00355AA3"/>
    <w:rsid w:val="00355ADE"/>
    <w:rsid w:val="0036188D"/>
    <w:rsid w:val="00361D6B"/>
    <w:rsid w:val="00366505"/>
    <w:rsid w:val="00372D0F"/>
    <w:rsid w:val="00375AFA"/>
    <w:rsid w:val="00390F95"/>
    <w:rsid w:val="0039182B"/>
    <w:rsid w:val="0039310F"/>
    <w:rsid w:val="00396263"/>
    <w:rsid w:val="003A05FE"/>
    <w:rsid w:val="003A7B4C"/>
    <w:rsid w:val="003B5E8F"/>
    <w:rsid w:val="003C561A"/>
    <w:rsid w:val="003D6F8F"/>
    <w:rsid w:val="003E098F"/>
    <w:rsid w:val="003E4294"/>
    <w:rsid w:val="003E54C8"/>
    <w:rsid w:val="003F3B2C"/>
    <w:rsid w:val="0040170A"/>
    <w:rsid w:val="0040502A"/>
    <w:rsid w:val="004130C9"/>
    <w:rsid w:val="004136F1"/>
    <w:rsid w:val="004149C3"/>
    <w:rsid w:val="00416FC1"/>
    <w:rsid w:val="0041740D"/>
    <w:rsid w:val="004225F2"/>
    <w:rsid w:val="004275A2"/>
    <w:rsid w:val="00431D30"/>
    <w:rsid w:val="00433EFF"/>
    <w:rsid w:val="004416CC"/>
    <w:rsid w:val="00451786"/>
    <w:rsid w:val="004521A3"/>
    <w:rsid w:val="00462446"/>
    <w:rsid w:val="00462C1F"/>
    <w:rsid w:val="00464CD8"/>
    <w:rsid w:val="00466570"/>
    <w:rsid w:val="00473ED6"/>
    <w:rsid w:val="00475FE0"/>
    <w:rsid w:val="004830E3"/>
    <w:rsid w:val="0048345C"/>
    <w:rsid w:val="00486AC9"/>
    <w:rsid w:val="004924E7"/>
    <w:rsid w:val="004A13C1"/>
    <w:rsid w:val="004A7811"/>
    <w:rsid w:val="004B006C"/>
    <w:rsid w:val="004B5CE8"/>
    <w:rsid w:val="004C1441"/>
    <w:rsid w:val="004C3E83"/>
    <w:rsid w:val="004C7790"/>
    <w:rsid w:val="004C7F37"/>
    <w:rsid w:val="004D14B4"/>
    <w:rsid w:val="004D5E1F"/>
    <w:rsid w:val="004E3C2E"/>
    <w:rsid w:val="004E4F33"/>
    <w:rsid w:val="004E509F"/>
    <w:rsid w:val="004E579C"/>
    <w:rsid w:val="004E7653"/>
    <w:rsid w:val="004F2EC1"/>
    <w:rsid w:val="004F31BB"/>
    <w:rsid w:val="005006F1"/>
    <w:rsid w:val="005021CA"/>
    <w:rsid w:val="00524A00"/>
    <w:rsid w:val="00533C20"/>
    <w:rsid w:val="005353FE"/>
    <w:rsid w:val="0053772E"/>
    <w:rsid w:val="00543910"/>
    <w:rsid w:val="00547BED"/>
    <w:rsid w:val="0056036B"/>
    <w:rsid w:val="005732ED"/>
    <w:rsid w:val="0057634A"/>
    <w:rsid w:val="00583A9A"/>
    <w:rsid w:val="00585BCB"/>
    <w:rsid w:val="0058608C"/>
    <w:rsid w:val="005862BD"/>
    <w:rsid w:val="00592171"/>
    <w:rsid w:val="005949F8"/>
    <w:rsid w:val="0059535D"/>
    <w:rsid w:val="00596C1A"/>
    <w:rsid w:val="0059762D"/>
    <w:rsid w:val="005B309C"/>
    <w:rsid w:val="005B3CF4"/>
    <w:rsid w:val="005B65C8"/>
    <w:rsid w:val="005C3311"/>
    <w:rsid w:val="005C374A"/>
    <w:rsid w:val="005C4DCE"/>
    <w:rsid w:val="005D0162"/>
    <w:rsid w:val="005D06B9"/>
    <w:rsid w:val="005D0950"/>
    <w:rsid w:val="005E328B"/>
    <w:rsid w:val="005F2F1D"/>
    <w:rsid w:val="005F34FC"/>
    <w:rsid w:val="005F4594"/>
    <w:rsid w:val="00600E87"/>
    <w:rsid w:val="006012D6"/>
    <w:rsid w:val="006013AC"/>
    <w:rsid w:val="00602D4C"/>
    <w:rsid w:val="00614740"/>
    <w:rsid w:val="0062396E"/>
    <w:rsid w:val="0062540D"/>
    <w:rsid w:val="00625C71"/>
    <w:rsid w:val="00626B2D"/>
    <w:rsid w:val="0064233C"/>
    <w:rsid w:val="00645F0C"/>
    <w:rsid w:val="00651261"/>
    <w:rsid w:val="006644EA"/>
    <w:rsid w:val="00665A2F"/>
    <w:rsid w:val="00671D24"/>
    <w:rsid w:val="00683C5E"/>
    <w:rsid w:val="00683D4F"/>
    <w:rsid w:val="006957DA"/>
    <w:rsid w:val="0069612F"/>
    <w:rsid w:val="006A561F"/>
    <w:rsid w:val="006A7A5F"/>
    <w:rsid w:val="006B1D5B"/>
    <w:rsid w:val="006B5723"/>
    <w:rsid w:val="006B5C3C"/>
    <w:rsid w:val="006C318C"/>
    <w:rsid w:val="006C45F9"/>
    <w:rsid w:val="006D3DAA"/>
    <w:rsid w:val="006D4A96"/>
    <w:rsid w:val="006D652D"/>
    <w:rsid w:val="006E2B42"/>
    <w:rsid w:val="006E2F79"/>
    <w:rsid w:val="006E478F"/>
    <w:rsid w:val="006F0EF4"/>
    <w:rsid w:val="006F1412"/>
    <w:rsid w:val="006F6DDD"/>
    <w:rsid w:val="006F7B30"/>
    <w:rsid w:val="007053C2"/>
    <w:rsid w:val="00705EB1"/>
    <w:rsid w:val="007156D7"/>
    <w:rsid w:val="00723A8E"/>
    <w:rsid w:val="00723F82"/>
    <w:rsid w:val="007240D4"/>
    <w:rsid w:val="0072529F"/>
    <w:rsid w:val="0073023D"/>
    <w:rsid w:val="00731A32"/>
    <w:rsid w:val="0073799E"/>
    <w:rsid w:val="00746041"/>
    <w:rsid w:val="00755B9F"/>
    <w:rsid w:val="00756D85"/>
    <w:rsid w:val="007628DA"/>
    <w:rsid w:val="007673D6"/>
    <w:rsid w:val="00771520"/>
    <w:rsid w:val="00782817"/>
    <w:rsid w:val="00785AFC"/>
    <w:rsid w:val="00785FBC"/>
    <w:rsid w:val="007970C8"/>
    <w:rsid w:val="007A4118"/>
    <w:rsid w:val="007A6721"/>
    <w:rsid w:val="007B3494"/>
    <w:rsid w:val="007B3CFA"/>
    <w:rsid w:val="007B728C"/>
    <w:rsid w:val="007B760F"/>
    <w:rsid w:val="007C0824"/>
    <w:rsid w:val="007C1D25"/>
    <w:rsid w:val="007D10D7"/>
    <w:rsid w:val="007D24D5"/>
    <w:rsid w:val="007E0356"/>
    <w:rsid w:val="007E0EB1"/>
    <w:rsid w:val="007E5ECC"/>
    <w:rsid w:val="007F13BE"/>
    <w:rsid w:val="007F49BB"/>
    <w:rsid w:val="007F546A"/>
    <w:rsid w:val="007F5A2F"/>
    <w:rsid w:val="00804DA6"/>
    <w:rsid w:val="00804F36"/>
    <w:rsid w:val="008055C5"/>
    <w:rsid w:val="00816723"/>
    <w:rsid w:val="00824BEC"/>
    <w:rsid w:val="00826FC9"/>
    <w:rsid w:val="00831AA0"/>
    <w:rsid w:val="00837CE4"/>
    <w:rsid w:val="00842B42"/>
    <w:rsid w:val="00843820"/>
    <w:rsid w:val="00845690"/>
    <w:rsid w:val="0084763F"/>
    <w:rsid w:val="00851CED"/>
    <w:rsid w:val="0085569A"/>
    <w:rsid w:val="00863183"/>
    <w:rsid w:val="008632C8"/>
    <w:rsid w:val="00871B93"/>
    <w:rsid w:val="00881356"/>
    <w:rsid w:val="00883F9A"/>
    <w:rsid w:val="00884552"/>
    <w:rsid w:val="00896BC6"/>
    <w:rsid w:val="008A050C"/>
    <w:rsid w:val="008A076A"/>
    <w:rsid w:val="008B4077"/>
    <w:rsid w:val="008B759D"/>
    <w:rsid w:val="008C43D8"/>
    <w:rsid w:val="008C5326"/>
    <w:rsid w:val="008C7045"/>
    <w:rsid w:val="008D058A"/>
    <w:rsid w:val="008D26B4"/>
    <w:rsid w:val="008D3229"/>
    <w:rsid w:val="008D3508"/>
    <w:rsid w:val="008D3638"/>
    <w:rsid w:val="008F78CD"/>
    <w:rsid w:val="00906257"/>
    <w:rsid w:val="00911BD7"/>
    <w:rsid w:val="009171DC"/>
    <w:rsid w:val="0092242C"/>
    <w:rsid w:val="00923729"/>
    <w:rsid w:val="009279E8"/>
    <w:rsid w:val="00927DBD"/>
    <w:rsid w:val="009318CD"/>
    <w:rsid w:val="00932A80"/>
    <w:rsid w:val="00941AFC"/>
    <w:rsid w:val="00945161"/>
    <w:rsid w:val="009455AA"/>
    <w:rsid w:val="00950C85"/>
    <w:rsid w:val="00955A10"/>
    <w:rsid w:val="00960D84"/>
    <w:rsid w:val="009634BD"/>
    <w:rsid w:val="00964C9D"/>
    <w:rsid w:val="00970B6E"/>
    <w:rsid w:val="009739A9"/>
    <w:rsid w:val="009756EB"/>
    <w:rsid w:val="0098548D"/>
    <w:rsid w:val="00994431"/>
    <w:rsid w:val="009B0485"/>
    <w:rsid w:val="009B4C47"/>
    <w:rsid w:val="009B5F60"/>
    <w:rsid w:val="009C5B03"/>
    <w:rsid w:val="009C6295"/>
    <w:rsid w:val="009D0869"/>
    <w:rsid w:val="009D6A37"/>
    <w:rsid w:val="009E096D"/>
    <w:rsid w:val="009F3653"/>
    <w:rsid w:val="009F4F80"/>
    <w:rsid w:val="009F60EA"/>
    <w:rsid w:val="00A058B3"/>
    <w:rsid w:val="00A11450"/>
    <w:rsid w:val="00A115E2"/>
    <w:rsid w:val="00A147B1"/>
    <w:rsid w:val="00A14D54"/>
    <w:rsid w:val="00A31A0E"/>
    <w:rsid w:val="00A365D2"/>
    <w:rsid w:val="00A463C0"/>
    <w:rsid w:val="00A47AFC"/>
    <w:rsid w:val="00A51E68"/>
    <w:rsid w:val="00A55540"/>
    <w:rsid w:val="00A63D53"/>
    <w:rsid w:val="00A648AF"/>
    <w:rsid w:val="00A650FA"/>
    <w:rsid w:val="00A67DD1"/>
    <w:rsid w:val="00A7373C"/>
    <w:rsid w:val="00A8010A"/>
    <w:rsid w:val="00A82C4F"/>
    <w:rsid w:val="00A857A4"/>
    <w:rsid w:val="00A92E56"/>
    <w:rsid w:val="00A94115"/>
    <w:rsid w:val="00A97022"/>
    <w:rsid w:val="00A97C0E"/>
    <w:rsid w:val="00AA180C"/>
    <w:rsid w:val="00AA2B43"/>
    <w:rsid w:val="00AA39C3"/>
    <w:rsid w:val="00AA4C95"/>
    <w:rsid w:val="00AA6514"/>
    <w:rsid w:val="00AB616F"/>
    <w:rsid w:val="00AC208A"/>
    <w:rsid w:val="00AC3206"/>
    <w:rsid w:val="00AD5167"/>
    <w:rsid w:val="00AE3F51"/>
    <w:rsid w:val="00AF0EFB"/>
    <w:rsid w:val="00B00E28"/>
    <w:rsid w:val="00B11E51"/>
    <w:rsid w:val="00B1235F"/>
    <w:rsid w:val="00B1282B"/>
    <w:rsid w:val="00B13EF7"/>
    <w:rsid w:val="00B177A2"/>
    <w:rsid w:val="00B2187A"/>
    <w:rsid w:val="00B21924"/>
    <w:rsid w:val="00B359F2"/>
    <w:rsid w:val="00B37EEA"/>
    <w:rsid w:val="00B43E42"/>
    <w:rsid w:val="00B44AB9"/>
    <w:rsid w:val="00B50442"/>
    <w:rsid w:val="00B53483"/>
    <w:rsid w:val="00B5349C"/>
    <w:rsid w:val="00B57AC8"/>
    <w:rsid w:val="00B625DD"/>
    <w:rsid w:val="00B6382C"/>
    <w:rsid w:val="00B64B19"/>
    <w:rsid w:val="00B71A13"/>
    <w:rsid w:val="00B75007"/>
    <w:rsid w:val="00B75FC1"/>
    <w:rsid w:val="00B824B9"/>
    <w:rsid w:val="00B84E5F"/>
    <w:rsid w:val="00B85E3F"/>
    <w:rsid w:val="00B90ABB"/>
    <w:rsid w:val="00B92BED"/>
    <w:rsid w:val="00B932A4"/>
    <w:rsid w:val="00B947D6"/>
    <w:rsid w:val="00B97A68"/>
    <w:rsid w:val="00BA1A73"/>
    <w:rsid w:val="00BC439E"/>
    <w:rsid w:val="00BC4E43"/>
    <w:rsid w:val="00BC50DC"/>
    <w:rsid w:val="00BC65A9"/>
    <w:rsid w:val="00BC67BD"/>
    <w:rsid w:val="00BD3C0A"/>
    <w:rsid w:val="00BD6CD7"/>
    <w:rsid w:val="00BD7E96"/>
    <w:rsid w:val="00BF5E39"/>
    <w:rsid w:val="00BF786B"/>
    <w:rsid w:val="00C02830"/>
    <w:rsid w:val="00C0421C"/>
    <w:rsid w:val="00C050C7"/>
    <w:rsid w:val="00C0738F"/>
    <w:rsid w:val="00C07B40"/>
    <w:rsid w:val="00C15D8F"/>
    <w:rsid w:val="00C167A0"/>
    <w:rsid w:val="00C168B4"/>
    <w:rsid w:val="00C223EA"/>
    <w:rsid w:val="00C24373"/>
    <w:rsid w:val="00C252FD"/>
    <w:rsid w:val="00C274A9"/>
    <w:rsid w:val="00C279CE"/>
    <w:rsid w:val="00C4017D"/>
    <w:rsid w:val="00C418F7"/>
    <w:rsid w:val="00C46E00"/>
    <w:rsid w:val="00C47424"/>
    <w:rsid w:val="00C500B6"/>
    <w:rsid w:val="00C545A5"/>
    <w:rsid w:val="00C67CB9"/>
    <w:rsid w:val="00C7143A"/>
    <w:rsid w:val="00C729D2"/>
    <w:rsid w:val="00C75134"/>
    <w:rsid w:val="00C81906"/>
    <w:rsid w:val="00C878A4"/>
    <w:rsid w:val="00CA3BD1"/>
    <w:rsid w:val="00CA609D"/>
    <w:rsid w:val="00CB2495"/>
    <w:rsid w:val="00CC5F74"/>
    <w:rsid w:val="00CD2972"/>
    <w:rsid w:val="00CD52E9"/>
    <w:rsid w:val="00CE17BF"/>
    <w:rsid w:val="00CE6158"/>
    <w:rsid w:val="00CF0CE0"/>
    <w:rsid w:val="00CF7E77"/>
    <w:rsid w:val="00D03838"/>
    <w:rsid w:val="00D04710"/>
    <w:rsid w:val="00D15482"/>
    <w:rsid w:val="00D25C91"/>
    <w:rsid w:val="00D2683D"/>
    <w:rsid w:val="00D30E3C"/>
    <w:rsid w:val="00D32692"/>
    <w:rsid w:val="00D3270C"/>
    <w:rsid w:val="00D33C88"/>
    <w:rsid w:val="00D34AE3"/>
    <w:rsid w:val="00D35992"/>
    <w:rsid w:val="00D47731"/>
    <w:rsid w:val="00D47F12"/>
    <w:rsid w:val="00D6609C"/>
    <w:rsid w:val="00D7063D"/>
    <w:rsid w:val="00D83075"/>
    <w:rsid w:val="00D8626B"/>
    <w:rsid w:val="00D87913"/>
    <w:rsid w:val="00D9366F"/>
    <w:rsid w:val="00D963C6"/>
    <w:rsid w:val="00DA13E8"/>
    <w:rsid w:val="00DA4C76"/>
    <w:rsid w:val="00DB0071"/>
    <w:rsid w:val="00DB21AC"/>
    <w:rsid w:val="00DC376C"/>
    <w:rsid w:val="00DC44F2"/>
    <w:rsid w:val="00DC499E"/>
    <w:rsid w:val="00DC7543"/>
    <w:rsid w:val="00DC7E03"/>
    <w:rsid w:val="00DD03A5"/>
    <w:rsid w:val="00DD12D9"/>
    <w:rsid w:val="00DE1083"/>
    <w:rsid w:val="00DE3EA5"/>
    <w:rsid w:val="00DE4AE9"/>
    <w:rsid w:val="00DF0D53"/>
    <w:rsid w:val="00DF30F1"/>
    <w:rsid w:val="00DF3BE6"/>
    <w:rsid w:val="00DF72CF"/>
    <w:rsid w:val="00E02EE9"/>
    <w:rsid w:val="00E07E61"/>
    <w:rsid w:val="00E12CB5"/>
    <w:rsid w:val="00E15BB2"/>
    <w:rsid w:val="00E17C17"/>
    <w:rsid w:val="00E22B7B"/>
    <w:rsid w:val="00E23ED1"/>
    <w:rsid w:val="00E246B6"/>
    <w:rsid w:val="00E26D26"/>
    <w:rsid w:val="00E30BF4"/>
    <w:rsid w:val="00E35637"/>
    <w:rsid w:val="00E37F03"/>
    <w:rsid w:val="00E41317"/>
    <w:rsid w:val="00E4406A"/>
    <w:rsid w:val="00E52976"/>
    <w:rsid w:val="00E541F1"/>
    <w:rsid w:val="00E55662"/>
    <w:rsid w:val="00E55B15"/>
    <w:rsid w:val="00E55FF1"/>
    <w:rsid w:val="00E64762"/>
    <w:rsid w:val="00E855BB"/>
    <w:rsid w:val="00E87AC1"/>
    <w:rsid w:val="00E90F48"/>
    <w:rsid w:val="00E92A5A"/>
    <w:rsid w:val="00E94C6E"/>
    <w:rsid w:val="00E964F8"/>
    <w:rsid w:val="00EB5042"/>
    <w:rsid w:val="00EC37E5"/>
    <w:rsid w:val="00EC46C6"/>
    <w:rsid w:val="00ED028F"/>
    <w:rsid w:val="00ED5A36"/>
    <w:rsid w:val="00ED680E"/>
    <w:rsid w:val="00ED7E2C"/>
    <w:rsid w:val="00EE4D7A"/>
    <w:rsid w:val="00EF1A25"/>
    <w:rsid w:val="00EF7166"/>
    <w:rsid w:val="00EF7B84"/>
    <w:rsid w:val="00F03A8A"/>
    <w:rsid w:val="00F05D7D"/>
    <w:rsid w:val="00F106CB"/>
    <w:rsid w:val="00F139B4"/>
    <w:rsid w:val="00F178CA"/>
    <w:rsid w:val="00F21576"/>
    <w:rsid w:val="00F246B2"/>
    <w:rsid w:val="00F3152C"/>
    <w:rsid w:val="00F32152"/>
    <w:rsid w:val="00F352DA"/>
    <w:rsid w:val="00F35DFA"/>
    <w:rsid w:val="00F4199B"/>
    <w:rsid w:val="00F43B37"/>
    <w:rsid w:val="00F50C9C"/>
    <w:rsid w:val="00F526B4"/>
    <w:rsid w:val="00F54A85"/>
    <w:rsid w:val="00F56140"/>
    <w:rsid w:val="00F619A4"/>
    <w:rsid w:val="00F61C3F"/>
    <w:rsid w:val="00F62942"/>
    <w:rsid w:val="00F65A8B"/>
    <w:rsid w:val="00F676B1"/>
    <w:rsid w:val="00F72A0E"/>
    <w:rsid w:val="00F73AED"/>
    <w:rsid w:val="00F772AA"/>
    <w:rsid w:val="00F87488"/>
    <w:rsid w:val="00F90813"/>
    <w:rsid w:val="00F93F9B"/>
    <w:rsid w:val="00FA16CF"/>
    <w:rsid w:val="00FA1A63"/>
    <w:rsid w:val="00FA6282"/>
    <w:rsid w:val="00FB1B29"/>
    <w:rsid w:val="00FB2459"/>
    <w:rsid w:val="00FB5C58"/>
    <w:rsid w:val="00FB6891"/>
    <w:rsid w:val="00FC0651"/>
    <w:rsid w:val="00FC07F9"/>
    <w:rsid w:val="00FC2965"/>
    <w:rsid w:val="00FE0064"/>
    <w:rsid w:val="00FE22FA"/>
    <w:rsid w:val="00FE57C7"/>
    <w:rsid w:val="00FE6E93"/>
    <w:rsid w:val="00FE72A2"/>
    <w:rsid w:val="00FE7413"/>
    <w:rsid w:val="00FF02EF"/>
    <w:rsid w:val="00FF0B73"/>
    <w:rsid w:val="00FF3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4BEAC2"/>
  <w15:docId w15:val="{7C4FA076-2443-447F-B643-AD2B92C7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1C3"/>
  </w:style>
  <w:style w:type="paragraph" w:styleId="Heading1">
    <w:name w:val="heading 1"/>
    <w:basedOn w:val="Normal"/>
    <w:link w:val="Heading1Char"/>
    <w:uiPriority w:val="9"/>
    <w:qFormat/>
    <w:rsid w:val="00133846"/>
    <w:pPr>
      <w:spacing w:before="100" w:beforeAutospacing="1" w:after="100" w:afterAutospacing="1" w:line="240" w:lineRule="auto"/>
      <w:jc w:val="left"/>
      <w:outlineLvl w:val="0"/>
    </w:pPr>
    <w:rPr>
      <w:rFonts w:eastAsia="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33A"/>
    <w:pPr>
      <w:tabs>
        <w:tab w:val="center" w:pos="4680"/>
        <w:tab w:val="right" w:pos="9360"/>
      </w:tabs>
      <w:spacing w:line="240" w:lineRule="auto"/>
    </w:pPr>
  </w:style>
  <w:style w:type="character" w:customStyle="1" w:styleId="HeaderChar">
    <w:name w:val="Header Char"/>
    <w:basedOn w:val="DefaultParagraphFont"/>
    <w:link w:val="Header"/>
    <w:uiPriority w:val="99"/>
    <w:rsid w:val="0028733A"/>
  </w:style>
  <w:style w:type="paragraph" w:styleId="Footer">
    <w:name w:val="footer"/>
    <w:basedOn w:val="Normal"/>
    <w:link w:val="FooterChar"/>
    <w:uiPriority w:val="99"/>
    <w:unhideWhenUsed/>
    <w:rsid w:val="0028733A"/>
    <w:pPr>
      <w:tabs>
        <w:tab w:val="center" w:pos="4680"/>
        <w:tab w:val="right" w:pos="9360"/>
      </w:tabs>
      <w:spacing w:line="240" w:lineRule="auto"/>
    </w:pPr>
  </w:style>
  <w:style w:type="character" w:customStyle="1" w:styleId="FooterChar">
    <w:name w:val="Footer Char"/>
    <w:basedOn w:val="DefaultParagraphFont"/>
    <w:link w:val="Footer"/>
    <w:uiPriority w:val="99"/>
    <w:rsid w:val="0028733A"/>
  </w:style>
  <w:style w:type="paragraph" w:styleId="ListParagraph">
    <w:name w:val="List Paragraph"/>
    <w:basedOn w:val="Normal"/>
    <w:uiPriority w:val="34"/>
    <w:qFormat/>
    <w:rsid w:val="00D33C88"/>
    <w:pPr>
      <w:spacing w:after="160" w:line="259" w:lineRule="auto"/>
      <w:ind w:left="720"/>
      <w:contextualSpacing/>
      <w:jc w:val="left"/>
    </w:pPr>
    <w:rPr>
      <w:rFonts w:asciiTheme="minorHAnsi" w:hAnsiTheme="minorHAnsi" w:cstheme="minorBidi"/>
      <w:kern w:val="0"/>
      <w:sz w:val="22"/>
      <w:szCs w:val="22"/>
      <w14:ligatures w14:val="none"/>
    </w:rPr>
  </w:style>
  <w:style w:type="character" w:styleId="Hyperlink">
    <w:name w:val="Hyperlink"/>
    <w:basedOn w:val="DefaultParagraphFont"/>
    <w:uiPriority w:val="99"/>
    <w:unhideWhenUsed/>
    <w:rsid w:val="00771520"/>
    <w:rPr>
      <w:color w:val="0563C1" w:themeColor="hyperlink"/>
      <w:u w:val="single"/>
    </w:rPr>
  </w:style>
  <w:style w:type="character" w:customStyle="1" w:styleId="UnresolvedMention1">
    <w:name w:val="Unresolved Mention1"/>
    <w:basedOn w:val="DefaultParagraphFont"/>
    <w:uiPriority w:val="99"/>
    <w:semiHidden/>
    <w:unhideWhenUsed/>
    <w:rsid w:val="00771520"/>
    <w:rPr>
      <w:color w:val="605E5C"/>
      <w:shd w:val="clear" w:color="auto" w:fill="E1DFDD"/>
    </w:rPr>
  </w:style>
  <w:style w:type="character" w:styleId="Emphasis">
    <w:name w:val="Emphasis"/>
    <w:basedOn w:val="DefaultParagraphFont"/>
    <w:uiPriority w:val="20"/>
    <w:qFormat/>
    <w:rsid w:val="006F0EF4"/>
    <w:rPr>
      <w:i/>
      <w:iCs/>
    </w:rPr>
  </w:style>
  <w:style w:type="paragraph" w:customStyle="1" w:styleId="downloadcitations">
    <w:name w:val="downloadcitations"/>
    <w:basedOn w:val="Normal"/>
    <w:rsid w:val="00AA2B43"/>
    <w:pPr>
      <w:spacing w:before="100" w:beforeAutospacing="1" w:after="100" w:afterAutospacing="1" w:line="240" w:lineRule="auto"/>
      <w:jc w:val="left"/>
    </w:pPr>
    <w:rPr>
      <w:rFonts w:eastAsia="Times New Roman"/>
      <w:kern w:val="0"/>
      <w14:ligatures w14:val="none"/>
    </w:rPr>
  </w:style>
  <w:style w:type="paragraph" w:customStyle="1" w:styleId="dx-doi">
    <w:name w:val="dx-doi"/>
    <w:basedOn w:val="Normal"/>
    <w:rsid w:val="00AA2B43"/>
    <w:pPr>
      <w:spacing w:before="100" w:beforeAutospacing="1" w:after="100" w:afterAutospacing="1" w:line="240" w:lineRule="auto"/>
      <w:jc w:val="left"/>
    </w:pPr>
    <w:rPr>
      <w:rFonts w:eastAsia="Times New Roman"/>
      <w:kern w:val="0"/>
      <w14:ligatures w14:val="none"/>
    </w:rPr>
  </w:style>
  <w:style w:type="character" w:customStyle="1" w:styleId="Heading1Char">
    <w:name w:val="Heading 1 Char"/>
    <w:basedOn w:val="DefaultParagraphFont"/>
    <w:link w:val="Heading1"/>
    <w:uiPriority w:val="9"/>
    <w:rsid w:val="00133846"/>
    <w:rPr>
      <w:rFonts w:eastAsia="Times New Roman"/>
      <w:b/>
      <w:bCs/>
      <w:kern w:val="36"/>
      <w:sz w:val="48"/>
      <w:szCs w:val="48"/>
      <w14:ligatures w14:val="none"/>
    </w:rPr>
  </w:style>
  <w:style w:type="character" w:customStyle="1" w:styleId="muitypography-root">
    <w:name w:val="muitypography-root"/>
    <w:basedOn w:val="DefaultParagraphFont"/>
    <w:rsid w:val="00133846"/>
  </w:style>
  <w:style w:type="character" w:customStyle="1" w:styleId="mx-1">
    <w:name w:val="mx-1"/>
    <w:basedOn w:val="DefaultParagraphFont"/>
    <w:rsid w:val="00133846"/>
  </w:style>
  <w:style w:type="character" w:styleId="FollowedHyperlink">
    <w:name w:val="FollowedHyperlink"/>
    <w:basedOn w:val="DefaultParagraphFont"/>
    <w:uiPriority w:val="99"/>
    <w:semiHidden/>
    <w:unhideWhenUsed/>
    <w:rsid w:val="00F619A4"/>
    <w:rPr>
      <w:color w:val="954F72" w:themeColor="followedHyperlink"/>
      <w:u w:val="single"/>
    </w:rPr>
  </w:style>
  <w:style w:type="table" w:styleId="TableGrid">
    <w:name w:val="Table Grid"/>
    <w:basedOn w:val="TableNormal"/>
    <w:uiPriority w:val="39"/>
    <w:rsid w:val="00D327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7424"/>
    <w:pPr>
      <w:spacing w:line="240" w:lineRule="auto"/>
    </w:pPr>
  </w:style>
  <w:style w:type="paragraph" w:styleId="BalloonText">
    <w:name w:val="Balloon Text"/>
    <w:basedOn w:val="Normal"/>
    <w:link w:val="BalloonTextChar"/>
    <w:uiPriority w:val="99"/>
    <w:semiHidden/>
    <w:unhideWhenUsed/>
    <w:rsid w:val="00FF3F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A0"/>
    <w:rPr>
      <w:rFonts w:ascii="Tahoma" w:hAnsi="Tahoma" w:cs="Tahoma"/>
      <w:sz w:val="16"/>
      <w:szCs w:val="16"/>
    </w:rPr>
  </w:style>
  <w:style w:type="table" w:customStyle="1" w:styleId="TableGrid1">
    <w:name w:val="Table Grid1"/>
    <w:basedOn w:val="TableNormal"/>
    <w:next w:val="TableGrid"/>
    <w:uiPriority w:val="39"/>
    <w:rsid w:val="002E736D"/>
    <w:pPr>
      <w:spacing w:line="240" w:lineRule="auto"/>
      <w:jc w:val="left"/>
    </w:pPr>
    <w:rPr>
      <w:rFonts w:ascii="Calibri" w:hAnsi="Calibri" w:cs="Vrinda"/>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741838">
      <w:bodyDiv w:val="1"/>
      <w:marLeft w:val="0"/>
      <w:marRight w:val="0"/>
      <w:marTop w:val="0"/>
      <w:marBottom w:val="0"/>
      <w:divBdr>
        <w:top w:val="none" w:sz="0" w:space="0" w:color="auto"/>
        <w:left w:val="none" w:sz="0" w:space="0" w:color="auto"/>
        <w:bottom w:val="none" w:sz="0" w:space="0" w:color="auto"/>
        <w:right w:val="none" w:sz="0" w:space="0" w:color="auto"/>
      </w:divBdr>
      <w:divsChild>
        <w:div w:id="1976063976">
          <w:marLeft w:val="0"/>
          <w:marRight w:val="0"/>
          <w:marTop w:val="180"/>
          <w:marBottom w:val="0"/>
          <w:divBdr>
            <w:top w:val="single" w:sz="2" w:space="0" w:color="E4E6E8"/>
            <w:left w:val="single" w:sz="2" w:space="0" w:color="E4E6E8"/>
            <w:bottom w:val="single" w:sz="2" w:space="0" w:color="E4E6E8"/>
            <w:right w:val="single" w:sz="2" w:space="0" w:color="E4E6E8"/>
          </w:divBdr>
          <w:divsChild>
            <w:div w:id="1209339972">
              <w:marLeft w:val="0"/>
              <w:marRight w:val="0"/>
              <w:marTop w:val="0"/>
              <w:marBottom w:val="0"/>
              <w:divBdr>
                <w:top w:val="single" w:sz="2" w:space="0" w:color="E4E6E8"/>
                <w:left w:val="single" w:sz="2" w:space="0" w:color="E4E6E8"/>
                <w:bottom w:val="single" w:sz="2" w:space="0" w:color="E4E6E8"/>
                <w:right w:val="single" w:sz="2" w:space="0" w:color="E4E6E8"/>
              </w:divBdr>
              <w:divsChild>
                <w:div w:id="1462075129">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8548416">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473762202">
      <w:bodyDiv w:val="1"/>
      <w:marLeft w:val="0"/>
      <w:marRight w:val="0"/>
      <w:marTop w:val="0"/>
      <w:marBottom w:val="0"/>
      <w:divBdr>
        <w:top w:val="none" w:sz="0" w:space="0" w:color="auto"/>
        <w:left w:val="none" w:sz="0" w:space="0" w:color="auto"/>
        <w:bottom w:val="none" w:sz="0" w:space="0" w:color="auto"/>
        <w:right w:val="none" w:sz="0" w:space="0" w:color="auto"/>
      </w:divBdr>
      <w:divsChild>
        <w:div w:id="2013677227">
          <w:marLeft w:val="0"/>
          <w:marRight w:val="0"/>
          <w:marTop w:val="0"/>
          <w:marBottom w:val="0"/>
          <w:divBdr>
            <w:top w:val="none" w:sz="0" w:space="0" w:color="auto"/>
            <w:left w:val="none" w:sz="0" w:space="0" w:color="auto"/>
            <w:bottom w:val="none" w:sz="0" w:space="0" w:color="auto"/>
            <w:right w:val="none" w:sz="0" w:space="0" w:color="auto"/>
          </w:divBdr>
          <w:divsChild>
            <w:div w:id="188737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1200">
      <w:bodyDiv w:val="1"/>
      <w:marLeft w:val="0"/>
      <w:marRight w:val="0"/>
      <w:marTop w:val="0"/>
      <w:marBottom w:val="0"/>
      <w:divBdr>
        <w:top w:val="none" w:sz="0" w:space="0" w:color="auto"/>
        <w:left w:val="none" w:sz="0" w:space="0" w:color="auto"/>
        <w:bottom w:val="none" w:sz="0" w:space="0" w:color="auto"/>
        <w:right w:val="none" w:sz="0" w:space="0" w:color="auto"/>
      </w:divBdr>
      <w:divsChild>
        <w:div w:id="1698459370">
          <w:marLeft w:val="0"/>
          <w:marRight w:val="0"/>
          <w:marTop w:val="180"/>
          <w:marBottom w:val="0"/>
          <w:divBdr>
            <w:top w:val="single" w:sz="2" w:space="0" w:color="E4E6E8"/>
            <w:left w:val="single" w:sz="2" w:space="0" w:color="E4E6E8"/>
            <w:bottom w:val="single" w:sz="2" w:space="0" w:color="E4E6E8"/>
            <w:right w:val="single" w:sz="2" w:space="0" w:color="E4E6E8"/>
          </w:divBdr>
          <w:divsChild>
            <w:div w:id="1186866431">
              <w:marLeft w:val="0"/>
              <w:marRight w:val="0"/>
              <w:marTop w:val="0"/>
              <w:marBottom w:val="0"/>
              <w:divBdr>
                <w:top w:val="single" w:sz="2" w:space="0" w:color="E4E6E8"/>
                <w:left w:val="single" w:sz="2" w:space="0" w:color="E4E6E8"/>
                <w:bottom w:val="single" w:sz="2" w:space="0" w:color="E4E6E8"/>
                <w:right w:val="single" w:sz="2" w:space="0" w:color="E4E6E8"/>
              </w:divBdr>
              <w:divsChild>
                <w:div w:id="1752660348">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1251891152">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680201207">
      <w:bodyDiv w:val="1"/>
      <w:marLeft w:val="0"/>
      <w:marRight w:val="0"/>
      <w:marTop w:val="0"/>
      <w:marBottom w:val="0"/>
      <w:divBdr>
        <w:top w:val="none" w:sz="0" w:space="0" w:color="auto"/>
        <w:left w:val="none" w:sz="0" w:space="0" w:color="auto"/>
        <w:bottom w:val="none" w:sz="0" w:space="0" w:color="auto"/>
        <w:right w:val="none" w:sz="0" w:space="0" w:color="auto"/>
      </w:divBdr>
      <w:divsChild>
        <w:div w:id="946813053">
          <w:marLeft w:val="0"/>
          <w:marRight w:val="0"/>
          <w:marTop w:val="180"/>
          <w:marBottom w:val="0"/>
          <w:divBdr>
            <w:top w:val="single" w:sz="2" w:space="0" w:color="E4E6E8"/>
            <w:left w:val="single" w:sz="2" w:space="0" w:color="E4E6E8"/>
            <w:bottom w:val="single" w:sz="2" w:space="0" w:color="E4E6E8"/>
            <w:right w:val="single" w:sz="2" w:space="0" w:color="E4E6E8"/>
          </w:divBdr>
          <w:divsChild>
            <w:div w:id="330761881">
              <w:marLeft w:val="0"/>
              <w:marRight w:val="0"/>
              <w:marTop w:val="0"/>
              <w:marBottom w:val="0"/>
              <w:divBdr>
                <w:top w:val="single" w:sz="2" w:space="0" w:color="E4E6E8"/>
                <w:left w:val="single" w:sz="2" w:space="0" w:color="E4E6E8"/>
                <w:bottom w:val="single" w:sz="2" w:space="0" w:color="E4E6E8"/>
                <w:right w:val="single" w:sz="2" w:space="0" w:color="E4E6E8"/>
              </w:divBdr>
              <w:divsChild>
                <w:div w:id="1795562151">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59571306">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1081826855">
      <w:bodyDiv w:val="1"/>
      <w:marLeft w:val="0"/>
      <w:marRight w:val="0"/>
      <w:marTop w:val="0"/>
      <w:marBottom w:val="0"/>
      <w:divBdr>
        <w:top w:val="none" w:sz="0" w:space="0" w:color="auto"/>
        <w:left w:val="none" w:sz="0" w:space="0" w:color="auto"/>
        <w:bottom w:val="none" w:sz="0" w:space="0" w:color="auto"/>
        <w:right w:val="none" w:sz="0" w:space="0" w:color="auto"/>
      </w:divBdr>
      <w:divsChild>
        <w:div w:id="1262950126">
          <w:marLeft w:val="0"/>
          <w:marRight w:val="0"/>
          <w:marTop w:val="180"/>
          <w:marBottom w:val="0"/>
          <w:divBdr>
            <w:top w:val="single" w:sz="2" w:space="0" w:color="E4E6E8"/>
            <w:left w:val="single" w:sz="2" w:space="0" w:color="E4E6E8"/>
            <w:bottom w:val="single" w:sz="2" w:space="0" w:color="E4E6E8"/>
            <w:right w:val="single" w:sz="2" w:space="0" w:color="E4E6E8"/>
          </w:divBdr>
          <w:divsChild>
            <w:div w:id="2114469819">
              <w:marLeft w:val="0"/>
              <w:marRight w:val="0"/>
              <w:marTop w:val="0"/>
              <w:marBottom w:val="0"/>
              <w:divBdr>
                <w:top w:val="single" w:sz="2" w:space="0" w:color="E4E6E8"/>
                <w:left w:val="single" w:sz="2" w:space="0" w:color="E4E6E8"/>
                <w:bottom w:val="single" w:sz="2" w:space="0" w:color="E4E6E8"/>
                <w:right w:val="single" w:sz="2" w:space="0" w:color="E4E6E8"/>
              </w:divBdr>
              <w:divsChild>
                <w:div w:id="837768955">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2089958052">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1202089645">
      <w:bodyDiv w:val="1"/>
      <w:marLeft w:val="0"/>
      <w:marRight w:val="0"/>
      <w:marTop w:val="0"/>
      <w:marBottom w:val="0"/>
      <w:divBdr>
        <w:top w:val="none" w:sz="0" w:space="0" w:color="auto"/>
        <w:left w:val="none" w:sz="0" w:space="0" w:color="auto"/>
        <w:bottom w:val="none" w:sz="0" w:space="0" w:color="auto"/>
        <w:right w:val="none" w:sz="0" w:space="0" w:color="auto"/>
      </w:divBdr>
      <w:divsChild>
        <w:div w:id="1131440936">
          <w:marLeft w:val="0"/>
          <w:marRight w:val="0"/>
          <w:marTop w:val="0"/>
          <w:marBottom w:val="0"/>
          <w:divBdr>
            <w:top w:val="none" w:sz="0" w:space="0" w:color="auto"/>
            <w:left w:val="none" w:sz="0" w:space="0" w:color="auto"/>
            <w:bottom w:val="none" w:sz="0" w:space="0" w:color="auto"/>
            <w:right w:val="none" w:sz="0" w:space="0" w:color="auto"/>
          </w:divBdr>
        </w:div>
      </w:divsChild>
    </w:div>
    <w:div w:id="1224637707">
      <w:bodyDiv w:val="1"/>
      <w:marLeft w:val="0"/>
      <w:marRight w:val="0"/>
      <w:marTop w:val="0"/>
      <w:marBottom w:val="0"/>
      <w:divBdr>
        <w:top w:val="none" w:sz="0" w:space="0" w:color="auto"/>
        <w:left w:val="none" w:sz="0" w:space="0" w:color="auto"/>
        <w:bottom w:val="none" w:sz="0" w:space="0" w:color="auto"/>
        <w:right w:val="none" w:sz="0" w:space="0" w:color="auto"/>
      </w:divBdr>
      <w:divsChild>
        <w:div w:id="1168251617">
          <w:marLeft w:val="0"/>
          <w:marRight w:val="0"/>
          <w:marTop w:val="180"/>
          <w:marBottom w:val="0"/>
          <w:divBdr>
            <w:top w:val="single" w:sz="2" w:space="0" w:color="E4E6E8"/>
            <w:left w:val="single" w:sz="2" w:space="0" w:color="E4E6E8"/>
            <w:bottom w:val="single" w:sz="2" w:space="0" w:color="E4E6E8"/>
            <w:right w:val="single" w:sz="2" w:space="0" w:color="E4E6E8"/>
          </w:divBdr>
          <w:divsChild>
            <w:div w:id="526064613">
              <w:marLeft w:val="0"/>
              <w:marRight w:val="0"/>
              <w:marTop w:val="0"/>
              <w:marBottom w:val="0"/>
              <w:divBdr>
                <w:top w:val="single" w:sz="2" w:space="0" w:color="E4E6E8"/>
                <w:left w:val="single" w:sz="2" w:space="0" w:color="E4E6E8"/>
                <w:bottom w:val="single" w:sz="2" w:space="0" w:color="E4E6E8"/>
                <w:right w:val="single" w:sz="2" w:space="0" w:color="E4E6E8"/>
              </w:divBdr>
              <w:divsChild>
                <w:div w:id="81293074">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799110231">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 w:id="1253582519">
      <w:bodyDiv w:val="1"/>
      <w:marLeft w:val="0"/>
      <w:marRight w:val="0"/>
      <w:marTop w:val="0"/>
      <w:marBottom w:val="0"/>
      <w:divBdr>
        <w:top w:val="none" w:sz="0" w:space="0" w:color="auto"/>
        <w:left w:val="none" w:sz="0" w:space="0" w:color="auto"/>
        <w:bottom w:val="none" w:sz="0" w:space="0" w:color="auto"/>
        <w:right w:val="none" w:sz="0" w:space="0" w:color="auto"/>
      </w:divBdr>
      <w:divsChild>
        <w:div w:id="1696809016">
          <w:marLeft w:val="0"/>
          <w:marRight w:val="0"/>
          <w:marTop w:val="0"/>
          <w:marBottom w:val="0"/>
          <w:divBdr>
            <w:top w:val="none" w:sz="0" w:space="0" w:color="auto"/>
            <w:left w:val="none" w:sz="0" w:space="0" w:color="auto"/>
            <w:bottom w:val="none" w:sz="0" w:space="0" w:color="auto"/>
            <w:right w:val="none" w:sz="0" w:space="0" w:color="auto"/>
          </w:divBdr>
        </w:div>
      </w:divsChild>
    </w:div>
    <w:div w:id="1385909519">
      <w:bodyDiv w:val="1"/>
      <w:marLeft w:val="0"/>
      <w:marRight w:val="0"/>
      <w:marTop w:val="0"/>
      <w:marBottom w:val="0"/>
      <w:divBdr>
        <w:top w:val="none" w:sz="0" w:space="0" w:color="auto"/>
        <w:left w:val="none" w:sz="0" w:space="0" w:color="auto"/>
        <w:bottom w:val="none" w:sz="0" w:space="0" w:color="auto"/>
        <w:right w:val="none" w:sz="0" w:space="0" w:color="auto"/>
      </w:divBdr>
    </w:div>
    <w:div w:id="1586645789">
      <w:bodyDiv w:val="1"/>
      <w:marLeft w:val="0"/>
      <w:marRight w:val="0"/>
      <w:marTop w:val="0"/>
      <w:marBottom w:val="0"/>
      <w:divBdr>
        <w:top w:val="none" w:sz="0" w:space="0" w:color="auto"/>
        <w:left w:val="none" w:sz="0" w:space="0" w:color="auto"/>
        <w:bottom w:val="none" w:sz="0" w:space="0" w:color="auto"/>
        <w:right w:val="none" w:sz="0" w:space="0" w:color="auto"/>
      </w:divBdr>
      <w:divsChild>
        <w:div w:id="107938929">
          <w:marLeft w:val="0"/>
          <w:marRight w:val="0"/>
          <w:marTop w:val="0"/>
          <w:marBottom w:val="0"/>
          <w:divBdr>
            <w:top w:val="none" w:sz="0" w:space="0" w:color="auto"/>
            <w:left w:val="none" w:sz="0" w:space="0" w:color="auto"/>
            <w:bottom w:val="none" w:sz="0" w:space="0" w:color="auto"/>
            <w:right w:val="none" w:sz="0" w:space="0" w:color="auto"/>
          </w:divBdr>
          <w:divsChild>
            <w:div w:id="1386562141">
              <w:marLeft w:val="0"/>
              <w:marRight w:val="0"/>
              <w:marTop w:val="0"/>
              <w:marBottom w:val="0"/>
              <w:divBdr>
                <w:top w:val="none" w:sz="0" w:space="0" w:color="auto"/>
                <w:left w:val="none" w:sz="0" w:space="0" w:color="auto"/>
                <w:bottom w:val="none" w:sz="0" w:space="0" w:color="auto"/>
                <w:right w:val="none" w:sz="0" w:space="0" w:color="auto"/>
              </w:divBdr>
              <w:divsChild>
                <w:div w:id="1951811371">
                  <w:marLeft w:val="0"/>
                  <w:marRight w:val="0"/>
                  <w:marTop w:val="0"/>
                  <w:marBottom w:val="0"/>
                  <w:divBdr>
                    <w:top w:val="none" w:sz="0" w:space="0" w:color="auto"/>
                    <w:left w:val="none" w:sz="0" w:space="0" w:color="auto"/>
                    <w:bottom w:val="none" w:sz="0" w:space="0" w:color="auto"/>
                    <w:right w:val="none" w:sz="0" w:space="0" w:color="auto"/>
                  </w:divBdr>
                </w:div>
                <w:div w:id="11885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365851">
      <w:bodyDiv w:val="1"/>
      <w:marLeft w:val="0"/>
      <w:marRight w:val="0"/>
      <w:marTop w:val="0"/>
      <w:marBottom w:val="0"/>
      <w:divBdr>
        <w:top w:val="none" w:sz="0" w:space="0" w:color="auto"/>
        <w:left w:val="none" w:sz="0" w:space="0" w:color="auto"/>
        <w:bottom w:val="none" w:sz="0" w:space="0" w:color="auto"/>
        <w:right w:val="none" w:sz="0" w:space="0" w:color="auto"/>
      </w:divBdr>
      <w:divsChild>
        <w:div w:id="1511751228">
          <w:marLeft w:val="0"/>
          <w:marRight w:val="0"/>
          <w:marTop w:val="0"/>
          <w:marBottom w:val="0"/>
          <w:divBdr>
            <w:top w:val="none" w:sz="0" w:space="0" w:color="auto"/>
            <w:left w:val="none" w:sz="0" w:space="0" w:color="auto"/>
            <w:bottom w:val="none" w:sz="0" w:space="0" w:color="auto"/>
            <w:right w:val="none" w:sz="0" w:space="0" w:color="auto"/>
          </w:divBdr>
          <w:divsChild>
            <w:div w:id="1787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7943">
      <w:bodyDiv w:val="1"/>
      <w:marLeft w:val="0"/>
      <w:marRight w:val="0"/>
      <w:marTop w:val="0"/>
      <w:marBottom w:val="0"/>
      <w:divBdr>
        <w:top w:val="none" w:sz="0" w:space="0" w:color="auto"/>
        <w:left w:val="none" w:sz="0" w:space="0" w:color="auto"/>
        <w:bottom w:val="none" w:sz="0" w:space="0" w:color="auto"/>
        <w:right w:val="none" w:sz="0" w:space="0" w:color="auto"/>
      </w:divBdr>
      <w:divsChild>
        <w:div w:id="938637073">
          <w:marLeft w:val="0"/>
          <w:marRight w:val="0"/>
          <w:marTop w:val="180"/>
          <w:marBottom w:val="0"/>
          <w:divBdr>
            <w:top w:val="single" w:sz="2" w:space="0" w:color="E4E6E8"/>
            <w:left w:val="single" w:sz="2" w:space="0" w:color="E4E6E8"/>
            <w:bottom w:val="single" w:sz="2" w:space="0" w:color="E4E6E8"/>
            <w:right w:val="single" w:sz="2" w:space="0" w:color="E4E6E8"/>
          </w:divBdr>
          <w:divsChild>
            <w:div w:id="818502083">
              <w:marLeft w:val="0"/>
              <w:marRight w:val="0"/>
              <w:marTop w:val="0"/>
              <w:marBottom w:val="0"/>
              <w:divBdr>
                <w:top w:val="single" w:sz="2" w:space="0" w:color="E4E6E8"/>
                <w:left w:val="single" w:sz="2" w:space="0" w:color="E4E6E8"/>
                <w:bottom w:val="single" w:sz="2" w:space="0" w:color="E4E6E8"/>
                <w:right w:val="single" w:sz="2" w:space="0" w:color="E4E6E8"/>
              </w:divBdr>
              <w:divsChild>
                <w:div w:id="1695185436">
                  <w:marLeft w:val="0"/>
                  <w:marRight w:val="0"/>
                  <w:marTop w:val="0"/>
                  <w:marBottom w:val="0"/>
                  <w:divBdr>
                    <w:top w:val="single" w:sz="2" w:space="0" w:color="E4E6E8"/>
                    <w:left w:val="single" w:sz="2" w:space="0" w:color="E4E6E8"/>
                    <w:bottom w:val="single" w:sz="2" w:space="0" w:color="E4E6E8"/>
                    <w:right w:val="single" w:sz="2" w:space="0" w:color="E4E6E8"/>
                  </w:divBdr>
                </w:div>
              </w:divsChild>
            </w:div>
          </w:divsChild>
        </w:div>
      </w:divsChild>
    </w:div>
    <w:div w:id="2013993467">
      <w:bodyDiv w:val="1"/>
      <w:marLeft w:val="0"/>
      <w:marRight w:val="0"/>
      <w:marTop w:val="0"/>
      <w:marBottom w:val="0"/>
      <w:divBdr>
        <w:top w:val="none" w:sz="0" w:space="0" w:color="auto"/>
        <w:left w:val="none" w:sz="0" w:space="0" w:color="auto"/>
        <w:bottom w:val="none" w:sz="0" w:space="0" w:color="auto"/>
        <w:right w:val="none" w:sz="0" w:space="0" w:color="auto"/>
      </w:divBdr>
      <w:divsChild>
        <w:div w:id="1400605">
          <w:marLeft w:val="0"/>
          <w:marRight w:val="0"/>
          <w:marTop w:val="0"/>
          <w:marBottom w:val="0"/>
          <w:divBdr>
            <w:top w:val="none" w:sz="0" w:space="0" w:color="auto"/>
            <w:left w:val="none" w:sz="0" w:space="0" w:color="auto"/>
            <w:bottom w:val="none" w:sz="0" w:space="0" w:color="auto"/>
            <w:right w:val="none" w:sz="0" w:space="0" w:color="auto"/>
          </w:divBdr>
          <w:divsChild>
            <w:div w:id="631836626">
              <w:marLeft w:val="0"/>
              <w:marRight w:val="0"/>
              <w:marTop w:val="0"/>
              <w:marBottom w:val="0"/>
              <w:divBdr>
                <w:top w:val="none" w:sz="0" w:space="0" w:color="auto"/>
                <w:left w:val="none" w:sz="0" w:space="0" w:color="auto"/>
                <w:bottom w:val="none" w:sz="0" w:space="0" w:color="auto"/>
                <w:right w:val="none" w:sz="0" w:space="0" w:color="auto"/>
              </w:divBdr>
              <w:divsChild>
                <w:div w:id="1783498894">
                  <w:marLeft w:val="0"/>
                  <w:marRight w:val="0"/>
                  <w:marTop w:val="0"/>
                  <w:marBottom w:val="0"/>
                  <w:divBdr>
                    <w:top w:val="none" w:sz="0" w:space="0" w:color="auto"/>
                    <w:left w:val="none" w:sz="0" w:space="0" w:color="auto"/>
                    <w:bottom w:val="none" w:sz="0" w:space="0" w:color="auto"/>
                    <w:right w:val="none" w:sz="0" w:space="0" w:color="auto"/>
                  </w:divBdr>
                </w:div>
                <w:div w:id="10886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430739">
      <w:bodyDiv w:val="1"/>
      <w:marLeft w:val="0"/>
      <w:marRight w:val="0"/>
      <w:marTop w:val="0"/>
      <w:marBottom w:val="0"/>
      <w:divBdr>
        <w:top w:val="none" w:sz="0" w:space="0" w:color="auto"/>
        <w:left w:val="none" w:sz="0" w:space="0" w:color="auto"/>
        <w:bottom w:val="none" w:sz="0" w:space="0" w:color="auto"/>
        <w:right w:val="none" w:sz="0" w:space="0" w:color="auto"/>
      </w:divBdr>
      <w:divsChild>
        <w:div w:id="172452691">
          <w:marLeft w:val="0"/>
          <w:marRight w:val="0"/>
          <w:marTop w:val="180"/>
          <w:marBottom w:val="0"/>
          <w:divBdr>
            <w:top w:val="single" w:sz="2" w:space="0" w:color="E4E6E8"/>
            <w:left w:val="single" w:sz="2" w:space="0" w:color="E4E6E8"/>
            <w:bottom w:val="single" w:sz="2" w:space="0" w:color="E4E6E8"/>
            <w:right w:val="single" w:sz="2" w:space="0" w:color="E4E6E8"/>
          </w:divBdr>
          <w:divsChild>
            <w:div w:id="1501695745">
              <w:marLeft w:val="0"/>
              <w:marRight w:val="0"/>
              <w:marTop w:val="0"/>
              <w:marBottom w:val="0"/>
              <w:divBdr>
                <w:top w:val="single" w:sz="2" w:space="0" w:color="E4E6E8"/>
                <w:left w:val="single" w:sz="2" w:space="0" w:color="E4E6E8"/>
                <w:bottom w:val="single" w:sz="2" w:space="0" w:color="E4E6E8"/>
                <w:right w:val="single" w:sz="2" w:space="0" w:color="E4E6E8"/>
              </w:divBdr>
              <w:divsChild>
                <w:div w:id="1727029207">
                  <w:marLeft w:val="0"/>
                  <w:marRight w:val="0"/>
                  <w:marTop w:val="0"/>
                  <w:marBottom w:val="0"/>
                  <w:divBdr>
                    <w:top w:val="single" w:sz="2" w:space="0" w:color="E4E6E8"/>
                    <w:left w:val="single" w:sz="2" w:space="0" w:color="E4E6E8"/>
                    <w:bottom w:val="single" w:sz="2" w:space="0" w:color="E4E6E8"/>
                    <w:right w:val="single" w:sz="2" w:space="0" w:color="E4E6E8"/>
                  </w:divBdr>
                </w:div>
              </w:divsChild>
            </w:div>
            <w:div w:id="462041412">
              <w:marLeft w:val="0"/>
              <w:marRight w:val="0"/>
              <w:marTop w:val="180"/>
              <w:marBottom w:val="0"/>
              <w:divBdr>
                <w:top w:val="single" w:sz="2" w:space="0" w:color="E4E6E8"/>
                <w:left w:val="single" w:sz="2" w:space="0" w:color="E4E6E8"/>
                <w:bottom w:val="single" w:sz="2" w:space="0" w:color="E4E6E8"/>
                <w:right w:val="single" w:sz="2" w:space="0" w:color="E4E6E8"/>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author/Basu%2C+Gautam" TargetMode="External"/><Relationship Id="rId13" Type="http://schemas.openxmlformats.org/officeDocument/2006/relationships/hyperlink" Target="https://doi.org/10.1080/1544047080189332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x.doi.org/10.3329/ralf.v5i1.36547" TargetMode="External"/><Relationship Id="rId17" Type="http://schemas.openxmlformats.org/officeDocument/2006/relationships/hyperlink" Target="https://www.stata.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agriculture712009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crosoft.com/" TargetMode="External"/><Relationship Id="rId23" Type="http://schemas.openxmlformats.org/officeDocument/2006/relationships/footer" Target="footer3.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tandfonline.com/author/Roy%2C+Alok+Nath" TargetMode="External"/><Relationship Id="rId14" Type="http://schemas.openxmlformats.org/officeDocument/2006/relationships/hyperlink" Target="https://www.fao.org/3/x5648e/x5648e00.htm"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1.%20Academic%20MS\MS%20Thesis%20Semester\Trend%20of%20jute%20in%20Kishoreganj.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20S%20Internship%20Report%20(PROVAT)\Obj%203%20Probable%20solu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i="0" u="none" strike="noStrike" kern="1200" spc="0" baseline="0">
                <a:solidFill>
                  <a:srgbClr val="0070C0"/>
                </a:solidFill>
                <a:latin typeface="Book Antiqua" panose="02040602050305030304" pitchFamily="18" charset="0"/>
                <a:cs typeface="Times New Roman" panose="02020603050405020304" pitchFamily="18" charset="0"/>
              </a:rPr>
              <a:t>Trend Analysis of Jute</a:t>
            </a:r>
          </a:p>
        </c:rich>
      </c:tx>
      <c:layout>
        <c:manualLayout>
          <c:xMode val="edge"/>
          <c:yMode val="edge"/>
          <c:x val="0.39695310640323722"/>
          <c:y val="3.5087719298245612E-2"/>
        </c:manualLayout>
      </c:layout>
      <c:overlay val="0"/>
      <c:spPr>
        <a:noFill/>
        <a:ln>
          <a:noFill/>
        </a:ln>
        <a:effectLst/>
      </c:spPr>
    </c:title>
    <c:autoTitleDeleted val="0"/>
    <c:plotArea>
      <c:layout/>
      <c:lineChart>
        <c:grouping val="standard"/>
        <c:varyColors val="0"/>
        <c:ser>
          <c:idx val="0"/>
          <c:order val="0"/>
          <c:tx>
            <c:strRef>
              <c:f>Sheet1!$C$1</c:f>
              <c:strCache>
                <c:ptCount val="1"/>
                <c:pt idx="0">
                  <c:v>area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Sheet1!$B$2:$B$31</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Sheet1!$C$2:$C$31</c:f>
              <c:numCache>
                <c:formatCode>General</c:formatCode>
                <c:ptCount val="30"/>
                <c:pt idx="0">
                  <c:v>52740</c:v>
                </c:pt>
                <c:pt idx="1">
                  <c:v>37410</c:v>
                </c:pt>
                <c:pt idx="2">
                  <c:v>50000</c:v>
                </c:pt>
                <c:pt idx="3">
                  <c:v>42880</c:v>
                </c:pt>
                <c:pt idx="4">
                  <c:v>53130</c:v>
                </c:pt>
                <c:pt idx="5">
                  <c:v>64710</c:v>
                </c:pt>
                <c:pt idx="6">
                  <c:v>43230</c:v>
                </c:pt>
                <c:pt idx="7">
                  <c:v>43760</c:v>
                </c:pt>
                <c:pt idx="8">
                  <c:v>46270</c:v>
                </c:pt>
                <c:pt idx="9">
                  <c:v>52460</c:v>
                </c:pt>
                <c:pt idx="10">
                  <c:v>45560</c:v>
                </c:pt>
                <c:pt idx="11">
                  <c:v>46420</c:v>
                </c:pt>
                <c:pt idx="12">
                  <c:v>44970</c:v>
                </c:pt>
                <c:pt idx="13">
                  <c:v>37733</c:v>
                </c:pt>
                <c:pt idx="14">
                  <c:v>28315</c:v>
                </c:pt>
                <c:pt idx="15">
                  <c:v>27450</c:v>
                </c:pt>
                <c:pt idx="16">
                  <c:v>23576</c:v>
                </c:pt>
                <c:pt idx="17">
                  <c:v>36780</c:v>
                </c:pt>
                <c:pt idx="18">
                  <c:v>39671</c:v>
                </c:pt>
                <c:pt idx="19">
                  <c:v>31303</c:v>
                </c:pt>
                <c:pt idx="20">
                  <c:v>30277</c:v>
                </c:pt>
                <c:pt idx="21">
                  <c:v>30546</c:v>
                </c:pt>
                <c:pt idx="22">
                  <c:v>28201</c:v>
                </c:pt>
                <c:pt idx="23">
                  <c:v>30935</c:v>
                </c:pt>
                <c:pt idx="24">
                  <c:v>39031</c:v>
                </c:pt>
                <c:pt idx="25">
                  <c:v>38412</c:v>
                </c:pt>
                <c:pt idx="26">
                  <c:v>37944</c:v>
                </c:pt>
                <c:pt idx="27">
                  <c:v>40682</c:v>
                </c:pt>
                <c:pt idx="28">
                  <c:v>38106</c:v>
                </c:pt>
                <c:pt idx="29">
                  <c:v>36404</c:v>
                </c:pt>
              </c:numCache>
            </c:numRef>
          </c:val>
          <c:smooth val="0"/>
          <c:extLst>
            <c:ext xmlns:c16="http://schemas.microsoft.com/office/drawing/2014/chart" uri="{C3380CC4-5D6E-409C-BE32-E72D297353CC}">
              <c16:uniqueId val="{00000000-25D7-4A7B-A967-9F131BC613DA}"/>
            </c:ext>
          </c:extLst>
        </c:ser>
        <c:ser>
          <c:idx val="1"/>
          <c:order val="1"/>
          <c:tx>
            <c:strRef>
              <c:f>Sheet1!$D$1</c:f>
              <c:strCache>
                <c:ptCount val="1"/>
                <c:pt idx="0">
                  <c:v>production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Sheet1!$B$2:$B$31</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Sheet1!$D$2:$D$31</c:f>
              <c:numCache>
                <c:formatCode>General</c:formatCode>
                <c:ptCount val="30"/>
                <c:pt idx="0">
                  <c:v>198300</c:v>
                </c:pt>
                <c:pt idx="1">
                  <c:v>124200</c:v>
                </c:pt>
                <c:pt idx="2">
                  <c:v>185000</c:v>
                </c:pt>
                <c:pt idx="3">
                  <c:v>152650</c:v>
                </c:pt>
                <c:pt idx="4">
                  <c:v>199770</c:v>
                </c:pt>
                <c:pt idx="5">
                  <c:v>246340</c:v>
                </c:pt>
                <c:pt idx="6">
                  <c:v>156490</c:v>
                </c:pt>
                <c:pt idx="7">
                  <c:v>170660</c:v>
                </c:pt>
                <c:pt idx="8">
                  <c:v>190170</c:v>
                </c:pt>
                <c:pt idx="9">
                  <c:v>201970</c:v>
                </c:pt>
                <c:pt idx="10">
                  <c:v>169480</c:v>
                </c:pt>
                <c:pt idx="11">
                  <c:v>183820</c:v>
                </c:pt>
                <c:pt idx="12">
                  <c:v>168134</c:v>
                </c:pt>
                <c:pt idx="13">
                  <c:v>154357</c:v>
                </c:pt>
                <c:pt idx="14">
                  <c:v>113679</c:v>
                </c:pt>
                <c:pt idx="15">
                  <c:v>113711</c:v>
                </c:pt>
                <c:pt idx="16">
                  <c:v>99041</c:v>
                </c:pt>
                <c:pt idx="17">
                  <c:v>146373</c:v>
                </c:pt>
                <c:pt idx="18">
                  <c:v>152952</c:v>
                </c:pt>
                <c:pt idx="19">
                  <c:v>127486</c:v>
                </c:pt>
                <c:pt idx="20">
                  <c:v>122423</c:v>
                </c:pt>
                <c:pt idx="21">
                  <c:v>117569</c:v>
                </c:pt>
                <c:pt idx="22">
                  <c:v>106801</c:v>
                </c:pt>
                <c:pt idx="23">
                  <c:v>117862</c:v>
                </c:pt>
                <c:pt idx="24">
                  <c:v>166272</c:v>
                </c:pt>
                <c:pt idx="25">
                  <c:v>154416</c:v>
                </c:pt>
                <c:pt idx="26">
                  <c:v>160122</c:v>
                </c:pt>
                <c:pt idx="27">
                  <c:v>185508</c:v>
                </c:pt>
                <c:pt idx="28">
                  <c:v>173381</c:v>
                </c:pt>
                <c:pt idx="29">
                  <c:v>169279</c:v>
                </c:pt>
              </c:numCache>
            </c:numRef>
          </c:val>
          <c:smooth val="0"/>
          <c:extLst>
            <c:ext xmlns:c16="http://schemas.microsoft.com/office/drawing/2014/chart" uri="{C3380CC4-5D6E-409C-BE32-E72D297353CC}">
              <c16:uniqueId val="{00000001-25D7-4A7B-A967-9F131BC613DA}"/>
            </c:ext>
          </c:extLst>
        </c:ser>
        <c:ser>
          <c:idx val="2"/>
          <c:order val="2"/>
          <c:tx>
            <c:strRef>
              <c:f>Sheet1!$E$1</c:f>
              <c:strCache>
                <c:ptCount val="1"/>
                <c:pt idx="0">
                  <c:v>yield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Sheet1!$B$2:$B$31</c:f>
              <c:numCache>
                <c:formatCode>General</c:formatCode>
                <c:ptCount val="30"/>
                <c:pt idx="0">
                  <c:v>1993</c:v>
                </c:pt>
                <c:pt idx="1">
                  <c:v>1994</c:v>
                </c:pt>
                <c:pt idx="2">
                  <c:v>1995</c:v>
                </c:pt>
                <c:pt idx="3">
                  <c:v>1996</c:v>
                </c:pt>
                <c:pt idx="4">
                  <c:v>1997</c:v>
                </c:pt>
                <c:pt idx="5">
                  <c:v>1998</c:v>
                </c:pt>
                <c:pt idx="6">
                  <c:v>1999</c:v>
                </c:pt>
                <c:pt idx="7">
                  <c:v>2000</c:v>
                </c:pt>
                <c:pt idx="8">
                  <c:v>2001</c:v>
                </c:pt>
                <c:pt idx="9">
                  <c:v>2002</c:v>
                </c:pt>
                <c:pt idx="10">
                  <c:v>2003</c:v>
                </c:pt>
                <c:pt idx="11">
                  <c:v>2004</c:v>
                </c:pt>
                <c:pt idx="12">
                  <c:v>2005</c:v>
                </c:pt>
                <c:pt idx="13">
                  <c:v>2006</c:v>
                </c:pt>
                <c:pt idx="14">
                  <c:v>2007</c:v>
                </c:pt>
                <c:pt idx="15">
                  <c:v>2008</c:v>
                </c:pt>
                <c:pt idx="16">
                  <c:v>2010</c:v>
                </c:pt>
                <c:pt idx="17">
                  <c:v>2011</c:v>
                </c:pt>
                <c:pt idx="18">
                  <c:v>2012</c:v>
                </c:pt>
                <c:pt idx="19">
                  <c:v>2013</c:v>
                </c:pt>
                <c:pt idx="20">
                  <c:v>2014</c:v>
                </c:pt>
                <c:pt idx="21">
                  <c:v>2015</c:v>
                </c:pt>
                <c:pt idx="22">
                  <c:v>2016</c:v>
                </c:pt>
                <c:pt idx="23">
                  <c:v>2017</c:v>
                </c:pt>
                <c:pt idx="24">
                  <c:v>2018</c:v>
                </c:pt>
                <c:pt idx="25">
                  <c:v>2019</c:v>
                </c:pt>
                <c:pt idx="26">
                  <c:v>2020</c:v>
                </c:pt>
                <c:pt idx="27">
                  <c:v>2021</c:v>
                </c:pt>
                <c:pt idx="28">
                  <c:v>2022</c:v>
                </c:pt>
                <c:pt idx="29">
                  <c:v>2023</c:v>
                </c:pt>
              </c:numCache>
            </c:numRef>
          </c:cat>
          <c:val>
            <c:numRef>
              <c:f>Sheet1!$E$2:$E$31</c:f>
              <c:numCache>
                <c:formatCode>General</c:formatCode>
                <c:ptCount val="30"/>
                <c:pt idx="0">
                  <c:v>3.7599544937428897</c:v>
                </c:pt>
                <c:pt idx="1">
                  <c:v>3.3199679230152364</c:v>
                </c:pt>
                <c:pt idx="2">
                  <c:v>3.7</c:v>
                </c:pt>
                <c:pt idx="3">
                  <c:v>3.5599347014925371</c:v>
                </c:pt>
                <c:pt idx="4">
                  <c:v>3.7600225861095424</c:v>
                </c:pt>
                <c:pt idx="5">
                  <c:v>3.8068304744243546</c:v>
                </c:pt>
                <c:pt idx="6">
                  <c:v>3.6199398565810781</c:v>
                </c:pt>
                <c:pt idx="7">
                  <c:v>3.8999085923217551</c:v>
                </c:pt>
                <c:pt idx="8">
                  <c:v>4.1100064836827315</c:v>
                </c:pt>
                <c:pt idx="9">
                  <c:v>3.8499809378574152</c:v>
                </c:pt>
                <c:pt idx="10">
                  <c:v>3.7199297629499561</c:v>
                </c:pt>
                <c:pt idx="11">
                  <c:v>3.9599310641964669</c:v>
                </c:pt>
                <c:pt idx="12">
                  <c:v>3.7388036468756951</c:v>
                </c:pt>
                <c:pt idx="13">
                  <c:v>4.0907693530861584</c:v>
                </c:pt>
                <c:pt idx="14">
                  <c:v>4.0147978103478721</c:v>
                </c:pt>
                <c:pt idx="15">
                  <c:v>4.14247723132969</c:v>
                </c:pt>
                <c:pt idx="16">
                  <c:v>4.2009246691550732</c:v>
                </c:pt>
                <c:pt idx="17">
                  <c:v>3.979690048939641</c:v>
                </c:pt>
                <c:pt idx="18">
                  <c:v>3.8555115827682691</c:v>
                </c:pt>
                <c:pt idx="19">
                  <c:v>4.0726447944286486</c:v>
                </c:pt>
                <c:pt idx="20">
                  <c:v>4.0434323083528749</c:v>
                </c:pt>
                <c:pt idx="21">
                  <c:v>3.8489163883978263</c:v>
                </c:pt>
                <c:pt idx="22">
                  <c:v>3.7871352079713487</c:v>
                </c:pt>
                <c:pt idx="23">
                  <c:v>3.8099886859544205</c:v>
                </c:pt>
                <c:pt idx="24">
                  <c:v>4.25999846276037</c:v>
                </c:pt>
                <c:pt idx="25">
                  <c:v>4.0199937519525148</c:v>
                </c:pt>
                <c:pt idx="26">
                  <c:v>4.2199557242251737</c:v>
                </c:pt>
                <c:pt idx="27">
                  <c:v>4.5599528046802025</c:v>
                </c:pt>
                <c:pt idx="28">
                  <c:v>4.5499658846375901</c:v>
                </c:pt>
                <c:pt idx="29">
                  <c:v>4.6500109878035385</c:v>
                </c:pt>
              </c:numCache>
            </c:numRef>
          </c:val>
          <c:smooth val="0"/>
          <c:extLst>
            <c:ext xmlns:c16="http://schemas.microsoft.com/office/drawing/2014/chart" uri="{C3380CC4-5D6E-409C-BE32-E72D297353CC}">
              <c16:uniqueId val="{00000002-25D7-4A7B-A967-9F131BC613DA}"/>
            </c:ext>
          </c:extLst>
        </c:ser>
        <c:dLbls>
          <c:showLegendKey val="0"/>
          <c:showVal val="0"/>
          <c:showCatName val="0"/>
          <c:showSerName val="0"/>
          <c:showPercent val="0"/>
          <c:showBubbleSize val="0"/>
        </c:dLbls>
        <c:marker val="1"/>
        <c:smooth val="0"/>
        <c:axId val="309052544"/>
        <c:axId val="309054848"/>
      </c:lineChart>
      <c:catAx>
        <c:axId val="309052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rgbClr val="0070C0"/>
                    </a:solidFill>
                    <a:latin typeface="Book Antiqua" panose="02040602050305030304" pitchFamily="18" charset="0"/>
                    <a:cs typeface="Times New Roman" panose="02020603050405020304" pitchFamily="18" charset="0"/>
                  </a:rPr>
                  <a:t>Year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9054848"/>
        <c:crosses val="autoZero"/>
        <c:auto val="1"/>
        <c:lblAlgn val="ctr"/>
        <c:lblOffset val="100"/>
        <c:noMultiLvlLbl val="0"/>
      </c:catAx>
      <c:valAx>
        <c:axId val="309054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rgbClr val="0070C0"/>
                    </a:solidFill>
                    <a:latin typeface="Book Antiqua" panose="02040602050305030304" pitchFamily="18" charset="0"/>
                    <a:cs typeface="Times New Roman" panose="02020603050405020304" pitchFamily="18" charset="0"/>
                  </a:rPr>
                  <a:t>Area, Production, Yield</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309052544"/>
        <c:crosses val="autoZero"/>
        <c:crossBetween val="between"/>
      </c:valAx>
      <c:spPr>
        <a:noFill/>
        <a:ln>
          <a:noFill/>
        </a:ln>
        <a:effectLst/>
      </c:spPr>
    </c:plotArea>
    <c:legend>
      <c:legendPos val="b"/>
      <c:layout>
        <c:manualLayout>
          <c:xMode val="edge"/>
          <c:yMode val="edge"/>
          <c:x val="0.35561967810438833"/>
          <c:y val="0.87531269117676058"/>
          <c:w val="0.41730146740464868"/>
          <c:h val="8.4587058196672782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vert="horz"/>
          <a:lstStyle/>
          <a:p>
            <a:pPr>
              <a:defRPr sz="1200">
                <a:latin typeface="Times New Roman" pitchFamily="18" charset="0"/>
                <a:cs typeface="Times New Roman" pitchFamily="18" charset="0"/>
              </a:defRPr>
            </a:pPr>
            <a:r>
              <a:rPr lang="en-US" sz="1200">
                <a:latin typeface="Times New Roman" pitchFamily="18" charset="0"/>
                <a:cs typeface="Times New Roman" pitchFamily="18" charset="0"/>
              </a:rPr>
              <a:t>Farmers' recommended solutions </a:t>
            </a:r>
          </a:p>
        </c:rich>
      </c:tx>
      <c:overlay val="0"/>
    </c:title>
    <c:autoTitleDeleted val="0"/>
    <c:plotArea>
      <c:layout/>
      <c:barChart>
        <c:barDir val="bar"/>
        <c:grouping val="clustered"/>
        <c:varyColors val="0"/>
        <c:ser>
          <c:idx val="0"/>
          <c:order val="0"/>
          <c:tx>
            <c:strRef>
              <c:f>Sheet1!$C$1</c:f>
              <c:strCache>
                <c:ptCount val="1"/>
                <c:pt idx="0">
                  <c:v>Percentage of farmers (%)</c:v>
                </c:pt>
              </c:strCache>
            </c:strRef>
          </c:tx>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Increase water bodies for retting of jute</c:v>
                </c:pt>
                <c:pt idx="1">
                  <c:v>Government incentives to jute farmers</c:v>
                </c:pt>
                <c:pt idx="2">
                  <c:v>Profitable price for product</c:v>
                </c:pt>
                <c:pt idx="3">
                  <c:v>Reduction of production cost of jute</c:v>
                </c:pt>
                <c:pt idx="4">
                  <c:v>To supply improved seed at sowing time</c:v>
                </c:pt>
                <c:pt idx="5">
                  <c:v>Increase storage facilities by government</c:v>
                </c:pt>
                <c:pt idx="6">
                  <c:v>Agricultural input should be supplied in time and it’s cost should be reduced</c:v>
                </c:pt>
                <c:pt idx="7">
                  <c:v>Government intervention in market</c:v>
                </c:pt>
                <c:pt idx="8">
                  <c:v>Availability of agricultural loan</c:v>
                </c:pt>
                <c:pt idx="9">
                  <c:v>Needed training for jute cultivation</c:v>
                </c:pt>
              </c:strCache>
            </c:strRef>
          </c:cat>
          <c:val>
            <c:numRef>
              <c:f>Sheet1!$C$2:$C$11</c:f>
              <c:numCache>
                <c:formatCode>General</c:formatCode>
                <c:ptCount val="10"/>
                <c:pt idx="0">
                  <c:v>93.85</c:v>
                </c:pt>
                <c:pt idx="1">
                  <c:v>89.23</c:v>
                </c:pt>
                <c:pt idx="2">
                  <c:v>81.540000000000006</c:v>
                </c:pt>
                <c:pt idx="3">
                  <c:v>81.540000000000006</c:v>
                </c:pt>
                <c:pt idx="4">
                  <c:v>72.31</c:v>
                </c:pt>
                <c:pt idx="5">
                  <c:v>52.31</c:v>
                </c:pt>
                <c:pt idx="6">
                  <c:v>50.77</c:v>
                </c:pt>
                <c:pt idx="7">
                  <c:v>41.54</c:v>
                </c:pt>
                <c:pt idx="8">
                  <c:v>33.85</c:v>
                </c:pt>
                <c:pt idx="9">
                  <c:v>32.31</c:v>
                </c:pt>
              </c:numCache>
            </c:numRef>
          </c:val>
          <c:extLst>
            <c:ext xmlns:c16="http://schemas.microsoft.com/office/drawing/2014/chart" uri="{C3380CC4-5D6E-409C-BE32-E72D297353CC}">
              <c16:uniqueId val="{00000000-1510-493D-BAC3-A39BA7B0C89D}"/>
            </c:ext>
          </c:extLst>
        </c:ser>
        <c:dLbls>
          <c:dLblPos val="outEnd"/>
          <c:showLegendKey val="0"/>
          <c:showVal val="1"/>
          <c:showCatName val="0"/>
          <c:showSerName val="0"/>
          <c:showPercent val="0"/>
          <c:showBubbleSize val="0"/>
        </c:dLbls>
        <c:gapWidth val="182"/>
        <c:axId val="37043584"/>
        <c:axId val="37051008"/>
      </c:barChart>
      <c:catAx>
        <c:axId val="37043584"/>
        <c:scaling>
          <c:orientation val="minMax"/>
        </c:scaling>
        <c:delete val="0"/>
        <c:axPos val="l"/>
        <c:title>
          <c:tx>
            <c:rich>
              <a:bodyPr rot="-5400000" vert="horz"/>
              <a:lstStyle/>
              <a:p>
                <a:pPr>
                  <a:defRPr/>
                </a:pPr>
                <a:r>
                  <a:rPr lang="en-US"/>
                  <a:t>Solutions</a:t>
                </a:r>
              </a:p>
            </c:rich>
          </c:tx>
          <c:overlay val="0"/>
        </c:title>
        <c:numFmt formatCode="General" sourceLinked="1"/>
        <c:majorTickMark val="none"/>
        <c:minorTickMark val="none"/>
        <c:tickLblPos val="nextTo"/>
        <c:txPr>
          <a:bodyPr rot="-60000000" vert="horz"/>
          <a:lstStyle/>
          <a:p>
            <a:pPr>
              <a:defRPr/>
            </a:pPr>
            <a:endParaRPr lang="en-US"/>
          </a:p>
        </c:txPr>
        <c:crossAx val="37051008"/>
        <c:crosses val="autoZero"/>
        <c:auto val="1"/>
        <c:lblAlgn val="ctr"/>
        <c:lblOffset val="100"/>
        <c:noMultiLvlLbl val="0"/>
      </c:catAx>
      <c:valAx>
        <c:axId val="37051008"/>
        <c:scaling>
          <c:orientation val="minMax"/>
        </c:scaling>
        <c:delete val="0"/>
        <c:axPos val="b"/>
        <c:majorGridlines/>
        <c:title>
          <c:tx>
            <c:rich>
              <a:bodyPr rot="0" vert="horz"/>
              <a:lstStyle/>
              <a:p>
                <a:pPr>
                  <a:defRPr/>
                </a:pPr>
                <a:r>
                  <a:rPr lang="en-US"/>
                  <a:t>No. of Farmers</a:t>
                </a:r>
              </a:p>
            </c:rich>
          </c:tx>
          <c:overlay val="0"/>
        </c:title>
        <c:numFmt formatCode="General" sourceLinked="1"/>
        <c:majorTickMark val="none"/>
        <c:minorTickMark val="none"/>
        <c:tickLblPos val="nextTo"/>
        <c:txPr>
          <a:bodyPr rot="-60000000" vert="horz"/>
          <a:lstStyle/>
          <a:p>
            <a:pPr>
              <a:defRPr/>
            </a:pPr>
            <a:endParaRPr lang="en-US"/>
          </a:p>
        </c:txPr>
        <c:crossAx val="3704358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100F6-5189-4585-9E4B-CA9570CC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17</Pages>
  <Words>4875</Words>
  <Characters>27793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Minhajul Islam Provat</dc:creator>
  <cp:lastModifiedBy>SDI 1166</cp:lastModifiedBy>
  <cp:revision>111</cp:revision>
  <cp:lastPrinted>2023-12-19T22:11:00Z</cp:lastPrinted>
  <dcterms:created xsi:type="dcterms:W3CDTF">2026-02-10T02:29:00Z</dcterms:created>
  <dcterms:modified xsi:type="dcterms:W3CDTF">2026-03-16T10:36:00Z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7ce65b60b19e3154c5d522fcff78e07ab1359c8fe08cbd3862fb015a8443b49c</vt:lpwstr>
  </property>
</Properties>
</file>