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3E242" w14:textId="53B89186" w:rsidR="00754C9A" w:rsidRDefault="00C608F1" w:rsidP="00441B6F">
      <w:pPr>
        <w:pStyle w:val="Title"/>
        <w:spacing w:after="0"/>
        <w:jc w:val="both"/>
        <w:rPr>
          <w:rFonts w:ascii="Arial" w:hAnsi="Arial" w:cs="Arial"/>
        </w:rPr>
      </w:pPr>
      <w:r w:rsidRPr="00C608F1">
        <w:rPr>
          <w:rFonts w:ascii="Arial" w:hAnsi="Arial" w:cs="Arial"/>
        </w:rPr>
        <w:t>Original Research Article</w:t>
      </w:r>
    </w:p>
    <w:p w14:paraId="39108CDA" w14:textId="77777777" w:rsidR="00C608F1" w:rsidRDefault="00C608F1" w:rsidP="00441B6F">
      <w:pPr>
        <w:pStyle w:val="Title"/>
        <w:spacing w:after="0"/>
        <w:jc w:val="both"/>
        <w:rPr>
          <w:rFonts w:ascii="Arial" w:hAnsi="Arial" w:cs="Arial"/>
        </w:rPr>
      </w:pPr>
    </w:p>
    <w:p w14:paraId="0F944559" w14:textId="77777777" w:rsidR="00C608F1" w:rsidRDefault="00C608F1" w:rsidP="00441B6F">
      <w:pPr>
        <w:pStyle w:val="Title"/>
        <w:spacing w:after="0"/>
        <w:jc w:val="both"/>
        <w:rPr>
          <w:rFonts w:ascii="Arial" w:hAnsi="Arial" w:cs="Arial"/>
        </w:rPr>
      </w:pPr>
    </w:p>
    <w:p w14:paraId="6AABC694" w14:textId="53A26F81" w:rsidR="00163BC4" w:rsidRPr="00163BC4" w:rsidRDefault="00F406CE" w:rsidP="00441B6F">
      <w:pPr>
        <w:pStyle w:val="Author"/>
        <w:spacing w:line="240" w:lineRule="auto"/>
        <w:rPr>
          <w:rFonts w:ascii="Arial" w:hAnsi="Arial" w:cs="Arial"/>
          <w:bCs/>
          <w:iCs/>
          <w:kern w:val="28"/>
          <w:sz w:val="36"/>
        </w:rPr>
      </w:pPr>
      <w:r w:rsidRPr="00E25EA2">
        <w:rPr>
          <w:rFonts w:ascii="Arial" w:hAnsi="Arial" w:cs="Arial"/>
          <w:bCs/>
          <w:iCs/>
          <w:kern w:val="28"/>
          <w:sz w:val="36"/>
        </w:rPr>
        <w:t xml:space="preserve">Antibiotic Susceptibility </w:t>
      </w:r>
      <w:r>
        <w:rPr>
          <w:rFonts w:ascii="Arial" w:hAnsi="Arial" w:cs="Arial"/>
          <w:bCs/>
          <w:iCs/>
          <w:kern w:val="28"/>
          <w:sz w:val="36"/>
        </w:rPr>
        <w:t>a</w:t>
      </w:r>
      <w:r w:rsidRPr="00E25EA2">
        <w:rPr>
          <w:rFonts w:ascii="Arial" w:hAnsi="Arial" w:cs="Arial"/>
          <w:bCs/>
          <w:iCs/>
          <w:kern w:val="28"/>
          <w:sz w:val="36"/>
        </w:rPr>
        <w:t>nd Resistance Profile</w:t>
      </w:r>
      <w:r>
        <w:rPr>
          <w:rFonts w:ascii="Arial" w:hAnsi="Arial" w:cs="Arial"/>
          <w:bCs/>
          <w:iCs/>
          <w:kern w:val="28"/>
          <w:sz w:val="36"/>
        </w:rPr>
        <w:t>s</w:t>
      </w:r>
      <w:r w:rsidRPr="00E25EA2">
        <w:rPr>
          <w:rFonts w:ascii="Arial" w:hAnsi="Arial" w:cs="Arial"/>
          <w:bCs/>
          <w:iCs/>
          <w:kern w:val="28"/>
          <w:sz w:val="36"/>
        </w:rPr>
        <w:t xml:space="preserve"> </w:t>
      </w:r>
      <w:r>
        <w:rPr>
          <w:rFonts w:ascii="Arial" w:hAnsi="Arial" w:cs="Arial"/>
          <w:bCs/>
          <w:iCs/>
          <w:kern w:val="28"/>
          <w:sz w:val="36"/>
        </w:rPr>
        <w:t>o</w:t>
      </w:r>
      <w:r w:rsidRPr="00E25EA2">
        <w:rPr>
          <w:rFonts w:ascii="Arial" w:hAnsi="Arial" w:cs="Arial"/>
          <w:bCs/>
          <w:iCs/>
          <w:kern w:val="28"/>
          <w:sz w:val="36"/>
        </w:rPr>
        <w:t xml:space="preserve">f </w:t>
      </w:r>
      <w:r w:rsidRPr="00F406CE">
        <w:rPr>
          <w:rFonts w:ascii="Arial" w:hAnsi="Arial" w:cs="Arial"/>
          <w:bCs/>
          <w:i/>
          <w:kern w:val="28"/>
          <w:sz w:val="36"/>
        </w:rPr>
        <w:t>Klebsiella Pneumoniae</w:t>
      </w:r>
      <w:r w:rsidRPr="00E25EA2">
        <w:rPr>
          <w:rFonts w:ascii="Arial" w:hAnsi="Arial" w:cs="Arial"/>
          <w:bCs/>
          <w:iCs/>
          <w:kern w:val="28"/>
          <w:sz w:val="36"/>
        </w:rPr>
        <w:t xml:space="preserve"> </w:t>
      </w:r>
      <w:r>
        <w:rPr>
          <w:rFonts w:ascii="Arial" w:hAnsi="Arial" w:cs="Arial"/>
          <w:bCs/>
          <w:iCs/>
          <w:kern w:val="28"/>
          <w:sz w:val="36"/>
        </w:rPr>
        <w:t>a</w:t>
      </w:r>
      <w:r w:rsidRPr="00E25EA2">
        <w:rPr>
          <w:rFonts w:ascii="Arial" w:hAnsi="Arial" w:cs="Arial"/>
          <w:bCs/>
          <w:iCs/>
          <w:kern w:val="28"/>
          <w:sz w:val="36"/>
        </w:rPr>
        <w:t xml:space="preserve">nd </w:t>
      </w:r>
      <w:r w:rsidRPr="00F406CE">
        <w:rPr>
          <w:rFonts w:ascii="Arial" w:hAnsi="Arial" w:cs="Arial"/>
          <w:bCs/>
          <w:i/>
          <w:kern w:val="28"/>
          <w:sz w:val="36"/>
        </w:rPr>
        <w:t>Escherichia Coli</w:t>
      </w:r>
      <w:r w:rsidRPr="00E25EA2">
        <w:rPr>
          <w:rFonts w:ascii="Arial" w:hAnsi="Arial" w:cs="Arial"/>
          <w:bCs/>
          <w:iCs/>
          <w:kern w:val="28"/>
          <w:sz w:val="36"/>
        </w:rPr>
        <w:t xml:space="preserve"> Isolated </w:t>
      </w:r>
      <w:r>
        <w:rPr>
          <w:rFonts w:ascii="Arial" w:hAnsi="Arial" w:cs="Arial"/>
          <w:bCs/>
          <w:iCs/>
          <w:kern w:val="28"/>
          <w:sz w:val="36"/>
        </w:rPr>
        <w:t>f</w:t>
      </w:r>
      <w:r w:rsidRPr="00E25EA2">
        <w:rPr>
          <w:rFonts w:ascii="Arial" w:hAnsi="Arial" w:cs="Arial"/>
          <w:bCs/>
          <w:iCs/>
          <w:kern w:val="28"/>
          <w:sz w:val="36"/>
        </w:rPr>
        <w:t xml:space="preserve">rom Apparently Healthy Undergraduate Students, Living Off Campus </w:t>
      </w:r>
      <w:r>
        <w:rPr>
          <w:rFonts w:ascii="Arial" w:hAnsi="Arial" w:cs="Arial"/>
          <w:bCs/>
          <w:iCs/>
          <w:kern w:val="28"/>
          <w:sz w:val="36"/>
        </w:rPr>
        <w:t>a</w:t>
      </w:r>
      <w:r w:rsidRPr="00E25EA2">
        <w:rPr>
          <w:rFonts w:ascii="Arial" w:hAnsi="Arial" w:cs="Arial"/>
          <w:bCs/>
          <w:iCs/>
          <w:kern w:val="28"/>
          <w:sz w:val="36"/>
        </w:rPr>
        <w:t>t Alex Ekwueme - Federal University Ndufu Alike (AE-FUNAI), Ebonyi State</w:t>
      </w:r>
    </w:p>
    <w:p w14:paraId="5AEE1C57" w14:textId="77777777" w:rsidR="00A258C3" w:rsidRPr="00790ADA" w:rsidRDefault="00A258C3" w:rsidP="00441B6F">
      <w:pPr>
        <w:pStyle w:val="Author"/>
        <w:spacing w:line="240" w:lineRule="auto"/>
        <w:jc w:val="both"/>
        <w:rPr>
          <w:rFonts w:ascii="Arial" w:hAnsi="Arial" w:cs="Arial"/>
          <w:sz w:val="36"/>
        </w:rPr>
      </w:pPr>
    </w:p>
    <w:p w14:paraId="5685866C" w14:textId="77777777" w:rsidR="00C608F1" w:rsidRPr="00230B43" w:rsidRDefault="00C608F1" w:rsidP="00C608F1">
      <w:pPr>
        <w:pStyle w:val="NoSpacing"/>
        <w:jc w:val="right"/>
        <w:rPr>
          <w:rStyle w:val="A4"/>
          <w:rFonts w:ascii="Arial" w:hAnsi="Arial" w:cs="Arial"/>
          <w:sz w:val="20"/>
          <w:szCs w:val="20"/>
        </w:rPr>
      </w:pPr>
    </w:p>
    <w:p w14:paraId="19A5A4A5" w14:textId="77777777" w:rsidR="00790ADA" w:rsidRDefault="00790ADA" w:rsidP="00441B6F">
      <w:pPr>
        <w:pStyle w:val="Affiliation"/>
        <w:spacing w:after="0" w:line="240" w:lineRule="auto"/>
        <w:jc w:val="both"/>
        <w:rPr>
          <w:rFonts w:ascii="Arial" w:hAnsi="Arial" w:cs="Arial"/>
        </w:rPr>
      </w:pPr>
    </w:p>
    <w:p w14:paraId="02AA101B" w14:textId="77777777" w:rsidR="002C57D2" w:rsidRPr="00FB3A86" w:rsidRDefault="002C57D2" w:rsidP="00441B6F">
      <w:pPr>
        <w:pStyle w:val="Affiliation"/>
        <w:spacing w:after="0" w:line="240" w:lineRule="auto"/>
        <w:jc w:val="both"/>
        <w:rPr>
          <w:rFonts w:ascii="Arial" w:hAnsi="Arial" w:cs="Arial"/>
        </w:rPr>
      </w:pPr>
    </w:p>
    <w:p w14:paraId="51389E32" w14:textId="77777777" w:rsidR="00B01FCD" w:rsidRPr="00FB3A86" w:rsidRDefault="00BB4B73" w:rsidP="00441B6F">
      <w:pPr>
        <w:pStyle w:val="Copyright"/>
        <w:spacing w:after="0" w:line="240" w:lineRule="auto"/>
        <w:jc w:val="both"/>
        <w:rPr>
          <w:rFonts w:ascii="Arial" w:hAnsi="Arial" w:cs="Arial"/>
        </w:rPr>
        <w:sectPr w:rsidR="00B01FCD" w:rsidRPr="00FB3A86" w:rsidSect="008E49E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9A5BC4A">
          <v:shapetype id="_x0000_t32" coordsize="21600,21600" o:spt="32" o:oned="t" path="m,l21600,21600e" filled="f">
            <v:path arrowok="t" fillok="f" o:connecttype="none"/>
            <o:lock v:ext="edit" shapetype="t"/>
          </v:shapetype>
          <v:shape id="_x0000_s1171"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19BB76" w14:textId="4F08BB99" w:rsidR="00B01FCD" w:rsidRDefault="00B01FCD" w:rsidP="00441B6F">
      <w:pPr>
        <w:pStyle w:val="AbstHead"/>
        <w:spacing w:after="0"/>
        <w:jc w:val="both"/>
        <w:rPr>
          <w:rFonts w:ascii="Arial" w:hAnsi="Arial" w:cs="Arial"/>
        </w:rPr>
      </w:pPr>
      <w:r w:rsidRPr="00FB3A86">
        <w:rPr>
          <w:rFonts w:ascii="Arial" w:hAnsi="Arial" w:cs="Arial"/>
        </w:rPr>
        <w:t>ABSTRACT</w:t>
      </w:r>
    </w:p>
    <w:p w14:paraId="6A39596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74B403B" w14:textId="77777777" w:rsidTr="001E44FE">
        <w:tc>
          <w:tcPr>
            <w:tcW w:w="9576" w:type="dxa"/>
            <w:shd w:val="clear" w:color="auto" w:fill="F2F2F2"/>
          </w:tcPr>
          <w:p w14:paraId="0077DDC5" w14:textId="77777777" w:rsidR="00E25EA2" w:rsidRPr="00E25EA2" w:rsidRDefault="00E25EA2" w:rsidP="00E25EA2">
            <w:pPr>
              <w:pStyle w:val="NormalWeb"/>
              <w:shd w:val="clear" w:color="auto" w:fill="FFFFFF"/>
              <w:spacing w:before="0" w:beforeAutospacing="0" w:after="0" w:afterAutospacing="0"/>
              <w:jc w:val="both"/>
              <w:rPr>
                <w:rFonts w:ascii="Arial" w:hAnsi="Arial" w:cs="Arial"/>
                <w:color w:val="1B1B1B"/>
                <w:sz w:val="20"/>
                <w:szCs w:val="20"/>
              </w:rPr>
            </w:pPr>
            <w:r w:rsidRPr="00E25EA2">
              <w:rPr>
                <w:rFonts w:ascii="Arial" w:hAnsi="Arial" w:cs="Arial"/>
                <w:b/>
                <w:bCs/>
                <w:color w:val="1B1B1B"/>
                <w:sz w:val="20"/>
                <w:szCs w:val="20"/>
              </w:rPr>
              <w:t>Introduction</w:t>
            </w:r>
            <w:r w:rsidRPr="00E25EA2">
              <w:rPr>
                <w:rFonts w:ascii="Arial" w:hAnsi="Arial" w:cs="Arial"/>
                <w:color w:val="1B1B1B"/>
                <w:sz w:val="20"/>
                <w:szCs w:val="20"/>
              </w:rPr>
              <w:t xml:space="preserve">: Asymptomatic urinary tract infections (UTIs) is considered a major growing public health concern in the community as UTI is the second most common bacterial infection affecting individuals of different age groups. The rising trends of antibiotic resistance especially among </w:t>
            </w:r>
            <w:proofErr w:type="spellStart"/>
            <w:r w:rsidRPr="00E25EA2">
              <w:rPr>
                <w:rFonts w:ascii="Arial" w:hAnsi="Arial" w:cs="Arial"/>
                <w:color w:val="1B1B1B"/>
                <w:sz w:val="20"/>
                <w:szCs w:val="20"/>
              </w:rPr>
              <w:t>uropathogens</w:t>
            </w:r>
            <w:proofErr w:type="spellEnd"/>
            <w:r w:rsidRPr="00E25EA2">
              <w:rPr>
                <w:rFonts w:ascii="Arial" w:hAnsi="Arial" w:cs="Arial"/>
                <w:color w:val="1B1B1B"/>
                <w:sz w:val="20"/>
                <w:szCs w:val="20"/>
              </w:rPr>
              <w:t xml:space="preserve"> are worrisome as they give rise to delayed patient recovery, increased hospital stay, high cost of treatment and frustrate physicians’ treatment options.  </w:t>
            </w:r>
          </w:p>
          <w:p w14:paraId="48D717CF" w14:textId="77777777" w:rsidR="00E25EA2" w:rsidRPr="00E25EA2" w:rsidRDefault="00E25EA2" w:rsidP="00E25EA2">
            <w:pPr>
              <w:pStyle w:val="NormalWeb"/>
              <w:shd w:val="clear" w:color="auto" w:fill="FFFFFF"/>
              <w:spacing w:before="0" w:beforeAutospacing="0" w:after="0" w:afterAutospacing="0"/>
              <w:jc w:val="both"/>
              <w:rPr>
                <w:rFonts w:ascii="Arial" w:hAnsi="Arial" w:cs="Arial"/>
                <w:color w:val="1B1B1B"/>
                <w:sz w:val="20"/>
                <w:szCs w:val="20"/>
              </w:rPr>
            </w:pPr>
          </w:p>
          <w:p w14:paraId="22D74BEF" w14:textId="77777777" w:rsidR="00E25EA2" w:rsidRPr="00E25EA2" w:rsidRDefault="00E25EA2" w:rsidP="00E25EA2">
            <w:pPr>
              <w:pStyle w:val="NormalWeb"/>
              <w:shd w:val="clear" w:color="auto" w:fill="FFFFFF"/>
              <w:spacing w:before="0" w:beforeAutospacing="0" w:after="0" w:afterAutospacing="0"/>
              <w:jc w:val="both"/>
              <w:rPr>
                <w:rFonts w:ascii="Arial" w:hAnsi="Arial" w:cs="Arial"/>
                <w:color w:val="1B1B1B"/>
                <w:sz w:val="20"/>
                <w:szCs w:val="20"/>
              </w:rPr>
            </w:pPr>
            <w:r w:rsidRPr="00E25EA2">
              <w:rPr>
                <w:rFonts w:ascii="Arial" w:hAnsi="Arial" w:cs="Arial"/>
                <w:b/>
                <w:bCs/>
                <w:color w:val="1B1B1B"/>
                <w:sz w:val="20"/>
                <w:szCs w:val="20"/>
              </w:rPr>
              <w:t>Aim</w:t>
            </w:r>
            <w:r w:rsidRPr="00E25EA2">
              <w:rPr>
                <w:rFonts w:ascii="Arial" w:hAnsi="Arial" w:cs="Arial"/>
                <w:color w:val="1B1B1B"/>
                <w:sz w:val="20"/>
                <w:szCs w:val="20"/>
              </w:rPr>
              <w:t>: The aim of this study was to</w:t>
            </w:r>
            <w:r w:rsidRPr="00E25EA2">
              <w:rPr>
                <w:rFonts w:ascii="Arial" w:hAnsi="Arial" w:cs="Arial"/>
                <w:color w:val="0A0A0A"/>
                <w:sz w:val="20"/>
                <w:szCs w:val="20"/>
                <w:shd w:val="clear" w:color="auto" w:fill="FFFFFF"/>
              </w:rPr>
              <w:t xml:space="preserve"> ascertain the </w:t>
            </w:r>
            <w:r w:rsidRPr="00E25EA2">
              <w:rPr>
                <w:rFonts w:ascii="Arial" w:hAnsi="Arial" w:cs="Arial"/>
                <w:color w:val="000000"/>
                <w:sz w:val="20"/>
                <w:szCs w:val="20"/>
              </w:rPr>
              <w:t xml:space="preserve">prevalence and </w:t>
            </w:r>
            <w:r w:rsidRPr="00E25EA2">
              <w:rPr>
                <w:rFonts w:ascii="Arial" w:hAnsi="Arial" w:cs="Arial"/>
                <w:color w:val="000000" w:themeColor="text1"/>
                <w:sz w:val="20"/>
                <w:szCs w:val="20"/>
              </w:rPr>
              <w:t xml:space="preserve">antibiotics susceptibility profiles of </w:t>
            </w:r>
            <w:r w:rsidRPr="00E25EA2">
              <w:rPr>
                <w:rFonts w:ascii="Arial" w:hAnsi="Arial" w:cs="Arial"/>
                <w:i/>
                <w:color w:val="000000" w:themeColor="text1"/>
                <w:sz w:val="20"/>
                <w:szCs w:val="20"/>
              </w:rPr>
              <w:t>Klebsiella pneumoniae</w:t>
            </w:r>
            <w:r w:rsidRPr="00E25EA2">
              <w:rPr>
                <w:rFonts w:ascii="Arial" w:hAnsi="Arial" w:cs="Arial"/>
                <w:color w:val="000000" w:themeColor="text1"/>
                <w:sz w:val="20"/>
                <w:szCs w:val="20"/>
              </w:rPr>
              <w:t xml:space="preserve"> and </w:t>
            </w:r>
            <w:r w:rsidRPr="00E25EA2">
              <w:rPr>
                <w:rFonts w:ascii="Arial" w:hAnsi="Arial" w:cs="Arial"/>
                <w:i/>
                <w:color w:val="000000" w:themeColor="text1"/>
                <w:sz w:val="20"/>
                <w:szCs w:val="20"/>
              </w:rPr>
              <w:t>Escherichia coli</w:t>
            </w:r>
            <w:r w:rsidRPr="00E25EA2">
              <w:rPr>
                <w:rFonts w:ascii="Arial" w:hAnsi="Arial" w:cs="Arial"/>
                <w:color w:val="000000" w:themeColor="text1"/>
                <w:sz w:val="20"/>
                <w:szCs w:val="20"/>
              </w:rPr>
              <w:t xml:space="preserve"> isolated from urine samples of undergraduate students of Alex Ekwueme –Federal University </w:t>
            </w:r>
            <w:proofErr w:type="spellStart"/>
            <w:r w:rsidRPr="00E25EA2">
              <w:rPr>
                <w:rFonts w:ascii="Arial" w:hAnsi="Arial" w:cs="Arial"/>
                <w:color w:val="000000" w:themeColor="text1"/>
                <w:sz w:val="20"/>
                <w:szCs w:val="20"/>
              </w:rPr>
              <w:t>Ndufu</w:t>
            </w:r>
            <w:proofErr w:type="spellEnd"/>
            <w:r w:rsidRPr="00E25EA2">
              <w:rPr>
                <w:rFonts w:ascii="Arial" w:hAnsi="Arial" w:cs="Arial"/>
                <w:color w:val="000000" w:themeColor="text1"/>
                <w:sz w:val="20"/>
                <w:szCs w:val="20"/>
              </w:rPr>
              <w:t xml:space="preserve"> Alike </w:t>
            </w:r>
            <w:proofErr w:type="spellStart"/>
            <w:r w:rsidRPr="00E25EA2">
              <w:rPr>
                <w:rFonts w:ascii="Arial" w:hAnsi="Arial" w:cs="Arial"/>
                <w:color w:val="000000" w:themeColor="text1"/>
                <w:sz w:val="20"/>
                <w:szCs w:val="20"/>
              </w:rPr>
              <w:t>Ikwo</w:t>
            </w:r>
            <w:proofErr w:type="spellEnd"/>
            <w:r w:rsidRPr="00E25EA2">
              <w:rPr>
                <w:rFonts w:ascii="Arial" w:hAnsi="Arial" w:cs="Arial"/>
                <w:color w:val="000000" w:themeColor="text1"/>
                <w:sz w:val="20"/>
                <w:szCs w:val="20"/>
              </w:rPr>
              <w:t xml:space="preserve"> (AE-FUNAI), residing off campus.</w:t>
            </w:r>
            <w:r w:rsidRPr="00E25EA2">
              <w:rPr>
                <w:rFonts w:ascii="Arial" w:hAnsi="Arial" w:cs="Arial"/>
                <w:color w:val="1B1B1B"/>
                <w:sz w:val="20"/>
                <w:szCs w:val="20"/>
              </w:rPr>
              <w:t xml:space="preserve"> </w:t>
            </w:r>
          </w:p>
          <w:p w14:paraId="090E0D66" w14:textId="77777777" w:rsidR="00E25EA2" w:rsidRPr="00E25EA2" w:rsidRDefault="00E25EA2" w:rsidP="00E25EA2">
            <w:pPr>
              <w:pStyle w:val="NormalWeb"/>
              <w:shd w:val="clear" w:color="auto" w:fill="FFFFFF"/>
              <w:spacing w:before="0" w:beforeAutospacing="0" w:after="0" w:afterAutospacing="0"/>
              <w:jc w:val="both"/>
              <w:rPr>
                <w:rFonts w:ascii="Arial" w:hAnsi="Arial" w:cs="Arial"/>
                <w:color w:val="1B1B1B"/>
                <w:sz w:val="20"/>
                <w:szCs w:val="20"/>
              </w:rPr>
            </w:pPr>
          </w:p>
          <w:p w14:paraId="73BF8E51" w14:textId="77777777" w:rsidR="00E25EA2" w:rsidRPr="00E25EA2" w:rsidRDefault="00E25EA2" w:rsidP="00E25EA2">
            <w:pPr>
              <w:pStyle w:val="NormalWeb"/>
              <w:shd w:val="clear" w:color="auto" w:fill="FFFFFF"/>
              <w:spacing w:before="0" w:beforeAutospacing="0" w:after="0" w:afterAutospacing="0"/>
              <w:jc w:val="both"/>
              <w:rPr>
                <w:rFonts w:ascii="Arial" w:hAnsi="Arial" w:cs="Arial"/>
                <w:color w:val="1B1B1B"/>
                <w:sz w:val="20"/>
                <w:szCs w:val="20"/>
                <w:shd w:val="clear" w:color="auto" w:fill="FFFFFF"/>
              </w:rPr>
            </w:pPr>
            <w:r w:rsidRPr="00E25EA2">
              <w:rPr>
                <w:rFonts w:ascii="Arial" w:hAnsi="Arial" w:cs="Arial"/>
                <w:b/>
                <w:bCs/>
                <w:color w:val="1B1B1B"/>
                <w:sz w:val="20"/>
                <w:szCs w:val="20"/>
              </w:rPr>
              <w:t>Methodology</w:t>
            </w:r>
            <w:r w:rsidRPr="00E25EA2">
              <w:rPr>
                <w:rFonts w:ascii="Arial" w:hAnsi="Arial" w:cs="Arial"/>
                <w:color w:val="1B1B1B"/>
                <w:sz w:val="20"/>
                <w:szCs w:val="20"/>
              </w:rPr>
              <w:t>: Standard microbiology methods were strictly followed in the collection and analysis of the samples while antibiotic susceptibility profiles of the bacterial isolates were carried out following CLSI guidelines.</w:t>
            </w:r>
            <w:r w:rsidRPr="00E25EA2">
              <w:rPr>
                <w:rFonts w:ascii="Arial" w:hAnsi="Arial" w:cs="Arial"/>
                <w:color w:val="1B1B1B"/>
                <w:sz w:val="20"/>
                <w:szCs w:val="20"/>
                <w:shd w:val="clear" w:color="auto" w:fill="FFFFFF"/>
              </w:rPr>
              <w:t xml:space="preserve"> </w:t>
            </w:r>
          </w:p>
          <w:p w14:paraId="569BF67F" w14:textId="77777777" w:rsidR="00E25EA2" w:rsidRPr="00E25EA2" w:rsidRDefault="00E25EA2" w:rsidP="00E25EA2">
            <w:pPr>
              <w:pStyle w:val="NormalWeb"/>
              <w:shd w:val="clear" w:color="auto" w:fill="FFFFFF"/>
              <w:spacing w:before="0" w:beforeAutospacing="0" w:after="0" w:afterAutospacing="0"/>
              <w:jc w:val="both"/>
              <w:rPr>
                <w:rFonts w:ascii="Arial" w:hAnsi="Arial" w:cs="Arial"/>
                <w:color w:val="1B1B1B"/>
                <w:sz w:val="20"/>
                <w:szCs w:val="20"/>
                <w:shd w:val="clear" w:color="auto" w:fill="FFFFFF"/>
              </w:rPr>
            </w:pPr>
          </w:p>
          <w:p w14:paraId="26AE4996" w14:textId="77777777" w:rsidR="00E25EA2" w:rsidRPr="00E25EA2" w:rsidRDefault="00E25EA2" w:rsidP="00E25EA2">
            <w:pPr>
              <w:pStyle w:val="NormalWeb"/>
              <w:shd w:val="clear" w:color="auto" w:fill="FFFFFF"/>
              <w:spacing w:before="0" w:beforeAutospacing="0" w:after="0" w:afterAutospacing="0"/>
              <w:jc w:val="both"/>
              <w:rPr>
                <w:rFonts w:ascii="Arial" w:hAnsi="Arial" w:cs="Arial"/>
                <w:color w:val="1B1B1B"/>
                <w:sz w:val="20"/>
                <w:szCs w:val="20"/>
                <w:shd w:val="clear" w:color="auto" w:fill="FFFFFF"/>
              </w:rPr>
            </w:pPr>
            <w:r w:rsidRPr="00E25EA2">
              <w:rPr>
                <w:rFonts w:ascii="Arial" w:hAnsi="Arial" w:cs="Arial"/>
                <w:b/>
                <w:bCs/>
                <w:color w:val="1B1B1B"/>
                <w:sz w:val="20"/>
                <w:szCs w:val="20"/>
                <w:shd w:val="clear" w:color="auto" w:fill="FFFFFF"/>
              </w:rPr>
              <w:t>Results</w:t>
            </w:r>
            <w:r w:rsidRPr="00E25EA2">
              <w:rPr>
                <w:rFonts w:ascii="Arial" w:hAnsi="Arial" w:cs="Arial"/>
                <w:color w:val="1B1B1B"/>
                <w:sz w:val="20"/>
                <w:szCs w:val="20"/>
                <w:shd w:val="clear" w:color="auto" w:fill="FFFFFF"/>
              </w:rPr>
              <w:t xml:space="preserve">: Of the total 60 urine samples collected, the total prevalence of asymptomatic </w:t>
            </w:r>
            <w:proofErr w:type="spellStart"/>
            <w:r w:rsidRPr="00E25EA2">
              <w:rPr>
                <w:rFonts w:ascii="Arial" w:hAnsi="Arial" w:cs="Arial"/>
                <w:color w:val="1B1B1B"/>
                <w:sz w:val="20"/>
                <w:szCs w:val="20"/>
                <w:shd w:val="clear" w:color="auto" w:fill="FFFFFF"/>
              </w:rPr>
              <w:t>uropathogenic</w:t>
            </w:r>
            <w:proofErr w:type="spellEnd"/>
            <w:r w:rsidRPr="00E25EA2">
              <w:rPr>
                <w:rFonts w:ascii="Arial" w:hAnsi="Arial" w:cs="Arial"/>
                <w:color w:val="1B1B1B"/>
                <w:sz w:val="20"/>
                <w:szCs w:val="20"/>
                <w:shd w:val="clear" w:color="auto" w:fill="FFFFFF"/>
              </w:rPr>
              <w:t xml:space="preserve"> </w:t>
            </w:r>
            <w:r w:rsidRPr="00E25EA2">
              <w:rPr>
                <w:rFonts w:ascii="Arial" w:hAnsi="Arial" w:cs="Arial"/>
                <w:i/>
                <w:color w:val="1B1B1B"/>
                <w:sz w:val="20"/>
                <w:szCs w:val="20"/>
                <w:shd w:val="clear" w:color="auto" w:fill="FFFFFF"/>
              </w:rPr>
              <w:t>K. pneumoniae</w:t>
            </w:r>
            <w:r w:rsidRPr="00E25EA2">
              <w:rPr>
                <w:rFonts w:ascii="Arial" w:hAnsi="Arial" w:cs="Arial"/>
                <w:color w:val="1B1B1B"/>
                <w:sz w:val="20"/>
                <w:szCs w:val="20"/>
                <w:shd w:val="clear" w:color="auto" w:fill="FFFFFF"/>
              </w:rPr>
              <w:t xml:space="preserve"> and </w:t>
            </w:r>
            <w:r w:rsidRPr="00E25EA2">
              <w:rPr>
                <w:rFonts w:ascii="Arial" w:hAnsi="Arial" w:cs="Arial"/>
                <w:i/>
                <w:color w:val="1B1B1B"/>
                <w:sz w:val="20"/>
                <w:szCs w:val="20"/>
                <w:shd w:val="clear" w:color="auto" w:fill="FFFFFF"/>
              </w:rPr>
              <w:t>E. coli</w:t>
            </w:r>
            <w:r w:rsidRPr="00E25EA2">
              <w:rPr>
                <w:rFonts w:ascii="Arial" w:hAnsi="Arial" w:cs="Arial"/>
                <w:color w:val="1B1B1B"/>
                <w:sz w:val="20"/>
                <w:szCs w:val="20"/>
                <w:shd w:val="clear" w:color="auto" w:fill="FFFFFF"/>
              </w:rPr>
              <w:t xml:space="preserve"> was 15(25 %) and 31(51.7 %) respectively. Female students had the highest prevalence of </w:t>
            </w:r>
            <w:r w:rsidRPr="00E25EA2">
              <w:rPr>
                <w:rFonts w:ascii="Arial" w:hAnsi="Arial" w:cs="Arial"/>
                <w:i/>
                <w:color w:val="1B1B1B"/>
                <w:sz w:val="20"/>
                <w:szCs w:val="20"/>
                <w:shd w:val="clear" w:color="auto" w:fill="FFFFFF"/>
              </w:rPr>
              <w:t xml:space="preserve">K. pneumoniae </w:t>
            </w:r>
            <w:r w:rsidRPr="00E25EA2">
              <w:rPr>
                <w:rFonts w:ascii="Arial" w:hAnsi="Arial" w:cs="Arial"/>
                <w:color w:val="1B1B1B"/>
                <w:sz w:val="20"/>
                <w:szCs w:val="20"/>
                <w:shd w:val="clear" w:color="auto" w:fill="FFFFFF"/>
              </w:rPr>
              <w:t xml:space="preserve">11(36.7 %) and </w:t>
            </w:r>
            <w:r w:rsidRPr="00E25EA2">
              <w:rPr>
                <w:rFonts w:ascii="Arial" w:hAnsi="Arial" w:cs="Arial"/>
                <w:i/>
                <w:color w:val="1B1B1B"/>
                <w:sz w:val="20"/>
                <w:szCs w:val="20"/>
                <w:shd w:val="clear" w:color="auto" w:fill="FFFFFF"/>
              </w:rPr>
              <w:t xml:space="preserve">E. coli </w:t>
            </w:r>
            <w:r w:rsidRPr="00E25EA2">
              <w:rPr>
                <w:rFonts w:ascii="Arial" w:hAnsi="Arial" w:cs="Arial"/>
                <w:color w:val="1B1B1B"/>
                <w:sz w:val="20"/>
                <w:szCs w:val="20"/>
                <w:shd w:val="clear" w:color="auto" w:fill="FFFFFF"/>
              </w:rPr>
              <w:t>20(66.7 %) compared to their male counterpart with</w:t>
            </w:r>
            <w:r w:rsidRPr="00E25EA2">
              <w:rPr>
                <w:rFonts w:ascii="Arial" w:hAnsi="Arial" w:cs="Arial"/>
                <w:i/>
                <w:color w:val="1B1B1B"/>
                <w:sz w:val="20"/>
                <w:szCs w:val="20"/>
                <w:shd w:val="clear" w:color="auto" w:fill="FFFFFF"/>
              </w:rPr>
              <w:t xml:space="preserve"> K. pneumoniae </w:t>
            </w:r>
            <w:r w:rsidRPr="00E25EA2">
              <w:rPr>
                <w:rFonts w:ascii="Arial" w:hAnsi="Arial" w:cs="Arial"/>
                <w:color w:val="1B1B1B"/>
                <w:sz w:val="20"/>
                <w:szCs w:val="20"/>
                <w:shd w:val="clear" w:color="auto" w:fill="FFFFFF"/>
              </w:rPr>
              <w:t xml:space="preserve">4(13.3 %) and </w:t>
            </w:r>
            <w:r w:rsidRPr="00E25EA2">
              <w:rPr>
                <w:rFonts w:ascii="Arial" w:hAnsi="Arial" w:cs="Arial"/>
                <w:i/>
                <w:color w:val="1B1B1B"/>
                <w:sz w:val="20"/>
                <w:szCs w:val="20"/>
                <w:shd w:val="clear" w:color="auto" w:fill="FFFFFF"/>
              </w:rPr>
              <w:t xml:space="preserve">E. coli </w:t>
            </w:r>
            <w:r w:rsidRPr="00E25EA2">
              <w:rPr>
                <w:rFonts w:ascii="Arial" w:hAnsi="Arial" w:cs="Arial"/>
                <w:color w:val="1B1B1B"/>
                <w:sz w:val="20"/>
                <w:szCs w:val="20"/>
                <w:shd w:val="clear" w:color="auto" w:fill="FFFFFF"/>
              </w:rPr>
              <w:t xml:space="preserve">11(36.7 %). Imipenem, </w:t>
            </w:r>
            <w:r w:rsidRPr="00E25EA2">
              <w:rPr>
                <w:rFonts w:ascii="Arial" w:hAnsi="Arial" w:cs="Arial"/>
                <w:sz w:val="20"/>
                <w:szCs w:val="20"/>
              </w:rPr>
              <w:t>amoxicillin-clavulanic acid, cefotaxime and cefuroxime</w:t>
            </w:r>
            <w:r w:rsidRPr="00E25EA2">
              <w:rPr>
                <w:rFonts w:ascii="Arial" w:hAnsi="Arial" w:cs="Arial"/>
                <w:color w:val="1B1B1B"/>
                <w:sz w:val="20"/>
                <w:szCs w:val="20"/>
                <w:shd w:val="clear" w:color="auto" w:fill="FFFFFF"/>
              </w:rPr>
              <w:t xml:space="preserve"> were found to be the most effective antibiotics for treatment of UTI caused by </w:t>
            </w:r>
            <w:r w:rsidRPr="00E25EA2">
              <w:rPr>
                <w:rFonts w:ascii="Arial" w:hAnsi="Arial" w:cs="Arial"/>
                <w:i/>
                <w:color w:val="1B1B1B"/>
                <w:sz w:val="20"/>
                <w:szCs w:val="20"/>
                <w:shd w:val="clear" w:color="auto" w:fill="FFFFFF"/>
              </w:rPr>
              <w:t>K. pneumoniae</w:t>
            </w:r>
            <w:r w:rsidRPr="00E25EA2">
              <w:rPr>
                <w:rFonts w:ascii="Arial" w:hAnsi="Arial" w:cs="Arial"/>
                <w:color w:val="1B1B1B"/>
                <w:sz w:val="20"/>
                <w:szCs w:val="20"/>
                <w:shd w:val="clear" w:color="auto" w:fill="FFFFFF"/>
              </w:rPr>
              <w:t xml:space="preserve"> and </w:t>
            </w:r>
            <w:r w:rsidRPr="00E25EA2">
              <w:rPr>
                <w:rFonts w:ascii="Arial" w:hAnsi="Arial" w:cs="Arial"/>
                <w:i/>
                <w:color w:val="1B1B1B"/>
                <w:sz w:val="20"/>
                <w:szCs w:val="20"/>
                <w:shd w:val="clear" w:color="auto" w:fill="FFFFFF"/>
              </w:rPr>
              <w:t>E. coli</w:t>
            </w:r>
            <w:r w:rsidRPr="00E25EA2">
              <w:rPr>
                <w:rFonts w:ascii="Arial" w:hAnsi="Arial" w:cs="Arial"/>
                <w:color w:val="1B1B1B"/>
                <w:sz w:val="20"/>
                <w:szCs w:val="20"/>
                <w:shd w:val="clear" w:color="auto" w:fill="FFFFFF"/>
              </w:rPr>
              <w:t xml:space="preserve">. </w:t>
            </w:r>
          </w:p>
          <w:p w14:paraId="11EE0931" w14:textId="77777777" w:rsidR="00E25EA2" w:rsidRPr="00E25EA2" w:rsidRDefault="00E25EA2" w:rsidP="00E25EA2">
            <w:pPr>
              <w:pStyle w:val="NormalWeb"/>
              <w:shd w:val="clear" w:color="auto" w:fill="FFFFFF"/>
              <w:spacing w:before="0" w:beforeAutospacing="0" w:after="0" w:afterAutospacing="0"/>
              <w:jc w:val="both"/>
              <w:rPr>
                <w:rFonts w:ascii="Arial" w:hAnsi="Arial" w:cs="Arial"/>
                <w:color w:val="1B1B1B"/>
                <w:sz w:val="20"/>
                <w:szCs w:val="20"/>
                <w:shd w:val="clear" w:color="auto" w:fill="FFFFFF"/>
              </w:rPr>
            </w:pPr>
          </w:p>
          <w:p w14:paraId="3A38275F" w14:textId="191A5FFD" w:rsidR="00505F06" w:rsidRPr="00BA1B01" w:rsidRDefault="00E25EA2" w:rsidP="00E25EA2">
            <w:pPr>
              <w:pStyle w:val="NormalWeb"/>
              <w:shd w:val="clear" w:color="auto" w:fill="FFFFFF"/>
              <w:spacing w:before="0" w:beforeAutospacing="0" w:after="0" w:afterAutospacing="0"/>
              <w:jc w:val="both"/>
              <w:rPr>
                <w:rFonts w:ascii="Arial" w:eastAsia="Calibri" w:hAnsi="Arial" w:cs="Arial"/>
                <w:szCs w:val="22"/>
              </w:rPr>
            </w:pPr>
            <w:r w:rsidRPr="00E25EA2">
              <w:rPr>
                <w:rFonts w:ascii="Arial" w:hAnsi="Arial" w:cs="Arial"/>
                <w:b/>
                <w:bCs/>
                <w:color w:val="1B1B1B"/>
                <w:sz w:val="20"/>
                <w:szCs w:val="20"/>
                <w:shd w:val="clear" w:color="auto" w:fill="FFFFFF"/>
              </w:rPr>
              <w:t>Conclusion</w:t>
            </w:r>
            <w:r w:rsidRPr="00E25EA2">
              <w:rPr>
                <w:rFonts w:ascii="Arial" w:hAnsi="Arial" w:cs="Arial"/>
                <w:color w:val="1B1B1B"/>
                <w:sz w:val="20"/>
                <w:szCs w:val="20"/>
                <w:shd w:val="clear" w:color="auto" w:fill="FFFFFF"/>
              </w:rPr>
              <w:t xml:space="preserve">: Continuous strategic surveillance and antibiotic stewardship of asymptomatic </w:t>
            </w:r>
            <w:proofErr w:type="spellStart"/>
            <w:r w:rsidRPr="00E25EA2">
              <w:rPr>
                <w:rFonts w:ascii="Arial" w:hAnsi="Arial" w:cs="Arial"/>
                <w:color w:val="1B1B1B"/>
                <w:sz w:val="20"/>
                <w:szCs w:val="20"/>
                <w:shd w:val="clear" w:color="auto" w:fill="FFFFFF"/>
              </w:rPr>
              <w:t>uropathogens</w:t>
            </w:r>
            <w:proofErr w:type="spellEnd"/>
            <w:r w:rsidRPr="00E25EA2">
              <w:rPr>
                <w:rFonts w:ascii="Arial" w:hAnsi="Arial" w:cs="Arial"/>
                <w:color w:val="1B1B1B"/>
                <w:sz w:val="20"/>
                <w:szCs w:val="20"/>
                <w:shd w:val="clear" w:color="auto" w:fill="FFFFFF"/>
              </w:rPr>
              <w:t>, to effectively manage and monitor resistance trends of UTIs in order to provide guided treatment options for UTI cases are highly recommended.</w:t>
            </w:r>
          </w:p>
        </w:tc>
      </w:tr>
    </w:tbl>
    <w:p w14:paraId="3CEBCD4F" w14:textId="77777777" w:rsidR="00636EB2" w:rsidRDefault="00636EB2" w:rsidP="00441B6F">
      <w:pPr>
        <w:pStyle w:val="Body"/>
        <w:spacing w:after="0"/>
        <w:rPr>
          <w:rFonts w:ascii="Arial" w:hAnsi="Arial" w:cs="Arial"/>
          <w:i/>
        </w:rPr>
      </w:pPr>
    </w:p>
    <w:p w14:paraId="2D5C2DF2" w14:textId="3EC68ED0" w:rsidR="0024282C" w:rsidRDefault="00A24E7E" w:rsidP="00E25EA2">
      <w:pPr>
        <w:pStyle w:val="NormalWeb"/>
        <w:spacing w:before="0" w:beforeAutospacing="0" w:after="0" w:afterAutospacing="0"/>
        <w:jc w:val="both"/>
        <w:rPr>
          <w:rFonts w:ascii="Arial" w:hAnsi="Arial" w:cs="Arial"/>
          <w:i/>
          <w:sz w:val="18"/>
        </w:rPr>
      </w:pPr>
      <w:r w:rsidRPr="00E25EA2">
        <w:rPr>
          <w:rFonts w:ascii="Arial" w:hAnsi="Arial" w:cs="Arial"/>
          <w:i/>
          <w:sz w:val="20"/>
          <w:szCs w:val="20"/>
        </w:rPr>
        <w:t>Keywords</w:t>
      </w:r>
      <w:r w:rsidR="00E25EA2" w:rsidRPr="00E25EA2">
        <w:rPr>
          <w:rStyle w:val="Strong"/>
          <w:rFonts w:ascii="Arial" w:hAnsi="Arial" w:cs="Arial"/>
          <w:sz w:val="20"/>
          <w:szCs w:val="20"/>
        </w:rPr>
        <w:t>:</w:t>
      </w:r>
      <w:r w:rsidR="00E25EA2" w:rsidRPr="00251871">
        <w:rPr>
          <w:sz w:val="20"/>
          <w:szCs w:val="20"/>
        </w:rPr>
        <w:t xml:space="preserve">  </w:t>
      </w:r>
      <w:r w:rsidR="00E25EA2" w:rsidRPr="00E25EA2">
        <w:rPr>
          <w:rFonts w:ascii="Arial" w:hAnsi="Arial" w:cs="Arial"/>
          <w:i/>
          <w:iCs/>
          <w:color w:val="1B1B1B"/>
          <w:sz w:val="20"/>
          <w:szCs w:val="20"/>
          <w:shd w:val="clear" w:color="auto" w:fill="FFFFFF"/>
        </w:rPr>
        <w:t xml:space="preserve">Undergraduates, </w:t>
      </w:r>
      <w:proofErr w:type="spellStart"/>
      <w:r w:rsidR="00E25EA2" w:rsidRPr="00E25EA2">
        <w:rPr>
          <w:rFonts w:ascii="Arial" w:hAnsi="Arial" w:cs="Arial"/>
          <w:i/>
          <w:iCs/>
          <w:sz w:val="20"/>
          <w:szCs w:val="20"/>
        </w:rPr>
        <w:t>Uropathogens</w:t>
      </w:r>
      <w:proofErr w:type="spellEnd"/>
      <w:r w:rsidR="00E25EA2" w:rsidRPr="00E25EA2">
        <w:rPr>
          <w:rFonts w:ascii="Arial" w:hAnsi="Arial" w:cs="Arial"/>
          <w:i/>
          <w:iCs/>
          <w:sz w:val="20"/>
          <w:szCs w:val="20"/>
        </w:rPr>
        <w:t xml:space="preserve">, </w:t>
      </w:r>
      <w:r w:rsidR="00E25EA2" w:rsidRPr="00E25EA2">
        <w:rPr>
          <w:rFonts w:ascii="Arial" w:hAnsi="Arial" w:cs="Arial"/>
          <w:i/>
          <w:iCs/>
          <w:color w:val="1B1B1B"/>
          <w:sz w:val="20"/>
          <w:szCs w:val="20"/>
          <w:shd w:val="clear" w:color="auto" w:fill="FFFFFF"/>
        </w:rPr>
        <w:t xml:space="preserve">K. pneumoniae, E. coli, </w:t>
      </w:r>
      <w:r w:rsidR="00E25EA2" w:rsidRPr="00E25EA2">
        <w:rPr>
          <w:rFonts w:ascii="Arial" w:hAnsi="Arial" w:cs="Arial"/>
          <w:i/>
          <w:iCs/>
          <w:sz w:val="20"/>
          <w:szCs w:val="20"/>
        </w:rPr>
        <w:t>UTI, Antibiotic susceptibility and resistance profiles.</w:t>
      </w:r>
      <w:r w:rsidR="00E25EA2" w:rsidRPr="00251871">
        <w:rPr>
          <w:sz w:val="20"/>
          <w:szCs w:val="20"/>
        </w:rPr>
        <w:t xml:space="preserve"> </w:t>
      </w:r>
    </w:p>
    <w:p w14:paraId="445B570F" w14:textId="77777777" w:rsidR="00505F06" w:rsidRPr="00A24E7E" w:rsidRDefault="00505F06" w:rsidP="00441B6F">
      <w:pPr>
        <w:pStyle w:val="Body"/>
        <w:spacing w:after="0"/>
        <w:rPr>
          <w:rFonts w:ascii="Arial" w:hAnsi="Arial" w:cs="Arial"/>
          <w:i/>
        </w:rPr>
      </w:pPr>
    </w:p>
    <w:p w14:paraId="7F27B27D" w14:textId="333043C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9438665" w14:textId="6E9393D2" w:rsidR="00E25EA2" w:rsidRPr="00E25EA2" w:rsidRDefault="00E25EA2" w:rsidP="00E25EA2">
      <w:pPr>
        <w:jc w:val="both"/>
        <w:rPr>
          <w:rFonts w:ascii="Arial" w:hAnsi="Arial" w:cs="Arial"/>
        </w:rPr>
      </w:pPr>
      <w:r w:rsidRPr="00E25EA2">
        <w:rPr>
          <w:rFonts w:ascii="Arial" w:hAnsi="Arial" w:cs="Arial"/>
        </w:rPr>
        <w:t>The pathological invasion of the urinary tract by microbial species is referred to as Urinary tract infection (UTI).</w:t>
      </w:r>
      <w:r w:rsidRPr="00E25EA2">
        <w:rPr>
          <w:rFonts w:ascii="Arial" w:hAnsi="Arial" w:cs="Arial"/>
          <w:color w:val="1B1B1B"/>
          <w:shd w:val="clear" w:color="auto" w:fill="FFFFFF"/>
        </w:rPr>
        <w:t xml:space="preserve"> </w:t>
      </w:r>
      <w:r w:rsidRPr="00E25EA2">
        <w:rPr>
          <w:rFonts w:ascii="Arial" w:hAnsi="Arial" w:cs="Arial"/>
        </w:rPr>
        <w:t>These infections occur when pathogenic microorganisms predominantly bacteria colonize the urinary tract leading to symptoms such as dysuria, pollakiuria, and lower abdominal discomfort (</w:t>
      </w:r>
      <w:r w:rsidRPr="00E25EA2">
        <w:rPr>
          <w:rStyle w:val="HTMLCite"/>
          <w:rFonts w:ascii="Arial" w:hAnsi="Arial" w:cs="Arial"/>
          <w:color w:val="1B1B1B"/>
          <w:shd w:val="clear" w:color="auto" w:fill="FFFFFF"/>
        </w:rPr>
        <w:t xml:space="preserve">Paczosa </w:t>
      </w:r>
      <w:r w:rsidR="004C4810" w:rsidRPr="004C4810">
        <w:rPr>
          <w:rStyle w:val="HTMLCite"/>
          <w:rFonts w:ascii="Arial" w:hAnsi="Arial" w:cs="Arial"/>
          <w:color w:val="1B1B1B"/>
          <w:shd w:val="clear" w:color="auto" w:fill="FFFFFF"/>
        </w:rPr>
        <w:t>et al</w:t>
      </w:r>
      <w:r w:rsidRPr="00E25EA2">
        <w:rPr>
          <w:rStyle w:val="HTMLCite"/>
          <w:rFonts w:ascii="Arial" w:hAnsi="Arial" w:cs="Arial"/>
          <w:color w:val="1B1B1B"/>
          <w:shd w:val="clear" w:color="auto" w:fill="FFFFFF"/>
        </w:rPr>
        <w:t>., 2016</w:t>
      </w:r>
      <w:r w:rsidRPr="00E25EA2">
        <w:rPr>
          <w:rFonts w:ascii="Arial" w:hAnsi="Arial" w:cs="Arial"/>
        </w:rPr>
        <w:t xml:space="preserve">). Urinary tract infections (UTIs) affect one million people globally each year and are the most common bacterial infections (Flores-Mireles </w:t>
      </w:r>
      <w:r w:rsidR="004C4810" w:rsidRPr="004C4810">
        <w:rPr>
          <w:rFonts w:ascii="Arial" w:hAnsi="Arial" w:cs="Arial"/>
          <w:i/>
          <w:iCs/>
        </w:rPr>
        <w:t>et al</w:t>
      </w:r>
      <w:r w:rsidRPr="00E25EA2">
        <w:rPr>
          <w:rFonts w:ascii="Arial" w:hAnsi="Arial" w:cs="Arial"/>
        </w:rPr>
        <w:t xml:space="preserve">., 2015).  UTI poses a threat to public health and overall </w:t>
      </w:r>
      <w:r w:rsidR="00DB754E" w:rsidRPr="00E25EA2">
        <w:rPr>
          <w:rFonts w:ascii="Arial" w:hAnsi="Arial" w:cs="Arial"/>
        </w:rPr>
        <w:t>wellbeing</w:t>
      </w:r>
      <w:r w:rsidRPr="00E25EA2">
        <w:rPr>
          <w:rFonts w:ascii="Arial" w:hAnsi="Arial" w:cs="Arial"/>
        </w:rPr>
        <w:t xml:space="preserve"> of individuals with regards to morbidity and among other urological cases, has the highest total healthcare cost (Gales </w:t>
      </w:r>
      <w:r w:rsidR="004C4810" w:rsidRPr="004C4810">
        <w:rPr>
          <w:rFonts w:ascii="Arial" w:hAnsi="Arial" w:cs="Arial"/>
          <w:i/>
          <w:iCs/>
        </w:rPr>
        <w:t>et al</w:t>
      </w:r>
      <w:r w:rsidRPr="00E25EA2">
        <w:rPr>
          <w:rFonts w:ascii="Arial" w:hAnsi="Arial" w:cs="Arial"/>
        </w:rPr>
        <w:t xml:space="preserve">., 2002). </w:t>
      </w:r>
      <w:r w:rsidRPr="00E25EA2">
        <w:rPr>
          <w:rFonts w:ascii="Arial" w:hAnsi="Arial" w:cs="Arial"/>
          <w:color w:val="1B1B1B"/>
          <w:shd w:val="clear" w:color="auto" w:fill="FFFFFF"/>
        </w:rPr>
        <w:t xml:space="preserve">In developing countries, UTIs </w:t>
      </w:r>
      <w:r w:rsidRPr="00E25EA2">
        <w:rPr>
          <w:rFonts w:ascii="Arial" w:hAnsi="Arial" w:cs="Arial"/>
        </w:rPr>
        <w:t xml:space="preserve">are reported as one of the most common community and hospital acquired bacterial infections </w:t>
      </w:r>
      <w:r w:rsidRPr="00E25EA2">
        <w:rPr>
          <w:rFonts w:ascii="Arial" w:hAnsi="Arial" w:cs="Arial"/>
          <w:color w:val="1B1B1B"/>
          <w:shd w:val="clear" w:color="auto" w:fill="FFFFFF"/>
        </w:rPr>
        <w:t xml:space="preserve">following lower respiratory tract infections, which account for 24% of these cases </w:t>
      </w:r>
      <w:r w:rsidRPr="00E25EA2">
        <w:rPr>
          <w:rFonts w:ascii="Arial" w:hAnsi="Arial" w:cs="Arial"/>
        </w:rPr>
        <w:t xml:space="preserve">(Egwu </w:t>
      </w:r>
      <w:r w:rsidR="004C4810" w:rsidRPr="004C4810">
        <w:rPr>
          <w:rFonts w:ascii="Arial" w:hAnsi="Arial" w:cs="Arial"/>
          <w:i/>
          <w:iCs/>
        </w:rPr>
        <w:t>et al</w:t>
      </w:r>
      <w:r w:rsidRPr="00E25EA2">
        <w:rPr>
          <w:rFonts w:ascii="Arial" w:hAnsi="Arial" w:cs="Arial"/>
        </w:rPr>
        <w:t xml:space="preserve">., 2023; </w:t>
      </w:r>
      <w:proofErr w:type="spellStart"/>
      <w:r w:rsidRPr="00E25EA2">
        <w:rPr>
          <w:rFonts w:ascii="Arial" w:hAnsi="Arial" w:cs="Arial"/>
          <w:color w:val="1B1B1B"/>
          <w:shd w:val="clear" w:color="auto" w:fill="FFFFFF"/>
        </w:rPr>
        <w:t>Tandogdu</w:t>
      </w:r>
      <w:proofErr w:type="spellEnd"/>
      <w:r w:rsidRPr="00E25EA2">
        <w:rPr>
          <w:rFonts w:ascii="Arial" w:hAnsi="Arial" w:cs="Arial"/>
        </w:rPr>
        <w:t xml:space="preserve"> </w:t>
      </w:r>
      <w:r w:rsidR="004C4810" w:rsidRPr="004C4810">
        <w:rPr>
          <w:rFonts w:ascii="Arial" w:hAnsi="Arial" w:cs="Arial"/>
          <w:i/>
          <w:iCs/>
        </w:rPr>
        <w:t>et al</w:t>
      </w:r>
      <w:r w:rsidRPr="00E25EA2">
        <w:rPr>
          <w:rFonts w:ascii="Arial" w:hAnsi="Arial" w:cs="Arial"/>
        </w:rPr>
        <w:t xml:space="preserve">., 2016; Foxman, 2010). It has been reported that about 50% of women experience symptomatic UTI while about 20% of men experience symptomatic UTI during their lifetime (Griebling, 2005). Diabetes, renal transplantation, renal disease, several structural and neurologic abnormalities that interfere with urine flow was among major complications of UTIs (Kolawole </w:t>
      </w:r>
      <w:r w:rsidR="004C4810" w:rsidRPr="004C4810">
        <w:rPr>
          <w:rFonts w:ascii="Arial" w:hAnsi="Arial" w:cs="Arial"/>
          <w:i/>
          <w:iCs/>
        </w:rPr>
        <w:t>et al</w:t>
      </w:r>
      <w:r w:rsidRPr="00E25EA2">
        <w:rPr>
          <w:rFonts w:ascii="Arial" w:hAnsi="Arial" w:cs="Arial"/>
        </w:rPr>
        <w:t xml:space="preserve">., 2009). </w:t>
      </w:r>
    </w:p>
    <w:p w14:paraId="4E878AFC" w14:textId="77777777" w:rsidR="00E25EA2" w:rsidRPr="00E25EA2" w:rsidRDefault="00E25EA2" w:rsidP="00E25EA2">
      <w:pPr>
        <w:jc w:val="both"/>
        <w:rPr>
          <w:rFonts w:ascii="Arial" w:hAnsi="Arial" w:cs="Arial"/>
        </w:rPr>
      </w:pPr>
    </w:p>
    <w:p w14:paraId="40EBCB86" w14:textId="02A01F25" w:rsidR="00E25EA2" w:rsidRPr="00E25EA2" w:rsidRDefault="00E25EA2" w:rsidP="00E25EA2">
      <w:pPr>
        <w:jc w:val="both"/>
        <w:rPr>
          <w:rFonts w:ascii="Arial" w:hAnsi="Arial" w:cs="Arial"/>
        </w:rPr>
      </w:pPr>
      <w:r w:rsidRPr="00E25EA2">
        <w:rPr>
          <w:rFonts w:ascii="Arial" w:hAnsi="Arial" w:cs="Arial"/>
        </w:rPr>
        <w:t>UTI symptoms vary widely, from being completely asymptomatic to causing severe illness with high fever and potential bloodstream infection. Urinary tract infections are classified into three types: asymptomatic bacteriuria</w:t>
      </w:r>
      <w:r w:rsidR="00DB754E">
        <w:rPr>
          <w:rFonts w:ascii="Arial" w:hAnsi="Arial" w:cs="Arial"/>
        </w:rPr>
        <w:t xml:space="preserve"> (ASB)</w:t>
      </w:r>
      <w:r w:rsidRPr="00E25EA2">
        <w:rPr>
          <w:rFonts w:ascii="Arial" w:hAnsi="Arial" w:cs="Arial"/>
        </w:rPr>
        <w:t>, acute cystitis, and acute pyelonephritis (</w:t>
      </w:r>
      <w:r w:rsidRPr="00E25EA2">
        <w:rPr>
          <w:rStyle w:val="HTMLCite"/>
          <w:rFonts w:ascii="Arial" w:hAnsi="Arial" w:cs="Arial"/>
          <w:color w:val="1B1B1B"/>
          <w:shd w:val="clear" w:color="auto" w:fill="FFFFFF"/>
        </w:rPr>
        <w:t xml:space="preserve">Tullus </w:t>
      </w:r>
      <w:r w:rsidR="004C4810" w:rsidRPr="004C4810">
        <w:rPr>
          <w:rStyle w:val="HTMLCite"/>
          <w:rFonts w:ascii="Arial" w:hAnsi="Arial" w:cs="Arial"/>
          <w:color w:val="1B1B1B"/>
          <w:shd w:val="clear" w:color="auto" w:fill="FFFFFF"/>
        </w:rPr>
        <w:t>et al</w:t>
      </w:r>
      <w:r w:rsidRPr="00E25EA2">
        <w:rPr>
          <w:rStyle w:val="HTMLCite"/>
          <w:rFonts w:ascii="Arial" w:hAnsi="Arial" w:cs="Arial"/>
          <w:color w:val="1B1B1B"/>
          <w:shd w:val="clear" w:color="auto" w:fill="FFFFFF"/>
        </w:rPr>
        <w:t>., 2020</w:t>
      </w:r>
      <w:r w:rsidRPr="00E25EA2">
        <w:rPr>
          <w:rFonts w:ascii="Arial" w:hAnsi="Arial" w:cs="Arial"/>
        </w:rPr>
        <w:t xml:space="preserve">). Pyelonephritis is a kidney infection characterized by the presence of white blood cells (pyuria) and bacteria (bacteriuria) in the urine. Conversely, cystitis is an infection of the lower urinary tract, typically manifesting with symptoms like urgent or frequent urination, painful urination (dysuria), lower abdominal or pubic pain, and strong-smelling urine. According to Smith (2014) and Ugwu </w:t>
      </w:r>
      <w:r w:rsidR="004C4810" w:rsidRPr="004C4810">
        <w:rPr>
          <w:rFonts w:ascii="Arial" w:hAnsi="Arial" w:cs="Arial"/>
          <w:i/>
          <w:iCs/>
        </w:rPr>
        <w:t>et al</w:t>
      </w:r>
      <w:r w:rsidRPr="00E25EA2">
        <w:rPr>
          <w:rFonts w:ascii="Arial" w:hAnsi="Arial" w:cs="Arial"/>
        </w:rPr>
        <w:t>. (2019), </w:t>
      </w:r>
      <w:r w:rsidR="00DB754E" w:rsidRPr="00E25EA2">
        <w:rPr>
          <w:rFonts w:ascii="Arial" w:hAnsi="Arial" w:cs="Arial"/>
        </w:rPr>
        <w:t>asymptomatic bacteriuria</w:t>
      </w:r>
      <w:r w:rsidRPr="00E25EA2">
        <w:rPr>
          <w:rFonts w:ascii="Arial" w:hAnsi="Arial" w:cs="Arial"/>
        </w:rPr>
        <w:t xml:space="preserve"> involves the presence of bacteria in a urine culture at levels up to or exceeding 10</w:t>
      </w:r>
      <w:r w:rsidRPr="00E25EA2">
        <w:rPr>
          <w:rFonts w:ascii="Arial" w:hAnsi="Arial" w:cs="Arial"/>
          <w:vertAlign w:val="superscript"/>
        </w:rPr>
        <w:t>5</w:t>
      </w:r>
      <w:r w:rsidRPr="00E25EA2">
        <w:rPr>
          <w:rFonts w:ascii="Arial" w:hAnsi="Arial" w:cs="Arial"/>
        </w:rPr>
        <w:t xml:space="preserve"> CFU/mL in a person lacking clinical symptoms, a condition that may be cleared by the host’s natural defenses. The vast majority of UTIs present as asymptomatic bacteriuria, primarily affecting the lower urinary tract. In some people, such as pregnant or menopausal women, the elderly, diabetics, prepubertal children, and patients with vesicoureteral reflux, bacteria can ascend to the bladder and kidney, making upper UTIs more likely. According to Stamm and Hooton (2013), UTIs can be symptomatic or asymptomatic, affecting either the lower urinary tract alone or both upper and lower tracts, sometimes localized to one specific area. These sites may include the urethra causing urethritis, prostrate causing </w:t>
      </w:r>
      <w:proofErr w:type="spellStart"/>
      <w:r w:rsidRPr="00E25EA2">
        <w:rPr>
          <w:rFonts w:ascii="Arial" w:hAnsi="Arial" w:cs="Arial"/>
        </w:rPr>
        <w:t>prostitis</w:t>
      </w:r>
      <w:proofErr w:type="spellEnd"/>
      <w:r w:rsidRPr="00E25EA2">
        <w:rPr>
          <w:rFonts w:ascii="Arial" w:hAnsi="Arial" w:cs="Arial"/>
        </w:rPr>
        <w:t xml:space="preserve">, bladder causing cystitis and kidney causing pyelonephritis. However, once any part of the body is infected, the whole body become at risk of invasion. </w:t>
      </w:r>
    </w:p>
    <w:p w14:paraId="30EBB5B0" w14:textId="77777777" w:rsidR="00E25EA2" w:rsidRPr="00E25EA2" w:rsidRDefault="00E25EA2" w:rsidP="00E25EA2">
      <w:pPr>
        <w:jc w:val="both"/>
        <w:rPr>
          <w:rFonts w:ascii="Arial" w:hAnsi="Arial" w:cs="Arial"/>
        </w:rPr>
      </w:pPr>
    </w:p>
    <w:p w14:paraId="5DA5EAE4" w14:textId="4E22C994" w:rsidR="00E25EA2" w:rsidRPr="00E25EA2" w:rsidRDefault="00E25EA2" w:rsidP="00E25EA2">
      <w:pPr>
        <w:jc w:val="both"/>
        <w:rPr>
          <w:rFonts w:ascii="Arial" w:hAnsi="Arial" w:cs="Arial"/>
        </w:rPr>
      </w:pPr>
      <w:r w:rsidRPr="00E25EA2">
        <w:rPr>
          <w:rFonts w:ascii="Arial" w:hAnsi="Arial" w:cs="Arial"/>
        </w:rPr>
        <w:t>Several predisposing factors usually complicate the occurrence of UTIs (</w:t>
      </w:r>
      <w:proofErr w:type="spellStart"/>
      <w:r w:rsidRPr="00E25EA2">
        <w:rPr>
          <w:rFonts w:ascii="Arial" w:hAnsi="Arial" w:cs="Arial"/>
        </w:rPr>
        <w:t>Wagenlehner</w:t>
      </w:r>
      <w:proofErr w:type="spellEnd"/>
      <w:r w:rsidRPr="00E25EA2">
        <w:rPr>
          <w:rFonts w:ascii="Arial" w:hAnsi="Arial" w:cs="Arial"/>
        </w:rPr>
        <w:t xml:space="preserve"> </w:t>
      </w:r>
      <w:r w:rsidR="004C4810" w:rsidRPr="004C4810">
        <w:rPr>
          <w:rFonts w:ascii="Arial" w:hAnsi="Arial" w:cs="Arial"/>
          <w:i/>
          <w:iCs/>
        </w:rPr>
        <w:t>et al</w:t>
      </w:r>
      <w:r w:rsidRPr="00E25EA2">
        <w:rPr>
          <w:rFonts w:ascii="Arial" w:hAnsi="Arial" w:cs="Arial"/>
        </w:rPr>
        <w:t xml:space="preserve">., 2012). Urologic devices such as foley catheters </w:t>
      </w:r>
      <w:r w:rsidR="00DB754E" w:rsidRPr="00E25EA2">
        <w:rPr>
          <w:rFonts w:ascii="Arial" w:hAnsi="Arial" w:cs="Arial"/>
        </w:rPr>
        <w:t>have</w:t>
      </w:r>
      <w:r w:rsidRPr="00E25EA2">
        <w:rPr>
          <w:rFonts w:ascii="Arial" w:hAnsi="Arial" w:cs="Arial"/>
        </w:rPr>
        <w:t xml:space="preserve"> been identified in more than 80% of UTIs cases and other risk factors including clinical settings has enhanced the existence of several </w:t>
      </w:r>
      <w:proofErr w:type="spellStart"/>
      <w:r w:rsidRPr="00E25EA2">
        <w:rPr>
          <w:rFonts w:ascii="Arial" w:hAnsi="Arial" w:cs="Arial"/>
        </w:rPr>
        <w:t>uropathogens</w:t>
      </w:r>
      <w:proofErr w:type="spellEnd"/>
      <w:r w:rsidRPr="00E25EA2">
        <w:rPr>
          <w:rFonts w:ascii="Arial" w:hAnsi="Arial" w:cs="Arial"/>
        </w:rPr>
        <w:t xml:space="preserve"> (Vásquez </w:t>
      </w:r>
      <w:r w:rsidR="004C4810" w:rsidRPr="004C4810">
        <w:rPr>
          <w:rFonts w:ascii="Arial" w:hAnsi="Arial" w:cs="Arial"/>
          <w:i/>
          <w:iCs/>
        </w:rPr>
        <w:t>et al</w:t>
      </w:r>
      <w:r w:rsidRPr="00E25EA2">
        <w:rPr>
          <w:rFonts w:ascii="Arial" w:hAnsi="Arial" w:cs="Arial"/>
        </w:rPr>
        <w:t xml:space="preserve">., 2017; Oh </w:t>
      </w:r>
      <w:r w:rsidR="004C4810" w:rsidRPr="004C4810">
        <w:rPr>
          <w:rFonts w:ascii="Arial" w:hAnsi="Arial" w:cs="Arial"/>
          <w:i/>
          <w:iCs/>
        </w:rPr>
        <w:t>et al</w:t>
      </w:r>
      <w:r w:rsidRPr="00E25EA2">
        <w:rPr>
          <w:rFonts w:ascii="Arial" w:hAnsi="Arial" w:cs="Arial"/>
        </w:rPr>
        <w:t xml:space="preserve">., 2014). Urinary tract infections (UTIs) stem from diverse pathogens including both Gram-positive and Gram-negative bacteria as well as fungi. According to the epidemiology of UTIs,  </w:t>
      </w:r>
      <w:proofErr w:type="spellStart"/>
      <w:r w:rsidRPr="00E25EA2">
        <w:rPr>
          <w:rFonts w:ascii="Arial" w:hAnsi="Arial" w:cs="Arial"/>
        </w:rPr>
        <w:t>uropathogenic</w:t>
      </w:r>
      <w:proofErr w:type="spellEnd"/>
      <w:r w:rsidRPr="00E25EA2">
        <w:rPr>
          <w:rFonts w:ascii="Arial" w:hAnsi="Arial" w:cs="Arial"/>
        </w:rPr>
        <w:t> </w:t>
      </w:r>
      <w:r w:rsidRPr="00E25EA2">
        <w:rPr>
          <w:rFonts w:ascii="Arial" w:hAnsi="Arial" w:cs="Arial"/>
          <w:i/>
          <w:iCs/>
        </w:rPr>
        <w:t>E. coli</w:t>
      </w:r>
      <w:r w:rsidRPr="00E25EA2">
        <w:rPr>
          <w:rFonts w:ascii="Arial" w:hAnsi="Arial" w:cs="Arial"/>
        </w:rPr>
        <w:t> (UPEC) are the main pathogenic factor for UTIs, accounting for about 75% of uncomplicated UTI cases; however, less common pathogens, such as </w:t>
      </w:r>
      <w:r w:rsidRPr="00E25EA2">
        <w:rPr>
          <w:rFonts w:ascii="Arial" w:hAnsi="Arial" w:cs="Arial"/>
          <w:i/>
          <w:iCs/>
        </w:rPr>
        <w:t>Klebsiella pneumoniae</w:t>
      </w:r>
      <w:r w:rsidRPr="00E25EA2">
        <w:rPr>
          <w:rFonts w:ascii="Arial" w:hAnsi="Arial" w:cs="Arial"/>
        </w:rPr>
        <w:t> (</w:t>
      </w:r>
      <w:r w:rsidRPr="00E25EA2">
        <w:rPr>
          <w:rFonts w:ascii="Arial" w:hAnsi="Arial" w:cs="Arial"/>
          <w:i/>
          <w:iCs/>
        </w:rPr>
        <w:t>K. pneumonia</w:t>
      </w:r>
      <w:r w:rsidRPr="00E25EA2">
        <w:rPr>
          <w:rFonts w:ascii="Arial" w:hAnsi="Arial" w:cs="Arial"/>
        </w:rPr>
        <w:t>), </w:t>
      </w:r>
      <w:r w:rsidRPr="00E25EA2">
        <w:rPr>
          <w:rFonts w:ascii="Arial" w:hAnsi="Arial" w:cs="Arial"/>
          <w:i/>
          <w:iCs/>
        </w:rPr>
        <w:t>Staphylococcus saprophyticus</w:t>
      </w:r>
      <w:r w:rsidRPr="00E25EA2">
        <w:rPr>
          <w:rFonts w:ascii="Arial" w:hAnsi="Arial" w:cs="Arial"/>
        </w:rPr>
        <w:t> (</w:t>
      </w:r>
      <w:r w:rsidRPr="00E25EA2">
        <w:rPr>
          <w:rFonts w:ascii="Arial" w:hAnsi="Arial" w:cs="Arial"/>
          <w:i/>
          <w:iCs/>
        </w:rPr>
        <w:t>S. saprophyticus</w:t>
      </w:r>
      <w:r w:rsidRPr="00E25EA2">
        <w:rPr>
          <w:rFonts w:ascii="Arial" w:hAnsi="Arial" w:cs="Arial"/>
        </w:rPr>
        <w:t>), </w:t>
      </w:r>
      <w:r w:rsidRPr="00E25EA2">
        <w:rPr>
          <w:rFonts w:ascii="Arial" w:hAnsi="Arial" w:cs="Arial"/>
          <w:i/>
          <w:iCs/>
        </w:rPr>
        <w:t>Enterococcus faecalis</w:t>
      </w:r>
      <w:r w:rsidRPr="00E25EA2">
        <w:rPr>
          <w:rFonts w:ascii="Arial" w:hAnsi="Arial" w:cs="Arial"/>
        </w:rPr>
        <w:t> (</w:t>
      </w:r>
      <w:r w:rsidRPr="00E25EA2">
        <w:rPr>
          <w:rFonts w:ascii="Arial" w:hAnsi="Arial" w:cs="Arial"/>
          <w:i/>
          <w:iCs/>
        </w:rPr>
        <w:t>E. faecalis</w:t>
      </w:r>
      <w:r w:rsidRPr="00E25EA2">
        <w:rPr>
          <w:rFonts w:ascii="Arial" w:hAnsi="Arial" w:cs="Arial"/>
        </w:rPr>
        <w:t>), group B </w:t>
      </w:r>
      <w:r w:rsidRPr="00E25EA2">
        <w:rPr>
          <w:rFonts w:ascii="Arial" w:hAnsi="Arial" w:cs="Arial"/>
          <w:i/>
          <w:iCs/>
        </w:rPr>
        <w:t>Streptococcus</w:t>
      </w:r>
      <w:r w:rsidRPr="00E25EA2">
        <w:rPr>
          <w:rFonts w:ascii="Arial" w:hAnsi="Arial" w:cs="Arial"/>
        </w:rPr>
        <w:t> (GBS), </w:t>
      </w:r>
      <w:r w:rsidRPr="00E25EA2">
        <w:rPr>
          <w:rFonts w:ascii="Arial" w:hAnsi="Arial" w:cs="Arial"/>
          <w:i/>
          <w:iCs/>
        </w:rPr>
        <w:t>Proteus mirabilis</w:t>
      </w:r>
      <w:r w:rsidRPr="00E25EA2">
        <w:rPr>
          <w:rFonts w:ascii="Arial" w:hAnsi="Arial" w:cs="Arial"/>
        </w:rPr>
        <w:t> (</w:t>
      </w:r>
      <w:r w:rsidRPr="00E25EA2">
        <w:rPr>
          <w:rFonts w:ascii="Arial" w:hAnsi="Arial" w:cs="Arial"/>
          <w:i/>
          <w:iCs/>
        </w:rPr>
        <w:t>P. mirabilis</w:t>
      </w:r>
      <w:r w:rsidRPr="00E25EA2">
        <w:rPr>
          <w:rFonts w:ascii="Arial" w:hAnsi="Arial" w:cs="Arial"/>
        </w:rPr>
        <w:t>), </w:t>
      </w:r>
      <w:r w:rsidRPr="00E25EA2">
        <w:rPr>
          <w:rFonts w:ascii="Arial" w:hAnsi="Arial" w:cs="Arial"/>
          <w:i/>
          <w:iCs/>
        </w:rPr>
        <w:t>Pseudomonas aeruginosa</w:t>
      </w:r>
      <w:r w:rsidRPr="00E25EA2">
        <w:rPr>
          <w:rFonts w:ascii="Arial" w:hAnsi="Arial" w:cs="Arial"/>
        </w:rPr>
        <w:t> (</w:t>
      </w:r>
      <w:r w:rsidRPr="00E25EA2">
        <w:rPr>
          <w:rFonts w:ascii="Arial" w:hAnsi="Arial" w:cs="Arial"/>
          <w:i/>
          <w:iCs/>
        </w:rPr>
        <w:t>P. aeruginosa</w:t>
      </w:r>
      <w:r w:rsidRPr="00E25EA2">
        <w:rPr>
          <w:rFonts w:ascii="Arial" w:hAnsi="Arial" w:cs="Arial"/>
        </w:rPr>
        <w:t>), </w:t>
      </w:r>
      <w:r w:rsidRPr="00E25EA2">
        <w:rPr>
          <w:rFonts w:ascii="Arial" w:hAnsi="Arial" w:cs="Arial"/>
          <w:i/>
          <w:iCs/>
        </w:rPr>
        <w:t>Staphylococcus aureus</w:t>
      </w:r>
      <w:r w:rsidRPr="00E25EA2">
        <w:rPr>
          <w:rFonts w:ascii="Arial" w:hAnsi="Arial" w:cs="Arial"/>
        </w:rPr>
        <w:t> (</w:t>
      </w:r>
      <w:r w:rsidRPr="00E25EA2">
        <w:rPr>
          <w:rFonts w:ascii="Arial" w:hAnsi="Arial" w:cs="Arial"/>
          <w:i/>
          <w:iCs/>
        </w:rPr>
        <w:t>S. aureus</w:t>
      </w:r>
      <w:r w:rsidRPr="00E25EA2">
        <w:rPr>
          <w:rFonts w:ascii="Arial" w:hAnsi="Arial" w:cs="Arial"/>
        </w:rPr>
        <w:t xml:space="preserve">), and other pathogenic bacteria cause opportunistic UTIs (Mattoo </w:t>
      </w:r>
      <w:r w:rsidR="004C4810" w:rsidRPr="004C4810">
        <w:rPr>
          <w:rFonts w:ascii="Arial" w:hAnsi="Arial" w:cs="Arial"/>
          <w:i/>
          <w:iCs/>
        </w:rPr>
        <w:t>et al</w:t>
      </w:r>
      <w:r w:rsidRPr="00E25EA2">
        <w:rPr>
          <w:rFonts w:ascii="Arial" w:hAnsi="Arial" w:cs="Arial"/>
        </w:rPr>
        <w:t xml:space="preserve">., 2021; Simões </w:t>
      </w:r>
      <w:r w:rsidR="004C4810" w:rsidRPr="004C4810">
        <w:rPr>
          <w:rFonts w:ascii="Arial" w:hAnsi="Arial" w:cs="Arial"/>
          <w:i/>
          <w:iCs/>
        </w:rPr>
        <w:t>et al</w:t>
      </w:r>
      <w:r w:rsidRPr="00E25EA2">
        <w:rPr>
          <w:rFonts w:ascii="Arial" w:hAnsi="Arial" w:cs="Arial"/>
        </w:rPr>
        <w:t xml:space="preserve">., 2020; Flores-Mireles </w:t>
      </w:r>
      <w:r w:rsidR="004C4810" w:rsidRPr="004C4810">
        <w:rPr>
          <w:rFonts w:ascii="Arial" w:hAnsi="Arial" w:cs="Arial"/>
          <w:i/>
          <w:iCs/>
        </w:rPr>
        <w:t>et al</w:t>
      </w:r>
      <w:r w:rsidRPr="00E25EA2">
        <w:rPr>
          <w:rFonts w:ascii="Arial" w:hAnsi="Arial" w:cs="Arial"/>
        </w:rPr>
        <w:t>., 2015). </w:t>
      </w:r>
    </w:p>
    <w:p w14:paraId="41311162" w14:textId="77777777" w:rsidR="00E25EA2" w:rsidRPr="00E25EA2" w:rsidRDefault="00E25EA2" w:rsidP="00E25EA2">
      <w:pPr>
        <w:jc w:val="both"/>
        <w:rPr>
          <w:rFonts w:ascii="Arial" w:hAnsi="Arial" w:cs="Arial"/>
        </w:rPr>
      </w:pPr>
    </w:p>
    <w:p w14:paraId="1274AD4D" w14:textId="67A36D2A" w:rsidR="00E25EA2" w:rsidRPr="00E25EA2" w:rsidRDefault="00E25EA2" w:rsidP="00E25EA2">
      <w:pPr>
        <w:jc w:val="both"/>
        <w:rPr>
          <w:rFonts w:ascii="Arial" w:hAnsi="Arial" w:cs="Arial"/>
        </w:rPr>
      </w:pPr>
      <w:r w:rsidRPr="00E25EA2">
        <w:rPr>
          <w:rFonts w:ascii="Arial" w:hAnsi="Arial" w:cs="Arial"/>
        </w:rPr>
        <w:lastRenderedPageBreak/>
        <w:t>The worldwide rise of resistant Gram-negative bacteria, particularly </w:t>
      </w:r>
      <w:r w:rsidRPr="00E25EA2">
        <w:rPr>
          <w:rFonts w:ascii="Arial" w:hAnsi="Arial" w:cs="Arial"/>
          <w:i/>
          <w:iCs/>
        </w:rPr>
        <w:t>E. coli</w:t>
      </w:r>
      <w:r w:rsidRPr="00E25EA2">
        <w:rPr>
          <w:rFonts w:ascii="Arial" w:hAnsi="Arial" w:cs="Arial"/>
        </w:rPr>
        <w:t> and </w:t>
      </w:r>
      <w:r w:rsidRPr="00E25EA2">
        <w:rPr>
          <w:rFonts w:ascii="Arial" w:hAnsi="Arial" w:cs="Arial"/>
          <w:i/>
          <w:iCs/>
        </w:rPr>
        <w:t>K. pneumoniae</w:t>
      </w:r>
      <w:r w:rsidRPr="00E25EA2">
        <w:rPr>
          <w:rFonts w:ascii="Arial" w:hAnsi="Arial" w:cs="Arial"/>
        </w:rPr>
        <w:t xml:space="preserve">, poses a severe threat, as these two pathogens drive most invasive, treatment-resistant infections (ECDPC, 2013; Van Duijn </w:t>
      </w:r>
      <w:r w:rsidR="004C4810" w:rsidRPr="004C4810">
        <w:rPr>
          <w:rFonts w:ascii="Arial" w:hAnsi="Arial" w:cs="Arial"/>
          <w:i/>
          <w:iCs/>
        </w:rPr>
        <w:t>et al</w:t>
      </w:r>
      <w:r w:rsidRPr="00E25EA2">
        <w:rPr>
          <w:rFonts w:ascii="Arial" w:hAnsi="Arial" w:cs="Arial"/>
        </w:rPr>
        <w:t xml:space="preserve">., 2011; </w:t>
      </w:r>
      <w:proofErr w:type="spellStart"/>
      <w:r w:rsidRPr="00E25EA2">
        <w:rPr>
          <w:rFonts w:ascii="Arial" w:hAnsi="Arial" w:cs="Arial"/>
        </w:rPr>
        <w:t>Priamchuk</w:t>
      </w:r>
      <w:proofErr w:type="spellEnd"/>
      <w:r w:rsidRPr="00E25EA2">
        <w:rPr>
          <w:rFonts w:ascii="Arial" w:hAnsi="Arial" w:cs="Arial"/>
        </w:rPr>
        <w:t xml:space="preserve"> </w:t>
      </w:r>
      <w:r w:rsidR="004C4810" w:rsidRPr="004C4810">
        <w:rPr>
          <w:rFonts w:ascii="Arial" w:hAnsi="Arial" w:cs="Arial"/>
          <w:i/>
          <w:iCs/>
        </w:rPr>
        <w:t>et al</w:t>
      </w:r>
      <w:r w:rsidRPr="00E25EA2">
        <w:rPr>
          <w:rFonts w:ascii="Arial" w:hAnsi="Arial" w:cs="Arial"/>
        </w:rPr>
        <w:t xml:space="preserve">., 2010; </w:t>
      </w:r>
      <w:r w:rsidRPr="00E25EA2">
        <w:rPr>
          <w:rFonts w:ascii="Arial" w:hAnsi="Arial" w:cs="Arial"/>
          <w:bCs/>
        </w:rPr>
        <w:t xml:space="preserve">Alvarez-Uria </w:t>
      </w:r>
      <w:r w:rsidR="004C4810" w:rsidRPr="004C4810">
        <w:rPr>
          <w:rFonts w:ascii="Arial" w:hAnsi="Arial" w:cs="Arial"/>
          <w:bCs/>
          <w:i/>
          <w:iCs/>
        </w:rPr>
        <w:t>et al</w:t>
      </w:r>
      <w:r w:rsidRPr="00E25EA2">
        <w:rPr>
          <w:rFonts w:ascii="Arial" w:hAnsi="Arial" w:cs="Arial"/>
          <w:bCs/>
        </w:rPr>
        <w:t>., 2018</w:t>
      </w:r>
      <w:r w:rsidRPr="00E25EA2">
        <w:rPr>
          <w:rFonts w:ascii="Arial" w:hAnsi="Arial" w:cs="Arial"/>
        </w:rPr>
        <w:t>). The emergence and diffusion of multi</w:t>
      </w:r>
      <w:r w:rsidR="004C4810" w:rsidRPr="00E25EA2">
        <w:rPr>
          <w:rFonts w:ascii="Arial" w:hAnsi="Arial" w:cs="Arial"/>
        </w:rPr>
        <w:t>drug-resistant</w:t>
      </w:r>
      <w:r w:rsidRPr="00E25EA2">
        <w:rPr>
          <w:rFonts w:ascii="Arial" w:hAnsi="Arial" w:cs="Arial"/>
        </w:rPr>
        <w:t xml:space="preserve"> strains of </w:t>
      </w:r>
      <w:r w:rsidRPr="00E25EA2">
        <w:rPr>
          <w:rFonts w:ascii="Arial" w:hAnsi="Arial" w:cs="Arial"/>
          <w:i/>
        </w:rPr>
        <w:t>E. coli</w:t>
      </w:r>
      <w:r w:rsidRPr="00E25EA2">
        <w:rPr>
          <w:rFonts w:ascii="Arial" w:hAnsi="Arial" w:cs="Arial"/>
        </w:rPr>
        <w:t xml:space="preserve"> is complicating the treatment of several serious infections. Among key contributors to the spread of antibiotic resistance, environment stands out, serving as an unlimited reservoir of several antibiotic resistance genes. </w:t>
      </w:r>
      <w:r w:rsidRPr="00E25EA2">
        <w:rPr>
          <w:rFonts w:ascii="Arial" w:hAnsi="Arial" w:cs="Arial"/>
          <w:i/>
        </w:rPr>
        <w:t>E. coli</w:t>
      </w:r>
      <w:r w:rsidRPr="00E25EA2">
        <w:rPr>
          <w:rFonts w:ascii="Arial" w:hAnsi="Arial" w:cs="Arial"/>
        </w:rPr>
        <w:t xml:space="preserve"> may therefore acquire these resistance genes from the environment and conversely spread it to potential pathogens within and outside the habitats (Da Costa </w:t>
      </w:r>
      <w:r w:rsidR="004C4810" w:rsidRPr="004C4810">
        <w:rPr>
          <w:rFonts w:ascii="Arial" w:hAnsi="Arial" w:cs="Arial"/>
          <w:i/>
          <w:iCs/>
        </w:rPr>
        <w:t>et al</w:t>
      </w:r>
      <w:r w:rsidRPr="00E25EA2">
        <w:rPr>
          <w:rFonts w:ascii="Arial" w:hAnsi="Arial" w:cs="Arial"/>
        </w:rPr>
        <w:t xml:space="preserve">., 2013). </w:t>
      </w:r>
      <w:proofErr w:type="spellStart"/>
      <w:r w:rsidRPr="00E25EA2">
        <w:rPr>
          <w:rFonts w:ascii="Arial" w:hAnsi="Arial" w:cs="Arial"/>
        </w:rPr>
        <w:t>Uropathogenic</w:t>
      </w:r>
      <w:proofErr w:type="spellEnd"/>
      <w:r w:rsidRPr="00E25EA2">
        <w:rPr>
          <w:rFonts w:ascii="Arial" w:hAnsi="Arial" w:cs="Arial"/>
        </w:rPr>
        <w:t xml:space="preserve"> E. coli (UPECs) are the main culprits behind urinary tract infections (</w:t>
      </w:r>
      <w:proofErr w:type="spellStart"/>
      <w:r w:rsidRPr="00E25EA2">
        <w:rPr>
          <w:rFonts w:ascii="Arial" w:hAnsi="Arial" w:cs="Arial"/>
        </w:rPr>
        <w:t>Subashchandrabose</w:t>
      </w:r>
      <w:proofErr w:type="spellEnd"/>
      <w:r w:rsidRPr="00E25EA2">
        <w:rPr>
          <w:rFonts w:ascii="Arial" w:hAnsi="Arial" w:cs="Arial"/>
        </w:rPr>
        <w:t xml:space="preserve"> &amp; Mobley, 2015; García-García </w:t>
      </w:r>
      <w:r w:rsidR="004C4810" w:rsidRPr="004C4810">
        <w:rPr>
          <w:rFonts w:ascii="Arial" w:hAnsi="Arial" w:cs="Arial"/>
          <w:i/>
          <w:iCs/>
        </w:rPr>
        <w:t>et al</w:t>
      </w:r>
      <w:r w:rsidRPr="00E25EA2">
        <w:rPr>
          <w:rFonts w:ascii="Arial" w:hAnsi="Arial" w:cs="Arial"/>
        </w:rPr>
        <w:t>., 2025). As expected, it appears that the virulence of UPECs cannot be ascribed to the carriage of a given factor, but rather to the coordinate expression of multiple genes depending on the urinary districts they colonize (</w:t>
      </w:r>
      <w:proofErr w:type="spellStart"/>
      <w:r w:rsidRPr="00E25EA2">
        <w:rPr>
          <w:rFonts w:ascii="Arial" w:hAnsi="Arial" w:cs="Arial"/>
        </w:rPr>
        <w:t>Zagaglia</w:t>
      </w:r>
      <w:proofErr w:type="spellEnd"/>
      <w:r w:rsidRPr="00E25EA2">
        <w:rPr>
          <w:rFonts w:ascii="Arial" w:hAnsi="Arial" w:cs="Arial"/>
        </w:rPr>
        <w:t xml:space="preserve"> </w:t>
      </w:r>
      <w:r w:rsidR="004C4810" w:rsidRPr="004C4810">
        <w:rPr>
          <w:rFonts w:ascii="Arial" w:hAnsi="Arial" w:cs="Arial"/>
          <w:i/>
          <w:iCs/>
        </w:rPr>
        <w:t>et al</w:t>
      </w:r>
      <w:r w:rsidRPr="00E25EA2">
        <w:rPr>
          <w:rFonts w:ascii="Arial" w:hAnsi="Arial" w:cs="Arial"/>
        </w:rPr>
        <w:t xml:space="preserve">., 2022; Zhou </w:t>
      </w:r>
      <w:r w:rsidR="004C4810" w:rsidRPr="004C4810">
        <w:rPr>
          <w:rFonts w:ascii="Arial" w:hAnsi="Arial" w:cs="Arial"/>
          <w:i/>
          <w:iCs/>
        </w:rPr>
        <w:t>et al</w:t>
      </w:r>
      <w:r w:rsidRPr="00E25EA2">
        <w:rPr>
          <w:rFonts w:ascii="Arial" w:hAnsi="Arial" w:cs="Arial"/>
        </w:rPr>
        <w:t xml:space="preserve">., 2023; Whelan </w:t>
      </w:r>
      <w:r w:rsidR="004C4810" w:rsidRPr="004C4810">
        <w:rPr>
          <w:rFonts w:ascii="Arial" w:hAnsi="Arial" w:cs="Arial"/>
          <w:i/>
          <w:iCs/>
        </w:rPr>
        <w:t>et al</w:t>
      </w:r>
      <w:r w:rsidRPr="00E25EA2">
        <w:rPr>
          <w:rFonts w:ascii="Arial" w:hAnsi="Arial" w:cs="Arial"/>
        </w:rPr>
        <w:t xml:space="preserve">., 2023). To successfully colonize the urinary tract, </w:t>
      </w:r>
      <w:proofErr w:type="spellStart"/>
      <w:r w:rsidRPr="00E25EA2">
        <w:rPr>
          <w:rFonts w:ascii="Arial" w:hAnsi="Arial" w:cs="Arial"/>
        </w:rPr>
        <w:t>uropathogenic</w:t>
      </w:r>
      <w:proofErr w:type="spellEnd"/>
      <w:r w:rsidRPr="00E25EA2">
        <w:rPr>
          <w:rFonts w:ascii="Arial" w:hAnsi="Arial" w:cs="Arial"/>
        </w:rPr>
        <w:t> </w:t>
      </w:r>
      <w:r w:rsidRPr="00E25EA2">
        <w:rPr>
          <w:rFonts w:ascii="Arial" w:hAnsi="Arial" w:cs="Arial"/>
          <w:i/>
          <w:iCs/>
        </w:rPr>
        <w:t>E. coli</w:t>
      </w:r>
      <w:r w:rsidRPr="00E25EA2">
        <w:rPr>
          <w:rFonts w:ascii="Arial" w:hAnsi="Arial" w:cs="Arial"/>
        </w:rPr>
        <w:t xml:space="preserve"> (UPEC) must first survive harsh conditions, including urinary flow, nutrient scarcity, low oxygen levels, and high urea concentrations (Neugent </w:t>
      </w:r>
      <w:r w:rsidR="004C4810" w:rsidRPr="004C4810">
        <w:rPr>
          <w:rFonts w:ascii="Arial" w:hAnsi="Arial" w:cs="Arial"/>
          <w:i/>
          <w:iCs/>
        </w:rPr>
        <w:t>et al</w:t>
      </w:r>
      <w:r w:rsidRPr="00E25EA2">
        <w:rPr>
          <w:rFonts w:ascii="Arial" w:hAnsi="Arial" w:cs="Arial"/>
        </w:rPr>
        <w:t xml:space="preserve">., 2020). They overcome these challenges through high adhesiveness and persistence. Once in the bladder, these bacteria penetrate the urothelial cells, where they replicate and form intracellular bacterial communities (IBCs) (Conover </w:t>
      </w:r>
      <w:r w:rsidR="004C4810" w:rsidRPr="004C4810">
        <w:rPr>
          <w:rFonts w:ascii="Arial" w:hAnsi="Arial" w:cs="Arial"/>
          <w:i/>
          <w:iCs/>
        </w:rPr>
        <w:t>et al</w:t>
      </w:r>
      <w:r w:rsidRPr="00E25EA2">
        <w:rPr>
          <w:rFonts w:ascii="Arial" w:hAnsi="Arial" w:cs="Arial"/>
        </w:rPr>
        <w:t>., 2016). Additionally, UPECs can form quiescent intracellular reservoirs (QIRs) that may contain non-replicating bacteria and are able to trigger reactivation by the exfoliation of superficial epithelial cells. This releases bacteria back into the bladder to cause a recurrent infection, restarting the IBC cycle (</w:t>
      </w:r>
      <w:proofErr w:type="spellStart"/>
      <w:r w:rsidRPr="00E25EA2">
        <w:rPr>
          <w:rFonts w:ascii="Arial" w:hAnsi="Arial" w:cs="Arial"/>
        </w:rPr>
        <w:t>Tamadonfar</w:t>
      </w:r>
      <w:proofErr w:type="spellEnd"/>
      <w:r w:rsidRPr="00E25EA2">
        <w:rPr>
          <w:rFonts w:ascii="Arial" w:hAnsi="Arial" w:cs="Arial"/>
        </w:rPr>
        <w:t xml:space="preserve"> </w:t>
      </w:r>
      <w:r w:rsidR="004C4810" w:rsidRPr="004C4810">
        <w:rPr>
          <w:rFonts w:ascii="Arial" w:hAnsi="Arial" w:cs="Arial"/>
          <w:i/>
          <w:iCs/>
        </w:rPr>
        <w:t>et al</w:t>
      </w:r>
      <w:r w:rsidRPr="00E25EA2">
        <w:rPr>
          <w:rFonts w:ascii="Arial" w:hAnsi="Arial" w:cs="Arial"/>
        </w:rPr>
        <w:t xml:space="preserve">., 2019; Sharma </w:t>
      </w:r>
      <w:r w:rsidR="004C4810" w:rsidRPr="004C4810">
        <w:rPr>
          <w:rFonts w:ascii="Arial" w:hAnsi="Arial" w:cs="Arial"/>
          <w:i/>
          <w:iCs/>
        </w:rPr>
        <w:t>et al</w:t>
      </w:r>
      <w:r w:rsidRPr="00E25EA2">
        <w:rPr>
          <w:rFonts w:ascii="Arial" w:hAnsi="Arial" w:cs="Arial"/>
        </w:rPr>
        <w:t xml:space="preserve">., 2021; </w:t>
      </w:r>
      <w:proofErr w:type="spellStart"/>
      <w:r w:rsidRPr="00E25EA2">
        <w:rPr>
          <w:rFonts w:ascii="Arial" w:hAnsi="Arial" w:cs="Arial"/>
        </w:rPr>
        <w:t>Zagaglia</w:t>
      </w:r>
      <w:proofErr w:type="spellEnd"/>
      <w:r w:rsidRPr="00E25EA2">
        <w:rPr>
          <w:rFonts w:ascii="Arial" w:hAnsi="Arial" w:cs="Arial"/>
        </w:rPr>
        <w:t xml:space="preserve"> </w:t>
      </w:r>
      <w:r w:rsidR="004C4810" w:rsidRPr="004C4810">
        <w:rPr>
          <w:rFonts w:ascii="Arial" w:hAnsi="Arial" w:cs="Arial"/>
          <w:i/>
          <w:iCs/>
        </w:rPr>
        <w:t>et al</w:t>
      </w:r>
      <w:r w:rsidRPr="00E25EA2">
        <w:rPr>
          <w:rFonts w:ascii="Arial" w:hAnsi="Arial" w:cs="Arial"/>
        </w:rPr>
        <w:t>., 2022).</w:t>
      </w:r>
    </w:p>
    <w:p w14:paraId="21292E81" w14:textId="77777777" w:rsidR="00E25EA2" w:rsidRPr="00E25EA2" w:rsidRDefault="00E25EA2" w:rsidP="00E25EA2">
      <w:pPr>
        <w:jc w:val="both"/>
        <w:rPr>
          <w:rFonts w:ascii="Arial" w:hAnsi="Arial" w:cs="Arial"/>
          <w:iCs/>
        </w:rPr>
      </w:pPr>
    </w:p>
    <w:p w14:paraId="79C1DB11" w14:textId="3014E9F7" w:rsidR="00E25EA2" w:rsidRPr="00E25EA2" w:rsidRDefault="00E25EA2" w:rsidP="00E25EA2">
      <w:pPr>
        <w:jc w:val="both"/>
        <w:rPr>
          <w:rFonts w:ascii="Arial" w:hAnsi="Arial" w:cs="Arial"/>
        </w:rPr>
      </w:pPr>
      <w:r w:rsidRPr="00E25EA2">
        <w:rPr>
          <w:rFonts w:ascii="Arial" w:hAnsi="Arial" w:cs="Arial"/>
          <w:i/>
        </w:rPr>
        <w:t>K. pneumoniae</w:t>
      </w:r>
      <w:r w:rsidRPr="00E25EA2">
        <w:rPr>
          <w:rFonts w:ascii="Arial" w:hAnsi="Arial" w:cs="Arial"/>
        </w:rPr>
        <w:t xml:space="preserve"> is among the Gram-negative bacterium belonging to the </w:t>
      </w:r>
      <w:r w:rsidRPr="00E25EA2">
        <w:rPr>
          <w:rFonts w:ascii="Arial" w:hAnsi="Arial" w:cs="Arial"/>
          <w:i/>
          <w:iCs/>
        </w:rPr>
        <w:t>Enterobacteriaceae</w:t>
      </w:r>
      <w:r w:rsidRPr="00E25EA2">
        <w:rPr>
          <w:rFonts w:ascii="Arial" w:hAnsi="Arial" w:cs="Arial"/>
        </w:rPr>
        <w:t xml:space="preserve"> family. Invasive hypervirulent </w:t>
      </w:r>
      <w:r w:rsidRPr="00E25EA2">
        <w:rPr>
          <w:rFonts w:ascii="Arial" w:hAnsi="Arial" w:cs="Arial"/>
          <w:i/>
        </w:rPr>
        <w:t>K. pneumoniae</w:t>
      </w:r>
      <w:r w:rsidRPr="00E25EA2">
        <w:rPr>
          <w:rFonts w:ascii="Arial" w:hAnsi="Arial" w:cs="Arial"/>
        </w:rPr>
        <w:t xml:space="preserve"> usually affect healthy individuals giving rise to community-acquired infections such as meningitis, pyogenic liver abscess, necrotizing fasciitis, endophthalmitis, and severe pneumonia (Shon </w:t>
      </w:r>
      <w:r w:rsidR="004C4810" w:rsidRPr="004C4810">
        <w:rPr>
          <w:rFonts w:ascii="Arial" w:hAnsi="Arial" w:cs="Arial"/>
          <w:i/>
          <w:iCs/>
        </w:rPr>
        <w:t>et al</w:t>
      </w:r>
      <w:r w:rsidRPr="00E25EA2">
        <w:rPr>
          <w:rFonts w:ascii="Arial" w:hAnsi="Arial" w:cs="Arial"/>
        </w:rPr>
        <w:t xml:space="preserve">., 2013). While, several risk factors such as regional healthcare practices, infection control measures, nutrition, the use and misuse of antibiotics, gender, and age could predispose to </w:t>
      </w:r>
      <w:r w:rsidRPr="00E25EA2">
        <w:rPr>
          <w:rFonts w:ascii="Arial" w:hAnsi="Arial" w:cs="Arial"/>
          <w:i/>
        </w:rPr>
        <w:t>K. pneumoniae</w:t>
      </w:r>
      <w:r w:rsidRPr="00E25EA2">
        <w:rPr>
          <w:rFonts w:ascii="Arial" w:hAnsi="Arial" w:cs="Arial"/>
        </w:rPr>
        <w:t xml:space="preserve"> infections (Abbas </w:t>
      </w:r>
      <w:r w:rsidR="004C4810" w:rsidRPr="004C4810">
        <w:rPr>
          <w:rFonts w:ascii="Arial" w:hAnsi="Arial" w:cs="Arial"/>
          <w:i/>
          <w:iCs/>
        </w:rPr>
        <w:t>et al</w:t>
      </w:r>
      <w:r w:rsidRPr="00E25EA2">
        <w:rPr>
          <w:rFonts w:ascii="Arial" w:hAnsi="Arial" w:cs="Arial"/>
        </w:rPr>
        <w:t>., 2024). Over the past few decades, </w:t>
      </w:r>
      <w:r w:rsidRPr="00E25EA2">
        <w:rPr>
          <w:rFonts w:ascii="Arial" w:hAnsi="Arial" w:cs="Arial"/>
          <w:i/>
          <w:iCs/>
        </w:rPr>
        <w:t>K. pneumoniae</w:t>
      </w:r>
      <w:r w:rsidRPr="00E25EA2">
        <w:rPr>
          <w:rFonts w:ascii="Arial" w:hAnsi="Arial" w:cs="Arial"/>
        </w:rPr>
        <w:t xml:space="preserve"> has emerged as a significant healthcare-associated and opportunistic pathogen, primarily affecting immunocompromised individuals (Clegg </w:t>
      </w:r>
      <w:r w:rsidR="004C4810" w:rsidRPr="004C4810">
        <w:rPr>
          <w:rFonts w:ascii="Arial" w:hAnsi="Arial" w:cs="Arial"/>
          <w:i/>
          <w:iCs/>
        </w:rPr>
        <w:t>et al</w:t>
      </w:r>
      <w:r w:rsidRPr="00E25EA2">
        <w:rPr>
          <w:rFonts w:ascii="Arial" w:hAnsi="Arial" w:cs="Arial"/>
        </w:rPr>
        <w:t xml:space="preserve">., 2016). This Gram-negative bacterium is now a major cause of both community and hospital-acquired UTIs, especially among patients with underlying comorbidities (Jalil &amp; Al Atbee, 2022). The combination of biofilm formation, immune evasion, and horizontal gene transfer-mediated resistance renders this pathogen particularly difficult to treat in clinical environments (Ahmed </w:t>
      </w:r>
      <w:r w:rsidR="004C4810" w:rsidRPr="004C4810">
        <w:rPr>
          <w:rFonts w:ascii="Arial" w:hAnsi="Arial" w:cs="Arial"/>
          <w:i/>
          <w:iCs/>
        </w:rPr>
        <w:t>et al</w:t>
      </w:r>
      <w:r w:rsidRPr="00E25EA2">
        <w:rPr>
          <w:rFonts w:ascii="Arial" w:hAnsi="Arial" w:cs="Arial"/>
        </w:rPr>
        <w:t>., 2020).</w:t>
      </w:r>
    </w:p>
    <w:p w14:paraId="1CFE14F0" w14:textId="77777777" w:rsidR="00E25EA2" w:rsidRPr="00E25EA2" w:rsidRDefault="00E25EA2" w:rsidP="00E25EA2">
      <w:pPr>
        <w:jc w:val="both"/>
        <w:rPr>
          <w:rFonts w:ascii="Arial" w:hAnsi="Arial" w:cs="Arial"/>
        </w:rPr>
      </w:pPr>
    </w:p>
    <w:p w14:paraId="5A75F51B" w14:textId="77777777" w:rsidR="00E25EA2" w:rsidRPr="00E25EA2" w:rsidRDefault="00E25EA2" w:rsidP="00E25EA2">
      <w:pPr>
        <w:jc w:val="both"/>
        <w:rPr>
          <w:rFonts w:ascii="Arial" w:hAnsi="Arial" w:cs="Arial"/>
          <w:b/>
        </w:rPr>
      </w:pPr>
      <w:r w:rsidRPr="00E25EA2">
        <w:rPr>
          <w:rFonts w:ascii="Arial" w:hAnsi="Arial" w:cs="Arial"/>
        </w:rPr>
        <w:t>However, to confirm the occurrence of UTIs, several diagnostic tests such as microscopy, culture, and biochemical assays were carried out. While therapy is usually based on antibiotic susceptibility testing of the bacterial isolates.</w:t>
      </w:r>
      <w:r w:rsidRPr="00E25EA2">
        <w:rPr>
          <w:rFonts w:ascii="Arial" w:hAnsi="Arial" w:cs="Arial"/>
          <w:b/>
        </w:rPr>
        <w:t xml:space="preserve"> </w:t>
      </w:r>
      <w:r w:rsidRPr="00E25EA2">
        <w:rPr>
          <w:rFonts w:ascii="Arial" w:hAnsi="Arial" w:cs="Arial"/>
        </w:rPr>
        <w:t>It is therefore imperative to investigate the occurrence of asymptomatic bacteriuria among students, determine their prevalence and determine the susceptibility of frequently used antibiotics in UTI therapy, as these will give guidance and help to monitor the trends of UTIs among university student.</w:t>
      </w:r>
    </w:p>
    <w:p w14:paraId="7A48F64E" w14:textId="77777777" w:rsidR="00E25EA2" w:rsidRPr="00E25EA2" w:rsidRDefault="00E25EA2" w:rsidP="00E25EA2">
      <w:pPr>
        <w:jc w:val="both"/>
        <w:rPr>
          <w:rFonts w:ascii="Arial" w:hAnsi="Arial" w:cs="Arial"/>
        </w:rPr>
      </w:pPr>
    </w:p>
    <w:p w14:paraId="5C1E04F2" w14:textId="0DCF579C" w:rsidR="00E25EA2" w:rsidRPr="00750688" w:rsidRDefault="00750688" w:rsidP="00E25EA2">
      <w:pPr>
        <w:jc w:val="both"/>
        <w:rPr>
          <w:rFonts w:ascii="Arial" w:hAnsi="Arial" w:cs="Arial"/>
          <w:b/>
          <w:sz w:val="24"/>
          <w:szCs w:val="24"/>
        </w:rPr>
      </w:pPr>
      <w:r w:rsidRPr="00750688">
        <w:rPr>
          <w:rFonts w:ascii="Arial" w:hAnsi="Arial" w:cs="Arial"/>
          <w:b/>
          <w:sz w:val="24"/>
          <w:szCs w:val="24"/>
        </w:rPr>
        <w:t xml:space="preserve">2. </w:t>
      </w:r>
      <w:r w:rsidR="00B914AE" w:rsidRPr="00750688">
        <w:rPr>
          <w:rFonts w:ascii="Arial" w:hAnsi="Arial" w:cs="Arial"/>
          <w:b/>
          <w:sz w:val="24"/>
          <w:szCs w:val="24"/>
        </w:rPr>
        <w:t>METHODS</w:t>
      </w:r>
    </w:p>
    <w:p w14:paraId="0280CFC7" w14:textId="77777777" w:rsidR="00750688" w:rsidRDefault="008E5215" w:rsidP="00E25EA2">
      <w:pPr>
        <w:jc w:val="both"/>
        <w:rPr>
          <w:rFonts w:ascii="Arial" w:hAnsi="Arial" w:cs="Arial"/>
          <w:b/>
          <w:sz w:val="22"/>
          <w:szCs w:val="22"/>
        </w:rPr>
      </w:pPr>
      <w:r w:rsidRPr="00750688">
        <w:rPr>
          <w:rFonts w:ascii="Arial" w:hAnsi="Arial" w:cs="Arial"/>
          <w:b/>
          <w:sz w:val="22"/>
          <w:szCs w:val="22"/>
        </w:rPr>
        <w:t xml:space="preserve">2.1 </w:t>
      </w:r>
      <w:r w:rsidR="00E25EA2" w:rsidRPr="00750688">
        <w:rPr>
          <w:rFonts w:ascii="Arial" w:hAnsi="Arial" w:cs="Arial"/>
          <w:b/>
          <w:sz w:val="22"/>
          <w:szCs w:val="22"/>
        </w:rPr>
        <w:t xml:space="preserve">Study </w:t>
      </w:r>
      <w:r w:rsidRPr="00750688">
        <w:rPr>
          <w:rFonts w:ascii="Arial" w:hAnsi="Arial" w:cs="Arial"/>
          <w:b/>
          <w:sz w:val="22"/>
          <w:szCs w:val="22"/>
        </w:rPr>
        <w:t>Area</w:t>
      </w:r>
    </w:p>
    <w:p w14:paraId="06B0A670" w14:textId="5EC01652" w:rsidR="00E25EA2" w:rsidRDefault="00E25EA2" w:rsidP="00E25EA2">
      <w:pPr>
        <w:jc w:val="both"/>
        <w:rPr>
          <w:rFonts w:ascii="Arial" w:hAnsi="Arial" w:cs="Arial"/>
        </w:rPr>
      </w:pPr>
      <w:r w:rsidRPr="00E25EA2">
        <w:rPr>
          <w:rFonts w:ascii="Arial" w:hAnsi="Arial" w:cs="Arial"/>
        </w:rPr>
        <w:t xml:space="preserve">The study area of this research is Alex Ekwueme-Federal University </w:t>
      </w:r>
      <w:proofErr w:type="spellStart"/>
      <w:r w:rsidRPr="00E25EA2">
        <w:rPr>
          <w:rFonts w:ascii="Arial" w:hAnsi="Arial" w:cs="Arial"/>
        </w:rPr>
        <w:t>Ndufu</w:t>
      </w:r>
      <w:proofErr w:type="spellEnd"/>
      <w:r w:rsidRPr="00E25EA2">
        <w:rPr>
          <w:rFonts w:ascii="Arial" w:hAnsi="Arial" w:cs="Arial"/>
        </w:rPr>
        <w:t xml:space="preserve"> Alike </w:t>
      </w:r>
      <w:proofErr w:type="spellStart"/>
      <w:r w:rsidRPr="00E25EA2">
        <w:rPr>
          <w:rFonts w:ascii="Arial" w:hAnsi="Arial" w:cs="Arial"/>
        </w:rPr>
        <w:t>Ikwo</w:t>
      </w:r>
      <w:proofErr w:type="spellEnd"/>
      <w:r w:rsidRPr="00E25EA2">
        <w:rPr>
          <w:rFonts w:ascii="Arial" w:hAnsi="Arial" w:cs="Arial"/>
        </w:rPr>
        <w:t xml:space="preserve"> (AE-FUNAI). This institution is one of the nine (9) new Universities established by the federal Government of Nigeria in </w:t>
      </w:r>
      <w:r w:rsidR="00DB754E" w:rsidRPr="00E25EA2">
        <w:rPr>
          <w:rFonts w:ascii="Arial" w:hAnsi="Arial" w:cs="Arial"/>
        </w:rPr>
        <w:t>February</w:t>
      </w:r>
      <w:r w:rsidRPr="00E25EA2">
        <w:rPr>
          <w:rFonts w:ascii="Arial" w:hAnsi="Arial" w:cs="Arial"/>
        </w:rPr>
        <w:t xml:space="preserve"> 26, 2011 under President Goodluck Jonathan administration with the goal of expanding and improving access to quality tertiary education in Nigeria. At the time of its establishment, the university was named Federal University </w:t>
      </w:r>
      <w:proofErr w:type="spellStart"/>
      <w:r w:rsidRPr="00E25EA2">
        <w:rPr>
          <w:rFonts w:ascii="Arial" w:hAnsi="Arial" w:cs="Arial"/>
        </w:rPr>
        <w:t>Ndufu</w:t>
      </w:r>
      <w:proofErr w:type="spellEnd"/>
      <w:r w:rsidRPr="00E25EA2">
        <w:rPr>
          <w:rFonts w:ascii="Arial" w:hAnsi="Arial" w:cs="Arial"/>
        </w:rPr>
        <w:t xml:space="preserve">-Alike </w:t>
      </w:r>
      <w:proofErr w:type="spellStart"/>
      <w:r w:rsidRPr="00E25EA2">
        <w:rPr>
          <w:rFonts w:ascii="Arial" w:hAnsi="Arial" w:cs="Arial"/>
        </w:rPr>
        <w:t>Ikwo</w:t>
      </w:r>
      <w:proofErr w:type="spellEnd"/>
      <w:r w:rsidRPr="00E25EA2">
        <w:rPr>
          <w:rFonts w:ascii="Arial" w:hAnsi="Arial" w:cs="Arial"/>
        </w:rPr>
        <w:t xml:space="preserve"> (FUNAI), but was renamed on </w:t>
      </w:r>
      <w:r w:rsidR="00DB754E" w:rsidRPr="00E25EA2">
        <w:rPr>
          <w:rFonts w:ascii="Arial" w:hAnsi="Arial" w:cs="Arial"/>
        </w:rPr>
        <w:t>February</w:t>
      </w:r>
      <w:r w:rsidRPr="00E25EA2">
        <w:rPr>
          <w:rFonts w:ascii="Arial" w:hAnsi="Arial" w:cs="Arial"/>
        </w:rPr>
        <w:t xml:space="preserve"> 2, 2018 in </w:t>
      </w:r>
      <w:r w:rsidR="00DB754E" w:rsidRPr="00E25EA2">
        <w:rPr>
          <w:rFonts w:ascii="Arial" w:hAnsi="Arial" w:cs="Arial"/>
        </w:rPr>
        <w:t>honor</w:t>
      </w:r>
      <w:r w:rsidRPr="00E25EA2">
        <w:rPr>
          <w:rFonts w:ascii="Arial" w:hAnsi="Arial" w:cs="Arial"/>
        </w:rPr>
        <w:t xml:space="preserve"> of a foremost </w:t>
      </w:r>
      <w:r w:rsidRPr="00E25EA2">
        <w:rPr>
          <w:rFonts w:ascii="Arial" w:hAnsi="Arial" w:cs="Arial"/>
        </w:rPr>
        <w:lastRenderedPageBreak/>
        <w:t xml:space="preserve">Nigeria leader (Vice President), Dr. Alex Ekwueme. The University is located at </w:t>
      </w:r>
      <w:proofErr w:type="spellStart"/>
      <w:r w:rsidRPr="00E25EA2">
        <w:rPr>
          <w:rFonts w:ascii="Arial" w:hAnsi="Arial" w:cs="Arial"/>
        </w:rPr>
        <w:t>Ndufu</w:t>
      </w:r>
      <w:proofErr w:type="spellEnd"/>
      <w:r w:rsidRPr="00E25EA2">
        <w:rPr>
          <w:rFonts w:ascii="Arial" w:hAnsi="Arial" w:cs="Arial"/>
        </w:rPr>
        <w:t xml:space="preserve">-Alike, </w:t>
      </w:r>
      <w:proofErr w:type="spellStart"/>
      <w:r w:rsidRPr="00E25EA2">
        <w:rPr>
          <w:rFonts w:ascii="Arial" w:hAnsi="Arial" w:cs="Arial"/>
        </w:rPr>
        <w:t>Ikwo</w:t>
      </w:r>
      <w:proofErr w:type="spellEnd"/>
      <w:r w:rsidRPr="00E25EA2">
        <w:rPr>
          <w:rFonts w:ascii="Arial" w:hAnsi="Arial" w:cs="Arial"/>
        </w:rPr>
        <w:t xml:space="preserve"> Local Government Area which is about 25 kilometers from </w:t>
      </w:r>
      <w:proofErr w:type="spellStart"/>
      <w:r w:rsidRPr="00E25EA2">
        <w:rPr>
          <w:rFonts w:ascii="Arial" w:hAnsi="Arial" w:cs="Arial"/>
        </w:rPr>
        <w:t>Abakaliki</w:t>
      </w:r>
      <w:proofErr w:type="spellEnd"/>
      <w:r w:rsidRPr="00E25EA2">
        <w:rPr>
          <w:rFonts w:ascii="Arial" w:hAnsi="Arial" w:cs="Arial"/>
        </w:rPr>
        <w:t>, Ebonyi State and can be located on latitude 0608.28’N and longitude 0808.627’E and altitude 55m (AMSL).</w:t>
      </w:r>
    </w:p>
    <w:p w14:paraId="6BCEDD98" w14:textId="77777777" w:rsidR="008E5215" w:rsidRDefault="008E5215" w:rsidP="00E25EA2">
      <w:pPr>
        <w:jc w:val="both"/>
        <w:rPr>
          <w:rFonts w:ascii="Arial" w:hAnsi="Arial" w:cs="Arial"/>
        </w:rPr>
      </w:pPr>
    </w:p>
    <w:p w14:paraId="04F63649" w14:textId="7EEA8C7F" w:rsidR="008E5215" w:rsidRPr="00750688" w:rsidRDefault="008E5215" w:rsidP="008E5215">
      <w:pPr>
        <w:jc w:val="both"/>
        <w:rPr>
          <w:rFonts w:ascii="Arial" w:hAnsi="Arial" w:cs="Arial"/>
          <w:b/>
          <w:bCs/>
          <w:sz w:val="22"/>
          <w:szCs w:val="22"/>
        </w:rPr>
      </w:pPr>
      <w:r w:rsidRPr="00750688">
        <w:rPr>
          <w:rFonts w:ascii="Arial" w:hAnsi="Arial" w:cs="Arial"/>
          <w:b/>
          <w:bCs/>
          <w:sz w:val="22"/>
          <w:szCs w:val="22"/>
        </w:rPr>
        <w:t>2.2 Ethical Approval</w:t>
      </w:r>
      <w:r w:rsidR="00405F5B" w:rsidRPr="00750688">
        <w:rPr>
          <w:rFonts w:ascii="Arial" w:hAnsi="Arial" w:cs="Arial"/>
          <w:b/>
          <w:bCs/>
          <w:sz w:val="22"/>
          <w:szCs w:val="22"/>
        </w:rPr>
        <w:t xml:space="preserve"> and Consent</w:t>
      </w:r>
    </w:p>
    <w:p w14:paraId="59FBA43B" w14:textId="716B8D79" w:rsidR="00E25EA2" w:rsidRPr="00E25EA2" w:rsidRDefault="008E5215" w:rsidP="00E25EA2">
      <w:pPr>
        <w:jc w:val="both"/>
        <w:rPr>
          <w:rFonts w:ascii="Arial" w:hAnsi="Arial" w:cs="Arial"/>
          <w:b/>
        </w:rPr>
      </w:pPr>
      <w:r>
        <w:rPr>
          <w:rFonts w:ascii="Arial" w:hAnsi="Arial" w:cs="Arial"/>
        </w:rPr>
        <w:t>E</w:t>
      </w:r>
      <w:r w:rsidR="003C79CA">
        <w:rPr>
          <w:rFonts w:ascii="Arial" w:hAnsi="Arial" w:cs="Arial"/>
        </w:rPr>
        <w:t xml:space="preserve">thical </w:t>
      </w:r>
      <w:r w:rsidRPr="008E5215">
        <w:rPr>
          <w:rFonts w:ascii="Arial" w:hAnsi="Arial" w:cs="Arial"/>
        </w:rPr>
        <w:t>approved</w:t>
      </w:r>
      <w:r w:rsidR="009545FD">
        <w:rPr>
          <w:rFonts w:ascii="Arial" w:hAnsi="Arial" w:cs="Arial"/>
        </w:rPr>
        <w:t xml:space="preserve"> </w:t>
      </w:r>
      <w:r w:rsidR="006470EA">
        <w:rPr>
          <w:rFonts w:ascii="Arial" w:hAnsi="Arial" w:cs="Arial"/>
        </w:rPr>
        <w:t xml:space="preserve">was </w:t>
      </w:r>
      <w:r w:rsidR="009545FD">
        <w:rPr>
          <w:rFonts w:ascii="Arial" w:hAnsi="Arial" w:cs="Arial"/>
        </w:rPr>
        <w:t xml:space="preserve">sought and approve by </w:t>
      </w:r>
      <w:r w:rsidRPr="008E5215">
        <w:rPr>
          <w:rFonts w:ascii="Arial" w:hAnsi="Arial" w:cs="Arial"/>
        </w:rPr>
        <w:t xml:space="preserve">the </w:t>
      </w:r>
      <w:r w:rsidR="003C79CA" w:rsidRPr="008E5215">
        <w:rPr>
          <w:rFonts w:ascii="Arial" w:hAnsi="Arial" w:cs="Arial"/>
        </w:rPr>
        <w:t>University Research Ethics Committee</w:t>
      </w:r>
      <w:r w:rsidR="003C79CA">
        <w:rPr>
          <w:rFonts w:ascii="Arial" w:hAnsi="Arial" w:cs="Arial"/>
        </w:rPr>
        <w:t xml:space="preserve"> </w:t>
      </w:r>
      <w:r w:rsidRPr="008E5215">
        <w:rPr>
          <w:rFonts w:ascii="Arial" w:hAnsi="Arial" w:cs="Arial"/>
        </w:rPr>
        <w:t xml:space="preserve">of Alex Ekwueme Federal University </w:t>
      </w:r>
      <w:proofErr w:type="spellStart"/>
      <w:r w:rsidRPr="008E5215">
        <w:rPr>
          <w:rFonts w:ascii="Arial" w:hAnsi="Arial" w:cs="Arial"/>
        </w:rPr>
        <w:t>Ndufu</w:t>
      </w:r>
      <w:proofErr w:type="spellEnd"/>
      <w:r w:rsidRPr="008E5215">
        <w:rPr>
          <w:rFonts w:ascii="Arial" w:hAnsi="Arial" w:cs="Arial"/>
        </w:rPr>
        <w:t xml:space="preserve"> Alike </w:t>
      </w:r>
      <w:proofErr w:type="spellStart"/>
      <w:r w:rsidRPr="008E5215">
        <w:rPr>
          <w:rFonts w:ascii="Arial" w:hAnsi="Arial" w:cs="Arial"/>
        </w:rPr>
        <w:t>Ikwo</w:t>
      </w:r>
      <w:proofErr w:type="spellEnd"/>
      <w:r w:rsidRPr="008E5215">
        <w:rPr>
          <w:rFonts w:ascii="Arial" w:hAnsi="Arial" w:cs="Arial"/>
        </w:rPr>
        <w:t xml:space="preserve">. All data </w:t>
      </w:r>
      <w:r w:rsidR="003C79CA">
        <w:rPr>
          <w:rFonts w:ascii="Arial" w:hAnsi="Arial" w:cs="Arial"/>
        </w:rPr>
        <w:t xml:space="preserve">were </w:t>
      </w:r>
      <w:r w:rsidRPr="008E5215">
        <w:rPr>
          <w:rFonts w:ascii="Arial" w:hAnsi="Arial" w:cs="Arial"/>
        </w:rPr>
        <w:t>analy</w:t>
      </w:r>
      <w:r w:rsidR="00405F5B">
        <w:rPr>
          <w:rFonts w:ascii="Arial" w:hAnsi="Arial" w:cs="Arial"/>
        </w:rPr>
        <w:t>z</w:t>
      </w:r>
      <w:r w:rsidRPr="008E5215">
        <w:rPr>
          <w:rFonts w:ascii="Arial" w:hAnsi="Arial" w:cs="Arial"/>
        </w:rPr>
        <w:t>ed anonymously</w:t>
      </w:r>
      <w:r w:rsidR="00405F5B">
        <w:rPr>
          <w:rFonts w:ascii="Arial" w:hAnsi="Arial" w:cs="Arial"/>
        </w:rPr>
        <w:t xml:space="preserve"> and </w:t>
      </w:r>
      <w:r w:rsidR="00405F5B" w:rsidRPr="008E5215">
        <w:rPr>
          <w:rFonts w:ascii="Arial" w:hAnsi="Arial" w:cs="Arial"/>
        </w:rPr>
        <w:t>treated with the utmost confidence</w:t>
      </w:r>
      <w:r w:rsidRPr="008E5215">
        <w:rPr>
          <w:rFonts w:ascii="Arial" w:hAnsi="Arial" w:cs="Arial"/>
        </w:rPr>
        <w:t>. All participants gave oral informed consent before enrolment into the study</w:t>
      </w:r>
      <w:r w:rsidR="00992EFB">
        <w:rPr>
          <w:rFonts w:ascii="Arial" w:hAnsi="Arial" w:cs="Arial"/>
        </w:rPr>
        <w:t xml:space="preserve"> and the </w:t>
      </w:r>
      <w:r w:rsidR="00992EFB" w:rsidRPr="00E25EA2">
        <w:rPr>
          <w:rFonts w:ascii="Arial" w:hAnsi="Arial" w:cs="Arial"/>
        </w:rPr>
        <w:t>advantages of th</w:t>
      </w:r>
      <w:r w:rsidR="00480C00">
        <w:rPr>
          <w:rFonts w:ascii="Arial" w:hAnsi="Arial" w:cs="Arial"/>
        </w:rPr>
        <w:t>e</w:t>
      </w:r>
      <w:r w:rsidR="00992EFB" w:rsidRPr="00E25EA2">
        <w:rPr>
          <w:rFonts w:ascii="Arial" w:hAnsi="Arial" w:cs="Arial"/>
        </w:rPr>
        <w:t xml:space="preserve"> study were spelt out to them</w:t>
      </w:r>
      <w:r w:rsidR="00992EFB">
        <w:rPr>
          <w:rFonts w:ascii="Arial" w:hAnsi="Arial" w:cs="Arial"/>
        </w:rPr>
        <w:t>.</w:t>
      </w:r>
      <w:r w:rsidRPr="008E5215">
        <w:rPr>
          <w:rFonts w:ascii="Arial" w:hAnsi="Arial" w:cs="Arial"/>
        </w:rPr>
        <w:t xml:space="preserve"> </w:t>
      </w:r>
      <w:r w:rsidR="00DB754E" w:rsidRPr="00DB754E">
        <w:rPr>
          <w:rFonts w:ascii="Arial" w:hAnsi="Arial" w:cs="Arial"/>
        </w:rPr>
        <w:t>All study procedures followed the ethical guidelines of the 2024 revised D</w:t>
      </w:r>
      <w:r w:rsidR="00DB754E">
        <w:rPr>
          <w:rFonts w:ascii="Arial" w:hAnsi="Arial" w:cs="Arial"/>
        </w:rPr>
        <w:t>e</w:t>
      </w:r>
      <w:r w:rsidR="00DB754E" w:rsidRPr="00DB754E">
        <w:rPr>
          <w:rFonts w:ascii="Arial" w:hAnsi="Arial" w:cs="Arial"/>
        </w:rPr>
        <w:t>claration of Helsinki. Participant data privacy was maintained by storing information on a password-secured computer, with access limited solely to the principal investigator</w:t>
      </w:r>
    </w:p>
    <w:p w14:paraId="1442AF4E" w14:textId="77777777" w:rsidR="00DB754E" w:rsidRDefault="00DB754E" w:rsidP="00E25EA2">
      <w:pPr>
        <w:jc w:val="both"/>
        <w:rPr>
          <w:rFonts w:ascii="Arial" w:hAnsi="Arial" w:cs="Arial"/>
          <w:b/>
          <w:sz w:val="22"/>
          <w:szCs w:val="22"/>
        </w:rPr>
      </w:pPr>
    </w:p>
    <w:p w14:paraId="25D85456" w14:textId="446FE8CC" w:rsidR="00E25EA2" w:rsidRPr="00750688" w:rsidRDefault="008E5215" w:rsidP="00E25EA2">
      <w:pPr>
        <w:jc w:val="both"/>
        <w:rPr>
          <w:rFonts w:ascii="Arial" w:hAnsi="Arial" w:cs="Arial"/>
          <w:b/>
          <w:sz w:val="22"/>
          <w:szCs w:val="22"/>
        </w:rPr>
      </w:pPr>
      <w:r w:rsidRPr="00750688">
        <w:rPr>
          <w:rFonts w:ascii="Arial" w:hAnsi="Arial" w:cs="Arial"/>
          <w:b/>
          <w:sz w:val="22"/>
          <w:szCs w:val="22"/>
        </w:rPr>
        <w:t>2.</w:t>
      </w:r>
      <w:r w:rsidR="00750688">
        <w:rPr>
          <w:rFonts w:ascii="Arial" w:hAnsi="Arial" w:cs="Arial"/>
          <w:b/>
          <w:sz w:val="22"/>
          <w:szCs w:val="22"/>
        </w:rPr>
        <w:t>3</w:t>
      </w:r>
      <w:r w:rsidRPr="00750688">
        <w:rPr>
          <w:rFonts w:ascii="Arial" w:hAnsi="Arial" w:cs="Arial"/>
          <w:b/>
          <w:sz w:val="22"/>
          <w:szCs w:val="22"/>
        </w:rPr>
        <w:t xml:space="preserve"> </w:t>
      </w:r>
      <w:r w:rsidR="00E25EA2" w:rsidRPr="00750688">
        <w:rPr>
          <w:rFonts w:ascii="Arial" w:hAnsi="Arial" w:cs="Arial"/>
          <w:b/>
          <w:sz w:val="22"/>
          <w:szCs w:val="22"/>
        </w:rPr>
        <w:t>Study population</w:t>
      </w:r>
    </w:p>
    <w:p w14:paraId="7728261B" w14:textId="77777777" w:rsidR="00E25EA2" w:rsidRPr="00E25EA2" w:rsidRDefault="00E25EA2" w:rsidP="00E25EA2">
      <w:pPr>
        <w:jc w:val="both"/>
        <w:rPr>
          <w:rFonts w:ascii="Arial" w:hAnsi="Arial" w:cs="Arial"/>
        </w:rPr>
      </w:pPr>
      <w:r w:rsidRPr="00E25EA2">
        <w:rPr>
          <w:rFonts w:ascii="Arial" w:hAnsi="Arial" w:cs="Arial"/>
        </w:rPr>
        <w:t xml:space="preserve">The study population includes 30 male students and 30 female students of Alex Ekwueme-Federal University </w:t>
      </w:r>
      <w:proofErr w:type="spellStart"/>
      <w:r w:rsidRPr="00E25EA2">
        <w:rPr>
          <w:rFonts w:ascii="Arial" w:hAnsi="Arial" w:cs="Arial"/>
        </w:rPr>
        <w:t>Ndufu</w:t>
      </w:r>
      <w:proofErr w:type="spellEnd"/>
      <w:r w:rsidRPr="00E25EA2">
        <w:rPr>
          <w:rFonts w:ascii="Arial" w:hAnsi="Arial" w:cs="Arial"/>
        </w:rPr>
        <w:t xml:space="preserve"> Alike </w:t>
      </w:r>
      <w:proofErr w:type="spellStart"/>
      <w:r w:rsidRPr="00E25EA2">
        <w:rPr>
          <w:rFonts w:ascii="Arial" w:hAnsi="Arial" w:cs="Arial"/>
        </w:rPr>
        <w:t>Ikwo</w:t>
      </w:r>
      <w:proofErr w:type="spellEnd"/>
      <w:r w:rsidRPr="00E25EA2">
        <w:rPr>
          <w:rFonts w:ascii="Arial" w:hAnsi="Arial" w:cs="Arial"/>
        </w:rPr>
        <w:t xml:space="preserve"> (AE-FUNAI) who are residing off campus.</w:t>
      </w:r>
    </w:p>
    <w:p w14:paraId="7D4D6899" w14:textId="77777777" w:rsidR="00BF31F8" w:rsidRDefault="00BF31F8" w:rsidP="00E25EA2">
      <w:pPr>
        <w:jc w:val="both"/>
        <w:rPr>
          <w:rFonts w:ascii="Arial" w:hAnsi="Arial" w:cs="Arial"/>
          <w:b/>
        </w:rPr>
      </w:pPr>
    </w:p>
    <w:p w14:paraId="5A4AC2DB" w14:textId="6815479B" w:rsidR="00E25EA2" w:rsidRPr="00750688" w:rsidRDefault="00750688" w:rsidP="00E25EA2">
      <w:pPr>
        <w:jc w:val="both"/>
        <w:rPr>
          <w:rFonts w:ascii="Arial" w:hAnsi="Arial" w:cs="Arial"/>
          <w:b/>
          <w:sz w:val="22"/>
          <w:szCs w:val="22"/>
        </w:rPr>
      </w:pPr>
      <w:r w:rsidRPr="00750688">
        <w:rPr>
          <w:rFonts w:ascii="Arial" w:hAnsi="Arial" w:cs="Arial"/>
          <w:b/>
          <w:sz w:val="22"/>
          <w:szCs w:val="22"/>
        </w:rPr>
        <w:t xml:space="preserve">2.4 </w:t>
      </w:r>
      <w:r w:rsidR="00E25EA2" w:rsidRPr="00750688">
        <w:rPr>
          <w:rFonts w:ascii="Arial" w:hAnsi="Arial" w:cs="Arial"/>
          <w:b/>
          <w:sz w:val="22"/>
          <w:szCs w:val="22"/>
        </w:rPr>
        <w:t xml:space="preserve">Inclusion and </w:t>
      </w:r>
      <w:r w:rsidRPr="00750688">
        <w:rPr>
          <w:rFonts w:ascii="Arial" w:hAnsi="Arial" w:cs="Arial"/>
          <w:b/>
          <w:sz w:val="22"/>
          <w:szCs w:val="22"/>
        </w:rPr>
        <w:t xml:space="preserve">Exclusion Criteria </w:t>
      </w:r>
    </w:p>
    <w:p w14:paraId="01223EE1" w14:textId="77777777" w:rsidR="00E25EA2" w:rsidRPr="00E25EA2" w:rsidRDefault="00E25EA2" w:rsidP="00E25EA2">
      <w:pPr>
        <w:jc w:val="both"/>
        <w:rPr>
          <w:rFonts w:ascii="Arial" w:hAnsi="Arial" w:cs="Arial"/>
        </w:rPr>
      </w:pPr>
      <w:r w:rsidRPr="00E25EA2">
        <w:rPr>
          <w:rFonts w:ascii="Arial" w:hAnsi="Arial" w:cs="Arial"/>
        </w:rPr>
        <w:t>The participants must be AE-FUNAI students who are residing off campus. While those excluded are students that are not from AE-FUNAI and those who are residing in school hostel.</w:t>
      </w:r>
    </w:p>
    <w:p w14:paraId="2D2BBEFC" w14:textId="77777777" w:rsidR="00BF31F8" w:rsidRDefault="00BF31F8" w:rsidP="00E25EA2">
      <w:pPr>
        <w:jc w:val="both"/>
        <w:rPr>
          <w:rFonts w:ascii="Arial" w:hAnsi="Arial" w:cs="Arial"/>
          <w:b/>
        </w:rPr>
      </w:pPr>
    </w:p>
    <w:p w14:paraId="057C370A" w14:textId="7B8F092C" w:rsidR="00E25EA2" w:rsidRPr="00750688" w:rsidRDefault="00750688" w:rsidP="00E25EA2">
      <w:pPr>
        <w:jc w:val="both"/>
        <w:rPr>
          <w:rFonts w:ascii="Arial" w:hAnsi="Arial" w:cs="Arial"/>
          <w:b/>
          <w:sz w:val="22"/>
          <w:szCs w:val="22"/>
        </w:rPr>
      </w:pPr>
      <w:r w:rsidRPr="00750688">
        <w:rPr>
          <w:rFonts w:ascii="Arial" w:hAnsi="Arial" w:cs="Arial"/>
          <w:b/>
          <w:sz w:val="22"/>
          <w:szCs w:val="22"/>
        </w:rPr>
        <w:t xml:space="preserve">2.5 </w:t>
      </w:r>
      <w:r w:rsidR="00E25EA2" w:rsidRPr="00750688">
        <w:rPr>
          <w:rFonts w:ascii="Arial" w:hAnsi="Arial" w:cs="Arial"/>
          <w:b/>
          <w:sz w:val="22"/>
          <w:szCs w:val="22"/>
        </w:rPr>
        <w:t xml:space="preserve">Sample </w:t>
      </w:r>
      <w:r w:rsidRPr="00750688">
        <w:rPr>
          <w:rFonts w:ascii="Arial" w:hAnsi="Arial" w:cs="Arial"/>
          <w:b/>
          <w:sz w:val="22"/>
          <w:szCs w:val="22"/>
        </w:rPr>
        <w:t xml:space="preserve">Collection </w:t>
      </w:r>
    </w:p>
    <w:p w14:paraId="0958268B" w14:textId="77777777" w:rsidR="00E25EA2" w:rsidRPr="00E25EA2" w:rsidRDefault="00E25EA2" w:rsidP="00E25EA2">
      <w:pPr>
        <w:jc w:val="both"/>
        <w:rPr>
          <w:rFonts w:ascii="Arial" w:hAnsi="Arial" w:cs="Arial"/>
        </w:rPr>
      </w:pPr>
      <w:r w:rsidRPr="00E25EA2">
        <w:rPr>
          <w:rFonts w:ascii="Arial" w:hAnsi="Arial" w:cs="Arial"/>
        </w:rPr>
        <w:t>The participated students were instructed to wash their external genital with mild toilet soap and rinse thoroughly with clean water before the sample collecting about 10 ml of their urine using the sample containers given to them. Early morning midstream urines were collected using sterile universal bottles. The samples were labeled accordingly and transported to laboratory unit of Microbiology Department, AE-FUNAI for laboratory analysis.</w:t>
      </w:r>
    </w:p>
    <w:p w14:paraId="64B6D86C" w14:textId="77777777" w:rsidR="00BF31F8" w:rsidRDefault="00BF31F8" w:rsidP="00E25EA2">
      <w:pPr>
        <w:jc w:val="both"/>
        <w:rPr>
          <w:rFonts w:ascii="Arial" w:hAnsi="Arial" w:cs="Arial"/>
          <w:b/>
        </w:rPr>
      </w:pPr>
    </w:p>
    <w:p w14:paraId="15CB66E9" w14:textId="6884D6FF" w:rsidR="00E25EA2" w:rsidRPr="00750688" w:rsidRDefault="00750688" w:rsidP="00E25EA2">
      <w:pPr>
        <w:jc w:val="both"/>
        <w:rPr>
          <w:rFonts w:ascii="Arial" w:hAnsi="Arial" w:cs="Arial"/>
          <w:b/>
          <w:sz w:val="22"/>
          <w:szCs w:val="22"/>
        </w:rPr>
      </w:pPr>
      <w:r w:rsidRPr="00750688">
        <w:rPr>
          <w:rFonts w:ascii="Arial" w:hAnsi="Arial" w:cs="Arial"/>
          <w:b/>
          <w:sz w:val="22"/>
          <w:szCs w:val="22"/>
        </w:rPr>
        <w:t xml:space="preserve">2.6 </w:t>
      </w:r>
      <w:r w:rsidR="00E25EA2" w:rsidRPr="00750688">
        <w:rPr>
          <w:rFonts w:ascii="Arial" w:hAnsi="Arial" w:cs="Arial"/>
          <w:b/>
          <w:sz w:val="22"/>
          <w:szCs w:val="22"/>
        </w:rPr>
        <w:t xml:space="preserve">Processing of Urine/Culture </w:t>
      </w:r>
    </w:p>
    <w:p w14:paraId="3737A5E7" w14:textId="77777777" w:rsidR="00E25EA2" w:rsidRPr="00E25EA2" w:rsidRDefault="00E25EA2" w:rsidP="00E25EA2">
      <w:pPr>
        <w:jc w:val="both"/>
        <w:rPr>
          <w:rFonts w:ascii="Arial" w:hAnsi="Arial" w:cs="Arial"/>
        </w:rPr>
      </w:pPr>
      <w:r w:rsidRPr="00E25EA2">
        <w:rPr>
          <w:rFonts w:ascii="Arial" w:hAnsi="Arial" w:cs="Arial"/>
        </w:rPr>
        <w:t xml:space="preserve">In the laboratory, the urine samples were first streaked on Cystine Lactose Electrolyte Deficient agar (CLED) and incubated at 37 °C aerobically for 24 hrs. After 24 </w:t>
      </w:r>
      <w:proofErr w:type="spellStart"/>
      <w:r w:rsidRPr="00E25EA2">
        <w:rPr>
          <w:rFonts w:ascii="Arial" w:hAnsi="Arial" w:cs="Arial"/>
        </w:rPr>
        <w:t>hrs</w:t>
      </w:r>
      <w:proofErr w:type="spellEnd"/>
      <w:r w:rsidRPr="00E25EA2">
        <w:rPr>
          <w:rFonts w:ascii="Arial" w:hAnsi="Arial" w:cs="Arial"/>
        </w:rPr>
        <w:t xml:space="preserve"> incubation, the cultures were sub-cultured on EMB agar followed by further incubated at 37 °C for 24 hrs. The identified bacterial isolates were preserved on nutrient agar slants and stored at 4°C (Cheesebrough, 2010).</w:t>
      </w:r>
    </w:p>
    <w:p w14:paraId="574467BC" w14:textId="77777777" w:rsidR="00BF31F8" w:rsidRDefault="00BF31F8" w:rsidP="00E25EA2">
      <w:pPr>
        <w:jc w:val="both"/>
        <w:rPr>
          <w:rFonts w:ascii="Arial" w:hAnsi="Arial" w:cs="Arial"/>
          <w:b/>
        </w:rPr>
      </w:pPr>
    </w:p>
    <w:p w14:paraId="6CE45DAA" w14:textId="12E8F61A" w:rsidR="00E25EA2" w:rsidRPr="00750688" w:rsidRDefault="00750688" w:rsidP="00E25EA2">
      <w:pPr>
        <w:jc w:val="both"/>
        <w:rPr>
          <w:rFonts w:ascii="Arial" w:hAnsi="Arial" w:cs="Arial"/>
          <w:sz w:val="22"/>
          <w:szCs w:val="22"/>
        </w:rPr>
      </w:pPr>
      <w:r>
        <w:rPr>
          <w:rFonts w:ascii="Arial" w:hAnsi="Arial" w:cs="Arial"/>
          <w:b/>
          <w:sz w:val="22"/>
          <w:szCs w:val="22"/>
        </w:rPr>
        <w:t xml:space="preserve">2.7 </w:t>
      </w:r>
      <w:r w:rsidR="00E25EA2" w:rsidRPr="00750688">
        <w:rPr>
          <w:rFonts w:ascii="Arial" w:hAnsi="Arial" w:cs="Arial"/>
          <w:b/>
          <w:sz w:val="22"/>
          <w:szCs w:val="22"/>
        </w:rPr>
        <w:t xml:space="preserve">Standardization of </w:t>
      </w:r>
      <w:r w:rsidRPr="00750688">
        <w:rPr>
          <w:rFonts w:ascii="Arial" w:hAnsi="Arial" w:cs="Arial"/>
          <w:b/>
          <w:sz w:val="22"/>
          <w:szCs w:val="22"/>
        </w:rPr>
        <w:t xml:space="preserve">Test </w:t>
      </w:r>
      <w:r w:rsidR="00E25EA2" w:rsidRPr="00750688">
        <w:rPr>
          <w:rFonts w:ascii="Arial" w:hAnsi="Arial" w:cs="Arial"/>
          <w:b/>
          <w:sz w:val="22"/>
          <w:szCs w:val="22"/>
        </w:rPr>
        <w:t xml:space="preserve">Inoculum </w:t>
      </w:r>
    </w:p>
    <w:p w14:paraId="0FEA3F4B" w14:textId="7FA56169" w:rsidR="00E25EA2" w:rsidRPr="00E25EA2" w:rsidRDefault="00E25EA2" w:rsidP="00E25EA2">
      <w:pPr>
        <w:jc w:val="both"/>
        <w:rPr>
          <w:rFonts w:ascii="Arial" w:hAnsi="Arial" w:cs="Arial"/>
        </w:rPr>
      </w:pPr>
      <w:r w:rsidRPr="00E25EA2">
        <w:rPr>
          <w:rFonts w:ascii="Arial" w:hAnsi="Arial" w:cs="Arial"/>
        </w:rPr>
        <w:t>Overnight cultures were kept ready for antimicrobial testing. Each of the isolate was standardized using colony suspension method (EUCAST, 2000). The test organisms from Nutrient agar plates, incubated at 37</w:t>
      </w:r>
      <w:r w:rsidRPr="00E25EA2">
        <w:rPr>
          <w:rFonts w:ascii="Arial" w:hAnsi="Arial" w:cs="Arial"/>
          <w:vertAlign w:val="superscript"/>
        </w:rPr>
        <w:t>o</w:t>
      </w:r>
      <w:r w:rsidRPr="00E25EA2">
        <w:rPr>
          <w:rFonts w:ascii="Arial" w:hAnsi="Arial" w:cs="Arial"/>
        </w:rPr>
        <w:t xml:space="preserve">C for 24 </w:t>
      </w:r>
      <w:proofErr w:type="spellStart"/>
      <w:r w:rsidRPr="00E25EA2">
        <w:rPr>
          <w:rFonts w:ascii="Arial" w:hAnsi="Arial" w:cs="Arial"/>
        </w:rPr>
        <w:t>hrs</w:t>
      </w:r>
      <w:proofErr w:type="spellEnd"/>
      <w:r w:rsidRPr="00E25EA2">
        <w:rPr>
          <w:rFonts w:ascii="Arial" w:hAnsi="Arial" w:cs="Arial"/>
        </w:rPr>
        <w:t xml:space="preserve"> were suspended in saline solution (0.85% NaCl). The density of each isolate suspension was matched with 0.5 McFarland standards to give a resultant concentration of 1.0 × 106 </w:t>
      </w:r>
      <w:proofErr w:type="spellStart"/>
      <w:r w:rsidRPr="00E25EA2">
        <w:rPr>
          <w:rFonts w:ascii="Arial" w:hAnsi="Arial" w:cs="Arial"/>
        </w:rPr>
        <w:t>cfu</w:t>
      </w:r>
      <w:proofErr w:type="spellEnd"/>
      <w:r w:rsidRPr="00E25EA2">
        <w:rPr>
          <w:rFonts w:ascii="Arial" w:hAnsi="Arial" w:cs="Arial"/>
        </w:rPr>
        <w:t>/ml (</w:t>
      </w:r>
      <w:proofErr w:type="spellStart"/>
      <w:r w:rsidRPr="00E25EA2">
        <w:rPr>
          <w:rFonts w:ascii="Arial" w:hAnsi="Arial" w:cs="Arial"/>
        </w:rPr>
        <w:t>Egwu</w:t>
      </w:r>
      <w:proofErr w:type="spellEnd"/>
      <w:r w:rsidRPr="00E25EA2">
        <w:rPr>
          <w:rFonts w:ascii="Arial" w:hAnsi="Arial" w:cs="Arial"/>
        </w:rPr>
        <w:t xml:space="preserve"> </w:t>
      </w:r>
      <w:r w:rsidR="004C4810" w:rsidRPr="004C4810">
        <w:rPr>
          <w:rFonts w:ascii="Arial" w:hAnsi="Arial" w:cs="Arial"/>
          <w:i/>
          <w:iCs/>
        </w:rPr>
        <w:t>et al</w:t>
      </w:r>
      <w:r w:rsidRPr="00E25EA2">
        <w:rPr>
          <w:rFonts w:ascii="Arial" w:hAnsi="Arial" w:cs="Arial"/>
        </w:rPr>
        <w:t>., 2024).</w:t>
      </w:r>
    </w:p>
    <w:p w14:paraId="0B6EE2BD" w14:textId="77777777" w:rsidR="00BF31F8" w:rsidRDefault="00BF31F8" w:rsidP="00E25EA2">
      <w:pPr>
        <w:jc w:val="both"/>
        <w:rPr>
          <w:rFonts w:ascii="Arial" w:hAnsi="Arial" w:cs="Arial"/>
          <w:b/>
        </w:rPr>
      </w:pPr>
    </w:p>
    <w:p w14:paraId="288ACF87" w14:textId="5B8AFE29" w:rsidR="00E25EA2" w:rsidRPr="00750688" w:rsidRDefault="00750688" w:rsidP="00E25EA2">
      <w:pPr>
        <w:jc w:val="both"/>
        <w:rPr>
          <w:rFonts w:ascii="Arial" w:hAnsi="Arial" w:cs="Arial"/>
          <w:b/>
          <w:sz w:val="22"/>
          <w:szCs w:val="22"/>
        </w:rPr>
      </w:pPr>
      <w:r>
        <w:rPr>
          <w:rFonts w:ascii="Arial" w:hAnsi="Arial" w:cs="Arial"/>
          <w:b/>
          <w:sz w:val="22"/>
          <w:szCs w:val="22"/>
        </w:rPr>
        <w:t xml:space="preserve">2.8 </w:t>
      </w:r>
      <w:r w:rsidR="00E25EA2" w:rsidRPr="00750688">
        <w:rPr>
          <w:rFonts w:ascii="Arial" w:hAnsi="Arial" w:cs="Arial"/>
          <w:b/>
          <w:sz w:val="22"/>
          <w:szCs w:val="22"/>
        </w:rPr>
        <w:t xml:space="preserve">Antimicrobial Susceptibility </w:t>
      </w:r>
      <w:r w:rsidRPr="00750688">
        <w:rPr>
          <w:rFonts w:ascii="Arial" w:hAnsi="Arial" w:cs="Arial"/>
          <w:b/>
          <w:sz w:val="22"/>
          <w:szCs w:val="22"/>
        </w:rPr>
        <w:t xml:space="preserve">Testing </w:t>
      </w:r>
      <w:r w:rsidR="00E25EA2" w:rsidRPr="00750688">
        <w:rPr>
          <w:rFonts w:ascii="Arial" w:hAnsi="Arial" w:cs="Arial"/>
          <w:b/>
          <w:sz w:val="22"/>
          <w:szCs w:val="22"/>
        </w:rPr>
        <w:t>(AST)</w:t>
      </w:r>
    </w:p>
    <w:p w14:paraId="7048391E" w14:textId="77777777" w:rsidR="00E25EA2" w:rsidRPr="00E25EA2" w:rsidRDefault="00E25EA2" w:rsidP="00E25EA2">
      <w:pPr>
        <w:jc w:val="both"/>
        <w:rPr>
          <w:rFonts w:ascii="Arial" w:hAnsi="Arial" w:cs="Arial"/>
        </w:rPr>
      </w:pPr>
      <w:r w:rsidRPr="00E25EA2">
        <w:rPr>
          <w:rFonts w:ascii="Arial" w:hAnsi="Arial" w:cs="Arial"/>
        </w:rPr>
        <w:t xml:space="preserve">The susceptibility of the test organisms to the different antibiotics were assayed using Kirby </w:t>
      </w:r>
      <w:proofErr w:type="spellStart"/>
      <w:r w:rsidRPr="00E25EA2">
        <w:rPr>
          <w:rFonts w:ascii="Arial" w:hAnsi="Arial" w:cs="Arial"/>
        </w:rPr>
        <w:t>bauer</w:t>
      </w:r>
      <w:proofErr w:type="spellEnd"/>
      <w:r w:rsidRPr="00E25EA2">
        <w:rPr>
          <w:rFonts w:ascii="Arial" w:hAnsi="Arial" w:cs="Arial"/>
        </w:rPr>
        <w:t xml:space="preserve"> disk diffusion methods which conforms to the recommended standard of the Clinical and Laboratory Standards Institute (CLSI, 2015). Twenty </w:t>
      </w:r>
      <w:proofErr w:type="spellStart"/>
      <w:r w:rsidRPr="00E25EA2">
        <w:rPr>
          <w:rFonts w:ascii="Arial" w:hAnsi="Arial" w:cs="Arial"/>
        </w:rPr>
        <w:t>millilitre</w:t>
      </w:r>
      <w:proofErr w:type="spellEnd"/>
      <w:r w:rsidRPr="00E25EA2">
        <w:rPr>
          <w:rFonts w:ascii="Arial" w:hAnsi="Arial" w:cs="Arial"/>
        </w:rPr>
        <w:t xml:space="preserve"> (20 ml) of freshly prepared Mueller-Hinton agar was poured on each petri dish plates of same size and allowed to solidify. Turbidity of the inoculum of various bacterial isolates compared with 0.5 McFarland standard were streaked onto the surface of a sterile Mueller-Hinton agar plates using a sterile swab stick to ensure even distribution of the inoculum, the plates were allowed to dry and antibiotic discs with different concentrations were placed on the surface of the MH agar plates. The plates were allowed to standby for 30 minutes for pre-diffusion and incubated at </w:t>
      </w:r>
      <w:r w:rsidRPr="00E25EA2">
        <w:rPr>
          <w:rFonts w:ascii="Arial" w:hAnsi="Arial" w:cs="Arial"/>
        </w:rPr>
        <w:lastRenderedPageBreak/>
        <w:t>37°C for 24 hours. A transparent ruler was used to measure the diameter of the clear zones of inhibition (mm) and the results were recorded susceptible or resistant accordingly as per CLSI, (2015) criteria.</w:t>
      </w:r>
    </w:p>
    <w:p w14:paraId="1DC43441" w14:textId="77777777" w:rsidR="00E25EA2" w:rsidRPr="00E25EA2" w:rsidRDefault="00E25EA2" w:rsidP="00E25EA2">
      <w:pPr>
        <w:jc w:val="both"/>
        <w:rPr>
          <w:rFonts w:ascii="Arial" w:hAnsi="Arial" w:cs="Arial"/>
          <w:b/>
        </w:rPr>
      </w:pPr>
    </w:p>
    <w:p w14:paraId="0B155AF0" w14:textId="1F4877F7" w:rsidR="00E25EA2" w:rsidRPr="00750688" w:rsidRDefault="00750688" w:rsidP="00E25EA2">
      <w:pPr>
        <w:jc w:val="both"/>
        <w:rPr>
          <w:rFonts w:ascii="Arial" w:hAnsi="Arial" w:cs="Arial"/>
          <w:b/>
          <w:sz w:val="22"/>
          <w:szCs w:val="22"/>
        </w:rPr>
      </w:pPr>
      <w:r w:rsidRPr="00750688">
        <w:rPr>
          <w:rFonts w:ascii="Arial" w:hAnsi="Arial" w:cs="Arial"/>
          <w:b/>
          <w:sz w:val="24"/>
          <w:szCs w:val="24"/>
        </w:rPr>
        <w:t xml:space="preserve">3. </w:t>
      </w:r>
      <w:r w:rsidR="00E25EA2" w:rsidRPr="00750688">
        <w:rPr>
          <w:rFonts w:ascii="Arial" w:hAnsi="Arial" w:cs="Arial"/>
          <w:b/>
          <w:sz w:val="24"/>
          <w:szCs w:val="24"/>
        </w:rPr>
        <w:t>RESULTS</w:t>
      </w:r>
    </w:p>
    <w:p w14:paraId="4D4E5AF0" w14:textId="5870D923" w:rsidR="00E25EA2" w:rsidRPr="00750688" w:rsidRDefault="00750688" w:rsidP="00E25EA2">
      <w:pPr>
        <w:jc w:val="both"/>
        <w:rPr>
          <w:rFonts w:ascii="Arial" w:hAnsi="Arial" w:cs="Arial"/>
          <w:b/>
          <w:bCs/>
          <w:sz w:val="22"/>
          <w:szCs w:val="22"/>
        </w:rPr>
      </w:pPr>
      <w:r w:rsidRPr="00750688">
        <w:rPr>
          <w:rFonts w:ascii="Arial" w:hAnsi="Arial" w:cs="Arial"/>
          <w:b/>
          <w:bCs/>
          <w:sz w:val="22"/>
          <w:szCs w:val="22"/>
        </w:rPr>
        <w:t xml:space="preserve">3.1 </w:t>
      </w:r>
      <w:r w:rsidR="00E25EA2" w:rsidRPr="00750688">
        <w:rPr>
          <w:rFonts w:ascii="Arial" w:hAnsi="Arial" w:cs="Arial"/>
          <w:b/>
          <w:bCs/>
          <w:sz w:val="22"/>
          <w:szCs w:val="22"/>
        </w:rPr>
        <w:t>Morphological and Biochemical Characteristics of Bacterial Isolates</w:t>
      </w:r>
    </w:p>
    <w:p w14:paraId="52039A67" w14:textId="5F10835A" w:rsidR="00E25EA2" w:rsidRPr="00E25EA2" w:rsidRDefault="00E25EA2" w:rsidP="00E25EA2">
      <w:pPr>
        <w:jc w:val="both"/>
        <w:rPr>
          <w:rFonts w:ascii="Arial" w:hAnsi="Arial" w:cs="Arial"/>
        </w:rPr>
      </w:pPr>
      <w:r w:rsidRPr="00E25EA2">
        <w:rPr>
          <w:rFonts w:ascii="Arial" w:hAnsi="Arial" w:cs="Arial"/>
          <w:bCs/>
        </w:rPr>
        <w:t xml:space="preserve">Out of the 60 urine samples collected (30 each from male and female students), the colonial morphology, Gram staining reaction and biochemical characteristics of the cultured samples revealed that the organisms isolated </w:t>
      </w:r>
      <w:r w:rsidR="008E5215">
        <w:rPr>
          <w:rFonts w:ascii="Arial" w:hAnsi="Arial" w:cs="Arial"/>
          <w:bCs/>
        </w:rPr>
        <w:t>we</w:t>
      </w:r>
      <w:r w:rsidRPr="00E25EA2">
        <w:rPr>
          <w:rFonts w:ascii="Arial" w:hAnsi="Arial" w:cs="Arial"/>
          <w:bCs/>
        </w:rPr>
        <w:t xml:space="preserve">re </w:t>
      </w:r>
      <w:r w:rsidRPr="00E25EA2">
        <w:rPr>
          <w:rFonts w:ascii="Arial" w:hAnsi="Arial" w:cs="Arial"/>
          <w:i/>
        </w:rPr>
        <w:t xml:space="preserve">Klebsiella pneumoniae </w:t>
      </w:r>
      <w:r w:rsidRPr="00E25EA2">
        <w:rPr>
          <w:rFonts w:ascii="Arial" w:hAnsi="Arial" w:cs="Arial"/>
        </w:rPr>
        <w:t>and</w:t>
      </w:r>
      <w:r w:rsidRPr="00E25EA2">
        <w:rPr>
          <w:rFonts w:ascii="Arial" w:hAnsi="Arial" w:cs="Arial"/>
          <w:i/>
        </w:rPr>
        <w:t xml:space="preserve"> E. coli</w:t>
      </w:r>
      <w:r w:rsidR="00A905A1">
        <w:rPr>
          <w:rFonts w:ascii="Arial" w:hAnsi="Arial" w:cs="Arial"/>
          <w:i/>
        </w:rPr>
        <w:t>.</w:t>
      </w:r>
    </w:p>
    <w:p w14:paraId="6025ED2C" w14:textId="77777777" w:rsidR="008E5215" w:rsidRDefault="008E5215" w:rsidP="00E25EA2">
      <w:pPr>
        <w:jc w:val="both"/>
        <w:rPr>
          <w:rFonts w:ascii="Arial" w:hAnsi="Arial" w:cs="Arial"/>
          <w:b/>
          <w:bCs/>
        </w:rPr>
      </w:pPr>
    </w:p>
    <w:p w14:paraId="6F474CDD" w14:textId="073067A4" w:rsidR="00E25EA2" w:rsidRPr="00750688" w:rsidRDefault="00750688" w:rsidP="00E25EA2">
      <w:pPr>
        <w:jc w:val="both"/>
        <w:rPr>
          <w:rFonts w:ascii="Arial" w:hAnsi="Arial" w:cs="Arial"/>
          <w:b/>
          <w:sz w:val="22"/>
          <w:szCs w:val="22"/>
        </w:rPr>
      </w:pPr>
      <w:r>
        <w:rPr>
          <w:rFonts w:ascii="Arial" w:hAnsi="Arial" w:cs="Arial"/>
          <w:b/>
          <w:bCs/>
          <w:sz w:val="22"/>
          <w:szCs w:val="22"/>
        </w:rPr>
        <w:t xml:space="preserve">3.2 </w:t>
      </w:r>
      <w:r w:rsidR="00E25EA2" w:rsidRPr="00750688">
        <w:rPr>
          <w:rFonts w:ascii="Arial" w:hAnsi="Arial" w:cs="Arial"/>
          <w:b/>
          <w:bCs/>
          <w:sz w:val="22"/>
          <w:szCs w:val="22"/>
        </w:rPr>
        <w:t xml:space="preserve">Percentage </w:t>
      </w:r>
      <w:r w:rsidR="00E25EA2" w:rsidRPr="00750688">
        <w:rPr>
          <w:rFonts w:ascii="Arial" w:hAnsi="Arial" w:cs="Arial"/>
          <w:b/>
          <w:sz w:val="22"/>
          <w:szCs w:val="22"/>
        </w:rPr>
        <w:t xml:space="preserve">prevalence of </w:t>
      </w:r>
      <w:r w:rsidR="00E25EA2" w:rsidRPr="00750688">
        <w:rPr>
          <w:rFonts w:ascii="Arial" w:hAnsi="Arial" w:cs="Arial"/>
          <w:b/>
          <w:i/>
          <w:sz w:val="22"/>
          <w:szCs w:val="22"/>
        </w:rPr>
        <w:t>K. pneumoniae</w:t>
      </w:r>
      <w:r w:rsidR="00E25EA2" w:rsidRPr="00750688">
        <w:rPr>
          <w:rFonts w:ascii="Arial" w:hAnsi="Arial" w:cs="Arial"/>
          <w:b/>
          <w:sz w:val="22"/>
          <w:szCs w:val="22"/>
        </w:rPr>
        <w:t xml:space="preserve"> and </w:t>
      </w:r>
      <w:r w:rsidR="00E25EA2" w:rsidRPr="00750688">
        <w:rPr>
          <w:rFonts w:ascii="Arial" w:hAnsi="Arial" w:cs="Arial"/>
          <w:b/>
          <w:i/>
          <w:sz w:val="22"/>
          <w:szCs w:val="22"/>
        </w:rPr>
        <w:t xml:space="preserve">E. coli </w:t>
      </w:r>
      <w:r w:rsidR="00E25EA2" w:rsidRPr="00750688">
        <w:rPr>
          <w:rFonts w:ascii="Arial" w:hAnsi="Arial" w:cs="Arial"/>
          <w:b/>
          <w:sz w:val="22"/>
          <w:szCs w:val="22"/>
        </w:rPr>
        <w:t>recovered from urine samples of apparently healthy students of AE-FUNAI</w:t>
      </w:r>
    </w:p>
    <w:p w14:paraId="4ED2902A" w14:textId="1D5CA642" w:rsidR="00790ADA" w:rsidRPr="00E25EA2" w:rsidRDefault="00E25EA2" w:rsidP="00E25EA2">
      <w:pPr>
        <w:pStyle w:val="Body"/>
        <w:spacing w:after="0"/>
        <w:rPr>
          <w:rFonts w:ascii="Arial" w:hAnsi="Arial" w:cs="Arial"/>
        </w:rPr>
      </w:pPr>
      <w:r w:rsidRPr="00E25EA2">
        <w:rPr>
          <w:rFonts w:ascii="Arial" w:hAnsi="Arial" w:cs="Arial"/>
        </w:rPr>
        <w:t xml:space="preserve">The results of the percentage prevalence of </w:t>
      </w:r>
      <w:r w:rsidRPr="00E25EA2">
        <w:rPr>
          <w:rFonts w:ascii="Arial" w:hAnsi="Arial" w:cs="Arial"/>
          <w:i/>
        </w:rPr>
        <w:t xml:space="preserve">K. pneumoniae </w:t>
      </w:r>
      <w:r w:rsidRPr="00E25EA2">
        <w:rPr>
          <w:rFonts w:ascii="Arial" w:hAnsi="Arial" w:cs="Arial"/>
        </w:rPr>
        <w:t>and</w:t>
      </w:r>
      <w:r w:rsidRPr="00E25EA2">
        <w:rPr>
          <w:rFonts w:ascii="Arial" w:hAnsi="Arial" w:cs="Arial"/>
          <w:i/>
        </w:rPr>
        <w:t xml:space="preserve"> E. coli</w:t>
      </w:r>
      <w:r w:rsidRPr="00E25EA2">
        <w:rPr>
          <w:rFonts w:ascii="Arial" w:hAnsi="Arial" w:cs="Arial"/>
        </w:rPr>
        <w:t xml:space="preserve"> among male students was 4(13.3%) and 17(56.7%) respectively. While, the prevalence of </w:t>
      </w:r>
      <w:r w:rsidRPr="00E25EA2">
        <w:rPr>
          <w:rFonts w:ascii="Arial" w:hAnsi="Arial" w:cs="Arial"/>
          <w:i/>
        </w:rPr>
        <w:t xml:space="preserve">K. pneumoniae </w:t>
      </w:r>
      <w:r w:rsidRPr="00E25EA2">
        <w:rPr>
          <w:rFonts w:ascii="Arial" w:hAnsi="Arial" w:cs="Arial"/>
        </w:rPr>
        <w:t>and</w:t>
      </w:r>
      <w:r w:rsidRPr="00E25EA2">
        <w:rPr>
          <w:rFonts w:ascii="Arial" w:hAnsi="Arial" w:cs="Arial"/>
          <w:i/>
        </w:rPr>
        <w:t xml:space="preserve"> E. coli </w:t>
      </w:r>
      <w:r w:rsidRPr="00E25EA2">
        <w:rPr>
          <w:rFonts w:ascii="Arial" w:hAnsi="Arial" w:cs="Arial"/>
        </w:rPr>
        <w:t>among female students are 11(36.7%) and 20(66.7) respectively. The total percentage prevalence of</w:t>
      </w:r>
      <w:r w:rsidRPr="00E25EA2">
        <w:rPr>
          <w:rFonts w:ascii="Arial" w:hAnsi="Arial" w:cs="Arial"/>
          <w:i/>
        </w:rPr>
        <w:t xml:space="preserve"> K. pneumoniae </w:t>
      </w:r>
      <w:r w:rsidRPr="00E25EA2">
        <w:rPr>
          <w:rFonts w:ascii="Arial" w:hAnsi="Arial" w:cs="Arial"/>
        </w:rPr>
        <w:t>and</w:t>
      </w:r>
      <w:r w:rsidRPr="00E25EA2">
        <w:rPr>
          <w:rFonts w:ascii="Arial" w:hAnsi="Arial" w:cs="Arial"/>
          <w:i/>
        </w:rPr>
        <w:t xml:space="preserve"> E. coli</w:t>
      </w:r>
      <w:r w:rsidRPr="00E25EA2">
        <w:rPr>
          <w:rFonts w:ascii="Arial" w:hAnsi="Arial" w:cs="Arial"/>
        </w:rPr>
        <w:t xml:space="preserve"> among AE-FUNAI students residing off campus are 15(25%)</w:t>
      </w:r>
      <w:r w:rsidRPr="00E25EA2">
        <w:rPr>
          <w:rFonts w:ascii="Arial" w:hAnsi="Arial" w:cs="Arial"/>
          <w:b/>
        </w:rPr>
        <w:t xml:space="preserve"> </w:t>
      </w:r>
      <w:r w:rsidRPr="00E25EA2">
        <w:rPr>
          <w:rFonts w:ascii="Arial" w:hAnsi="Arial" w:cs="Arial"/>
        </w:rPr>
        <w:t>and 31(51.7%)</w:t>
      </w:r>
      <w:r w:rsidRPr="00E25EA2">
        <w:rPr>
          <w:rFonts w:ascii="Arial" w:hAnsi="Arial" w:cs="Arial"/>
          <w:b/>
        </w:rPr>
        <w:t xml:space="preserve"> </w:t>
      </w:r>
      <w:r w:rsidRPr="00E25EA2">
        <w:rPr>
          <w:rFonts w:ascii="Arial" w:hAnsi="Arial" w:cs="Arial"/>
        </w:rPr>
        <w:t>respectively.</w:t>
      </w:r>
    </w:p>
    <w:p w14:paraId="2A82AC44" w14:textId="77777777" w:rsidR="008E5215" w:rsidRDefault="008E5215" w:rsidP="00441B6F">
      <w:pPr>
        <w:pStyle w:val="AbstHead"/>
        <w:spacing w:after="0"/>
        <w:jc w:val="both"/>
        <w:rPr>
          <w:rFonts w:ascii="Arial" w:hAnsi="Arial" w:cs="Arial"/>
        </w:rPr>
      </w:pPr>
    </w:p>
    <w:p w14:paraId="192E6C56" w14:textId="77777777" w:rsidR="00A905A1" w:rsidRDefault="00A905A1" w:rsidP="00A905A1">
      <w:pPr>
        <w:pStyle w:val="NoSpacing"/>
        <w:spacing w:line="480" w:lineRule="auto"/>
        <w:jc w:val="both"/>
        <w:rPr>
          <w:rFonts w:ascii="Arial" w:hAnsi="Arial" w:cs="Arial"/>
          <w:b/>
          <w:bCs/>
          <w:sz w:val="24"/>
          <w:szCs w:val="24"/>
        </w:rPr>
      </w:pPr>
    </w:p>
    <w:p w14:paraId="2D84DF6C" w14:textId="77777777" w:rsidR="00A905A1" w:rsidRDefault="00A905A1" w:rsidP="00A905A1">
      <w:pPr>
        <w:pStyle w:val="NoSpacing"/>
        <w:spacing w:line="480" w:lineRule="auto"/>
        <w:jc w:val="both"/>
        <w:rPr>
          <w:rFonts w:ascii="Arial" w:hAnsi="Arial" w:cs="Arial"/>
          <w:b/>
          <w:bCs/>
          <w:sz w:val="24"/>
          <w:szCs w:val="24"/>
        </w:rPr>
      </w:pPr>
    </w:p>
    <w:p w14:paraId="73EAB9C7" w14:textId="77777777" w:rsidR="00A905A1" w:rsidRDefault="00A905A1" w:rsidP="00A905A1">
      <w:pPr>
        <w:pStyle w:val="NoSpacing"/>
        <w:spacing w:line="480" w:lineRule="auto"/>
        <w:jc w:val="both"/>
        <w:rPr>
          <w:rFonts w:ascii="Arial" w:hAnsi="Arial" w:cs="Arial"/>
          <w:b/>
          <w:bCs/>
          <w:sz w:val="24"/>
          <w:szCs w:val="24"/>
        </w:rPr>
      </w:pPr>
    </w:p>
    <w:p w14:paraId="55570737" w14:textId="77777777" w:rsidR="00A905A1" w:rsidRDefault="00A905A1" w:rsidP="00A905A1">
      <w:pPr>
        <w:pStyle w:val="NoSpacing"/>
        <w:spacing w:line="480" w:lineRule="auto"/>
        <w:jc w:val="both"/>
        <w:rPr>
          <w:rFonts w:ascii="Arial" w:hAnsi="Arial" w:cs="Arial"/>
          <w:b/>
          <w:bCs/>
          <w:sz w:val="24"/>
          <w:szCs w:val="24"/>
        </w:rPr>
      </w:pPr>
    </w:p>
    <w:p w14:paraId="17938F6F" w14:textId="77777777" w:rsidR="00A905A1" w:rsidRDefault="00A905A1" w:rsidP="00A905A1">
      <w:pPr>
        <w:pStyle w:val="NoSpacing"/>
        <w:spacing w:line="480" w:lineRule="auto"/>
        <w:jc w:val="both"/>
        <w:rPr>
          <w:rFonts w:ascii="Arial" w:hAnsi="Arial" w:cs="Arial"/>
          <w:b/>
          <w:bCs/>
          <w:sz w:val="24"/>
          <w:szCs w:val="24"/>
        </w:rPr>
      </w:pPr>
    </w:p>
    <w:p w14:paraId="55323BA9" w14:textId="77777777" w:rsidR="00A905A1" w:rsidRDefault="00A905A1" w:rsidP="00A905A1">
      <w:pPr>
        <w:pStyle w:val="NoSpacing"/>
        <w:spacing w:line="480" w:lineRule="auto"/>
        <w:jc w:val="both"/>
        <w:rPr>
          <w:rFonts w:ascii="Arial" w:hAnsi="Arial" w:cs="Arial"/>
          <w:b/>
          <w:bCs/>
          <w:sz w:val="24"/>
          <w:szCs w:val="24"/>
        </w:rPr>
      </w:pPr>
    </w:p>
    <w:p w14:paraId="7484BB36" w14:textId="77777777" w:rsidR="00A905A1" w:rsidRDefault="00A905A1" w:rsidP="00A905A1">
      <w:pPr>
        <w:pStyle w:val="NoSpacing"/>
        <w:spacing w:line="480" w:lineRule="auto"/>
        <w:jc w:val="both"/>
        <w:rPr>
          <w:rFonts w:ascii="Arial" w:hAnsi="Arial" w:cs="Arial"/>
          <w:b/>
          <w:bCs/>
          <w:sz w:val="24"/>
          <w:szCs w:val="24"/>
        </w:rPr>
      </w:pPr>
    </w:p>
    <w:p w14:paraId="71580A83" w14:textId="77777777" w:rsidR="00A905A1" w:rsidRDefault="00A905A1" w:rsidP="00A905A1">
      <w:pPr>
        <w:pStyle w:val="NoSpacing"/>
        <w:spacing w:line="480" w:lineRule="auto"/>
        <w:jc w:val="both"/>
        <w:rPr>
          <w:rFonts w:ascii="Arial" w:hAnsi="Arial" w:cs="Arial"/>
          <w:b/>
          <w:bCs/>
          <w:sz w:val="24"/>
          <w:szCs w:val="24"/>
        </w:rPr>
      </w:pPr>
    </w:p>
    <w:p w14:paraId="38A7D1F3" w14:textId="77777777" w:rsidR="00A905A1" w:rsidRDefault="00A905A1" w:rsidP="00A905A1">
      <w:pPr>
        <w:pStyle w:val="NoSpacing"/>
        <w:spacing w:line="480" w:lineRule="auto"/>
        <w:jc w:val="both"/>
        <w:rPr>
          <w:rFonts w:ascii="Arial" w:hAnsi="Arial" w:cs="Arial"/>
          <w:b/>
          <w:bCs/>
          <w:sz w:val="24"/>
          <w:szCs w:val="24"/>
        </w:rPr>
      </w:pPr>
    </w:p>
    <w:p w14:paraId="4673AC98" w14:textId="77777777" w:rsidR="00A905A1" w:rsidRDefault="00A905A1" w:rsidP="00A905A1">
      <w:pPr>
        <w:pStyle w:val="NoSpacing"/>
        <w:spacing w:line="480" w:lineRule="auto"/>
        <w:jc w:val="both"/>
        <w:rPr>
          <w:rFonts w:ascii="Arial" w:hAnsi="Arial" w:cs="Arial"/>
          <w:b/>
          <w:bCs/>
          <w:sz w:val="24"/>
          <w:szCs w:val="24"/>
        </w:rPr>
      </w:pPr>
    </w:p>
    <w:p w14:paraId="4044D5AD" w14:textId="77777777" w:rsidR="00A905A1" w:rsidRDefault="00A905A1" w:rsidP="00A905A1">
      <w:pPr>
        <w:pStyle w:val="NoSpacing"/>
        <w:spacing w:line="480" w:lineRule="auto"/>
        <w:jc w:val="both"/>
        <w:rPr>
          <w:rFonts w:ascii="Arial" w:hAnsi="Arial" w:cs="Arial"/>
          <w:b/>
          <w:bCs/>
          <w:sz w:val="24"/>
          <w:szCs w:val="24"/>
        </w:rPr>
        <w:sectPr w:rsidR="00A905A1" w:rsidSect="008E49E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7122406" w14:textId="46BD8518" w:rsidR="00A905A1" w:rsidRPr="004C4810" w:rsidRDefault="00BB4B73" w:rsidP="00A905A1">
      <w:pPr>
        <w:pStyle w:val="NoSpacing"/>
        <w:spacing w:line="480" w:lineRule="auto"/>
        <w:jc w:val="both"/>
        <w:rPr>
          <w:rFonts w:ascii="Arial" w:hAnsi="Arial" w:cs="Arial"/>
          <w:iCs/>
        </w:rPr>
      </w:pPr>
      <w:r>
        <w:rPr>
          <w:rFonts w:ascii="Arial" w:hAnsi="Arial" w:cs="Arial"/>
        </w:rPr>
        <w:lastRenderedPageBreak/>
        <w:pict w14:anchorId="6A8A0432">
          <v:shape id="_x0000_s1041" type="#_x0000_t32" style="position:absolute;left:0;text-align:left;margin-left:-14.25pt;margin-top:190.15pt;width:560.25pt;height:0;z-index:251661312" o:connectortype="straight" strokeweight="1.5pt"/>
        </w:pict>
      </w:r>
      <w:r w:rsidR="00A905A1" w:rsidRPr="004C4810">
        <w:rPr>
          <w:rFonts w:ascii="Arial" w:hAnsi="Arial" w:cs="Arial"/>
          <w:b/>
          <w:bCs/>
        </w:rPr>
        <w:t>Table 1: Morphological and Biochemical Characteristics of Test Bacteria</w:t>
      </w:r>
      <w:r>
        <w:rPr>
          <w:rFonts w:ascii="Arial" w:hAnsi="Arial" w:cs="Arial"/>
        </w:rPr>
        <w:pict w14:anchorId="2E220797">
          <v:shape id="_x0000_s1039" type="#_x0000_t32" style="position:absolute;left:0;text-align:left;margin-left:-6.75pt;margin-top:21.9pt;width:556.5pt;height:0;z-index:251659264;mso-position-horizontal-relative:text;mso-position-vertical-relative:text" o:connectortype="straight" strokeweight="1.5p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170"/>
        <w:gridCol w:w="720"/>
        <w:gridCol w:w="720"/>
        <w:gridCol w:w="720"/>
        <w:gridCol w:w="1080"/>
        <w:gridCol w:w="1080"/>
        <w:gridCol w:w="2160"/>
      </w:tblGrid>
      <w:tr w:rsidR="00A905A1" w:rsidRPr="005B4EE5" w14:paraId="2254A2B9" w14:textId="77777777">
        <w:tc>
          <w:tcPr>
            <w:tcW w:w="3078" w:type="dxa"/>
            <w:hideMark/>
          </w:tcPr>
          <w:p w14:paraId="5DFCBFA3" w14:textId="77777777" w:rsidR="00A905A1" w:rsidRPr="005B4EE5" w:rsidRDefault="00A905A1">
            <w:pPr>
              <w:spacing w:line="480" w:lineRule="auto"/>
              <w:jc w:val="both"/>
              <w:rPr>
                <w:rFonts w:ascii="Arial" w:hAnsi="Arial" w:cs="Arial"/>
                <w:sz w:val="20"/>
                <w:szCs w:val="20"/>
              </w:rPr>
            </w:pPr>
            <w:r w:rsidRPr="005B4EE5">
              <w:rPr>
                <w:rFonts w:ascii="Arial" w:hAnsi="Arial" w:cs="Arial"/>
                <w:b/>
                <w:sz w:val="20"/>
                <w:szCs w:val="20"/>
              </w:rPr>
              <w:t>Colonial morphology</w:t>
            </w:r>
          </w:p>
        </w:tc>
        <w:tc>
          <w:tcPr>
            <w:tcW w:w="1170" w:type="dxa"/>
            <w:hideMark/>
          </w:tcPr>
          <w:p w14:paraId="4450B8AA" w14:textId="77777777" w:rsidR="00A905A1" w:rsidRPr="005B4EE5" w:rsidRDefault="00A905A1">
            <w:pPr>
              <w:spacing w:line="480" w:lineRule="auto"/>
              <w:jc w:val="both"/>
              <w:rPr>
                <w:rFonts w:ascii="Arial" w:hAnsi="Arial" w:cs="Arial"/>
                <w:b/>
                <w:sz w:val="20"/>
                <w:szCs w:val="20"/>
              </w:rPr>
            </w:pPr>
            <w:r w:rsidRPr="005B4EE5">
              <w:rPr>
                <w:rFonts w:ascii="Arial" w:hAnsi="Arial" w:cs="Arial"/>
                <w:b/>
                <w:sz w:val="20"/>
                <w:szCs w:val="20"/>
              </w:rPr>
              <w:t>Grams</w:t>
            </w:r>
          </w:p>
          <w:p w14:paraId="67C9338A" w14:textId="77777777" w:rsidR="00A905A1" w:rsidRPr="005B4EE5" w:rsidRDefault="00A905A1">
            <w:pPr>
              <w:spacing w:line="480" w:lineRule="auto"/>
              <w:jc w:val="both"/>
              <w:rPr>
                <w:rFonts w:ascii="Arial" w:hAnsi="Arial" w:cs="Arial"/>
                <w:b/>
                <w:sz w:val="20"/>
                <w:szCs w:val="20"/>
              </w:rPr>
            </w:pPr>
            <w:r w:rsidRPr="005B4EE5">
              <w:rPr>
                <w:rFonts w:ascii="Arial" w:hAnsi="Arial" w:cs="Arial"/>
                <w:b/>
                <w:sz w:val="20"/>
                <w:szCs w:val="20"/>
              </w:rPr>
              <w:t>Reaction</w:t>
            </w:r>
          </w:p>
        </w:tc>
        <w:tc>
          <w:tcPr>
            <w:tcW w:w="4320" w:type="dxa"/>
            <w:gridSpan w:val="5"/>
            <w:hideMark/>
          </w:tcPr>
          <w:p w14:paraId="2CCB108C" w14:textId="77777777" w:rsidR="00A905A1" w:rsidRPr="005B4EE5" w:rsidRDefault="00A905A1">
            <w:pPr>
              <w:spacing w:line="480" w:lineRule="auto"/>
              <w:jc w:val="both"/>
              <w:rPr>
                <w:rFonts w:ascii="Arial" w:hAnsi="Arial" w:cs="Arial"/>
                <w:b/>
                <w:sz w:val="20"/>
                <w:szCs w:val="20"/>
              </w:rPr>
            </w:pPr>
            <w:r w:rsidRPr="005B4EE5">
              <w:rPr>
                <w:rFonts w:ascii="Arial" w:hAnsi="Arial" w:cs="Arial"/>
                <w:b/>
                <w:sz w:val="20"/>
                <w:szCs w:val="20"/>
              </w:rPr>
              <w:t xml:space="preserve">Biochemical Characteristics of </w:t>
            </w:r>
          </w:p>
          <w:p w14:paraId="0546956B" w14:textId="77777777" w:rsidR="00A905A1" w:rsidRPr="005B4EE5" w:rsidRDefault="00A905A1">
            <w:pPr>
              <w:spacing w:line="480" w:lineRule="auto"/>
              <w:jc w:val="both"/>
              <w:rPr>
                <w:rFonts w:ascii="Arial" w:hAnsi="Arial" w:cs="Arial"/>
                <w:b/>
                <w:sz w:val="20"/>
                <w:szCs w:val="20"/>
              </w:rPr>
            </w:pPr>
            <w:r w:rsidRPr="005B4EE5">
              <w:rPr>
                <w:rFonts w:ascii="Arial" w:hAnsi="Arial" w:cs="Arial"/>
                <w:b/>
                <w:sz w:val="20"/>
                <w:szCs w:val="20"/>
              </w:rPr>
              <w:t>the Bacterial Isolates</w:t>
            </w:r>
          </w:p>
        </w:tc>
        <w:tc>
          <w:tcPr>
            <w:tcW w:w="2160" w:type="dxa"/>
            <w:hideMark/>
          </w:tcPr>
          <w:p w14:paraId="7FDED314" w14:textId="77777777" w:rsidR="00A905A1" w:rsidRPr="005B4EE5" w:rsidRDefault="00A905A1">
            <w:pPr>
              <w:spacing w:line="480" w:lineRule="auto"/>
              <w:jc w:val="both"/>
              <w:rPr>
                <w:rFonts w:ascii="Arial" w:hAnsi="Arial" w:cs="Arial"/>
                <w:b/>
                <w:sz w:val="20"/>
                <w:szCs w:val="20"/>
              </w:rPr>
            </w:pPr>
            <w:r w:rsidRPr="005B4EE5">
              <w:rPr>
                <w:rFonts w:ascii="Arial" w:hAnsi="Arial" w:cs="Arial"/>
                <w:b/>
                <w:sz w:val="20"/>
                <w:szCs w:val="20"/>
              </w:rPr>
              <w:t>Possible Bacteria Isolated</w:t>
            </w:r>
          </w:p>
        </w:tc>
      </w:tr>
      <w:tr w:rsidR="00A905A1" w:rsidRPr="005B4EE5" w14:paraId="04E1D34D" w14:textId="77777777">
        <w:tc>
          <w:tcPr>
            <w:tcW w:w="3078" w:type="dxa"/>
            <w:hideMark/>
          </w:tcPr>
          <w:p w14:paraId="23F361CF" w14:textId="77777777" w:rsidR="00A905A1" w:rsidRPr="005B4EE5" w:rsidRDefault="00BB4B73">
            <w:pPr>
              <w:jc w:val="both"/>
              <w:rPr>
                <w:rFonts w:ascii="Arial" w:hAnsi="Arial" w:cs="Arial"/>
                <w:b/>
                <w:sz w:val="20"/>
                <w:szCs w:val="20"/>
              </w:rPr>
            </w:pPr>
            <w:r>
              <w:rPr>
                <w:rFonts w:ascii="Arial" w:hAnsi="Arial" w:cs="Arial"/>
              </w:rPr>
              <w:pict w14:anchorId="4BCFD1EC">
                <v:shape id="_x0000_s1040" type="#_x0000_t32" style="position:absolute;left:0;text-align:left;margin-left:-9.75pt;margin-top:14.1pt;width:559.5pt;height:0;z-index:251660288;mso-position-horizontal-relative:text;mso-position-vertical-relative:text" o:connectortype="straight" strokeweight="1.5pt"/>
              </w:pict>
            </w:r>
          </w:p>
        </w:tc>
        <w:tc>
          <w:tcPr>
            <w:tcW w:w="1170" w:type="dxa"/>
          </w:tcPr>
          <w:p w14:paraId="4AFC0A6E" w14:textId="77777777" w:rsidR="00A905A1" w:rsidRPr="005B4EE5" w:rsidRDefault="00A905A1">
            <w:pPr>
              <w:jc w:val="both"/>
              <w:rPr>
                <w:rFonts w:ascii="Arial" w:hAnsi="Arial" w:cs="Arial"/>
                <w:b/>
                <w:sz w:val="20"/>
                <w:szCs w:val="20"/>
              </w:rPr>
            </w:pPr>
          </w:p>
        </w:tc>
        <w:tc>
          <w:tcPr>
            <w:tcW w:w="720" w:type="dxa"/>
            <w:hideMark/>
          </w:tcPr>
          <w:p w14:paraId="4228FBB2" w14:textId="77777777" w:rsidR="00A905A1" w:rsidRPr="005B4EE5" w:rsidRDefault="00A905A1">
            <w:pPr>
              <w:jc w:val="both"/>
              <w:rPr>
                <w:rFonts w:ascii="Arial" w:hAnsi="Arial" w:cs="Arial"/>
                <w:sz w:val="20"/>
                <w:szCs w:val="20"/>
              </w:rPr>
            </w:pPr>
            <w:r w:rsidRPr="005B4EE5">
              <w:rPr>
                <w:rFonts w:ascii="Arial" w:hAnsi="Arial" w:cs="Arial"/>
                <w:b/>
                <w:sz w:val="20"/>
                <w:szCs w:val="20"/>
              </w:rPr>
              <w:t>CT</w:t>
            </w:r>
          </w:p>
        </w:tc>
        <w:tc>
          <w:tcPr>
            <w:tcW w:w="720" w:type="dxa"/>
            <w:hideMark/>
          </w:tcPr>
          <w:p w14:paraId="394CBE6C" w14:textId="77777777" w:rsidR="00A905A1" w:rsidRPr="005B4EE5" w:rsidRDefault="00A905A1">
            <w:pPr>
              <w:jc w:val="both"/>
              <w:rPr>
                <w:rFonts w:ascii="Arial" w:hAnsi="Arial" w:cs="Arial"/>
                <w:sz w:val="20"/>
                <w:szCs w:val="20"/>
              </w:rPr>
            </w:pPr>
            <w:r w:rsidRPr="005B4EE5">
              <w:rPr>
                <w:rFonts w:ascii="Arial" w:hAnsi="Arial" w:cs="Arial"/>
                <w:b/>
                <w:sz w:val="20"/>
                <w:szCs w:val="20"/>
              </w:rPr>
              <w:t>OT</w:t>
            </w:r>
          </w:p>
        </w:tc>
        <w:tc>
          <w:tcPr>
            <w:tcW w:w="720" w:type="dxa"/>
            <w:hideMark/>
          </w:tcPr>
          <w:p w14:paraId="5031F825" w14:textId="77777777" w:rsidR="00A905A1" w:rsidRPr="005B4EE5" w:rsidRDefault="00A905A1">
            <w:pPr>
              <w:jc w:val="both"/>
              <w:rPr>
                <w:rFonts w:ascii="Arial" w:hAnsi="Arial" w:cs="Arial"/>
                <w:sz w:val="20"/>
                <w:szCs w:val="20"/>
              </w:rPr>
            </w:pPr>
            <w:r w:rsidRPr="005B4EE5">
              <w:rPr>
                <w:rFonts w:ascii="Arial" w:hAnsi="Arial" w:cs="Arial"/>
                <w:b/>
                <w:sz w:val="20"/>
                <w:szCs w:val="20"/>
              </w:rPr>
              <w:t>I T</w:t>
            </w:r>
          </w:p>
        </w:tc>
        <w:tc>
          <w:tcPr>
            <w:tcW w:w="1080" w:type="dxa"/>
            <w:hideMark/>
          </w:tcPr>
          <w:p w14:paraId="28098526" w14:textId="77777777" w:rsidR="00A905A1" w:rsidRPr="005B4EE5" w:rsidRDefault="00A905A1">
            <w:pPr>
              <w:jc w:val="both"/>
              <w:rPr>
                <w:rFonts w:ascii="Arial" w:hAnsi="Arial" w:cs="Arial"/>
                <w:b/>
                <w:sz w:val="20"/>
                <w:szCs w:val="20"/>
              </w:rPr>
            </w:pPr>
            <w:r w:rsidRPr="005B4EE5">
              <w:rPr>
                <w:rFonts w:ascii="Arial" w:hAnsi="Arial" w:cs="Arial"/>
                <w:b/>
                <w:sz w:val="20"/>
                <w:szCs w:val="20"/>
              </w:rPr>
              <w:t>Citrate</w:t>
            </w:r>
          </w:p>
        </w:tc>
        <w:tc>
          <w:tcPr>
            <w:tcW w:w="1080" w:type="dxa"/>
            <w:hideMark/>
          </w:tcPr>
          <w:p w14:paraId="1045D741" w14:textId="77777777" w:rsidR="00A905A1" w:rsidRPr="005B4EE5" w:rsidRDefault="00A905A1">
            <w:pPr>
              <w:jc w:val="both"/>
              <w:rPr>
                <w:rFonts w:ascii="Arial" w:hAnsi="Arial" w:cs="Arial"/>
                <w:b/>
                <w:sz w:val="20"/>
                <w:szCs w:val="20"/>
              </w:rPr>
            </w:pPr>
            <w:r w:rsidRPr="005B4EE5">
              <w:rPr>
                <w:rFonts w:ascii="Arial" w:hAnsi="Arial" w:cs="Arial"/>
                <w:b/>
                <w:sz w:val="20"/>
                <w:szCs w:val="20"/>
              </w:rPr>
              <w:t>MT</w:t>
            </w:r>
          </w:p>
        </w:tc>
        <w:tc>
          <w:tcPr>
            <w:tcW w:w="2160" w:type="dxa"/>
          </w:tcPr>
          <w:p w14:paraId="625F80EC" w14:textId="77777777" w:rsidR="00A905A1" w:rsidRPr="005B4EE5" w:rsidRDefault="00A905A1">
            <w:pPr>
              <w:jc w:val="both"/>
              <w:rPr>
                <w:rFonts w:ascii="Arial" w:hAnsi="Arial" w:cs="Arial"/>
                <w:b/>
                <w:sz w:val="20"/>
                <w:szCs w:val="20"/>
              </w:rPr>
            </w:pPr>
          </w:p>
        </w:tc>
      </w:tr>
      <w:tr w:rsidR="00A905A1" w:rsidRPr="005B4EE5" w14:paraId="70E99ED6" w14:textId="77777777">
        <w:tc>
          <w:tcPr>
            <w:tcW w:w="3078" w:type="dxa"/>
          </w:tcPr>
          <w:p w14:paraId="6673E439" w14:textId="77777777" w:rsidR="00A905A1" w:rsidRPr="004C4810" w:rsidRDefault="00A905A1">
            <w:pPr>
              <w:jc w:val="both"/>
              <w:rPr>
                <w:rFonts w:ascii="Arial" w:hAnsi="Arial" w:cs="Arial"/>
                <w:sz w:val="20"/>
                <w:szCs w:val="20"/>
              </w:rPr>
            </w:pPr>
          </w:p>
          <w:p w14:paraId="070741D7" w14:textId="77777777" w:rsidR="00A905A1" w:rsidRPr="004C4810" w:rsidRDefault="00A905A1">
            <w:pPr>
              <w:jc w:val="both"/>
              <w:rPr>
                <w:rFonts w:ascii="Arial" w:hAnsi="Arial" w:cs="Arial"/>
                <w:sz w:val="20"/>
                <w:szCs w:val="20"/>
              </w:rPr>
            </w:pPr>
            <w:r w:rsidRPr="004C4810">
              <w:rPr>
                <w:rFonts w:ascii="Arial" w:hAnsi="Arial" w:cs="Arial"/>
                <w:sz w:val="20"/>
                <w:szCs w:val="20"/>
              </w:rPr>
              <w:t>Large, circular, pinkish and mucoid with foul smelling colonies often with dark spots on EMB agar</w:t>
            </w:r>
          </w:p>
        </w:tc>
        <w:tc>
          <w:tcPr>
            <w:tcW w:w="1170" w:type="dxa"/>
          </w:tcPr>
          <w:p w14:paraId="3C75947F" w14:textId="77777777" w:rsidR="00A905A1" w:rsidRPr="004C4810" w:rsidRDefault="00A905A1">
            <w:pPr>
              <w:jc w:val="both"/>
              <w:rPr>
                <w:rFonts w:ascii="Arial" w:hAnsi="Arial" w:cs="Arial"/>
                <w:sz w:val="20"/>
                <w:szCs w:val="20"/>
              </w:rPr>
            </w:pPr>
          </w:p>
          <w:p w14:paraId="05CE993E"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720" w:type="dxa"/>
          </w:tcPr>
          <w:p w14:paraId="61D98F7A" w14:textId="77777777" w:rsidR="00A905A1" w:rsidRPr="004C4810" w:rsidRDefault="00A905A1">
            <w:pPr>
              <w:jc w:val="both"/>
              <w:rPr>
                <w:rFonts w:ascii="Arial" w:hAnsi="Arial" w:cs="Arial"/>
                <w:sz w:val="20"/>
                <w:szCs w:val="20"/>
              </w:rPr>
            </w:pPr>
          </w:p>
          <w:p w14:paraId="72621EBF"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720" w:type="dxa"/>
          </w:tcPr>
          <w:p w14:paraId="39428703" w14:textId="77777777" w:rsidR="00A905A1" w:rsidRPr="004C4810" w:rsidRDefault="00A905A1">
            <w:pPr>
              <w:jc w:val="both"/>
              <w:rPr>
                <w:rFonts w:ascii="Arial" w:hAnsi="Arial" w:cs="Arial"/>
                <w:sz w:val="20"/>
                <w:szCs w:val="20"/>
              </w:rPr>
            </w:pPr>
          </w:p>
          <w:p w14:paraId="48426138"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720" w:type="dxa"/>
          </w:tcPr>
          <w:p w14:paraId="35988719" w14:textId="77777777" w:rsidR="00A905A1" w:rsidRPr="004C4810" w:rsidRDefault="00A905A1">
            <w:pPr>
              <w:jc w:val="both"/>
              <w:rPr>
                <w:rFonts w:ascii="Arial" w:hAnsi="Arial" w:cs="Arial"/>
                <w:sz w:val="20"/>
                <w:szCs w:val="20"/>
              </w:rPr>
            </w:pPr>
          </w:p>
          <w:p w14:paraId="3783972F"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1080" w:type="dxa"/>
          </w:tcPr>
          <w:p w14:paraId="4E4BBC64" w14:textId="77777777" w:rsidR="00A905A1" w:rsidRPr="004C4810" w:rsidRDefault="00A905A1">
            <w:pPr>
              <w:jc w:val="both"/>
              <w:rPr>
                <w:rFonts w:ascii="Arial" w:hAnsi="Arial" w:cs="Arial"/>
                <w:sz w:val="20"/>
                <w:szCs w:val="20"/>
              </w:rPr>
            </w:pPr>
          </w:p>
          <w:p w14:paraId="4A872BC2"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1080" w:type="dxa"/>
          </w:tcPr>
          <w:p w14:paraId="3EA68CBD" w14:textId="77777777" w:rsidR="00A905A1" w:rsidRPr="004C4810" w:rsidRDefault="00A905A1">
            <w:pPr>
              <w:jc w:val="both"/>
              <w:rPr>
                <w:rFonts w:ascii="Arial" w:hAnsi="Arial" w:cs="Arial"/>
                <w:i/>
                <w:sz w:val="20"/>
                <w:szCs w:val="20"/>
              </w:rPr>
            </w:pPr>
          </w:p>
          <w:p w14:paraId="167211A5" w14:textId="77777777" w:rsidR="00A905A1" w:rsidRPr="004C4810" w:rsidRDefault="00A905A1">
            <w:pPr>
              <w:jc w:val="both"/>
              <w:rPr>
                <w:rFonts w:ascii="Arial" w:hAnsi="Arial" w:cs="Arial"/>
                <w:i/>
                <w:sz w:val="20"/>
                <w:szCs w:val="20"/>
              </w:rPr>
            </w:pPr>
            <w:r w:rsidRPr="004C4810">
              <w:rPr>
                <w:rFonts w:ascii="Arial" w:hAnsi="Arial" w:cs="Arial"/>
                <w:i/>
                <w:sz w:val="20"/>
                <w:szCs w:val="20"/>
              </w:rPr>
              <w:t>-</w:t>
            </w:r>
          </w:p>
        </w:tc>
        <w:tc>
          <w:tcPr>
            <w:tcW w:w="2160" w:type="dxa"/>
          </w:tcPr>
          <w:p w14:paraId="311B9865" w14:textId="77777777" w:rsidR="00A905A1" w:rsidRPr="004C4810" w:rsidRDefault="00A905A1">
            <w:pPr>
              <w:jc w:val="both"/>
              <w:rPr>
                <w:rFonts w:ascii="Arial" w:hAnsi="Arial" w:cs="Arial"/>
                <w:i/>
                <w:sz w:val="20"/>
                <w:szCs w:val="20"/>
              </w:rPr>
            </w:pPr>
          </w:p>
          <w:p w14:paraId="0AB2300A" w14:textId="77777777" w:rsidR="00A905A1" w:rsidRPr="004C4810" w:rsidRDefault="00A905A1">
            <w:pPr>
              <w:jc w:val="both"/>
              <w:rPr>
                <w:rFonts w:ascii="Arial" w:hAnsi="Arial" w:cs="Arial"/>
                <w:i/>
                <w:sz w:val="20"/>
                <w:szCs w:val="20"/>
              </w:rPr>
            </w:pPr>
            <w:r w:rsidRPr="004C4810">
              <w:rPr>
                <w:rFonts w:ascii="Arial" w:hAnsi="Arial" w:cs="Arial"/>
                <w:i/>
                <w:sz w:val="20"/>
                <w:szCs w:val="20"/>
              </w:rPr>
              <w:t>K. pneumoniae</w:t>
            </w:r>
          </w:p>
        </w:tc>
      </w:tr>
      <w:tr w:rsidR="00A905A1" w:rsidRPr="005B4EE5" w14:paraId="16863BDB" w14:textId="77777777">
        <w:tc>
          <w:tcPr>
            <w:tcW w:w="3078" w:type="dxa"/>
          </w:tcPr>
          <w:p w14:paraId="4D7F6237" w14:textId="77777777" w:rsidR="00A905A1" w:rsidRPr="004C4810" w:rsidRDefault="00A905A1">
            <w:pPr>
              <w:jc w:val="both"/>
              <w:rPr>
                <w:rFonts w:ascii="Arial" w:hAnsi="Arial" w:cs="Arial"/>
                <w:sz w:val="20"/>
                <w:szCs w:val="20"/>
              </w:rPr>
            </w:pPr>
          </w:p>
          <w:p w14:paraId="2AE7B62B" w14:textId="77777777" w:rsidR="00A905A1" w:rsidRPr="004C4810" w:rsidRDefault="00A905A1">
            <w:pPr>
              <w:jc w:val="both"/>
              <w:rPr>
                <w:rFonts w:ascii="Arial" w:hAnsi="Arial" w:cs="Arial"/>
                <w:sz w:val="20"/>
                <w:szCs w:val="20"/>
              </w:rPr>
            </w:pPr>
            <w:r w:rsidRPr="004C4810">
              <w:rPr>
                <w:rFonts w:ascii="Arial" w:hAnsi="Arial" w:cs="Arial"/>
                <w:iCs/>
                <w:noProof/>
                <w:sz w:val="20"/>
                <w:szCs w:val="20"/>
              </w:rPr>
              <w:t>Colony sizes were</w:t>
            </w:r>
            <w:r w:rsidRPr="004C4810">
              <w:rPr>
                <w:rFonts w:ascii="Arial" w:hAnsi="Arial" w:cs="Arial"/>
                <w:sz w:val="20"/>
                <w:szCs w:val="20"/>
              </w:rPr>
              <w:t xml:space="preserve"> about 2-3 mm, blue-black </w:t>
            </w:r>
            <w:proofErr w:type="spellStart"/>
            <w:r w:rsidRPr="004C4810">
              <w:rPr>
                <w:rFonts w:ascii="Arial" w:hAnsi="Arial" w:cs="Arial"/>
                <w:sz w:val="20"/>
                <w:szCs w:val="20"/>
              </w:rPr>
              <w:t>colour</w:t>
            </w:r>
            <w:proofErr w:type="spellEnd"/>
            <w:r w:rsidRPr="004C4810">
              <w:rPr>
                <w:rFonts w:ascii="Arial" w:hAnsi="Arial" w:cs="Arial"/>
                <w:sz w:val="20"/>
                <w:szCs w:val="20"/>
              </w:rPr>
              <w:t xml:space="preserve"> with greenish metallic sheen</w:t>
            </w:r>
          </w:p>
          <w:p w14:paraId="16444F76" w14:textId="77777777" w:rsidR="00A905A1" w:rsidRPr="004C4810" w:rsidRDefault="00A905A1">
            <w:pPr>
              <w:jc w:val="both"/>
              <w:rPr>
                <w:rFonts w:ascii="Arial" w:hAnsi="Arial" w:cs="Arial"/>
                <w:sz w:val="20"/>
                <w:szCs w:val="20"/>
              </w:rPr>
            </w:pPr>
          </w:p>
        </w:tc>
        <w:tc>
          <w:tcPr>
            <w:tcW w:w="1170" w:type="dxa"/>
          </w:tcPr>
          <w:p w14:paraId="55A9326A" w14:textId="77777777" w:rsidR="00A905A1" w:rsidRPr="004C4810" w:rsidRDefault="00A905A1">
            <w:pPr>
              <w:jc w:val="both"/>
              <w:rPr>
                <w:rFonts w:ascii="Arial" w:hAnsi="Arial" w:cs="Arial"/>
                <w:sz w:val="20"/>
                <w:szCs w:val="20"/>
              </w:rPr>
            </w:pPr>
          </w:p>
          <w:p w14:paraId="56FFF076"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720" w:type="dxa"/>
          </w:tcPr>
          <w:p w14:paraId="33B8C48C" w14:textId="77777777" w:rsidR="00A905A1" w:rsidRPr="004C4810" w:rsidRDefault="00A905A1">
            <w:pPr>
              <w:jc w:val="both"/>
              <w:rPr>
                <w:rFonts w:ascii="Arial" w:hAnsi="Arial" w:cs="Arial"/>
                <w:sz w:val="20"/>
                <w:szCs w:val="20"/>
              </w:rPr>
            </w:pPr>
          </w:p>
          <w:p w14:paraId="5258F4FE"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720" w:type="dxa"/>
          </w:tcPr>
          <w:p w14:paraId="39BB8EB6" w14:textId="77777777" w:rsidR="00A905A1" w:rsidRPr="004C4810" w:rsidRDefault="00A905A1">
            <w:pPr>
              <w:jc w:val="both"/>
              <w:rPr>
                <w:rFonts w:ascii="Arial" w:hAnsi="Arial" w:cs="Arial"/>
                <w:sz w:val="20"/>
                <w:szCs w:val="20"/>
              </w:rPr>
            </w:pPr>
          </w:p>
          <w:p w14:paraId="6B5EBF2C"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720" w:type="dxa"/>
          </w:tcPr>
          <w:p w14:paraId="2CD8D9C5" w14:textId="77777777" w:rsidR="00A905A1" w:rsidRPr="004C4810" w:rsidRDefault="00A905A1">
            <w:pPr>
              <w:jc w:val="both"/>
              <w:rPr>
                <w:rFonts w:ascii="Arial" w:hAnsi="Arial" w:cs="Arial"/>
                <w:sz w:val="20"/>
                <w:szCs w:val="20"/>
              </w:rPr>
            </w:pPr>
          </w:p>
          <w:p w14:paraId="16272BDE"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1080" w:type="dxa"/>
          </w:tcPr>
          <w:p w14:paraId="77CA9A31" w14:textId="77777777" w:rsidR="00A905A1" w:rsidRPr="004C4810" w:rsidRDefault="00A905A1">
            <w:pPr>
              <w:jc w:val="both"/>
              <w:rPr>
                <w:rFonts w:ascii="Arial" w:hAnsi="Arial" w:cs="Arial"/>
                <w:sz w:val="20"/>
                <w:szCs w:val="20"/>
              </w:rPr>
            </w:pPr>
          </w:p>
          <w:p w14:paraId="328A52FF"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1080" w:type="dxa"/>
          </w:tcPr>
          <w:p w14:paraId="7F9ECA96" w14:textId="77777777" w:rsidR="00A905A1" w:rsidRPr="004C4810" w:rsidRDefault="00A905A1">
            <w:pPr>
              <w:jc w:val="both"/>
              <w:rPr>
                <w:rFonts w:ascii="Arial" w:hAnsi="Arial" w:cs="Arial"/>
                <w:i/>
                <w:sz w:val="20"/>
                <w:szCs w:val="20"/>
              </w:rPr>
            </w:pPr>
          </w:p>
          <w:p w14:paraId="09CEE76A" w14:textId="77777777" w:rsidR="00A905A1" w:rsidRPr="004C4810" w:rsidRDefault="00A905A1">
            <w:pPr>
              <w:jc w:val="both"/>
              <w:rPr>
                <w:rFonts w:ascii="Arial" w:hAnsi="Arial" w:cs="Arial"/>
                <w:i/>
                <w:sz w:val="20"/>
                <w:szCs w:val="20"/>
              </w:rPr>
            </w:pPr>
            <w:r w:rsidRPr="004C4810">
              <w:rPr>
                <w:rFonts w:ascii="Arial" w:hAnsi="Arial" w:cs="Arial"/>
                <w:i/>
                <w:sz w:val="20"/>
                <w:szCs w:val="20"/>
              </w:rPr>
              <w:t>+</w:t>
            </w:r>
          </w:p>
        </w:tc>
        <w:tc>
          <w:tcPr>
            <w:tcW w:w="2160" w:type="dxa"/>
          </w:tcPr>
          <w:p w14:paraId="619077FE" w14:textId="77777777" w:rsidR="00A905A1" w:rsidRPr="004C4810" w:rsidRDefault="00A905A1">
            <w:pPr>
              <w:jc w:val="both"/>
              <w:rPr>
                <w:rFonts w:ascii="Arial" w:hAnsi="Arial" w:cs="Arial"/>
                <w:i/>
                <w:sz w:val="20"/>
                <w:szCs w:val="20"/>
              </w:rPr>
            </w:pPr>
          </w:p>
          <w:p w14:paraId="7E5824BC" w14:textId="77777777" w:rsidR="00A905A1" w:rsidRPr="004C4810" w:rsidRDefault="00A905A1">
            <w:pPr>
              <w:jc w:val="both"/>
              <w:rPr>
                <w:rFonts w:ascii="Arial" w:hAnsi="Arial" w:cs="Arial"/>
                <w:i/>
                <w:sz w:val="20"/>
                <w:szCs w:val="20"/>
              </w:rPr>
            </w:pPr>
            <w:r w:rsidRPr="004C4810">
              <w:rPr>
                <w:rFonts w:ascii="Arial" w:hAnsi="Arial" w:cs="Arial"/>
                <w:i/>
                <w:sz w:val="20"/>
                <w:szCs w:val="20"/>
              </w:rPr>
              <w:t>E. coli</w:t>
            </w:r>
          </w:p>
        </w:tc>
      </w:tr>
    </w:tbl>
    <w:p w14:paraId="36B30844" w14:textId="40BDA707" w:rsidR="00A905A1" w:rsidRPr="005B4EE5" w:rsidRDefault="00A905A1" w:rsidP="00A905A1">
      <w:pPr>
        <w:spacing w:line="480" w:lineRule="auto"/>
        <w:jc w:val="both"/>
        <w:rPr>
          <w:rFonts w:ascii="Arial" w:hAnsi="Arial" w:cs="Arial"/>
        </w:rPr>
      </w:pPr>
      <w:r w:rsidRPr="005B4EE5">
        <w:rPr>
          <w:rFonts w:ascii="Arial" w:hAnsi="Arial" w:cs="Arial"/>
          <w:b/>
        </w:rPr>
        <w:t>Key:</w:t>
      </w:r>
      <w:r w:rsidRPr="005B4EE5">
        <w:rPr>
          <w:rFonts w:ascii="Arial" w:hAnsi="Arial" w:cs="Arial"/>
        </w:rPr>
        <w:t xml:space="preserve"> </w:t>
      </w:r>
      <w:r w:rsidRPr="005B4EE5">
        <w:rPr>
          <w:rFonts w:ascii="Arial" w:hAnsi="Arial" w:cs="Arial"/>
          <w:b/>
        </w:rPr>
        <w:t>CT</w:t>
      </w:r>
      <w:r w:rsidRPr="005B4EE5">
        <w:rPr>
          <w:rFonts w:ascii="Arial" w:hAnsi="Arial" w:cs="Arial"/>
        </w:rPr>
        <w:t xml:space="preserve">- Catalase test; </w:t>
      </w:r>
      <w:r w:rsidRPr="005B4EE5">
        <w:rPr>
          <w:rFonts w:ascii="Arial" w:hAnsi="Arial" w:cs="Arial"/>
          <w:b/>
        </w:rPr>
        <w:t>OT</w:t>
      </w:r>
      <w:r w:rsidRPr="005B4EE5">
        <w:rPr>
          <w:rFonts w:ascii="Arial" w:hAnsi="Arial" w:cs="Arial"/>
        </w:rPr>
        <w:t xml:space="preserve">- Oxidase Test; </w:t>
      </w:r>
      <w:r w:rsidRPr="005B4EE5">
        <w:rPr>
          <w:rFonts w:ascii="Arial" w:hAnsi="Arial" w:cs="Arial"/>
          <w:b/>
        </w:rPr>
        <w:t>IT</w:t>
      </w:r>
      <w:r w:rsidRPr="005B4EE5">
        <w:rPr>
          <w:rFonts w:ascii="Arial" w:hAnsi="Arial" w:cs="Arial"/>
        </w:rPr>
        <w:t xml:space="preserve">- Indole Test; </w:t>
      </w:r>
      <w:r w:rsidRPr="005B4EE5">
        <w:rPr>
          <w:rFonts w:ascii="Arial" w:hAnsi="Arial" w:cs="Arial"/>
          <w:b/>
        </w:rPr>
        <w:t>MR</w:t>
      </w:r>
      <w:r w:rsidRPr="005B4EE5">
        <w:rPr>
          <w:rFonts w:ascii="Arial" w:hAnsi="Arial" w:cs="Arial"/>
        </w:rPr>
        <w:t xml:space="preserve"> - Methyl red; </w:t>
      </w:r>
      <w:r w:rsidRPr="005B4EE5">
        <w:rPr>
          <w:rFonts w:ascii="Arial" w:hAnsi="Arial" w:cs="Arial"/>
          <w:b/>
        </w:rPr>
        <w:t>+</w:t>
      </w:r>
      <w:r w:rsidRPr="005B4EE5">
        <w:rPr>
          <w:rFonts w:ascii="Arial" w:hAnsi="Arial" w:cs="Arial"/>
        </w:rPr>
        <w:t xml:space="preserve"> = Positive; - = Negative</w:t>
      </w:r>
    </w:p>
    <w:p w14:paraId="3378FA01" w14:textId="03A50909" w:rsidR="00A905A1" w:rsidRDefault="00A905A1" w:rsidP="00441B6F">
      <w:pPr>
        <w:pStyle w:val="AbstHead"/>
        <w:spacing w:after="0"/>
        <w:jc w:val="both"/>
        <w:rPr>
          <w:rFonts w:ascii="Arial" w:hAnsi="Arial" w:cs="Arial"/>
        </w:rPr>
      </w:pPr>
    </w:p>
    <w:p w14:paraId="34AF0595" w14:textId="2AD78522" w:rsidR="005B4EE5" w:rsidRPr="005B4EE5" w:rsidRDefault="00BB4B73" w:rsidP="005B4EE5">
      <w:pPr>
        <w:spacing w:after="200"/>
        <w:jc w:val="both"/>
        <w:rPr>
          <w:rFonts w:ascii="Arial" w:eastAsia="Calibri" w:hAnsi="Arial" w:cs="Arial"/>
          <w:b/>
          <w:sz w:val="22"/>
          <w:szCs w:val="22"/>
        </w:rPr>
      </w:pPr>
      <w:r>
        <w:rPr>
          <w:rFonts w:ascii="Arial" w:eastAsia="Calibri" w:hAnsi="Arial" w:cs="Arial"/>
          <w:b/>
          <w:bCs/>
          <w:noProof/>
          <w:sz w:val="22"/>
          <w:szCs w:val="22"/>
        </w:rPr>
        <w:pict w14:anchorId="254722E5">
          <v:shape id="_x0000_s1052" type="#_x0000_t32" style="position:absolute;left:0;text-align:left;margin-left:-6.3pt;margin-top:78.2pt;width:622.5pt;height:1.5pt;z-index:251663360" o:connectortype="straight" strokeweight="1.5pt"/>
        </w:pict>
      </w:r>
      <w:r>
        <w:rPr>
          <w:rFonts w:ascii="Arial" w:eastAsia="Calibri" w:hAnsi="Arial" w:cs="Arial"/>
          <w:b/>
          <w:bCs/>
          <w:noProof/>
          <w:sz w:val="22"/>
          <w:szCs w:val="22"/>
        </w:rPr>
        <w:pict w14:anchorId="254722E5">
          <v:shape id="_x0000_s1051" type="#_x0000_t32" style="position:absolute;left:0;text-align:left;margin-left:-4.8pt;margin-top:33.2pt;width:622.5pt;height:1.5pt;z-index:251662336" o:connectortype="straight" strokeweight="1.5pt"/>
        </w:pict>
      </w:r>
      <w:r w:rsidR="005B4EE5" w:rsidRPr="005B4EE5">
        <w:rPr>
          <w:rFonts w:ascii="Arial" w:eastAsia="Calibri" w:hAnsi="Arial" w:cs="Arial"/>
          <w:b/>
          <w:bCs/>
          <w:sz w:val="22"/>
          <w:szCs w:val="22"/>
        </w:rPr>
        <w:t xml:space="preserve">Table 2: Percentage </w:t>
      </w:r>
      <w:r w:rsidR="005B4EE5" w:rsidRPr="005B4EE5">
        <w:rPr>
          <w:rFonts w:ascii="Arial" w:eastAsia="Calibri" w:hAnsi="Arial" w:cs="Arial"/>
          <w:b/>
          <w:sz w:val="22"/>
          <w:szCs w:val="22"/>
        </w:rPr>
        <w:t xml:space="preserve">prevalence of </w:t>
      </w:r>
      <w:r w:rsidR="005B4EE5" w:rsidRPr="005B4EE5">
        <w:rPr>
          <w:rFonts w:ascii="Arial" w:eastAsia="Calibri" w:hAnsi="Arial" w:cs="Arial"/>
          <w:b/>
          <w:i/>
          <w:sz w:val="22"/>
          <w:szCs w:val="22"/>
        </w:rPr>
        <w:t>K. pneumoniae</w:t>
      </w:r>
      <w:r w:rsidR="005B4EE5" w:rsidRPr="005B4EE5">
        <w:rPr>
          <w:rFonts w:ascii="Arial" w:eastAsia="Calibri" w:hAnsi="Arial" w:cs="Arial"/>
          <w:b/>
          <w:sz w:val="22"/>
          <w:szCs w:val="22"/>
        </w:rPr>
        <w:t xml:space="preserve"> and </w:t>
      </w:r>
      <w:r w:rsidR="005B4EE5" w:rsidRPr="005B4EE5">
        <w:rPr>
          <w:rFonts w:ascii="Arial" w:eastAsia="Calibri" w:hAnsi="Arial" w:cs="Arial"/>
          <w:b/>
          <w:i/>
          <w:sz w:val="22"/>
          <w:szCs w:val="22"/>
        </w:rPr>
        <w:t xml:space="preserve">E. coli </w:t>
      </w:r>
      <w:r w:rsidR="005B4EE5" w:rsidRPr="004C4810">
        <w:rPr>
          <w:rFonts w:ascii="Arial" w:eastAsia="Calibri" w:hAnsi="Arial" w:cs="Arial"/>
          <w:b/>
          <w:sz w:val="22"/>
          <w:szCs w:val="22"/>
        </w:rPr>
        <w:t xml:space="preserve">Recovered from Urine Samples of Apparently Healthy Male and Female Students </w:t>
      </w:r>
      <w:r w:rsidR="005B4EE5" w:rsidRPr="005B4EE5">
        <w:rPr>
          <w:rFonts w:ascii="Arial" w:eastAsia="Calibri" w:hAnsi="Arial" w:cs="Arial"/>
          <w:b/>
          <w:sz w:val="22"/>
          <w:szCs w:val="22"/>
        </w:rPr>
        <w:t>of AE-FUNAI.</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3870"/>
        <w:gridCol w:w="3294"/>
      </w:tblGrid>
      <w:tr w:rsidR="005B4EE5" w:rsidRPr="005B4EE5" w14:paraId="71A81A66" w14:textId="77777777" w:rsidTr="005B4EE5">
        <w:trPr>
          <w:trHeight w:val="413"/>
        </w:trPr>
        <w:tc>
          <w:tcPr>
            <w:tcW w:w="5328" w:type="dxa"/>
            <w:hideMark/>
          </w:tcPr>
          <w:p w14:paraId="7A1E9CD2" w14:textId="7AB9E0B0" w:rsidR="005B4EE5" w:rsidRPr="005B4EE5" w:rsidRDefault="005B4EE5" w:rsidP="005B4EE5">
            <w:pPr>
              <w:spacing w:line="480" w:lineRule="auto"/>
              <w:rPr>
                <w:rFonts w:ascii="Arial" w:hAnsi="Arial" w:cs="Arial"/>
                <w:sz w:val="20"/>
                <w:szCs w:val="20"/>
              </w:rPr>
            </w:pPr>
            <w:r w:rsidRPr="005B4EE5">
              <w:rPr>
                <w:rFonts w:ascii="Arial" w:hAnsi="Arial" w:cs="Arial"/>
                <w:b/>
                <w:sz w:val="20"/>
                <w:szCs w:val="20"/>
              </w:rPr>
              <w:t>Total Number of Urine Samples Analyzed (n=60)</w:t>
            </w:r>
          </w:p>
        </w:tc>
        <w:tc>
          <w:tcPr>
            <w:tcW w:w="7164" w:type="dxa"/>
            <w:gridSpan w:val="2"/>
            <w:hideMark/>
          </w:tcPr>
          <w:p w14:paraId="0373198E" w14:textId="77777777" w:rsidR="005B4EE5" w:rsidRPr="005B4EE5" w:rsidRDefault="005B4EE5" w:rsidP="005B4EE5">
            <w:pPr>
              <w:spacing w:line="480" w:lineRule="auto"/>
              <w:jc w:val="center"/>
              <w:rPr>
                <w:rFonts w:ascii="Arial" w:hAnsi="Arial" w:cs="Arial"/>
                <w:sz w:val="20"/>
                <w:szCs w:val="20"/>
              </w:rPr>
            </w:pPr>
            <w:r w:rsidRPr="005B4EE5">
              <w:rPr>
                <w:rFonts w:ascii="Arial" w:hAnsi="Arial" w:cs="Arial"/>
                <w:b/>
                <w:sz w:val="20"/>
                <w:szCs w:val="20"/>
              </w:rPr>
              <w:t>Number (% Prevalence) of Bacteria Isolated</w:t>
            </w:r>
          </w:p>
        </w:tc>
      </w:tr>
      <w:tr w:rsidR="005B4EE5" w:rsidRPr="005B4EE5" w14:paraId="25B3F4AF" w14:textId="77777777" w:rsidTr="005B4EE5">
        <w:trPr>
          <w:trHeight w:val="375"/>
        </w:trPr>
        <w:tc>
          <w:tcPr>
            <w:tcW w:w="5328" w:type="dxa"/>
            <w:hideMark/>
          </w:tcPr>
          <w:p w14:paraId="5909B5A3" w14:textId="349CAF06" w:rsidR="005B4EE5" w:rsidRPr="005B4EE5" w:rsidRDefault="005B4EE5" w:rsidP="005B4EE5">
            <w:pPr>
              <w:spacing w:line="480" w:lineRule="auto"/>
              <w:rPr>
                <w:rFonts w:ascii="Arial" w:hAnsi="Arial" w:cs="Arial"/>
                <w:sz w:val="20"/>
                <w:szCs w:val="20"/>
              </w:rPr>
            </w:pPr>
          </w:p>
        </w:tc>
        <w:tc>
          <w:tcPr>
            <w:tcW w:w="3870" w:type="dxa"/>
            <w:hideMark/>
          </w:tcPr>
          <w:p w14:paraId="648A0E59" w14:textId="77777777" w:rsidR="005B4EE5" w:rsidRPr="005B4EE5" w:rsidRDefault="005B4EE5" w:rsidP="005B4EE5">
            <w:pPr>
              <w:spacing w:line="480" w:lineRule="auto"/>
              <w:rPr>
                <w:rFonts w:ascii="Arial" w:hAnsi="Arial" w:cs="Arial"/>
                <w:sz w:val="20"/>
                <w:szCs w:val="20"/>
              </w:rPr>
            </w:pPr>
            <w:r w:rsidRPr="005B4EE5">
              <w:rPr>
                <w:rFonts w:ascii="Arial" w:hAnsi="Arial" w:cs="Arial"/>
                <w:b/>
                <w:i/>
                <w:sz w:val="20"/>
                <w:szCs w:val="20"/>
              </w:rPr>
              <w:t>K.</w:t>
            </w:r>
            <w:r w:rsidRPr="005B4EE5">
              <w:rPr>
                <w:rFonts w:ascii="Arial" w:hAnsi="Arial" w:cs="Arial"/>
                <w:b/>
                <w:sz w:val="20"/>
                <w:szCs w:val="20"/>
              </w:rPr>
              <w:t xml:space="preserve"> </w:t>
            </w:r>
            <w:r w:rsidRPr="005B4EE5">
              <w:rPr>
                <w:rFonts w:ascii="Arial" w:hAnsi="Arial" w:cs="Arial"/>
                <w:b/>
                <w:i/>
                <w:sz w:val="20"/>
                <w:szCs w:val="20"/>
              </w:rPr>
              <w:t>pneumoniae</w:t>
            </w:r>
            <w:r w:rsidRPr="005B4EE5">
              <w:rPr>
                <w:rFonts w:ascii="Arial" w:hAnsi="Arial" w:cs="Arial"/>
                <w:b/>
                <w:sz w:val="20"/>
                <w:szCs w:val="20"/>
              </w:rPr>
              <w:t xml:space="preserve"> (%)</w:t>
            </w:r>
          </w:p>
        </w:tc>
        <w:tc>
          <w:tcPr>
            <w:tcW w:w="3294" w:type="dxa"/>
            <w:hideMark/>
          </w:tcPr>
          <w:p w14:paraId="1F5547E6" w14:textId="77777777" w:rsidR="005B4EE5" w:rsidRPr="005B4EE5" w:rsidRDefault="005B4EE5" w:rsidP="005B4EE5">
            <w:pPr>
              <w:spacing w:line="480" w:lineRule="auto"/>
              <w:rPr>
                <w:rFonts w:ascii="Arial" w:hAnsi="Arial" w:cs="Arial"/>
                <w:b/>
                <w:i/>
                <w:sz w:val="20"/>
                <w:szCs w:val="20"/>
              </w:rPr>
            </w:pPr>
            <w:r w:rsidRPr="005B4EE5">
              <w:rPr>
                <w:rFonts w:ascii="Arial" w:hAnsi="Arial" w:cs="Arial"/>
                <w:b/>
                <w:i/>
                <w:sz w:val="20"/>
                <w:szCs w:val="20"/>
              </w:rPr>
              <w:t xml:space="preserve">E. coli </w:t>
            </w:r>
            <w:r w:rsidRPr="005B4EE5">
              <w:rPr>
                <w:rFonts w:ascii="Arial" w:hAnsi="Arial" w:cs="Arial"/>
                <w:b/>
                <w:sz w:val="20"/>
                <w:szCs w:val="20"/>
              </w:rPr>
              <w:t>(%)</w:t>
            </w:r>
          </w:p>
        </w:tc>
      </w:tr>
      <w:tr w:rsidR="005B4EE5" w:rsidRPr="005B4EE5" w14:paraId="312369E1" w14:textId="77777777" w:rsidTr="005B4EE5">
        <w:trPr>
          <w:trHeight w:val="1140"/>
        </w:trPr>
        <w:tc>
          <w:tcPr>
            <w:tcW w:w="5328" w:type="dxa"/>
            <w:hideMark/>
          </w:tcPr>
          <w:p w14:paraId="03BEA4E9"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Male students (n=30)</w:t>
            </w:r>
          </w:p>
          <w:p w14:paraId="43C92F20"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Female students (n=30)</w:t>
            </w:r>
          </w:p>
          <w:p w14:paraId="1821A61C" w14:textId="291B44C4" w:rsidR="005B4EE5" w:rsidRPr="005B4EE5" w:rsidRDefault="00BB4B73" w:rsidP="005B4EE5">
            <w:pPr>
              <w:spacing w:line="480" w:lineRule="auto"/>
              <w:rPr>
                <w:rFonts w:ascii="Arial" w:hAnsi="Arial" w:cs="Arial"/>
                <w:bCs/>
                <w:sz w:val="20"/>
                <w:szCs w:val="20"/>
              </w:rPr>
            </w:pPr>
            <w:r>
              <w:rPr>
                <w:rFonts w:ascii="Arial" w:hAnsi="Arial" w:cs="Arial"/>
                <w:bCs/>
                <w:noProof/>
              </w:rPr>
              <w:pict w14:anchorId="254722E5">
                <v:shape id="_x0000_s1053" type="#_x0000_t32" style="position:absolute;margin-left:-4.8pt;margin-top:19.8pt;width:622.5pt;height:1.5pt;z-index:251664384" o:connectortype="straight" strokeweight="1.5pt"/>
              </w:pict>
            </w:r>
            <w:r w:rsidR="005B4EE5" w:rsidRPr="005B4EE5">
              <w:rPr>
                <w:rFonts w:ascii="Arial" w:hAnsi="Arial" w:cs="Arial"/>
                <w:bCs/>
                <w:sz w:val="20"/>
                <w:szCs w:val="20"/>
              </w:rPr>
              <w:t xml:space="preserve">Total % prevalence   </w:t>
            </w:r>
          </w:p>
        </w:tc>
        <w:tc>
          <w:tcPr>
            <w:tcW w:w="3870" w:type="dxa"/>
            <w:hideMark/>
          </w:tcPr>
          <w:p w14:paraId="5DEE3E96"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4(13.3)</w:t>
            </w:r>
          </w:p>
          <w:p w14:paraId="17E3E619"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11(36.7)</w:t>
            </w:r>
          </w:p>
          <w:p w14:paraId="1CFF0C40"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15(25)</w:t>
            </w:r>
          </w:p>
        </w:tc>
        <w:tc>
          <w:tcPr>
            <w:tcW w:w="3294" w:type="dxa"/>
            <w:hideMark/>
          </w:tcPr>
          <w:p w14:paraId="7F85AB71"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11(36.7)</w:t>
            </w:r>
          </w:p>
          <w:p w14:paraId="460F1718"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20(66.7)</w:t>
            </w:r>
          </w:p>
          <w:p w14:paraId="4BF5D619"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 xml:space="preserve"> 31(51.7)</w:t>
            </w:r>
          </w:p>
        </w:tc>
      </w:tr>
    </w:tbl>
    <w:p w14:paraId="4E48B285" w14:textId="77777777" w:rsidR="005B4EE5" w:rsidRDefault="005B4EE5" w:rsidP="00441B6F">
      <w:pPr>
        <w:pStyle w:val="AbstHead"/>
        <w:spacing w:after="0"/>
        <w:jc w:val="both"/>
        <w:rPr>
          <w:rFonts w:ascii="Arial" w:hAnsi="Arial" w:cs="Arial"/>
        </w:rPr>
        <w:sectPr w:rsidR="005B4EE5" w:rsidSect="008E49E1">
          <w:type w:val="continuous"/>
          <w:pgSz w:w="15840" w:h="12240" w:orient="landscape"/>
          <w:pgMar w:top="2016" w:right="1440" w:bottom="2016" w:left="2016" w:header="720" w:footer="1123" w:gutter="0"/>
          <w:cols w:space="720"/>
          <w:docGrid w:linePitch="272"/>
        </w:sectPr>
      </w:pPr>
    </w:p>
    <w:p w14:paraId="55B9DDAC" w14:textId="7A4561D7" w:rsidR="005B4EE5" w:rsidRDefault="00750688" w:rsidP="005B4EE5">
      <w:pPr>
        <w:jc w:val="both"/>
        <w:rPr>
          <w:rFonts w:ascii="Arial" w:hAnsi="Arial" w:cs="Arial"/>
          <w:b/>
          <w:bCs/>
          <w:sz w:val="22"/>
          <w:szCs w:val="22"/>
        </w:rPr>
      </w:pPr>
      <w:r w:rsidRPr="00750688">
        <w:rPr>
          <w:rFonts w:ascii="Arial" w:hAnsi="Arial" w:cs="Arial"/>
          <w:b/>
          <w:bCs/>
          <w:sz w:val="22"/>
          <w:szCs w:val="22"/>
        </w:rPr>
        <w:lastRenderedPageBreak/>
        <w:t>3.3</w:t>
      </w:r>
      <w:r w:rsidR="005B4EE5" w:rsidRPr="005B4EE5">
        <w:rPr>
          <w:rFonts w:ascii="Arial" w:hAnsi="Arial" w:cs="Arial"/>
          <w:b/>
          <w:bCs/>
          <w:sz w:val="22"/>
          <w:szCs w:val="22"/>
        </w:rPr>
        <w:t xml:space="preserve"> Antimicrobial susceptibility and resistance profiles of </w:t>
      </w:r>
      <w:r w:rsidR="005B4EE5" w:rsidRPr="005B4EE5">
        <w:rPr>
          <w:rFonts w:ascii="Arial" w:hAnsi="Arial" w:cs="Arial"/>
          <w:b/>
          <w:bCs/>
          <w:i/>
          <w:sz w:val="22"/>
          <w:szCs w:val="22"/>
        </w:rPr>
        <w:t>K. pneumoniae</w:t>
      </w:r>
      <w:r w:rsidR="005B4EE5" w:rsidRPr="005B4EE5">
        <w:rPr>
          <w:rFonts w:ascii="Arial" w:hAnsi="Arial" w:cs="Arial"/>
          <w:b/>
          <w:bCs/>
          <w:sz w:val="22"/>
          <w:szCs w:val="22"/>
        </w:rPr>
        <w:t xml:space="preserve"> and </w:t>
      </w:r>
      <w:r w:rsidR="005B4EE5" w:rsidRPr="005B4EE5">
        <w:rPr>
          <w:rFonts w:ascii="Arial" w:hAnsi="Arial" w:cs="Arial"/>
          <w:b/>
          <w:bCs/>
          <w:i/>
          <w:sz w:val="22"/>
          <w:szCs w:val="22"/>
        </w:rPr>
        <w:t xml:space="preserve">E. coli </w:t>
      </w:r>
      <w:r w:rsidR="005B4EE5" w:rsidRPr="005B4EE5">
        <w:rPr>
          <w:rFonts w:ascii="Arial" w:hAnsi="Arial" w:cs="Arial"/>
          <w:b/>
          <w:bCs/>
          <w:sz w:val="22"/>
          <w:szCs w:val="22"/>
        </w:rPr>
        <w:t>recovered from urine samples of apparently healthy male students of AE-FUNAI</w:t>
      </w:r>
      <w:r w:rsidR="006C5AB0" w:rsidRPr="00750688">
        <w:rPr>
          <w:rFonts w:ascii="Arial" w:hAnsi="Arial" w:cs="Arial"/>
          <w:b/>
          <w:bCs/>
          <w:sz w:val="22"/>
          <w:szCs w:val="22"/>
        </w:rPr>
        <w:t>.</w:t>
      </w:r>
    </w:p>
    <w:p w14:paraId="3054882F" w14:textId="77777777" w:rsidR="004C4810" w:rsidRPr="00750688" w:rsidRDefault="004C4810" w:rsidP="005B4EE5">
      <w:pPr>
        <w:jc w:val="both"/>
        <w:rPr>
          <w:rFonts w:ascii="Arial" w:hAnsi="Arial" w:cs="Arial"/>
          <w:b/>
          <w:bCs/>
          <w:sz w:val="22"/>
          <w:szCs w:val="22"/>
        </w:rPr>
      </w:pPr>
    </w:p>
    <w:p w14:paraId="5679EA12" w14:textId="77777777" w:rsidR="005B4EE5" w:rsidRPr="005B4EE5" w:rsidRDefault="005B4EE5" w:rsidP="005B4EE5">
      <w:pPr>
        <w:jc w:val="both"/>
        <w:rPr>
          <w:rFonts w:ascii="Arial" w:hAnsi="Arial" w:cs="Arial"/>
        </w:rPr>
      </w:pPr>
      <w:r w:rsidRPr="005B4EE5">
        <w:rPr>
          <w:rFonts w:ascii="Arial" w:hAnsi="Arial" w:cs="Arial"/>
        </w:rPr>
        <w:t xml:space="preserve">The results revealed that the isolated </w:t>
      </w:r>
      <w:r w:rsidRPr="005B4EE5">
        <w:rPr>
          <w:rFonts w:ascii="Arial" w:hAnsi="Arial" w:cs="Arial"/>
          <w:i/>
        </w:rPr>
        <w:t xml:space="preserve">K. pneumoniae </w:t>
      </w:r>
      <w:r w:rsidRPr="005B4EE5">
        <w:rPr>
          <w:rFonts w:ascii="Arial" w:hAnsi="Arial" w:cs="Arial"/>
        </w:rPr>
        <w:t xml:space="preserve">were most susceptible to imipenem 4(100%), ceftriaxone 3(100%) and cefuroxime 3(75%) but showed highest resistance to piperacillin/Tazobactam 4(100%) and polymyxin B 4(100%). </w:t>
      </w:r>
    </w:p>
    <w:p w14:paraId="1E15A589" w14:textId="77777777" w:rsidR="005B4EE5" w:rsidRPr="005B4EE5" w:rsidRDefault="005B4EE5" w:rsidP="005B4EE5">
      <w:pPr>
        <w:jc w:val="both"/>
        <w:rPr>
          <w:rFonts w:ascii="Arial" w:hAnsi="Arial" w:cs="Arial"/>
        </w:rPr>
      </w:pPr>
    </w:p>
    <w:p w14:paraId="3F7C28F3" w14:textId="36F67B15" w:rsidR="005B4EE5" w:rsidRPr="005B4EE5" w:rsidRDefault="00D44B25" w:rsidP="005B4EE5">
      <w:pPr>
        <w:jc w:val="both"/>
        <w:rPr>
          <w:rFonts w:ascii="Arial" w:hAnsi="Arial" w:cs="Arial"/>
        </w:rPr>
      </w:pPr>
      <w:r w:rsidRPr="005B4EE5">
        <w:rPr>
          <w:rFonts w:ascii="Arial" w:hAnsi="Arial" w:cs="Arial"/>
        </w:rPr>
        <w:t xml:space="preserve">The </w:t>
      </w:r>
      <w:r w:rsidR="005B4EE5" w:rsidRPr="005B4EE5">
        <w:rPr>
          <w:rFonts w:ascii="Arial" w:hAnsi="Arial" w:cs="Arial"/>
        </w:rPr>
        <w:t xml:space="preserve">isolated </w:t>
      </w:r>
      <w:r w:rsidR="005B4EE5" w:rsidRPr="005B4EE5">
        <w:rPr>
          <w:rFonts w:ascii="Arial" w:hAnsi="Arial" w:cs="Arial"/>
          <w:i/>
        </w:rPr>
        <w:t>E. coli</w:t>
      </w:r>
      <w:r w:rsidR="005B4EE5" w:rsidRPr="005B4EE5">
        <w:rPr>
          <w:rFonts w:ascii="Arial" w:hAnsi="Arial" w:cs="Arial"/>
        </w:rPr>
        <w:t xml:space="preserve"> </w:t>
      </w:r>
      <w:r w:rsidR="00DB754E">
        <w:rPr>
          <w:rFonts w:ascii="Arial" w:hAnsi="Arial" w:cs="Arial"/>
        </w:rPr>
        <w:t xml:space="preserve">isolates </w:t>
      </w:r>
      <w:r w:rsidR="005B4EE5" w:rsidRPr="005B4EE5">
        <w:rPr>
          <w:rFonts w:ascii="Arial" w:hAnsi="Arial" w:cs="Arial"/>
        </w:rPr>
        <w:t>were susceptible to imipenem 11(100%), cefuroxime 8(73%) and cefoxitin 7(64%)</w:t>
      </w:r>
      <w:r>
        <w:rPr>
          <w:rFonts w:ascii="Arial" w:hAnsi="Arial" w:cs="Arial"/>
        </w:rPr>
        <w:t xml:space="preserve"> w</w:t>
      </w:r>
      <w:r w:rsidR="005B4EE5" w:rsidRPr="005B4EE5">
        <w:rPr>
          <w:rFonts w:ascii="Arial" w:hAnsi="Arial" w:cs="Arial"/>
        </w:rPr>
        <w:t>hile being resistant to polymyxin B 11(100%), piperacillin/Tazobactam 11(90%) and cefotaxime 8(73%).</w:t>
      </w:r>
    </w:p>
    <w:p w14:paraId="638F0F4F" w14:textId="77777777" w:rsidR="00D44B25" w:rsidRDefault="00D44B25" w:rsidP="00A872AF">
      <w:pPr>
        <w:jc w:val="both"/>
        <w:rPr>
          <w:rFonts w:ascii="Arial" w:hAnsi="Arial" w:cs="Arial"/>
        </w:rPr>
      </w:pPr>
    </w:p>
    <w:p w14:paraId="1EDBF100" w14:textId="1CD55A3F" w:rsidR="005B4EE5" w:rsidRPr="004C4810" w:rsidRDefault="00BB4B73" w:rsidP="00A872AF">
      <w:pPr>
        <w:jc w:val="both"/>
        <w:rPr>
          <w:rFonts w:ascii="Arial" w:eastAsia="Calibri" w:hAnsi="Arial" w:cs="Arial"/>
          <w:sz w:val="28"/>
          <w:szCs w:val="28"/>
        </w:rPr>
      </w:pPr>
      <w:r>
        <w:rPr>
          <w:rFonts w:ascii="Arial" w:hAnsi="Arial" w:cs="Arial"/>
          <w:b/>
          <w:noProof/>
          <w:sz w:val="22"/>
          <w:szCs w:val="22"/>
        </w:rPr>
        <w:pict w14:anchorId="0044601F">
          <v:shape id="_x0000_s1170" type="#_x0000_t32" style="position:absolute;left:0;text-align:left;margin-left:-6.3pt;margin-top:266.8pt;width:421.5pt;height:1.5pt;z-index:251673600" o:connectortype="straight"/>
        </w:pict>
      </w:r>
      <w:r>
        <w:rPr>
          <w:rFonts w:ascii="Arial" w:hAnsi="Arial" w:cs="Arial"/>
          <w:b/>
          <w:noProof/>
          <w:sz w:val="22"/>
          <w:szCs w:val="22"/>
        </w:rPr>
        <w:pict w14:anchorId="0044601F">
          <v:shape id="_x0000_s1169" type="#_x0000_t32" style="position:absolute;left:0;text-align:left;margin-left:-7.05pt;margin-top:56.8pt;width:421.5pt;height:1.5pt;z-index:251672576" o:connectortype="straight"/>
        </w:pict>
      </w:r>
      <w:r>
        <w:rPr>
          <w:rFonts w:ascii="Arial" w:hAnsi="Arial" w:cs="Arial"/>
          <w:b/>
          <w:noProof/>
          <w:sz w:val="22"/>
          <w:szCs w:val="22"/>
        </w:rPr>
        <w:pict w14:anchorId="0044601F">
          <v:shape id="_x0000_s1168" type="#_x0000_t32" style="position:absolute;left:0;text-align:left;margin-left:-6.3pt;margin-top:98.05pt;width:421.5pt;height:1.5pt;z-index:251671552" o:connectortype="straight"/>
        </w:pict>
      </w:r>
      <w:r w:rsidR="00A872AF" w:rsidRPr="004C4810">
        <w:rPr>
          <w:rFonts w:ascii="Arial" w:hAnsi="Arial" w:cs="Arial"/>
          <w:b/>
          <w:sz w:val="22"/>
          <w:szCs w:val="22"/>
        </w:rPr>
        <w:t xml:space="preserve">Table 3: Antimicrobial susceptibility and resistance profiles of </w:t>
      </w:r>
      <w:r w:rsidR="00A872AF" w:rsidRPr="004C4810">
        <w:rPr>
          <w:rFonts w:ascii="Arial" w:hAnsi="Arial" w:cs="Arial"/>
          <w:b/>
          <w:i/>
          <w:sz w:val="22"/>
          <w:szCs w:val="22"/>
        </w:rPr>
        <w:t>K. pneumoniae</w:t>
      </w:r>
      <w:r w:rsidR="00A872AF" w:rsidRPr="004C4810">
        <w:rPr>
          <w:rFonts w:ascii="Arial" w:hAnsi="Arial" w:cs="Arial"/>
          <w:b/>
          <w:sz w:val="22"/>
          <w:szCs w:val="22"/>
        </w:rPr>
        <w:t xml:space="preserve"> and </w:t>
      </w:r>
      <w:r w:rsidR="00A872AF" w:rsidRPr="004C4810">
        <w:rPr>
          <w:rFonts w:ascii="Arial" w:hAnsi="Arial" w:cs="Arial"/>
          <w:b/>
          <w:i/>
          <w:sz w:val="22"/>
          <w:szCs w:val="22"/>
        </w:rPr>
        <w:t xml:space="preserve">E. coli </w:t>
      </w:r>
      <w:r w:rsidR="00A872AF" w:rsidRPr="004C4810">
        <w:rPr>
          <w:rFonts w:ascii="Arial" w:hAnsi="Arial" w:cs="Arial"/>
          <w:b/>
          <w:sz w:val="22"/>
          <w:szCs w:val="22"/>
        </w:rPr>
        <w:t>recovered from urine samples of apparently healthy male students of AE-FUNAI</w:t>
      </w:r>
      <w:r w:rsidR="00A872AF" w:rsidRPr="004C4810">
        <w:rPr>
          <w:rFonts w:ascii="Arial" w:eastAsia="Calibri" w:hAnsi="Arial" w:cs="Arial"/>
          <w:sz w:val="28"/>
          <w:szCs w:val="28"/>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1767"/>
        <w:gridCol w:w="1706"/>
        <w:gridCol w:w="1773"/>
        <w:gridCol w:w="1773"/>
      </w:tblGrid>
      <w:tr w:rsidR="00D44B25" w:rsidRPr="00D44B25" w14:paraId="14F2A357" w14:textId="77777777" w:rsidTr="004C4810">
        <w:trPr>
          <w:gridAfter w:val="4"/>
          <w:wAfter w:w="7019" w:type="dxa"/>
          <w:trHeight w:val="379"/>
          <w:jc w:val="center"/>
        </w:trPr>
        <w:tc>
          <w:tcPr>
            <w:tcW w:w="1373" w:type="dxa"/>
            <w:vMerge w:val="restart"/>
          </w:tcPr>
          <w:p w14:paraId="38A6D6FD" w14:textId="0F7A8F40" w:rsidR="00D44B25" w:rsidRPr="00D44B25" w:rsidRDefault="00D44B25" w:rsidP="00D44B25">
            <w:pPr>
              <w:spacing w:line="360" w:lineRule="auto"/>
              <w:jc w:val="both"/>
              <w:rPr>
                <w:rFonts w:ascii="Arial" w:hAnsi="Arial" w:cs="Arial"/>
                <w:sz w:val="20"/>
                <w:szCs w:val="20"/>
              </w:rPr>
            </w:pPr>
          </w:p>
          <w:p w14:paraId="73927A67" w14:textId="56AE7245" w:rsidR="00D44B25" w:rsidRPr="00D44B25" w:rsidRDefault="00D44B25" w:rsidP="00D44B25">
            <w:pPr>
              <w:spacing w:line="360" w:lineRule="auto"/>
              <w:jc w:val="both"/>
              <w:rPr>
                <w:rFonts w:ascii="Arial" w:hAnsi="Arial" w:cs="Arial"/>
                <w:b/>
                <w:sz w:val="20"/>
                <w:szCs w:val="20"/>
              </w:rPr>
            </w:pPr>
            <w:r w:rsidRPr="00D44B25">
              <w:rPr>
                <w:rFonts w:ascii="Arial" w:hAnsi="Arial" w:cs="Arial"/>
                <w:b/>
                <w:sz w:val="20"/>
                <w:szCs w:val="20"/>
              </w:rPr>
              <w:t xml:space="preserve">Antibiotics </w:t>
            </w:r>
          </w:p>
          <w:p w14:paraId="556EC118" w14:textId="2492615D" w:rsidR="00D44B25" w:rsidRPr="00D44B25" w:rsidRDefault="00D44B25" w:rsidP="00D44B25">
            <w:pPr>
              <w:spacing w:line="360" w:lineRule="auto"/>
              <w:jc w:val="both"/>
              <w:rPr>
                <w:rFonts w:ascii="Arial" w:hAnsi="Arial" w:cs="Arial"/>
                <w:sz w:val="20"/>
                <w:szCs w:val="20"/>
              </w:rPr>
            </w:pPr>
            <w:r w:rsidRPr="00D44B25">
              <w:rPr>
                <w:rFonts w:ascii="Arial" w:hAnsi="Arial" w:cs="Arial"/>
                <w:b/>
                <w:sz w:val="20"/>
                <w:szCs w:val="20"/>
              </w:rPr>
              <w:t xml:space="preserve">Used </w:t>
            </w:r>
            <w:r w:rsidRPr="00D44B25">
              <w:rPr>
                <w:rFonts w:ascii="Arial" w:hAnsi="Arial" w:cs="Arial"/>
                <w:sz w:val="20"/>
                <w:szCs w:val="20"/>
              </w:rPr>
              <w:t>(</w:t>
            </w:r>
            <w:r w:rsidRPr="00D44B25">
              <w:rPr>
                <w:rFonts w:ascii="Arial" w:hAnsi="Arial" w:cs="Arial"/>
                <w:b/>
                <w:sz w:val="20"/>
                <w:szCs w:val="20"/>
              </w:rPr>
              <w:t>µg)</w:t>
            </w:r>
          </w:p>
        </w:tc>
      </w:tr>
      <w:tr w:rsidR="00D44B25" w:rsidRPr="00D44B25" w14:paraId="6EFEDFB0" w14:textId="77777777" w:rsidTr="004C4810">
        <w:trPr>
          <w:trHeight w:val="395"/>
          <w:jc w:val="center"/>
        </w:trPr>
        <w:tc>
          <w:tcPr>
            <w:tcW w:w="0" w:type="auto"/>
            <w:vMerge/>
            <w:vAlign w:val="center"/>
            <w:hideMark/>
          </w:tcPr>
          <w:p w14:paraId="7B920A48" w14:textId="77777777" w:rsidR="00D44B25" w:rsidRPr="00D44B25" w:rsidRDefault="00D44B25" w:rsidP="00D44B25">
            <w:pPr>
              <w:spacing w:line="360" w:lineRule="auto"/>
              <w:jc w:val="both"/>
              <w:rPr>
                <w:rFonts w:ascii="Arial" w:hAnsi="Arial" w:cs="Arial"/>
                <w:sz w:val="20"/>
                <w:szCs w:val="20"/>
              </w:rPr>
            </w:pPr>
          </w:p>
        </w:tc>
        <w:tc>
          <w:tcPr>
            <w:tcW w:w="3473" w:type="dxa"/>
            <w:gridSpan w:val="2"/>
            <w:hideMark/>
          </w:tcPr>
          <w:p w14:paraId="2CA176ED" w14:textId="77777777" w:rsidR="00D44B25" w:rsidRPr="00D44B25" w:rsidRDefault="00D44B25" w:rsidP="004C4810">
            <w:pPr>
              <w:spacing w:line="360" w:lineRule="auto"/>
              <w:jc w:val="center"/>
              <w:rPr>
                <w:rFonts w:ascii="Arial" w:hAnsi="Arial" w:cs="Arial"/>
                <w:b/>
                <w:sz w:val="20"/>
                <w:szCs w:val="20"/>
              </w:rPr>
            </w:pPr>
            <w:r w:rsidRPr="00D44B25">
              <w:rPr>
                <w:rFonts w:ascii="Arial" w:hAnsi="Arial" w:cs="Arial"/>
                <w:b/>
                <w:i/>
                <w:sz w:val="20"/>
                <w:szCs w:val="20"/>
              </w:rPr>
              <w:t xml:space="preserve">K. </w:t>
            </w:r>
            <w:r w:rsidRPr="00D44B25">
              <w:rPr>
                <w:rFonts w:ascii="Arial" w:hAnsi="Arial" w:cs="Arial"/>
                <w:b/>
                <w:sz w:val="20"/>
                <w:szCs w:val="20"/>
              </w:rPr>
              <w:t xml:space="preserve"> </w:t>
            </w:r>
            <w:r w:rsidRPr="00D44B25">
              <w:rPr>
                <w:rFonts w:ascii="Arial" w:hAnsi="Arial" w:cs="Arial"/>
                <w:b/>
                <w:i/>
                <w:sz w:val="20"/>
                <w:szCs w:val="20"/>
              </w:rPr>
              <w:t>pneumoniae</w:t>
            </w:r>
            <w:r w:rsidRPr="00D44B25">
              <w:rPr>
                <w:rFonts w:ascii="Arial" w:hAnsi="Arial" w:cs="Arial"/>
                <w:b/>
                <w:sz w:val="20"/>
                <w:szCs w:val="20"/>
              </w:rPr>
              <w:t xml:space="preserve"> (n=4)</w:t>
            </w:r>
          </w:p>
        </w:tc>
        <w:tc>
          <w:tcPr>
            <w:tcW w:w="3546" w:type="dxa"/>
            <w:gridSpan w:val="2"/>
            <w:hideMark/>
          </w:tcPr>
          <w:p w14:paraId="495C24DC" w14:textId="77777777" w:rsidR="00D44B25" w:rsidRPr="00D44B25" w:rsidRDefault="00D44B25" w:rsidP="004C4810">
            <w:pPr>
              <w:spacing w:line="360" w:lineRule="auto"/>
              <w:jc w:val="center"/>
              <w:rPr>
                <w:rFonts w:ascii="Arial" w:hAnsi="Arial" w:cs="Arial"/>
                <w:b/>
                <w:sz w:val="20"/>
                <w:szCs w:val="20"/>
              </w:rPr>
            </w:pPr>
            <w:r w:rsidRPr="00D44B25">
              <w:rPr>
                <w:rFonts w:ascii="Arial" w:hAnsi="Arial" w:cs="Arial"/>
                <w:b/>
                <w:i/>
                <w:sz w:val="20"/>
                <w:szCs w:val="20"/>
              </w:rPr>
              <w:t>E. coli</w:t>
            </w:r>
            <w:r w:rsidRPr="00D44B25">
              <w:rPr>
                <w:rFonts w:ascii="Arial" w:hAnsi="Arial" w:cs="Arial"/>
                <w:b/>
                <w:sz w:val="20"/>
                <w:szCs w:val="20"/>
              </w:rPr>
              <w:t xml:space="preserve"> (n=11)</w:t>
            </w:r>
          </w:p>
        </w:tc>
      </w:tr>
      <w:tr w:rsidR="00D44B25" w:rsidRPr="00D44B25" w14:paraId="0121BBFA" w14:textId="77777777" w:rsidTr="004C4810">
        <w:trPr>
          <w:jc w:val="center"/>
        </w:trPr>
        <w:tc>
          <w:tcPr>
            <w:tcW w:w="0" w:type="auto"/>
            <w:vMerge/>
            <w:vAlign w:val="center"/>
            <w:hideMark/>
          </w:tcPr>
          <w:p w14:paraId="02CD68EA" w14:textId="77777777" w:rsidR="00D44B25" w:rsidRPr="00D44B25" w:rsidRDefault="00D44B25" w:rsidP="00D44B25">
            <w:pPr>
              <w:spacing w:line="360" w:lineRule="auto"/>
              <w:jc w:val="both"/>
              <w:rPr>
                <w:rFonts w:ascii="Arial" w:hAnsi="Arial" w:cs="Arial"/>
                <w:sz w:val="20"/>
                <w:szCs w:val="20"/>
              </w:rPr>
            </w:pPr>
          </w:p>
        </w:tc>
        <w:tc>
          <w:tcPr>
            <w:tcW w:w="1767" w:type="dxa"/>
            <w:hideMark/>
          </w:tcPr>
          <w:p w14:paraId="1D3E8FDC" w14:textId="77777777" w:rsidR="00D44B25" w:rsidRPr="00D44B25" w:rsidRDefault="00D44B25" w:rsidP="00D44B25">
            <w:pPr>
              <w:spacing w:line="360" w:lineRule="auto"/>
              <w:jc w:val="both"/>
              <w:rPr>
                <w:rFonts w:ascii="Arial" w:hAnsi="Arial" w:cs="Arial"/>
                <w:b/>
                <w:sz w:val="20"/>
                <w:szCs w:val="20"/>
              </w:rPr>
            </w:pPr>
            <w:r w:rsidRPr="00D44B25">
              <w:rPr>
                <w:rFonts w:ascii="Arial" w:hAnsi="Arial" w:cs="Arial"/>
                <w:b/>
                <w:sz w:val="20"/>
                <w:szCs w:val="20"/>
              </w:rPr>
              <w:t>Susceptible (%)</w:t>
            </w:r>
          </w:p>
        </w:tc>
        <w:tc>
          <w:tcPr>
            <w:tcW w:w="1706" w:type="dxa"/>
            <w:hideMark/>
          </w:tcPr>
          <w:p w14:paraId="04219CE8" w14:textId="77777777" w:rsidR="00D44B25" w:rsidRPr="00D44B25" w:rsidRDefault="00D44B25" w:rsidP="00D44B25">
            <w:pPr>
              <w:spacing w:line="360" w:lineRule="auto"/>
              <w:jc w:val="both"/>
              <w:rPr>
                <w:rFonts w:ascii="Arial" w:hAnsi="Arial" w:cs="Arial"/>
                <w:b/>
                <w:sz w:val="20"/>
                <w:szCs w:val="20"/>
              </w:rPr>
            </w:pPr>
            <w:r w:rsidRPr="00D44B25">
              <w:rPr>
                <w:rFonts w:ascii="Arial" w:hAnsi="Arial" w:cs="Arial"/>
                <w:b/>
                <w:sz w:val="20"/>
                <w:szCs w:val="20"/>
              </w:rPr>
              <w:t>Resistance (%)</w:t>
            </w:r>
          </w:p>
        </w:tc>
        <w:tc>
          <w:tcPr>
            <w:tcW w:w="1773" w:type="dxa"/>
            <w:hideMark/>
          </w:tcPr>
          <w:p w14:paraId="188D1A52" w14:textId="77777777" w:rsidR="00D44B25" w:rsidRPr="00D44B25" w:rsidRDefault="00D44B25" w:rsidP="00D44B25">
            <w:pPr>
              <w:spacing w:line="360" w:lineRule="auto"/>
              <w:jc w:val="both"/>
              <w:rPr>
                <w:rFonts w:ascii="Arial" w:hAnsi="Arial" w:cs="Arial"/>
                <w:b/>
                <w:sz w:val="20"/>
                <w:szCs w:val="20"/>
              </w:rPr>
            </w:pPr>
            <w:r w:rsidRPr="00D44B25">
              <w:rPr>
                <w:rFonts w:ascii="Arial" w:hAnsi="Arial" w:cs="Arial"/>
                <w:b/>
                <w:sz w:val="20"/>
                <w:szCs w:val="20"/>
              </w:rPr>
              <w:t>Susceptible (%)</w:t>
            </w:r>
          </w:p>
        </w:tc>
        <w:tc>
          <w:tcPr>
            <w:tcW w:w="1773" w:type="dxa"/>
            <w:hideMark/>
          </w:tcPr>
          <w:p w14:paraId="78376B71" w14:textId="77777777" w:rsidR="00D44B25" w:rsidRPr="00D44B25" w:rsidRDefault="00D44B25" w:rsidP="00D44B25">
            <w:pPr>
              <w:spacing w:line="360" w:lineRule="auto"/>
              <w:jc w:val="both"/>
              <w:rPr>
                <w:rFonts w:ascii="Arial" w:hAnsi="Arial" w:cs="Arial"/>
                <w:b/>
                <w:sz w:val="20"/>
                <w:szCs w:val="20"/>
              </w:rPr>
            </w:pPr>
            <w:r w:rsidRPr="00D44B25">
              <w:rPr>
                <w:rFonts w:ascii="Arial" w:hAnsi="Arial" w:cs="Arial"/>
                <w:b/>
                <w:sz w:val="20"/>
                <w:szCs w:val="20"/>
              </w:rPr>
              <w:t>Resistance (%)</w:t>
            </w:r>
          </w:p>
        </w:tc>
      </w:tr>
      <w:tr w:rsidR="00D44B25" w:rsidRPr="00D44B25" w14:paraId="1ECA1D83" w14:textId="77777777" w:rsidTr="004C4810">
        <w:trPr>
          <w:jc w:val="center"/>
        </w:trPr>
        <w:tc>
          <w:tcPr>
            <w:tcW w:w="1373" w:type="dxa"/>
          </w:tcPr>
          <w:p w14:paraId="1A160EC9" w14:textId="37EE2E53" w:rsidR="00D44B25" w:rsidRPr="00D44B25" w:rsidRDefault="00D44B25" w:rsidP="00D44B25">
            <w:pPr>
              <w:spacing w:line="360" w:lineRule="auto"/>
              <w:jc w:val="both"/>
              <w:rPr>
                <w:rFonts w:ascii="Arial" w:hAnsi="Arial" w:cs="Arial"/>
                <w:sz w:val="20"/>
                <w:szCs w:val="20"/>
              </w:rPr>
            </w:pPr>
          </w:p>
          <w:p w14:paraId="5B41F11C" w14:textId="7096464E"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 xml:space="preserve">CXM- 30 </w:t>
            </w:r>
          </w:p>
        </w:tc>
        <w:tc>
          <w:tcPr>
            <w:tcW w:w="1767" w:type="dxa"/>
          </w:tcPr>
          <w:p w14:paraId="0BCBB2F1" w14:textId="77777777" w:rsidR="00D44B25" w:rsidRPr="00D44B25" w:rsidRDefault="00D44B25" w:rsidP="00D44B25">
            <w:pPr>
              <w:spacing w:line="360" w:lineRule="auto"/>
              <w:jc w:val="both"/>
              <w:rPr>
                <w:rFonts w:ascii="Arial" w:hAnsi="Arial" w:cs="Arial"/>
                <w:sz w:val="20"/>
                <w:szCs w:val="20"/>
              </w:rPr>
            </w:pPr>
          </w:p>
          <w:p w14:paraId="209C6D04"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3(75)</w:t>
            </w:r>
          </w:p>
        </w:tc>
        <w:tc>
          <w:tcPr>
            <w:tcW w:w="1706" w:type="dxa"/>
          </w:tcPr>
          <w:p w14:paraId="2C0F0566" w14:textId="77777777" w:rsidR="00D44B25" w:rsidRPr="00D44B25" w:rsidRDefault="00D44B25" w:rsidP="00D44B25">
            <w:pPr>
              <w:spacing w:line="360" w:lineRule="auto"/>
              <w:jc w:val="both"/>
              <w:rPr>
                <w:rFonts w:ascii="Arial" w:hAnsi="Arial" w:cs="Arial"/>
                <w:sz w:val="20"/>
                <w:szCs w:val="20"/>
              </w:rPr>
            </w:pPr>
          </w:p>
          <w:p w14:paraId="574EF6D1"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1(25)</w:t>
            </w:r>
          </w:p>
        </w:tc>
        <w:tc>
          <w:tcPr>
            <w:tcW w:w="1773" w:type="dxa"/>
          </w:tcPr>
          <w:p w14:paraId="0B5F84D3" w14:textId="77777777" w:rsidR="00D44B25" w:rsidRPr="00D44B25" w:rsidRDefault="00D44B25" w:rsidP="00D44B25">
            <w:pPr>
              <w:spacing w:line="360" w:lineRule="auto"/>
              <w:jc w:val="both"/>
              <w:rPr>
                <w:rFonts w:ascii="Arial" w:hAnsi="Arial" w:cs="Arial"/>
                <w:sz w:val="20"/>
                <w:szCs w:val="20"/>
              </w:rPr>
            </w:pPr>
          </w:p>
          <w:p w14:paraId="6A773E69"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8(73)</w:t>
            </w:r>
          </w:p>
        </w:tc>
        <w:tc>
          <w:tcPr>
            <w:tcW w:w="1773" w:type="dxa"/>
          </w:tcPr>
          <w:p w14:paraId="7BA21EFA" w14:textId="77777777" w:rsidR="00D44B25" w:rsidRPr="00D44B25" w:rsidRDefault="00D44B25" w:rsidP="00D44B25">
            <w:pPr>
              <w:spacing w:line="360" w:lineRule="auto"/>
              <w:jc w:val="both"/>
              <w:rPr>
                <w:rFonts w:ascii="Arial" w:hAnsi="Arial" w:cs="Arial"/>
                <w:sz w:val="20"/>
                <w:szCs w:val="20"/>
              </w:rPr>
            </w:pPr>
          </w:p>
          <w:p w14:paraId="158B5F0C"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3(27)</w:t>
            </w:r>
          </w:p>
        </w:tc>
      </w:tr>
      <w:tr w:rsidR="00D44B25" w:rsidRPr="00D44B25" w14:paraId="4A2EEB96" w14:textId="77777777" w:rsidTr="004C4810">
        <w:trPr>
          <w:jc w:val="center"/>
        </w:trPr>
        <w:tc>
          <w:tcPr>
            <w:tcW w:w="1373" w:type="dxa"/>
            <w:hideMark/>
          </w:tcPr>
          <w:p w14:paraId="4C1E05F9" w14:textId="39B25C2B"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 xml:space="preserve">AUG - 30 </w:t>
            </w:r>
          </w:p>
        </w:tc>
        <w:tc>
          <w:tcPr>
            <w:tcW w:w="1767" w:type="dxa"/>
            <w:hideMark/>
          </w:tcPr>
          <w:p w14:paraId="36D801F7"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2(50)</w:t>
            </w:r>
          </w:p>
        </w:tc>
        <w:tc>
          <w:tcPr>
            <w:tcW w:w="1706" w:type="dxa"/>
            <w:hideMark/>
          </w:tcPr>
          <w:p w14:paraId="17D038C6"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2(25)</w:t>
            </w:r>
          </w:p>
        </w:tc>
        <w:tc>
          <w:tcPr>
            <w:tcW w:w="1773" w:type="dxa"/>
            <w:hideMark/>
          </w:tcPr>
          <w:p w14:paraId="2A1EC7D1"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7(64)</w:t>
            </w:r>
          </w:p>
        </w:tc>
        <w:tc>
          <w:tcPr>
            <w:tcW w:w="1773" w:type="dxa"/>
            <w:hideMark/>
          </w:tcPr>
          <w:p w14:paraId="79E46621"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4(36)</w:t>
            </w:r>
          </w:p>
        </w:tc>
      </w:tr>
      <w:tr w:rsidR="00D44B25" w:rsidRPr="00D44B25" w14:paraId="43CFDEC6" w14:textId="77777777" w:rsidTr="004C4810">
        <w:trPr>
          <w:jc w:val="center"/>
        </w:trPr>
        <w:tc>
          <w:tcPr>
            <w:tcW w:w="1373" w:type="dxa"/>
            <w:hideMark/>
          </w:tcPr>
          <w:p w14:paraId="6BCB2069" w14:textId="1BB9E2E1"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CRO – 30</w:t>
            </w:r>
          </w:p>
        </w:tc>
        <w:tc>
          <w:tcPr>
            <w:tcW w:w="1767" w:type="dxa"/>
            <w:hideMark/>
          </w:tcPr>
          <w:p w14:paraId="6AA75CCB"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3(100)</w:t>
            </w:r>
          </w:p>
        </w:tc>
        <w:tc>
          <w:tcPr>
            <w:tcW w:w="1706" w:type="dxa"/>
            <w:hideMark/>
          </w:tcPr>
          <w:p w14:paraId="319FD34E"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1(25)</w:t>
            </w:r>
          </w:p>
        </w:tc>
        <w:tc>
          <w:tcPr>
            <w:tcW w:w="1773" w:type="dxa"/>
            <w:hideMark/>
          </w:tcPr>
          <w:p w14:paraId="5B7A1EF7"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5(45)</w:t>
            </w:r>
          </w:p>
        </w:tc>
        <w:tc>
          <w:tcPr>
            <w:tcW w:w="1773" w:type="dxa"/>
            <w:hideMark/>
          </w:tcPr>
          <w:p w14:paraId="7702DC71"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6(55)</w:t>
            </w:r>
          </w:p>
        </w:tc>
      </w:tr>
      <w:tr w:rsidR="00D44B25" w:rsidRPr="00D44B25" w14:paraId="5633584D" w14:textId="77777777" w:rsidTr="004C4810">
        <w:trPr>
          <w:jc w:val="center"/>
        </w:trPr>
        <w:tc>
          <w:tcPr>
            <w:tcW w:w="1373" w:type="dxa"/>
            <w:hideMark/>
          </w:tcPr>
          <w:p w14:paraId="2258E083" w14:textId="5F009EBE"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CIP – 30</w:t>
            </w:r>
          </w:p>
        </w:tc>
        <w:tc>
          <w:tcPr>
            <w:tcW w:w="1767" w:type="dxa"/>
            <w:hideMark/>
          </w:tcPr>
          <w:p w14:paraId="46A9D92E"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2(50)</w:t>
            </w:r>
          </w:p>
        </w:tc>
        <w:tc>
          <w:tcPr>
            <w:tcW w:w="1706" w:type="dxa"/>
            <w:hideMark/>
          </w:tcPr>
          <w:p w14:paraId="7CFDA082"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2(50)</w:t>
            </w:r>
          </w:p>
        </w:tc>
        <w:tc>
          <w:tcPr>
            <w:tcW w:w="1773" w:type="dxa"/>
            <w:hideMark/>
          </w:tcPr>
          <w:p w14:paraId="2903A386"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5(45)</w:t>
            </w:r>
          </w:p>
        </w:tc>
        <w:tc>
          <w:tcPr>
            <w:tcW w:w="1773" w:type="dxa"/>
            <w:hideMark/>
          </w:tcPr>
          <w:p w14:paraId="0BA50EBE"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6(55)</w:t>
            </w:r>
          </w:p>
        </w:tc>
      </w:tr>
      <w:tr w:rsidR="00D44B25" w:rsidRPr="00D44B25" w14:paraId="507BB287" w14:textId="77777777" w:rsidTr="004C4810">
        <w:trPr>
          <w:jc w:val="center"/>
        </w:trPr>
        <w:tc>
          <w:tcPr>
            <w:tcW w:w="1373" w:type="dxa"/>
            <w:hideMark/>
          </w:tcPr>
          <w:p w14:paraId="53B6A18E" w14:textId="18F9B23E"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 xml:space="preserve">FOX - 30 </w:t>
            </w:r>
          </w:p>
        </w:tc>
        <w:tc>
          <w:tcPr>
            <w:tcW w:w="1767" w:type="dxa"/>
            <w:hideMark/>
          </w:tcPr>
          <w:p w14:paraId="2060B31B"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2(50)</w:t>
            </w:r>
          </w:p>
        </w:tc>
        <w:tc>
          <w:tcPr>
            <w:tcW w:w="1706" w:type="dxa"/>
            <w:hideMark/>
          </w:tcPr>
          <w:p w14:paraId="38C3E994"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2(50)</w:t>
            </w:r>
          </w:p>
        </w:tc>
        <w:tc>
          <w:tcPr>
            <w:tcW w:w="1773" w:type="dxa"/>
            <w:hideMark/>
          </w:tcPr>
          <w:p w14:paraId="4EE49347"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7(64)</w:t>
            </w:r>
          </w:p>
        </w:tc>
        <w:tc>
          <w:tcPr>
            <w:tcW w:w="1773" w:type="dxa"/>
            <w:hideMark/>
          </w:tcPr>
          <w:p w14:paraId="31F2F3B2"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4(36)</w:t>
            </w:r>
          </w:p>
        </w:tc>
      </w:tr>
      <w:tr w:rsidR="00D44B25" w:rsidRPr="00D44B25" w14:paraId="4606ED88" w14:textId="77777777" w:rsidTr="004C4810">
        <w:trPr>
          <w:jc w:val="center"/>
        </w:trPr>
        <w:tc>
          <w:tcPr>
            <w:tcW w:w="1373" w:type="dxa"/>
            <w:hideMark/>
          </w:tcPr>
          <w:p w14:paraId="69C3DB2F" w14:textId="65F5C963"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 xml:space="preserve">TZP - 110 </w:t>
            </w:r>
          </w:p>
          <w:p w14:paraId="19BC921D" w14:textId="315D7079"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IMP-30</w:t>
            </w:r>
          </w:p>
          <w:p w14:paraId="723E158F" w14:textId="05D6962A"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CTX-30</w:t>
            </w:r>
          </w:p>
          <w:p w14:paraId="52CE0389" w14:textId="4C6FDDF5"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PB-100 IU</w:t>
            </w:r>
          </w:p>
        </w:tc>
        <w:tc>
          <w:tcPr>
            <w:tcW w:w="1767" w:type="dxa"/>
            <w:hideMark/>
          </w:tcPr>
          <w:p w14:paraId="446A90E3"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0(0)</w:t>
            </w:r>
          </w:p>
          <w:p w14:paraId="47452071"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4(100)</w:t>
            </w:r>
          </w:p>
          <w:p w14:paraId="41FA6FEF"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2(50)</w:t>
            </w:r>
          </w:p>
          <w:p w14:paraId="3FA4F858"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0(0)</w:t>
            </w:r>
          </w:p>
        </w:tc>
        <w:tc>
          <w:tcPr>
            <w:tcW w:w="1706" w:type="dxa"/>
            <w:hideMark/>
          </w:tcPr>
          <w:p w14:paraId="36D81D9D"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4(100)</w:t>
            </w:r>
          </w:p>
          <w:p w14:paraId="1BF4DB1E"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0(0)</w:t>
            </w:r>
          </w:p>
          <w:p w14:paraId="1B86C187"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2(50)</w:t>
            </w:r>
          </w:p>
          <w:p w14:paraId="1BBB114A"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4(100)</w:t>
            </w:r>
          </w:p>
        </w:tc>
        <w:tc>
          <w:tcPr>
            <w:tcW w:w="1773" w:type="dxa"/>
            <w:hideMark/>
          </w:tcPr>
          <w:p w14:paraId="72931507"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1(9)</w:t>
            </w:r>
          </w:p>
          <w:p w14:paraId="0F9AA2E2"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11(100)</w:t>
            </w:r>
          </w:p>
          <w:p w14:paraId="3A677CF6"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3(27)</w:t>
            </w:r>
          </w:p>
          <w:p w14:paraId="2F31C06F"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0(0)</w:t>
            </w:r>
          </w:p>
        </w:tc>
        <w:tc>
          <w:tcPr>
            <w:tcW w:w="1773" w:type="dxa"/>
            <w:hideMark/>
          </w:tcPr>
          <w:p w14:paraId="22B03EB7"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10(90)</w:t>
            </w:r>
          </w:p>
          <w:p w14:paraId="5E62A488"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0(0)</w:t>
            </w:r>
          </w:p>
          <w:p w14:paraId="094EDC23"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8(73)</w:t>
            </w:r>
          </w:p>
          <w:p w14:paraId="315FDF51"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11(100)</w:t>
            </w:r>
          </w:p>
        </w:tc>
      </w:tr>
    </w:tbl>
    <w:p w14:paraId="30DB60B5" w14:textId="4D3F9F76" w:rsidR="00A872AF" w:rsidRDefault="00A872AF" w:rsidP="00A872AF">
      <w:pPr>
        <w:jc w:val="both"/>
        <w:rPr>
          <w:rFonts w:ascii="Arial" w:hAnsi="Arial" w:cs="Arial"/>
        </w:rPr>
      </w:pPr>
      <w:r>
        <w:rPr>
          <w:rFonts w:ascii="Arial" w:hAnsi="Arial" w:cs="Arial"/>
          <w:b/>
        </w:rPr>
        <w:t>Keys:</w:t>
      </w:r>
      <w:r>
        <w:rPr>
          <w:rFonts w:ascii="Arial" w:hAnsi="Arial" w:cs="Arial"/>
        </w:rPr>
        <w:t xml:space="preserve"> Cefuroxime (CXM- 30 µg); Amoxicillin-Clavulanic acid (AUG-30 µg); Ceftriaxone (CRO-30 µg); Ciprofloxacin (CIP- 5 µg); Cefoxitin (FOX-30 µg); Piperacillin/TAZOBACTAM (TZP-110 µg); Imipenem (IMP- 30 µg); Cefotaxime (CTX-30 µg); Polymyxin B (PB-100 IU).</w:t>
      </w:r>
    </w:p>
    <w:p w14:paraId="4AFFFA60" w14:textId="77777777" w:rsidR="00D44B25" w:rsidRDefault="00D44B25" w:rsidP="00A872AF">
      <w:pPr>
        <w:jc w:val="both"/>
        <w:rPr>
          <w:rFonts w:ascii="Arial" w:hAnsi="Arial" w:cs="Arial"/>
        </w:rPr>
      </w:pPr>
    </w:p>
    <w:p w14:paraId="10AADAF3" w14:textId="4ABC3DE7" w:rsidR="00D44B25" w:rsidRDefault="00750688" w:rsidP="00D44B25">
      <w:pPr>
        <w:jc w:val="both"/>
        <w:rPr>
          <w:rFonts w:ascii="Arial" w:hAnsi="Arial" w:cs="Arial"/>
          <w:b/>
          <w:bCs/>
          <w:sz w:val="22"/>
          <w:szCs w:val="22"/>
        </w:rPr>
      </w:pPr>
      <w:r w:rsidRPr="00750688">
        <w:rPr>
          <w:rFonts w:ascii="Arial" w:hAnsi="Arial" w:cs="Arial"/>
          <w:b/>
          <w:bCs/>
          <w:sz w:val="22"/>
          <w:szCs w:val="22"/>
        </w:rPr>
        <w:t>3.4</w:t>
      </w:r>
      <w:r w:rsidR="00D44B25" w:rsidRPr="005B4EE5">
        <w:rPr>
          <w:rFonts w:ascii="Arial" w:hAnsi="Arial" w:cs="Arial"/>
          <w:b/>
          <w:bCs/>
          <w:sz w:val="22"/>
          <w:szCs w:val="22"/>
        </w:rPr>
        <w:t xml:space="preserve"> Antimicrobial susceptibility and resistance profiles of </w:t>
      </w:r>
      <w:r w:rsidR="00D44B25" w:rsidRPr="005B4EE5">
        <w:rPr>
          <w:rFonts w:ascii="Arial" w:hAnsi="Arial" w:cs="Arial"/>
          <w:b/>
          <w:bCs/>
          <w:i/>
          <w:sz w:val="22"/>
          <w:szCs w:val="22"/>
        </w:rPr>
        <w:t>K. pneumoniae</w:t>
      </w:r>
      <w:r w:rsidR="00D44B25" w:rsidRPr="005B4EE5">
        <w:rPr>
          <w:rFonts w:ascii="Arial" w:hAnsi="Arial" w:cs="Arial"/>
          <w:b/>
          <w:bCs/>
          <w:sz w:val="22"/>
          <w:szCs w:val="22"/>
        </w:rPr>
        <w:t xml:space="preserve"> and </w:t>
      </w:r>
      <w:r w:rsidR="00D44B25" w:rsidRPr="005B4EE5">
        <w:rPr>
          <w:rFonts w:ascii="Arial" w:hAnsi="Arial" w:cs="Arial"/>
          <w:b/>
          <w:bCs/>
          <w:i/>
          <w:sz w:val="22"/>
          <w:szCs w:val="22"/>
        </w:rPr>
        <w:t xml:space="preserve">E. coli </w:t>
      </w:r>
      <w:r w:rsidR="00D44B25" w:rsidRPr="005B4EE5">
        <w:rPr>
          <w:rFonts w:ascii="Arial" w:hAnsi="Arial" w:cs="Arial"/>
          <w:b/>
          <w:bCs/>
          <w:sz w:val="22"/>
          <w:szCs w:val="22"/>
        </w:rPr>
        <w:t>recovered from urine samples of apparently healthy female students of AE-FUNAI</w:t>
      </w:r>
      <w:r w:rsidR="00D44B25" w:rsidRPr="00750688">
        <w:rPr>
          <w:rFonts w:ascii="Arial" w:hAnsi="Arial" w:cs="Arial"/>
          <w:b/>
          <w:bCs/>
          <w:sz w:val="22"/>
          <w:szCs w:val="22"/>
        </w:rPr>
        <w:t>.</w:t>
      </w:r>
    </w:p>
    <w:p w14:paraId="19B1C1D4" w14:textId="77777777" w:rsidR="004C4810" w:rsidRPr="00750688" w:rsidRDefault="004C4810" w:rsidP="00D44B25">
      <w:pPr>
        <w:jc w:val="both"/>
        <w:rPr>
          <w:rFonts w:ascii="Arial" w:hAnsi="Arial" w:cs="Arial"/>
          <w:b/>
          <w:bCs/>
          <w:sz w:val="22"/>
          <w:szCs w:val="22"/>
        </w:rPr>
      </w:pPr>
    </w:p>
    <w:p w14:paraId="282C70D8" w14:textId="77777777" w:rsidR="00D44B25" w:rsidRPr="005B4EE5" w:rsidRDefault="00D44B25" w:rsidP="00D44B25">
      <w:pPr>
        <w:jc w:val="both"/>
        <w:rPr>
          <w:rFonts w:ascii="Arial" w:hAnsi="Arial" w:cs="Arial"/>
          <w:i/>
        </w:rPr>
      </w:pPr>
      <w:r w:rsidRPr="005B4EE5">
        <w:rPr>
          <w:rFonts w:ascii="Arial" w:hAnsi="Arial" w:cs="Arial"/>
        </w:rPr>
        <w:t xml:space="preserve">The result revealed that among the isolated </w:t>
      </w:r>
      <w:r w:rsidRPr="005B4EE5">
        <w:rPr>
          <w:rFonts w:ascii="Arial" w:hAnsi="Arial" w:cs="Arial"/>
          <w:i/>
        </w:rPr>
        <w:t>K. pneumonia</w:t>
      </w:r>
      <w:r w:rsidRPr="005B4EE5">
        <w:rPr>
          <w:rFonts w:ascii="Arial" w:hAnsi="Arial" w:cs="Arial"/>
        </w:rPr>
        <w:t xml:space="preserve">, they showed increased susceptibility to imipenem 11(100%), amoxicillin-clavulanic acid 7(64%), cefuroxime 6(55%) and resisted the effects of piperacillin/tazobactam 11(100%), polymyxin B 11(100%) and ciprofloxacin 8(73%). </w:t>
      </w:r>
    </w:p>
    <w:p w14:paraId="4BF1D367" w14:textId="77777777" w:rsidR="00D44B25" w:rsidRPr="005B4EE5" w:rsidRDefault="00D44B25" w:rsidP="00D44B25">
      <w:pPr>
        <w:jc w:val="both"/>
        <w:rPr>
          <w:rFonts w:ascii="Arial" w:hAnsi="Arial" w:cs="Arial"/>
        </w:rPr>
      </w:pPr>
    </w:p>
    <w:p w14:paraId="1747F475" w14:textId="77777777" w:rsidR="00D44B25" w:rsidRDefault="00D44B25" w:rsidP="00D44B25">
      <w:pPr>
        <w:jc w:val="both"/>
        <w:rPr>
          <w:rFonts w:ascii="Arial" w:hAnsi="Arial" w:cs="Arial"/>
        </w:rPr>
      </w:pPr>
      <w:r w:rsidRPr="005B4EE5">
        <w:rPr>
          <w:rFonts w:ascii="Arial" w:hAnsi="Arial" w:cs="Arial"/>
        </w:rPr>
        <w:t xml:space="preserve">The isolated </w:t>
      </w:r>
      <w:r w:rsidRPr="005B4EE5">
        <w:rPr>
          <w:rFonts w:ascii="Arial" w:hAnsi="Arial" w:cs="Arial"/>
          <w:i/>
        </w:rPr>
        <w:t>E. coli</w:t>
      </w:r>
      <w:r w:rsidRPr="005B4EE5">
        <w:rPr>
          <w:rFonts w:ascii="Arial" w:hAnsi="Arial" w:cs="Arial"/>
        </w:rPr>
        <w:t xml:space="preserve"> isolates were susceptible to imipenem 20(100%), cefotaxime 12(60%) and amoxicillin-clavulanic acid 11(55%). While showing resistance to piperacillin/Tazobactam 20(100%), polymyxin B 20(100%), ceftriaxone 12(60%) and ciprofloxacin 12(60%).</w:t>
      </w:r>
    </w:p>
    <w:p w14:paraId="1CE1BD44" w14:textId="77777777" w:rsidR="00D44B25" w:rsidRDefault="00D44B25" w:rsidP="00A872AF">
      <w:pPr>
        <w:jc w:val="both"/>
        <w:rPr>
          <w:rFonts w:ascii="Arial" w:hAnsi="Arial" w:cs="Arial"/>
        </w:rPr>
      </w:pPr>
    </w:p>
    <w:p w14:paraId="5BF5EE60" w14:textId="77777777" w:rsidR="00A872AF" w:rsidRDefault="00A872AF" w:rsidP="00A872AF">
      <w:pPr>
        <w:jc w:val="both"/>
        <w:rPr>
          <w:rFonts w:ascii="Arial" w:hAnsi="Arial" w:cs="Arial"/>
        </w:rPr>
      </w:pPr>
    </w:p>
    <w:p w14:paraId="02BF2B8F" w14:textId="4701A4F2" w:rsidR="00A872AF" w:rsidRPr="004C4810" w:rsidRDefault="00BB4B73" w:rsidP="00A872AF">
      <w:pPr>
        <w:jc w:val="both"/>
        <w:rPr>
          <w:rFonts w:ascii="Arial" w:hAnsi="Arial" w:cs="Arial"/>
          <w:b/>
          <w:sz w:val="22"/>
          <w:szCs w:val="22"/>
        </w:rPr>
      </w:pPr>
      <w:r>
        <w:rPr>
          <w:rFonts w:ascii="Arial" w:hAnsi="Arial" w:cs="Arial"/>
          <w:noProof/>
          <w:sz w:val="22"/>
          <w:szCs w:val="22"/>
        </w:rPr>
        <w:pict w14:anchorId="24525807">
          <v:shape id="_x0000_s1166" type="#_x0000_t32" style="position:absolute;left:0;text-align:left;margin-left:26.7pt;margin-top:36.5pt;width:359.25pt;height:0;z-index:251669504" o:connectortype="straight" strokeweight="1.5pt"/>
        </w:pict>
      </w:r>
      <w:r>
        <w:rPr>
          <w:rFonts w:ascii="Arial" w:hAnsi="Arial" w:cs="Arial"/>
          <w:noProof/>
          <w:sz w:val="22"/>
          <w:szCs w:val="22"/>
        </w:rPr>
        <w:pict w14:anchorId="24525807">
          <v:shape id="_x0000_s1167" type="#_x0000_t32" style="position:absolute;left:0;text-align:left;margin-left:24.45pt;margin-top:275.75pt;width:359.25pt;height:0;z-index:251670528" o:connectortype="straight" strokeweight="1.5pt"/>
        </w:pict>
      </w:r>
      <w:r w:rsidR="00A872AF" w:rsidRPr="00A872AF">
        <w:rPr>
          <w:rFonts w:ascii="Arial" w:hAnsi="Arial" w:cs="Arial"/>
          <w:b/>
          <w:sz w:val="22"/>
          <w:szCs w:val="22"/>
        </w:rPr>
        <w:t xml:space="preserve">Table 4: Antimicrobial susceptibility profiles of </w:t>
      </w:r>
      <w:r w:rsidR="00A872AF" w:rsidRPr="00A872AF">
        <w:rPr>
          <w:rFonts w:ascii="Arial" w:hAnsi="Arial" w:cs="Arial"/>
          <w:b/>
          <w:i/>
          <w:sz w:val="22"/>
          <w:szCs w:val="22"/>
        </w:rPr>
        <w:t>K. pneumoniae</w:t>
      </w:r>
      <w:r w:rsidR="00A872AF" w:rsidRPr="00A872AF">
        <w:rPr>
          <w:rFonts w:ascii="Arial" w:hAnsi="Arial" w:cs="Arial"/>
          <w:b/>
          <w:sz w:val="22"/>
          <w:szCs w:val="22"/>
        </w:rPr>
        <w:t xml:space="preserve"> and </w:t>
      </w:r>
      <w:r w:rsidR="00A872AF" w:rsidRPr="00A872AF">
        <w:rPr>
          <w:rFonts w:ascii="Arial" w:hAnsi="Arial" w:cs="Arial"/>
          <w:b/>
          <w:i/>
          <w:sz w:val="22"/>
          <w:szCs w:val="22"/>
        </w:rPr>
        <w:t xml:space="preserve">E. coli </w:t>
      </w:r>
      <w:r w:rsidR="00A872AF" w:rsidRPr="00A872AF">
        <w:rPr>
          <w:rFonts w:ascii="Arial" w:hAnsi="Arial" w:cs="Arial"/>
          <w:b/>
          <w:sz w:val="22"/>
          <w:szCs w:val="22"/>
        </w:rPr>
        <w:t>recovered from urine samples of apparently healthy female students of AE-FUNAI.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1529"/>
        <w:gridCol w:w="1486"/>
        <w:gridCol w:w="1445"/>
        <w:gridCol w:w="1402"/>
      </w:tblGrid>
      <w:tr w:rsidR="000C2E88" w:rsidRPr="00D44B25" w14:paraId="413258F2" w14:textId="77777777" w:rsidTr="00A11305">
        <w:trPr>
          <w:gridAfter w:val="4"/>
          <w:wAfter w:w="5862" w:type="dxa"/>
          <w:trHeight w:val="345"/>
          <w:jc w:val="center"/>
        </w:trPr>
        <w:tc>
          <w:tcPr>
            <w:tcW w:w="1323" w:type="dxa"/>
            <w:vMerge w:val="restart"/>
          </w:tcPr>
          <w:p w14:paraId="41869C76" w14:textId="77777777" w:rsidR="000C2E88" w:rsidRPr="00A872AF" w:rsidRDefault="000C2E88" w:rsidP="00D44B25">
            <w:pPr>
              <w:spacing w:line="360" w:lineRule="auto"/>
              <w:jc w:val="both"/>
              <w:rPr>
                <w:rFonts w:ascii="Arial" w:hAnsi="Arial" w:cs="Arial"/>
                <w:sz w:val="20"/>
                <w:szCs w:val="20"/>
              </w:rPr>
            </w:pPr>
          </w:p>
          <w:p w14:paraId="642D3351" w14:textId="0839F51F" w:rsidR="000C2E88" w:rsidRPr="00A872AF" w:rsidRDefault="000C2E88" w:rsidP="00D44B25">
            <w:pPr>
              <w:spacing w:line="360" w:lineRule="auto"/>
              <w:jc w:val="both"/>
              <w:rPr>
                <w:rFonts w:ascii="Arial" w:hAnsi="Arial" w:cs="Arial"/>
                <w:b/>
                <w:sz w:val="20"/>
                <w:szCs w:val="20"/>
              </w:rPr>
            </w:pPr>
            <w:r w:rsidRPr="00D44B25">
              <w:rPr>
                <w:rFonts w:ascii="Arial" w:hAnsi="Arial" w:cs="Arial"/>
                <w:b/>
                <w:sz w:val="20"/>
                <w:szCs w:val="20"/>
              </w:rPr>
              <w:t xml:space="preserve">Antibiotics </w:t>
            </w:r>
          </w:p>
          <w:p w14:paraId="3516A7DB" w14:textId="51F63AC3" w:rsidR="000C2E88" w:rsidRPr="00A872AF" w:rsidRDefault="000C2E88" w:rsidP="00D44B25">
            <w:pPr>
              <w:spacing w:line="360" w:lineRule="auto"/>
              <w:jc w:val="both"/>
              <w:rPr>
                <w:rFonts w:ascii="Arial" w:hAnsi="Arial" w:cs="Arial"/>
                <w:sz w:val="20"/>
                <w:szCs w:val="20"/>
              </w:rPr>
            </w:pPr>
            <w:r w:rsidRPr="00D44B25">
              <w:rPr>
                <w:rFonts w:ascii="Arial" w:hAnsi="Arial" w:cs="Arial"/>
                <w:b/>
                <w:sz w:val="20"/>
                <w:szCs w:val="20"/>
              </w:rPr>
              <w:t>Used</w:t>
            </w:r>
            <w:r w:rsidRPr="00A872AF">
              <w:rPr>
                <w:rFonts w:ascii="Arial" w:hAnsi="Arial" w:cs="Arial"/>
                <w:b/>
                <w:sz w:val="20"/>
                <w:szCs w:val="20"/>
              </w:rPr>
              <w:t xml:space="preserve"> </w:t>
            </w:r>
            <w:r w:rsidRPr="00A872AF">
              <w:rPr>
                <w:rFonts w:ascii="Arial" w:hAnsi="Arial" w:cs="Arial"/>
                <w:sz w:val="20"/>
                <w:szCs w:val="20"/>
              </w:rPr>
              <w:t>(</w:t>
            </w:r>
            <w:r w:rsidRPr="00A872AF">
              <w:rPr>
                <w:rFonts w:ascii="Arial" w:hAnsi="Arial" w:cs="Arial"/>
                <w:b/>
                <w:sz w:val="20"/>
                <w:szCs w:val="20"/>
              </w:rPr>
              <w:t>µg)</w:t>
            </w:r>
          </w:p>
        </w:tc>
      </w:tr>
      <w:tr w:rsidR="000C2E88" w:rsidRPr="00D44B25" w14:paraId="6D51BC40" w14:textId="77777777" w:rsidTr="00A11305">
        <w:trPr>
          <w:trHeight w:val="395"/>
          <w:jc w:val="center"/>
        </w:trPr>
        <w:tc>
          <w:tcPr>
            <w:tcW w:w="0" w:type="auto"/>
            <w:vMerge/>
            <w:vAlign w:val="center"/>
            <w:hideMark/>
          </w:tcPr>
          <w:p w14:paraId="4997C13E" w14:textId="77777777" w:rsidR="000C2E88" w:rsidRPr="00A872AF" w:rsidRDefault="000C2E88" w:rsidP="00D44B25">
            <w:pPr>
              <w:spacing w:line="360" w:lineRule="auto"/>
              <w:jc w:val="both"/>
              <w:rPr>
                <w:rFonts w:ascii="Arial" w:hAnsi="Arial" w:cs="Arial"/>
                <w:sz w:val="20"/>
                <w:szCs w:val="20"/>
              </w:rPr>
            </w:pPr>
          </w:p>
        </w:tc>
        <w:tc>
          <w:tcPr>
            <w:tcW w:w="3015" w:type="dxa"/>
            <w:gridSpan w:val="2"/>
            <w:hideMark/>
          </w:tcPr>
          <w:p w14:paraId="5DDD427C" w14:textId="77777777" w:rsidR="000C2E88" w:rsidRPr="00A872AF" w:rsidRDefault="000C2E88" w:rsidP="00D44B25">
            <w:pPr>
              <w:spacing w:line="360" w:lineRule="auto"/>
              <w:jc w:val="both"/>
              <w:rPr>
                <w:rFonts w:ascii="Arial" w:hAnsi="Arial" w:cs="Arial"/>
                <w:b/>
                <w:sz w:val="20"/>
                <w:szCs w:val="20"/>
              </w:rPr>
            </w:pPr>
            <w:r w:rsidRPr="00A872AF">
              <w:rPr>
                <w:rFonts w:ascii="Arial" w:hAnsi="Arial" w:cs="Arial"/>
                <w:b/>
                <w:i/>
                <w:sz w:val="20"/>
                <w:szCs w:val="20"/>
              </w:rPr>
              <w:t xml:space="preserve">K. </w:t>
            </w:r>
            <w:r w:rsidRPr="00A872AF">
              <w:rPr>
                <w:rFonts w:ascii="Arial" w:hAnsi="Arial" w:cs="Arial"/>
                <w:b/>
                <w:sz w:val="20"/>
                <w:szCs w:val="20"/>
              </w:rPr>
              <w:t xml:space="preserve"> </w:t>
            </w:r>
            <w:r w:rsidRPr="00A872AF">
              <w:rPr>
                <w:rFonts w:ascii="Arial" w:hAnsi="Arial" w:cs="Arial"/>
                <w:b/>
                <w:i/>
                <w:sz w:val="20"/>
                <w:szCs w:val="20"/>
              </w:rPr>
              <w:t>pneumoniae</w:t>
            </w:r>
            <w:r w:rsidRPr="00A872AF">
              <w:rPr>
                <w:rFonts w:ascii="Arial" w:hAnsi="Arial" w:cs="Arial"/>
                <w:b/>
                <w:sz w:val="20"/>
                <w:szCs w:val="20"/>
              </w:rPr>
              <w:t xml:space="preserve"> (n=11)</w:t>
            </w:r>
          </w:p>
        </w:tc>
        <w:tc>
          <w:tcPr>
            <w:tcW w:w="2847" w:type="dxa"/>
            <w:gridSpan w:val="2"/>
            <w:hideMark/>
          </w:tcPr>
          <w:p w14:paraId="0C4C7C85" w14:textId="77777777" w:rsidR="000C2E88" w:rsidRPr="00A872AF" w:rsidRDefault="000C2E88" w:rsidP="00D44B25">
            <w:pPr>
              <w:spacing w:line="360" w:lineRule="auto"/>
              <w:jc w:val="both"/>
              <w:rPr>
                <w:rFonts w:ascii="Arial" w:hAnsi="Arial" w:cs="Arial"/>
                <w:b/>
                <w:sz w:val="20"/>
                <w:szCs w:val="20"/>
              </w:rPr>
            </w:pPr>
            <w:r w:rsidRPr="00A872AF">
              <w:rPr>
                <w:rFonts w:ascii="Arial" w:hAnsi="Arial" w:cs="Arial"/>
                <w:b/>
                <w:i/>
                <w:sz w:val="20"/>
                <w:szCs w:val="20"/>
              </w:rPr>
              <w:t>E. coli</w:t>
            </w:r>
            <w:r w:rsidRPr="00A872AF">
              <w:rPr>
                <w:rFonts w:ascii="Arial" w:hAnsi="Arial" w:cs="Arial"/>
                <w:b/>
                <w:sz w:val="20"/>
                <w:szCs w:val="20"/>
              </w:rPr>
              <w:t xml:space="preserve"> (n=20)</w:t>
            </w:r>
          </w:p>
        </w:tc>
      </w:tr>
      <w:tr w:rsidR="000C2E88" w:rsidRPr="00D44B25" w14:paraId="549D8C7E" w14:textId="77777777" w:rsidTr="00A11305">
        <w:trPr>
          <w:jc w:val="center"/>
        </w:trPr>
        <w:tc>
          <w:tcPr>
            <w:tcW w:w="0" w:type="auto"/>
            <w:vMerge/>
            <w:vAlign w:val="center"/>
            <w:hideMark/>
          </w:tcPr>
          <w:p w14:paraId="3CCFB53C" w14:textId="77777777" w:rsidR="000C2E88" w:rsidRPr="00A872AF" w:rsidRDefault="000C2E88" w:rsidP="00D44B25">
            <w:pPr>
              <w:spacing w:line="360" w:lineRule="auto"/>
              <w:jc w:val="both"/>
              <w:rPr>
                <w:rFonts w:ascii="Arial" w:hAnsi="Arial" w:cs="Arial"/>
                <w:sz w:val="20"/>
                <w:szCs w:val="20"/>
              </w:rPr>
            </w:pPr>
          </w:p>
        </w:tc>
        <w:tc>
          <w:tcPr>
            <w:tcW w:w="1529" w:type="dxa"/>
            <w:hideMark/>
          </w:tcPr>
          <w:p w14:paraId="07688FA6" w14:textId="77777777" w:rsidR="000C2E88" w:rsidRPr="00A872AF" w:rsidRDefault="000C2E88" w:rsidP="00D44B25">
            <w:pPr>
              <w:spacing w:line="360" w:lineRule="auto"/>
              <w:jc w:val="both"/>
              <w:rPr>
                <w:rFonts w:ascii="Arial" w:hAnsi="Arial" w:cs="Arial"/>
                <w:b/>
                <w:sz w:val="20"/>
                <w:szCs w:val="20"/>
              </w:rPr>
            </w:pPr>
            <w:r w:rsidRPr="00A872AF">
              <w:rPr>
                <w:rFonts w:ascii="Arial" w:hAnsi="Arial" w:cs="Arial"/>
                <w:b/>
                <w:sz w:val="20"/>
                <w:szCs w:val="20"/>
              </w:rPr>
              <w:t>Susceptible (%)</w:t>
            </w:r>
          </w:p>
        </w:tc>
        <w:tc>
          <w:tcPr>
            <w:tcW w:w="1486" w:type="dxa"/>
            <w:hideMark/>
          </w:tcPr>
          <w:p w14:paraId="515B8668" w14:textId="77777777" w:rsidR="000C2E88" w:rsidRPr="00A872AF" w:rsidRDefault="000C2E88" w:rsidP="00D44B25">
            <w:pPr>
              <w:spacing w:line="360" w:lineRule="auto"/>
              <w:jc w:val="both"/>
              <w:rPr>
                <w:rFonts w:ascii="Arial" w:hAnsi="Arial" w:cs="Arial"/>
                <w:b/>
                <w:sz w:val="20"/>
                <w:szCs w:val="20"/>
              </w:rPr>
            </w:pPr>
            <w:r w:rsidRPr="00A872AF">
              <w:rPr>
                <w:rFonts w:ascii="Arial" w:hAnsi="Arial" w:cs="Arial"/>
                <w:b/>
                <w:sz w:val="20"/>
                <w:szCs w:val="20"/>
              </w:rPr>
              <w:t>Resistance (%)</w:t>
            </w:r>
          </w:p>
        </w:tc>
        <w:tc>
          <w:tcPr>
            <w:tcW w:w="1445" w:type="dxa"/>
            <w:hideMark/>
          </w:tcPr>
          <w:p w14:paraId="3F4018FA" w14:textId="77777777" w:rsidR="000C2E88" w:rsidRPr="00A872AF" w:rsidRDefault="000C2E88" w:rsidP="00D44B25">
            <w:pPr>
              <w:spacing w:line="360" w:lineRule="auto"/>
              <w:jc w:val="both"/>
              <w:rPr>
                <w:rFonts w:ascii="Arial" w:hAnsi="Arial" w:cs="Arial"/>
                <w:b/>
                <w:sz w:val="20"/>
                <w:szCs w:val="20"/>
              </w:rPr>
            </w:pPr>
            <w:r w:rsidRPr="00A872AF">
              <w:rPr>
                <w:rFonts w:ascii="Arial" w:hAnsi="Arial" w:cs="Arial"/>
                <w:b/>
                <w:sz w:val="20"/>
                <w:szCs w:val="20"/>
              </w:rPr>
              <w:t>Susceptible (%)</w:t>
            </w:r>
          </w:p>
        </w:tc>
        <w:tc>
          <w:tcPr>
            <w:tcW w:w="1402" w:type="dxa"/>
            <w:hideMark/>
          </w:tcPr>
          <w:p w14:paraId="190AF674" w14:textId="77777777" w:rsidR="000C2E88" w:rsidRPr="00A872AF" w:rsidRDefault="000C2E88" w:rsidP="00D44B25">
            <w:pPr>
              <w:spacing w:line="360" w:lineRule="auto"/>
              <w:jc w:val="both"/>
              <w:rPr>
                <w:rFonts w:ascii="Arial" w:hAnsi="Arial" w:cs="Arial"/>
                <w:b/>
                <w:sz w:val="20"/>
                <w:szCs w:val="20"/>
              </w:rPr>
            </w:pPr>
            <w:r w:rsidRPr="00A872AF">
              <w:rPr>
                <w:rFonts w:ascii="Arial" w:hAnsi="Arial" w:cs="Arial"/>
                <w:b/>
                <w:sz w:val="20"/>
                <w:szCs w:val="20"/>
              </w:rPr>
              <w:t>Resistance (%)</w:t>
            </w:r>
          </w:p>
        </w:tc>
      </w:tr>
      <w:tr w:rsidR="000C2E88" w:rsidRPr="00D44B25" w14:paraId="58FA5684" w14:textId="77777777" w:rsidTr="00A11305">
        <w:trPr>
          <w:jc w:val="center"/>
        </w:trPr>
        <w:tc>
          <w:tcPr>
            <w:tcW w:w="1323" w:type="dxa"/>
          </w:tcPr>
          <w:p w14:paraId="79C5F100" w14:textId="29DCFBA5" w:rsidR="000C2E88" w:rsidRPr="00A872AF" w:rsidRDefault="00BB4B73" w:rsidP="00D44B25">
            <w:pPr>
              <w:spacing w:line="360" w:lineRule="auto"/>
              <w:jc w:val="both"/>
              <w:rPr>
                <w:rFonts w:ascii="Arial" w:hAnsi="Arial" w:cs="Arial"/>
                <w:sz w:val="20"/>
                <w:szCs w:val="20"/>
              </w:rPr>
            </w:pPr>
            <w:r>
              <w:rPr>
                <w:rFonts w:ascii="Arial" w:hAnsi="Arial" w:cs="Arial"/>
                <w:noProof/>
              </w:rPr>
              <w:pict w14:anchorId="24525807">
                <v:shape id="_x0000_s1165" type="#_x0000_t32" style="position:absolute;left:0;text-align:left;margin-left:-5.75pt;margin-top:0;width:359.25pt;height:0;z-index:251668480;mso-position-horizontal-relative:text;mso-position-vertical-relative:text" o:connectortype="straight" strokeweight="1.5pt"/>
              </w:pict>
            </w:r>
          </w:p>
          <w:p w14:paraId="39BB9333"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 xml:space="preserve">CXM- 30 </w:t>
            </w:r>
          </w:p>
        </w:tc>
        <w:tc>
          <w:tcPr>
            <w:tcW w:w="1529" w:type="dxa"/>
          </w:tcPr>
          <w:p w14:paraId="6C0ACB4A" w14:textId="77777777" w:rsidR="000C2E88" w:rsidRPr="00A872AF" w:rsidRDefault="000C2E88" w:rsidP="00D44B25">
            <w:pPr>
              <w:spacing w:line="360" w:lineRule="auto"/>
              <w:jc w:val="both"/>
              <w:rPr>
                <w:rFonts w:ascii="Arial" w:hAnsi="Arial" w:cs="Arial"/>
                <w:sz w:val="20"/>
                <w:szCs w:val="20"/>
              </w:rPr>
            </w:pPr>
          </w:p>
          <w:p w14:paraId="7525C5D3"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6(55)</w:t>
            </w:r>
          </w:p>
        </w:tc>
        <w:tc>
          <w:tcPr>
            <w:tcW w:w="1486" w:type="dxa"/>
          </w:tcPr>
          <w:p w14:paraId="452317E1" w14:textId="77777777" w:rsidR="000C2E88" w:rsidRPr="00A872AF" w:rsidRDefault="000C2E88" w:rsidP="00D44B25">
            <w:pPr>
              <w:spacing w:line="360" w:lineRule="auto"/>
              <w:jc w:val="both"/>
              <w:rPr>
                <w:rFonts w:ascii="Arial" w:hAnsi="Arial" w:cs="Arial"/>
                <w:sz w:val="20"/>
                <w:szCs w:val="20"/>
              </w:rPr>
            </w:pPr>
          </w:p>
          <w:p w14:paraId="6E57DFB0"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5(45)</w:t>
            </w:r>
          </w:p>
        </w:tc>
        <w:tc>
          <w:tcPr>
            <w:tcW w:w="1445" w:type="dxa"/>
          </w:tcPr>
          <w:p w14:paraId="3C2D51AF" w14:textId="77777777" w:rsidR="000C2E88" w:rsidRPr="00A872AF" w:rsidRDefault="000C2E88" w:rsidP="00D44B25">
            <w:pPr>
              <w:spacing w:line="360" w:lineRule="auto"/>
              <w:jc w:val="both"/>
              <w:rPr>
                <w:rFonts w:ascii="Arial" w:hAnsi="Arial" w:cs="Arial"/>
                <w:sz w:val="20"/>
                <w:szCs w:val="20"/>
              </w:rPr>
            </w:pPr>
          </w:p>
          <w:p w14:paraId="31A36C09"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10(50)</w:t>
            </w:r>
          </w:p>
        </w:tc>
        <w:tc>
          <w:tcPr>
            <w:tcW w:w="1402" w:type="dxa"/>
          </w:tcPr>
          <w:p w14:paraId="6574575B" w14:textId="77777777" w:rsidR="000C2E88" w:rsidRPr="00A872AF" w:rsidRDefault="000C2E88" w:rsidP="00D44B25">
            <w:pPr>
              <w:spacing w:line="360" w:lineRule="auto"/>
              <w:jc w:val="both"/>
              <w:rPr>
                <w:rFonts w:ascii="Arial" w:hAnsi="Arial" w:cs="Arial"/>
                <w:sz w:val="20"/>
                <w:szCs w:val="20"/>
              </w:rPr>
            </w:pPr>
          </w:p>
          <w:p w14:paraId="3B481FD7"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10(50)</w:t>
            </w:r>
          </w:p>
        </w:tc>
      </w:tr>
      <w:tr w:rsidR="000C2E88" w:rsidRPr="00D44B25" w14:paraId="49F902A4" w14:textId="77777777" w:rsidTr="00A11305">
        <w:trPr>
          <w:jc w:val="center"/>
        </w:trPr>
        <w:tc>
          <w:tcPr>
            <w:tcW w:w="1323" w:type="dxa"/>
            <w:hideMark/>
          </w:tcPr>
          <w:p w14:paraId="296C9896"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lastRenderedPageBreak/>
              <w:t xml:space="preserve">AUG - 30 </w:t>
            </w:r>
          </w:p>
        </w:tc>
        <w:tc>
          <w:tcPr>
            <w:tcW w:w="1529" w:type="dxa"/>
            <w:hideMark/>
          </w:tcPr>
          <w:p w14:paraId="46268896"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7(64)</w:t>
            </w:r>
          </w:p>
        </w:tc>
        <w:tc>
          <w:tcPr>
            <w:tcW w:w="1486" w:type="dxa"/>
            <w:hideMark/>
          </w:tcPr>
          <w:p w14:paraId="4F52B104"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4(36)</w:t>
            </w:r>
          </w:p>
        </w:tc>
        <w:tc>
          <w:tcPr>
            <w:tcW w:w="1445" w:type="dxa"/>
            <w:hideMark/>
          </w:tcPr>
          <w:p w14:paraId="325DCE15"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11(55)</w:t>
            </w:r>
          </w:p>
        </w:tc>
        <w:tc>
          <w:tcPr>
            <w:tcW w:w="1402" w:type="dxa"/>
            <w:hideMark/>
          </w:tcPr>
          <w:p w14:paraId="53B7B71F"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9(45)</w:t>
            </w:r>
          </w:p>
        </w:tc>
      </w:tr>
      <w:tr w:rsidR="000C2E88" w:rsidRPr="00D44B25" w14:paraId="6E72E06B" w14:textId="77777777" w:rsidTr="00A11305">
        <w:trPr>
          <w:jc w:val="center"/>
        </w:trPr>
        <w:tc>
          <w:tcPr>
            <w:tcW w:w="1323" w:type="dxa"/>
            <w:hideMark/>
          </w:tcPr>
          <w:p w14:paraId="71B744D2"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CRO – 30</w:t>
            </w:r>
          </w:p>
        </w:tc>
        <w:tc>
          <w:tcPr>
            <w:tcW w:w="1529" w:type="dxa"/>
            <w:hideMark/>
          </w:tcPr>
          <w:p w14:paraId="1ED8254D"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5(45)</w:t>
            </w:r>
          </w:p>
        </w:tc>
        <w:tc>
          <w:tcPr>
            <w:tcW w:w="1486" w:type="dxa"/>
            <w:hideMark/>
          </w:tcPr>
          <w:p w14:paraId="651BBBEF"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6(55)</w:t>
            </w:r>
          </w:p>
        </w:tc>
        <w:tc>
          <w:tcPr>
            <w:tcW w:w="1445" w:type="dxa"/>
            <w:hideMark/>
          </w:tcPr>
          <w:p w14:paraId="7405AC2B"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8(40)</w:t>
            </w:r>
          </w:p>
        </w:tc>
        <w:tc>
          <w:tcPr>
            <w:tcW w:w="1402" w:type="dxa"/>
            <w:hideMark/>
          </w:tcPr>
          <w:p w14:paraId="18AAE07D"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12(60)</w:t>
            </w:r>
          </w:p>
        </w:tc>
      </w:tr>
      <w:tr w:rsidR="000C2E88" w:rsidRPr="00D44B25" w14:paraId="40074309" w14:textId="77777777" w:rsidTr="00A11305">
        <w:trPr>
          <w:jc w:val="center"/>
        </w:trPr>
        <w:tc>
          <w:tcPr>
            <w:tcW w:w="1323" w:type="dxa"/>
            <w:hideMark/>
          </w:tcPr>
          <w:p w14:paraId="67705E84"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CIP – 30</w:t>
            </w:r>
          </w:p>
        </w:tc>
        <w:tc>
          <w:tcPr>
            <w:tcW w:w="1529" w:type="dxa"/>
            <w:hideMark/>
          </w:tcPr>
          <w:p w14:paraId="5CE6ED7B"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3(27)</w:t>
            </w:r>
          </w:p>
        </w:tc>
        <w:tc>
          <w:tcPr>
            <w:tcW w:w="1486" w:type="dxa"/>
            <w:hideMark/>
          </w:tcPr>
          <w:p w14:paraId="2231675F"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8(73)</w:t>
            </w:r>
          </w:p>
        </w:tc>
        <w:tc>
          <w:tcPr>
            <w:tcW w:w="1445" w:type="dxa"/>
            <w:hideMark/>
          </w:tcPr>
          <w:p w14:paraId="5C575943"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8(40)</w:t>
            </w:r>
          </w:p>
        </w:tc>
        <w:tc>
          <w:tcPr>
            <w:tcW w:w="1402" w:type="dxa"/>
            <w:hideMark/>
          </w:tcPr>
          <w:p w14:paraId="1E08508F"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12(60)</w:t>
            </w:r>
          </w:p>
        </w:tc>
      </w:tr>
      <w:tr w:rsidR="000C2E88" w:rsidRPr="00D44B25" w14:paraId="65AE7B25" w14:textId="77777777" w:rsidTr="00A11305">
        <w:trPr>
          <w:jc w:val="center"/>
        </w:trPr>
        <w:tc>
          <w:tcPr>
            <w:tcW w:w="1323" w:type="dxa"/>
            <w:hideMark/>
          </w:tcPr>
          <w:p w14:paraId="26EE08C3"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 xml:space="preserve">FOX - 30 </w:t>
            </w:r>
          </w:p>
        </w:tc>
        <w:tc>
          <w:tcPr>
            <w:tcW w:w="1529" w:type="dxa"/>
            <w:hideMark/>
          </w:tcPr>
          <w:p w14:paraId="14D2FA62"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5(45)</w:t>
            </w:r>
          </w:p>
        </w:tc>
        <w:tc>
          <w:tcPr>
            <w:tcW w:w="1486" w:type="dxa"/>
            <w:hideMark/>
          </w:tcPr>
          <w:p w14:paraId="7CDC3766"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6(55)</w:t>
            </w:r>
          </w:p>
        </w:tc>
        <w:tc>
          <w:tcPr>
            <w:tcW w:w="1445" w:type="dxa"/>
            <w:hideMark/>
          </w:tcPr>
          <w:p w14:paraId="27462DEE"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9(45)</w:t>
            </w:r>
          </w:p>
        </w:tc>
        <w:tc>
          <w:tcPr>
            <w:tcW w:w="1402" w:type="dxa"/>
            <w:hideMark/>
          </w:tcPr>
          <w:p w14:paraId="4A5CD043"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11(55)</w:t>
            </w:r>
          </w:p>
        </w:tc>
      </w:tr>
      <w:tr w:rsidR="000C2E88" w:rsidRPr="00D44B25" w14:paraId="04DFD75D" w14:textId="77777777" w:rsidTr="00A11305">
        <w:trPr>
          <w:jc w:val="center"/>
        </w:trPr>
        <w:tc>
          <w:tcPr>
            <w:tcW w:w="1323" w:type="dxa"/>
            <w:hideMark/>
          </w:tcPr>
          <w:p w14:paraId="6C266DAB"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 xml:space="preserve">TZP - 110 </w:t>
            </w:r>
          </w:p>
          <w:p w14:paraId="194A2F83"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IMP-30</w:t>
            </w:r>
          </w:p>
          <w:p w14:paraId="4E0D67C4"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CTX-30</w:t>
            </w:r>
          </w:p>
          <w:p w14:paraId="7352A65D"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PB-100 IU</w:t>
            </w:r>
          </w:p>
        </w:tc>
        <w:tc>
          <w:tcPr>
            <w:tcW w:w="1529" w:type="dxa"/>
            <w:hideMark/>
          </w:tcPr>
          <w:p w14:paraId="44C527A9"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0(0)</w:t>
            </w:r>
          </w:p>
          <w:p w14:paraId="5A8F4B32"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11(100)</w:t>
            </w:r>
          </w:p>
          <w:p w14:paraId="46449DF9"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4(36)</w:t>
            </w:r>
          </w:p>
          <w:p w14:paraId="516D2702"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0(0)</w:t>
            </w:r>
          </w:p>
        </w:tc>
        <w:tc>
          <w:tcPr>
            <w:tcW w:w="1486" w:type="dxa"/>
            <w:hideMark/>
          </w:tcPr>
          <w:p w14:paraId="637E517D"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11(100)</w:t>
            </w:r>
          </w:p>
          <w:p w14:paraId="0009197B"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0(0)</w:t>
            </w:r>
          </w:p>
          <w:p w14:paraId="78233AD4"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7(64)</w:t>
            </w:r>
          </w:p>
          <w:p w14:paraId="7A94CB3A"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11(100)</w:t>
            </w:r>
          </w:p>
        </w:tc>
        <w:tc>
          <w:tcPr>
            <w:tcW w:w="1445" w:type="dxa"/>
            <w:hideMark/>
          </w:tcPr>
          <w:p w14:paraId="3945736C"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0(0)</w:t>
            </w:r>
          </w:p>
          <w:p w14:paraId="3869B9BF"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20(100)</w:t>
            </w:r>
          </w:p>
          <w:p w14:paraId="4B07A11D"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12(60)</w:t>
            </w:r>
          </w:p>
          <w:p w14:paraId="7EBCAF5F"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0(0)</w:t>
            </w:r>
          </w:p>
        </w:tc>
        <w:tc>
          <w:tcPr>
            <w:tcW w:w="1402" w:type="dxa"/>
          </w:tcPr>
          <w:p w14:paraId="27A0C78C"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20(100)</w:t>
            </w:r>
          </w:p>
          <w:p w14:paraId="5E141F66"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0(0)</w:t>
            </w:r>
          </w:p>
          <w:p w14:paraId="45056837"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8(40)</w:t>
            </w:r>
          </w:p>
          <w:p w14:paraId="7B7BEFDA"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20(100)</w:t>
            </w:r>
          </w:p>
          <w:p w14:paraId="5CAD7149" w14:textId="77777777" w:rsidR="000C2E88" w:rsidRPr="00A872AF" w:rsidRDefault="000C2E88" w:rsidP="00D44B25">
            <w:pPr>
              <w:spacing w:line="360" w:lineRule="auto"/>
              <w:jc w:val="both"/>
              <w:rPr>
                <w:rFonts w:ascii="Arial" w:hAnsi="Arial" w:cs="Arial"/>
                <w:sz w:val="20"/>
                <w:szCs w:val="20"/>
              </w:rPr>
            </w:pPr>
          </w:p>
        </w:tc>
      </w:tr>
    </w:tbl>
    <w:p w14:paraId="44D9BD61" w14:textId="3974A324" w:rsidR="00A872AF" w:rsidRDefault="00A872AF" w:rsidP="00A872AF">
      <w:pPr>
        <w:jc w:val="both"/>
        <w:rPr>
          <w:rFonts w:ascii="Arial" w:hAnsi="Arial" w:cs="Arial"/>
        </w:rPr>
      </w:pPr>
      <w:r>
        <w:rPr>
          <w:rFonts w:ascii="Arial" w:hAnsi="Arial" w:cs="Arial"/>
          <w:b/>
        </w:rPr>
        <w:t>Keys:</w:t>
      </w:r>
      <w:r>
        <w:rPr>
          <w:rFonts w:ascii="Arial" w:hAnsi="Arial" w:cs="Arial"/>
        </w:rPr>
        <w:t xml:space="preserve"> Cefuroxime (CXM- 30 µg); Amoxicillin-Clavulanic acid (AUG-30 µg); Ceftriaxone (CRO-30 µg); Ciprofloxacin (CIP- 5 µg); Cefoxitin (FOX-30 µg); Piperacillin/</w:t>
      </w:r>
      <w:r w:rsidR="000C2E88">
        <w:rPr>
          <w:rFonts w:ascii="Arial" w:hAnsi="Arial" w:cs="Arial"/>
        </w:rPr>
        <w:t xml:space="preserve">Tazobactam </w:t>
      </w:r>
      <w:r>
        <w:rPr>
          <w:rFonts w:ascii="Arial" w:hAnsi="Arial" w:cs="Arial"/>
        </w:rPr>
        <w:t>(TZP-110 µg); Imipenem (IMP- 30 µg); Cefotaxime (CTX-30 µg); Polymyxin B (PB-100 IU).</w:t>
      </w:r>
    </w:p>
    <w:p w14:paraId="50E705EA" w14:textId="77777777" w:rsidR="00A11305" w:rsidRDefault="00A11305" w:rsidP="00A872AF">
      <w:pPr>
        <w:jc w:val="both"/>
        <w:rPr>
          <w:rFonts w:ascii="Arial" w:hAnsi="Arial" w:cs="Arial"/>
        </w:rPr>
      </w:pPr>
    </w:p>
    <w:p w14:paraId="2453A526" w14:textId="0810AD47" w:rsidR="00A11305" w:rsidRDefault="00750688" w:rsidP="00A11305">
      <w:pPr>
        <w:jc w:val="both"/>
        <w:rPr>
          <w:rFonts w:ascii="Arial" w:hAnsi="Arial" w:cs="Arial"/>
          <w:b/>
          <w:sz w:val="22"/>
          <w:szCs w:val="22"/>
        </w:rPr>
      </w:pPr>
      <w:r w:rsidRPr="00750688">
        <w:rPr>
          <w:rFonts w:ascii="Arial" w:hAnsi="Arial" w:cs="Arial"/>
          <w:b/>
          <w:sz w:val="22"/>
          <w:szCs w:val="22"/>
        </w:rPr>
        <w:t>4. DISCUSSION</w:t>
      </w:r>
    </w:p>
    <w:p w14:paraId="2E01A6B6" w14:textId="77777777" w:rsidR="004C4810" w:rsidRPr="00A11305" w:rsidRDefault="004C4810" w:rsidP="00A11305">
      <w:pPr>
        <w:jc w:val="both"/>
        <w:rPr>
          <w:rFonts w:ascii="Arial" w:hAnsi="Arial" w:cs="Arial"/>
          <w:b/>
          <w:sz w:val="22"/>
          <w:szCs w:val="22"/>
        </w:rPr>
      </w:pPr>
    </w:p>
    <w:p w14:paraId="37F37B4C" w14:textId="27857C79" w:rsidR="00A11305" w:rsidRPr="00A11305" w:rsidRDefault="00A11305" w:rsidP="00A11305">
      <w:pPr>
        <w:jc w:val="both"/>
        <w:rPr>
          <w:rFonts w:ascii="Arial" w:hAnsi="Arial" w:cs="Arial"/>
          <w:i/>
        </w:rPr>
      </w:pPr>
      <w:r w:rsidRPr="00A11305">
        <w:rPr>
          <w:rFonts w:ascii="Arial" w:hAnsi="Arial" w:cs="Arial"/>
        </w:rPr>
        <w:t xml:space="preserve">Asymptomatic urinary tract infections (UTIs) also known as bacteriuria is characterized by invasion of the urinary tract of individual by bacteria without symptoms. This is usually common among undergraduates, with studies reporting various prevalence rates and higher incidences among female students compared to their male counterpart. The aim of this study was therefore to ascertain the prevalence and antibiotic susceptibility profiles of </w:t>
      </w:r>
      <w:r w:rsidRPr="00A11305">
        <w:rPr>
          <w:rFonts w:ascii="Arial" w:hAnsi="Arial" w:cs="Arial"/>
          <w:i/>
        </w:rPr>
        <w:t>Klebsiella pneumoniae</w:t>
      </w:r>
      <w:r w:rsidRPr="00A11305">
        <w:rPr>
          <w:rFonts w:ascii="Arial" w:hAnsi="Arial" w:cs="Arial"/>
        </w:rPr>
        <w:t xml:space="preserve"> and </w:t>
      </w:r>
      <w:r w:rsidRPr="00A11305">
        <w:rPr>
          <w:rFonts w:ascii="Arial" w:hAnsi="Arial" w:cs="Arial"/>
          <w:i/>
        </w:rPr>
        <w:t>Escherichia coli</w:t>
      </w:r>
      <w:r w:rsidRPr="00A11305">
        <w:rPr>
          <w:rFonts w:ascii="Arial" w:hAnsi="Arial" w:cs="Arial"/>
        </w:rPr>
        <w:t xml:space="preserve"> isolated from urine samples of undergraduate students of AE-FUNAI, residing off campus. The result of the analysis</w:t>
      </w:r>
      <w:r w:rsidRPr="00A11305">
        <w:rPr>
          <w:rFonts w:ascii="Arial" w:hAnsi="Arial" w:cs="Arial"/>
          <w:b/>
        </w:rPr>
        <w:t xml:space="preserve"> </w:t>
      </w:r>
      <w:r w:rsidRPr="00A11305">
        <w:rPr>
          <w:rFonts w:ascii="Arial" w:hAnsi="Arial" w:cs="Arial"/>
        </w:rPr>
        <w:t xml:space="preserve">of </w:t>
      </w:r>
      <w:r w:rsidRPr="00A11305">
        <w:rPr>
          <w:rFonts w:ascii="Arial" w:hAnsi="Arial" w:cs="Arial"/>
          <w:bCs/>
        </w:rPr>
        <w:t xml:space="preserve">30 urine samples collected from male students </w:t>
      </w:r>
      <w:r w:rsidRPr="00A11305">
        <w:rPr>
          <w:rFonts w:ascii="Arial" w:hAnsi="Arial" w:cs="Arial"/>
        </w:rPr>
        <w:t xml:space="preserve">showed that the prevalence of </w:t>
      </w:r>
      <w:r w:rsidRPr="00A11305">
        <w:rPr>
          <w:rFonts w:ascii="Arial" w:hAnsi="Arial" w:cs="Arial"/>
          <w:i/>
        </w:rPr>
        <w:t xml:space="preserve">K. pneumoniae </w:t>
      </w:r>
      <w:r w:rsidRPr="00A11305">
        <w:rPr>
          <w:rFonts w:ascii="Arial" w:hAnsi="Arial" w:cs="Arial"/>
        </w:rPr>
        <w:t>and</w:t>
      </w:r>
      <w:r w:rsidRPr="00A11305">
        <w:rPr>
          <w:rFonts w:ascii="Arial" w:hAnsi="Arial" w:cs="Arial"/>
          <w:i/>
        </w:rPr>
        <w:t xml:space="preserve"> E. coli</w:t>
      </w:r>
      <w:r w:rsidRPr="00A11305">
        <w:rPr>
          <w:rFonts w:ascii="Arial" w:hAnsi="Arial" w:cs="Arial"/>
        </w:rPr>
        <w:t xml:space="preserve"> was 4(13.3 %) and 11(36.7 %) respectively. While among their female counterpart, the prevalence of </w:t>
      </w:r>
      <w:r w:rsidRPr="00A11305">
        <w:rPr>
          <w:rFonts w:ascii="Arial" w:hAnsi="Arial" w:cs="Arial"/>
          <w:i/>
        </w:rPr>
        <w:t xml:space="preserve">K. pneumoniae </w:t>
      </w:r>
      <w:r w:rsidRPr="00A11305">
        <w:rPr>
          <w:rFonts w:ascii="Arial" w:hAnsi="Arial" w:cs="Arial"/>
        </w:rPr>
        <w:t>and</w:t>
      </w:r>
      <w:r w:rsidRPr="00A11305">
        <w:rPr>
          <w:rFonts w:ascii="Arial" w:hAnsi="Arial" w:cs="Arial"/>
          <w:i/>
        </w:rPr>
        <w:t xml:space="preserve"> E. coli</w:t>
      </w:r>
      <w:r w:rsidRPr="00A11305">
        <w:rPr>
          <w:rFonts w:ascii="Arial" w:hAnsi="Arial" w:cs="Arial"/>
        </w:rPr>
        <w:t xml:space="preserve"> was 11(36.7 %) and 20(66.7 %) respectively. The result further revealed total prevalence of </w:t>
      </w:r>
      <w:r w:rsidRPr="00A11305">
        <w:rPr>
          <w:rFonts w:ascii="Arial" w:hAnsi="Arial" w:cs="Arial"/>
          <w:i/>
        </w:rPr>
        <w:t xml:space="preserve">K. pneumoniae </w:t>
      </w:r>
      <w:r w:rsidRPr="00A11305">
        <w:rPr>
          <w:rFonts w:ascii="Arial" w:hAnsi="Arial" w:cs="Arial"/>
        </w:rPr>
        <w:t>and</w:t>
      </w:r>
      <w:r w:rsidRPr="00A11305">
        <w:rPr>
          <w:rFonts w:ascii="Arial" w:hAnsi="Arial" w:cs="Arial"/>
          <w:i/>
        </w:rPr>
        <w:t xml:space="preserve"> E. coli </w:t>
      </w:r>
      <w:r w:rsidRPr="00A11305">
        <w:rPr>
          <w:rFonts w:ascii="Arial" w:hAnsi="Arial" w:cs="Arial"/>
        </w:rPr>
        <w:t>among the undergraduate student of AE-FUNAI residing off campus to be 15(25%) and 31(51.7%) for</w:t>
      </w:r>
      <w:r w:rsidRPr="00A11305">
        <w:rPr>
          <w:rFonts w:ascii="Arial" w:hAnsi="Arial" w:cs="Arial"/>
          <w:i/>
        </w:rPr>
        <w:t xml:space="preserve"> K. pneumoniae </w:t>
      </w:r>
      <w:r w:rsidRPr="00A11305">
        <w:rPr>
          <w:rFonts w:ascii="Arial" w:hAnsi="Arial" w:cs="Arial"/>
        </w:rPr>
        <w:t>and</w:t>
      </w:r>
      <w:r w:rsidRPr="00A11305">
        <w:rPr>
          <w:rFonts w:ascii="Arial" w:hAnsi="Arial" w:cs="Arial"/>
          <w:i/>
        </w:rPr>
        <w:t xml:space="preserve"> E. coli </w:t>
      </w:r>
      <w:r w:rsidRPr="00A11305">
        <w:rPr>
          <w:rFonts w:ascii="Arial" w:hAnsi="Arial" w:cs="Arial"/>
        </w:rPr>
        <w:t>respectively.</w:t>
      </w:r>
      <w:r w:rsidRPr="00A11305">
        <w:rPr>
          <w:rFonts w:ascii="Arial" w:hAnsi="Arial" w:cs="Arial"/>
          <w:i/>
        </w:rPr>
        <w:t xml:space="preserve"> </w:t>
      </w:r>
      <w:r w:rsidRPr="00A11305">
        <w:rPr>
          <w:rFonts w:ascii="Arial" w:hAnsi="Arial" w:cs="Arial"/>
        </w:rPr>
        <w:t xml:space="preserve">This result is comparable with </w:t>
      </w:r>
      <w:r w:rsidRPr="00A11305">
        <w:rPr>
          <w:rFonts w:ascii="Arial" w:hAnsi="Arial" w:cs="Arial"/>
          <w:i/>
        </w:rPr>
        <w:t>E. coli</w:t>
      </w:r>
      <w:r w:rsidRPr="00A11305">
        <w:rPr>
          <w:rFonts w:ascii="Arial" w:hAnsi="Arial" w:cs="Arial"/>
        </w:rPr>
        <w:t xml:space="preserve"> (26%) and </w:t>
      </w:r>
      <w:r w:rsidRPr="00A11305">
        <w:rPr>
          <w:rFonts w:ascii="Arial" w:hAnsi="Arial" w:cs="Arial"/>
          <w:i/>
        </w:rPr>
        <w:t>Staphylococcus aureus</w:t>
      </w:r>
      <w:r w:rsidRPr="00A11305">
        <w:rPr>
          <w:rFonts w:ascii="Arial" w:hAnsi="Arial" w:cs="Arial"/>
        </w:rPr>
        <w:t xml:space="preserve"> 23(48%) reported in a similar study carried out to detect the prevalence of asymptomatic bacteriuria among university students in </w:t>
      </w:r>
      <w:proofErr w:type="spellStart"/>
      <w:r w:rsidRPr="00A11305">
        <w:rPr>
          <w:rFonts w:ascii="Arial" w:hAnsi="Arial" w:cs="Arial"/>
        </w:rPr>
        <w:t>Agulu</w:t>
      </w:r>
      <w:proofErr w:type="spellEnd"/>
      <w:r w:rsidRPr="00A11305">
        <w:rPr>
          <w:rFonts w:ascii="Arial" w:hAnsi="Arial" w:cs="Arial"/>
        </w:rPr>
        <w:t xml:space="preserve">, Anambra, Nigeria and reported by Ugwu </w:t>
      </w:r>
      <w:r w:rsidR="004C4810" w:rsidRPr="004C4810">
        <w:rPr>
          <w:rFonts w:ascii="Arial" w:hAnsi="Arial" w:cs="Arial"/>
          <w:i/>
          <w:iCs/>
        </w:rPr>
        <w:t>et al</w:t>
      </w:r>
      <w:r w:rsidRPr="00A11305">
        <w:rPr>
          <w:rFonts w:ascii="Arial" w:hAnsi="Arial" w:cs="Arial"/>
        </w:rPr>
        <w:t xml:space="preserve">. (2019). The result is also comparable with the findings of similar study carried out to detect antibiotic susceptibility pattern of isolates from urine of students in Benue State Polytechnic, </w:t>
      </w:r>
      <w:proofErr w:type="spellStart"/>
      <w:r w:rsidRPr="00A11305">
        <w:rPr>
          <w:rFonts w:ascii="Arial" w:hAnsi="Arial" w:cs="Arial"/>
        </w:rPr>
        <w:t>Ugbokolo</w:t>
      </w:r>
      <w:proofErr w:type="spellEnd"/>
      <w:r w:rsidRPr="00A11305">
        <w:rPr>
          <w:rFonts w:ascii="Arial" w:hAnsi="Arial" w:cs="Arial"/>
        </w:rPr>
        <w:t xml:space="preserve">, Nigeria, where they reported the prevalence of 22 (46.8%) for </w:t>
      </w:r>
      <w:r w:rsidRPr="00A11305">
        <w:rPr>
          <w:rFonts w:ascii="Arial" w:hAnsi="Arial" w:cs="Arial"/>
          <w:i/>
        </w:rPr>
        <w:t>E. coli</w:t>
      </w:r>
      <w:r w:rsidRPr="00A11305">
        <w:rPr>
          <w:rFonts w:ascii="Arial" w:hAnsi="Arial" w:cs="Arial"/>
        </w:rPr>
        <w:t xml:space="preserve"> and 14 (29.7) for </w:t>
      </w:r>
      <w:r w:rsidRPr="00A11305">
        <w:rPr>
          <w:rFonts w:ascii="Arial" w:hAnsi="Arial" w:cs="Arial"/>
          <w:i/>
        </w:rPr>
        <w:t>K. pneumoniae</w:t>
      </w:r>
      <w:r w:rsidRPr="00A11305">
        <w:rPr>
          <w:rFonts w:ascii="Arial" w:hAnsi="Arial" w:cs="Arial"/>
        </w:rPr>
        <w:t xml:space="preserve"> (</w:t>
      </w:r>
      <w:proofErr w:type="spellStart"/>
      <w:r w:rsidRPr="00A11305">
        <w:rPr>
          <w:rFonts w:ascii="Arial" w:hAnsi="Arial" w:cs="Arial"/>
        </w:rPr>
        <w:t>Adikwu</w:t>
      </w:r>
      <w:proofErr w:type="spellEnd"/>
      <w:r w:rsidRPr="00A11305">
        <w:rPr>
          <w:rFonts w:ascii="Arial" w:hAnsi="Arial" w:cs="Arial"/>
        </w:rPr>
        <w:t xml:space="preserve"> </w:t>
      </w:r>
      <w:r w:rsidR="004C4810" w:rsidRPr="004C4810">
        <w:rPr>
          <w:rFonts w:ascii="Arial" w:hAnsi="Arial" w:cs="Arial"/>
          <w:i/>
          <w:iCs/>
        </w:rPr>
        <w:t>et al</w:t>
      </w:r>
      <w:r w:rsidRPr="00A11305">
        <w:rPr>
          <w:rFonts w:ascii="Arial" w:hAnsi="Arial" w:cs="Arial"/>
        </w:rPr>
        <w:t xml:space="preserve">., 2020). Urinary tract infections (UTIs) are the most common infections in humans that can affect any part of the urinary system including kidneys, ureters, bladder or urethra (Marwan </w:t>
      </w:r>
      <w:r w:rsidR="004C4810" w:rsidRPr="004C4810">
        <w:rPr>
          <w:rFonts w:ascii="Arial" w:hAnsi="Arial" w:cs="Arial"/>
          <w:i/>
          <w:iCs/>
        </w:rPr>
        <w:t>et al</w:t>
      </w:r>
      <w:r w:rsidRPr="00A11305">
        <w:rPr>
          <w:rFonts w:ascii="Arial" w:hAnsi="Arial" w:cs="Arial"/>
        </w:rPr>
        <w:t xml:space="preserve">., 2017). Thus, the high prevalence of </w:t>
      </w:r>
      <w:proofErr w:type="spellStart"/>
      <w:r w:rsidRPr="00A11305">
        <w:rPr>
          <w:rFonts w:ascii="Arial" w:hAnsi="Arial" w:cs="Arial"/>
        </w:rPr>
        <w:t>uropathogens</w:t>
      </w:r>
      <w:proofErr w:type="spellEnd"/>
      <w:r w:rsidRPr="00A11305">
        <w:rPr>
          <w:rFonts w:ascii="Arial" w:hAnsi="Arial" w:cs="Arial"/>
        </w:rPr>
        <w:t xml:space="preserve"> recorded in this study is therefore not unexpected.</w:t>
      </w:r>
      <w:r w:rsidRPr="00A11305">
        <w:rPr>
          <w:rFonts w:ascii="Arial" w:hAnsi="Arial" w:cs="Arial"/>
          <w:i/>
        </w:rPr>
        <w:t xml:space="preserve"> </w:t>
      </w:r>
    </w:p>
    <w:p w14:paraId="2E6B6488" w14:textId="77777777" w:rsidR="004C4810" w:rsidRDefault="004C4810" w:rsidP="00A11305">
      <w:pPr>
        <w:jc w:val="both"/>
        <w:rPr>
          <w:rFonts w:ascii="Arial" w:hAnsi="Arial" w:cs="Arial"/>
        </w:rPr>
      </w:pPr>
    </w:p>
    <w:p w14:paraId="12CDD9F2" w14:textId="2C584357" w:rsidR="00A11305" w:rsidRPr="00A11305" w:rsidRDefault="00A11305" w:rsidP="00A11305">
      <w:pPr>
        <w:jc w:val="both"/>
        <w:rPr>
          <w:rFonts w:ascii="Arial" w:hAnsi="Arial" w:cs="Arial"/>
          <w:i/>
        </w:rPr>
      </w:pPr>
      <w:r w:rsidRPr="00A11305">
        <w:rPr>
          <w:rFonts w:ascii="Arial" w:hAnsi="Arial" w:cs="Arial"/>
        </w:rPr>
        <w:t xml:space="preserve">The high prevalence rate of </w:t>
      </w:r>
      <w:r w:rsidRPr="00A11305">
        <w:rPr>
          <w:rFonts w:ascii="Arial" w:hAnsi="Arial" w:cs="Arial"/>
          <w:i/>
        </w:rPr>
        <w:t>E. coli</w:t>
      </w:r>
      <w:r w:rsidRPr="00A11305">
        <w:rPr>
          <w:rFonts w:ascii="Arial" w:hAnsi="Arial" w:cs="Arial"/>
        </w:rPr>
        <w:t xml:space="preserve"> 31(51.7%) observed in this study </w:t>
      </w:r>
      <w:r w:rsidR="00FA70C3">
        <w:rPr>
          <w:rFonts w:ascii="Arial" w:hAnsi="Arial" w:cs="Arial"/>
        </w:rPr>
        <w:t>were associated</w:t>
      </w:r>
      <w:r w:rsidRPr="00A11305">
        <w:rPr>
          <w:rFonts w:ascii="Arial" w:hAnsi="Arial" w:cs="Arial"/>
        </w:rPr>
        <w:t xml:space="preserve"> with age group of the students </w:t>
      </w:r>
      <w:r w:rsidR="00FA70C3">
        <w:rPr>
          <w:rFonts w:ascii="Arial" w:hAnsi="Arial" w:cs="Arial"/>
        </w:rPr>
        <w:t>between</w:t>
      </w:r>
      <w:r w:rsidRPr="00A11305">
        <w:rPr>
          <w:rFonts w:ascii="Arial" w:hAnsi="Arial" w:cs="Arial"/>
        </w:rPr>
        <w:t xml:space="preserve"> 18-25 years. This age group has been reported to be sexually active and sexual activity has been implicated to increased prevalence of UTIs (</w:t>
      </w:r>
      <w:proofErr w:type="spellStart"/>
      <w:r w:rsidRPr="00A11305">
        <w:rPr>
          <w:rFonts w:ascii="Arial" w:hAnsi="Arial" w:cs="Arial"/>
        </w:rPr>
        <w:t>Seifu</w:t>
      </w:r>
      <w:proofErr w:type="spellEnd"/>
      <w:r w:rsidRPr="00A11305">
        <w:rPr>
          <w:rFonts w:ascii="Arial" w:hAnsi="Arial" w:cs="Arial"/>
        </w:rPr>
        <w:t xml:space="preserve"> and </w:t>
      </w:r>
      <w:proofErr w:type="spellStart"/>
      <w:r w:rsidRPr="00A11305">
        <w:rPr>
          <w:rFonts w:ascii="Arial" w:hAnsi="Arial" w:cs="Arial"/>
        </w:rPr>
        <w:t>Gebissa</w:t>
      </w:r>
      <w:proofErr w:type="spellEnd"/>
      <w:r w:rsidRPr="00A11305">
        <w:rPr>
          <w:rFonts w:ascii="Arial" w:hAnsi="Arial" w:cs="Arial"/>
        </w:rPr>
        <w:t>, (2018). Similar findings from a Malaysian study also reported approximately 76% of medical and nursing female students between the age of 21–29 years with UTIs</w:t>
      </w:r>
      <w:r w:rsidRPr="00A11305">
        <w:rPr>
          <w:rFonts w:ascii="Arial" w:hAnsi="Arial" w:cs="Arial"/>
          <w:i/>
        </w:rPr>
        <w:t xml:space="preserve"> </w:t>
      </w:r>
      <w:r w:rsidRPr="00A11305">
        <w:rPr>
          <w:rFonts w:ascii="Arial" w:hAnsi="Arial" w:cs="Arial"/>
        </w:rPr>
        <w:t>thus, justifying the result of this finding (</w:t>
      </w:r>
      <w:r w:rsidRPr="00A11305">
        <w:rPr>
          <w:rFonts w:ascii="Arial" w:hAnsi="Arial" w:cs="Arial"/>
          <w:iCs/>
        </w:rPr>
        <w:t xml:space="preserve">Zalina </w:t>
      </w:r>
      <w:r w:rsidR="004C4810" w:rsidRPr="004C4810">
        <w:rPr>
          <w:rFonts w:ascii="Arial" w:hAnsi="Arial" w:cs="Arial"/>
          <w:i/>
          <w:iCs/>
        </w:rPr>
        <w:t>et al</w:t>
      </w:r>
      <w:r w:rsidRPr="00A11305">
        <w:rPr>
          <w:rFonts w:ascii="Arial" w:hAnsi="Arial" w:cs="Arial"/>
          <w:iCs/>
        </w:rPr>
        <w:t>., 2011</w:t>
      </w:r>
      <w:r w:rsidRPr="00A11305">
        <w:rPr>
          <w:rFonts w:ascii="Arial" w:hAnsi="Arial" w:cs="Arial"/>
        </w:rPr>
        <w:t>).</w:t>
      </w:r>
      <w:r w:rsidRPr="00A11305">
        <w:rPr>
          <w:rFonts w:ascii="Arial" w:hAnsi="Arial" w:cs="Arial"/>
          <w:i/>
        </w:rPr>
        <w:t xml:space="preserve"> </w:t>
      </w:r>
    </w:p>
    <w:p w14:paraId="30FFD806" w14:textId="77777777" w:rsidR="004C4810" w:rsidRDefault="004C4810" w:rsidP="00A11305">
      <w:pPr>
        <w:jc w:val="both"/>
        <w:rPr>
          <w:rFonts w:ascii="Arial" w:hAnsi="Arial" w:cs="Arial"/>
        </w:rPr>
      </w:pPr>
    </w:p>
    <w:p w14:paraId="7E2EC964" w14:textId="35F5FCD5" w:rsidR="00A11305" w:rsidRPr="00A11305" w:rsidRDefault="00A11305" w:rsidP="00A11305">
      <w:pPr>
        <w:jc w:val="both"/>
        <w:rPr>
          <w:rFonts w:ascii="Arial" w:hAnsi="Arial" w:cs="Arial"/>
        </w:rPr>
      </w:pPr>
      <w:r w:rsidRPr="00A11305">
        <w:rPr>
          <w:rFonts w:ascii="Arial" w:hAnsi="Arial" w:cs="Arial"/>
        </w:rPr>
        <w:t xml:space="preserve">Czajkowski </w:t>
      </w:r>
      <w:r w:rsidR="004C4810" w:rsidRPr="004C4810">
        <w:rPr>
          <w:rFonts w:ascii="Arial" w:hAnsi="Arial" w:cs="Arial"/>
          <w:i/>
          <w:iCs/>
        </w:rPr>
        <w:t>et al</w:t>
      </w:r>
      <w:r w:rsidRPr="00A11305">
        <w:rPr>
          <w:rFonts w:ascii="Arial" w:hAnsi="Arial" w:cs="Arial"/>
        </w:rPr>
        <w:t>. (2021) reported that female students have higher rates of UTIs basically because of their anatomical differences compared to the male students. Specifically, females have a shorter urethra which allows microorganisms to reach the bladder more easily than the males.  The proximity of the female urethra to the anus and vagina invariably increases contamination risks. Also, sexual activity, poor toilet hygiene, and holding urine also increase prevalence among undergraduate women (</w:t>
      </w:r>
      <w:proofErr w:type="spellStart"/>
      <w:r w:rsidRPr="00A11305">
        <w:rPr>
          <w:rFonts w:ascii="Arial" w:hAnsi="Arial" w:cs="Arial"/>
          <w:bCs/>
        </w:rPr>
        <w:t>Elorfaly</w:t>
      </w:r>
      <w:proofErr w:type="spellEnd"/>
      <w:r w:rsidRPr="00A11305">
        <w:rPr>
          <w:rFonts w:ascii="Arial" w:hAnsi="Arial" w:cs="Arial"/>
          <w:b/>
          <w:bCs/>
        </w:rPr>
        <w:t xml:space="preserve">, </w:t>
      </w:r>
      <w:r w:rsidRPr="00A11305">
        <w:rPr>
          <w:rFonts w:ascii="Arial" w:hAnsi="Arial" w:cs="Arial"/>
        </w:rPr>
        <w:t xml:space="preserve">2024). The above reports from different authors justify the increased report of UTIs especially among female undergraduate students observed in this study. Also, </w:t>
      </w:r>
      <w:proofErr w:type="spellStart"/>
      <w:r w:rsidRPr="00A11305">
        <w:rPr>
          <w:rFonts w:ascii="Arial" w:hAnsi="Arial" w:cs="Arial"/>
        </w:rPr>
        <w:t>genito</w:t>
      </w:r>
      <w:proofErr w:type="spellEnd"/>
      <w:r w:rsidRPr="00A11305">
        <w:rPr>
          <w:rFonts w:ascii="Arial" w:hAnsi="Arial" w:cs="Arial"/>
        </w:rPr>
        <w:t xml:space="preserve">-urinary atrophy and vaginal prolapse after menopause which has been reported to alter the vaginal pH and decreases the normal vaginal flora may as well be contributing factors to the prevalence rate observed in the present study. These conditions favor the growth of </w:t>
      </w:r>
      <w:proofErr w:type="spellStart"/>
      <w:r w:rsidRPr="00A11305">
        <w:rPr>
          <w:rFonts w:ascii="Arial" w:hAnsi="Arial" w:cs="Arial"/>
        </w:rPr>
        <w:t>uropathogens</w:t>
      </w:r>
      <w:proofErr w:type="spellEnd"/>
      <w:r w:rsidRPr="00A11305">
        <w:rPr>
          <w:rFonts w:ascii="Arial" w:hAnsi="Arial" w:cs="Arial"/>
        </w:rPr>
        <w:t xml:space="preserve"> (</w:t>
      </w:r>
      <w:proofErr w:type="spellStart"/>
      <w:r w:rsidRPr="00A11305">
        <w:rPr>
          <w:rFonts w:ascii="Arial" w:hAnsi="Arial" w:cs="Arial"/>
        </w:rPr>
        <w:t>Seifu</w:t>
      </w:r>
      <w:proofErr w:type="spellEnd"/>
      <w:r w:rsidRPr="00A11305">
        <w:rPr>
          <w:rFonts w:ascii="Arial" w:hAnsi="Arial" w:cs="Arial"/>
        </w:rPr>
        <w:t xml:space="preserve"> and </w:t>
      </w:r>
      <w:proofErr w:type="spellStart"/>
      <w:r w:rsidRPr="00A11305">
        <w:rPr>
          <w:rFonts w:ascii="Arial" w:hAnsi="Arial" w:cs="Arial"/>
        </w:rPr>
        <w:t>Gebissa</w:t>
      </w:r>
      <w:proofErr w:type="spellEnd"/>
      <w:r w:rsidRPr="00A11305">
        <w:rPr>
          <w:rFonts w:ascii="Arial" w:hAnsi="Arial" w:cs="Arial"/>
        </w:rPr>
        <w:t xml:space="preserve">, 2018). </w:t>
      </w:r>
    </w:p>
    <w:p w14:paraId="47AFB8F5" w14:textId="77777777" w:rsidR="004C4810" w:rsidRDefault="004C4810" w:rsidP="00A11305">
      <w:pPr>
        <w:jc w:val="both"/>
        <w:rPr>
          <w:rFonts w:ascii="Arial" w:hAnsi="Arial" w:cs="Arial"/>
        </w:rPr>
      </w:pPr>
    </w:p>
    <w:p w14:paraId="63F0EF2C" w14:textId="582E0924" w:rsidR="00A11305" w:rsidRPr="00A11305" w:rsidRDefault="00A11305" w:rsidP="00A11305">
      <w:pPr>
        <w:jc w:val="both"/>
        <w:rPr>
          <w:rFonts w:ascii="Arial" w:hAnsi="Arial" w:cs="Arial"/>
        </w:rPr>
      </w:pPr>
      <w:r w:rsidRPr="00A11305">
        <w:rPr>
          <w:rFonts w:ascii="Arial" w:hAnsi="Arial" w:cs="Arial"/>
        </w:rPr>
        <w:t xml:space="preserve">The results of antibiotic susceptibility studies of the isolated asymptomatic </w:t>
      </w:r>
      <w:proofErr w:type="spellStart"/>
      <w:r w:rsidRPr="00A11305">
        <w:rPr>
          <w:rFonts w:ascii="Arial" w:hAnsi="Arial" w:cs="Arial"/>
        </w:rPr>
        <w:t>uropathogens</w:t>
      </w:r>
      <w:proofErr w:type="spellEnd"/>
      <w:r w:rsidRPr="00A11305">
        <w:rPr>
          <w:rFonts w:ascii="Arial" w:hAnsi="Arial" w:cs="Arial"/>
        </w:rPr>
        <w:t xml:space="preserve"> from the male students showed that the isolated </w:t>
      </w:r>
      <w:r w:rsidRPr="00A11305">
        <w:rPr>
          <w:rFonts w:ascii="Arial" w:hAnsi="Arial" w:cs="Arial"/>
          <w:i/>
        </w:rPr>
        <w:t xml:space="preserve">K. pneumoniae </w:t>
      </w:r>
      <w:r w:rsidRPr="00A11305">
        <w:rPr>
          <w:rFonts w:ascii="Arial" w:hAnsi="Arial" w:cs="Arial"/>
        </w:rPr>
        <w:t xml:space="preserve">were susceptible to imipenem 4(100%), ceftriaxone 3(100%) and cefuroxime 3(75%). Also, the isolated </w:t>
      </w:r>
      <w:r w:rsidRPr="00A11305">
        <w:rPr>
          <w:rFonts w:ascii="Arial" w:hAnsi="Arial" w:cs="Arial"/>
          <w:i/>
        </w:rPr>
        <w:t>E. coli</w:t>
      </w:r>
      <w:r w:rsidRPr="00A11305">
        <w:rPr>
          <w:rFonts w:ascii="Arial" w:hAnsi="Arial" w:cs="Arial"/>
        </w:rPr>
        <w:t xml:space="preserve"> was susceptible to imipenem 11(100%), cefuroxime 8(73%) and cefoxitin 7(64%). Among the female undergraduate, the isolated </w:t>
      </w:r>
      <w:r w:rsidRPr="00A11305">
        <w:rPr>
          <w:rFonts w:ascii="Arial" w:hAnsi="Arial" w:cs="Arial"/>
          <w:i/>
        </w:rPr>
        <w:t xml:space="preserve">K. pneumoniae </w:t>
      </w:r>
      <w:r w:rsidRPr="00A11305">
        <w:rPr>
          <w:rFonts w:ascii="Arial" w:hAnsi="Arial" w:cs="Arial"/>
        </w:rPr>
        <w:t xml:space="preserve">were susceptible to imipenem 11(100%), amoxicillin-clavulanic acid 7(64%), cefuroxime 6(55%). Also, the isolated </w:t>
      </w:r>
      <w:r w:rsidRPr="00A11305">
        <w:rPr>
          <w:rFonts w:ascii="Arial" w:hAnsi="Arial" w:cs="Arial"/>
          <w:i/>
        </w:rPr>
        <w:t>E. coli</w:t>
      </w:r>
      <w:r w:rsidRPr="00A11305">
        <w:rPr>
          <w:rFonts w:ascii="Arial" w:hAnsi="Arial" w:cs="Arial"/>
        </w:rPr>
        <w:t xml:space="preserve"> was susceptible to imipenem 20(100%), cefotaxime 12(60%) and amoxicillin-clavulanic acid 11(55%). However, all the isolates from both genders showed great resistance to </w:t>
      </w:r>
      <w:r w:rsidRPr="00A11305">
        <w:rPr>
          <w:rFonts w:ascii="Arial" w:hAnsi="Arial" w:cs="Arial"/>
        </w:rPr>
        <w:lastRenderedPageBreak/>
        <w:t xml:space="preserve">piperacillin/Tazobactam, polymyxin B and ciprofloxacin. The result of high susceptibility of the isolated </w:t>
      </w:r>
      <w:proofErr w:type="spellStart"/>
      <w:r w:rsidRPr="00A11305">
        <w:rPr>
          <w:rFonts w:ascii="Arial" w:hAnsi="Arial" w:cs="Arial"/>
        </w:rPr>
        <w:t>uropathogens</w:t>
      </w:r>
      <w:proofErr w:type="spellEnd"/>
      <w:r w:rsidRPr="00A11305">
        <w:rPr>
          <w:rFonts w:ascii="Arial" w:hAnsi="Arial" w:cs="Arial"/>
        </w:rPr>
        <w:t xml:space="preserve"> to imipenem, amoxicillin-clavulanic acid and cefuroxime is similar to the result of the study undertaken to detect </w:t>
      </w:r>
      <w:proofErr w:type="spellStart"/>
      <w:r w:rsidRPr="00A11305">
        <w:rPr>
          <w:rFonts w:ascii="Arial" w:hAnsi="Arial" w:cs="Arial"/>
        </w:rPr>
        <w:t>uropathogens</w:t>
      </w:r>
      <w:proofErr w:type="spellEnd"/>
      <w:r w:rsidRPr="00A11305">
        <w:rPr>
          <w:rFonts w:ascii="Arial" w:hAnsi="Arial" w:cs="Arial"/>
        </w:rPr>
        <w:t xml:space="preserve"> and antibiotic resistance in the community and hospital-induced urinary tract infected children (</w:t>
      </w:r>
      <w:r w:rsidRPr="00A11305">
        <w:rPr>
          <w:rFonts w:ascii="Arial" w:hAnsi="Arial" w:cs="Arial"/>
          <w:iCs/>
        </w:rPr>
        <w:t xml:space="preserve">Demir and </w:t>
      </w:r>
      <w:proofErr w:type="spellStart"/>
      <w:r w:rsidRPr="00A11305">
        <w:rPr>
          <w:rFonts w:ascii="Arial" w:hAnsi="Arial" w:cs="Arial"/>
          <w:iCs/>
        </w:rPr>
        <w:t>Kazanasmaz</w:t>
      </w:r>
      <w:proofErr w:type="spellEnd"/>
      <w:r w:rsidR="004C4810">
        <w:rPr>
          <w:rFonts w:ascii="Arial" w:hAnsi="Arial" w:cs="Arial"/>
        </w:rPr>
        <w:t xml:space="preserve">, </w:t>
      </w:r>
      <w:r w:rsidRPr="00A11305">
        <w:rPr>
          <w:rFonts w:ascii="Arial" w:hAnsi="Arial" w:cs="Arial"/>
        </w:rPr>
        <w:t xml:space="preserve">2020). In their study they reported resistance of </w:t>
      </w:r>
      <w:r w:rsidRPr="00A11305">
        <w:rPr>
          <w:rFonts w:ascii="Arial" w:hAnsi="Arial" w:cs="Arial"/>
          <w:i/>
        </w:rPr>
        <w:t>E. coli</w:t>
      </w:r>
      <w:r w:rsidRPr="00A11305">
        <w:rPr>
          <w:rFonts w:ascii="Arial" w:hAnsi="Arial" w:cs="Arial"/>
        </w:rPr>
        <w:t xml:space="preserve"> and </w:t>
      </w:r>
      <w:r w:rsidRPr="00A11305">
        <w:rPr>
          <w:rFonts w:ascii="Arial" w:hAnsi="Arial" w:cs="Arial"/>
          <w:i/>
        </w:rPr>
        <w:t>Klebsiella</w:t>
      </w:r>
      <w:r w:rsidRPr="00A11305">
        <w:rPr>
          <w:rFonts w:ascii="Arial" w:hAnsi="Arial" w:cs="Arial"/>
        </w:rPr>
        <w:t xml:space="preserve"> species to imipenem as 403(0.9%) and 99(8.1%) for out-patients. This is an indication that imipenem remains first line treatment options for </w:t>
      </w:r>
      <w:proofErr w:type="spellStart"/>
      <w:r w:rsidRPr="00A11305">
        <w:rPr>
          <w:rFonts w:ascii="Arial" w:hAnsi="Arial" w:cs="Arial"/>
        </w:rPr>
        <w:t>uropathogenic</w:t>
      </w:r>
      <w:proofErr w:type="spellEnd"/>
      <w:r w:rsidRPr="00A11305">
        <w:rPr>
          <w:rFonts w:ascii="Arial" w:hAnsi="Arial" w:cs="Arial"/>
        </w:rPr>
        <w:t xml:space="preserve"> </w:t>
      </w:r>
      <w:r w:rsidRPr="00A11305">
        <w:rPr>
          <w:rFonts w:ascii="Arial" w:hAnsi="Arial" w:cs="Arial"/>
          <w:i/>
        </w:rPr>
        <w:t>E. coli</w:t>
      </w:r>
      <w:r w:rsidRPr="00A11305">
        <w:rPr>
          <w:rFonts w:ascii="Arial" w:hAnsi="Arial" w:cs="Arial"/>
        </w:rPr>
        <w:t xml:space="preserve"> and </w:t>
      </w:r>
      <w:r w:rsidRPr="00A11305">
        <w:rPr>
          <w:rFonts w:ascii="Arial" w:hAnsi="Arial" w:cs="Arial"/>
          <w:i/>
        </w:rPr>
        <w:t xml:space="preserve">K. pneumoniae </w:t>
      </w:r>
      <w:r w:rsidRPr="00A11305">
        <w:rPr>
          <w:rFonts w:ascii="Arial" w:hAnsi="Arial" w:cs="Arial"/>
        </w:rPr>
        <w:t>(</w:t>
      </w:r>
      <w:r w:rsidRPr="00A11305">
        <w:rPr>
          <w:rFonts w:ascii="Arial" w:hAnsi="Arial" w:cs="Arial"/>
          <w:iCs/>
        </w:rPr>
        <w:t xml:space="preserve">Demir and </w:t>
      </w:r>
      <w:proofErr w:type="spellStart"/>
      <w:r w:rsidRPr="00A11305">
        <w:rPr>
          <w:rFonts w:ascii="Arial" w:hAnsi="Arial" w:cs="Arial"/>
          <w:iCs/>
        </w:rPr>
        <w:t>Kazanasmaz</w:t>
      </w:r>
      <w:proofErr w:type="spellEnd"/>
      <w:r w:rsidRPr="00A11305">
        <w:rPr>
          <w:rFonts w:ascii="Arial" w:hAnsi="Arial" w:cs="Arial"/>
        </w:rPr>
        <w:t xml:space="preserve"> 2020). In a retrospective analysis of 5-year hospital data to determine the spectrum of </w:t>
      </w:r>
      <w:proofErr w:type="spellStart"/>
      <w:r w:rsidRPr="00A11305">
        <w:rPr>
          <w:rFonts w:ascii="Arial" w:hAnsi="Arial" w:cs="Arial"/>
        </w:rPr>
        <w:t>uropathogens</w:t>
      </w:r>
      <w:proofErr w:type="spellEnd"/>
      <w:r w:rsidRPr="00A11305">
        <w:rPr>
          <w:rFonts w:ascii="Arial" w:hAnsi="Arial" w:cs="Arial"/>
        </w:rPr>
        <w:t xml:space="preserve"> and their susceptibility to antimicrobials in pregnant women, the result showed that the isolated </w:t>
      </w:r>
      <w:proofErr w:type="spellStart"/>
      <w:r w:rsidRPr="00A11305">
        <w:rPr>
          <w:rFonts w:ascii="Arial" w:hAnsi="Arial" w:cs="Arial"/>
        </w:rPr>
        <w:t>uropathogens</w:t>
      </w:r>
      <w:proofErr w:type="spellEnd"/>
      <w:r w:rsidRPr="00A11305">
        <w:rPr>
          <w:rFonts w:ascii="Arial" w:hAnsi="Arial" w:cs="Arial"/>
        </w:rPr>
        <w:t xml:space="preserve"> were susceptible to imipenem 203(96.67%), cefoxitin 179 (84.83%), ciprofloxacin 218(80.15%), cefuroxime 260(64.52%) and ceftriaxone 73 (59.35%) (Matalka </w:t>
      </w:r>
      <w:r w:rsidR="004C4810" w:rsidRPr="004C4810">
        <w:rPr>
          <w:rFonts w:ascii="Arial" w:hAnsi="Arial" w:cs="Arial"/>
          <w:i/>
          <w:iCs/>
        </w:rPr>
        <w:t>et al</w:t>
      </w:r>
      <w:r w:rsidRPr="00A11305">
        <w:rPr>
          <w:rFonts w:ascii="Arial" w:hAnsi="Arial" w:cs="Arial"/>
        </w:rPr>
        <w:t xml:space="preserve">., 2021). The above finding is comparable to the results observed in this study where imipenem, ceftriaxone, cefuroxime cefoxitin showed strong effect against the isolated </w:t>
      </w:r>
      <w:proofErr w:type="spellStart"/>
      <w:r w:rsidRPr="00A11305">
        <w:rPr>
          <w:rFonts w:ascii="Arial" w:hAnsi="Arial" w:cs="Arial"/>
        </w:rPr>
        <w:t>uropathogenic</w:t>
      </w:r>
      <w:proofErr w:type="spellEnd"/>
      <w:r w:rsidRPr="00A11305">
        <w:rPr>
          <w:rFonts w:ascii="Arial" w:hAnsi="Arial" w:cs="Arial"/>
        </w:rPr>
        <w:t xml:space="preserve"> </w:t>
      </w:r>
      <w:r w:rsidRPr="00A11305">
        <w:rPr>
          <w:rFonts w:ascii="Arial" w:hAnsi="Arial" w:cs="Arial"/>
          <w:i/>
        </w:rPr>
        <w:t>E. coli</w:t>
      </w:r>
      <w:r w:rsidRPr="00A11305">
        <w:rPr>
          <w:rFonts w:ascii="Arial" w:hAnsi="Arial" w:cs="Arial"/>
        </w:rPr>
        <w:t xml:space="preserve"> and </w:t>
      </w:r>
      <w:r w:rsidRPr="00A11305">
        <w:rPr>
          <w:rFonts w:ascii="Arial" w:hAnsi="Arial" w:cs="Arial"/>
          <w:i/>
        </w:rPr>
        <w:t>K. pneumoniae</w:t>
      </w:r>
      <w:r w:rsidRPr="00A11305">
        <w:rPr>
          <w:rFonts w:ascii="Arial" w:hAnsi="Arial" w:cs="Arial"/>
        </w:rPr>
        <w:t xml:space="preserve">. However, the high susceptibility of the </w:t>
      </w:r>
      <w:proofErr w:type="spellStart"/>
      <w:r w:rsidRPr="00A11305">
        <w:rPr>
          <w:rFonts w:ascii="Arial" w:hAnsi="Arial" w:cs="Arial"/>
        </w:rPr>
        <w:t>uropathogens</w:t>
      </w:r>
      <w:proofErr w:type="spellEnd"/>
      <w:r w:rsidRPr="00A11305">
        <w:rPr>
          <w:rFonts w:ascii="Arial" w:hAnsi="Arial" w:cs="Arial"/>
        </w:rPr>
        <w:t xml:space="preserve"> to ciprofloxacin 218(80.15%), reported in their study contradicts the increased resistance of the isolated </w:t>
      </w:r>
      <w:r w:rsidRPr="00A11305">
        <w:rPr>
          <w:rFonts w:ascii="Arial" w:hAnsi="Arial" w:cs="Arial"/>
          <w:i/>
        </w:rPr>
        <w:t>E. coli</w:t>
      </w:r>
      <w:r w:rsidRPr="00A11305">
        <w:rPr>
          <w:rFonts w:ascii="Arial" w:hAnsi="Arial" w:cs="Arial"/>
        </w:rPr>
        <w:t xml:space="preserve"> and </w:t>
      </w:r>
      <w:r w:rsidRPr="00A11305">
        <w:rPr>
          <w:rFonts w:ascii="Arial" w:hAnsi="Arial" w:cs="Arial"/>
          <w:i/>
        </w:rPr>
        <w:t>K. pneumoniae</w:t>
      </w:r>
      <w:r w:rsidRPr="00A11305">
        <w:rPr>
          <w:rFonts w:ascii="Arial" w:hAnsi="Arial" w:cs="Arial"/>
        </w:rPr>
        <w:t xml:space="preserve"> to ciprofloxacin 12(60%) and 8(73%) among female students</w:t>
      </w:r>
      <w:r w:rsidR="00FA70C3">
        <w:rPr>
          <w:rFonts w:ascii="Arial" w:hAnsi="Arial" w:cs="Arial"/>
        </w:rPr>
        <w:t xml:space="preserve"> observed in this study</w:t>
      </w:r>
      <w:r w:rsidRPr="00A11305">
        <w:rPr>
          <w:rFonts w:ascii="Arial" w:hAnsi="Arial" w:cs="Arial"/>
        </w:rPr>
        <w:t xml:space="preserve">. Similarly, a study by Kabita </w:t>
      </w:r>
      <w:r w:rsidR="004C4810" w:rsidRPr="004C4810">
        <w:rPr>
          <w:rFonts w:ascii="Arial" w:hAnsi="Arial" w:cs="Arial"/>
          <w:i/>
          <w:iCs/>
        </w:rPr>
        <w:t>et al</w:t>
      </w:r>
      <w:r w:rsidRPr="00A11305">
        <w:rPr>
          <w:rFonts w:ascii="Arial" w:hAnsi="Arial" w:cs="Arial"/>
        </w:rPr>
        <w:t>. (2024) noted a significant increase in ciprofloxacin from 41% to 90%; </w:t>
      </w:r>
      <w:r w:rsidRPr="00A11305">
        <w:rPr>
          <w:rFonts w:ascii="Arial" w:hAnsi="Arial" w:cs="Arial"/>
          <w:i/>
          <w:iCs/>
        </w:rPr>
        <w:t>p</w:t>
      </w:r>
      <w:r w:rsidRPr="00A11305">
        <w:rPr>
          <w:rFonts w:ascii="Arial" w:hAnsi="Arial" w:cs="Arial"/>
        </w:rPr>
        <w:t xml:space="preserve"> &lt; 0.001) between 2017 and 2021 which is in agreement with present findings where high resistance to ciprofloxacin was observed. </w:t>
      </w:r>
      <w:r w:rsidRPr="00A11305">
        <w:rPr>
          <w:rFonts w:ascii="Arial" w:hAnsi="Arial" w:cs="Arial"/>
          <w:i/>
          <w:iCs/>
        </w:rPr>
        <w:t>E. coli</w:t>
      </w:r>
      <w:r w:rsidRPr="00A11305">
        <w:rPr>
          <w:rFonts w:ascii="Arial" w:hAnsi="Arial" w:cs="Arial"/>
        </w:rPr>
        <w:t> demonstrated resistance rates of 60% to ciprofloxacin</w:t>
      </w:r>
      <w:r w:rsidR="00FA70C3">
        <w:rPr>
          <w:rFonts w:ascii="Arial" w:hAnsi="Arial" w:cs="Arial"/>
        </w:rPr>
        <w:t>;</w:t>
      </w:r>
      <w:r w:rsidRPr="00A11305">
        <w:rPr>
          <w:rFonts w:ascii="Arial" w:hAnsi="Arial" w:cs="Arial"/>
        </w:rPr>
        <w:t xml:space="preserve"> which is 63.9% in Eastern Nepal</w:t>
      </w:r>
      <w:r w:rsidRPr="00A11305">
        <w:rPr>
          <w:rFonts w:ascii="Arial" w:hAnsi="Arial" w:cs="Arial"/>
          <w:vertAlign w:val="superscript"/>
        </w:rPr>
        <w:t> </w:t>
      </w:r>
      <w:r w:rsidRPr="00A11305">
        <w:rPr>
          <w:rFonts w:ascii="Arial" w:hAnsi="Arial" w:cs="Arial"/>
        </w:rPr>
        <w:t xml:space="preserve">(Sah </w:t>
      </w:r>
      <w:r w:rsidR="004C4810" w:rsidRPr="004C4810">
        <w:rPr>
          <w:rFonts w:ascii="Arial" w:hAnsi="Arial" w:cs="Arial"/>
          <w:i/>
          <w:iCs/>
        </w:rPr>
        <w:t>et al</w:t>
      </w:r>
      <w:r w:rsidRPr="00A11305">
        <w:rPr>
          <w:rFonts w:ascii="Arial" w:hAnsi="Arial" w:cs="Arial"/>
        </w:rPr>
        <w:t>., 2023)</w:t>
      </w:r>
      <w:r w:rsidRPr="00A11305">
        <w:rPr>
          <w:rFonts w:ascii="Arial" w:hAnsi="Arial" w:cs="Arial"/>
          <w:vertAlign w:val="superscript"/>
        </w:rPr>
        <w:t xml:space="preserve"> </w:t>
      </w:r>
      <w:r w:rsidRPr="00A11305">
        <w:rPr>
          <w:rFonts w:ascii="Arial" w:hAnsi="Arial" w:cs="Arial"/>
        </w:rPr>
        <w:t xml:space="preserve">and 32.67% in a 2025 study from Nepalese tertiary care setting (Thapa </w:t>
      </w:r>
      <w:r w:rsidR="004C4810" w:rsidRPr="004C4810">
        <w:rPr>
          <w:rFonts w:ascii="Arial" w:hAnsi="Arial" w:cs="Arial"/>
          <w:i/>
          <w:iCs/>
        </w:rPr>
        <w:t>et al</w:t>
      </w:r>
      <w:r w:rsidRPr="00A11305">
        <w:rPr>
          <w:rFonts w:ascii="Arial" w:hAnsi="Arial" w:cs="Arial"/>
        </w:rPr>
        <w:t xml:space="preserve">., 2025). However, the resistance of </w:t>
      </w:r>
      <w:r w:rsidRPr="00A11305">
        <w:rPr>
          <w:rFonts w:ascii="Arial" w:hAnsi="Arial" w:cs="Arial"/>
          <w:i/>
        </w:rPr>
        <w:t>E. coli</w:t>
      </w:r>
      <w:r w:rsidRPr="00A11305">
        <w:rPr>
          <w:rFonts w:ascii="Arial" w:hAnsi="Arial" w:cs="Arial"/>
        </w:rPr>
        <w:t xml:space="preserve"> and </w:t>
      </w:r>
      <w:r w:rsidRPr="00A11305">
        <w:rPr>
          <w:rFonts w:ascii="Arial" w:hAnsi="Arial" w:cs="Arial"/>
          <w:i/>
        </w:rPr>
        <w:t>K. pneumoniae</w:t>
      </w:r>
      <w:r w:rsidRPr="00A11305">
        <w:rPr>
          <w:rFonts w:ascii="Arial" w:hAnsi="Arial" w:cs="Arial"/>
        </w:rPr>
        <w:t xml:space="preserve"> to ciprofloxacin and other commonly used antibiotics in this study is justifiable as the antibiotics are mostly prescribed and used in the hospitals within the area.  Also, the increased resistance of commonly used antibiotics in this study may be associated with the non-judicious use of antibiotics and their availability over the counter without doctor’s prescription by most undergraduate students and other individuals in Nigeria. Studies has also shown that antibiotics frequently used in the treatment of bacterial </w:t>
      </w:r>
      <w:proofErr w:type="spellStart"/>
      <w:r w:rsidRPr="00A11305">
        <w:rPr>
          <w:rFonts w:ascii="Arial" w:hAnsi="Arial" w:cs="Arial"/>
        </w:rPr>
        <w:t>uropathogens</w:t>
      </w:r>
      <w:proofErr w:type="spellEnd"/>
      <w:r w:rsidRPr="00A11305">
        <w:rPr>
          <w:rFonts w:ascii="Arial" w:hAnsi="Arial" w:cs="Arial"/>
        </w:rPr>
        <w:t xml:space="preserve">— especially </w:t>
      </w:r>
      <w:r w:rsidRPr="00A11305">
        <w:rPr>
          <w:rFonts w:ascii="Arial" w:hAnsi="Arial" w:cs="Arial"/>
          <w:i/>
          <w:iCs/>
        </w:rPr>
        <w:t>E. coli</w:t>
      </w:r>
      <w:r w:rsidRPr="00A11305">
        <w:rPr>
          <w:rFonts w:ascii="Arial" w:hAnsi="Arial" w:cs="Arial"/>
        </w:rPr>
        <w:t>, </w:t>
      </w:r>
      <w:r w:rsidRPr="00A11305">
        <w:rPr>
          <w:rFonts w:ascii="Arial" w:hAnsi="Arial" w:cs="Arial"/>
          <w:i/>
          <w:iCs/>
        </w:rPr>
        <w:t>K. pneumoniae</w:t>
      </w:r>
      <w:r w:rsidRPr="00A11305">
        <w:rPr>
          <w:rFonts w:ascii="Arial" w:hAnsi="Arial" w:cs="Arial"/>
        </w:rPr>
        <w:t>, and </w:t>
      </w:r>
      <w:r w:rsidRPr="00A11305">
        <w:rPr>
          <w:rFonts w:ascii="Arial" w:hAnsi="Arial" w:cs="Arial"/>
          <w:i/>
          <w:iCs/>
        </w:rPr>
        <w:t>Enterococcus</w:t>
      </w:r>
      <w:r w:rsidRPr="00A11305">
        <w:rPr>
          <w:rFonts w:ascii="Arial" w:hAnsi="Arial" w:cs="Arial"/>
        </w:rPr>
        <w:t xml:space="preserve"> species—are indeed experiencing a significant loss of susceptibility, leading to high rates of resistance, particularly to commonly used first-line agents (Muhammad </w:t>
      </w:r>
      <w:r w:rsidR="004C4810" w:rsidRPr="004C4810">
        <w:rPr>
          <w:rFonts w:ascii="Arial" w:hAnsi="Arial" w:cs="Arial"/>
          <w:i/>
          <w:iCs/>
        </w:rPr>
        <w:t>et al</w:t>
      </w:r>
      <w:r w:rsidRPr="00A11305">
        <w:rPr>
          <w:rFonts w:ascii="Arial" w:hAnsi="Arial" w:cs="Arial"/>
        </w:rPr>
        <w:t xml:space="preserve">., 2020, Chowdhury </w:t>
      </w:r>
      <w:r w:rsidR="004C4810" w:rsidRPr="004C4810">
        <w:rPr>
          <w:rFonts w:ascii="Arial" w:hAnsi="Arial" w:cs="Arial"/>
          <w:i/>
          <w:iCs/>
        </w:rPr>
        <w:t>et al</w:t>
      </w:r>
      <w:r w:rsidRPr="00A11305">
        <w:rPr>
          <w:rFonts w:ascii="Arial" w:hAnsi="Arial" w:cs="Arial"/>
        </w:rPr>
        <w:t xml:space="preserve">., 2024). The misuse, overuse and underuse of these first-line agents in empirical treatment, allows most bacterial species to evolve and survive, thus multi-drug resistant (MDR) strains are created.  </w:t>
      </w:r>
    </w:p>
    <w:p w14:paraId="492A9FD7" w14:textId="77777777" w:rsidR="00A11305" w:rsidRDefault="00A11305" w:rsidP="00A11305">
      <w:pPr>
        <w:jc w:val="both"/>
        <w:rPr>
          <w:rFonts w:ascii="Arial" w:hAnsi="Arial" w:cs="Arial"/>
          <w:b/>
        </w:rPr>
      </w:pPr>
    </w:p>
    <w:p w14:paraId="2D144FEA" w14:textId="726727B0" w:rsidR="00A11305" w:rsidRPr="00A11305" w:rsidRDefault="00A11305" w:rsidP="00A11305">
      <w:pPr>
        <w:jc w:val="both"/>
        <w:rPr>
          <w:rFonts w:ascii="Arial" w:hAnsi="Arial" w:cs="Arial"/>
          <w:b/>
          <w:sz w:val="22"/>
          <w:szCs w:val="22"/>
        </w:rPr>
      </w:pPr>
      <w:r w:rsidRPr="00A11305">
        <w:rPr>
          <w:rFonts w:ascii="Arial" w:hAnsi="Arial" w:cs="Arial"/>
          <w:b/>
          <w:sz w:val="22"/>
          <w:szCs w:val="22"/>
        </w:rPr>
        <w:t>5. CONCLUSION</w:t>
      </w:r>
    </w:p>
    <w:p w14:paraId="4BAD7FB5" w14:textId="77777777" w:rsidR="004C4810" w:rsidRDefault="004C4810" w:rsidP="00A11305">
      <w:pPr>
        <w:jc w:val="both"/>
        <w:rPr>
          <w:rFonts w:ascii="Arial" w:hAnsi="Arial" w:cs="Arial"/>
        </w:rPr>
      </w:pPr>
    </w:p>
    <w:p w14:paraId="15F8AEBD" w14:textId="710443E4" w:rsidR="00A11305" w:rsidRDefault="00A11305" w:rsidP="00A11305">
      <w:pPr>
        <w:jc w:val="both"/>
        <w:rPr>
          <w:rFonts w:ascii="Arial" w:hAnsi="Arial" w:cs="Arial"/>
        </w:rPr>
      </w:pPr>
      <w:r w:rsidRPr="00A11305">
        <w:rPr>
          <w:rFonts w:ascii="Arial" w:hAnsi="Arial" w:cs="Arial"/>
        </w:rPr>
        <w:t xml:space="preserve">Of the total 60 urine samples collected from undergraduate students at AE-FUNAI residing off campus, the study identified the total prevalence of asymptomatic </w:t>
      </w:r>
      <w:proofErr w:type="spellStart"/>
      <w:r w:rsidRPr="00A11305">
        <w:rPr>
          <w:rFonts w:ascii="Arial" w:hAnsi="Arial" w:cs="Arial"/>
        </w:rPr>
        <w:t>uropathogenic</w:t>
      </w:r>
      <w:proofErr w:type="spellEnd"/>
      <w:r w:rsidRPr="00A11305">
        <w:rPr>
          <w:rFonts w:ascii="Arial" w:hAnsi="Arial" w:cs="Arial"/>
        </w:rPr>
        <w:t xml:space="preserve"> </w:t>
      </w:r>
      <w:r w:rsidRPr="00A11305">
        <w:rPr>
          <w:rFonts w:ascii="Arial" w:hAnsi="Arial" w:cs="Arial"/>
          <w:i/>
        </w:rPr>
        <w:t>K. pneumoniae</w:t>
      </w:r>
      <w:r w:rsidRPr="00A11305">
        <w:rPr>
          <w:rFonts w:ascii="Arial" w:hAnsi="Arial" w:cs="Arial"/>
        </w:rPr>
        <w:t xml:space="preserve"> and </w:t>
      </w:r>
      <w:r w:rsidRPr="00A11305">
        <w:rPr>
          <w:rFonts w:ascii="Arial" w:hAnsi="Arial" w:cs="Arial"/>
          <w:i/>
        </w:rPr>
        <w:t>E. coli</w:t>
      </w:r>
      <w:r w:rsidRPr="00A11305">
        <w:rPr>
          <w:rFonts w:ascii="Arial" w:hAnsi="Arial" w:cs="Arial"/>
        </w:rPr>
        <w:t xml:space="preserve"> of 15(25%) and 31(51.7%) respectively. An increased resistance of these </w:t>
      </w:r>
      <w:proofErr w:type="spellStart"/>
      <w:r w:rsidRPr="00A11305">
        <w:rPr>
          <w:rFonts w:ascii="Arial" w:hAnsi="Arial" w:cs="Arial"/>
        </w:rPr>
        <w:t>uropathogens</w:t>
      </w:r>
      <w:proofErr w:type="spellEnd"/>
      <w:r w:rsidRPr="00A11305">
        <w:rPr>
          <w:rFonts w:ascii="Arial" w:hAnsi="Arial" w:cs="Arial"/>
        </w:rPr>
        <w:t xml:space="preserve"> was observed against piperacillin/Tazobactam, polymyxin B and ciprofloxacin used for UTI therapy. However, imipenem, amoxicillin-clavulanic acid, cefotaxime and cefuroxime were found to be the most effective antibiotics for UTI therapy caused by </w:t>
      </w:r>
      <w:r w:rsidRPr="00A11305">
        <w:rPr>
          <w:rFonts w:ascii="Arial" w:hAnsi="Arial" w:cs="Arial"/>
          <w:i/>
        </w:rPr>
        <w:t>K. pneumoniae</w:t>
      </w:r>
      <w:r w:rsidRPr="00A11305">
        <w:rPr>
          <w:rFonts w:ascii="Arial" w:hAnsi="Arial" w:cs="Arial"/>
        </w:rPr>
        <w:t xml:space="preserve"> and </w:t>
      </w:r>
      <w:r w:rsidRPr="00A11305">
        <w:rPr>
          <w:rFonts w:ascii="Arial" w:hAnsi="Arial" w:cs="Arial"/>
          <w:i/>
        </w:rPr>
        <w:t>E. coli</w:t>
      </w:r>
      <w:r w:rsidRPr="00A11305">
        <w:rPr>
          <w:rFonts w:ascii="Arial" w:hAnsi="Arial" w:cs="Arial"/>
        </w:rPr>
        <w:t>. Although most commonly used antibiotics for UTI therapy experienced relatively mild resistance, our findings strongly suggest continuous surveillance and strategic antibiotic stewardship to effectively manage and monitor resistance trends of UTIs and provide guided treatment options for UTIs.</w:t>
      </w:r>
    </w:p>
    <w:p w14:paraId="09B89A2F" w14:textId="77777777" w:rsidR="00A872AF" w:rsidRDefault="00A872AF" w:rsidP="00A872AF">
      <w:pPr>
        <w:jc w:val="both"/>
        <w:rPr>
          <w:rFonts w:ascii="Arial" w:hAnsi="Arial" w:cs="Arial"/>
        </w:rPr>
      </w:pPr>
    </w:p>
    <w:p w14:paraId="3AE8ADDF" w14:textId="77777777" w:rsidR="00315186" w:rsidRPr="00315186" w:rsidRDefault="00315186" w:rsidP="00441B6F"/>
    <w:p w14:paraId="031C759F" w14:textId="77777777" w:rsidR="002B685A" w:rsidRDefault="002B685A" w:rsidP="00441B6F">
      <w:pPr>
        <w:pStyle w:val="ReferHead"/>
        <w:spacing w:after="0"/>
        <w:jc w:val="both"/>
        <w:rPr>
          <w:rFonts w:ascii="Arial" w:hAnsi="Arial" w:cs="Arial"/>
          <w:b w:val="0"/>
          <w:caps w:val="0"/>
          <w:sz w:val="20"/>
        </w:rPr>
      </w:pPr>
    </w:p>
    <w:p w14:paraId="75D8FB32" w14:textId="052BA5AB" w:rsidR="002B685A" w:rsidRDefault="002B685A" w:rsidP="00441B6F">
      <w:pPr>
        <w:pStyle w:val="ReferHead"/>
        <w:spacing w:after="0"/>
        <w:jc w:val="both"/>
        <w:rPr>
          <w:rFonts w:ascii="Arial" w:hAnsi="Arial" w:cs="Arial"/>
          <w:bCs/>
        </w:rPr>
      </w:pPr>
      <w:r w:rsidRPr="002B685A">
        <w:rPr>
          <w:rFonts w:ascii="Arial" w:hAnsi="Arial" w:cs="Arial"/>
          <w:bCs/>
        </w:rPr>
        <w:t>Consent</w:t>
      </w:r>
    </w:p>
    <w:p w14:paraId="2D8E4825" w14:textId="5C0557EA" w:rsidR="00B92597" w:rsidRDefault="00B92597" w:rsidP="00441B6F">
      <w:pPr>
        <w:pStyle w:val="ReferHead"/>
        <w:spacing w:after="0"/>
        <w:jc w:val="both"/>
        <w:rPr>
          <w:rFonts w:ascii="Arial" w:hAnsi="Arial" w:cs="Arial"/>
          <w:bCs/>
          <w:caps w:val="0"/>
        </w:rPr>
      </w:pPr>
      <w:r>
        <w:rPr>
          <w:rFonts w:ascii="Arial" w:hAnsi="Arial" w:cs="Arial"/>
          <w:bCs/>
          <w:caps w:val="0"/>
        </w:rPr>
        <w:t>None</w:t>
      </w:r>
    </w:p>
    <w:p w14:paraId="1E84C168" w14:textId="77777777" w:rsidR="0098508B" w:rsidRDefault="0098508B" w:rsidP="00441B6F">
      <w:pPr>
        <w:pStyle w:val="ReferHead"/>
        <w:spacing w:after="0"/>
        <w:jc w:val="both"/>
        <w:rPr>
          <w:rFonts w:ascii="Arial" w:hAnsi="Arial" w:cs="Arial"/>
          <w:bCs/>
          <w:caps w:val="0"/>
        </w:rPr>
      </w:pPr>
    </w:p>
    <w:p w14:paraId="5110BAB7" w14:textId="77777777" w:rsidR="0098508B" w:rsidRPr="000D2FDA" w:rsidRDefault="0098508B" w:rsidP="0098508B">
      <w:pPr>
        <w:pStyle w:val="ReferHead"/>
        <w:jc w:val="both"/>
        <w:rPr>
          <w:rFonts w:ascii="Arial" w:hAnsi="Arial" w:cs="Arial"/>
          <w:b w:val="0"/>
        </w:rPr>
      </w:pPr>
      <w:r w:rsidRPr="000D2FDA">
        <w:rPr>
          <w:rFonts w:ascii="Arial" w:hAnsi="Arial" w:cs="Arial"/>
          <w:b w:val="0"/>
        </w:rPr>
        <w:t>COMPETING INTERESTS DISCLAIMER:</w:t>
      </w:r>
    </w:p>
    <w:p w14:paraId="09D7E6A2" w14:textId="77777777" w:rsidR="0098508B" w:rsidRPr="000D2FDA" w:rsidRDefault="0098508B" w:rsidP="0098508B">
      <w:pPr>
        <w:pStyle w:val="ReferHead"/>
        <w:jc w:val="both"/>
        <w:rPr>
          <w:rFonts w:ascii="Arial" w:hAnsi="Arial" w:cs="Arial"/>
          <w:b w:val="0"/>
        </w:rPr>
      </w:pPr>
      <w:r w:rsidRPr="000D2FDA">
        <w:rPr>
          <w:rFonts w:ascii="Arial" w:hAnsi="Arial" w:cs="Arial"/>
          <w:b w:val="0"/>
        </w:rPr>
        <w:t>Authors have declared that they have no known competing financial interests OR non-financial interests OR personal relationships that could have appeared to influence the work reported in this paper.</w:t>
      </w:r>
    </w:p>
    <w:p w14:paraId="3AB79AC3" w14:textId="77777777" w:rsidR="0098508B" w:rsidRPr="0098508B" w:rsidRDefault="0098508B" w:rsidP="0098508B">
      <w:pPr>
        <w:pStyle w:val="ReferHead"/>
        <w:jc w:val="both"/>
        <w:rPr>
          <w:rFonts w:ascii="Arial" w:hAnsi="Arial" w:cs="Arial"/>
          <w:bCs/>
        </w:rPr>
      </w:pPr>
    </w:p>
    <w:p w14:paraId="54142278" w14:textId="77777777" w:rsidR="0098508B" w:rsidRDefault="0098508B" w:rsidP="00441B6F">
      <w:pPr>
        <w:pStyle w:val="ReferHead"/>
        <w:spacing w:after="0"/>
        <w:jc w:val="both"/>
        <w:rPr>
          <w:rFonts w:ascii="Arial" w:hAnsi="Arial" w:cs="Arial"/>
          <w:bCs/>
        </w:rPr>
      </w:pPr>
    </w:p>
    <w:p w14:paraId="2029B457" w14:textId="77777777" w:rsidR="002B685A" w:rsidRPr="002B685A" w:rsidRDefault="002B685A" w:rsidP="00441B6F">
      <w:pPr>
        <w:pStyle w:val="ReferHead"/>
        <w:spacing w:after="0"/>
        <w:jc w:val="both"/>
        <w:rPr>
          <w:rFonts w:ascii="Arial" w:hAnsi="Arial" w:cs="Arial"/>
          <w:bCs/>
        </w:rPr>
      </w:pPr>
    </w:p>
    <w:p w14:paraId="550B1AED" w14:textId="77777777" w:rsidR="00860000" w:rsidRDefault="00860000" w:rsidP="00441B6F">
      <w:pPr>
        <w:pStyle w:val="ReferHead"/>
        <w:spacing w:after="0"/>
        <w:jc w:val="both"/>
        <w:rPr>
          <w:rFonts w:ascii="Arial" w:hAnsi="Arial" w:cs="Arial"/>
        </w:rPr>
      </w:pPr>
    </w:p>
    <w:p w14:paraId="2614C8F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5D1DCD2"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Abbas, R., </w:t>
      </w:r>
      <w:proofErr w:type="spellStart"/>
      <w:r>
        <w:rPr>
          <w:rFonts w:ascii="Arial" w:hAnsi="Arial" w:cs="Arial"/>
        </w:rPr>
        <w:t>Chakkour</w:t>
      </w:r>
      <w:proofErr w:type="spellEnd"/>
      <w:r>
        <w:rPr>
          <w:rFonts w:ascii="Arial" w:hAnsi="Arial" w:cs="Arial"/>
        </w:rPr>
        <w:t xml:space="preserve">, M., Zein El Dine, H., Obaseki, E. F., Obeid, S. T., </w:t>
      </w:r>
      <w:proofErr w:type="spellStart"/>
      <w:r>
        <w:rPr>
          <w:rFonts w:ascii="Arial" w:hAnsi="Arial" w:cs="Arial"/>
        </w:rPr>
        <w:t>Jezzini</w:t>
      </w:r>
      <w:proofErr w:type="spellEnd"/>
      <w:r>
        <w:rPr>
          <w:rFonts w:ascii="Arial" w:hAnsi="Arial" w:cs="Arial"/>
        </w:rPr>
        <w:t xml:space="preserve">, A., </w:t>
      </w:r>
      <w:proofErr w:type="spellStart"/>
      <w:r>
        <w:rPr>
          <w:rFonts w:ascii="Arial" w:hAnsi="Arial" w:cs="Arial"/>
        </w:rPr>
        <w:t>Ghssein</w:t>
      </w:r>
      <w:proofErr w:type="spellEnd"/>
      <w:r>
        <w:rPr>
          <w:rFonts w:ascii="Arial" w:hAnsi="Arial" w:cs="Arial"/>
        </w:rPr>
        <w:t xml:space="preserve">, G., &amp; Ezzeddine, Z. (2024). General overview of </w:t>
      </w:r>
      <w:r>
        <w:rPr>
          <w:rFonts w:ascii="Arial" w:hAnsi="Arial" w:cs="Arial"/>
          <w:i/>
          <w:iCs/>
        </w:rPr>
        <w:t>Klebsiella pneumoniae</w:t>
      </w:r>
      <w:r>
        <w:rPr>
          <w:rFonts w:ascii="Arial" w:hAnsi="Arial" w:cs="Arial"/>
        </w:rPr>
        <w:t xml:space="preserve">: Epidemiology and the role of siderophores in its pathogenicity. </w:t>
      </w:r>
      <w:r>
        <w:rPr>
          <w:rFonts w:ascii="Arial" w:hAnsi="Arial" w:cs="Arial"/>
          <w:i/>
          <w:iCs/>
        </w:rPr>
        <w:t>Biology, 13</w:t>
      </w:r>
      <w:r>
        <w:rPr>
          <w:rFonts w:ascii="Arial" w:hAnsi="Arial" w:cs="Arial"/>
        </w:rPr>
        <w:t xml:space="preserve">(2), 78. </w:t>
      </w:r>
      <w:hyperlink r:id="rId18" w:tgtFrame="_new" w:history="1">
        <w:r>
          <w:rPr>
            <w:rStyle w:val="Hyperlink"/>
            <w:rFonts w:ascii="Arial" w:hAnsi="Arial" w:cs="Arial"/>
          </w:rPr>
          <w:t>https://doi.org/10.3390/biology13020078</w:t>
        </w:r>
      </w:hyperlink>
    </w:p>
    <w:p w14:paraId="5F111E5B" w14:textId="77777777" w:rsidR="00B92597" w:rsidRDefault="00B92597" w:rsidP="00B92597">
      <w:pPr>
        <w:spacing w:before="100" w:beforeAutospacing="1" w:after="100" w:afterAutospacing="1"/>
        <w:ind w:left="720" w:hanging="720"/>
        <w:jc w:val="both"/>
        <w:rPr>
          <w:rFonts w:ascii="Arial" w:hAnsi="Arial" w:cs="Arial"/>
        </w:rPr>
      </w:pPr>
      <w:proofErr w:type="spellStart"/>
      <w:r>
        <w:rPr>
          <w:rFonts w:ascii="Arial" w:hAnsi="Arial" w:cs="Arial"/>
        </w:rPr>
        <w:t>Adikwu</w:t>
      </w:r>
      <w:proofErr w:type="spellEnd"/>
      <w:r>
        <w:rPr>
          <w:rFonts w:ascii="Arial" w:hAnsi="Arial" w:cs="Arial"/>
        </w:rPr>
        <w:t xml:space="preserve">, P., </w:t>
      </w:r>
      <w:proofErr w:type="spellStart"/>
      <w:r>
        <w:rPr>
          <w:rFonts w:ascii="Arial" w:hAnsi="Arial" w:cs="Arial"/>
        </w:rPr>
        <w:t>Mlumun</w:t>
      </w:r>
      <w:proofErr w:type="spellEnd"/>
      <w:r>
        <w:rPr>
          <w:rFonts w:ascii="Arial" w:hAnsi="Arial" w:cs="Arial"/>
        </w:rPr>
        <w:t xml:space="preserve">, E., </w:t>
      </w:r>
      <w:proofErr w:type="spellStart"/>
      <w:r>
        <w:rPr>
          <w:rFonts w:ascii="Arial" w:hAnsi="Arial" w:cs="Arial"/>
        </w:rPr>
        <w:t>Oyiwona</w:t>
      </w:r>
      <w:proofErr w:type="spellEnd"/>
      <w:r>
        <w:rPr>
          <w:rFonts w:ascii="Arial" w:hAnsi="Arial" w:cs="Arial"/>
        </w:rPr>
        <w:t xml:space="preserve">, E. G., </w:t>
      </w:r>
      <w:proofErr w:type="spellStart"/>
      <w:r>
        <w:rPr>
          <w:rFonts w:ascii="Arial" w:hAnsi="Arial" w:cs="Arial"/>
        </w:rPr>
        <w:t>Adejor</w:t>
      </w:r>
      <w:proofErr w:type="spellEnd"/>
      <w:r>
        <w:rPr>
          <w:rFonts w:ascii="Arial" w:hAnsi="Arial" w:cs="Arial"/>
        </w:rPr>
        <w:t xml:space="preserve">, J., &amp; </w:t>
      </w:r>
      <w:proofErr w:type="spellStart"/>
      <w:r>
        <w:rPr>
          <w:rFonts w:ascii="Arial" w:hAnsi="Arial" w:cs="Arial"/>
        </w:rPr>
        <w:t>Ebiega</w:t>
      </w:r>
      <w:proofErr w:type="spellEnd"/>
      <w:r>
        <w:rPr>
          <w:rFonts w:ascii="Arial" w:hAnsi="Arial" w:cs="Arial"/>
        </w:rPr>
        <w:t xml:space="preserve">, E. T. (2020). Antibiotic susceptibility pattern of isolates from urine of students in Benue State Polytechnic, </w:t>
      </w:r>
      <w:proofErr w:type="spellStart"/>
      <w:r>
        <w:rPr>
          <w:rFonts w:ascii="Arial" w:hAnsi="Arial" w:cs="Arial"/>
        </w:rPr>
        <w:t>Ugbokolo</w:t>
      </w:r>
      <w:proofErr w:type="spellEnd"/>
      <w:r>
        <w:rPr>
          <w:rFonts w:ascii="Arial" w:hAnsi="Arial" w:cs="Arial"/>
        </w:rPr>
        <w:t xml:space="preserve">, Nigeria. </w:t>
      </w:r>
      <w:r>
        <w:rPr>
          <w:rFonts w:ascii="Arial" w:hAnsi="Arial" w:cs="Arial"/>
          <w:i/>
          <w:iCs/>
        </w:rPr>
        <w:t>GSC Biological and Pharmaceutical Sciences, 13</w:t>
      </w:r>
      <w:r>
        <w:rPr>
          <w:rFonts w:ascii="Arial" w:hAnsi="Arial" w:cs="Arial"/>
        </w:rPr>
        <w:t xml:space="preserve">(1), 123–129. </w:t>
      </w:r>
      <w:hyperlink r:id="rId19" w:tgtFrame="_new" w:history="1">
        <w:r>
          <w:rPr>
            <w:rStyle w:val="Hyperlink"/>
            <w:rFonts w:ascii="Arial" w:hAnsi="Arial" w:cs="Arial"/>
          </w:rPr>
          <w:t>https://doi.org/10.30574/gscbps.2020.13.1.0276</w:t>
        </w:r>
      </w:hyperlink>
    </w:p>
    <w:p w14:paraId="2EC6807F"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Ahmed, M. Z., </w:t>
      </w:r>
      <w:proofErr w:type="spellStart"/>
      <w:r>
        <w:rPr>
          <w:rFonts w:ascii="Arial" w:hAnsi="Arial" w:cs="Arial"/>
        </w:rPr>
        <w:t>Muteeb</w:t>
      </w:r>
      <w:proofErr w:type="spellEnd"/>
      <w:r>
        <w:rPr>
          <w:rFonts w:ascii="Arial" w:hAnsi="Arial" w:cs="Arial"/>
        </w:rPr>
        <w:t xml:space="preserve">, G., Khan, S., Alqahtani, A. S., </w:t>
      </w:r>
      <w:proofErr w:type="spellStart"/>
      <w:r>
        <w:rPr>
          <w:rFonts w:ascii="Arial" w:hAnsi="Arial" w:cs="Arial"/>
        </w:rPr>
        <w:t>Somvanshi</w:t>
      </w:r>
      <w:proofErr w:type="spellEnd"/>
      <w:r>
        <w:rPr>
          <w:rFonts w:ascii="Arial" w:hAnsi="Arial" w:cs="Arial"/>
        </w:rPr>
        <w:t>, P., Alqahtani, M. S., &amp; Haque, S. (2020). Identifying novel inhibitor of quorum sensing transcriptional regulator (</w:t>
      </w:r>
      <w:proofErr w:type="spellStart"/>
      <w:r>
        <w:rPr>
          <w:rFonts w:ascii="Arial" w:hAnsi="Arial" w:cs="Arial"/>
        </w:rPr>
        <w:t>SdiA</w:t>
      </w:r>
      <w:proofErr w:type="spellEnd"/>
      <w:r>
        <w:rPr>
          <w:rFonts w:ascii="Arial" w:hAnsi="Arial" w:cs="Arial"/>
        </w:rPr>
        <w:t xml:space="preserve">) of </w:t>
      </w:r>
      <w:r>
        <w:rPr>
          <w:rFonts w:ascii="Arial" w:hAnsi="Arial" w:cs="Arial"/>
          <w:i/>
          <w:iCs/>
        </w:rPr>
        <w:t>Klebsiella pneumoniae</w:t>
      </w:r>
      <w:r>
        <w:rPr>
          <w:rFonts w:ascii="Arial" w:hAnsi="Arial" w:cs="Arial"/>
        </w:rPr>
        <w:t xml:space="preserve"> through modelling, docking and molecular dynamics simulation. </w:t>
      </w:r>
      <w:r>
        <w:rPr>
          <w:rFonts w:ascii="Arial" w:hAnsi="Arial" w:cs="Arial"/>
          <w:i/>
          <w:iCs/>
        </w:rPr>
        <w:t>Journal of Biomolecular Structure and Dynamics, 39</w:t>
      </w:r>
      <w:r>
        <w:rPr>
          <w:rFonts w:ascii="Arial" w:hAnsi="Arial" w:cs="Arial"/>
        </w:rPr>
        <w:t>(10), 3594–3604. https://doi.org/10.1080/07391102.2020.1767209</w:t>
      </w:r>
    </w:p>
    <w:p w14:paraId="103C5025"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Alvarez-Uria, G., Gandra, S., Mandal, S., &amp; Laxminarayan, R. (2018). Global forecast of antimicrobial resistance in invasive isolates of </w:t>
      </w:r>
      <w:r>
        <w:rPr>
          <w:rFonts w:ascii="Arial" w:hAnsi="Arial" w:cs="Arial"/>
          <w:i/>
          <w:iCs/>
        </w:rPr>
        <w:t>Escherichia coli</w:t>
      </w:r>
      <w:r>
        <w:rPr>
          <w:rFonts w:ascii="Arial" w:hAnsi="Arial" w:cs="Arial"/>
        </w:rPr>
        <w:t xml:space="preserve"> and </w:t>
      </w:r>
      <w:r>
        <w:rPr>
          <w:rFonts w:ascii="Arial" w:hAnsi="Arial" w:cs="Arial"/>
          <w:i/>
          <w:iCs/>
        </w:rPr>
        <w:t>Klebsiella pneumoniae</w:t>
      </w:r>
      <w:r>
        <w:rPr>
          <w:rFonts w:ascii="Arial" w:hAnsi="Arial" w:cs="Arial"/>
        </w:rPr>
        <w:t xml:space="preserve">. </w:t>
      </w:r>
      <w:r>
        <w:rPr>
          <w:rFonts w:ascii="Arial" w:hAnsi="Arial" w:cs="Arial"/>
          <w:i/>
          <w:iCs/>
        </w:rPr>
        <w:t>International Journal of Infectious Diseases, 68</w:t>
      </w:r>
      <w:r>
        <w:rPr>
          <w:rFonts w:ascii="Arial" w:hAnsi="Arial" w:cs="Arial"/>
        </w:rPr>
        <w:t xml:space="preserve">, 50–53. </w:t>
      </w:r>
      <w:hyperlink r:id="rId20" w:tgtFrame="_new" w:history="1">
        <w:r>
          <w:rPr>
            <w:rStyle w:val="Hyperlink"/>
            <w:rFonts w:ascii="Arial" w:hAnsi="Arial" w:cs="Arial"/>
            <w:color w:val="0000FF"/>
          </w:rPr>
          <w:t>https://doi.org/10.1016/j.ijid.2018.01.011</w:t>
        </w:r>
      </w:hyperlink>
    </w:p>
    <w:p w14:paraId="74DB6445"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Cheesbrough, M. (2010). </w:t>
      </w:r>
      <w:r>
        <w:rPr>
          <w:rFonts w:ascii="Arial" w:hAnsi="Arial" w:cs="Arial"/>
          <w:i/>
          <w:iCs/>
        </w:rPr>
        <w:t>District laboratory practice in tropical countries</w:t>
      </w:r>
      <w:r>
        <w:rPr>
          <w:rFonts w:ascii="Arial" w:hAnsi="Arial" w:cs="Arial"/>
        </w:rPr>
        <w:t>. Cambridge University Press.</w:t>
      </w:r>
    </w:p>
    <w:p w14:paraId="1FA29A30"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Chowdhury, S. S., Tahsin, P., Xu, Y., </w:t>
      </w:r>
      <w:proofErr w:type="spellStart"/>
      <w:r>
        <w:rPr>
          <w:rFonts w:ascii="Arial" w:hAnsi="Arial" w:cs="Arial"/>
        </w:rPr>
        <w:t>Mosaddek</w:t>
      </w:r>
      <w:proofErr w:type="spellEnd"/>
      <w:r>
        <w:rPr>
          <w:rFonts w:ascii="Arial" w:hAnsi="Arial" w:cs="Arial"/>
        </w:rPr>
        <w:t xml:space="preserve">, A. S. M., Muhamadali, H., &amp; Goodacre, R. (2024). Trends in antimicrobial resistance of </w:t>
      </w:r>
      <w:proofErr w:type="spellStart"/>
      <w:r>
        <w:rPr>
          <w:rFonts w:ascii="Arial" w:hAnsi="Arial" w:cs="Arial"/>
        </w:rPr>
        <w:t>uropathogens</w:t>
      </w:r>
      <w:proofErr w:type="spellEnd"/>
      <w:r>
        <w:rPr>
          <w:rFonts w:ascii="Arial" w:hAnsi="Arial" w:cs="Arial"/>
        </w:rPr>
        <w:t xml:space="preserve"> isolated from urinary tract infections in a tertiary care hospital in Dhaka, Bangladesh. </w:t>
      </w:r>
      <w:r>
        <w:rPr>
          <w:rFonts w:ascii="Arial" w:hAnsi="Arial" w:cs="Arial"/>
          <w:i/>
          <w:iCs/>
        </w:rPr>
        <w:t>Antibiotics, 13</w:t>
      </w:r>
      <w:r>
        <w:rPr>
          <w:rFonts w:ascii="Arial" w:hAnsi="Arial" w:cs="Arial"/>
        </w:rPr>
        <w:t>(10), 925. https://doi.org/10.3390/antibiotics13100925</w:t>
      </w:r>
    </w:p>
    <w:p w14:paraId="3C01E54D"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Clegg, S., &amp; Murphy, C. N. (2016). Epidemiology and virulence of </w:t>
      </w:r>
      <w:r>
        <w:rPr>
          <w:rFonts w:ascii="Arial" w:hAnsi="Arial" w:cs="Arial"/>
          <w:i/>
          <w:iCs/>
        </w:rPr>
        <w:t>Klebsiella pneumoniae</w:t>
      </w:r>
      <w:r>
        <w:rPr>
          <w:rFonts w:ascii="Arial" w:hAnsi="Arial" w:cs="Arial"/>
        </w:rPr>
        <w:t xml:space="preserve">. </w:t>
      </w:r>
      <w:r>
        <w:rPr>
          <w:rFonts w:ascii="Arial" w:hAnsi="Arial" w:cs="Arial"/>
          <w:i/>
          <w:iCs/>
        </w:rPr>
        <w:t>Microbiology Spectrum, 4</w:t>
      </w:r>
      <w:r>
        <w:rPr>
          <w:rFonts w:ascii="Arial" w:hAnsi="Arial" w:cs="Arial"/>
        </w:rPr>
        <w:t>(1), 435–457. https://doi.org/10.1128/microbiolspec.UTI-0005-2012</w:t>
      </w:r>
    </w:p>
    <w:p w14:paraId="2FC687DA"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Clinical and Laboratory Standards Institute (CLSI). (2015). </w:t>
      </w:r>
      <w:r>
        <w:rPr>
          <w:rFonts w:ascii="Arial" w:hAnsi="Arial" w:cs="Arial"/>
          <w:i/>
          <w:iCs/>
        </w:rPr>
        <w:t>Performance standards for antimicrobial susceptibility testing</w:t>
      </w:r>
      <w:r>
        <w:rPr>
          <w:rFonts w:ascii="Arial" w:hAnsi="Arial" w:cs="Arial"/>
        </w:rPr>
        <w:t xml:space="preserve"> (25th ed., CLSI document M100-S25).</w:t>
      </w:r>
    </w:p>
    <w:p w14:paraId="6E56779B"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Conover, M. S., </w:t>
      </w:r>
      <w:proofErr w:type="spellStart"/>
      <w:r>
        <w:rPr>
          <w:rFonts w:ascii="Arial" w:hAnsi="Arial" w:cs="Arial"/>
        </w:rPr>
        <w:t>Hadjifrangiskou</w:t>
      </w:r>
      <w:proofErr w:type="spellEnd"/>
      <w:r>
        <w:rPr>
          <w:rFonts w:ascii="Arial" w:hAnsi="Arial" w:cs="Arial"/>
        </w:rPr>
        <w:t xml:space="preserve">, M., Palermo, J. J., Hibbing, M. E., Dodson, K. W., &amp; Hultgren, S. J. (2016). Metabolic requirements of </w:t>
      </w:r>
      <w:r>
        <w:rPr>
          <w:rFonts w:ascii="Arial" w:hAnsi="Arial" w:cs="Arial"/>
          <w:i/>
          <w:iCs/>
        </w:rPr>
        <w:t>Escherichia coli</w:t>
      </w:r>
      <w:r>
        <w:rPr>
          <w:rFonts w:ascii="Arial" w:hAnsi="Arial" w:cs="Arial"/>
        </w:rPr>
        <w:t xml:space="preserve"> in intracellular bacterial communities during urinary tract infection pathogenesis. </w:t>
      </w:r>
      <w:r>
        <w:rPr>
          <w:rFonts w:ascii="Arial" w:hAnsi="Arial" w:cs="Arial"/>
          <w:i/>
          <w:iCs/>
        </w:rPr>
        <w:t>mBio, 7</w:t>
      </w:r>
      <w:r>
        <w:rPr>
          <w:rFonts w:ascii="Arial" w:hAnsi="Arial" w:cs="Arial"/>
        </w:rPr>
        <w:t>(1), e00104-16. https://doi.org/10.1128/mBio.00104-16</w:t>
      </w:r>
    </w:p>
    <w:p w14:paraId="0637651B"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Czajkowski, K., </w:t>
      </w:r>
      <w:proofErr w:type="spellStart"/>
      <w:r>
        <w:rPr>
          <w:rFonts w:ascii="Arial" w:hAnsi="Arial" w:cs="Arial"/>
        </w:rPr>
        <w:t>Broś-Konopielko</w:t>
      </w:r>
      <w:proofErr w:type="spellEnd"/>
      <w:r>
        <w:rPr>
          <w:rFonts w:ascii="Arial" w:hAnsi="Arial" w:cs="Arial"/>
        </w:rPr>
        <w:t xml:space="preserve">, M., &amp; </w:t>
      </w:r>
      <w:proofErr w:type="spellStart"/>
      <w:r>
        <w:rPr>
          <w:rFonts w:ascii="Arial" w:hAnsi="Arial" w:cs="Arial"/>
        </w:rPr>
        <w:t>Teliga-Czajkowska</w:t>
      </w:r>
      <w:proofErr w:type="spellEnd"/>
      <w:r>
        <w:rPr>
          <w:rFonts w:ascii="Arial" w:hAnsi="Arial" w:cs="Arial"/>
        </w:rPr>
        <w:t xml:space="preserve">, J. (2021). Urinary tract infection in women. </w:t>
      </w:r>
      <w:proofErr w:type="spellStart"/>
      <w:r>
        <w:rPr>
          <w:rFonts w:ascii="Arial" w:hAnsi="Arial" w:cs="Arial"/>
          <w:i/>
          <w:iCs/>
        </w:rPr>
        <w:t>Przegląd</w:t>
      </w:r>
      <w:proofErr w:type="spellEnd"/>
      <w:r>
        <w:rPr>
          <w:rFonts w:ascii="Arial" w:hAnsi="Arial" w:cs="Arial"/>
          <w:i/>
          <w:iCs/>
        </w:rPr>
        <w:t xml:space="preserve"> </w:t>
      </w:r>
      <w:proofErr w:type="spellStart"/>
      <w:r>
        <w:rPr>
          <w:rFonts w:ascii="Arial" w:hAnsi="Arial" w:cs="Arial"/>
          <w:i/>
          <w:iCs/>
        </w:rPr>
        <w:t>Menopauzalny</w:t>
      </w:r>
      <w:proofErr w:type="spellEnd"/>
      <w:r>
        <w:rPr>
          <w:rFonts w:ascii="Arial" w:hAnsi="Arial" w:cs="Arial"/>
          <w:i/>
          <w:iCs/>
        </w:rPr>
        <w:t>, 20</w:t>
      </w:r>
      <w:r>
        <w:rPr>
          <w:rFonts w:ascii="Arial" w:hAnsi="Arial" w:cs="Arial"/>
        </w:rPr>
        <w:t>(1), 40–47. https://doi.org/10.5114/pm.2021.105382</w:t>
      </w:r>
    </w:p>
    <w:p w14:paraId="162E7096"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Da Costa, P. M., Loureiro, L., &amp; Matos, A. J. (2013). Transfer of multidrug-resistant bacteria between intermingled ecological niches: The interface between humans, animals and the environment. </w:t>
      </w:r>
      <w:r>
        <w:rPr>
          <w:rFonts w:ascii="Arial" w:hAnsi="Arial" w:cs="Arial"/>
          <w:i/>
          <w:iCs/>
        </w:rPr>
        <w:t>International Journal of Environmental Research and Public Health, 10</w:t>
      </w:r>
      <w:r>
        <w:rPr>
          <w:rFonts w:ascii="Arial" w:hAnsi="Arial" w:cs="Arial"/>
        </w:rPr>
        <w:t>(1), 278–294.</w:t>
      </w:r>
    </w:p>
    <w:p w14:paraId="0EA1F1AD"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lastRenderedPageBreak/>
        <w:t xml:space="preserve">Demir, M., &amp; </w:t>
      </w:r>
      <w:proofErr w:type="spellStart"/>
      <w:r>
        <w:rPr>
          <w:rFonts w:ascii="Arial" w:hAnsi="Arial" w:cs="Arial"/>
        </w:rPr>
        <w:t>Kazanasmaz</w:t>
      </w:r>
      <w:proofErr w:type="spellEnd"/>
      <w:r>
        <w:rPr>
          <w:rFonts w:ascii="Arial" w:hAnsi="Arial" w:cs="Arial"/>
        </w:rPr>
        <w:t xml:space="preserve">, H. (2020). </w:t>
      </w:r>
      <w:proofErr w:type="spellStart"/>
      <w:r>
        <w:rPr>
          <w:rFonts w:ascii="Arial" w:hAnsi="Arial" w:cs="Arial"/>
        </w:rPr>
        <w:t>Uropathogens</w:t>
      </w:r>
      <w:proofErr w:type="spellEnd"/>
      <w:r>
        <w:rPr>
          <w:rFonts w:ascii="Arial" w:hAnsi="Arial" w:cs="Arial"/>
        </w:rPr>
        <w:t xml:space="preserve"> and antibiotic resistance in community- and hospital-acquired urinary tract infections in children. </w:t>
      </w:r>
      <w:r>
        <w:rPr>
          <w:rFonts w:ascii="Arial" w:hAnsi="Arial" w:cs="Arial"/>
          <w:i/>
          <w:iCs/>
        </w:rPr>
        <w:t>Journal of Global Antimicrobial Resistance, 20</w:t>
      </w:r>
      <w:r>
        <w:rPr>
          <w:rFonts w:ascii="Arial" w:hAnsi="Arial" w:cs="Arial"/>
        </w:rPr>
        <w:t>, 68–73. https://doi.org/10.1016/j.jgar.2019.07.019</w:t>
      </w:r>
    </w:p>
    <w:p w14:paraId="75C142C0"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Demir, M., &amp; </w:t>
      </w:r>
      <w:proofErr w:type="spellStart"/>
      <w:r>
        <w:rPr>
          <w:rFonts w:ascii="Arial" w:hAnsi="Arial" w:cs="Arial"/>
        </w:rPr>
        <w:t>Kazanasmaz</w:t>
      </w:r>
      <w:proofErr w:type="spellEnd"/>
      <w:r>
        <w:rPr>
          <w:rFonts w:ascii="Arial" w:hAnsi="Arial" w:cs="Arial"/>
        </w:rPr>
        <w:t xml:space="preserve">, H. (2020). </w:t>
      </w:r>
      <w:proofErr w:type="spellStart"/>
      <w:r>
        <w:rPr>
          <w:rFonts w:ascii="Arial" w:hAnsi="Arial" w:cs="Arial"/>
        </w:rPr>
        <w:t>Uropathogens</w:t>
      </w:r>
      <w:proofErr w:type="spellEnd"/>
      <w:r>
        <w:rPr>
          <w:rFonts w:ascii="Arial" w:hAnsi="Arial" w:cs="Arial"/>
        </w:rPr>
        <w:t xml:space="preserve"> and antibiotic resistance in community- and hospital-acquired urinary tract infections in children. </w:t>
      </w:r>
      <w:r>
        <w:rPr>
          <w:rFonts w:ascii="Arial" w:hAnsi="Arial" w:cs="Arial"/>
          <w:i/>
          <w:iCs/>
        </w:rPr>
        <w:t>Journal of Global Antimicrobial Resistance, 20</w:t>
      </w:r>
      <w:r>
        <w:rPr>
          <w:rFonts w:ascii="Arial" w:hAnsi="Arial" w:cs="Arial"/>
        </w:rPr>
        <w:t xml:space="preserve">, 68–73. </w:t>
      </w:r>
      <w:hyperlink r:id="rId21" w:tgtFrame="_new" w:history="1">
        <w:r>
          <w:rPr>
            <w:rStyle w:val="Hyperlink"/>
            <w:rFonts w:ascii="Arial" w:hAnsi="Arial" w:cs="Arial"/>
          </w:rPr>
          <w:t>https://doi.org/10.1016/j.jgar.2019.07.019</w:t>
        </w:r>
      </w:hyperlink>
    </w:p>
    <w:p w14:paraId="122AB5D7"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Egwu, I. H., Egwu-Ikechukwu, M. M., Nnabugwu, C. C., Mustapha, J. K., &amp; Ali, C. M. (2023). Prevalence of </w:t>
      </w:r>
      <w:proofErr w:type="spellStart"/>
      <w:r>
        <w:rPr>
          <w:rFonts w:ascii="Arial" w:hAnsi="Arial" w:cs="Arial"/>
        </w:rPr>
        <w:t>uropathogens</w:t>
      </w:r>
      <w:proofErr w:type="spellEnd"/>
      <w:r>
        <w:rPr>
          <w:rFonts w:ascii="Arial" w:hAnsi="Arial" w:cs="Arial"/>
        </w:rPr>
        <w:t xml:space="preserve"> and their antimicrobial susceptibility in three mission hospitals in </w:t>
      </w:r>
      <w:proofErr w:type="spellStart"/>
      <w:r>
        <w:rPr>
          <w:rFonts w:ascii="Arial" w:hAnsi="Arial" w:cs="Arial"/>
        </w:rPr>
        <w:t>Abakaliki</w:t>
      </w:r>
      <w:proofErr w:type="spellEnd"/>
      <w:r>
        <w:rPr>
          <w:rFonts w:ascii="Arial" w:hAnsi="Arial" w:cs="Arial"/>
        </w:rPr>
        <w:t xml:space="preserve">, Ebonyi State, Nigeria. </w:t>
      </w:r>
      <w:r>
        <w:rPr>
          <w:rFonts w:ascii="Arial" w:hAnsi="Arial" w:cs="Arial"/>
          <w:i/>
          <w:iCs/>
        </w:rPr>
        <w:t>Gomal Journal of Medical Sciences, 21</w:t>
      </w:r>
      <w:r>
        <w:rPr>
          <w:rFonts w:ascii="Arial" w:hAnsi="Arial" w:cs="Arial"/>
        </w:rPr>
        <w:t>(1), 8–17. https://doi.org/10.46903/gjms/21.01.1183</w:t>
      </w:r>
    </w:p>
    <w:p w14:paraId="0B8EB6C6"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Egwu, I. H., </w:t>
      </w:r>
      <w:proofErr w:type="spellStart"/>
      <w:r>
        <w:rPr>
          <w:rFonts w:ascii="Arial" w:hAnsi="Arial" w:cs="Arial"/>
        </w:rPr>
        <w:t>Nwachi</w:t>
      </w:r>
      <w:proofErr w:type="spellEnd"/>
      <w:r>
        <w:rPr>
          <w:rFonts w:ascii="Arial" w:hAnsi="Arial" w:cs="Arial"/>
        </w:rPr>
        <w:t xml:space="preserve">, A. C., &amp; Egwu-Ikechukwu, M. M. (2024). Green synthesis and antimicrobial potency of silver nanoparticles from </w:t>
      </w:r>
      <w:proofErr w:type="spellStart"/>
      <w:r>
        <w:rPr>
          <w:rFonts w:ascii="Arial" w:hAnsi="Arial" w:cs="Arial"/>
          <w:i/>
          <w:iCs/>
        </w:rPr>
        <w:t>Ocimum</w:t>
      </w:r>
      <w:proofErr w:type="spellEnd"/>
      <w:r>
        <w:rPr>
          <w:rFonts w:ascii="Arial" w:hAnsi="Arial" w:cs="Arial"/>
          <w:i/>
          <w:iCs/>
        </w:rPr>
        <w:t xml:space="preserve"> </w:t>
      </w:r>
      <w:proofErr w:type="spellStart"/>
      <w:r>
        <w:rPr>
          <w:rFonts w:ascii="Arial" w:hAnsi="Arial" w:cs="Arial"/>
          <w:i/>
          <w:iCs/>
        </w:rPr>
        <w:t>gratissimum</w:t>
      </w:r>
      <w:proofErr w:type="spellEnd"/>
      <w:r>
        <w:rPr>
          <w:rFonts w:ascii="Arial" w:hAnsi="Arial" w:cs="Arial"/>
        </w:rPr>
        <w:t xml:space="preserve"> leaf extract on clinical isolates of </w:t>
      </w:r>
      <w:r>
        <w:rPr>
          <w:rFonts w:ascii="Arial" w:hAnsi="Arial" w:cs="Arial"/>
          <w:i/>
          <w:iCs/>
        </w:rPr>
        <w:t>Escherichia coli</w:t>
      </w:r>
      <w:r>
        <w:rPr>
          <w:rFonts w:ascii="Arial" w:hAnsi="Arial" w:cs="Arial"/>
        </w:rPr>
        <w:t xml:space="preserve"> and </w:t>
      </w:r>
      <w:r>
        <w:rPr>
          <w:rFonts w:ascii="Arial" w:hAnsi="Arial" w:cs="Arial"/>
          <w:i/>
          <w:iCs/>
        </w:rPr>
        <w:t>Klebsiella pneumoniae</w:t>
      </w:r>
      <w:r>
        <w:rPr>
          <w:rFonts w:ascii="Arial" w:hAnsi="Arial" w:cs="Arial"/>
        </w:rPr>
        <w:t xml:space="preserve">. </w:t>
      </w:r>
      <w:r>
        <w:rPr>
          <w:rFonts w:ascii="Arial" w:hAnsi="Arial" w:cs="Arial"/>
          <w:i/>
          <w:iCs/>
        </w:rPr>
        <w:t>Journal of Epidemiological Society of Nigeria, 7</w:t>
      </w:r>
      <w:r>
        <w:rPr>
          <w:rFonts w:ascii="Arial" w:hAnsi="Arial" w:cs="Arial"/>
        </w:rPr>
        <w:t>(1), 45–53.</w:t>
      </w:r>
    </w:p>
    <w:p w14:paraId="7D069036" w14:textId="77777777" w:rsidR="00B92597" w:rsidRDefault="00B92597" w:rsidP="00B92597">
      <w:pPr>
        <w:spacing w:before="100" w:beforeAutospacing="1" w:after="100" w:afterAutospacing="1"/>
        <w:ind w:left="720" w:hanging="720"/>
        <w:jc w:val="both"/>
        <w:rPr>
          <w:rFonts w:ascii="Arial" w:hAnsi="Arial" w:cs="Arial"/>
        </w:rPr>
      </w:pPr>
      <w:proofErr w:type="spellStart"/>
      <w:r>
        <w:rPr>
          <w:rFonts w:ascii="Arial" w:hAnsi="Arial" w:cs="Arial"/>
        </w:rPr>
        <w:t>Elorfaly</w:t>
      </w:r>
      <w:proofErr w:type="spellEnd"/>
      <w:r>
        <w:rPr>
          <w:rFonts w:ascii="Arial" w:hAnsi="Arial" w:cs="Arial"/>
        </w:rPr>
        <w:t xml:space="preserve">, H. M. A. (2024). The relation between genital hygiene behaviors in women and urinary tract infection in any period of life: Review article. </w:t>
      </w:r>
      <w:r>
        <w:rPr>
          <w:rFonts w:ascii="Arial" w:hAnsi="Arial" w:cs="Arial"/>
          <w:i/>
          <w:iCs/>
        </w:rPr>
        <w:t>The Egyptian Journal of Hospital Medicine, 97</w:t>
      </w:r>
      <w:r>
        <w:rPr>
          <w:rFonts w:ascii="Arial" w:hAnsi="Arial" w:cs="Arial"/>
        </w:rPr>
        <w:t>, 3811–3819.</w:t>
      </w:r>
    </w:p>
    <w:p w14:paraId="7FD74FFD"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European Centre for Disease Prevention and Control. (2013). </w:t>
      </w:r>
      <w:r>
        <w:rPr>
          <w:rFonts w:ascii="Arial" w:hAnsi="Arial" w:cs="Arial"/>
          <w:i/>
          <w:iCs/>
        </w:rPr>
        <w:t>Annual epidemiological report 2012: Reporting on 2010 surveillance data and 2011 epidemic intelligence data</w:t>
      </w:r>
      <w:r>
        <w:rPr>
          <w:rFonts w:ascii="Arial" w:hAnsi="Arial" w:cs="Arial"/>
        </w:rPr>
        <w:t>.</w:t>
      </w:r>
    </w:p>
    <w:p w14:paraId="02249E2A"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European Committee on Antimicrobial Susceptibility Testing (EUCAST). (2000). Determination of minimum inhibitory concentrations (MICs) of antibacterial agents by agar dilution. </w:t>
      </w:r>
      <w:r>
        <w:rPr>
          <w:rFonts w:ascii="Arial" w:hAnsi="Arial" w:cs="Arial"/>
          <w:i/>
          <w:iCs/>
        </w:rPr>
        <w:t>Clinical Microbiology and Infection, 6</w:t>
      </w:r>
      <w:r>
        <w:rPr>
          <w:rFonts w:ascii="Arial" w:hAnsi="Arial" w:cs="Arial"/>
        </w:rPr>
        <w:t>(9), 509–515.</w:t>
      </w:r>
    </w:p>
    <w:p w14:paraId="51D47178"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Flores-Mireles, A. L., Walker, J. N., </w:t>
      </w:r>
      <w:proofErr w:type="spellStart"/>
      <w:r>
        <w:rPr>
          <w:rFonts w:ascii="Arial" w:hAnsi="Arial" w:cs="Arial"/>
        </w:rPr>
        <w:t>Caparon</w:t>
      </w:r>
      <w:proofErr w:type="spellEnd"/>
      <w:r>
        <w:rPr>
          <w:rFonts w:ascii="Arial" w:hAnsi="Arial" w:cs="Arial"/>
        </w:rPr>
        <w:t xml:space="preserve">, M., &amp; Hultgren, S. J. (2015). Urinary tract infections: Epidemiology, mechanisms of infection, and treatment options. </w:t>
      </w:r>
      <w:r>
        <w:rPr>
          <w:rFonts w:ascii="Arial" w:hAnsi="Arial" w:cs="Arial"/>
          <w:i/>
          <w:iCs/>
        </w:rPr>
        <w:t>Nature Reviews Microbiology, 13</w:t>
      </w:r>
      <w:r>
        <w:rPr>
          <w:rFonts w:ascii="Arial" w:hAnsi="Arial" w:cs="Arial"/>
        </w:rPr>
        <w:t xml:space="preserve">(5), 269–284. </w:t>
      </w:r>
      <w:hyperlink r:id="rId22" w:tgtFrame="_new" w:history="1">
        <w:r>
          <w:rPr>
            <w:rStyle w:val="Hyperlink"/>
            <w:rFonts w:ascii="Arial" w:hAnsi="Arial" w:cs="Arial"/>
            <w:color w:val="0000FF"/>
          </w:rPr>
          <w:t>https://doi.org/10.1038/nrmicro3432</w:t>
        </w:r>
      </w:hyperlink>
    </w:p>
    <w:p w14:paraId="5E11FBFC"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Flores-Mireles, A. L., Walker, J. N., </w:t>
      </w:r>
      <w:proofErr w:type="spellStart"/>
      <w:r>
        <w:rPr>
          <w:rFonts w:ascii="Arial" w:hAnsi="Arial" w:cs="Arial"/>
        </w:rPr>
        <w:t>Caparon</w:t>
      </w:r>
      <w:proofErr w:type="spellEnd"/>
      <w:r>
        <w:rPr>
          <w:rFonts w:ascii="Arial" w:hAnsi="Arial" w:cs="Arial"/>
        </w:rPr>
        <w:t xml:space="preserve">, M., &amp; Hultgren, S. J. (2015). Urinary tract infections: Epidemiology, mechanisms of infection and treatment options. </w:t>
      </w:r>
      <w:r>
        <w:rPr>
          <w:rFonts w:ascii="Arial" w:hAnsi="Arial" w:cs="Arial"/>
          <w:i/>
          <w:iCs/>
        </w:rPr>
        <w:t>Nature Reviews Microbiology, 13</w:t>
      </w:r>
      <w:r>
        <w:rPr>
          <w:rFonts w:ascii="Arial" w:hAnsi="Arial" w:cs="Arial"/>
        </w:rPr>
        <w:t>(5), 269–284.</w:t>
      </w:r>
    </w:p>
    <w:p w14:paraId="72FCD8E5"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Foxman, B. (2010). The epidemiology of urinary tract infection. </w:t>
      </w:r>
      <w:r>
        <w:rPr>
          <w:rFonts w:ascii="Arial" w:hAnsi="Arial" w:cs="Arial"/>
          <w:i/>
          <w:iCs/>
        </w:rPr>
        <w:t>Nature Reviews Urology, 7</w:t>
      </w:r>
      <w:r>
        <w:rPr>
          <w:rFonts w:ascii="Arial" w:hAnsi="Arial" w:cs="Arial"/>
        </w:rPr>
        <w:t>(12), 653–660.</w:t>
      </w:r>
    </w:p>
    <w:p w14:paraId="6919CE09"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Gales, A. C., Sader, H. S., &amp; Jones, R. N. (2002). Report from the SENTRY antimicrobial surveillance program (1997–2000). </w:t>
      </w:r>
      <w:r>
        <w:rPr>
          <w:rFonts w:ascii="Arial" w:hAnsi="Arial" w:cs="Arial"/>
          <w:i/>
          <w:iCs/>
        </w:rPr>
        <w:t>Diagnostic Microbiology and Infectious Disease, 44</w:t>
      </w:r>
      <w:r>
        <w:rPr>
          <w:rFonts w:ascii="Arial" w:hAnsi="Arial" w:cs="Arial"/>
        </w:rPr>
        <w:t>(3), 289–299.</w:t>
      </w:r>
    </w:p>
    <w:p w14:paraId="1E02316C"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García-García, J. D., Contreras-Alvarado, L. M., Cruz-Córdova, A., Hernández-Castro, R., Flores-Encarnación, M., Rivera-Gutiérrez, S., Arellano-Galindo, J., Ochoa, S. A., &amp; Xicohtencatl-Cortes, J. (2025). Pathogenesis and immunomodulation of urinary tract infections caused by </w:t>
      </w:r>
      <w:proofErr w:type="spellStart"/>
      <w:r>
        <w:rPr>
          <w:rFonts w:ascii="Arial" w:hAnsi="Arial" w:cs="Arial"/>
        </w:rPr>
        <w:t>uropathogenic</w:t>
      </w:r>
      <w:proofErr w:type="spellEnd"/>
      <w:r>
        <w:rPr>
          <w:rFonts w:ascii="Arial" w:hAnsi="Arial" w:cs="Arial"/>
        </w:rPr>
        <w:t xml:space="preserve"> </w:t>
      </w:r>
      <w:r>
        <w:rPr>
          <w:rFonts w:ascii="Arial" w:hAnsi="Arial" w:cs="Arial"/>
          <w:i/>
          <w:iCs/>
        </w:rPr>
        <w:t>Escherichia coli</w:t>
      </w:r>
      <w:r>
        <w:rPr>
          <w:rFonts w:ascii="Arial" w:hAnsi="Arial" w:cs="Arial"/>
        </w:rPr>
        <w:t xml:space="preserve">. </w:t>
      </w:r>
      <w:r>
        <w:rPr>
          <w:rFonts w:ascii="Arial" w:hAnsi="Arial" w:cs="Arial"/>
          <w:i/>
          <w:iCs/>
        </w:rPr>
        <w:t>Microorganisms, 13</w:t>
      </w:r>
      <w:r>
        <w:rPr>
          <w:rFonts w:ascii="Arial" w:hAnsi="Arial" w:cs="Arial"/>
        </w:rPr>
        <w:t xml:space="preserve">(4), 745. </w:t>
      </w:r>
      <w:hyperlink r:id="rId23" w:tgtFrame="_new" w:history="1">
        <w:r>
          <w:rPr>
            <w:rStyle w:val="Hyperlink"/>
            <w:rFonts w:ascii="Arial" w:hAnsi="Arial" w:cs="Arial"/>
            <w:color w:val="0000FF"/>
          </w:rPr>
          <w:t>https://doi.org/10.3390/microorganisms13040745</w:t>
        </w:r>
      </w:hyperlink>
    </w:p>
    <w:p w14:paraId="552EC344"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Griebling, T. L. (2005). Urologic diseases in America project: Trends in resource use for urinary tract infections in men. </w:t>
      </w:r>
      <w:r>
        <w:rPr>
          <w:rFonts w:ascii="Arial" w:hAnsi="Arial" w:cs="Arial"/>
          <w:i/>
          <w:iCs/>
        </w:rPr>
        <w:t>The Journal of Urology, 173</w:t>
      </w:r>
      <w:r>
        <w:rPr>
          <w:rFonts w:ascii="Arial" w:hAnsi="Arial" w:cs="Arial"/>
        </w:rPr>
        <w:t>(4), 1288–1294.</w:t>
      </w:r>
    </w:p>
    <w:p w14:paraId="7E05E908"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Jalil, M. B., &amp; Al Atbee, M. Y. N. (2022). The prevalence of multidrug-resistant </w:t>
      </w:r>
      <w:r>
        <w:rPr>
          <w:rFonts w:ascii="Arial" w:hAnsi="Arial" w:cs="Arial"/>
          <w:i/>
          <w:iCs/>
        </w:rPr>
        <w:t>Escherichia coli</w:t>
      </w:r>
      <w:r>
        <w:rPr>
          <w:rFonts w:ascii="Arial" w:hAnsi="Arial" w:cs="Arial"/>
        </w:rPr>
        <w:t xml:space="preserve"> and </w:t>
      </w:r>
      <w:r>
        <w:rPr>
          <w:rFonts w:ascii="Arial" w:hAnsi="Arial" w:cs="Arial"/>
          <w:i/>
          <w:iCs/>
        </w:rPr>
        <w:t>Klebsiella pneumoniae</w:t>
      </w:r>
      <w:r>
        <w:rPr>
          <w:rFonts w:ascii="Arial" w:hAnsi="Arial" w:cs="Arial"/>
        </w:rPr>
        <w:t xml:space="preserve"> isolated from patients with urinary tract infections. </w:t>
      </w:r>
      <w:r>
        <w:rPr>
          <w:rFonts w:ascii="Arial" w:hAnsi="Arial" w:cs="Arial"/>
          <w:i/>
          <w:iCs/>
        </w:rPr>
        <w:t>Journal of Clinical Laboratory Analysis, 36</w:t>
      </w:r>
      <w:r>
        <w:rPr>
          <w:rFonts w:ascii="Arial" w:hAnsi="Arial" w:cs="Arial"/>
        </w:rPr>
        <w:t>(11), e24619. https://doi.org/10.1002/jcla.24619</w:t>
      </w:r>
    </w:p>
    <w:p w14:paraId="43C9D63C"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Jelly, P., Verma, R., Kumawat, R., Choudhary, S., Chadha, L., &amp; Sharma, R. (2022). Occurrence of urinary tract infection and preventive strategies practiced by female students at a tertiary care teaching institution. </w:t>
      </w:r>
      <w:r>
        <w:rPr>
          <w:rFonts w:ascii="Arial" w:hAnsi="Arial" w:cs="Arial"/>
          <w:i/>
          <w:iCs/>
        </w:rPr>
        <w:t>Journal of Education and Health Promotion, 11</w:t>
      </w:r>
      <w:r>
        <w:rPr>
          <w:rFonts w:ascii="Arial" w:hAnsi="Arial" w:cs="Arial"/>
        </w:rPr>
        <w:t>, 122.</w:t>
      </w:r>
    </w:p>
    <w:p w14:paraId="312C9F3A" w14:textId="77777777" w:rsidR="00B92597" w:rsidRDefault="00B92597" w:rsidP="00B92597">
      <w:pPr>
        <w:spacing w:before="100" w:beforeAutospacing="1" w:after="100" w:afterAutospacing="1"/>
        <w:ind w:left="720" w:hanging="720"/>
        <w:jc w:val="both"/>
        <w:rPr>
          <w:rFonts w:ascii="Arial" w:hAnsi="Arial" w:cs="Arial"/>
        </w:rPr>
      </w:pPr>
      <w:proofErr w:type="spellStart"/>
      <w:r>
        <w:rPr>
          <w:rFonts w:ascii="Arial" w:hAnsi="Arial" w:cs="Arial"/>
        </w:rPr>
        <w:t>Kitaba</w:t>
      </w:r>
      <w:proofErr w:type="spellEnd"/>
      <w:r>
        <w:rPr>
          <w:rFonts w:ascii="Arial" w:hAnsi="Arial" w:cs="Arial"/>
        </w:rPr>
        <w:t xml:space="preserve">, A. A., Bonger, Z. T., Beyene, D., Ayenew, Z., Tsige, E., </w:t>
      </w:r>
      <w:proofErr w:type="spellStart"/>
      <w:r>
        <w:rPr>
          <w:rFonts w:ascii="Arial" w:hAnsi="Arial" w:cs="Arial"/>
        </w:rPr>
        <w:t>Kefale</w:t>
      </w:r>
      <w:proofErr w:type="spellEnd"/>
      <w:r>
        <w:rPr>
          <w:rFonts w:ascii="Arial" w:hAnsi="Arial" w:cs="Arial"/>
        </w:rPr>
        <w:t xml:space="preserve">, T. A., Mekonnen, Y., Teklu, D. S., Seyoum, E., &amp; Negeri, A. A. (2024). Antimicrobial resistance trends in clinical </w:t>
      </w:r>
      <w:r>
        <w:rPr>
          <w:rFonts w:ascii="Arial" w:hAnsi="Arial" w:cs="Arial"/>
          <w:i/>
          <w:iCs/>
        </w:rPr>
        <w:t>Escherichia coli</w:t>
      </w:r>
      <w:r>
        <w:rPr>
          <w:rFonts w:ascii="Arial" w:hAnsi="Arial" w:cs="Arial"/>
        </w:rPr>
        <w:t xml:space="preserve"> and </w:t>
      </w:r>
      <w:r>
        <w:rPr>
          <w:rFonts w:ascii="Arial" w:hAnsi="Arial" w:cs="Arial"/>
          <w:i/>
          <w:iCs/>
        </w:rPr>
        <w:t>Klebsiella pneumoniae</w:t>
      </w:r>
      <w:r>
        <w:rPr>
          <w:rFonts w:ascii="Arial" w:hAnsi="Arial" w:cs="Arial"/>
        </w:rPr>
        <w:t xml:space="preserve"> in Ethiopia. </w:t>
      </w:r>
      <w:r>
        <w:rPr>
          <w:rFonts w:ascii="Arial" w:hAnsi="Arial" w:cs="Arial"/>
          <w:i/>
          <w:iCs/>
        </w:rPr>
        <w:t>African Journal of Laboratory Medicine, 13</w:t>
      </w:r>
      <w:r>
        <w:rPr>
          <w:rFonts w:ascii="Arial" w:hAnsi="Arial" w:cs="Arial"/>
        </w:rPr>
        <w:t xml:space="preserve">(1), 2268. </w:t>
      </w:r>
      <w:hyperlink r:id="rId24" w:tgtFrame="_new" w:history="1">
        <w:r>
          <w:rPr>
            <w:rStyle w:val="Hyperlink"/>
            <w:rFonts w:ascii="Arial" w:hAnsi="Arial" w:cs="Arial"/>
            <w:color w:val="0000FF"/>
          </w:rPr>
          <w:t>https://doi.org/10.4102/ajlm.v13i1.2268</w:t>
        </w:r>
      </w:hyperlink>
    </w:p>
    <w:p w14:paraId="17E54F56"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lastRenderedPageBreak/>
        <w:t xml:space="preserve">Kolawole, A. S., Kolawole, O. M., Kandaki-Olukemi, Y. T., Babatunde, S. K., </w:t>
      </w:r>
      <w:proofErr w:type="spellStart"/>
      <w:r>
        <w:rPr>
          <w:rFonts w:ascii="Arial" w:hAnsi="Arial" w:cs="Arial"/>
        </w:rPr>
        <w:t>Durowade</w:t>
      </w:r>
      <w:proofErr w:type="spellEnd"/>
      <w:r>
        <w:rPr>
          <w:rFonts w:ascii="Arial" w:hAnsi="Arial" w:cs="Arial"/>
        </w:rPr>
        <w:t xml:space="preserve">, K. A., &amp; Kolawole, C. F. (2009). Prevalence of urinary tract infection among patients attending Dalhatu Araf Specialist Hospital, Lafia, Nigeria. </w:t>
      </w:r>
      <w:r>
        <w:rPr>
          <w:rFonts w:ascii="Arial" w:hAnsi="Arial" w:cs="Arial"/>
          <w:i/>
          <w:iCs/>
        </w:rPr>
        <w:t>International Journal of Medical Sciences, 1</w:t>
      </w:r>
      <w:r>
        <w:rPr>
          <w:rFonts w:ascii="Arial" w:hAnsi="Arial" w:cs="Arial"/>
        </w:rPr>
        <w:t>, 163–167.</w:t>
      </w:r>
    </w:p>
    <w:p w14:paraId="532152DC"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Marwan, O., Hassan, M., Monzer, H., &amp; Elie, B. R. (2017). Prevalence and antibiotic susceptibility patterns of bacteria causing urinary tract infections in Youssef Hospital Centre. </w:t>
      </w:r>
      <w:r>
        <w:rPr>
          <w:rFonts w:ascii="Arial" w:hAnsi="Arial" w:cs="Arial"/>
          <w:i/>
          <w:iCs/>
        </w:rPr>
        <w:t>International Arabic Journal of Antimicrobial Agents, 7</w:t>
      </w:r>
      <w:r>
        <w:rPr>
          <w:rFonts w:ascii="Arial" w:hAnsi="Arial" w:cs="Arial"/>
        </w:rPr>
        <w:t>(1), 2–4.</w:t>
      </w:r>
    </w:p>
    <w:p w14:paraId="407499BD"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Matalka, A., Al-</w:t>
      </w:r>
      <w:proofErr w:type="spellStart"/>
      <w:r>
        <w:rPr>
          <w:rFonts w:ascii="Arial" w:hAnsi="Arial" w:cs="Arial"/>
        </w:rPr>
        <w:t>Husban</w:t>
      </w:r>
      <w:proofErr w:type="spellEnd"/>
      <w:r>
        <w:rPr>
          <w:rFonts w:ascii="Arial" w:hAnsi="Arial" w:cs="Arial"/>
        </w:rPr>
        <w:t xml:space="preserve">, N., </w:t>
      </w:r>
      <w:proofErr w:type="spellStart"/>
      <w:r>
        <w:rPr>
          <w:rFonts w:ascii="Arial" w:hAnsi="Arial" w:cs="Arial"/>
        </w:rPr>
        <w:t>Alkuran</w:t>
      </w:r>
      <w:proofErr w:type="spellEnd"/>
      <w:r>
        <w:rPr>
          <w:rFonts w:ascii="Arial" w:hAnsi="Arial" w:cs="Arial"/>
        </w:rPr>
        <w:t xml:space="preserve">, O., </w:t>
      </w:r>
      <w:proofErr w:type="spellStart"/>
      <w:r>
        <w:rPr>
          <w:rFonts w:ascii="Arial" w:hAnsi="Arial" w:cs="Arial"/>
        </w:rPr>
        <w:t>Almuhaisen</w:t>
      </w:r>
      <w:proofErr w:type="spellEnd"/>
      <w:r>
        <w:rPr>
          <w:rFonts w:ascii="Arial" w:hAnsi="Arial" w:cs="Arial"/>
        </w:rPr>
        <w:t xml:space="preserve">, L., Basha, A., Eid, M., </w:t>
      </w:r>
      <w:proofErr w:type="spellStart"/>
      <w:r>
        <w:rPr>
          <w:rFonts w:ascii="Arial" w:hAnsi="Arial" w:cs="Arial"/>
        </w:rPr>
        <w:t>Elmuhtaseb</w:t>
      </w:r>
      <w:proofErr w:type="spellEnd"/>
      <w:r>
        <w:rPr>
          <w:rFonts w:ascii="Arial" w:hAnsi="Arial" w:cs="Arial"/>
        </w:rPr>
        <w:t xml:space="preserve">, M. S., &amp; Al Oweidat, K. (2021). Spectrum of </w:t>
      </w:r>
      <w:proofErr w:type="spellStart"/>
      <w:r>
        <w:rPr>
          <w:rFonts w:ascii="Arial" w:hAnsi="Arial" w:cs="Arial"/>
        </w:rPr>
        <w:t>uropathogens</w:t>
      </w:r>
      <w:proofErr w:type="spellEnd"/>
      <w:r>
        <w:rPr>
          <w:rFonts w:ascii="Arial" w:hAnsi="Arial" w:cs="Arial"/>
        </w:rPr>
        <w:t xml:space="preserve"> and their susceptibility to antimicrobials in pregnant women. </w:t>
      </w:r>
      <w:r>
        <w:rPr>
          <w:rFonts w:ascii="Arial" w:hAnsi="Arial" w:cs="Arial"/>
          <w:i/>
          <w:iCs/>
        </w:rPr>
        <w:t>Journal of International Medical Research, 49</w:t>
      </w:r>
      <w:r>
        <w:rPr>
          <w:rFonts w:ascii="Arial" w:hAnsi="Arial" w:cs="Arial"/>
        </w:rPr>
        <w:t>(5), 3000605211006540. https://doi.org/10.1177/03000605211006540</w:t>
      </w:r>
    </w:p>
    <w:p w14:paraId="543ABD01"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Mattoo, T. K., Shaikh, N., &amp; Nelson, C. P. (2021). Contemporary management of urinary tract infection in children. </w:t>
      </w:r>
      <w:r>
        <w:rPr>
          <w:rFonts w:ascii="Arial" w:hAnsi="Arial" w:cs="Arial"/>
          <w:i/>
          <w:iCs/>
        </w:rPr>
        <w:t>Pediatrics, 147</w:t>
      </w:r>
      <w:r>
        <w:rPr>
          <w:rFonts w:ascii="Arial" w:hAnsi="Arial" w:cs="Arial"/>
        </w:rPr>
        <w:t>(2), e2020012138. https://doi.org/10.1542/peds.2020-012138</w:t>
      </w:r>
    </w:p>
    <w:p w14:paraId="6C71A4EE"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Muhammad, A., Khan, S. N., Ali, N., Rehman, M. U., &amp; Ali, I. (2020). Prevalence and antibiotic susceptibility pattern of </w:t>
      </w:r>
      <w:proofErr w:type="spellStart"/>
      <w:r>
        <w:rPr>
          <w:rFonts w:ascii="Arial" w:hAnsi="Arial" w:cs="Arial"/>
        </w:rPr>
        <w:t>uropathogens</w:t>
      </w:r>
      <w:proofErr w:type="spellEnd"/>
      <w:r>
        <w:rPr>
          <w:rFonts w:ascii="Arial" w:hAnsi="Arial" w:cs="Arial"/>
        </w:rPr>
        <w:t xml:space="preserve"> in outpatients at a tertiary care hospital. </w:t>
      </w:r>
      <w:r>
        <w:rPr>
          <w:rFonts w:ascii="Arial" w:hAnsi="Arial" w:cs="Arial"/>
          <w:i/>
          <w:iCs/>
        </w:rPr>
        <w:t>New Microbes and New Infections, 36</w:t>
      </w:r>
      <w:r>
        <w:rPr>
          <w:rFonts w:ascii="Arial" w:hAnsi="Arial" w:cs="Arial"/>
        </w:rPr>
        <w:t>, 100716. https://doi.org/10.1016/j.nmni.2020.100716</w:t>
      </w:r>
    </w:p>
    <w:p w14:paraId="5ED128EF"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Neugent, M. L., </w:t>
      </w:r>
      <w:proofErr w:type="spellStart"/>
      <w:r>
        <w:rPr>
          <w:rFonts w:ascii="Arial" w:hAnsi="Arial" w:cs="Arial"/>
        </w:rPr>
        <w:t>Hulyalkar</w:t>
      </w:r>
      <w:proofErr w:type="spellEnd"/>
      <w:r>
        <w:rPr>
          <w:rFonts w:ascii="Arial" w:hAnsi="Arial" w:cs="Arial"/>
        </w:rPr>
        <w:t xml:space="preserve">, N. V., Nguyen, V. H., Zimmern, P. E., &amp; De Nisco, N. J. (2020). Advances in understanding the human urinary microbiome and its potential role in urinary tract infection. </w:t>
      </w:r>
      <w:r>
        <w:rPr>
          <w:rFonts w:ascii="Arial" w:hAnsi="Arial" w:cs="Arial"/>
          <w:i/>
          <w:iCs/>
        </w:rPr>
        <w:t>mBio, 11</w:t>
      </w:r>
      <w:r>
        <w:rPr>
          <w:rFonts w:ascii="Arial" w:hAnsi="Arial" w:cs="Arial"/>
        </w:rPr>
        <w:t>(2), e00218-20.</w:t>
      </w:r>
    </w:p>
    <w:p w14:paraId="191C3703"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Oh, W. S., Hur, J. A., Kim, E. S., Park, K. H., Choi, H. K., Moon, C., &amp; Kim, B. N. (2014). Factors associated with specific </w:t>
      </w:r>
      <w:proofErr w:type="spellStart"/>
      <w:r>
        <w:rPr>
          <w:rFonts w:ascii="Arial" w:hAnsi="Arial" w:cs="Arial"/>
        </w:rPr>
        <w:t>uropathogens</w:t>
      </w:r>
      <w:proofErr w:type="spellEnd"/>
      <w:r>
        <w:rPr>
          <w:rFonts w:ascii="Arial" w:hAnsi="Arial" w:cs="Arial"/>
        </w:rPr>
        <w:t xml:space="preserve"> in catheter-associated urinary tract infection. </w:t>
      </w:r>
      <w:r>
        <w:rPr>
          <w:rFonts w:ascii="Arial" w:hAnsi="Arial" w:cs="Arial"/>
          <w:i/>
          <w:iCs/>
        </w:rPr>
        <w:t>Journal of International Medical Research, 42</w:t>
      </w:r>
      <w:r>
        <w:rPr>
          <w:rFonts w:ascii="Arial" w:hAnsi="Arial" w:cs="Arial"/>
        </w:rPr>
        <w:t>(6), 1335–1347.</w:t>
      </w:r>
    </w:p>
    <w:p w14:paraId="6A772DED"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Paczosa, M. K., &amp; </w:t>
      </w:r>
      <w:proofErr w:type="spellStart"/>
      <w:r>
        <w:rPr>
          <w:rFonts w:ascii="Arial" w:hAnsi="Arial" w:cs="Arial"/>
        </w:rPr>
        <w:t>Mecsas</w:t>
      </w:r>
      <w:proofErr w:type="spellEnd"/>
      <w:r>
        <w:rPr>
          <w:rFonts w:ascii="Arial" w:hAnsi="Arial" w:cs="Arial"/>
        </w:rPr>
        <w:t xml:space="preserve">, J. (2016). </w:t>
      </w:r>
      <w:r>
        <w:rPr>
          <w:rFonts w:ascii="Arial" w:hAnsi="Arial" w:cs="Arial"/>
          <w:i/>
          <w:iCs/>
        </w:rPr>
        <w:t>Klebsiella pneumoniae</w:t>
      </w:r>
      <w:r>
        <w:rPr>
          <w:rFonts w:ascii="Arial" w:hAnsi="Arial" w:cs="Arial"/>
        </w:rPr>
        <w:t xml:space="preserve">: Going on the offense with a strong defense. </w:t>
      </w:r>
      <w:r>
        <w:rPr>
          <w:rFonts w:ascii="Arial" w:hAnsi="Arial" w:cs="Arial"/>
          <w:i/>
          <w:iCs/>
        </w:rPr>
        <w:t>Microbiology and Molecular Biology Reviews, 80</w:t>
      </w:r>
      <w:r>
        <w:rPr>
          <w:rFonts w:ascii="Arial" w:hAnsi="Arial" w:cs="Arial"/>
        </w:rPr>
        <w:t>(3), 629–661. https://doi.org/10.1128/MMBR.00078-15</w:t>
      </w:r>
    </w:p>
    <w:p w14:paraId="7929D401"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Priamchuk, S. D., </w:t>
      </w:r>
      <w:proofErr w:type="spellStart"/>
      <w:r>
        <w:rPr>
          <w:rFonts w:ascii="Arial" w:hAnsi="Arial" w:cs="Arial"/>
        </w:rPr>
        <w:t>Fursova</w:t>
      </w:r>
      <w:proofErr w:type="spellEnd"/>
      <w:r>
        <w:rPr>
          <w:rFonts w:ascii="Arial" w:hAnsi="Arial" w:cs="Arial"/>
        </w:rPr>
        <w:t xml:space="preserve">, N. K., Abaev, I. V., Kovalev, I. N., </w:t>
      </w:r>
      <w:proofErr w:type="spellStart"/>
      <w:r>
        <w:rPr>
          <w:rFonts w:ascii="Arial" w:hAnsi="Arial" w:cs="Arial"/>
        </w:rPr>
        <w:t>Shishkova</w:t>
      </w:r>
      <w:proofErr w:type="spellEnd"/>
      <w:r>
        <w:rPr>
          <w:rFonts w:ascii="Arial" w:hAnsi="Arial" w:cs="Arial"/>
        </w:rPr>
        <w:t xml:space="preserve">, N. A., </w:t>
      </w:r>
      <w:proofErr w:type="spellStart"/>
      <w:r>
        <w:rPr>
          <w:rFonts w:ascii="Arial" w:hAnsi="Arial" w:cs="Arial"/>
        </w:rPr>
        <w:t>Pecherskikh</w:t>
      </w:r>
      <w:proofErr w:type="spellEnd"/>
      <w:r>
        <w:rPr>
          <w:rFonts w:ascii="Arial" w:hAnsi="Arial" w:cs="Arial"/>
        </w:rPr>
        <w:t xml:space="preserve">, E. I., </w:t>
      </w:r>
      <w:proofErr w:type="spellStart"/>
      <w:r>
        <w:rPr>
          <w:rFonts w:ascii="Arial" w:hAnsi="Arial" w:cs="Arial"/>
        </w:rPr>
        <w:t>Korobova</w:t>
      </w:r>
      <w:proofErr w:type="spellEnd"/>
      <w:r>
        <w:rPr>
          <w:rFonts w:ascii="Arial" w:hAnsi="Arial" w:cs="Arial"/>
        </w:rPr>
        <w:t xml:space="preserve">, O. V., Astashkin, E. I., </w:t>
      </w:r>
      <w:proofErr w:type="spellStart"/>
      <w:r>
        <w:rPr>
          <w:rFonts w:ascii="Arial" w:hAnsi="Arial" w:cs="Arial"/>
        </w:rPr>
        <w:t>Pachkunov</w:t>
      </w:r>
      <w:proofErr w:type="spellEnd"/>
      <w:r>
        <w:rPr>
          <w:rFonts w:ascii="Arial" w:hAnsi="Arial" w:cs="Arial"/>
        </w:rPr>
        <w:t xml:space="preserve">, D. M., &amp; Kruglov, A. N. (2010). Genetic determinants of antibacterial resistance among nosocomial </w:t>
      </w:r>
      <w:r>
        <w:rPr>
          <w:rFonts w:ascii="Arial" w:hAnsi="Arial" w:cs="Arial"/>
          <w:i/>
          <w:iCs/>
        </w:rPr>
        <w:t>Escherichia coli</w:t>
      </w:r>
      <w:r>
        <w:rPr>
          <w:rFonts w:ascii="Arial" w:hAnsi="Arial" w:cs="Arial"/>
        </w:rPr>
        <w:t xml:space="preserve">, </w:t>
      </w:r>
      <w:r>
        <w:rPr>
          <w:rFonts w:ascii="Arial" w:hAnsi="Arial" w:cs="Arial"/>
          <w:i/>
          <w:iCs/>
        </w:rPr>
        <w:t>Klebsiella</w:t>
      </w:r>
      <w:r>
        <w:rPr>
          <w:rFonts w:ascii="Arial" w:hAnsi="Arial" w:cs="Arial"/>
        </w:rPr>
        <w:t xml:space="preserve"> spp., and </w:t>
      </w:r>
      <w:r>
        <w:rPr>
          <w:rFonts w:ascii="Arial" w:hAnsi="Arial" w:cs="Arial"/>
          <w:i/>
          <w:iCs/>
        </w:rPr>
        <w:t>Enterobacter</w:t>
      </w:r>
      <w:r>
        <w:rPr>
          <w:rFonts w:ascii="Arial" w:hAnsi="Arial" w:cs="Arial"/>
        </w:rPr>
        <w:t xml:space="preserve"> spp. isolates collected in Russia (2003–2007). </w:t>
      </w:r>
      <w:r>
        <w:rPr>
          <w:rFonts w:ascii="Arial" w:hAnsi="Arial" w:cs="Arial"/>
          <w:i/>
          <w:iCs/>
        </w:rPr>
        <w:t>Antibiotics and Chemotherapy, 55</w:t>
      </w:r>
      <w:r>
        <w:rPr>
          <w:rFonts w:ascii="Arial" w:hAnsi="Arial" w:cs="Arial"/>
        </w:rPr>
        <w:t>(3–4), 3–10.</w:t>
      </w:r>
    </w:p>
    <w:p w14:paraId="54B734AE"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Sah, B. K., Dahal, P., Mallik, S. K., Paul, A. D., Mainali, U., Shah, C., &amp; Dahal, P. (2023). </w:t>
      </w:r>
      <w:proofErr w:type="spellStart"/>
      <w:r>
        <w:rPr>
          <w:rFonts w:ascii="Arial" w:hAnsi="Arial" w:cs="Arial"/>
        </w:rPr>
        <w:t>Uropathogens</w:t>
      </w:r>
      <w:proofErr w:type="spellEnd"/>
      <w:r>
        <w:rPr>
          <w:rFonts w:ascii="Arial" w:hAnsi="Arial" w:cs="Arial"/>
        </w:rPr>
        <w:t xml:space="preserve"> and their antimicrobial-resistant pattern among suspected urinary tract infection patients in eastern Nepal: A hospital inpatients-based study. </w:t>
      </w:r>
      <w:r>
        <w:rPr>
          <w:rFonts w:ascii="Arial" w:hAnsi="Arial" w:cs="Arial"/>
          <w:i/>
          <w:iCs/>
        </w:rPr>
        <w:t>SAGE Open Medicine, 11</w:t>
      </w:r>
      <w:r>
        <w:rPr>
          <w:rFonts w:ascii="Arial" w:hAnsi="Arial" w:cs="Arial"/>
        </w:rPr>
        <w:t>, 20503121231220821. https://doi.org/10.1177/20503121231220821</w:t>
      </w:r>
    </w:p>
    <w:p w14:paraId="136CDD0B"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Seifu, W. D., &amp; </w:t>
      </w:r>
      <w:proofErr w:type="spellStart"/>
      <w:r>
        <w:rPr>
          <w:rFonts w:ascii="Arial" w:hAnsi="Arial" w:cs="Arial"/>
        </w:rPr>
        <w:t>Gebissa</w:t>
      </w:r>
      <w:proofErr w:type="spellEnd"/>
      <w:r>
        <w:rPr>
          <w:rFonts w:ascii="Arial" w:hAnsi="Arial" w:cs="Arial"/>
        </w:rPr>
        <w:t xml:space="preserve">, A. D. (2018). Prevalence and antibiotic susceptibility of </w:t>
      </w:r>
      <w:proofErr w:type="spellStart"/>
      <w:r>
        <w:rPr>
          <w:rFonts w:ascii="Arial" w:hAnsi="Arial" w:cs="Arial"/>
        </w:rPr>
        <w:t>uropathogens</w:t>
      </w:r>
      <w:proofErr w:type="spellEnd"/>
      <w:r>
        <w:rPr>
          <w:rFonts w:ascii="Arial" w:hAnsi="Arial" w:cs="Arial"/>
        </w:rPr>
        <w:t xml:space="preserve"> from urinary tract infections in Ethiopia. </w:t>
      </w:r>
      <w:r>
        <w:rPr>
          <w:rFonts w:ascii="Arial" w:hAnsi="Arial" w:cs="Arial"/>
          <w:i/>
          <w:iCs/>
        </w:rPr>
        <w:t>BMC Infectious Diseases, 18</w:t>
      </w:r>
      <w:r>
        <w:rPr>
          <w:rFonts w:ascii="Arial" w:hAnsi="Arial" w:cs="Arial"/>
        </w:rPr>
        <w:t>, 1–9.</w:t>
      </w:r>
    </w:p>
    <w:p w14:paraId="52689CB4"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Sharma, K., Thacker, V. V., Dhar, N., </w:t>
      </w:r>
      <w:proofErr w:type="spellStart"/>
      <w:r>
        <w:rPr>
          <w:rFonts w:ascii="Arial" w:hAnsi="Arial" w:cs="Arial"/>
        </w:rPr>
        <w:t>Clapés</w:t>
      </w:r>
      <w:proofErr w:type="spellEnd"/>
      <w:r>
        <w:rPr>
          <w:rFonts w:ascii="Arial" w:hAnsi="Arial" w:cs="Arial"/>
        </w:rPr>
        <w:t xml:space="preserve"> </w:t>
      </w:r>
      <w:proofErr w:type="spellStart"/>
      <w:r>
        <w:rPr>
          <w:rFonts w:ascii="Arial" w:hAnsi="Arial" w:cs="Arial"/>
        </w:rPr>
        <w:t>Cabrer</w:t>
      </w:r>
      <w:proofErr w:type="spellEnd"/>
      <w:r>
        <w:rPr>
          <w:rFonts w:ascii="Arial" w:hAnsi="Arial" w:cs="Arial"/>
        </w:rPr>
        <w:t xml:space="preserve">, M., Dubois, A., Signorino-Gelo, F., </w:t>
      </w:r>
      <w:proofErr w:type="spellStart"/>
      <w:r>
        <w:rPr>
          <w:rFonts w:ascii="Arial" w:hAnsi="Arial" w:cs="Arial"/>
        </w:rPr>
        <w:t>Mullenders</w:t>
      </w:r>
      <w:proofErr w:type="spellEnd"/>
      <w:r>
        <w:rPr>
          <w:rFonts w:ascii="Arial" w:hAnsi="Arial" w:cs="Arial"/>
        </w:rPr>
        <w:t xml:space="preserve">, J., Knott, G. W., </w:t>
      </w:r>
      <w:proofErr w:type="spellStart"/>
      <w:r>
        <w:rPr>
          <w:rFonts w:ascii="Arial" w:hAnsi="Arial" w:cs="Arial"/>
        </w:rPr>
        <w:t>Clevers</w:t>
      </w:r>
      <w:proofErr w:type="spellEnd"/>
      <w:r>
        <w:rPr>
          <w:rFonts w:ascii="Arial" w:hAnsi="Arial" w:cs="Arial"/>
        </w:rPr>
        <w:t xml:space="preserve">, H., &amp; McKinney, J. D. (2021). Early invasion of the bladder wall by solitary bacteria protects UPEC from antibiotics and neutrophil swarms in an organoid model. </w:t>
      </w:r>
      <w:r>
        <w:rPr>
          <w:rFonts w:ascii="Arial" w:hAnsi="Arial" w:cs="Arial"/>
          <w:i/>
          <w:iCs/>
        </w:rPr>
        <w:t>Cell Reports, 36</w:t>
      </w:r>
      <w:r>
        <w:rPr>
          <w:rFonts w:ascii="Arial" w:hAnsi="Arial" w:cs="Arial"/>
        </w:rPr>
        <w:t>(3), 109351. https://doi.org/10.1016/j.celrep.2021.109351</w:t>
      </w:r>
    </w:p>
    <w:p w14:paraId="12507797"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Shon, A. S., Bajwa, R. P., &amp; Russo, T. A. (2013). Hypervirulent (</w:t>
      </w:r>
      <w:proofErr w:type="spellStart"/>
      <w:r>
        <w:rPr>
          <w:rFonts w:ascii="Arial" w:hAnsi="Arial" w:cs="Arial"/>
          <w:i/>
          <w:iCs/>
        </w:rPr>
        <w:t>hypermucoviscous</w:t>
      </w:r>
      <w:proofErr w:type="spellEnd"/>
      <w:r>
        <w:rPr>
          <w:rFonts w:ascii="Arial" w:hAnsi="Arial" w:cs="Arial"/>
        </w:rPr>
        <w:t xml:space="preserve">) </w:t>
      </w:r>
      <w:r>
        <w:rPr>
          <w:rFonts w:ascii="Arial" w:hAnsi="Arial" w:cs="Arial"/>
          <w:i/>
          <w:iCs/>
        </w:rPr>
        <w:t>Klebsiella pneumoniae</w:t>
      </w:r>
      <w:r>
        <w:rPr>
          <w:rFonts w:ascii="Arial" w:hAnsi="Arial" w:cs="Arial"/>
        </w:rPr>
        <w:t xml:space="preserve">: A new and dangerous breed. </w:t>
      </w:r>
      <w:r>
        <w:rPr>
          <w:rFonts w:ascii="Arial" w:hAnsi="Arial" w:cs="Arial"/>
          <w:i/>
          <w:iCs/>
        </w:rPr>
        <w:t>Virulence, 4</w:t>
      </w:r>
      <w:r>
        <w:rPr>
          <w:rFonts w:ascii="Arial" w:hAnsi="Arial" w:cs="Arial"/>
        </w:rPr>
        <w:t>(2), 107–118.</w:t>
      </w:r>
    </w:p>
    <w:p w14:paraId="3408994C"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Simões, E., Silva, A. C., Oliveira, E. A., &amp; Mak, R. H. (2020). Urinary tract infection in pediatrics: An overview. </w:t>
      </w:r>
      <w:proofErr w:type="spellStart"/>
      <w:r>
        <w:rPr>
          <w:rFonts w:ascii="Arial" w:hAnsi="Arial" w:cs="Arial"/>
          <w:i/>
          <w:iCs/>
        </w:rPr>
        <w:t>Jornal</w:t>
      </w:r>
      <w:proofErr w:type="spellEnd"/>
      <w:r>
        <w:rPr>
          <w:rFonts w:ascii="Arial" w:hAnsi="Arial" w:cs="Arial"/>
          <w:i/>
          <w:iCs/>
        </w:rPr>
        <w:t xml:space="preserve"> de </w:t>
      </w:r>
      <w:proofErr w:type="spellStart"/>
      <w:r>
        <w:rPr>
          <w:rFonts w:ascii="Arial" w:hAnsi="Arial" w:cs="Arial"/>
          <w:i/>
          <w:iCs/>
        </w:rPr>
        <w:t>Pediatria</w:t>
      </w:r>
      <w:proofErr w:type="spellEnd"/>
      <w:r>
        <w:rPr>
          <w:rFonts w:ascii="Arial" w:hAnsi="Arial" w:cs="Arial"/>
          <w:i/>
          <w:iCs/>
        </w:rPr>
        <w:t>, 96</w:t>
      </w:r>
      <w:r>
        <w:rPr>
          <w:rFonts w:ascii="Arial" w:hAnsi="Arial" w:cs="Arial"/>
        </w:rPr>
        <w:t>(Suppl. 1), 65–79. https://doi.org/10.1016/j.jped.2019.10.006</w:t>
      </w:r>
    </w:p>
    <w:p w14:paraId="48EDD05A"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Smith, M. B. H. (2014). Screening for urinary tract infection in asymptomatic infants and children. </w:t>
      </w:r>
      <w:r>
        <w:rPr>
          <w:rFonts w:ascii="Arial" w:hAnsi="Arial" w:cs="Arial"/>
          <w:i/>
          <w:iCs/>
        </w:rPr>
        <w:t>Canadian Guide to Clinical Preventive Health Care</w:t>
      </w:r>
      <w:r>
        <w:rPr>
          <w:rFonts w:ascii="Arial" w:hAnsi="Arial" w:cs="Arial"/>
        </w:rPr>
        <w:t>, 220–300.</w:t>
      </w:r>
    </w:p>
    <w:p w14:paraId="665EDB11"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lastRenderedPageBreak/>
        <w:t xml:space="preserve">Stamm, W. E., &amp; Hooton, T. M. (2013). Management of urinary tract infections in adults. </w:t>
      </w:r>
      <w:r>
        <w:rPr>
          <w:rFonts w:ascii="Arial" w:hAnsi="Arial" w:cs="Arial"/>
          <w:i/>
          <w:iCs/>
        </w:rPr>
        <w:t>The New England Journal of Medicine, 329</w:t>
      </w:r>
      <w:r>
        <w:rPr>
          <w:rFonts w:ascii="Arial" w:hAnsi="Arial" w:cs="Arial"/>
        </w:rPr>
        <w:t>, 1328–1334.</w:t>
      </w:r>
    </w:p>
    <w:p w14:paraId="60071B3A" w14:textId="77777777" w:rsidR="00B92597" w:rsidRDefault="00B92597" w:rsidP="00B92597">
      <w:pPr>
        <w:spacing w:before="100" w:beforeAutospacing="1" w:after="100" w:afterAutospacing="1"/>
        <w:ind w:left="720" w:hanging="720"/>
        <w:jc w:val="both"/>
        <w:rPr>
          <w:rFonts w:ascii="Arial" w:hAnsi="Arial" w:cs="Arial"/>
        </w:rPr>
      </w:pPr>
      <w:proofErr w:type="spellStart"/>
      <w:r>
        <w:rPr>
          <w:rFonts w:ascii="Arial" w:hAnsi="Arial" w:cs="Arial"/>
        </w:rPr>
        <w:t>Subashchandrabose</w:t>
      </w:r>
      <w:proofErr w:type="spellEnd"/>
      <w:r>
        <w:rPr>
          <w:rFonts w:ascii="Arial" w:hAnsi="Arial" w:cs="Arial"/>
        </w:rPr>
        <w:t xml:space="preserve">, S., &amp; Mobley, H. L. T. (2015). Virulence and fitness determinants of </w:t>
      </w:r>
      <w:proofErr w:type="spellStart"/>
      <w:r>
        <w:rPr>
          <w:rFonts w:ascii="Arial" w:hAnsi="Arial" w:cs="Arial"/>
        </w:rPr>
        <w:t>uropathogenic</w:t>
      </w:r>
      <w:proofErr w:type="spellEnd"/>
      <w:r>
        <w:rPr>
          <w:rFonts w:ascii="Arial" w:hAnsi="Arial" w:cs="Arial"/>
        </w:rPr>
        <w:t xml:space="preserve"> </w:t>
      </w:r>
      <w:r>
        <w:rPr>
          <w:rFonts w:ascii="Arial" w:hAnsi="Arial" w:cs="Arial"/>
          <w:i/>
          <w:iCs/>
        </w:rPr>
        <w:t>Escherichia coli</w:t>
      </w:r>
      <w:r>
        <w:rPr>
          <w:rFonts w:ascii="Arial" w:hAnsi="Arial" w:cs="Arial"/>
        </w:rPr>
        <w:t xml:space="preserve">. </w:t>
      </w:r>
      <w:r>
        <w:rPr>
          <w:rFonts w:ascii="Arial" w:hAnsi="Arial" w:cs="Arial"/>
          <w:i/>
          <w:iCs/>
        </w:rPr>
        <w:t>Microbiology Spectrum, 3</w:t>
      </w:r>
      <w:r>
        <w:rPr>
          <w:rFonts w:ascii="Arial" w:hAnsi="Arial" w:cs="Arial"/>
        </w:rPr>
        <w:t>(4). https://doi.org/10.1128/microbiolspec.UTI-0015-2012</w:t>
      </w:r>
    </w:p>
    <w:p w14:paraId="0BAC6A2C" w14:textId="77777777" w:rsidR="00B92597" w:rsidRDefault="00B92597" w:rsidP="00B92597">
      <w:pPr>
        <w:spacing w:before="100" w:beforeAutospacing="1" w:after="100" w:afterAutospacing="1"/>
        <w:ind w:left="720" w:hanging="720"/>
        <w:jc w:val="both"/>
        <w:rPr>
          <w:rFonts w:ascii="Arial" w:hAnsi="Arial" w:cs="Arial"/>
        </w:rPr>
      </w:pPr>
      <w:proofErr w:type="spellStart"/>
      <w:r>
        <w:rPr>
          <w:rFonts w:ascii="Arial" w:hAnsi="Arial" w:cs="Arial"/>
        </w:rPr>
        <w:t>Tamadonfar</w:t>
      </w:r>
      <w:proofErr w:type="spellEnd"/>
      <w:r>
        <w:rPr>
          <w:rFonts w:ascii="Arial" w:hAnsi="Arial" w:cs="Arial"/>
        </w:rPr>
        <w:t xml:space="preserve">, K. O., </w:t>
      </w:r>
      <w:proofErr w:type="spellStart"/>
      <w:r>
        <w:rPr>
          <w:rFonts w:ascii="Arial" w:hAnsi="Arial" w:cs="Arial"/>
        </w:rPr>
        <w:t>Omattage</w:t>
      </w:r>
      <w:proofErr w:type="spellEnd"/>
      <w:r>
        <w:rPr>
          <w:rFonts w:ascii="Arial" w:hAnsi="Arial" w:cs="Arial"/>
        </w:rPr>
        <w:t xml:space="preserve">, N. S., Spaulding, C. N., &amp; Hultgren, S. J. (2019). Reaching the end of the line: Urinary tract infections. </w:t>
      </w:r>
      <w:r>
        <w:rPr>
          <w:rFonts w:ascii="Arial" w:hAnsi="Arial" w:cs="Arial"/>
          <w:i/>
          <w:iCs/>
        </w:rPr>
        <w:t>Microbiology Spectrum, 7</w:t>
      </w:r>
      <w:r>
        <w:rPr>
          <w:rFonts w:ascii="Arial" w:hAnsi="Arial" w:cs="Arial"/>
        </w:rPr>
        <w:t>(3). https://doi.org/10.1128/microbiolspec.UTI-0014-2018</w:t>
      </w:r>
    </w:p>
    <w:p w14:paraId="7071D540" w14:textId="77777777" w:rsidR="00B92597" w:rsidRDefault="00B92597" w:rsidP="00B92597">
      <w:pPr>
        <w:spacing w:before="100" w:beforeAutospacing="1" w:after="100" w:afterAutospacing="1"/>
        <w:ind w:left="720" w:hanging="720"/>
        <w:jc w:val="both"/>
        <w:rPr>
          <w:rFonts w:ascii="Arial" w:hAnsi="Arial" w:cs="Arial"/>
        </w:rPr>
      </w:pPr>
      <w:proofErr w:type="spellStart"/>
      <w:r>
        <w:rPr>
          <w:rFonts w:ascii="Arial" w:hAnsi="Arial" w:cs="Arial"/>
        </w:rPr>
        <w:t>Tandogdu</w:t>
      </w:r>
      <w:proofErr w:type="spellEnd"/>
      <w:r>
        <w:rPr>
          <w:rFonts w:ascii="Arial" w:hAnsi="Arial" w:cs="Arial"/>
        </w:rPr>
        <w:t xml:space="preserve">, Z., &amp; </w:t>
      </w:r>
      <w:proofErr w:type="spellStart"/>
      <w:r>
        <w:rPr>
          <w:rFonts w:ascii="Arial" w:hAnsi="Arial" w:cs="Arial"/>
        </w:rPr>
        <w:t>Wagenlehner</w:t>
      </w:r>
      <w:proofErr w:type="spellEnd"/>
      <w:r>
        <w:rPr>
          <w:rFonts w:ascii="Arial" w:hAnsi="Arial" w:cs="Arial"/>
        </w:rPr>
        <w:t xml:space="preserve">, F. M. E. (2016). Global epidemiology of urinary tract infections. </w:t>
      </w:r>
      <w:r>
        <w:rPr>
          <w:rFonts w:ascii="Arial" w:hAnsi="Arial" w:cs="Arial"/>
          <w:i/>
          <w:iCs/>
        </w:rPr>
        <w:t>Current Opinion in Infectious Diseases, 29</w:t>
      </w:r>
      <w:r>
        <w:rPr>
          <w:rFonts w:ascii="Arial" w:hAnsi="Arial" w:cs="Arial"/>
        </w:rPr>
        <w:t>(1), 73–79. https://doi.org/10.1097/QCO.0000000000000228</w:t>
      </w:r>
    </w:p>
    <w:p w14:paraId="5A0EEC16"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Thapa, R. B., Shrestha, S., Adhikari, P., &amp; Shrestha, R. (2025). Antibiotic resistance patterns in </w:t>
      </w:r>
      <w:proofErr w:type="spellStart"/>
      <w:r>
        <w:rPr>
          <w:rFonts w:ascii="Arial" w:hAnsi="Arial" w:cs="Arial"/>
        </w:rPr>
        <w:t>uropathogens</w:t>
      </w:r>
      <w:proofErr w:type="spellEnd"/>
      <w:r>
        <w:rPr>
          <w:rFonts w:ascii="Arial" w:hAnsi="Arial" w:cs="Arial"/>
        </w:rPr>
        <w:t xml:space="preserve">: Insights from a Nepalese tertiary care setting. </w:t>
      </w:r>
      <w:r>
        <w:rPr>
          <w:rFonts w:ascii="Arial" w:hAnsi="Arial" w:cs="Arial"/>
          <w:i/>
          <w:iCs/>
        </w:rPr>
        <w:t>Therapeutic Advances in Infectious Disease, 12</w:t>
      </w:r>
      <w:r>
        <w:rPr>
          <w:rFonts w:ascii="Arial" w:hAnsi="Arial" w:cs="Arial"/>
        </w:rPr>
        <w:t xml:space="preserve">, 20499361251339383. </w:t>
      </w:r>
      <w:hyperlink r:id="rId25" w:tgtFrame="_new" w:history="1">
        <w:r>
          <w:rPr>
            <w:rStyle w:val="Hyperlink"/>
            <w:rFonts w:ascii="Arial" w:hAnsi="Arial" w:cs="Arial"/>
            <w:color w:val="0000FF"/>
          </w:rPr>
          <w:t>https://doi.org/10.1177/20499361251339383</w:t>
        </w:r>
      </w:hyperlink>
    </w:p>
    <w:p w14:paraId="0984014E"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Tullus, K., &amp; Shaikh, N. (2020). Urinary tract infections in children. </w:t>
      </w:r>
      <w:r>
        <w:rPr>
          <w:rFonts w:ascii="Arial" w:hAnsi="Arial" w:cs="Arial"/>
          <w:i/>
          <w:iCs/>
        </w:rPr>
        <w:t>The Lancet, 395</w:t>
      </w:r>
      <w:r>
        <w:rPr>
          <w:rFonts w:ascii="Arial" w:hAnsi="Arial" w:cs="Arial"/>
        </w:rPr>
        <w:t>(10237), 1659–1668. https://doi.org/10.1016/S0140-6736(20)30676-0</w:t>
      </w:r>
    </w:p>
    <w:p w14:paraId="2832C3BC"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Ugwu, M. C., </w:t>
      </w:r>
      <w:proofErr w:type="spellStart"/>
      <w:r>
        <w:rPr>
          <w:rFonts w:ascii="Arial" w:hAnsi="Arial" w:cs="Arial"/>
        </w:rPr>
        <w:t>Nnoli</w:t>
      </w:r>
      <w:proofErr w:type="spellEnd"/>
      <w:r>
        <w:rPr>
          <w:rFonts w:ascii="Arial" w:hAnsi="Arial" w:cs="Arial"/>
        </w:rPr>
        <w:t xml:space="preserve">, A., </w:t>
      </w:r>
      <w:proofErr w:type="spellStart"/>
      <w:r>
        <w:rPr>
          <w:rFonts w:ascii="Arial" w:hAnsi="Arial" w:cs="Arial"/>
        </w:rPr>
        <w:t>Ezejiegu</w:t>
      </w:r>
      <w:proofErr w:type="spellEnd"/>
      <w:r>
        <w:rPr>
          <w:rFonts w:ascii="Arial" w:hAnsi="Arial" w:cs="Arial"/>
        </w:rPr>
        <w:t xml:space="preserve">, C. K., </w:t>
      </w:r>
      <w:proofErr w:type="spellStart"/>
      <w:r>
        <w:rPr>
          <w:rFonts w:ascii="Arial" w:hAnsi="Arial" w:cs="Arial"/>
        </w:rPr>
        <w:t>Jibuaku</w:t>
      </w:r>
      <w:proofErr w:type="spellEnd"/>
      <w:r>
        <w:rPr>
          <w:rFonts w:ascii="Arial" w:hAnsi="Arial" w:cs="Arial"/>
        </w:rPr>
        <w:t xml:space="preserve">, C., Ogwaluonye, U. C., &amp; </w:t>
      </w:r>
      <w:proofErr w:type="spellStart"/>
      <w:r>
        <w:rPr>
          <w:rFonts w:ascii="Arial" w:hAnsi="Arial" w:cs="Arial"/>
        </w:rPr>
        <w:t>Ejikeugwu</w:t>
      </w:r>
      <w:proofErr w:type="spellEnd"/>
      <w:r>
        <w:rPr>
          <w:rFonts w:ascii="Arial" w:hAnsi="Arial" w:cs="Arial"/>
        </w:rPr>
        <w:t xml:space="preserve">, C. P. (2019). Prevalence and antibiogram of asymptomatic bacteriuria among university students in Nigeria. </w:t>
      </w:r>
      <w:r>
        <w:rPr>
          <w:rFonts w:ascii="Arial" w:hAnsi="Arial" w:cs="Arial"/>
          <w:i/>
          <w:iCs/>
        </w:rPr>
        <w:t>Annals of Clinical Immunology and Microbiology, 1</w:t>
      </w:r>
      <w:r>
        <w:rPr>
          <w:rFonts w:ascii="Arial" w:hAnsi="Arial" w:cs="Arial"/>
        </w:rPr>
        <w:t>(2), 1–4.</w:t>
      </w:r>
    </w:p>
    <w:p w14:paraId="3E8BD831"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Van Duijn, P. J., </w:t>
      </w:r>
      <w:proofErr w:type="spellStart"/>
      <w:r>
        <w:rPr>
          <w:rFonts w:ascii="Arial" w:hAnsi="Arial" w:cs="Arial"/>
        </w:rPr>
        <w:t>Dautzenberg</w:t>
      </w:r>
      <w:proofErr w:type="spellEnd"/>
      <w:r>
        <w:rPr>
          <w:rFonts w:ascii="Arial" w:hAnsi="Arial" w:cs="Arial"/>
        </w:rPr>
        <w:t xml:space="preserve">, M. J., &amp; </w:t>
      </w:r>
      <w:proofErr w:type="spellStart"/>
      <w:r>
        <w:rPr>
          <w:rFonts w:ascii="Arial" w:hAnsi="Arial" w:cs="Arial"/>
        </w:rPr>
        <w:t>Oostdijk</w:t>
      </w:r>
      <w:proofErr w:type="spellEnd"/>
      <w:r>
        <w:rPr>
          <w:rFonts w:ascii="Arial" w:hAnsi="Arial" w:cs="Arial"/>
        </w:rPr>
        <w:t xml:space="preserve">, E. A. (2011). Recent trends in antibiotic resistance in European ICUs. </w:t>
      </w:r>
      <w:r>
        <w:rPr>
          <w:rFonts w:ascii="Arial" w:hAnsi="Arial" w:cs="Arial"/>
          <w:i/>
          <w:iCs/>
        </w:rPr>
        <w:t>Current Opinion in Critical Care, 17</w:t>
      </w:r>
      <w:r>
        <w:rPr>
          <w:rFonts w:ascii="Arial" w:hAnsi="Arial" w:cs="Arial"/>
        </w:rPr>
        <w:t>(6), 658–665.</w:t>
      </w:r>
    </w:p>
    <w:p w14:paraId="15F1A1ED"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Vásquez, V., Ampuero, D., &amp; Padilla, B. (2017). Urinary tract infections in inpatients: A clinical challenge. </w:t>
      </w:r>
      <w:proofErr w:type="spellStart"/>
      <w:r>
        <w:rPr>
          <w:rFonts w:ascii="Arial" w:hAnsi="Arial" w:cs="Arial"/>
          <w:i/>
          <w:iCs/>
        </w:rPr>
        <w:t>Revista</w:t>
      </w:r>
      <w:proofErr w:type="spellEnd"/>
      <w:r>
        <w:rPr>
          <w:rFonts w:ascii="Arial" w:hAnsi="Arial" w:cs="Arial"/>
          <w:i/>
          <w:iCs/>
        </w:rPr>
        <w:t xml:space="preserve"> Española de </w:t>
      </w:r>
      <w:proofErr w:type="spellStart"/>
      <w:r>
        <w:rPr>
          <w:rFonts w:ascii="Arial" w:hAnsi="Arial" w:cs="Arial"/>
          <w:i/>
          <w:iCs/>
        </w:rPr>
        <w:t>Quimioterapia</w:t>
      </w:r>
      <w:proofErr w:type="spellEnd"/>
      <w:r>
        <w:rPr>
          <w:rFonts w:ascii="Arial" w:hAnsi="Arial" w:cs="Arial"/>
          <w:i/>
          <w:iCs/>
        </w:rPr>
        <w:t>, 30</w:t>
      </w:r>
      <w:r>
        <w:rPr>
          <w:rFonts w:ascii="Arial" w:hAnsi="Arial" w:cs="Arial"/>
        </w:rPr>
        <w:t>(1), 39–41.</w:t>
      </w:r>
    </w:p>
    <w:p w14:paraId="71DDB791" w14:textId="77777777" w:rsidR="00B92597" w:rsidRDefault="00B92597" w:rsidP="00B92597">
      <w:pPr>
        <w:spacing w:before="100" w:beforeAutospacing="1" w:after="100" w:afterAutospacing="1"/>
        <w:ind w:left="720" w:hanging="720"/>
        <w:jc w:val="both"/>
        <w:rPr>
          <w:rFonts w:ascii="Arial" w:hAnsi="Arial" w:cs="Arial"/>
        </w:rPr>
      </w:pPr>
      <w:proofErr w:type="spellStart"/>
      <w:r>
        <w:rPr>
          <w:rFonts w:ascii="Arial" w:hAnsi="Arial" w:cs="Arial"/>
        </w:rPr>
        <w:t>Wagenlehner</w:t>
      </w:r>
      <w:proofErr w:type="spellEnd"/>
      <w:r>
        <w:rPr>
          <w:rFonts w:ascii="Arial" w:hAnsi="Arial" w:cs="Arial"/>
        </w:rPr>
        <w:t xml:space="preserve">, F. M. E., Cek, M., Naber, K. G., Kiyota, H., &amp; </w:t>
      </w:r>
      <w:proofErr w:type="spellStart"/>
      <w:r>
        <w:rPr>
          <w:rFonts w:ascii="Arial" w:hAnsi="Arial" w:cs="Arial"/>
        </w:rPr>
        <w:t>Bjerklund</w:t>
      </w:r>
      <w:proofErr w:type="spellEnd"/>
      <w:r>
        <w:rPr>
          <w:rFonts w:ascii="Arial" w:hAnsi="Arial" w:cs="Arial"/>
        </w:rPr>
        <w:t xml:space="preserve">-Johansen, T. E. (2012). Epidemiology, treatment and prevention of healthcare-associated urinary tract infections. </w:t>
      </w:r>
      <w:r>
        <w:rPr>
          <w:rFonts w:ascii="Arial" w:hAnsi="Arial" w:cs="Arial"/>
          <w:i/>
          <w:iCs/>
        </w:rPr>
        <w:t>World Journal of Urology, 30</w:t>
      </w:r>
      <w:r>
        <w:rPr>
          <w:rFonts w:ascii="Arial" w:hAnsi="Arial" w:cs="Arial"/>
        </w:rPr>
        <w:t>(1), 59–67.</w:t>
      </w:r>
    </w:p>
    <w:p w14:paraId="61D837E6"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Whelan, S., Lucey, B., &amp; Finn, K. (2023). </w:t>
      </w:r>
      <w:proofErr w:type="spellStart"/>
      <w:r>
        <w:rPr>
          <w:rFonts w:ascii="Arial" w:hAnsi="Arial" w:cs="Arial"/>
        </w:rPr>
        <w:t>Uropathogenic</w:t>
      </w:r>
      <w:proofErr w:type="spellEnd"/>
      <w:r>
        <w:rPr>
          <w:rFonts w:ascii="Arial" w:hAnsi="Arial" w:cs="Arial"/>
        </w:rPr>
        <w:t xml:space="preserve"> </w:t>
      </w:r>
      <w:r>
        <w:rPr>
          <w:rFonts w:ascii="Arial" w:hAnsi="Arial" w:cs="Arial"/>
          <w:i/>
          <w:iCs/>
        </w:rPr>
        <w:t>Escherichia coli</w:t>
      </w:r>
      <w:r>
        <w:rPr>
          <w:rFonts w:ascii="Arial" w:hAnsi="Arial" w:cs="Arial"/>
        </w:rPr>
        <w:t xml:space="preserve"> (UPEC)-associated urinary tract infections: The molecular basis for challenges to effective treatment. </w:t>
      </w:r>
      <w:r>
        <w:rPr>
          <w:rFonts w:ascii="Arial" w:hAnsi="Arial" w:cs="Arial"/>
          <w:i/>
          <w:iCs/>
        </w:rPr>
        <w:t>Microorganisms, 11</w:t>
      </w:r>
      <w:r>
        <w:rPr>
          <w:rFonts w:ascii="Arial" w:hAnsi="Arial" w:cs="Arial"/>
        </w:rPr>
        <w:t xml:space="preserve">(9), 2169. </w:t>
      </w:r>
      <w:hyperlink r:id="rId26" w:tgtFrame="_new" w:history="1">
        <w:r>
          <w:rPr>
            <w:rStyle w:val="Hyperlink"/>
            <w:rFonts w:ascii="Arial" w:hAnsi="Arial" w:cs="Arial"/>
            <w:color w:val="0000FF"/>
          </w:rPr>
          <w:t>https://doi.org/10.3390/microorganisms11092169</w:t>
        </w:r>
      </w:hyperlink>
    </w:p>
    <w:p w14:paraId="3EE56712" w14:textId="77777777" w:rsidR="00B92597" w:rsidRDefault="00B92597" w:rsidP="00B92597">
      <w:pPr>
        <w:spacing w:before="100" w:beforeAutospacing="1" w:after="100" w:afterAutospacing="1"/>
        <w:ind w:left="720" w:hanging="720"/>
        <w:jc w:val="both"/>
        <w:rPr>
          <w:rFonts w:ascii="Arial" w:hAnsi="Arial" w:cs="Arial"/>
        </w:rPr>
      </w:pPr>
      <w:proofErr w:type="spellStart"/>
      <w:r>
        <w:rPr>
          <w:rFonts w:ascii="Arial" w:hAnsi="Arial" w:cs="Arial"/>
        </w:rPr>
        <w:t>Zagaglia</w:t>
      </w:r>
      <w:proofErr w:type="spellEnd"/>
      <w:r>
        <w:rPr>
          <w:rFonts w:ascii="Arial" w:hAnsi="Arial" w:cs="Arial"/>
        </w:rPr>
        <w:t xml:space="preserve">, C., </w:t>
      </w:r>
      <w:proofErr w:type="spellStart"/>
      <w:r>
        <w:rPr>
          <w:rFonts w:ascii="Arial" w:hAnsi="Arial" w:cs="Arial"/>
        </w:rPr>
        <w:t>Ammendolia</w:t>
      </w:r>
      <w:proofErr w:type="spellEnd"/>
      <w:r>
        <w:rPr>
          <w:rFonts w:ascii="Arial" w:hAnsi="Arial" w:cs="Arial"/>
        </w:rPr>
        <w:t xml:space="preserve">, M. G., Maurizi, L., Nicoletti, M., &amp; Longhi, C. (2022). Urinary tract infections caused by </w:t>
      </w:r>
      <w:proofErr w:type="spellStart"/>
      <w:r>
        <w:rPr>
          <w:rFonts w:ascii="Arial" w:hAnsi="Arial" w:cs="Arial"/>
        </w:rPr>
        <w:t>uropathogenic</w:t>
      </w:r>
      <w:proofErr w:type="spellEnd"/>
      <w:r>
        <w:rPr>
          <w:rFonts w:ascii="Arial" w:hAnsi="Arial" w:cs="Arial"/>
        </w:rPr>
        <w:t xml:space="preserve"> </w:t>
      </w:r>
      <w:r>
        <w:rPr>
          <w:rFonts w:ascii="Arial" w:hAnsi="Arial" w:cs="Arial"/>
          <w:i/>
          <w:iCs/>
        </w:rPr>
        <w:t>Escherichia coli</w:t>
      </w:r>
      <w:r>
        <w:rPr>
          <w:rFonts w:ascii="Arial" w:hAnsi="Arial" w:cs="Arial"/>
        </w:rPr>
        <w:t xml:space="preserve"> strains: New strategies for an old pathogen. </w:t>
      </w:r>
      <w:r>
        <w:rPr>
          <w:rFonts w:ascii="Arial" w:hAnsi="Arial" w:cs="Arial"/>
          <w:i/>
          <w:iCs/>
        </w:rPr>
        <w:t>Microorganisms, 10</w:t>
      </w:r>
      <w:r>
        <w:rPr>
          <w:rFonts w:ascii="Arial" w:hAnsi="Arial" w:cs="Arial"/>
        </w:rPr>
        <w:t xml:space="preserve">(7), 1425. </w:t>
      </w:r>
      <w:hyperlink r:id="rId27" w:tgtFrame="_new" w:history="1">
        <w:r>
          <w:rPr>
            <w:rStyle w:val="Hyperlink"/>
            <w:rFonts w:ascii="Arial" w:hAnsi="Arial" w:cs="Arial"/>
            <w:color w:val="0000FF"/>
          </w:rPr>
          <w:t>https://doi.org/10.3390/microorganisms10071425</w:t>
        </w:r>
      </w:hyperlink>
    </w:p>
    <w:p w14:paraId="01AFE254"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Zalina, N., </w:t>
      </w:r>
      <w:proofErr w:type="spellStart"/>
      <w:r>
        <w:rPr>
          <w:rFonts w:ascii="Arial" w:hAnsi="Arial" w:cs="Arial"/>
        </w:rPr>
        <w:t>Aruku</w:t>
      </w:r>
      <w:proofErr w:type="spellEnd"/>
      <w:r>
        <w:rPr>
          <w:rFonts w:ascii="Arial" w:hAnsi="Arial" w:cs="Arial"/>
        </w:rPr>
        <w:t xml:space="preserve">, N., Azura, N., Shahida, N., </w:t>
      </w:r>
      <w:proofErr w:type="spellStart"/>
      <w:r>
        <w:rPr>
          <w:rFonts w:ascii="Arial" w:hAnsi="Arial" w:cs="Arial"/>
        </w:rPr>
        <w:t>Akhmarina</w:t>
      </w:r>
      <w:proofErr w:type="spellEnd"/>
      <w:r>
        <w:rPr>
          <w:rFonts w:ascii="Arial" w:hAnsi="Arial" w:cs="Arial"/>
        </w:rPr>
        <w:t xml:space="preserve">, N., &amp; Dian, F. (2011). Prevalence of lower urinary tract symptoms (LUTS) among young medical population. </w:t>
      </w:r>
      <w:r>
        <w:rPr>
          <w:rFonts w:ascii="Arial" w:hAnsi="Arial" w:cs="Arial"/>
          <w:i/>
          <w:iCs/>
        </w:rPr>
        <w:t>IIUM Medical Journal Malaysia, 10</w:t>
      </w:r>
      <w:r>
        <w:rPr>
          <w:rFonts w:ascii="Arial" w:hAnsi="Arial" w:cs="Arial"/>
        </w:rPr>
        <w:t xml:space="preserve">(1). </w:t>
      </w:r>
      <w:hyperlink r:id="rId28" w:tgtFrame="_new" w:history="1">
        <w:r>
          <w:rPr>
            <w:rStyle w:val="Hyperlink"/>
            <w:rFonts w:ascii="Arial" w:hAnsi="Arial" w:cs="Arial"/>
            <w:color w:val="0000FF"/>
          </w:rPr>
          <w:t>https://doi.org/10.31436/imjm.v10i1.700</w:t>
        </w:r>
      </w:hyperlink>
    </w:p>
    <w:p w14:paraId="538A5A40"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Zalina, N., </w:t>
      </w:r>
      <w:proofErr w:type="spellStart"/>
      <w:r>
        <w:rPr>
          <w:rFonts w:ascii="Arial" w:hAnsi="Arial" w:cs="Arial"/>
        </w:rPr>
        <w:t>Aruku</w:t>
      </w:r>
      <w:proofErr w:type="spellEnd"/>
      <w:r>
        <w:rPr>
          <w:rFonts w:ascii="Arial" w:hAnsi="Arial" w:cs="Arial"/>
        </w:rPr>
        <w:t xml:space="preserve">, N., Azura, N., Shahida, N., </w:t>
      </w:r>
      <w:proofErr w:type="spellStart"/>
      <w:r>
        <w:rPr>
          <w:rFonts w:ascii="Arial" w:hAnsi="Arial" w:cs="Arial"/>
        </w:rPr>
        <w:t>Akhmarina</w:t>
      </w:r>
      <w:proofErr w:type="spellEnd"/>
      <w:r>
        <w:rPr>
          <w:rFonts w:ascii="Arial" w:hAnsi="Arial" w:cs="Arial"/>
        </w:rPr>
        <w:t xml:space="preserve">, N., &amp; Dian, F. (2011). Prevalence of lower urinary tract symptoms among young medical population. </w:t>
      </w:r>
      <w:r>
        <w:rPr>
          <w:rFonts w:ascii="Arial" w:hAnsi="Arial" w:cs="Arial"/>
          <w:i/>
          <w:iCs/>
        </w:rPr>
        <w:t>IIUM Medical Journal Malaysia, 10</w:t>
      </w:r>
      <w:r>
        <w:rPr>
          <w:rFonts w:ascii="Arial" w:hAnsi="Arial" w:cs="Arial"/>
        </w:rPr>
        <w:t>(1), 7–15.</w:t>
      </w:r>
    </w:p>
    <w:p w14:paraId="7DB529C2" w14:textId="77777777" w:rsidR="00B92597" w:rsidRDefault="00B92597" w:rsidP="00B92597">
      <w:pPr>
        <w:spacing w:before="100" w:beforeAutospacing="1" w:after="100" w:afterAutospacing="1"/>
        <w:ind w:left="720" w:hanging="720"/>
        <w:jc w:val="both"/>
        <w:rPr>
          <w:rFonts w:ascii="Arial" w:hAnsi="Arial" w:cs="Arial"/>
        </w:rPr>
      </w:pPr>
      <w:r>
        <w:rPr>
          <w:rFonts w:ascii="Arial" w:hAnsi="Arial" w:cs="Arial"/>
        </w:rPr>
        <w:t xml:space="preserve">Zhou, Y., Zhou, Z., Zheng, L., Gong, Z., Li, Y., Jin, Y., Huang, Y., &amp; Chi, M. (2023). Urinary tract infections caused by </w:t>
      </w:r>
      <w:proofErr w:type="spellStart"/>
      <w:r>
        <w:rPr>
          <w:rFonts w:ascii="Arial" w:hAnsi="Arial" w:cs="Arial"/>
        </w:rPr>
        <w:t>uropathogenic</w:t>
      </w:r>
      <w:proofErr w:type="spellEnd"/>
      <w:r>
        <w:rPr>
          <w:rFonts w:ascii="Arial" w:hAnsi="Arial" w:cs="Arial"/>
        </w:rPr>
        <w:t xml:space="preserve"> </w:t>
      </w:r>
      <w:r>
        <w:rPr>
          <w:rFonts w:ascii="Arial" w:hAnsi="Arial" w:cs="Arial"/>
          <w:i/>
          <w:iCs/>
        </w:rPr>
        <w:t>Escherichia coli</w:t>
      </w:r>
      <w:r>
        <w:rPr>
          <w:rFonts w:ascii="Arial" w:hAnsi="Arial" w:cs="Arial"/>
        </w:rPr>
        <w:t xml:space="preserve">: Mechanisms of infection and treatment options. </w:t>
      </w:r>
      <w:r>
        <w:rPr>
          <w:rFonts w:ascii="Arial" w:hAnsi="Arial" w:cs="Arial"/>
          <w:i/>
          <w:iCs/>
        </w:rPr>
        <w:t>International Journal of Molecular Sciences, 24</w:t>
      </w:r>
      <w:r>
        <w:rPr>
          <w:rFonts w:ascii="Arial" w:hAnsi="Arial" w:cs="Arial"/>
        </w:rPr>
        <w:t xml:space="preserve">(13), 10537. </w:t>
      </w:r>
      <w:hyperlink r:id="rId29" w:tgtFrame="_new" w:history="1">
        <w:r>
          <w:rPr>
            <w:rStyle w:val="Hyperlink"/>
            <w:rFonts w:ascii="Arial" w:hAnsi="Arial" w:cs="Arial"/>
            <w:color w:val="0000FF"/>
          </w:rPr>
          <w:t>https://doi.org/10.3390/ijms241310537</w:t>
        </w:r>
      </w:hyperlink>
    </w:p>
    <w:p w14:paraId="05E9F4B5" w14:textId="77777777" w:rsidR="00790ADA" w:rsidRPr="00FB3A86" w:rsidRDefault="00790ADA" w:rsidP="00441B6F">
      <w:pPr>
        <w:pStyle w:val="Body"/>
        <w:spacing w:after="0"/>
        <w:rPr>
          <w:rFonts w:ascii="Arial" w:hAnsi="Arial" w:cs="Arial"/>
        </w:rPr>
      </w:pPr>
    </w:p>
    <w:p w14:paraId="4BF60121" w14:textId="77777777" w:rsidR="00B01FCD" w:rsidRPr="00FB3A86" w:rsidRDefault="00B01FCD" w:rsidP="00441B6F">
      <w:pPr>
        <w:pStyle w:val="Appendix"/>
        <w:spacing w:after="0"/>
        <w:jc w:val="both"/>
        <w:rPr>
          <w:rFonts w:ascii="Arial" w:hAnsi="Arial" w:cs="Arial"/>
          <w:b w:val="0"/>
        </w:rPr>
      </w:pPr>
    </w:p>
    <w:sectPr w:rsidR="00B01FCD" w:rsidRPr="00FB3A86" w:rsidSect="008E49E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B05D0" w14:textId="77777777" w:rsidR="00BB4B73" w:rsidRDefault="00BB4B73" w:rsidP="00C37E61">
      <w:r>
        <w:separator/>
      </w:r>
    </w:p>
  </w:endnote>
  <w:endnote w:type="continuationSeparator" w:id="0">
    <w:p w14:paraId="4AD3D377" w14:textId="77777777" w:rsidR="00BB4B73" w:rsidRDefault="00BB4B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214C" w14:textId="77777777" w:rsidR="008E49E1" w:rsidRDefault="008E4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0133E" w14:textId="77777777" w:rsidR="008E49E1" w:rsidRDefault="008E4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B514B" w14:textId="73256EB5" w:rsidR="00754C9A" w:rsidRPr="006E248A" w:rsidRDefault="00754C9A" w:rsidP="006E248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8AD1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0CCAA" w14:textId="77777777" w:rsidR="00BB4B73" w:rsidRDefault="00BB4B73" w:rsidP="00C37E61">
      <w:r>
        <w:separator/>
      </w:r>
    </w:p>
  </w:footnote>
  <w:footnote w:type="continuationSeparator" w:id="0">
    <w:p w14:paraId="719443F8" w14:textId="77777777" w:rsidR="00BB4B73" w:rsidRDefault="00BB4B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3314" w14:textId="0F2FE62E" w:rsidR="008E49E1" w:rsidRDefault="008E49E1">
    <w:pPr>
      <w:pStyle w:val="Header"/>
    </w:pPr>
    <w:r>
      <w:rPr>
        <w:noProof/>
      </w:rPr>
      <w:pict w14:anchorId="6C583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068610"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2E70D" w14:textId="6CD741CF" w:rsidR="008E49E1" w:rsidRDefault="008E49E1">
    <w:pPr>
      <w:pStyle w:val="Header"/>
    </w:pPr>
    <w:r>
      <w:rPr>
        <w:noProof/>
      </w:rPr>
      <w:pict w14:anchorId="32EDE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068611"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F8B1" w14:textId="30BFE97E" w:rsidR="00296529" w:rsidRPr="00296529" w:rsidRDefault="008E49E1" w:rsidP="00296529">
    <w:pPr>
      <w:ind w:left="2160"/>
      <w:jc w:val="center"/>
      <w:rPr>
        <w:rFonts w:ascii="Times New Roman" w:eastAsia="Calibri" w:hAnsi="Times New Roman"/>
        <w:i/>
        <w:sz w:val="18"/>
        <w:szCs w:val="22"/>
      </w:rPr>
    </w:pPr>
    <w:r>
      <w:rPr>
        <w:noProof/>
      </w:rPr>
      <w:pict w14:anchorId="61A5C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068609"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369BB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01317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D3AF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EE384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F186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C7C1D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E5ED4" w14:textId="25680F04" w:rsidR="008E49E1" w:rsidRDefault="008E49E1">
    <w:pPr>
      <w:pStyle w:val="Header"/>
    </w:pPr>
    <w:r>
      <w:rPr>
        <w:noProof/>
      </w:rPr>
      <w:pict w14:anchorId="56C38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068613"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42AE" w14:textId="2573EBD9" w:rsidR="008E49E1" w:rsidRDefault="008E49E1">
    <w:pPr>
      <w:pStyle w:val="Header"/>
    </w:pPr>
    <w:r>
      <w:rPr>
        <w:noProof/>
      </w:rPr>
      <w:pict w14:anchorId="1FE81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068614"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B1F4D" w14:textId="55EBF355" w:rsidR="008E49E1" w:rsidRDefault="008E49E1">
    <w:pPr>
      <w:pStyle w:val="Header"/>
    </w:pPr>
    <w:r>
      <w:rPr>
        <w:noProof/>
      </w:rPr>
      <w:pict w14:anchorId="41438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068612"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2E88"/>
    <w:rsid w:val="000D2FDA"/>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39A9"/>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C79CA"/>
    <w:rsid w:val="003E2904"/>
    <w:rsid w:val="00401927"/>
    <w:rsid w:val="00405F5B"/>
    <w:rsid w:val="0041027F"/>
    <w:rsid w:val="00412475"/>
    <w:rsid w:val="00423789"/>
    <w:rsid w:val="00440F43"/>
    <w:rsid w:val="00441B6F"/>
    <w:rsid w:val="00446221"/>
    <w:rsid w:val="00450E62"/>
    <w:rsid w:val="004539DB"/>
    <w:rsid w:val="00471A80"/>
    <w:rsid w:val="00480C00"/>
    <w:rsid w:val="004A5E4C"/>
    <w:rsid w:val="004B3E0E"/>
    <w:rsid w:val="004C4810"/>
    <w:rsid w:val="004D305E"/>
    <w:rsid w:val="004D4277"/>
    <w:rsid w:val="00502516"/>
    <w:rsid w:val="00505F06"/>
    <w:rsid w:val="00506828"/>
    <w:rsid w:val="0053056E"/>
    <w:rsid w:val="00554FDA"/>
    <w:rsid w:val="00562778"/>
    <w:rsid w:val="005B4EE5"/>
    <w:rsid w:val="005C784C"/>
    <w:rsid w:val="005D17F6"/>
    <w:rsid w:val="005E5539"/>
    <w:rsid w:val="00602BF5"/>
    <w:rsid w:val="00617FDD"/>
    <w:rsid w:val="00633614"/>
    <w:rsid w:val="00633F68"/>
    <w:rsid w:val="00636EB2"/>
    <w:rsid w:val="006375B8"/>
    <w:rsid w:val="006470EA"/>
    <w:rsid w:val="0066510A"/>
    <w:rsid w:val="00673F9F"/>
    <w:rsid w:val="00686953"/>
    <w:rsid w:val="00687DEA"/>
    <w:rsid w:val="00687E67"/>
    <w:rsid w:val="006967F7"/>
    <w:rsid w:val="006A250C"/>
    <w:rsid w:val="006B21D3"/>
    <w:rsid w:val="006B57D0"/>
    <w:rsid w:val="006C5AB0"/>
    <w:rsid w:val="006D30FF"/>
    <w:rsid w:val="006D6940"/>
    <w:rsid w:val="006E248A"/>
    <w:rsid w:val="006F11EC"/>
    <w:rsid w:val="0070082C"/>
    <w:rsid w:val="007369E6"/>
    <w:rsid w:val="00746E59"/>
    <w:rsid w:val="00750688"/>
    <w:rsid w:val="00754C9A"/>
    <w:rsid w:val="0075599A"/>
    <w:rsid w:val="00761D52"/>
    <w:rsid w:val="0077749E"/>
    <w:rsid w:val="00790ADA"/>
    <w:rsid w:val="007D2288"/>
    <w:rsid w:val="007E088F"/>
    <w:rsid w:val="007F7B32"/>
    <w:rsid w:val="007F7CC3"/>
    <w:rsid w:val="00804BC2"/>
    <w:rsid w:val="0081431A"/>
    <w:rsid w:val="00823DDC"/>
    <w:rsid w:val="0083216F"/>
    <w:rsid w:val="00860000"/>
    <w:rsid w:val="0086100A"/>
    <w:rsid w:val="00863BD3"/>
    <w:rsid w:val="008641ED"/>
    <w:rsid w:val="00866D66"/>
    <w:rsid w:val="008671C6"/>
    <w:rsid w:val="00875803"/>
    <w:rsid w:val="0088305A"/>
    <w:rsid w:val="008B459E"/>
    <w:rsid w:val="008E13AE"/>
    <w:rsid w:val="008E1506"/>
    <w:rsid w:val="008E49E1"/>
    <w:rsid w:val="008E5215"/>
    <w:rsid w:val="008E710C"/>
    <w:rsid w:val="008F69D6"/>
    <w:rsid w:val="00902823"/>
    <w:rsid w:val="00915CA6"/>
    <w:rsid w:val="00927834"/>
    <w:rsid w:val="009500A6"/>
    <w:rsid w:val="009545FD"/>
    <w:rsid w:val="00957C18"/>
    <w:rsid w:val="009659BA"/>
    <w:rsid w:val="00983040"/>
    <w:rsid w:val="0098508B"/>
    <w:rsid w:val="00992EFB"/>
    <w:rsid w:val="009B3FB9"/>
    <w:rsid w:val="009C2465"/>
    <w:rsid w:val="009D35A0"/>
    <w:rsid w:val="009D7EB7"/>
    <w:rsid w:val="009E048A"/>
    <w:rsid w:val="009E08E9"/>
    <w:rsid w:val="009E3DB9"/>
    <w:rsid w:val="009E6E35"/>
    <w:rsid w:val="009F0EDA"/>
    <w:rsid w:val="00A03B96"/>
    <w:rsid w:val="00A05626"/>
    <w:rsid w:val="00A05B19"/>
    <w:rsid w:val="00A11305"/>
    <w:rsid w:val="00A1134E"/>
    <w:rsid w:val="00A24E7E"/>
    <w:rsid w:val="00A258C3"/>
    <w:rsid w:val="00A347C0"/>
    <w:rsid w:val="00A51431"/>
    <w:rsid w:val="00A539AD"/>
    <w:rsid w:val="00A872AF"/>
    <w:rsid w:val="00A905A1"/>
    <w:rsid w:val="00A94063"/>
    <w:rsid w:val="00AA6219"/>
    <w:rsid w:val="00AA74E0"/>
    <w:rsid w:val="00AB703F"/>
    <w:rsid w:val="00AC6BB8"/>
    <w:rsid w:val="00AE008F"/>
    <w:rsid w:val="00B01FCD"/>
    <w:rsid w:val="00B1776C"/>
    <w:rsid w:val="00B52583"/>
    <w:rsid w:val="00B52896"/>
    <w:rsid w:val="00B914AE"/>
    <w:rsid w:val="00B92597"/>
    <w:rsid w:val="00B95236"/>
    <w:rsid w:val="00B96BD9"/>
    <w:rsid w:val="00BA1B01"/>
    <w:rsid w:val="00BA2641"/>
    <w:rsid w:val="00BB37AA"/>
    <w:rsid w:val="00BB4B73"/>
    <w:rsid w:val="00BC53A0"/>
    <w:rsid w:val="00BE62AD"/>
    <w:rsid w:val="00BF121F"/>
    <w:rsid w:val="00BF1F80"/>
    <w:rsid w:val="00BF31F8"/>
    <w:rsid w:val="00C166EF"/>
    <w:rsid w:val="00C1773A"/>
    <w:rsid w:val="00C17EB0"/>
    <w:rsid w:val="00C27F5F"/>
    <w:rsid w:val="00C30A0F"/>
    <w:rsid w:val="00C37E61"/>
    <w:rsid w:val="00C608F1"/>
    <w:rsid w:val="00C70F1B"/>
    <w:rsid w:val="00C71A47"/>
    <w:rsid w:val="00C7464C"/>
    <w:rsid w:val="00C85588"/>
    <w:rsid w:val="00CC0A29"/>
    <w:rsid w:val="00CD6755"/>
    <w:rsid w:val="00CD6856"/>
    <w:rsid w:val="00CE0089"/>
    <w:rsid w:val="00CE793C"/>
    <w:rsid w:val="00CF193C"/>
    <w:rsid w:val="00D10895"/>
    <w:rsid w:val="00D173F1"/>
    <w:rsid w:val="00D213CC"/>
    <w:rsid w:val="00D44B25"/>
    <w:rsid w:val="00D74CB0"/>
    <w:rsid w:val="00D8295D"/>
    <w:rsid w:val="00DB754E"/>
    <w:rsid w:val="00DC2A65"/>
    <w:rsid w:val="00DE15F0"/>
    <w:rsid w:val="00DE5663"/>
    <w:rsid w:val="00DE78AA"/>
    <w:rsid w:val="00E053D0"/>
    <w:rsid w:val="00E0786D"/>
    <w:rsid w:val="00E15994"/>
    <w:rsid w:val="00E25EA2"/>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06CE"/>
    <w:rsid w:val="00F469F0"/>
    <w:rsid w:val="00F53273"/>
    <w:rsid w:val="00F755E4"/>
    <w:rsid w:val="00F77D02"/>
    <w:rsid w:val="00F960FB"/>
    <w:rsid w:val="00FA70C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171"/>
        <o:r id="V:Rule2" type="connector" idref="#_x0000_s1040"/>
        <o:r id="V:Rule3" type="connector" idref="#_x0000_s1041"/>
        <o:r id="V:Rule4" type="connector" idref="#_x0000_s1051"/>
        <o:r id="V:Rule5" type="connector" idref="#_x0000_s1039"/>
        <o:r id="V:Rule6" type="connector" idref="#_x0000_s1053"/>
        <o:r id="V:Rule7" type="connector" idref="#_x0000_s1052"/>
        <o:r id="V:Rule8" type="connector" idref="#_x0000_s1170"/>
        <o:r id="V:Rule9" type="connector" idref="#_x0000_s1169"/>
        <o:r id="V:Rule10" type="connector" idref="#_x0000_s1166"/>
        <o:r id="V:Rule11" type="connector" idref="#_x0000_s1165"/>
        <o:r id="V:Rule12" type="connector" idref="#_x0000_s1167"/>
        <o:r id="V:Rule13" type="connector" idref="#_x0000_s1168"/>
      </o:rules>
    </o:shapelayout>
  </w:shapeDefaults>
  <w:decimalSymbol w:val="."/>
  <w:listSeparator w:val=","/>
  <w14:docId w14:val="2AE3671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E25EA2"/>
    <w:rPr>
      <w:rFonts w:asciiTheme="minorHAnsi" w:eastAsiaTheme="minorHAnsi" w:hAnsiTheme="minorHAnsi" w:cstheme="minorBidi"/>
      <w:sz w:val="22"/>
      <w:szCs w:val="22"/>
    </w:rPr>
  </w:style>
  <w:style w:type="character" w:customStyle="1" w:styleId="NoSpacingChar">
    <w:name w:val="No Spacing Char"/>
    <w:link w:val="NoSpacing"/>
    <w:uiPriority w:val="1"/>
    <w:qFormat/>
    <w:locked/>
    <w:rsid w:val="00E25EA2"/>
    <w:rPr>
      <w:rFonts w:asciiTheme="minorHAnsi" w:eastAsiaTheme="minorHAnsi" w:hAnsiTheme="minorHAnsi" w:cstheme="minorBidi"/>
      <w:sz w:val="22"/>
      <w:szCs w:val="22"/>
    </w:rPr>
  </w:style>
  <w:style w:type="character" w:customStyle="1" w:styleId="A4">
    <w:name w:val="A4"/>
    <w:uiPriority w:val="99"/>
    <w:rsid w:val="00E25EA2"/>
    <w:rPr>
      <w:i/>
      <w:iCs/>
      <w:color w:val="000000"/>
      <w:sz w:val="14"/>
      <w:szCs w:val="14"/>
    </w:rPr>
  </w:style>
  <w:style w:type="paragraph" w:styleId="NormalWeb">
    <w:name w:val="Normal (Web)"/>
    <w:basedOn w:val="Normal"/>
    <w:uiPriority w:val="99"/>
    <w:unhideWhenUsed/>
    <w:rsid w:val="00E25EA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25EA2"/>
    <w:rPr>
      <w:b/>
      <w:bCs/>
    </w:rPr>
  </w:style>
  <w:style w:type="character" w:styleId="HTMLCite">
    <w:name w:val="HTML Cite"/>
    <w:basedOn w:val="DefaultParagraphFont"/>
    <w:uiPriority w:val="99"/>
    <w:semiHidden/>
    <w:unhideWhenUsed/>
    <w:rsid w:val="00E25EA2"/>
    <w:rPr>
      <w:i/>
      <w:iCs/>
    </w:rPr>
  </w:style>
  <w:style w:type="table" w:customStyle="1" w:styleId="TableGrid1">
    <w:name w:val="Table Grid1"/>
    <w:basedOn w:val="TableNormal"/>
    <w:next w:val="TableGrid"/>
    <w:uiPriority w:val="59"/>
    <w:qFormat/>
    <w:rsid w:val="005B4EE5"/>
    <w:rPr>
      <w:rFonts w:ascii="Calibri" w:eastAsia="Calibri" w:hAnsi="Calibr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qFormat/>
    <w:rsid w:val="0088305A"/>
    <w:rPr>
      <w:rFonts w:ascii="Calibri" w:eastAsia="Calibri" w:hAnsi="Calibr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semiHidden/>
    <w:unhideWhenUsed/>
    <w:rsid w:val="00B92597"/>
    <w:rPr>
      <w:rFonts w:ascii="Helvetica" w:hAnsi="Helvetica"/>
      <w:b/>
      <w:bCs/>
      <w:lang w:val="en-US" w:eastAsia="en-US"/>
    </w:rPr>
  </w:style>
  <w:style w:type="character" w:customStyle="1" w:styleId="CommentSubjectChar">
    <w:name w:val="Comment Subject Char"/>
    <w:basedOn w:val="CommentTextChar"/>
    <w:link w:val="CommentSubject"/>
    <w:semiHidden/>
    <w:rsid w:val="00B9259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biology13020078" TargetMode="External"/><Relationship Id="rId26" Type="http://schemas.openxmlformats.org/officeDocument/2006/relationships/hyperlink" Target="https://doi.org/10.3390/microorganisms11092169" TargetMode="External"/><Relationship Id="rId3" Type="http://schemas.openxmlformats.org/officeDocument/2006/relationships/styles" Target="styles.xml"/><Relationship Id="rId21" Type="http://schemas.openxmlformats.org/officeDocument/2006/relationships/hyperlink" Target="https://doi.org/10.1016/j.jgar.2019.07.01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177/20499361251339383"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1016/j.ijid.2018.01.011" TargetMode="External"/><Relationship Id="rId29" Type="http://schemas.openxmlformats.org/officeDocument/2006/relationships/hyperlink" Target="https://doi.org/10.3390/ijms2413105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102/ajlm.v13i1.2268"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3390/microorganisms13040745" TargetMode="External"/><Relationship Id="rId28" Type="http://schemas.openxmlformats.org/officeDocument/2006/relationships/hyperlink" Target="https://doi.org/10.31436/imjm.v10i1.700" TargetMode="External"/><Relationship Id="rId10" Type="http://schemas.openxmlformats.org/officeDocument/2006/relationships/footer" Target="footer1.xml"/><Relationship Id="rId19" Type="http://schemas.openxmlformats.org/officeDocument/2006/relationships/hyperlink" Target="https://doi.org/10.30574/gscbps.2020.13.1.027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38/nrmicro3432" TargetMode="External"/><Relationship Id="rId27" Type="http://schemas.openxmlformats.org/officeDocument/2006/relationships/hyperlink" Target="https://doi.org/10.3390/microorganisms10071425"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FBA76-C5CA-4A30-99FC-2551B541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171</TotalTime>
  <Pages>13</Pages>
  <Words>6241</Words>
  <Characters>35574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41732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33</cp:revision>
  <cp:lastPrinted>1999-07-06T11:00:00Z</cp:lastPrinted>
  <dcterms:created xsi:type="dcterms:W3CDTF">2014-10-25T14:34:00Z</dcterms:created>
  <dcterms:modified xsi:type="dcterms:W3CDTF">2026-03-25T11:38:00Z</dcterms:modified>
</cp:coreProperties>
</file>