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7DCBE" w14:textId="77777777" w:rsidR="006A3BEB" w:rsidRDefault="005A34DE" w:rsidP="007567FA">
      <w:pPr>
        <w:spacing w:after="200" w:line="276" w:lineRule="auto"/>
        <w:jc w:val="both"/>
        <w:rPr>
          <w:b/>
          <w:bCs/>
        </w:rPr>
      </w:pPr>
      <w:r w:rsidRPr="00522806">
        <w:rPr>
          <w:b/>
          <w:bCs/>
        </w:rPr>
        <w:t>Prevalence, Gender and Age Distribution, and Species Characterization of Plasmodium falciparum Malaria at the University of Port Harcourt Primary Health Care Centre</w:t>
      </w:r>
    </w:p>
    <w:p w14:paraId="33CC8EC7" w14:textId="235F2772" w:rsidR="00A817F9" w:rsidRDefault="00A817F9" w:rsidP="007567FA">
      <w:pPr>
        <w:spacing w:after="200" w:line="276" w:lineRule="auto"/>
        <w:jc w:val="both"/>
        <w:rPr>
          <w:b/>
        </w:rPr>
      </w:pPr>
    </w:p>
    <w:p w14:paraId="50300C9B" w14:textId="77777777" w:rsidR="00CB37AD" w:rsidRDefault="00CB37AD" w:rsidP="007567FA">
      <w:pPr>
        <w:spacing w:after="200" w:line="276" w:lineRule="auto"/>
        <w:jc w:val="both"/>
        <w:rPr>
          <w:bCs/>
        </w:rPr>
      </w:pPr>
      <w:bookmarkStart w:id="0" w:name="_GoBack"/>
      <w:bookmarkEnd w:id="0"/>
    </w:p>
    <w:p w14:paraId="73FD4441" w14:textId="77777777" w:rsidR="00301B8E" w:rsidRDefault="00301B8E" w:rsidP="007567FA">
      <w:pPr>
        <w:spacing w:after="200" w:line="276" w:lineRule="auto"/>
        <w:jc w:val="both"/>
        <w:rPr>
          <w:bCs/>
        </w:rPr>
      </w:pPr>
    </w:p>
    <w:p w14:paraId="194F2A56" w14:textId="77777777" w:rsidR="00301B8E" w:rsidRPr="00A817F9" w:rsidRDefault="00301B8E" w:rsidP="007567FA">
      <w:pPr>
        <w:spacing w:after="200" w:line="276" w:lineRule="auto"/>
        <w:jc w:val="both"/>
        <w:rPr>
          <w:bCs/>
        </w:rPr>
      </w:pPr>
    </w:p>
    <w:p w14:paraId="7BFC2A54" w14:textId="498E256F" w:rsidR="00346FD1" w:rsidRPr="006A3BEB" w:rsidRDefault="005A34DE" w:rsidP="007567FA">
      <w:pPr>
        <w:spacing w:after="200" w:line="276" w:lineRule="auto"/>
        <w:jc w:val="both"/>
        <w:rPr>
          <w:b/>
        </w:rPr>
      </w:pPr>
      <w:r w:rsidRPr="006A3BEB">
        <w:rPr>
          <w:b/>
        </w:rPr>
        <w:t>Abstract</w:t>
      </w:r>
    </w:p>
    <w:p w14:paraId="13F0D965" w14:textId="77777777" w:rsidR="00346FD1" w:rsidRPr="00522806" w:rsidRDefault="005A34DE" w:rsidP="007567FA">
      <w:pPr>
        <w:spacing w:before="80" w:after="80" w:line="276" w:lineRule="auto"/>
        <w:jc w:val="both"/>
      </w:pPr>
      <w:r w:rsidRPr="00522806">
        <w:rPr>
          <w:b/>
          <w:bCs/>
        </w:rPr>
        <w:t xml:space="preserve">Background: </w:t>
      </w:r>
      <w:r w:rsidRPr="00522806">
        <w:t xml:space="preserve">Malaria caused by </w:t>
      </w:r>
      <w:r w:rsidRPr="00A1711C">
        <w:rPr>
          <w:i/>
        </w:rPr>
        <w:t>Plasmodium falciparum</w:t>
      </w:r>
      <w:r w:rsidRPr="00522806">
        <w:t xml:space="preserve"> remains a leading cause of morbidity in Rivers State, Nigeria. Accurate local data on malaria prevalence, species distribution, and parasite density patterns are essential for guiding targeted control measures.</w:t>
      </w:r>
    </w:p>
    <w:p w14:paraId="19D0BB5B" w14:textId="77777777" w:rsidR="00346FD1" w:rsidRPr="00522806" w:rsidRDefault="005A34DE" w:rsidP="007567FA">
      <w:pPr>
        <w:spacing w:before="80" w:after="80" w:line="276" w:lineRule="auto"/>
        <w:jc w:val="both"/>
      </w:pPr>
      <w:r w:rsidRPr="00522806">
        <w:rPr>
          <w:b/>
          <w:bCs/>
        </w:rPr>
        <w:t xml:space="preserve">Objective: </w:t>
      </w:r>
      <w:r w:rsidRPr="00522806">
        <w:t xml:space="preserve">To determine the overall prevalence of </w:t>
      </w:r>
      <w:r w:rsidRPr="00A1711C">
        <w:rPr>
          <w:i/>
        </w:rPr>
        <w:t>P</w:t>
      </w:r>
      <w:r w:rsidR="00A1711C" w:rsidRPr="00A1711C">
        <w:rPr>
          <w:i/>
        </w:rPr>
        <w:t>.</w:t>
      </w:r>
      <w:r w:rsidRPr="00A1711C">
        <w:rPr>
          <w:i/>
        </w:rPr>
        <w:t xml:space="preserve"> falciparum</w:t>
      </w:r>
      <w:r w:rsidRPr="00522806">
        <w:t xml:space="preserve"> malaria, evaluate its distribution by gender and age group, characterize the </w:t>
      </w:r>
      <w:r w:rsidRPr="00A1711C">
        <w:rPr>
          <w:i/>
        </w:rPr>
        <w:t>Plasmodium species</w:t>
      </w:r>
      <w:r w:rsidRPr="00522806">
        <w:t xml:space="preserve"> identified, and describe the distribution of parasite density categories among confirmed malaria-positive patients attending Lulu Briggs Health Centre, University of Port Harcourt.</w:t>
      </w:r>
    </w:p>
    <w:p w14:paraId="77B0465B" w14:textId="77777777" w:rsidR="00346FD1" w:rsidRPr="00522806" w:rsidRDefault="005A34DE" w:rsidP="007567FA">
      <w:pPr>
        <w:spacing w:before="80" w:after="80" w:line="276" w:lineRule="auto"/>
        <w:jc w:val="both"/>
      </w:pPr>
      <w:r w:rsidRPr="00522806">
        <w:rPr>
          <w:b/>
          <w:bCs/>
        </w:rPr>
        <w:t xml:space="preserve">Methods: </w:t>
      </w:r>
      <w:r w:rsidRPr="00522806">
        <w:t xml:space="preserve">A cross-sectional hospital-based study was conducted from May to August 2020. A total of 376 blood samples were examined using the </w:t>
      </w:r>
      <w:proofErr w:type="spellStart"/>
      <w:r w:rsidRPr="00522806">
        <w:t>CareStart</w:t>
      </w:r>
      <w:proofErr w:type="spellEnd"/>
      <w:r w:rsidRPr="00522806">
        <w:t xml:space="preserve"> Malaria HRP2 Rapid Diagnostic Test (RDT) and peripheral blood film microscopy with Giemsa staining. Parasite species were identified microscopically, and parasite density was calculated and categorized as Moderate (&gt;1,000–&lt;10,000 parasites/µL) or High (≥10,000 parasites/µL). Statistical analysis was performed using SPSS version 25.0.</w:t>
      </w:r>
    </w:p>
    <w:p w14:paraId="40880905" w14:textId="77777777" w:rsidR="00346FD1" w:rsidRPr="00522806" w:rsidRDefault="005A34DE" w:rsidP="007567FA">
      <w:pPr>
        <w:spacing w:before="80" w:after="80" w:line="276" w:lineRule="auto"/>
        <w:jc w:val="both"/>
      </w:pPr>
      <w:r w:rsidRPr="00522806">
        <w:rPr>
          <w:b/>
          <w:bCs/>
        </w:rPr>
        <w:t xml:space="preserve">Results: </w:t>
      </w:r>
      <w:r w:rsidRPr="00522806">
        <w:t xml:space="preserve">Of 376 samples examined, 20 (5.3%) were positive for malaria. Females had a higher prevalence (7.39%; 15/203) compared to males (2.91%; 5/172). The highest age-specific prevalence was recorded in the 0–14 years group (100%), followed by 15–29 years (5.94%), 30–44 years (5.22%), and 45–59 years (4.62%). No malaria was detected in the ≥60 age group. </w:t>
      </w:r>
      <w:r w:rsidRPr="005A34DE">
        <w:rPr>
          <w:i/>
        </w:rPr>
        <w:t>P. falciparum</w:t>
      </w:r>
      <w:r w:rsidRPr="00522806">
        <w:t xml:space="preserve"> was the predominant species (90%), with </w:t>
      </w:r>
      <w:r w:rsidRPr="005A34DE">
        <w:rPr>
          <w:i/>
        </w:rPr>
        <w:t>P. malariae</w:t>
      </w:r>
      <w:r w:rsidRPr="00522806">
        <w:t xml:space="preserve"> accounting for the remaining 10%. Among positive cases, 70% had high parasite density (≥10,000 parasites/µL) and 30% had moderate parasite density.</w:t>
      </w:r>
    </w:p>
    <w:p w14:paraId="3DCED750" w14:textId="77777777" w:rsidR="00346FD1" w:rsidRPr="00522806" w:rsidRDefault="005A34DE" w:rsidP="007567FA">
      <w:pPr>
        <w:spacing w:before="80" w:after="80" w:line="276" w:lineRule="auto"/>
        <w:jc w:val="both"/>
      </w:pPr>
      <w:r w:rsidRPr="00522806">
        <w:rPr>
          <w:b/>
          <w:bCs/>
        </w:rPr>
        <w:t xml:space="preserve">Conclusion: </w:t>
      </w:r>
      <w:r w:rsidRPr="00522806">
        <w:t xml:space="preserve">Malaria prevalence at Lulu Briggs Health Centre was relatively low (5.3%), possibly reflecting effective local vector control efforts. </w:t>
      </w:r>
      <w:r w:rsidRPr="005A34DE">
        <w:rPr>
          <w:i/>
        </w:rPr>
        <w:t>P. falciparum</w:t>
      </w:r>
      <w:r w:rsidRPr="00522806">
        <w:t xml:space="preserve"> was the dominant species. Females and the 0–14 age group were disproportionately affected. The predominance of high parasite density cases underscores the importance of prompt diagnosis and treatment in this endemic population.</w:t>
      </w:r>
    </w:p>
    <w:p w14:paraId="4326F161" w14:textId="77777777" w:rsidR="00DF7246" w:rsidRDefault="005A34DE" w:rsidP="007567FA">
      <w:pPr>
        <w:spacing w:before="80" w:after="200" w:line="276" w:lineRule="auto"/>
        <w:rPr>
          <w:i/>
          <w:iCs/>
        </w:rPr>
      </w:pPr>
      <w:r w:rsidRPr="00522806">
        <w:rPr>
          <w:b/>
          <w:bCs/>
        </w:rPr>
        <w:t xml:space="preserve">Keywords: </w:t>
      </w:r>
      <w:r w:rsidR="000A3C72" w:rsidRPr="00522806">
        <w:rPr>
          <w:i/>
          <w:iCs/>
        </w:rPr>
        <w:t>Age, blood film microscopy, gender, malaria prevalence, Nigeria, parasite density, Plasmodium falciparum, Plasmodium malariae, Port Harcourt, and RDT</w:t>
      </w:r>
    </w:p>
    <w:p w14:paraId="4806DD7F" w14:textId="77777777" w:rsidR="00346FD1" w:rsidRPr="00DF7246" w:rsidRDefault="005A34DE" w:rsidP="007567FA">
      <w:pPr>
        <w:spacing w:before="80" w:after="200" w:line="276" w:lineRule="auto"/>
        <w:rPr>
          <w:b/>
        </w:rPr>
      </w:pPr>
      <w:r w:rsidRPr="00DF7246">
        <w:rPr>
          <w:b/>
        </w:rPr>
        <w:t>Introduction</w:t>
      </w:r>
    </w:p>
    <w:p w14:paraId="4A6C2103" w14:textId="77777777" w:rsidR="00346FD1" w:rsidRPr="00522806" w:rsidRDefault="005A34DE" w:rsidP="007567FA">
      <w:pPr>
        <w:spacing w:before="100" w:after="100" w:line="276" w:lineRule="auto"/>
        <w:jc w:val="both"/>
      </w:pPr>
      <w:r w:rsidRPr="00522806">
        <w:lastRenderedPageBreak/>
        <w:t xml:space="preserve">Malaria is an acute febrile illness caused by </w:t>
      </w:r>
      <w:r w:rsidRPr="00522806">
        <w:rPr>
          <w:i/>
        </w:rPr>
        <w:t>Plasmodium</w:t>
      </w:r>
      <w:r w:rsidRPr="00522806">
        <w:t xml:space="preserve"> parasites transmitted to humans through the bites of infected female Anopheles mosquitoes. It remains a major global public health burden, with an estimated 219 million cases in 87 countries and approximately 435,000 deaths in 2017 </w:t>
      </w:r>
      <w:r w:rsidR="00375B05">
        <w:t>[1]</w:t>
      </w:r>
      <w:r w:rsidRPr="00522806">
        <w:t xml:space="preserve">. Sub-Saharan Africa bears the most disproportionate burden, accounting for 92% of global malaria cases and 93% of all malaria-related deaths </w:t>
      </w:r>
      <w:r w:rsidR="00DB1C36">
        <w:t>[1]</w:t>
      </w:r>
      <w:r w:rsidRPr="00522806">
        <w:t>. Nigeria contributes substantially to this burden as one of the most malaria-endemic countries in the African continent.</w:t>
      </w:r>
    </w:p>
    <w:p w14:paraId="313B3BB2" w14:textId="77777777" w:rsidR="00346FD1" w:rsidRPr="00522806" w:rsidRDefault="000A426D" w:rsidP="007567FA">
      <w:pPr>
        <w:spacing w:before="100" w:after="100" w:line="276" w:lineRule="auto"/>
        <w:jc w:val="both"/>
      </w:pPr>
      <w:r>
        <w:t>There are f</w:t>
      </w:r>
      <w:r w:rsidR="005A34DE" w:rsidRPr="00522806">
        <w:t>ive</w:t>
      </w:r>
      <w:r>
        <w:t xml:space="preserve"> known</w:t>
      </w:r>
      <w:r w:rsidR="005A34DE" w:rsidRPr="00522806">
        <w:t xml:space="preserve"> </w:t>
      </w:r>
      <w:r w:rsidR="005A34DE" w:rsidRPr="000A426D">
        <w:rPr>
          <w:i/>
        </w:rPr>
        <w:t>Plasmodium</w:t>
      </w:r>
      <w:r w:rsidR="005A34DE" w:rsidRPr="00522806">
        <w:t xml:space="preserve"> </w:t>
      </w:r>
      <w:r w:rsidR="005A34DE" w:rsidRPr="007B43B8">
        <w:rPr>
          <w:i/>
        </w:rPr>
        <w:t>species</w:t>
      </w:r>
      <w:r w:rsidR="005A34DE" w:rsidRPr="00522806">
        <w:t xml:space="preserve"> </w:t>
      </w:r>
      <w:r w:rsidR="007B43B8">
        <w:t>that</w:t>
      </w:r>
      <w:r w:rsidR="005A34DE" w:rsidRPr="00522806">
        <w:t xml:space="preserve"> infect humans: </w:t>
      </w:r>
      <w:r w:rsidR="005A34DE" w:rsidRPr="00522806">
        <w:rPr>
          <w:i/>
        </w:rPr>
        <w:t>P. falciparum</w:t>
      </w:r>
      <w:r w:rsidR="005A34DE" w:rsidRPr="00522806">
        <w:t xml:space="preserve">, </w:t>
      </w:r>
      <w:r w:rsidR="005A34DE" w:rsidRPr="00522806">
        <w:rPr>
          <w:i/>
        </w:rPr>
        <w:t>P. vivax</w:t>
      </w:r>
      <w:r w:rsidR="005A34DE" w:rsidRPr="00522806">
        <w:t>, P</w:t>
      </w:r>
      <w:r w:rsidR="005A34DE" w:rsidRPr="00522806">
        <w:rPr>
          <w:i/>
        </w:rPr>
        <w:t xml:space="preserve">. malariae, P. </w:t>
      </w:r>
      <w:proofErr w:type="spellStart"/>
      <w:r w:rsidR="005A34DE" w:rsidRPr="00522806">
        <w:rPr>
          <w:i/>
        </w:rPr>
        <w:t>ovale</w:t>
      </w:r>
      <w:proofErr w:type="spellEnd"/>
      <w:r w:rsidR="005A34DE" w:rsidRPr="00522806">
        <w:rPr>
          <w:i/>
        </w:rPr>
        <w:t>, and P. knowlesi</w:t>
      </w:r>
      <w:r w:rsidR="005A34DE" w:rsidRPr="00522806">
        <w:t xml:space="preserve">. Of these, </w:t>
      </w:r>
      <w:r w:rsidR="005A34DE" w:rsidRPr="00522806">
        <w:rPr>
          <w:i/>
        </w:rPr>
        <w:t>P. falciparum</w:t>
      </w:r>
      <w:r w:rsidR="005A34DE" w:rsidRPr="00522806">
        <w:t xml:space="preserve"> is by far the most clinically dangerous, responsible for the majority of severe malaria and mortality worldwide, particularly in Africa </w:t>
      </w:r>
      <w:r w:rsidR="008A25D6">
        <w:t>[2]</w:t>
      </w:r>
      <w:r w:rsidR="005A34DE" w:rsidRPr="00522806">
        <w:t xml:space="preserve">. </w:t>
      </w:r>
      <w:r w:rsidR="005A34DE" w:rsidRPr="005A34DE">
        <w:rPr>
          <w:i/>
        </w:rPr>
        <w:t>P. falciparum</w:t>
      </w:r>
      <w:r w:rsidR="005A34DE" w:rsidRPr="00522806">
        <w:t xml:space="preserve"> multiplies rapidly within erythrocytes, and infected parasitized red blood cells possess adhesive </w:t>
      </w:r>
      <w:r w:rsidR="00AE6C4D">
        <w:t>features</w:t>
      </w:r>
      <w:r w:rsidR="005A34DE" w:rsidRPr="00522806">
        <w:t xml:space="preserve"> that </w:t>
      </w:r>
      <w:r w:rsidR="00AE6C4D">
        <w:t>lead to</w:t>
      </w:r>
      <w:r w:rsidR="005A34DE" w:rsidRPr="00522806">
        <w:t xml:space="preserve"> vascular occlusion in vital organs, potentially </w:t>
      </w:r>
      <w:r w:rsidR="00471E42">
        <w:t>causing</w:t>
      </w:r>
      <w:r w:rsidR="005A34DE" w:rsidRPr="00522806">
        <w:t xml:space="preserve"> cerebral malaria, severe </w:t>
      </w:r>
      <w:proofErr w:type="spellStart"/>
      <w:r w:rsidR="005A34DE" w:rsidRPr="00522806">
        <w:t>anaemia</w:t>
      </w:r>
      <w:proofErr w:type="spellEnd"/>
      <w:r w:rsidR="005A34DE" w:rsidRPr="00522806">
        <w:t xml:space="preserve">, respiratory distress, and multiorgan failure </w:t>
      </w:r>
      <w:r w:rsidR="00F373C7">
        <w:t>[3,4]</w:t>
      </w:r>
      <w:r w:rsidR="005A34DE" w:rsidRPr="00522806">
        <w:t xml:space="preserve">. </w:t>
      </w:r>
      <w:r w:rsidR="005A34DE" w:rsidRPr="00ED130C">
        <w:rPr>
          <w:i/>
        </w:rPr>
        <w:t>P. malariae</w:t>
      </w:r>
      <w:r w:rsidR="005A34DE" w:rsidRPr="00ED130C">
        <w:t>, while less aggressive, can persist as chronic infection and has been associated with nephrotic syndrome in long-term carriers</w:t>
      </w:r>
      <w:r w:rsidR="00B411E6" w:rsidRPr="00ED130C">
        <w:t xml:space="preserve"> </w:t>
      </w:r>
      <w:r w:rsidR="008C40DD">
        <w:t>[5]</w:t>
      </w:r>
      <w:r w:rsidR="005A34DE" w:rsidRPr="00ED130C">
        <w:t>.</w:t>
      </w:r>
    </w:p>
    <w:p w14:paraId="486DD9B4" w14:textId="77777777" w:rsidR="00346FD1" w:rsidRPr="00522806" w:rsidRDefault="005A34DE" w:rsidP="007567FA">
      <w:pPr>
        <w:spacing w:before="100" w:after="100" w:line="276" w:lineRule="auto"/>
        <w:jc w:val="both"/>
      </w:pPr>
      <w:r w:rsidRPr="00522806">
        <w:t xml:space="preserve">The clinical outcome of </w:t>
      </w:r>
      <w:r w:rsidRPr="00522806">
        <w:rPr>
          <w:i/>
        </w:rPr>
        <w:t>P. falciparum</w:t>
      </w:r>
      <w:r w:rsidRPr="00522806">
        <w:t xml:space="preserve"> infection is strongly influenced by the degree of </w:t>
      </w:r>
      <w:proofErr w:type="spellStart"/>
      <w:r w:rsidRPr="00522806">
        <w:t>parasitaemia</w:t>
      </w:r>
      <w:proofErr w:type="spellEnd"/>
      <w:r w:rsidRPr="00522806">
        <w:t xml:space="preserve">. </w:t>
      </w:r>
      <w:proofErr w:type="spellStart"/>
      <w:r w:rsidRPr="00522806">
        <w:t>Hyperparasitaemia</w:t>
      </w:r>
      <w:proofErr w:type="spellEnd"/>
      <w:r w:rsidRPr="00522806">
        <w:t xml:space="preserve">, defined as more than 5% parasitized erythrocytes, is associated with an </w:t>
      </w:r>
      <w:r w:rsidR="00752602">
        <w:t>increased</w:t>
      </w:r>
      <w:r w:rsidRPr="00522806">
        <w:t xml:space="preserve"> risk of death, </w:t>
      </w:r>
      <w:proofErr w:type="spellStart"/>
      <w:r w:rsidRPr="00522806">
        <w:t>anaemia</w:t>
      </w:r>
      <w:proofErr w:type="spellEnd"/>
      <w:r w:rsidRPr="00522806">
        <w:t xml:space="preserve">, and treatment failure </w:t>
      </w:r>
      <w:r w:rsidR="008C40DD">
        <w:t>[6]</w:t>
      </w:r>
      <w:r w:rsidRPr="00522806">
        <w:t xml:space="preserve">. Patients with greater than 3% </w:t>
      </w:r>
      <w:proofErr w:type="spellStart"/>
      <w:r w:rsidRPr="00522806">
        <w:t>parasitaemia</w:t>
      </w:r>
      <w:proofErr w:type="spellEnd"/>
      <w:r w:rsidRPr="00522806">
        <w:t xml:space="preserve"> are at increased mortality risk, though semi-immune individuals in high-transmission areas may tolerate higher parasite loads with minimal symptoms </w:t>
      </w:r>
      <w:r w:rsidR="008C40DD">
        <w:t>[6]</w:t>
      </w:r>
      <w:r w:rsidRPr="00522806">
        <w:t xml:space="preserve">. This </w:t>
      </w:r>
      <w:r w:rsidR="00453D01" w:rsidRPr="00522806">
        <w:t>difference</w:t>
      </w:r>
      <w:r w:rsidRPr="00522806">
        <w:t xml:space="preserve"> </w:t>
      </w:r>
      <w:r w:rsidR="00453D01" w:rsidRPr="00522806">
        <w:t xml:space="preserve">reveals </w:t>
      </w:r>
      <w:r w:rsidRPr="00522806">
        <w:t xml:space="preserve">the </w:t>
      </w:r>
      <w:r w:rsidR="00674657" w:rsidRPr="00522806">
        <w:t>need for the</w:t>
      </w:r>
      <w:r w:rsidRPr="00522806">
        <w:t xml:space="preserve"> characterizing parasite density distributions within local study populations.</w:t>
      </w:r>
    </w:p>
    <w:p w14:paraId="3945B784" w14:textId="77777777" w:rsidR="00346FD1" w:rsidRPr="00522806" w:rsidRDefault="005A34DE" w:rsidP="007567FA">
      <w:pPr>
        <w:spacing w:before="100" w:after="100" w:line="276" w:lineRule="auto"/>
        <w:jc w:val="both"/>
      </w:pPr>
      <w:r w:rsidRPr="001541D7">
        <w:t>Several demographic factors are known to modulate malaria susceptibility. Children under five years of age, who have yet to develop partial protective immunity, are at greatest risk of severe disease</w:t>
      </w:r>
      <w:r w:rsidR="0013270D" w:rsidRPr="001541D7">
        <w:t xml:space="preserve"> </w:t>
      </w:r>
      <w:r w:rsidR="00F067B2">
        <w:t>[7,8]</w:t>
      </w:r>
      <w:r w:rsidRPr="001541D7">
        <w:t>. Pregnant women, particularly during their first and second pregnancies, are similarly vulnerable due to pregnancy-associated immune modulation and sequestration of infected erythrocytes in the placenta</w:t>
      </w:r>
      <w:r w:rsidR="00892580" w:rsidRPr="001541D7">
        <w:t xml:space="preserve"> </w:t>
      </w:r>
      <w:r w:rsidR="004C0F85">
        <w:t>[9]</w:t>
      </w:r>
      <w:r w:rsidRPr="001541D7">
        <w:t>.</w:t>
      </w:r>
      <w:r w:rsidRPr="00522806">
        <w:t xml:space="preserve"> Non-immune </w:t>
      </w:r>
      <w:proofErr w:type="spellStart"/>
      <w:r w:rsidRPr="00522806">
        <w:t>travellers</w:t>
      </w:r>
      <w:proofErr w:type="spellEnd"/>
      <w:r w:rsidRPr="00522806">
        <w:t xml:space="preserve"> or migrants from low-transmission areas also face elevated risk </w:t>
      </w:r>
      <w:r w:rsidR="007B4149">
        <w:t>[10,11]</w:t>
      </w:r>
      <w:r w:rsidRPr="00522806">
        <w:t xml:space="preserve">. </w:t>
      </w:r>
      <w:r w:rsidR="004038C8">
        <w:t>Following repeated infection, adults in high-transmission areas progressively develops partial immunity</w:t>
      </w:r>
      <w:r w:rsidRPr="00522806">
        <w:t xml:space="preserve">, </w:t>
      </w:r>
      <w:r w:rsidR="004038C8">
        <w:t>which consequently lowers the risk of clinical disease while allowing pe</w:t>
      </w:r>
      <w:r w:rsidR="009C384D">
        <w:t xml:space="preserve">rsistent low-level </w:t>
      </w:r>
      <w:proofErr w:type="spellStart"/>
      <w:r w:rsidR="009C384D">
        <w:t>parasitaemia</w:t>
      </w:r>
      <w:proofErr w:type="spellEnd"/>
      <w:r w:rsidR="009C384D">
        <w:t>.</w:t>
      </w:r>
    </w:p>
    <w:p w14:paraId="429E16B9" w14:textId="77777777" w:rsidR="00346FD1" w:rsidRPr="00522806" w:rsidRDefault="00174501" w:rsidP="007567FA">
      <w:pPr>
        <w:spacing w:before="100" w:after="100" w:line="276" w:lineRule="auto"/>
        <w:jc w:val="both"/>
      </w:pPr>
      <w:r w:rsidRPr="009F2F55">
        <w:t>In Rivers State, Nigeria,</w:t>
      </w:r>
      <w:r w:rsidR="005A34DE" w:rsidRPr="009F2F55">
        <w:t xml:space="preserve"> a </w:t>
      </w:r>
      <w:r w:rsidR="00267915" w:rsidRPr="009F2F55">
        <w:t>highly-prevalent</w:t>
      </w:r>
      <w:r w:rsidR="005A34DE" w:rsidRPr="009F2F55">
        <w:t xml:space="preserve"> </w:t>
      </w:r>
      <w:r w:rsidR="00267915" w:rsidRPr="009F2F55">
        <w:t>setting</w:t>
      </w:r>
      <w:r w:rsidR="005A34DE" w:rsidRPr="009F2F55">
        <w:t xml:space="preserve"> for </w:t>
      </w:r>
      <w:r w:rsidR="005A34DE" w:rsidRPr="009F2F55">
        <w:rPr>
          <w:i/>
        </w:rPr>
        <w:t>P. falciparum</w:t>
      </w:r>
      <w:r w:rsidR="005A34DE" w:rsidRPr="009F2F55">
        <w:t xml:space="preserve"> </w:t>
      </w:r>
      <w:r w:rsidRPr="009F2F55">
        <w:t>,</w:t>
      </w:r>
      <w:r w:rsidR="005A34DE" w:rsidRPr="009F2F55">
        <w:t xml:space="preserve"> the flat terrain intersected by rivers, creeks, and mangrove swamps provides ideal breeding conditions for Anopheles mosquitoes throughout the year</w:t>
      </w:r>
      <w:r w:rsidR="00F52007">
        <w:t xml:space="preserve"> [12]</w:t>
      </w:r>
      <w:r w:rsidR="005A34DE" w:rsidRPr="009F2F55">
        <w:t>. Despite targeted control efforts including insecticide-treated bed nets and larval source management, malaria transmission remains intense in many communities</w:t>
      </w:r>
      <w:r w:rsidR="006C59F1">
        <w:t xml:space="preserve"> [1</w:t>
      </w:r>
      <w:r w:rsidR="00F52007">
        <w:t>3]</w:t>
      </w:r>
      <w:r w:rsidR="005A34DE" w:rsidRPr="009F2F55">
        <w:t>.</w:t>
      </w:r>
      <w:r w:rsidR="005A34DE" w:rsidRPr="00522806">
        <w:t xml:space="preserve"> Data on local malaria prevalence, species composition, and parasite density distribution are essential for monitoring the effectiveness of these interventions and for planning responsive clinical and public health strategies.</w:t>
      </w:r>
    </w:p>
    <w:p w14:paraId="45DA93E5" w14:textId="77777777" w:rsidR="00802154" w:rsidRDefault="005A34DE" w:rsidP="007567FA">
      <w:pPr>
        <w:spacing w:before="100" w:after="100" w:line="276" w:lineRule="auto"/>
        <w:jc w:val="both"/>
      </w:pPr>
      <w:r w:rsidRPr="00522806">
        <w:t xml:space="preserve">This study was therefore designed to determine the overall prevalence of malaria among patients presenting at Lulu Briggs Health Centre, University of Port Harcourt, and to describe the distribution of confirmed cases by gender, age group, </w:t>
      </w:r>
      <w:r w:rsidRPr="00434BDA">
        <w:rPr>
          <w:i/>
        </w:rPr>
        <w:t>Plasmodium species</w:t>
      </w:r>
      <w:r w:rsidRPr="00522806">
        <w:t xml:space="preserve">, and parasite density </w:t>
      </w:r>
      <w:r w:rsidRPr="00522806">
        <w:lastRenderedPageBreak/>
        <w:t>category. This information contributes to the growing evidence base needed to guide malaria control and clinical management in Rivers State.</w:t>
      </w:r>
    </w:p>
    <w:p w14:paraId="6D68861D" w14:textId="77777777" w:rsidR="00346FD1" w:rsidRPr="00522806" w:rsidRDefault="005A34DE" w:rsidP="007567FA">
      <w:pPr>
        <w:spacing w:before="100" w:after="100" w:line="276" w:lineRule="auto"/>
        <w:jc w:val="both"/>
      </w:pPr>
      <w:r w:rsidRPr="00522806">
        <w:rPr>
          <w:b/>
          <w:bCs/>
        </w:rPr>
        <w:t>Materials and Methods</w:t>
      </w:r>
    </w:p>
    <w:p w14:paraId="5DEE0324" w14:textId="77777777" w:rsidR="00346FD1" w:rsidRPr="00522806" w:rsidRDefault="005A34DE" w:rsidP="007567FA">
      <w:pPr>
        <w:spacing w:before="200" w:after="100" w:line="276" w:lineRule="auto"/>
      </w:pPr>
      <w:r w:rsidRPr="00522806">
        <w:rPr>
          <w:b/>
          <w:bCs/>
        </w:rPr>
        <w:t>Study Design and Setting</w:t>
      </w:r>
    </w:p>
    <w:p w14:paraId="0EFB589E" w14:textId="77777777" w:rsidR="00346FD1" w:rsidRPr="00522806" w:rsidRDefault="005A34DE" w:rsidP="007567FA">
      <w:pPr>
        <w:spacing w:before="100" w:after="100" w:line="276" w:lineRule="auto"/>
        <w:jc w:val="both"/>
      </w:pPr>
      <w:r w:rsidRPr="00522806">
        <w:t>A cross-sectional, descriptive, hospital-based study</w:t>
      </w:r>
      <w:r w:rsidR="00434BDA">
        <w:t xml:space="preserve"> technique was utilized</w:t>
      </w:r>
      <w:r w:rsidR="001E2A0F">
        <w:t xml:space="preserve"> in this research</w:t>
      </w:r>
      <w:r w:rsidR="00434BDA">
        <w:t xml:space="preserve">. </w:t>
      </w:r>
      <w:r w:rsidR="00744591" w:rsidRPr="00744591">
        <w:t xml:space="preserve">Data collection spanned May to August 2020, a period coinciding with the peak malaria transmission season in Rivers State and with the COVID-19 pandemic, both of which may have influenced healthcare-seeking </w:t>
      </w:r>
      <w:proofErr w:type="spellStart"/>
      <w:r w:rsidR="00744591" w:rsidRPr="00744591">
        <w:t>behaviours</w:t>
      </w:r>
      <w:proofErr w:type="spellEnd"/>
      <w:r w:rsidR="00744591" w:rsidRPr="00744591">
        <w:t xml:space="preserve"> among the study population.</w:t>
      </w:r>
      <w:r w:rsidRPr="00522806">
        <w:t xml:space="preserve"> The study was </w:t>
      </w:r>
      <w:r w:rsidR="00434BDA">
        <w:t>carried out</w:t>
      </w:r>
      <w:r w:rsidRPr="00522806">
        <w:t xml:space="preserve"> at the University of Port Harcourt Primary Health Care Centr</w:t>
      </w:r>
      <w:r w:rsidR="00434BDA">
        <w:t>e, Lulu Briggs Health Centre, an infrastructure that serves</w:t>
      </w:r>
      <w:r w:rsidRPr="00522806">
        <w:t xml:space="preserve"> a multicultural population of students, academic and non-academic staff, and their </w:t>
      </w:r>
      <w:proofErr w:type="spellStart"/>
      <w:r w:rsidRPr="00522806">
        <w:t>dependants</w:t>
      </w:r>
      <w:proofErr w:type="spellEnd"/>
      <w:r w:rsidRPr="00522806">
        <w:t xml:space="preserve">. The Centre is </w:t>
      </w:r>
      <w:r w:rsidR="00434BDA">
        <w:t>located</w:t>
      </w:r>
      <w:r w:rsidRPr="00522806">
        <w:t xml:space="preserve"> in the Niger Delta region, a geographic area characterized by a flat, riverine topography that creates </w:t>
      </w:r>
      <w:r w:rsidR="00CE0893">
        <w:t>conducive</w:t>
      </w:r>
      <w:r w:rsidRPr="00522806">
        <w:t xml:space="preserve"> </w:t>
      </w:r>
      <w:r w:rsidR="00434BDA">
        <w:t>environment</w:t>
      </w:r>
      <w:r w:rsidRPr="00522806">
        <w:t xml:space="preserve"> for year-round Anopheles mosquito breeding and high-intensity malaria transmission.</w:t>
      </w:r>
    </w:p>
    <w:p w14:paraId="5B836563" w14:textId="77777777" w:rsidR="00346FD1" w:rsidRPr="00522806" w:rsidRDefault="005A34DE" w:rsidP="007567FA">
      <w:pPr>
        <w:spacing w:before="200" w:after="100" w:line="276" w:lineRule="auto"/>
      </w:pPr>
      <w:r w:rsidRPr="00522806">
        <w:rPr>
          <w:b/>
          <w:bCs/>
        </w:rPr>
        <w:t>Data Collection</w:t>
      </w:r>
    </w:p>
    <w:p w14:paraId="5AD56573" w14:textId="77777777" w:rsidR="00346FD1" w:rsidRPr="00522806" w:rsidRDefault="005A34DE" w:rsidP="007567FA">
      <w:pPr>
        <w:spacing w:before="100" w:after="100" w:line="276" w:lineRule="auto"/>
        <w:jc w:val="both"/>
      </w:pPr>
      <w:r w:rsidRPr="00522806">
        <w:t xml:space="preserve">As the study relied solely on blood samples submitted to the laboratory for routine malaria diagnosis, no direct patient contact was required. Patient demographic data including age, sex, and clinical request details were </w:t>
      </w:r>
      <w:r w:rsidR="00913EC8">
        <w:t>obtained</w:t>
      </w:r>
      <w:r w:rsidRPr="00522806">
        <w:t xml:space="preserve"> from the laboratory request forms accompanying each blood sample. All data were handled with strict confidentiality.</w:t>
      </w:r>
    </w:p>
    <w:p w14:paraId="47A1C87D" w14:textId="77777777" w:rsidR="00346FD1" w:rsidRPr="00522806" w:rsidRDefault="005A34DE" w:rsidP="007567FA">
      <w:pPr>
        <w:spacing w:before="200" w:after="100" w:line="276" w:lineRule="auto"/>
      </w:pPr>
      <w:r w:rsidRPr="00522806">
        <w:rPr>
          <w:b/>
          <w:bCs/>
        </w:rPr>
        <w:t>Calculation</w:t>
      </w:r>
      <w:r w:rsidR="00913EC8">
        <w:rPr>
          <w:b/>
          <w:bCs/>
        </w:rPr>
        <w:t xml:space="preserve"> of Sample Size</w:t>
      </w:r>
    </w:p>
    <w:p w14:paraId="249549D7" w14:textId="77777777" w:rsidR="00346FD1" w:rsidRPr="00522806" w:rsidRDefault="005A34DE" w:rsidP="007567FA">
      <w:pPr>
        <w:spacing w:before="100" w:after="100" w:line="276" w:lineRule="auto"/>
        <w:jc w:val="both"/>
      </w:pPr>
      <w:r w:rsidRPr="00522806">
        <w:t>The minimum sample size was estimated using the Daniel (1999) formula for proportions:</w:t>
      </w:r>
    </w:p>
    <w:p w14:paraId="0E3E7C33" w14:textId="77777777" w:rsidR="00346FD1" w:rsidRPr="00522806" w:rsidRDefault="005A34DE" w:rsidP="007567FA">
      <w:pPr>
        <w:spacing w:before="80" w:after="80" w:line="276" w:lineRule="auto"/>
        <w:jc w:val="center"/>
      </w:pPr>
      <w:r w:rsidRPr="00522806">
        <w:t>N = Z²p(1−p) / d²</w:t>
      </w:r>
    </w:p>
    <w:p w14:paraId="0E2F61C2" w14:textId="77777777" w:rsidR="00E11165" w:rsidRDefault="00E11165" w:rsidP="007567FA">
      <w:pPr>
        <w:spacing w:before="200" w:after="100" w:line="276" w:lineRule="auto"/>
        <w:jc w:val="both"/>
      </w:pPr>
      <w:r w:rsidRPr="00E11165">
        <w:t xml:space="preserve">The minimum sample size was computed as 376, derived from a 95% confidence interval (Z = 1.96), a reference prevalence of 43% for the study area (P = 0.43; </w:t>
      </w:r>
      <w:r w:rsidR="005E1F22">
        <w:t>[14]</w:t>
      </w:r>
      <w:r w:rsidRPr="00E11165">
        <w:t>), and an acceptable margin of error of 5% (d = 0.05). Participants were recruited consecutively through blood samples submitted to the laboratory over the study period (May–August 2020) until the required number was attained.</w:t>
      </w:r>
    </w:p>
    <w:p w14:paraId="4AC60FEA" w14:textId="77777777" w:rsidR="00346FD1" w:rsidRPr="00522806" w:rsidRDefault="005A34DE" w:rsidP="007567FA">
      <w:pPr>
        <w:spacing w:before="200" w:after="100" w:line="276" w:lineRule="auto"/>
      </w:pPr>
      <w:r w:rsidRPr="00522806">
        <w:rPr>
          <w:b/>
          <w:bCs/>
        </w:rPr>
        <w:t>Malaria Diagnosis</w:t>
      </w:r>
    </w:p>
    <w:p w14:paraId="2B5D65F1" w14:textId="77777777" w:rsidR="00346FD1" w:rsidRPr="00522806" w:rsidRDefault="005A34DE" w:rsidP="007567FA">
      <w:pPr>
        <w:spacing w:before="100" w:after="100" w:line="276" w:lineRule="auto"/>
        <w:jc w:val="both"/>
      </w:pPr>
      <w:r w:rsidRPr="00522806">
        <w:t xml:space="preserve">All 376 blood samples were first screened using the </w:t>
      </w:r>
      <w:proofErr w:type="spellStart"/>
      <w:r w:rsidRPr="00522806">
        <w:t>CareStart</w:t>
      </w:r>
      <w:proofErr w:type="spellEnd"/>
      <w:r w:rsidRPr="00522806">
        <w:t xml:space="preserve"> Malaria Histidine-Rich Protein 2 (HRP2) Rapid Diagnostic Test kit (</w:t>
      </w:r>
      <w:proofErr w:type="spellStart"/>
      <w:r w:rsidRPr="00522806">
        <w:t>AccessBio</w:t>
      </w:r>
      <w:proofErr w:type="spellEnd"/>
      <w:r w:rsidRPr="00522806">
        <w:t>, Inc., USA), carried out in strict accordance with the manufacturer's instructions. Samples testing positive by RDT were further subjected to peripheral blood film examination to confirm the diagnosis, identify the Plasmodium species, and quantify parasite density.</w:t>
      </w:r>
    </w:p>
    <w:p w14:paraId="391C918A" w14:textId="77777777" w:rsidR="00346FD1" w:rsidRPr="00522806" w:rsidRDefault="005A34DE" w:rsidP="007567FA">
      <w:pPr>
        <w:spacing w:before="100" w:after="100" w:line="276" w:lineRule="auto"/>
        <w:jc w:val="both"/>
      </w:pPr>
      <w:r w:rsidRPr="00522806">
        <w:t xml:space="preserve">Thick and thin peripheral blood films were prepared according to the standard method described by Cheesbrough </w:t>
      </w:r>
      <w:r w:rsidR="005E4DB1">
        <w:t>[15]</w:t>
      </w:r>
      <w:r w:rsidRPr="00522806">
        <w:t xml:space="preserve">. Films were air-dried, fixed with methanol, and stained with 3% Giemsa stain for 30 minutes following WHO </w:t>
      </w:r>
      <w:r w:rsidR="005E4DB1">
        <w:t>[16]</w:t>
      </w:r>
      <w:r w:rsidRPr="00522806">
        <w:t xml:space="preserve"> guidelines. Stained films were examined under oil immersion </w:t>
      </w:r>
      <w:r w:rsidRPr="00522806">
        <w:lastRenderedPageBreak/>
        <w:t>microscopy (×100 objective) by a trained medical laboratory scientist. A film was declared negative after examining at least 200 fields without detecting asexual malaria parasites.</w:t>
      </w:r>
    </w:p>
    <w:p w14:paraId="18081D72" w14:textId="77777777" w:rsidR="00346FD1" w:rsidRPr="00522806" w:rsidRDefault="005A34DE" w:rsidP="007567FA">
      <w:pPr>
        <w:spacing w:before="200" w:after="100" w:line="276" w:lineRule="auto"/>
      </w:pPr>
      <w:r w:rsidRPr="00522806">
        <w:rPr>
          <w:b/>
          <w:bCs/>
        </w:rPr>
        <w:t>Parasite Density Estimation</w:t>
      </w:r>
    </w:p>
    <w:p w14:paraId="0A5E6EBE" w14:textId="77777777" w:rsidR="00346FD1" w:rsidRPr="00522806" w:rsidRDefault="005A34DE" w:rsidP="007567FA">
      <w:pPr>
        <w:spacing w:before="100" w:after="100" w:line="276" w:lineRule="auto"/>
        <w:jc w:val="both"/>
      </w:pPr>
      <w:r w:rsidRPr="00522806">
        <w:t xml:space="preserve">Parasite density (parasites per </w:t>
      </w:r>
      <w:proofErr w:type="spellStart"/>
      <w:r w:rsidRPr="00522806">
        <w:t>microlitre</w:t>
      </w:r>
      <w:proofErr w:type="spellEnd"/>
      <w:r w:rsidRPr="00522806">
        <w:t xml:space="preserve"> of blood) was calculated using the formula: Parasites/µL = Number of parasites × (800</w:t>
      </w:r>
      <w:r w:rsidR="00E020F4">
        <w:t>0</w:t>
      </w:r>
      <w:r w:rsidRPr="00522806">
        <w:t xml:space="preserve"> / Number of WBCs counted) </w:t>
      </w:r>
      <w:r w:rsidR="005E4DB1">
        <w:t>[17]</w:t>
      </w:r>
      <w:r w:rsidRPr="00522806">
        <w:t xml:space="preserve">. Positive cases were </w:t>
      </w:r>
      <w:r w:rsidR="00E11165">
        <w:t>grouped</w:t>
      </w:r>
      <w:r w:rsidRPr="00522806">
        <w:t xml:space="preserve"> by parasite density as follows, based on the classification by </w:t>
      </w:r>
      <w:r w:rsidR="0035033D">
        <w:t>WHO</w:t>
      </w:r>
      <w:r w:rsidRPr="00522806">
        <w:t xml:space="preserve"> </w:t>
      </w:r>
      <w:r w:rsidR="002B4558">
        <w:t>[18]</w:t>
      </w:r>
      <w:r w:rsidRPr="00522806">
        <w:t xml:space="preserve">: Low </w:t>
      </w:r>
      <w:proofErr w:type="spellStart"/>
      <w:r w:rsidRPr="00522806">
        <w:t>parasitaemia</w:t>
      </w:r>
      <w:proofErr w:type="spellEnd"/>
      <w:r w:rsidRPr="00522806">
        <w:t xml:space="preserve">: &lt;1,000 parasites/µL; Moderate </w:t>
      </w:r>
      <w:proofErr w:type="spellStart"/>
      <w:r w:rsidRPr="00522806">
        <w:t>parasitaemia</w:t>
      </w:r>
      <w:proofErr w:type="spellEnd"/>
      <w:r w:rsidRPr="00522806">
        <w:t xml:space="preserve">: &gt;1,000 to &lt;10,000 parasites/µL; and High </w:t>
      </w:r>
      <w:proofErr w:type="spellStart"/>
      <w:r w:rsidRPr="00522806">
        <w:t>parasitaemia</w:t>
      </w:r>
      <w:proofErr w:type="spellEnd"/>
      <w:r w:rsidRPr="00522806">
        <w:t>: ≥10,000 parasites/µL.</w:t>
      </w:r>
    </w:p>
    <w:p w14:paraId="63CB17B5" w14:textId="77777777" w:rsidR="00346FD1" w:rsidRPr="00522806" w:rsidRDefault="005A34DE" w:rsidP="007567FA">
      <w:pPr>
        <w:spacing w:before="200" w:after="100" w:line="276" w:lineRule="auto"/>
      </w:pPr>
      <w:r w:rsidRPr="00522806">
        <w:rPr>
          <w:b/>
          <w:bCs/>
        </w:rPr>
        <w:t>Statistical Analysis</w:t>
      </w:r>
    </w:p>
    <w:p w14:paraId="01596CCD" w14:textId="77777777" w:rsidR="007E68DD" w:rsidRDefault="005A34DE" w:rsidP="007567FA">
      <w:pPr>
        <w:spacing w:before="100" w:after="100" w:line="276" w:lineRule="auto"/>
        <w:jc w:val="both"/>
      </w:pPr>
      <w:r w:rsidRPr="00522806">
        <w:t>Data were entered and analyzed using SPSS version 25.0. Prevalence was expressed as a percentage. Distribution of malaria positivity by sex, age group, Plasmodium species, and parasite density category was summarized using descriptive statistics. Differences in proportions between subgroup</w:t>
      </w:r>
      <w:r w:rsidR="00E11165">
        <w:t>s were noted descriptively. A p&lt;</w:t>
      </w:r>
      <w:r w:rsidRPr="00522806">
        <w:t>0.05 was considered statistically significant where applicable.</w:t>
      </w:r>
    </w:p>
    <w:p w14:paraId="5EAF931E" w14:textId="77777777" w:rsidR="00927888" w:rsidRPr="00927888" w:rsidRDefault="00927888" w:rsidP="007567FA">
      <w:pPr>
        <w:spacing w:before="100" w:after="100" w:line="276" w:lineRule="auto"/>
        <w:jc w:val="both"/>
        <w:rPr>
          <w:b/>
        </w:rPr>
      </w:pPr>
      <w:r w:rsidRPr="00927888">
        <w:rPr>
          <w:b/>
        </w:rPr>
        <w:t>Ethical Clearance</w:t>
      </w:r>
    </w:p>
    <w:p w14:paraId="10ABCAE8" w14:textId="77777777" w:rsidR="00927888" w:rsidRDefault="00927888" w:rsidP="007567FA">
      <w:pPr>
        <w:spacing w:before="100" w:after="100" w:line="276" w:lineRule="auto"/>
        <w:jc w:val="both"/>
      </w:pPr>
      <w:r w:rsidRPr="00522806">
        <w:t xml:space="preserve">Ethical approval for the study was </w:t>
      </w:r>
      <w:r w:rsidR="009467B6">
        <w:t>issued by</w:t>
      </w:r>
      <w:r w:rsidRPr="00522806">
        <w:t xml:space="preserve"> the ethics committees of both the University of Port Harcourt and the University of Port Harcourt Teaching Hospital before</w:t>
      </w:r>
      <w:r w:rsidR="009467B6">
        <w:t xml:space="preserve"> data collection</w:t>
      </w:r>
      <w:r w:rsidRPr="00522806">
        <w:t xml:space="preserve"> commence</w:t>
      </w:r>
      <w:r w:rsidR="009467B6">
        <w:t>d</w:t>
      </w:r>
      <w:r w:rsidRPr="00522806">
        <w:t>.</w:t>
      </w:r>
    </w:p>
    <w:p w14:paraId="2993DF87" w14:textId="77777777" w:rsidR="00346FD1" w:rsidRPr="00522806" w:rsidRDefault="005A34DE" w:rsidP="007567FA">
      <w:pPr>
        <w:spacing w:before="100" w:after="100" w:line="276" w:lineRule="auto"/>
        <w:jc w:val="both"/>
      </w:pPr>
      <w:r w:rsidRPr="00522806">
        <w:rPr>
          <w:b/>
          <w:bCs/>
        </w:rPr>
        <w:t>Results</w:t>
      </w:r>
    </w:p>
    <w:p w14:paraId="28F30F31" w14:textId="77777777" w:rsidR="00346FD1" w:rsidRPr="00522806" w:rsidRDefault="005A34DE" w:rsidP="007567FA">
      <w:pPr>
        <w:spacing w:before="200" w:after="100" w:line="276" w:lineRule="auto"/>
      </w:pPr>
      <w:r w:rsidRPr="00522806">
        <w:rPr>
          <w:b/>
          <w:bCs/>
        </w:rPr>
        <w:t>Overall Prevalence of Malaria</w:t>
      </w:r>
    </w:p>
    <w:p w14:paraId="0F9A99C7" w14:textId="77777777" w:rsidR="00346FD1" w:rsidRPr="00522806" w:rsidRDefault="005A34DE" w:rsidP="007567FA">
      <w:pPr>
        <w:spacing w:before="100" w:after="100" w:line="276" w:lineRule="auto"/>
        <w:jc w:val="both"/>
      </w:pPr>
      <w:r w:rsidRPr="00522806">
        <w:t xml:space="preserve">A total of 376 blood samples were examined for malaria parasites using RDT and peripheral blood film microscopy. Twenty samples (5.3%) were confirmed positive, while 356 (94.7%) were negative. The overall prevalence is presented in Table </w:t>
      </w:r>
      <w:r w:rsidR="00047D01">
        <w:t>1</w:t>
      </w:r>
      <w:r w:rsidRPr="00522806">
        <w:t>.</w:t>
      </w:r>
    </w:p>
    <w:p w14:paraId="390A2C01" w14:textId="77777777" w:rsidR="00715C0A" w:rsidRDefault="00715C0A" w:rsidP="007567FA">
      <w:pPr>
        <w:spacing w:line="276" w:lineRule="auto"/>
        <w:ind w:right="827"/>
        <w:jc w:val="both"/>
        <w:rPr>
          <w:b/>
          <w:bCs/>
        </w:rPr>
      </w:pPr>
    </w:p>
    <w:p w14:paraId="5646EB7E" w14:textId="77777777" w:rsidR="00715C0A" w:rsidRPr="005174B3" w:rsidRDefault="00715C0A" w:rsidP="007567FA">
      <w:pPr>
        <w:spacing w:line="276" w:lineRule="auto"/>
        <w:ind w:right="827"/>
        <w:jc w:val="both"/>
      </w:pPr>
      <w:r w:rsidRPr="005174B3">
        <w:rPr>
          <w:rFonts w:eastAsia="Arial"/>
          <w:b/>
        </w:rPr>
        <w:t xml:space="preserve">Table </w:t>
      </w:r>
      <w:r w:rsidR="00047D01">
        <w:rPr>
          <w:rFonts w:eastAsia="Arial"/>
          <w:b/>
        </w:rPr>
        <w:t>1:</w:t>
      </w:r>
      <w:r>
        <w:rPr>
          <w:rFonts w:eastAsia="Arial"/>
          <w:b/>
        </w:rPr>
        <w:t xml:space="preserve"> Overall prevalence of malaria in the study area. Assessed using peripheral blood films.</w:t>
      </w:r>
    </w:p>
    <w:tbl>
      <w:tblPr>
        <w:tblStyle w:val="TableGrid"/>
        <w:tblW w:w="8364" w:type="dxa"/>
        <w:tblBorders>
          <w:left w:val="none" w:sz="0" w:space="0" w:color="auto"/>
          <w:right w:val="none" w:sz="0" w:space="0" w:color="auto"/>
          <w:insideV w:val="none" w:sz="0" w:space="0" w:color="auto"/>
        </w:tblBorders>
        <w:tblLook w:val="04A0" w:firstRow="1" w:lastRow="0" w:firstColumn="1" w:lastColumn="0" w:noHBand="0" w:noVBand="1"/>
      </w:tblPr>
      <w:tblGrid>
        <w:gridCol w:w="2448"/>
        <w:gridCol w:w="2340"/>
        <w:gridCol w:w="3576"/>
      </w:tblGrid>
      <w:tr w:rsidR="00715C0A" w:rsidRPr="005174B3" w14:paraId="5A2B459B" w14:textId="77777777" w:rsidTr="00715C0A">
        <w:trPr>
          <w:trHeight w:val="284"/>
        </w:trPr>
        <w:tc>
          <w:tcPr>
            <w:tcW w:w="2448" w:type="dxa"/>
            <w:tcBorders>
              <w:bottom w:val="single" w:sz="4" w:space="0" w:color="auto"/>
            </w:tcBorders>
          </w:tcPr>
          <w:p w14:paraId="79C52566" w14:textId="77777777" w:rsidR="00715C0A" w:rsidRPr="005174B3" w:rsidRDefault="00715C0A" w:rsidP="007567FA">
            <w:pPr>
              <w:spacing w:line="276" w:lineRule="auto"/>
              <w:jc w:val="both"/>
              <w:rPr>
                <w:rFonts w:ascii="Times New Roman" w:hAnsi="Times New Roman" w:cs="Times New Roman"/>
                <w:sz w:val="24"/>
                <w:szCs w:val="24"/>
              </w:rPr>
            </w:pPr>
            <w:r w:rsidRPr="005174B3">
              <w:rPr>
                <w:rFonts w:ascii="Times New Roman" w:eastAsia="Arial" w:hAnsi="Times New Roman" w:cs="Times New Roman"/>
                <w:b/>
                <w:sz w:val="24"/>
                <w:szCs w:val="24"/>
              </w:rPr>
              <w:t>Blood film</w:t>
            </w:r>
          </w:p>
        </w:tc>
        <w:tc>
          <w:tcPr>
            <w:tcW w:w="2340" w:type="dxa"/>
            <w:tcBorders>
              <w:bottom w:val="single" w:sz="4" w:space="0" w:color="auto"/>
            </w:tcBorders>
          </w:tcPr>
          <w:p w14:paraId="1B38B816" w14:textId="77777777" w:rsidR="00715C0A" w:rsidRPr="005174B3" w:rsidRDefault="00715C0A"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b/>
                <w:sz w:val="24"/>
                <w:szCs w:val="24"/>
              </w:rPr>
              <w:t>Frequency</w:t>
            </w:r>
          </w:p>
        </w:tc>
        <w:tc>
          <w:tcPr>
            <w:tcW w:w="3576" w:type="dxa"/>
            <w:tcBorders>
              <w:bottom w:val="single" w:sz="4" w:space="0" w:color="auto"/>
            </w:tcBorders>
          </w:tcPr>
          <w:p w14:paraId="69FAEB8C" w14:textId="77777777" w:rsidR="00715C0A" w:rsidRPr="005174B3" w:rsidRDefault="00715C0A"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b/>
                <w:sz w:val="24"/>
                <w:szCs w:val="24"/>
              </w:rPr>
              <w:t>Percentage (%)</w:t>
            </w:r>
          </w:p>
        </w:tc>
      </w:tr>
      <w:tr w:rsidR="00715C0A" w:rsidRPr="005174B3" w14:paraId="676F9A06" w14:textId="77777777" w:rsidTr="00715C0A">
        <w:trPr>
          <w:trHeight w:val="287"/>
        </w:trPr>
        <w:tc>
          <w:tcPr>
            <w:tcW w:w="2448" w:type="dxa"/>
            <w:tcBorders>
              <w:bottom w:val="nil"/>
            </w:tcBorders>
          </w:tcPr>
          <w:p w14:paraId="491A2CCA" w14:textId="77777777" w:rsidR="00715C0A" w:rsidRPr="005174B3" w:rsidRDefault="00715C0A" w:rsidP="007567FA">
            <w:pPr>
              <w:spacing w:line="276" w:lineRule="auto"/>
              <w:jc w:val="both"/>
              <w:rPr>
                <w:rFonts w:ascii="Times New Roman" w:hAnsi="Times New Roman" w:cs="Times New Roman"/>
                <w:sz w:val="24"/>
                <w:szCs w:val="24"/>
              </w:rPr>
            </w:pPr>
            <w:r w:rsidRPr="005174B3">
              <w:rPr>
                <w:rFonts w:ascii="Times New Roman" w:eastAsia="Arial" w:hAnsi="Times New Roman" w:cs="Times New Roman"/>
                <w:sz w:val="24"/>
                <w:szCs w:val="24"/>
              </w:rPr>
              <w:t>Positive</w:t>
            </w:r>
          </w:p>
        </w:tc>
        <w:tc>
          <w:tcPr>
            <w:tcW w:w="2340" w:type="dxa"/>
            <w:tcBorders>
              <w:bottom w:val="nil"/>
            </w:tcBorders>
          </w:tcPr>
          <w:p w14:paraId="0C35274A" w14:textId="77777777" w:rsidR="00715C0A" w:rsidRPr="005174B3" w:rsidRDefault="00715C0A"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20</w:t>
            </w:r>
          </w:p>
        </w:tc>
        <w:tc>
          <w:tcPr>
            <w:tcW w:w="3576" w:type="dxa"/>
            <w:tcBorders>
              <w:bottom w:val="nil"/>
            </w:tcBorders>
          </w:tcPr>
          <w:p w14:paraId="6E30F68E" w14:textId="77777777" w:rsidR="00715C0A" w:rsidRPr="005174B3" w:rsidRDefault="00715C0A"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5.3</w:t>
            </w:r>
          </w:p>
        </w:tc>
      </w:tr>
      <w:tr w:rsidR="00715C0A" w:rsidRPr="005174B3" w14:paraId="02637A2A" w14:textId="77777777" w:rsidTr="00715C0A">
        <w:trPr>
          <w:trHeight w:val="287"/>
        </w:trPr>
        <w:tc>
          <w:tcPr>
            <w:tcW w:w="2448" w:type="dxa"/>
            <w:tcBorders>
              <w:top w:val="nil"/>
              <w:bottom w:val="nil"/>
            </w:tcBorders>
          </w:tcPr>
          <w:p w14:paraId="3F74BC82" w14:textId="77777777" w:rsidR="00715C0A" w:rsidRPr="005174B3" w:rsidRDefault="00715C0A" w:rsidP="007567FA">
            <w:pPr>
              <w:spacing w:line="276" w:lineRule="auto"/>
              <w:jc w:val="both"/>
              <w:rPr>
                <w:rFonts w:ascii="Times New Roman" w:hAnsi="Times New Roman" w:cs="Times New Roman"/>
                <w:sz w:val="24"/>
                <w:szCs w:val="24"/>
              </w:rPr>
            </w:pPr>
            <w:r w:rsidRPr="005174B3">
              <w:rPr>
                <w:rFonts w:ascii="Times New Roman" w:eastAsia="Arial" w:hAnsi="Times New Roman" w:cs="Times New Roman"/>
                <w:sz w:val="24"/>
                <w:szCs w:val="24"/>
              </w:rPr>
              <w:t>Negative</w:t>
            </w:r>
          </w:p>
        </w:tc>
        <w:tc>
          <w:tcPr>
            <w:tcW w:w="2340" w:type="dxa"/>
            <w:tcBorders>
              <w:top w:val="nil"/>
              <w:bottom w:val="nil"/>
            </w:tcBorders>
          </w:tcPr>
          <w:p w14:paraId="7C70A961" w14:textId="77777777" w:rsidR="00715C0A" w:rsidRPr="005174B3" w:rsidRDefault="00715C0A"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356</w:t>
            </w:r>
          </w:p>
        </w:tc>
        <w:tc>
          <w:tcPr>
            <w:tcW w:w="3576" w:type="dxa"/>
            <w:tcBorders>
              <w:top w:val="nil"/>
              <w:bottom w:val="nil"/>
            </w:tcBorders>
          </w:tcPr>
          <w:p w14:paraId="091EEC7F" w14:textId="77777777" w:rsidR="00715C0A" w:rsidRPr="005174B3" w:rsidRDefault="00715C0A"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94.7</w:t>
            </w:r>
          </w:p>
        </w:tc>
      </w:tr>
      <w:tr w:rsidR="00715C0A" w:rsidRPr="00BB44CE" w14:paraId="779833B7" w14:textId="77777777" w:rsidTr="00715C0A">
        <w:trPr>
          <w:trHeight w:val="287"/>
        </w:trPr>
        <w:tc>
          <w:tcPr>
            <w:tcW w:w="2448" w:type="dxa"/>
            <w:tcBorders>
              <w:top w:val="nil"/>
            </w:tcBorders>
          </w:tcPr>
          <w:p w14:paraId="3D524F4F" w14:textId="77777777" w:rsidR="00715C0A" w:rsidRPr="00BB44CE" w:rsidRDefault="00715C0A" w:rsidP="007567FA">
            <w:pPr>
              <w:spacing w:line="276" w:lineRule="auto"/>
              <w:jc w:val="both"/>
              <w:rPr>
                <w:rFonts w:ascii="Times New Roman" w:hAnsi="Times New Roman" w:cs="Times New Roman"/>
                <w:b/>
                <w:sz w:val="24"/>
                <w:szCs w:val="24"/>
              </w:rPr>
            </w:pPr>
            <w:r w:rsidRPr="00BB44CE">
              <w:rPr>
                <w:rFonts w:ascii="Times New Roman" w:eastAsia="Arial" w:hAnsi="Times New Roman" w:cs="Times New Roman"/>
                <w:b/>
                <w:sz w:val="24"/>
                <w:szCs w:val="24"/>
              </w:rPr>
              <w:t>Total</w:t>
            </w:r>
          </w:p>
        </w:tc>
        <w:tc>
          <w:tcPr>
            <w:tcW w:w="2340" w:type="dxa"/>
            <w:tcBorders>
              <w:top w:val="nil"/>
            </w:tcBorders>
          </w:tcPr>
          <w:p w14:paraId="19B9706E" w14:textId="77777777" w:rsidR="00715C0A" w:rsidRPr="00BB44CE" w:rsidRDefault="00715C0A" w:rsidP="007567FA">
            <w:pPr>
              <w:spacing w:line="276" w:lineRule="auto"/>
              <w:jc w:val="center"/>
              <w:rPr>
                <w:rFonts w:ascii="Times New Roman" w:hAnsi="Times New Roman" w:cs="Times New Roman"/>
                <w:b/>
                <w:sz w:val="24"/>
                <w:szCs w:val="24"/>
              </w:rPr>
            </w:pPr>
            <w:r w:rsidRPr="00BB44CE">
              <w:rPr>
                <w:rFonts w:ascii="Times New Roman" w:eastAsia="Arial" w:hAnsi="Times New Roman" w:cs="Times New Roman"/>
                <w:b/>
                <w:sz w:val="24"/>
                <w:szCs w:val="24"/>
              </w:rPr>
              <w:t>376</w:t>
            </w:r>
          </w:p>
        </w:tc>
        <w:tc>
          <w:tcPr>
            <w:tcW w:w="3576" w:type="dxa"/>
            <w:tcBorders>
              <w:top w:val="nil"/>
            </w:tcBorders>
          </w:tcPr>
          <w:p w14:paraId="7A1AF78F" w14:textId="77777777" w:rsidR="00715C0A" w:rsidRPr="00BB44CE" w:rsidRDefault="00715C0A" w:rsidP="007567FA">
            <w:pPr>
              <w:spacing w:line="276" w:lineRule="auto"/>
              <w:jc w:val="center"/>
              <w:rPr>
                <w:rFonts w:ascii="Times New Roman" w:hAnsi="Times New Roman" w:cs="Times New Roman"/>
                <w:b/>
                <w:sz w:val="24"/>
                <w:szCs w:val="24"/>
              </w:rPr>
            </w:pPr>
            <w:r w:rsidRPr="00BB44CE">
              <w:rPr>
                <w:rFonts w:ascii="Times New Roman" w:eastAsia="Arial" w:hAnsi="Times New Roman" w:cs="Times New Roman"/>
                <w:b/>
                <w:sz w:val="24"/>
                <w:szCs w:val="24"/>
              </w:rPr>
              <w:t>100.0</w:t>
            </w:r>
          </w:p>
        </w:tc>
      </w:tr>
    </w:tbl>
    <w:p w14:paraId="2504DC9B" w14:textId="77777777" w:rsidR="007E68DD" w:rsidRPr="00712638" w:rsidRDefault="007E68DD" w:rsidP="007567FA">
      <w:pPr>
        <w:spacing w:before="80" w:after="160" w:line="276" w:lineRule="auto"/>
      </w:pPr>
    </w:p>
    <w:p w14:paraId="468FFA27" w14:textId="77777777" w:rsidR="00346FD1" w:rsidRPr="00522806" w:rsidRDefault="005A34DE" w:rsidP="007567FA">
      <w:pPr>
        <w:spacing w:before="200" w:after="100" w:line="276" w:lineRule="auto"/>
      </w:pPr>
      <w:r w:rsidRPr="00522806">
        <w:rPr>
          <w:b/>
          <w:bCs/>
        </w:rPr>
        <w:t>Prevalence by Gender and Age Group</w:t>
      </w:r>
    </w:p>
    <w:p w14:paraId="1C7C8DD3" w14:textId="77777777" w:rsidR="00346FD1" w:rsidRDefault="005A34DE" w:rsidP="007567FA">
      <w:pPr>
        <w:spacing w:before="100" w:after="100" w:line="276" w:lineRule="auto"/>
        <w:jc w:val="both"/>
      </w:pPr>
      <w:r w:rsidRPr="00522806">
        <w:t>Among the 172 male participants, 5 (2.91%) were positive for malaria</w:t>
      </w:r>
      <w:r w:rsidR="009E12F0">
        <w:t>, while</w:t>
      </w:r>
      <w:r w:rsidRPr="00522806">
        <w:t xml:space="preserve"> 203 female participants, 15 (7.39%) tested positive. Females thus demonstrated a substantially higher prevalence compared to males. Across age groups, the 0–14 years group recorded the highest </w:t>
      </w:r>
      <w:r w:rsidRPr="00522806">
        <w:lastRenderedPageBreak/>
        <w:t xml:space="preserve">prevalence (2/2; 100%), though this represented only 2 individuals. </w:t>
      </w:r>
      <w:r w:rsidR="00DD3ACC">
        <w:t>Within</w:t>
      </w:r>
      <w:r w:rsidRPr="00522806">
        <w:t xml:space="preserve"> the 15–29 years group, 6 of 101 (5.94%) were positive; in the 30–44 years group, 6 of 115 (5.22%) were positive; and in the 45–59 years group, 6 of 130 (4.62%) were positive. No malaria was detected in the ≥60 years group (0/28). The detailed distribution by gender and age</w:t>
      </w:r>
      <w:r w:rsidR="00164D2C">
        <w:t xml:space="preserve"> group is presented in Table 2</w:t>
      </w:r>
      <w:r w:rsidRPr="00522806">
        <w:t>.</w:t>
      </w:r>
    </w:p>
    <w:p w14:paraId="7159A174" w14:textId="77777777" w:rsidR="00E20CF8" w:rsidRPr="00522806" w:rsidRDefault="00E20CF8" w:rsidP="007567FA">
      <w:pPr>
        <w:spacing w:before="100" w:after="100" w:line="276" w:lineRule="auto"/>
        <w:jc w:val="both"/>
      </w:pPr>
    </w:p>
    <w:p w14:paraId="1693DC20" w14:textId="77777777" w:rsidR="00346FD1" w:rsidRPr="00522806" w:rsidRDefault="005A34DE" w:rsidP="007567FA">
      <w:pPr>
        <w:spacing w:before="160" w:after="60" w:line="276" w:lineRule="auto"/>
      </w:pPr>
      <w:r w:rsidRPr="00522806">
        <w:rPr>
          <w:b/>
          <w:bCs/>
        </w:rPr>
        <w:t xml:space="preserve">Table </w:t>
      </w:r>
      <w:r w:rsidR="007E68DD">
        <w:rPr>
          <w:b/>
          <w:bCs/>
        </w:rPr>
        <w:t>2.</w:t>
      </w:r>
      <w:r w:rsidRPr="00522806">
        <w:rPr>
          <w:b/>
          <w:bCs/>
        </w:rPr>
        <w:t xml:space="preserve"> Prevalence of Malaria According to Gender and Age</w:t>
      </w:r>
    </w:p>
    <w:tbl>
      <w:tblPr>
        <w:tblStyle w:val="TableGrid"/>
        <w:tblW w:w="86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0"/>
        <w:gridCol w:w="3409"/>
      </w:tblGrid>
      <w:tr w:rsidR="000E65CE" w:rsidRPr="005174B3" w14:paraId="58E91C7F" w14:textId="77777777" w:rsidTr="00C87E18">
        <w:trPr>
          <w:trHeight w:val="396"/>
        </w:trPr>
        <w:tc>
          <w:tcPr>
            <w:tcW w:w="2268" w:type="dxa"/>
            <w:tcBorders>
              <w:top w:val="single" w:sz="4" w:space="0" w:color="auto"/>
              <w:bottom w:val="single" w:sz="4" w:space="0" w:color="auto"/>
            </w:tcBorders>
          </w:tcPr>
          <w:p w14:paraId="41706A34" w14:textId="77777777" w:rsidR="000E65CE" w:rsidRPr="005174B3" w:rsidRDefault="000E65CE" w:rsidP="007567FA">
            <w:pPr>
              <w:spacing w:line="276" w:lineRule="auto"/>
              <w:jc w:val="both"/>
              <w:rPr>
                <w:rFonts w:ascii="Times New Roman" w:hAnsi="Times New Roman" w:cs="Times New Roman"/>
                <w:sz w:val="24"/>
                <w:szCs w:val="24"/>
              </w:rPr>
            </w:pPr>
            <w:r w:rsidRPr="005174B3">
              <w:rPr>
                <w:rFonts w:ascii="Times New Roman" w:eastAsia="Arial" w:hAnsi="Times New Roman" w:cs="Times New Roman"/>
                <w:b/>
                <w:sz w:val="24"/>
                <w:szCs w:val="24"/>
              </w:rPr>
              <w:t>Gender</w:t>
            </w:r>
          </w:p>
        </w:tc>
        <w:tc>
          <w:tcPr>
            <w:tcW w:w="2970" w:type="dxa"/>
            <w:tcBorders>
              <w:top w:val="single" w:sz="4" w:space="0" w:color="auto"/>
              <w:bottom w:val="single" w:sz="4" w:space="0" w:color="auto"/>
            </w:tcBorders>
          </w:tcPr>
          <w:p w14:paraId="10A717AC" w14:textId="77777777" w:rsidR="000E65CE" w:rsidRPr="005174B3" w:rsidRDefault="000E65CE" w:rsidP="007567FA">
            <w:pPr>
              <w:spacing w:line="276" w:lineRule="auto"/>
              <w:jc w:val="center"/>
              <w:rPr>
                <w:rFonts w:ascii="Times New Roman" w:hAnsi="Times New Roman" w:cs="Times New Roman"/>
                <w:sz w:val="24"/>
                <w:szCs w:val="24"/>
              </w:rPr>
            </w:pPr>
            <w:r>
              <w:rPr>
                <w:rFonts w:ascii="Times New Roman" w:eastAsia="Arial" w:hAnsi="Times New Roman" w:cs="Times New Roman"/>
                <w:b/>
                <w:sz w:val="24"/>
                <w:szCs w:val="24"/>
              </w:rPr>
              <w:t xml:space="preserve">Number </w:t>
            </w:r>
            <w:r w:rsidRPr="005174B3">
              <w:rPr>
                <w:rFonts w:ascii="Times New Roman" w:eastAsia="Arial" w:hAnsi="Times New Roman" w:cs="Times New Roman"/>
                <w:b/>
                <w:sz w:val="24"/>
                <w:szCs w:val="24"/>
              </w:rPr>
              <w:t xml:space="preserve"> examined</w:t>
            </w:r>
          </w:p>
        </w:tc>
        <w:tc>
          <w:tcPr>
            <w:tcW w:w="3409" w:type="dxa"/>
            <w:tcBorders>
              <w:top w:val="single" w:sz="4" w:space="0" w:color="auto"/>
              <w:bottom w:val="single" w:sz="4" w:space="0" w:color="auto"/>
            </w:tcBorders>
          </w:tcPr>
          <w:p w14:paraId="7543DF99"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b/>
                <w:sz w:val="24"/>
                <w:szCs w:val="24"/>
              </w:rPr>
              <w:t>Number of</w:t>
            </w:r>
          </w:p>
          <w:p w14:paraId="47E5E0AD" w14:textId="77777777" w:rsidR="000E65CE" w:rsidRPr="005174B3" w:rsidRDefault="00C87E18"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b/>
                <w:sz w:val="24"/>
                <w:szCs w:val="24"/>
              </w:rPr>
              <w:t>Positive</w:t>
            </w:r>
            <w:r w:rsidR="000E65CE" w:rsidRPr="005174B3">
              <w:rPr>
                <w:rFonts w:ascii="Times New Roman" w:eastAsia="Arial" w:hAnsi="Times New Roman" w:cs="Times New Roman"/>
                <w:b/>
                <w:sz w:val="24"/>
                <w:szCs w:val="24"/>
              </w:rPr>
              <w:t xml:space="preserve"> (%)</w:t>
            </w:r>
          </w:p>
        </w:tc>
      </w:tr>
      <w:tr w:rsidR="000E65CE" w:rsidRPr="005174B3" w14:paraId="2DCB6148" w14:textId="77777777" w:rsidTr="00C87E18">
        <w:trPr>
          <w:trHeight w:val="245"/>
        </w:trPr>
        <w:tc>
          <w:tcPr>
            <w:tcW w:w="2268" w:type="dxa"/>
            <w:tcBorders>
              <w:top w:val="single" w:sz="4" w:space="0" w:color="auto"/>
            </w:tcBorders>
          </w:tcPr>
          <w:p w14:paraId="01F71134" w14:textId="77777777" w:rsidR="000E65CE" w:rsidRPr="005174B3" w:rsidRDefault="000E65CE" w:rsidP="007567FA">
            <w:pPr>
              <w:spacing w:line="276" w:lineRule="auto"/>
              <w:jc w:val="both"/>
              <w:rPr>
                <w:rFonts w:ascii="Times New Roman" w:hAnsi="Times New Roman" w:cs="Times New Roman"/>
                <w:sz w:val="24"/>
                <w:szCs w:val="24"/>
              </w:rPr>
            </w:pPr>
            <w:r w:rsidRPr="005174B3">
              <w:rPr>
                <w:rFonts w:ascii="Times New Roman" w:eastAsia="Arial" w:hAnsi="Times New Roman" w:cs="Times New Roman"/>
                <w:sz w:val="24"/>
                <w:szCs w:val="24"/>
              </w:rPr>
              <w:t>Male</w:t>
            </w:r>
          </w:p>
        </w:tc>
        <w:tc>
          <w:tcPr>
            <w:tcW w:w="2970" w:type="dxa"/>
            <w:tcBorders>
              <w:top w:val="single" w:sz="4" w:space="0" w:color="auto"/>
            </w:tcBorders>
          </w:tcPr>
          <w:p w14:paraId="7E5B9BED"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172</w:t>
            </w:r>
          </w:p>
        </w:tc>
        <w:tc>
          <w:tcPr>
            <w:tcW w:w="3409" w:type="dxa"/>
            <w:tcBorders>
              <w:top w:val="single" w:sz="4" w:space="0" w:color="auto"/>
            </w:tcBorders>
          </w:tcPr>
          <w:p w14:paraId="1B79E177"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5 (2.9)</w:t>
            </w:r>
          </w:p>
        </w:tc>
      </w:tr>
      <w:tr w:rsidR="000E65CE" w:rsidRPr="005174B3" w14:paraId="5CAC8234" w14:textId="77777777" w:rsidTr="00C87E18">
        <w:trPr>
          <w:trHeight w:val="245"/>
        </w:trPr>
        <w:tc>
          <w:tcPr>
            <w:tcW w:w="2268" w:type="dxa"/>
            <w:tcBorders>
              <w:bottom w:val="nil"/>
            </w:tcBorders>
          </w:tcPr>
          <w:p w14:paraId="6E5FD2D5" w14:textId="77777777" w:rsidR="000E65CE" w:rsidRPr="005174B3" w:rsidRDefault="000E65CE" w:rsidP="007567FA">
            <w:pPr>
              <w:spacing w:line="276" w:lineRule="auto"/>
              <w:jc w:val="both"/>
              <w:rPr>
                <w:rFonts w:ascii="Times New Roman" w:hAnsi="Times New Roman" w:cs="Times New Roman"/>
                <w:sz w:val="24"/>
                <w:szCs w:val="24"/>
              </w:rPr>
            </w:pPr>
            <w:r w:rsidRPr="005174B3">
              <w:rPr>
                <w:rFonts w:ascii="Times New Roman" w:eastAsia="Arial" w:hAnsi="Times New Roman" w:cs="Times New Roman"/>
                <w:sz w:val="24"/>
                <w:szCs w:val="24"/>
              </w:rPr>
              <w:t>Female</w:t>
            </w:r>
          </w:p>
        </w:tc>
        <w:tc>
          <w:tcPr>
            <w:tcW w:w="2970" w:type="dxa"/>
            <w:tcBorders>
              <w:bottom w:val="nil"/>
            </w:tcBorders>
          </w:tcPr>
          <w:p w14:paraId="6D2820C0"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203</w:t>
            </w:r>
          </w:p>
        </w:tc>
        <w:tc>
          <w:tcPr>
            <w:tcW w:w="3409" w:type="dxa"/>
            <w:tcBorders>
              <w:bottom w:val="nil"/>
            </w:tcBorders>
          </w:tcPr>
          <w:p w14:paraId="377D4AD4"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15 (7.39)</w:t>
            </w:r>
          </w:p>
        </w:tc>
      </w:tr>
      <w:tr w:rsidR="000E65CE" w:rsidRPr="00BB44CE" w14:paraId="3930C322" w14:textId="77777777" w:rsidTr="00C87E18">
        <w:trPr>
          <w:trHeight w:val="245"/>
        </w:trPr>
        <w:tc>
          <w:tcPr>
            <w:tcW w:w="2268" w:type="dxa"/>
            <w:tcBorders>
              <w:top w:val="nil"/>
              <w:bottom w:val="single" w:sz="4" w:space="0" w:color="auto"/>
            </w:tcBorders>
          </w:tcPr>
          <w:p w14:paraId="610BE0E7" w14:textId="77777777" w:rsidR="000E65CE" w:rsidRPr="00BB44CE" w:rsidRDefault="000E65CE" w:rsidP="007567FA">
            <w:pPr>
              <w:spacing w:line="276" w:lineRule="auto"/>
              <w:jc w:val="both"/>
              <w:rPr>
                <w:rFonts w:ascii="Times New Roman" w:hAnsi="Times New Roman" w:cs="Times New Roman"/>
                <w:b/>
                <w:sz w:val="24"/>
                <w:szCs w:val="24"/>
              </w:rPr>
            </w:pPr>
            <w:r w:rsidRPr="00BB44CE">
              <w:rPr>
                <w:rFonts w:ascii="Times New Roman" w:eastAsia="Arial" w:hAnsi="Times New Roman" w:cs="Times New Roman"/>
                <w:b/>
                <w:sz w:val="24"/>
                <w:szCs w:val="24"/>
              </w:rPr>
              <w:t>Total</w:t>
            </w:r>
          </w:p>
        </w:tc>
        <w:tc>
          <w:tcPr>
            <w:tcW w:w="2970" w:type="dxa"/>
            <w:tcBorders>
              <w:top w:val="nil"/>
              <w:bottom w:val="single" w:sz="4" w:space="0" w:color="auto"/>
            </w:tcBorders>
          </w:tcPr>
          <w:p w14:paraId="1FBFD9DB" w14:textId="77777777" w:rsidR="000E65CE" w:rsidRPr="00BB44CE" w:rsidRDefault="000E65CE" w:rsidP="007567FA">
            <w:pPr>
              <w:spacing w:line="276" w:lineRule="auto"/>
              <w:jc w:val="center"/>
              <w:rPr>
                <w:rFonts w:ascii="Times New Roman" w:hAnsi="Times New Roman" w:cs="Times New Roman"/>
                <w:b/>
                <w:sz w:val="24"/>
                <w:szCs w:val="24"/>
              </w:rPr>
            </w:pPr>
            <w:r w:rsidRPr="00BB44CE">
              <w:rPr>
                <w:rFonts w:ascii="Times New Roman" w:eastAsia="Arial" w:hAnsi="Times New Roman" w:cs="Times New Roman"/>
                <w:b/>
                <w:sz w:val="24"/>
                <w:szCs w:val="24"/>
              </w:rPr>
              <w:t>376</w:t>
            </w:r>
          </w:p>
        </w:tc>
        <w:tc>
          <w:tcPr>
            <w:tcW w:w="3409" w:type="dxa"/>
            <w:tcBorders>
              <w:top w:val="nil"/>
              <w:bottom w:val="single" w:sz="4" w:space="0" w:color="auto"/>
            </w:tcBorders>
          </w:tcPr>
          <w:p w14:paraId="1E157B88" w14:textId="77777777" w:rsidR="000E65CE" w:rsidRPr="00BB44CE" w:rsidRDefault="000E65CE" w:rsidP="007567FA">
            <w:pPr>
              <w:spacing w:line="276" w:lineRule="auto"/>
              <w:jc w:val="center"/>
              <w:rPr>
                <w:rFonts w:ascii="Times New Roman" w:hAnsi="Times New Roman" w:cs="Times New Roman"/>
                <w:b/>
                <w:sz w:val="24"/>
                <w:szCs w:val="24"/>
              </w:rPr>
            </w:pPr>
            <w:r w:rsidRPr="00BB44CE">
              <w:rPr>
                <w:rFonts w:ascii="Times New Roman" w:eastAsia="Arial" w:hAnsi="Times New Roman" w:cs="Times New Roman"/>
                <w:b/>
                <w:sz w:val="24"/>
                <w:szCs w:val="24"/>
              </w:rPr>
              <w:t>20 (5.3)</w:t>
            </w:r>
          </w:p>
        </w:tc>
      </w:tr>
      <w:tr w:rsidR="000E65CE" w:rsidRPr="005174B3" w14:paraId="50FE67FB" w14:textId="77777777" w:rsidTr="00C87E18">
        <w:tblPrEx>
          <w:tblBorders>
            <w:left w:val="single" w:sz="4" w:space="0" w:color="auto"/>
            <w:right w:val="single" w:sz="4" w:space="0" w:color="auto"/>
            <w:insideH w:val="single" w:sz="4" w:space="0" w:color="auto"/>
            <w:insideV w:val="single" w:sz="4" w:space="0" w:color="auto"/>
          </w:tblBorders>
        </w:tblPrEx>
        <w:trPr>
          <w:trHeight w:val="396"/>
        </w:trPr>
        <w:tc>
          <w:tcPr>
            <w:tcW w:w="2268" w:type="dxa"/>
            <w:tcBorders>
              <w:top w:val="single" w:sz="4" w:space="0" w:color="auto"/>
              <w:left w:val="nil"/>
              <w:bottom w:val="single" w:sz="4" w:space="0" w:color="auto"/>
              <w:right w:val="nil"/>
            </w:tcBorders>
          </w:tcPr>
          <w:p w14:paraId="1EBAC812" w14:textId="77777777" w:rsidR="000E65CE" w:rsidRPr="005174B3" w:rsidRDefault="000E65CE" w:rsidP="007567FA">
            <w:pPr>
              <w:spacing w:line="276" w:lineRule="auto"/>
              <w:jc w:val="both"/>
              <w:rPr>
                <w:rFonts w:ascii="Times New Roman" w:hAnsi="Times New Roman" w:cs="Times New Roman"/>
                <w:sz w:val="24"/>
                <w:szCs w:val="24"/>
              </w:rPr>
            </w:pPr>
            <w:r>
              <w:rPr>
                <w:rFonts w:ascii="Times New Roman" w:eastAsia="Arial" w:hAnsi="Times New Roman" w:cs="Times New Roman"/>
                <w:b/>
                <w:sz w:val="24"/>
                <w:szCs w:val="24"/>
              </w:rPr>
              <w:t xml:space="preserve">Age </w:t>
            </w:r>
          </w:p>
        </w:tc>
        <w:tc>
          <w:tcPr>
            <w:tcW w:w="2970" w:type="dxa"/>
            <w:tcBorders>
              <w:top w:val="single" w:sz="4" w:space="0" w:color="auto"/>
              <w:left w:val="nil"/>
              <w:bottom w:val="single" w:sz="4" w:space="0" w:color="auto"/>
              <w:right w:val="nil"/>
            </w:tcBorders>
          </w:tcPr>
          <w:p w14:paraId="7E9A1069"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b/>
                <w:sz w:val="24"/>
                <w:szCs w:val="24"/>
              </w:rPr>
              <w:t>Number examined</w:t>
            </w:r>
          </w:p>
        </w:tc>
        <w:tc>
          <w:tcPr>
            <w:tcW w:w="3409" w:type="dxa"/>
            <w:tcBorders>
              <w:top w:val="single" w:sz="4" w:space="0" w:color="auto"/>
              <w:left w:val="nil"/>
              <w:bottom w:val="single" w:sz="4" w:space="0" w:color="auto"/>
              <w:right w:val="nil"/>
            </w:tcBorders>
          </w:tcPr>
          <w:p w14:paraId="77747CFC"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b/>
                <w:sz w:val="24"/>
                <w:szCs w:val="24"/>
              </w:rPr>
              <w:t>Number of</w:t>
            </w:r>
          </w:p>
          <w:p w14:paraId="4AEBBEAA" w14:textId="77777777" w:rsidR="000E65CE" w:rsidRPr="005174B3" w:rsidRDefault="00C87E18"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b/>
                <w:sz w:val="24"/>
                <w:szCs w:val="24"/>
              </w:rPr>
              <w:t>Positive</w:t>
            </w:r>
            <w:r w:rsidR="000E65CE" w:rsidRPr="005174B3">
              <w:rPr>
                <w:rFonts w:ascii="Times New Roman" w:eastAsia="Arial" w:hAnsi="Times New Roman" w:cs="Times New Roman"/>
                <w:b/>
                <w:sz w:val="24"/>
                <w:szCs w:val="24"/>
              </w:rPr>
              <w:t xml:space="preserve"> (%)</w:t>
            </w:r>
          </w:p>
        </w:tc>
      </w:tr>
      <w:tr w:rsidR="000E65CE" w:rsidRPr="005174B3" w14:paraId="66498A74" w14:textId="77777777" w:rsidTr="00C87E18">
        <w:tblPrEx>
          <w:tblBorders>
            <w:left w:val="single" w:sz="4" w:space="0" w:color="auto"/>
            <w:right w:val="single" w:sz="4" w:space="0" w:color="auto"/>
            <w:insideH w:val="single" w:sz="4" w:space="0" w:color="auto"/>
            <w:insideV w:val="single" w:sz="4" w:space="0" w:color="auto"/>
          </w:tblBorders>
        </w:tblPrEx>
        <w:trPr>
          <w:trHeight w:val="245"/>
        </w:trPr>
        <w:tc>
          <w:tcPr>
            <w:tcW w:w="2268" w:type="dxa"/>
            <w:tcBorders>
              <w:top w:val="single" w:sz="4" w:space="0" w:color="auto"/>
              <w:left w:val="nil"/>
              <w:bottom w:val="nil"/>
              <w:right w:val="nil"/>
            </w:tcBorders>
          </w:tcPr>
          <w:p w14:paraId="4AE7FB6C" w14:textId="77777777" w:rsidR="000E65CE" w:rsidRPr="005174B3" w:rsidRDefault="000E65CE" w:rsidP="007567FA">
            <w:pPr>
              <w:spacing w:line="276" w:lineRule="auto"/>
              <w:jc w:val="both"/>
              <w:rPr>
                <w:rFonts w:ascii="Times New Roman" w:hAnsi="Times New Roman" w:cs="Times New Roman"/>
                <w:sz w:val="24"/>
                <w:szCs w:val="24"/>
              </w:rPr>
            </w:pPr>
            <w:r w:rsidRPr="005174B3">
              <w:rPr>
                <w:rFonts w:ascii="Times New Roman" w:eastAsia="Arial" w:hAnsi="Times New Roman" w:cs="Times New Roman"/>
                <w:sz w:val="24"/>
                <w:szCs w:val="24"/>
              </w:rPr>
              <w:t>0-14</w:t>
            </w:r>
          </w:p>
        </w:tc>
        <w:tc>
          <w:tcPr>
            <w:tcW w:w="2970" w:type="dxa"/>
            <w:tcBorders>
              <w:top w:val="single" w:sz="4" w:space="0" w:color="auto"/>
              <w:left w:val="nil"/>
              <w:bottom w:val="nil"/>
              <w:right w:val="nil"/>
            </w:tcBorders>
          </w:tcPr>
          <w:p w14:paraId="40A54603"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002</w:t>
            </w:r>
          </w:p>
        </w:tc>
        <w:tc>
          <w:tcPr>
            <w:tcW w:w="3409" w:type="dxa"/>
            <w:tcBorders>
              <w:top w:val="single" w:sz="4" w:space="0" w:color="auto"/>
              <w:left w:val="nil"/>
              <w:bottom w:val="nil"/>
              <w:right w:val="nil"/>
            </w:tcBorders>
          </w:tcPr>
          <w:p w14:paraId="1F7BAA86"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2(100%)</w:t>
            </w:r>
          </w:p>
        </w:tc>
      </w:tr>
      <w:tr w:rsidR="000E65CE" w:rsidRPr="005174B3" w14:paraId="6C778ED4" w14:textId="77777777" w:rsidTr="00C87E18">
        <w:tblPrEx>
          <w:tblBorders>
            <w:left w:val="single" w:sz="4" w:space="0" w:color="auto"/>
            <w:right w:val="single" w:sz="4" w:space="0" w:color="auto"/>
            <w:insideH w:val="single" w:sz="4" w:space="0" w:color="auto"/>
            <w:insideV w:val="single" w:sz="4" w:space="0" w:color="auto"/>
          </w:tblBorders>
        </w:tblPrEx>
        <w:trPr>
          <w:trHeight w:val="245"/>
        </w:trPr>
        <w:tc>
          <w:tcPr>
            <w:tcW w:w="2268" w:type="dxa"/>
            <w:tcBorders>
              <w:top w:val="nil"/>
              <w:left w:val="nil"/>
              <w:bottom w:val="nil"/>
              <w:right w:val="nil"/>
            </w:tcBorders>
          </w:tcPr>
          <w:p w14:paraId="2E5171B0" w14:textId="77777777" w:rsidR="000E65CE" w:rsidRPr="005174B3" w:rsidRDefault="000E65CE" w:rsidP="007567FA">
            <w:pPr>
              <w:spacing w:line="276" w:lineRule="auto"/>
              <w:jc w:val="both"/>
              <w:rPr>
                <w:rFonts w:ascii="Times New Roman" w:hAnsi="Times New Roman" w:cs="Times New Roman"/>
                <w:sz w:val="24"/>
                <w:szCs w:val="24"/>
              </w:rPr>
            </w:pPr>
            <w:r w:rsidRPr="005174B3">
              <w:rPr>
                <w:rFonts w:ascii="Times New Roman" w:eastAsia="Arial" w:hAnsi="Times New Roman" w:cs="Times New Roman"/>
                <w:sz w:val="24"/>
                <w:szCs w:val="24"/>
              </w:rPr>
              <w:t>15-29</w:t>
            </w:r>
          </w:p>
        </w:tc>
        <w:tc>
          <w:tcPr>
            <w:tcW w:w="2970" w:type="dxa"/>
            <w:tcBorders>
              <w:top w:val="nil"/>
              <w:left w:val="nil"/>
              <w:bottom w:val="nil"/>
              <w:right w:val="nil"/>
            </w:tcBorders>
          </w:tcPr>
          <w:p w14:paraId="058335D9"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101</w:t>
            </w:r>
          </w:p>
        </w:tc>
        <w:tc>
          <w:tcPr>
            <w:tcW w:w="3409" w:type="dxa"/>
            <w:tcBorders>
              <w:top w:val="nil"/>
              <w:left w:val="nil"/>
              <w:bottom w:val="nil"/>
              <w:right w:val="nil"/>
            </w:tcBorders>
          </w:tcPr>
          <w:p w14:paraId="15B56F32"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6(5.94%)</w:t>
            </w:r>
          </w:p>
        </w:tc>
      </w:tr>
      <w:tr w:rsidR="000E65CE" w:rsidRPr="005174B3" w14:paraId="6CC4D2B3" w14:textId="77777777" w:rsidTr="00C87E18">
        <w:tblPrEx>
          <w:tblBorders>
            <w:left w:val="single" w:sz="4" w:space="0" w:color="auto"/>
            <w:right w:val="single" w:sz="4" w:space="0" w:color="auto"/>
            <w:insideH w:val="single" w:sz="4" w:space="0" w:color="auto"/>
            <w:insideV w:val="single" w:sz="4" w:space="0" w:color="auto"/>
          </w:tblBorders>
        </w:tblPrEx>
        <w:trPr>
          <w:trHeight w:val="245"/>
        </w:trPr>
        <w:tc>
          <w:tcPr>
            <w:tcW w:w="2268" w:type="dxa"/>
            <w:tcBorders>
              <w:top w:val="nil"/>
              <w:left w:val="nil"/>
              <w:bottom w:val="nil"/>
              <w:right w:val="nil"/>
            </w:tcBorders>
          </w:tcPr>
          <w:p w14:paraId="41AF47A9" w14:textId="77777777" w:rsidR="000E65CE" w:rsidRPr="005174B3" w:rsidRDefault="000E65CE" w:rsidP="007567FA">
            <w:pPr>
              <w:spacing w:line="276" w:lineRule="auto"/>
              <w:jc w:val="both"/>
              <w:rPr>
                <w:rFonts w:ascii="Times New Roman" w:hAnsi="Times New Roman" w:cs="Times New Roman"/>
                <w:sz w:val="24"/>
                <w:szCs w:val="24"/>
              </w:rPr>
            </w:pPr>
            <w:r w:rsidRPr="005174B3">
              <w:rPr>
                <w:rFonts w:ascii="Times New Roman" w:eastAsia="Arial" w:hAnsi="Times New Roman" w:cs="Times New Roman"/>
                <w:sz w:val="24"/>
                <w:szCs w:val="24"/>
              </w:rPr>
              <w:t>30-44</w:t>
            </w:r>
          </w:p>
        </w:tc>
        <w:tc>
          <w:tcPr>
            <w:tcW w:w="2970" w:type="dxa"/>
            <w:tcBorders>
              <w:top w:val="nil"/>
              <w:left w:val="nil"/>
              <w:bottom w:val="nil"/>
              <w:right w:val="nil"/>
            </w:tcBorders>
          </w:tcPr>
          <w:p w14:paraId="7C5D06EB"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115</w:t>
            </w:r>
          </w:p>
        </w:tc>
        <w:tc>
          <w:tcPr>
            <w:tcW w:w="3409" w:type="dxa"/>
            <w:tcBorders>
              <w:top w:val="nil"/>
              <w:left w:val="nil"/>
              <w:bottom w:val="nil"/>
              <w:right w:val="nil"/>
            </w:tcBorders>
          </w:tcPr>
          <w:p w14:paraId="17DF4E20"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6(5.22%)</w:t>
            </w:r>
          </w:p>
        </w:tc>
      </w:tr>
      <w:tr w:rsidR="000E65CE" w:rsidRPr="005174B3" w14:paraId="4775A6E6" w14:textId="77777777" w:rsidTr="00C87E18">
        <w:tblPrEx>
          <w:tblBorders>
            <w:left w:val="single" w:sz="4" w:space="0" w:color="auto"/>
            <w:right w:val="single" w:sz="4" w:space="0" w:color="auto"/>
            <w:insideH w:val="single" w:sz="4" w:space="0" w:color="auto"/>
            <w:insideV w:val="single" w:sz="4" w:space="0" w:color="auto"/>
          </w:tblBorders>
        </w:tblPrEx>
        <w:trPr>
          <w:trHeight w:val="245"/>
        </w:trPr>
        <w:tc>
          <w:tcPr>
            <w:tcW w:w="2268" w:type="dxa"/>
            <w:tcBorders>
              <w:top w:val="nil"/>
              <w:left w:val="nil"/>
              <w:bottom w:val="nil"/>
              <w:right w:val="nil"/>
            </w:tcBorders>
          </w:tcPr>
          <w:p w14:paraId="55D41C41" w14:textId="77777777" w:rsidR="000E65CE" w:rsidRPr="005174B3" w:rsidRDefault="000E65CE" w:rsidP="007567FA">
            <w:pPr>
              <w:spacing w:line="276" w:lineRule="auto"/>
              <w:jc w:val="both"/>
              <w:rPr>
                <w:rFonts w:ascii="Times New Roman" w:eastAsia="Arial" w:hAnsi="Times New Roman" w:cs="Times New Roman"/>
                <w:sz w:val="24"/>
                <w:szCs w:val="24"/>
              </w:rPr>
            </w:pPr>
            <w:r w:rsidRPr="005174B3">
              <w:rPr>
                <w:rFonts w:ascii="Times New Roman" w:eastAsia="Arial" w:hAnsi="Times New Roman" w:cs="Times New Roman"/>
                <w:sz w:val="24"/>
                <w:szCs w:val="24"/>
              </w:rPr>
              <w:t>45-59</w:t>
            </w:r>
          </w:p>
        </w:tc>
        <w:tc>
          <w:tcPr>
            <w:tcW w:w="2970" w:type="dxa"/>
            <w:tcBorders>
              <w:top w:val="nil"/>
              <w:left w:val="nil"/>
              <w:bottom w:val="nil"/>
              <w:right w:val="nil"/>
            </w:tcBorders>
          </w:tcPr>
          <w:p w14:paraId="454CD3F0" w14:textId="77777777" w:rsidR="000E65CE" w:rsidRPr="005174B3" w:rsidRDefault="000E65CE" w:rsidP="007567FA">
            <w:pPr>
              <w:spacing w:line="276" w:lineRule="auto"/>
              <w:jc w:val="center"/>
              <w:rPr>
                <w:rFonts w:ascii="Times New Roman" w:eastAsia="Arial" w:hAnsi="Times New Roman" w:cs="Times New Roman"/>
                <w:sz w:val="24"/>
                <w:szCs w:val="24"/>
              </w:rPr>
            </w:pPr>
            <w:r w:rsidRPr="005174B3">
              <w:rPr>
                <w:rFonts w:ascii="Times New Roman" w:eastAsia="Arial" w:hAnsi="Times New Roman" w:cs="Times New Roman"/>
                <w:sz w:val="24"/>
                <w:szCs w:val="24"/>
              </w:rPr>
              <w:t>130</w:t>
            </w:r>
          </w:p>
        </w:tc>
        <w:tc>
          <w:tcPr>
            <w:tcW w:w="3409" w:type="dxa"/>
            <w:tcBorders>
              <w:top w:val="nil"/>
              <w:left w:val="nil"/>
              <w:bottom w:val="nil"/>
              <w:right w:val="nil"/>
            </w:tcBorders>
          </w:tcPr>
          <w:p w14:paraId="2F6B6E5D" w14:textId="77777777" w:rsidR="000E65CE" w:rsidRPr="005174B3" w:rsidRDefault="000E65CE" w:rsidP="007567FA">
            <w:pPr>
              <w:spacing w:line="276" w:lineRule="auto"/>
              <w:jc w:val="center"/>
              <w:rPr>
                <w:rFonts w:ascii="Times New Roman" w:eastAsia="Arial" w:hAnsi="Times New Roman" w:cs="Times New Roman"/>
                <w:sz w:val="24"/>
                <w:szCs w:val="24"/>
              </w:rPr>
            </w:pPr>
            <w:r w:rsidRPr="005174B3">
              <w:rPr>
                <w:rFonts w:ascii="Times New Roman" w:eastAsia="Arial" w:hAnsi="Times New Roman" w:cs="Times New Roman"/>
                <w:sz w:val="24"/>
                <w:szCs w:val="24"/>
              </w:rPr>
              <w:t>6(4.62%)</w:t>
            </w:r>
          </w:p>
        </w:tc>
      </w:tr>
      <w:tr w:rsidR="000E65CE" w:rsidRPr="005174B3" w14:paraId="1039808F" w14:textId="77777777" w:rsidTr="00C87E18">
        <w:tblPrEx>
          <w:tblBorders>
            <w:left w:val="single" w:sz="4" w:space="0" w:color="auto"/>
            <w:right w:val="single" w:sz="4" w:space="0" w:color="auto"/>
            <w:insideH w:val="single" w:sz="4" w:space="0" w:color="auto"/>
            <w:insideV w:val="single" w:sz="4" w:space="0" w:color="auto"/>
          </w:tblBorders>
        </w:tblPrEx>
        <w:trPr>
          <w:trHeight w:val="245"/>
        </w:trPr>
        <w:tc>
          <w:tcPr>
            <w:tcW w:w="2268" w:type="dxa"/>
            <w:tcBorders>
              <w:top w:val="nil"/>
              <w:left w:val="nil"/>
              <w:bottom w:val="single" w:sz="4" w:space="0" w:color="auto"/>
              <w:right w:val="nil"/>
            </w:tcBorders>
          </w:tcPr>
          <w:p w14:paraId="0790997A" w14:textId="77777777" w:rsidR="000E65CE" w:rsidRPr="005174B3" w:rsidRDefault="000E65CE" w:rsidP="007567FA">
            <w:pPr>
              <w:spacing w:line="276" w:lineRule="auto"/>
              <w:jc w:val="both"/>
              <w:rPr>
                <w:rFonts w:ascii="Times New Roman" w:eastAsia="Arial" w:hAnsi="Times New Roman" w:cs="Times New Roman"/>
                <w:sz w:val="24"/>
                <w:szCs w:val="24"/>
              </w:rPr>
            </w:pPr>
            <w:r w:rsidRPr="005174B3">
              <w:rPr>
                <w:rFonts w:ascii="Times New Roman" w:eastAsia="Arial" w:hAnsi="Times New Roman" w:cs="Times New Roman"/>
                <w:sz w:val="24"/>
                <w:szCs w:val="24"/>
              </w:rPr>
              <w:t>&gt;60</w:t>
            </w:r>
          </w:p>
        </w:tc>
        <w:tc>
          <w:tcPr>
            <w:tcW w:w="2970" w:type="dxa"/>
            <w:tcBorders>
              <w:top w:val="nil"/>
              <w:left w:val="nil"/>
              <w:bottom w:val="single" w:sz="4" w:space="0" w:color="auto"/>
              <w:right w:val="nil"/>
            </w:tcBorders>
          </w:tcPr>
          <w:p w14:paraId="515CA194" w14:textId="77777777" w:rsidR="000E65CE" w:rsidRPr="005174B3" w:rsidRDefault="000E65CE" w:rsidP="007567FA">
            <w:pPr>
              <w:spacing w:line="276" w:lineRule="auto"/>
              <w:jc w:val="center"/>
              <w:rPr>
                <w:rFonts w:ascii="Times New Roman" w:eastAsia="Arial" w:hAnsi="Times New Roman" w:cs="Times New Roman"/>
                <w:sz w:val="24"/>
                <w:szCs w:val="24"/>
              </w:rPr>
            </w:pPr>
            <w:r w:rsidRPr="005174B3">
              <w:rPr>
                <w:rFonts w:ascii="Times New Roman" w:eastAsia="Arial" w:hAnsi="Times New Roman" w:cs="Times New Roman"/>
                <w:sz w:val="24"/>
                <w:szCs w:val="24"/>
              </w:rPr>
              <w:t>28</w:t>
            </w:r>
          </w:p>
        </w:tc>
        <w:tc>
          <w:tcPr>
            <w:tcW w:w="3409" w:type="dxa"/>
            <w:tcBorders>
              <w:top w:val="nil"/>
              <w:left w:val="nil"/>
              <w:bottom w:val="single" w:sz="4" w:space="0" w:color="auto"/>
              <w:right w:val="nil"/>
            </w:tcBorders>
          </w:tcPr>
          <w:p w14:paraId="69AF96CF" w14:textId="77777777" w:rsidR="000E65CE" w:rsidRPr="005174B3" w:rsidRDefault="000E65CE" w:rsidP="007567FA">
            <w:pPr>
              <w:spacing w:line="276" w:lineRule="auto"/>
              <w:jc w:val="center"/>
              <w:rPr>
                <w:rFonts w:ascii="Times New Roman" w:eastAsia="Arial" w:hAnsi="Times New Roman" w:cs="Times New Roman"/>
                <w:sz w:val="24"/>
                <w:szCs w:val="24"/>
              </w:rPr>
            </w:pPr>
            <w:r w:rsidRPr="005174B3">
              <w:rPr>
                <w:rFonts w:ascii="Times New Roman" w:eastAsia="Arial" w:hAnsi="Times New Roman" w:cs="Times New Roman"/>
                <w:sz w:val="24"/>
                <w:szCs w:val="24"/>
              </w:rPr>
              <w:t>-</w:t>
            </w:r>
          </w:p>
        </w:tc>
      </w:tr>
    </w:tbl>
    <w:p w14:paraId="09059D02" w14:textId="77777777" w:rsidR="00346FD1" w:rsidRDefault="005A34DE" w:rsidP="007567FA">
      <w:pPr>
        <w:spacing w:before="80" w:after="160" w:line="276" w:lineRule="auto"/>
        <w:rPr>
          <w:i/>
          <w:iCs/>
        </w:rPr>
      </w:pPr>
      <w:r w:rsidRPr="00522806">
        <w:rPr>
          <w:i/>
          <w:iCs/>
        </w:rPr>
        <w:t xml:space="preserve">Values in parentheses </w:t>
      </w:r>
      <w:proofErr w:type="gramStart"/>
      <w:r w:rsidR="00D470BA">
        <w:rPr>
          <w:i/>
          <w:iCs/>
        </w:rPr>
        <w:t>()</w:t>
      </w:r>
      <w:r w:rsidRPr="00522806">
        <w:rPr>
          <w:i/>
          <w:iCs/>
        </w:rPr>
        <w:t>represent</w:t>
      </w:r>
      <w:proofErr w:type="gramEnd"/>
      <w:r w:rsidRPr="00522806">
        <w:rPr>
          <w:i/>
          <w:iCs/>
        </w:rPr>
        <w:t xml:space="preserve"> percentages.</w:t>
      </w:r>
    </w:p>
    <w:p w14:paraId="37650BE7" w14:textId="77777777" w:rsidR="007E68DD" w:rsidRPr="007E68DD" w:rsidRDefault="007E68DD" w:rsidP="007567FA">
      <w:pPr>
        <w:spacing w:before="80" w:after="160" w:line="276" w:lineRule="auto"/>
      </w:pPr>
    </w:p>
    <w:p w14:paraId="3A865CE8" w14:textId="77777777" w:rsidR="00346FD1" w:rsidRPr="00522806" w:rsidRDefault="005A34DE" w:rsidP="007567FA">
      <w:pPr>
        <w:spacing w:before="200" w:after="100" w:line="276" w:lineRule="auto"/>
      </w:pPr>
      <w:r w:rsidRPr="00522806">
        <w:rPr>
          <w:b/>
          <w:bCs/>
        </w:rPr>
        <w:t>Distribution of Plasmodium Species by Age and Gender</w:t>
      </w:r>
    </w:p>
    <w:p w14:paraId="4FA70EC4" w14:textId="77777777" w:rsidR="00346FD1" w:rsidRDefault="005A34DE" w:rsidP="007567FA">
      <w:pPr>
        <w:spacing w:before="100" w:after="100" w:line="276" w:lineRule="auto"/>
        <w:jc w:val="both"/>
      </w:pPr>
      <w:r w:rsidRPr="00522806">
        <w:t xml:space="preserve">Microscopic identification of </w:t>
      </w:r>
      <w:r w:rsidRPr="00656DAF">
        <w:rPr>
          <w:i/>
        </w:rPr>
        <w:t>Plasmodium species</w:t>
      </w:r>
      <w:r w:rsidRPr="00522806">
        <w:t xml:space="preserve"> among the 20 confirmed positive samples revealed that </w:t>
      </w:r>
      <w:r w:rsidRPr="005A34DE">
        <w:rPr>
          <w:i/>
        </w:rPr>
        <w:t>P. falciparum</w:t>
      </w:r>
      <w:r w:rsidRPr="00522806">
        <w:t xml:space="preserve"> was the predominant species, accounting for 90% of all malaria cases. </w:t>
      </w:r>
      <w:r w:rsidRPr="00656DAF">
        <w:rPr>
          <w:i/>
        </w:rPr>
        <w:t>P. malariae</w:t>
      </w:r>
      <w:r w:rsidRPr="00522806">
        <w:t xml:space="preserve"> accounted for the remaining 10%, while no </w:t>
      </w:r>
      <w:r w:rsidRPr="00656DAF">
        <w:rPr>
          <w:i/>
        </w:rPr>
        <w:t>P. vivax</w:t>
      </w:r>
      <w:r w:rsidRPr="00522806">
        <w:t xml:space="preserve">, </w:t>
      </w:r>
      <w:r w:rsidRPr="00656DAF">
        <w:rPr>
          <w:i/>
        </w:rPr>
        <w:t xml:space="preserve">P. </w:t>
      </w:r>
      <w:proofErr w:type="spellStart"/>
      <w:r w:rsidRPr="00656DAF">
        <w:rPr>
          <w:i/>
        </w:rPr>
        <w:t>ovale</w:t>
      </w:r>
      <w:proofErr w:type="spellEnd"/>
      <w:r w:rsidRPr="00522806">
        <w:t xml:space="preserve">, or </w:t>
      </w:r>
      <w:r w:rsidRPr="00656DAF">
        <w:rPr>
          <w:i/>
        </w:rPr>
        <w:t>P. knowlesi</w:t>
      </w:r>
      <w:r w:rsidRPr="00522806">
        <w:t xml:space="preserve"> was detected. All </w:t>
      </w:r>
      <w:r w:rsidRPr="00D00980">
        <w:rPr>
          <w:i/>
        </w:rPr>
        <w:t>P. malariae</w:t>
      </w:r>
      <w:r w:rsidRPr="00522806">
        <w:t xml:space="preserve"> cases were observed in fem</w:t>
      </w:r>
      <w:r w:rsidR="00EB77D0">
        <w:t xml:space="preserve">ales aged 30–59 years. Table </w:t>
      </w:r>
      <w:r w:rsidR="00D00980">
        <w:t>3</w:t>
      </w:r>
      <w:r w:rsidRPr="00522806">
        <w:t xml:space="preserve"> presents the distribution of </w:t>
      </w:r>
      <w:r w:rsidRPr="00D00980">
        <w:rPr>
          <w:i/>
        </w:rPr>
        <w:t>Plasmodium species</w:t>
      </w:r>
      <w:r w:rsidRPr="00522806">
        <w:t xml:space="preserve"> by gender and age group.</w:t>
      </w:r>
    </w:p>
    <w:p w14:paraId="56EE50EA" w14:textId="77777777" w:rsidR="00712638" w:rsidRPr="00522806" w:rsidRDefault="00712638" w:rsidP="007567FA">
      <w:pPr>
        <w:spacing w:before="100" w:after="100" w:line="276" w:lineRule="auto"/>
        <w:jc w:val="both"/>
      </w:pPr>
    </w:p>
    <w:p w14:paraId="0FA30770" w14:textId="77777777" w:rsidR="00346FD1" w:rsidRPr="00522806" w:rsidRDefault="005A34DE" w:rsidP="007567FA">
      <w:pPr>
        <w:spacing w:before="160" w:after="60" w:line="276" w:lineRule="auto"/>
      </w:pPr>
      <w:r w:rsidRPr="00522806">
        <w:rPr>
          <w:b/>
          <w:bCs/>
        </w:rPr>
        <w:t xml:space="preserve">Table </w:t>
      </w:r>
      <w:r w:rsidR="007E68DD">
        <w:rPr>
          <w:b/>
          <w:bCs/>
        </w:rPr>
        <w:t>3.</w:t>
      </w:r>
      <w:r w:rsidRPr="00522806">
        <w:rPr>
          <w:b/>
          <w:bCs/>
        </w:rPr>
        <w:t xml:space="preserve"> Distribution of Malaria Species by Age and Gender</w:t>
      </w:r>
    </w:p>
    <w:tbl>
      <w:tblPr>
        <w:tblStyle w:val="TableGrid"/>
        <w:tblW w:w="0" w:type="auto"/>
        <w:tblInd w:w="1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620"/>
        <w:gridCol w:w="1530"/>
        <w:gridCol w:w="1960"/>
        <w:gridCol w:w="1424"/>
      </w:tblGrid>
      <w:tr w:rsidR="00656DAF" w:rsidRPr="0073224D" w14:paraId="70809EB8" w14:textId="77777777" w:rsidTr="00CE0893">
        <w:tc>
          <w:tcPr>
            <w:tcW w:w="1980" w:type="dxa"/>
            <w:tcBorders>
              <w:top w:val="single" w:sz="4" w:space="0" w:color="auto"/>
              <w:bottom w:val="single" w:sz="4" w:space="0" w:color="auto"/>
            </w:tcBorders>
          </w:tcPr>
          <w:p w14:paraId="7C6112C6" w14:textId="77777777" w:rsidR="00656DAF" w:rsidRPr="0073224D" w:rsidRDefault="00656DAF" w:rsidP="007567FA">
            <w:pPr>
              <w:spacing w:line="276" w:lineRule="auto"/>
              <w:jc w:val="both"/>
              <w:rPr>
                <w:rFonts w:ascii="Times New Roman" w:hAnsi="Times New Roman" w:cs="Times New Roman"/>
                <w:b/>
                <w:sz w:val="24"/>
                <w:szCs w:val="24"/>
              </w:rPr>
            </w:pPr>
            <w:r w:rsidRPr="0073224D">
              <w:rPr>
                <w:rFonts w:ascii="Times New Roman" w:hAnsi="Times New Roman" w:cs="Times New Roman"/>
                <w:b/>
                <w:sz w:val="24"/>
                <w:szCs w:val="24"/>
              </w:rPr>
              <w:t>Gender/Age parasite density(</w:t>
            </w:r>
            <w:proofErr w:type="spellStart"/>
            <w:r w:rsidRPr="0073224D">
              <w:rPr>
                <w:rFonts w:ascii="Times New Roman" w:hAnsi="Times New Roman" w:cs="Times New Roman"/>
                <w:b/>
                <w:sz w:val="24"/>
                <w:szCs w:val="24"/>
              </w:rPr>
              <w:t>mp</w:t>
            </w:r>
            <w:proofErr w:type="spellEnd"/>
            <w:r w:rsidRPr="0073224D">
              <w:rPr>
                <w:rFonts w:ascii="Times New Roman" w:hAnsi="Times New Roman" w:cs="Times New Roman"/>
                <w:b/>
                <w:sz w:val="24"/>
                <w:szCs w:val="24"/>
              </w:rPr>
              <w:t>/ul)</w:t>
            </w:r>
            <w:r>
              <w:rPr>
                <w:rFonts w:ascii="Times New Roman" w:hAnsi="Times New Roman" w:cs="Times New Roman"/>
                <w:b/>
                <w:sz w:val="24"/>
                <w:szCs w:val="24"/>
              </w:rPr>
              <w:t xml:space="preserve"> of blood</w:t>
            </w:r>
          </w:p>
        </w:tc>
        <w:tc>
          <w:tcPr>
            <w:tcW w:w="3150" w:type="dxa"/>
            <w:gridSpan w:val="2"/>
            <w:tcBorders>
              <w:top w:val="single" w:sz="4" w:space="0" w:color="auto"/>
              <w:bottom w:val="single" w:sz="4" w:space="0" w:color="auto"/>
            </w:tcBorders>
          </w:tcPr>
          <w:p w14:paraId="331A33E3" w14:textId="77777777" w:rsidR="00656DAF" w:rsidRPr="0073224D" w:rsidRDefault="00656DAF" w:rsidP="007567FA">
            <w:pPr>
              <w:spacing w:line="276" w:lineRule="auto"/>
              <w:jc w:val="center"/>
              <w:rPr>
                <w:rFonts w:ascii="Times New Roman" w:hAnsi="Times New Roman" w:cs="Times New Roman"/>
                <w:b/>
                <w:sz w:val="24"/>
                <w:szCs w:val="24"/>
              </w:rPr>
            </w:pPr>
            <w:r w:rsidRPr="0073224D">
              <w:rPr>
                <w:rFonts w:ascii="Times New Roman" w:hAnsi="Times New Roman" w:cs="Times New Roman"/>
                <w:b/>
                <w:sz w:val="24"/>
                <w:szCs w:val="24"/>
              </w:rPr>
              <w:t>Male</w:t>
            </w:r>
          </w:p>
        </w:tc>
        <w:tc>
          <w:tcPr>
            <w:tcW w:w="3384" w:type="dxa"/>
            <w:gridSpan w:val="2"/>
            <w:tcBorders>
              <w:top w:val="single" w:sz="4" w:space="0" w:color="auto"/>
              <w:bottom w:val="single" w:sz="4" w:space="0" w:color="auto"/>
            </w:tcBorders>
          </w:tcPr>
          <w:p w14:paraId="0F454BFB" w14:textId="77777777" w:rsidR="00656DAF" w:rsidRPr="0073224D" w:rsidRDefault="00656DAF" w:rsidP="007567FA">
            <w:pPr>
              <w:spacing w:line="276" w:lineRule="auto"/>
              <w:jc w:val="center"/>
              <w:rPr>
                <w:rFonts w:ascii="Times New Roman" w:hAnsi="Times New Roman" w:cs="Times New Roman"/>
                <w:b/>
                <w:sz w:val="24"/>
                <w:szCs w:val="24"/>
              </w:rPr>
            </w:pPr>
            <w:r w:rsidRPr="0073224D">
              <w:rPr>
                <w:rFonts w:ascii="Times New Roman" w:hAnsi="Times New Roman" w:cs="Times New Roman"/>
                <w:b/>
                <w:sz w:val="24"/>
                <w:szCs w:val="24"/>
              </w:rPr>
              <w:t>Female</w:t>
            </w:r>
          </w:p>
        </w:tc>
      </w:tr>
      <w:tr w:rsidR="00656DAF" w:rsidRPr="0073224D" w14:paraId="15D3162B" w14:textId="77777777" w:rsidTr="00CE0893">
        <w:tc>
          <w:tcPr>
            <w:tcW w:w="1980" w:type="dxa"/>
            <w:tcBorders>
              <w:top w:val="single" w:sz="4" w:space="0" w:color="auto"/>
            </w:tcBorders>
          </w:tcPr>
          <w:p w14:paraId="1155DE13" w14:textId="77777777" w:rsidR="00656DAF" w:rsidRDefault="00656DAF" w:rsidP="007567FA">
            <w:pPr>
              <w:spacing w:line="276" w:lineRule="auto"/>
              <w:jc w:val="both"/>
              <w:rPr>
                <w:rFonts w:ascii="Times New Roman" w:hAnsi="Times New Roman" w:cs="Times New Roman"/>
                <w:sz w:val="24"/>
                <w:szCs w:val="24"/>
              </w:rPr>
            </w:pPr>
          </w:p>
        </w:tc>
        <w:tc>
          <w:tcPr>
            <w:tcW w:w="1620" w:type="dxa"/>
            <w:tcBorders>
              <w:top w:val="single" w:sz="4" w:space="0" w:color="auto"/>
            </w:tcBorders>
          </w:tcPr>
          <w:p w14:paraId="263541AA" w14:textId="77777777" w:rsidR="00656DAF" w:rsidRPr="0073224D" w:rsidRDefault="00656DAF" w:rsidP="007567FA">
            <w:pPr>
              <w:spacing w:line="276" w:lineRule="auto"/>
              <w:jc w:val="both"/>
              <w:rPr>
                <w:rFonts w:ascii="Times New Roman" w:hAnsi="Times New Roman" w:cs="Times New Roman"/>
                <w:i/>
                <w:sz w:val="24"/>
                <w:szCs w:val="24"/>
              </w:rPr>
            </w:pPr>
            <w:r w:rsidRPr="0073224D">
              <w:rPr>
                <w:rFonts w:ascii="Times New Roman" w:hAnsi="Times New Roman" w:cs="Times New Roman"/>
                <w:i/>
                <w:sz w:val="24"/>
                <w:szCs w:val="24"/>
              </w:rPr>
              <w:t xml:space="preserve">P. </w:t>
            </w:r>
            <w:proofErr w:type="spellStart"/>
            <w:r w:rsidRPr="0073224D">
              <w:rPr>
                <w:rFonts w:ascii="Times New Roman" w:hAnsi="Times New Roman" w:cs="Times New Roman"/>
                <w:i/>
                <w:sz w:val="24"/>
                <w:szCs w:val="24"/>
              </w:rPr>
              <w:t>falciprum</w:t>
            </w:r>
            <w:proofErr w:type="spellEnd"/>
            <w:r w:rsidRPr="0073224D">
              <w:rPr>
                <w:rFonts w:ascii="Times New Roman" w:hAnsi="Times New Roman" w:cs="Times New Roman"/>
                <w:i/>
                <w:sz w:val="24"/>
                <w:szCs w:val="24"/>
              </w:rPr>
              <w:t xml:space="preserve"> </w:t>
            </w:r>
          </w:p>
        </w:tc>
        <w:tc>
          <w:tcPr>
            <w:tcW w:w="1530" w:type="dxa"/>
            <w:tcBorders>
              <w:top w:val="single" w:sz="4" w:space="0" w:color="auto"/>
            </w:tcBorders>
          </w:tcPr>
          <w:p w14:paraId="6424EA87" w14:textId="77777777" w:rsidR="00656DAF" w:rsidRPr="0073224D" w:rsidRDefault="00656DAF" w:rsidP="007567FA">
            <w:pPr>
              <w:spacing w:line="276" w:lineRule="auto"/>
              <w:jc w:val="both"/>
              <w:rPr>
                <w:rFonts w:ascii="Times New Roman" w:hAnsi="Times New Roman" w:cs="Times New Roman"/>
                <w:i/>
                <w:sz w:val="24"/>
                <w:szCs w:val="24"/>
              </w:rPr>
            </w:pPr>
            <w:r w:rsidRPr="0073224D">
              <w:rPr>
                <w:rFonts w:ascii="Times New Roman" w:hAnsi="Times New Roman" w:cs="Times New Roman"/>
                <w:i/>
                <w:sz w:val="24"/>
                <w:szCs w:val="24"/>
              </w:rPr>
              <w:t>P. Malaria</w:t>
            </w:r>
            <w:r>
              <w:rPr>
                <w:rFonts w:ascii="Times New Roman" w:hAnsi="Times New Roman" w:cs="Times New Roman"/>
                <w:i/>
                <w:sz w:val="24"/>
                <w:szCs w:val="24"/>
              </w:rPr>
              <w:t>e</w:t>
            </w:r>
            <w:r w:rsidRPr="0073224D">
              <w:rPr>
                <w:rFonts w:ascii="Times New Roman" w:hAnsi="Times New Roman" w:cs="Times New Roman"/>
                <w:i/>
                <w:sz w:val="24"/>
                <w:szCs w:val="24"/>
              </w:rPr>
              <w:t xml:space="preserve"> </w:t>
            </w:r>
          </w:p>
        </w:tc>
        <w:tc>
          <w:tcPr>
            <w:tcW w:w="1960" w:type="dxa"/>
            <w:tcBorders>
              <w:top w:val="single" w:sz="4" w:space="0" w:color="auto"/>
            </w:tcBorders>
          </w:tcPr>
          <w:p w14:paraId="774619BA" w14:textId="77777777" w:rsidR="00656DAF" w:rsidRPr="0073224D" w:rsidRDefault="00656DAF" w:rsidP="007567FA">
            <w:pPr>
              <w:spacing w:line="276" w:lineRule="auto"/>
              <w:jc w:val="both"/>
              <w:rPr>
                <w:rFonts w:ascii="Times New Roman" w:hAnsi="Times New Roman" w:cs="Times New Roman"/>
                <w:i/>
                <w:sz w:val="24"/>
                <w:szCs w:val="24"/>
              </w:rPr>
            </w:pPr>
            <w:r w:rsidRPr="0073224D">
              <w:rPr>
                <w:rFonts w:ascii="Times New Roman" w:hAnsi="Times New Roman" w:cs="Times New Roman"/>
                <w:i/>
                <w:sz w:val="24"/>
                <w:szCs w:val="24"/>
              </w:rPr>
              <w:t xml:space="preserve">P. </w:t>
            </w:r>
            <w:proofErr w:type="spellStart"/>
            <w:r w:rsidRPr="0073224D">
              <w:rPr>
                <w:rFonts w:ascii="Times New Roman" w:hAnsi="Times New Roman" w:cs="Times New Roman"/>
                <w:i/>
                <w:sz w:val="24"/>
                <w:szCs w:val="24"/>
              </w:rPr>
              <w:t>falciprum</w:t>
            </w:r>
            <w:proofErr w:type="spellEnd"/>
            <w:r w:rsidRPr="0073224D">
              <w:rPr>
                <w:rFonts w:ascii="Times New Roman" w:hAnsi="Times New Roman" w:cs="Times New Roman"/>
                <w:i/>
                <w:sz w:val="24"/>
                <w:szCs w:val="24"/>
              </w:rPr>
              <w:t xml:space="preserve"> </w:t>
            </w:r>
          </w:p>
        </w:tc>
        <w:tc>
          <w:tcPr>
            <w:tcW w:w="1424" w:type="dxa"/>
            <w:tcBorders>
              <w:top w:val="single" w:sz="4" w:space="0" w:color="auto"/>
            </w:tcBorders>
          </w:tcPr>
          <w:p w14:paraId="5755E8DC" w14:textId="77777777" w:rsidR="00656DAF" w:rsidRPr="0073224D" w:rsidRDefault="00656DAF" w:rsidP="007567FA">
            <w:pPr>
              <w:spacing w:line="276" w:lineRule="auto"/>
              <w:jc w:val="both"/>
              <w:rPr>
                <w:rFonts w:ascii="Times New Roman" w:hAnsi="Times New Roman" w:cs="Times New Roman"/>
                <w:i/>
                <w:sz w:val="24"/>
                <w:szCs w:val="24"/>
              </w:rPr>
            </w:pPr>
            <w:r w:rsidRPr="0073224D">
              <w:rPr>
                <w:rFonts w:ascii="Times New Roman" w:hAnsi="Times New Roman" w:cs="Times New Roman"/>
                <w:i/>
                <w:sz w:val="24"/>
                <w:szCs w:val="24"/>
              </w:rPr>
              <w:t>P. Ma</w:t>
            </w:r>
            <w:r>
              <w:rPr>
                <w:rFonts w:ascii="Times New Roman" w:hAnsi="Times New Roman" w:cs="Times New Roman"/>
                <w:i/>
                <w:sz w:val="24"/>
                <w:szCs w:val="24"/>
              </w:rPr>
              <w:t xml:space="preserve">lariae </w:t>
            </w:r>
          </w:p>
        </w:tc>
      </w:tr>
      <w:tr w:rsidR="00656DAF" w:rsidRPr="0073224D" w14:paraId="04CCD4C0" w14:textId="77777777" w:rsidTr="00CE0893">
        <w:tc>
          <w:tcPr>
            <w:tcW w:w="1980" w:type="dxa"/>
          </w:tcPr>
          <w:p w14:paraId="5E0625B8"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0.14</w:t>
            </w:r>
          </w:p>
        </w:tc>
        <w:tc>
          <w:tcPr>
            <w:tcW w:w="1620" w:type="dxa"/>
          </w:tcPr>
          <w:p w14:paraId="2CE1E33B"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w:t>
            </w:r>
          </w:p>
        </w:tc>
        <w:tc>
          <w:tcPr>
            <w:tcW w:w="1530" w:type="dxa"/>
          </w:tcPr>
          <w:p w14:paraId="70D70AAC"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w:t>
            </w:r>
          </w:p>
        </w:tc>
        <w:tc>
          <w:tcPr>
            <w:tcW w:w="1960" w:type="dxa"/>
          </w:tcPr>
          <w:p w14:paraId="04C16A30"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2</w:t>
            </w:r>
          </w:p>
        </w:tc>
        <w:tc>
          <w:tcPr>
            <w:tcW w:w="1424" w:type="dxa"/>
          </w:tcPr>
          <w:p w14:paraId="0B13771A"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w:t>
            </w:r>
          </w:p>
        </w:tc>
      </w:tr>
      <w:tr w:rsidR="00656DAF" w:rsidRPr="0073224D" w14:paraId="0383BBFF" w14:textId="77777777" w:rsidTr="00CE0893">
        <w:tc>
          <w:tcPr>
            <w:tcW w:w="1980" w:type="dxa"/>
          </w:tcPr>
          <w:p w14:paraId="410A74FC"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15-29</w:t>
            </w:r>
          </w:p>
        </w:tc>
        <w:tc>
          <w:tcPr>
            <w:tcW w:w="1620" w:type="dxa"/>
          </w:tcPr>
          <w:p w14:paraId="4936B9F8"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2</w:t>
            </w:r>
          </w:p>
        </w:tc>
        <w:tc>
          <w:tcPr>
            <w:tcW w:w="1530" w:type="dxa"/>
          </w:tcPr>
          <w:p w14:paraId="53893170" w14:textId="77777777" w:rsidR="00656DAF" w:rsidRPr="0073224D" w:rsidRDefault="00656DAF" w:rsidP="007567FA">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1960" w:type="dxa"/>
          </w:tcPr>
          <w:p w14:paraId="513A876E"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4</w:t>
            </w:r>
          </w:p>
        </w:tc>
        <w:tc>
          <w:tcPr>
            <w:tcW w:w="1424" w:type="dxa"/>
          </w:tcPr>
          <w:p w14:paraId="4D6A5676"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w:t>
            </w:r>
          </w:p>
        </w:tc>
      </w:tr>
      <w:tr w:rsidR="00656DAF" w:rsidRPr="0073224D" w14:paraId="532ECA50" w14:textId="77777777" w:rsidTr="00CE0893">
        <w:tc>
          <w:tcPr>
            <w:tcW w:w="1980" w:type="dxa"/>
          </w:tcPr>
          <w:p w14:paraId="6FCFD1EB"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30-44</w:t>
            </w:r>
          </w:p>
        </w:tc>
        <w:tc>
          <w:tcPr>
            <w:tcW w:w="1620" w:type="dxa"/>
          </w:tcPr>
          <w:p w14:paraId="12B50BA0"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2</w:t>
            </w:r>
          </w:p>
        </w:tc>
        <w:tc>
          <w:tcPr>
            <w:tcW w:w="1530" w:type="dxa"/>
          </w:tcPr>
          <w:p w14:paraId="468BB84A" w14:textId="77777777" w:rsidR="00656DAF" w:rsidRPr="0073224D" w:rsidRDefault="00656DAF" w:rsidP="007567FA">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1960" w:type="dxa"/>
          </w:tcPr>
          <w:p w14:paraId="7929CD70"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3</w:t>
            </w:r>
          </w:p>
        </w:tc>
        <w:tc>
          <w:tcPr>
            <w:tcW w:w="1424" w:type="dxa"/>
          </w:tcPr>
          <w:p w14:paraId="53BB4ABB"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1</w:t>
            </w:r>
          </w:p>
        </w:tc>
      </w:tr>
      <w:tr w:rsidR="00656DAF" w:rsidRPr="0073224D" w14:paraId="0BF34624" w14:textId="77777777" w:rsidTr="00CE0893">
        <w:tc>
          <w:tcPr>
            <w:tcW w:w="1980" w:type="dxa"/>
          </w:tcPr>
          <w:p w14:paraId="45144BDC"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lastRenderedPageBreak/>
              <w:t>45-49</w:t>
            </w:r>
          </w:p>
        </w:tc>
        <w:tc>
          <w:tcPr>
            <w:tcW w:w="1620" w:type="dxa"/>
          </w:tcPr>
          <w:p w14:paraId="36AF06DF" w14:textId="77777777" w:rsidR="00656DAF" w:rsidRPr="0073224D" w:rsidRDefault="00656DAF" w:rsidP="007567FA">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30" w:type="dxa"/>
          </w:tcPr>
          <w:p w14:paraId="73A76B94"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w:t>
            </w:r>
          </w:p>
        </w:tc>
        <w:tc>
          <w:tcPr>
            <w:tcW w:w="1960" w:type="dxa"/>
          </w:tcPr>
          <w:p w14:paraId="78D71369"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4</w:t>
            </w:r>
          </w:p>
        </w:tc>
        <w:tc>
          <w:tcPr>
            <w:tcW w:w="1424" w:type="dxa"/>
          </w:tcPr>
          <w:p w14:paraId="6E108CB7"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1</w:t>
            </w:r>
          </w:p>
        </w:tc>
      </w:tr>
      <w:tr w:rsidR="00656DAF" w:rsidRPr="0073224D" w14:paraId="28330EFE" w14:textId="77777777" w:rsidTr="00CE0893">
        <w:tc>
          <w:tcPr>
            <w:tcW w:w="1980" w:type="dxa"/>
          </w:tcPr>
          <w:p w14:paraId="0ED677B9" w14:textId="77777777" w:rsidR="00656DAF" w:rsidRPr="0073224D" w:rsidRDefault="00656DAF" w:rsidP="007567F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620" w:type="dxa"/>
          </w:tcPr>
          <w:p w14:paraId="54BBA0DD" w14:textId="77777777" w:rsidR="00656DAF" w:rsidRPr="0073224D" w:rsidRDefault="00656DAF" w:rsidP="007567FA">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530" w:type="dxa"/>
          </w:tcPr>
          <w:p w14:paraId="3D172204" w14:textId="77777777" w:rsidR="00656DAF" w:rsidRPr="0073224D" w:rsidRDefault="00656DAF" w:rsidP="007567FA">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1960" w:type="dxa"/>
          </w:tcPr>
          <w:p w14:paraId="3B80C43A" w14:textId="77777777" w:rsidR="00656DAF" w:rsidRPr="0073224D" w:rsidRDefault="00656DAF" w:rsidP="007567FA">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424" w:type="dxa"/>
          </w:tcPr>
          <w:p w14:paraId="55F4B791" w14:textId="77777777" w:rsidR="00656DAF" w:rsidRPr="0073224D" w:rsidRDefault="00656DAF" w:rsidP="007567FA">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r>
    </w:tbl>
    <w:p w14:paraId="49D2ED88" w14:textId="77777777" w:rsidR="00346FD1" w:rsidRDefault="005A34DE" w:rsidP="007567FA">
      <w:pPr>
        <w:spacing w:before="80" w:after="160" w:line="276" w:lineRule="auto"/>
        <w:rPr>
          <w:iCs/>
        </w:rPr>
      </w:pPr>
      <w:r w:rsidRPr="00522806">
        <w:rPr>
          <w:i/>
          <w:iCs/>
        </w:rPr>
        <w:t>– denotes no cases recorded in that category.</w:t>
      </w:r>
    </w:p>
    <w:p w14:paraId="3BEF4A48" w14:textId="77777777" w:rsidR="00F61EE8" w:rsidRPr="00F61EE8" w:rsidRDefault="00F61EE8" w:rsidP="007567FA">
      <w:pPr>
        <w:spacing w:before="80" w:after="160" w:line="276" w:lineRule="auto"/>
      </w:pPr>
    </w:p>
    <w:p w14:paraId="660177C2" w14:textId="77777777" w:rsidR="00346FD1" w:rsidRPr="00522806" w:rsidRDefault="005A34DE" w:rsidP="007567FA">
      <w:pPr>
        <w:spacing w:before="200" w:after="100" w:line="276" w:lineRule="auto"/>
      </w:pPr>
      <w:r w:rsidRPr="00522806">
        <w:rPr>
          <w:b/>
          <w:bCs/>
        </w:rPr>
        <w:t>Parasite Density Distribution by Age and Gender</w:t>
      </w:r>
    </w:p>
    <w:p w14:paraId="615C31E1" w14:textId="77777777" w:rsidR="00346FD1" w:rsidRDefault="005A34DE" w:rsidP="007567FA">
      <w:pPr>
        <w:spacing w:before="100" w:after="100" w:line="276" w:lineRule="auto"/>
        <w:jc w:val="both"/>
      </w:pPr>
      <w:r w:rsidRPr="00522806">
        <w:t xml:space="preserve">Among the 20 confirmed positive samples, all cases were classified as either Moderate (&gt;1,000–&lt;10,000 parasites/µL) or High (≥10,000 parasites/µL) </w:t>
      </w:r>
      <w:proofErr w:type="spellStart"/>
      <w:r w:rsidRPr="00522806">
        <w:t>parasitaemia</w:t>
      </w:r>
      <w:proofErr w:type="spellEnd"/>
      <w:r w:rsidRPr="00522806">
        <w:t xml:space="preserve">; no Low </w:t>
      </w:r>
      <w:proofErr w:type="spellStart"/>
      <w:r w:rsidRPr="00522806">
        <w:t>parasitaemia</w:t>
      </w:r>
      <w:proofErr w:type="spellEnd"/>
      <w:r w:rsidRPr="00522806">
        <w:t xml:space="preserve"> cases (&lt;1,000 parasites/µL) were recorded. Overall, 70% of positive cases (n = 14) had High parasite density, while 30% (n = 6) had Moderate parasite density. Among males, 1 case had Moderate and 4 had High parasite density. Among females, 5 cases had Moderate and 10 had High parasite density. The distribution of parasite density by age group and </w:t>
      </w:r>
      <w:r w:rsidR="00D06395">
        <w:t>gender is presented in Table 4.</w:t>
      </w:r>
    </w:p>
    <w:p w14:paraId="28F26DDD" w14:textId="77777777" w:rsidR="00147908" w:rsidRPr="00522806" w:rsidRDefault="00147908" w:rsidP="007567FA">
      <w:pPr>
        <w:spacing w:before="100" w:after="100" w:line="276" w:lineRule="auto"/>
        <w:jc w:val="both"/>
      </w:pPr>
    </w:p>
    <w:p w14:paraId="776D8B0D" w14:textId="77777777" w:rsidR="00E9135A" w:rsidRPr="00E9135A" w:rsidRDefault="005A34DE" w:rsidP="007567FA">
      <w:pPr>
        <w:spacing w:before="160" w:after="60" w:line="276" w:lineRule="auto"/>
        <w:rPr>
          <w:b/>
          <w:bCs/>
        </w:rPr>
      </w:pPr>
      <w:r w:rsidRPr="00522806">
        <w:rPr>
          <w:b/>
          <w:bCs/>
        </w:rPr>
        <w:t>Table 4. Absolute Parasite Density by Age and Gender</w:t>
      </w:r>
    </w:p>
    <w:p w14:paraId="407C74C6" w14:textId="77777777" w:rsidR="00E9135A" w:rsidRPr="00E9135A" w:rsidRDefault="005A34DE" w:rsidP="007567FA">
      <w:pPr>
        <w:spacing w:after="60" w:line="276" w:lineRule="auto"/>
        <w:rPr>
          <w:iCs/>
        </w:rPr>
      </w:pPr>
      <w:r w:rsidRPr="00E9135A">
        <w:rPr>
          <w:iCs/>
        </w:rPr>
        <w:t>Moderate (</w:t>
      </w:r>
      <w:r w:rsidR="00E9135A" w:rsidRPr="00E9135A">
        <w:rPr>
          <w:iCs/>
        </w:rPr>
        <w:t xml:space="preserve">&gt;1,000 &lt;10,000 </w:t>
      </w:r>
      <w:proofErr w:type="spellStart"/>
      <w:r w:rsidR="00E9135A" w:rsidRPr="00E9135A">
        <w:rPr>
          <w:iCs/>
        </w:rPr>
        <w:t>mp</w:t>
      </w:r>
      <w:proofErr w:type="spellEnd"/>
      <w:r w:rsidR="00E9135A" w:rsidRPr="00E9135A">
        <w:rPr>
          <w:iCs/>
        </w:rPr>
        <w:t>/µL of blood)</w:t>
      </w:r>
    </w:p>
    <w:p w14:paraId="01989DEF" w14:textId="77777777" w:rsidR="00346FD1" w:rsidRPr="00E9135A" w:rsidRDefault="005A34DE" w:rsidP="007567FA">
      <w:pPr>
        <w:spacing w:after="60" w:line="276" w:lineRule="auto"/>
        <w:rPr>
          <w:iCs/>
        </w:rPr>
      </w:pPr>
      <w:r w:rsidRPr="00E9135A">
        <w:rPr>
          <w:iCs/>
        </w:rPr>
        <w:t xml:space="preserve">High (≥10,000 </w:t>
      </w:r>
      <w:proofErr w:type="spellStart"/>
      <w:r w:rsidRPr="00E9135A">
        <w:rPr>
          <w:iCs/>
        </w:rPr>
        <w:t>mp</w:t>
      </w:r>
      <w:proofErr w:type="spellEnd"/>
      <w:r w:rsidRPr="00E9135A">
        <w:rPr>
          <w:iCs/>
        </w:rPr>
        <w:t>/µL of blood)</w:t>
      </w:r>
    </w:p>
    <w:tbl>
      <w:tblPr>
        <w:tblStyle w:val="TableGrid"/>
        <w:tblW w:w="0" w:type="auto"/>
        <w:tblLook w:val="04A0" w:firstRow="1" w:lastRow="0" w:firstColumn="1" w:lastColumn="0" w:noHBand="0" w:noVBand="1"/>
      </w:tblPr>
      <w:tblGrid>
        <w:gridCol w:w="1750"/>
        <w:gridCol w:w="1684"/>
        <w:gridCol w:w="1684"/>
        <w:gridCol w:w="1684"/>
        <w:gridCol w:w="1684"/>
      </w:tblGrid>
      <w:tr w:rsidR="00147908" w:rsidRPr="001F0BC8" w14:paraId="57D80B71" w14:textId="77777777" w:rsidTr="00CE0893">
        <w:tc>
          <w:tcPr>
            <w:tcW w:w="1750" w:type="dxa"/>
            <w:tcBorders>
              <w:top w:val="single" w:sz="4" w:space="0" w:color="auto"/>
              <w:left w:val="nil"/>
              <w:bottom w:val="single" w:sz="4" w:space="0" w:color="auto"/>
              <w:right w:val="nil"/>
            </w:tcBorders>
          </w:tcPr>
          <w:p w14:paraId="56EF90AC" w14:textId="77777777" w:rsidR="00147908" w:rsidRPr="001F0BC8" w:rsidRDefault="00147908" w:rsidP="007567FA">
            <w:pPr>
              <w:spacing w:line="276" w:lineRule="auto"/>
              <w:rPr>
                <w:rFonts w:ascii="Times New Roman" w:hAnsi="Times New Roman" w:cs="Times New Roman"/>
                <w:b/>
                <w:sz w:val="24"/>
                <w:szCs w:val="24"/>
                <w:lang w:val="en-GB"/>
              </w:rPr>
            </w:pPr>
            <w:r w:rsidRPr="001F0BC8">
              <w:rPr>
                <w:rFonts w:ascii="Times New Roman" w:hAnsi="Times New Roman" w:cs="Times New Roman"/>
                <w:b/>
                <w:sz w:val="24"/>
                <w:szCs w:val="24"/>
                <w:lang w:val="en-GB"/>
              </w:rPr>
              <w:t>Gender</w:t>
            </w:r>
            <w:r>
              <w:rPr>
                <w:rFonts w:ascii="Times New Roman" w:hAnsi="Times New Roman" w:cs="Times New Roman"/>
                <w:b/>
                <w:sz w:val="24"/>
                <w:szCs w:val="24"/>
                <w:lang w:val="en-GB"/>
              </w:rPr>
              <w:t>/Age</w:t>
            </w:r>
          </w:p>
        </w:tc>
        <w:tc>
          <w:tcPr>
            <w:tcW w:w="3368" w:type="dxa"/>
            <w:gridSpan w:val="2"/>
            <w:tcBorders>
              <w:top w:val="single" w:sz="4" w:space="0" w:color="auto"/>
              <w:left w:val="nil"/>
              <w:bottom w:val="single" w:sz="4" w:space="0" w:color="auto"/>
              <w:right w:val="nil"/>
            </w:tcBorders>
          </w:tcPr>
          <w:p w14:paraId="3F8DEED4" w14:textId="77777777" w:rsidR="00147908" w:rsidRPr="001F0BC8" w:rsidRDefault="00147908" w:rsidP="007567FA">
            <w:pPr>
              <w:spacing w:line="276" w:lineRule="auto"/>
              <w:rPr>
                <w:rFonts w:ascii="Times New Roman" w:hAnsi="Times New Roman" w:cs="Times New Roman"/>
                <w:b/>
                <w:sz w:val="24"/>
                <w:szCs w:val="24"/>
                <w:lang w:val="en-GB"/>
              </w:rPr>
            </w:pPr>
            <w:r w:rsidRPr="001F0BC8">
              <w:rPr>
                <w:rFonts w:ascii="Times New Roman" w:hAnsi="Times New Roman" w:cs="Times New Roman"/>
                <w:b/>
                <w:sz w:val="24"/>
                <w:szCs w:val="24"/>
                <w:lang w:val="en-GB"/>
              </w:rPr>
              <w:t>Male</w:t>
            </w:r>
          </w:p>
        </w:tc>
        <w:tc>
          <w:tcPr>
            <w:tcW w:w="3368" w:type="dxa"/>
            <w:gridSpan w:val="2"/>
            <w:tcBorders>
              <w:top w:val="single" w:sz="4" w:space="0" w:color="auto"/>
              <w:left w:val="nil"/>
              <w:bottom w:val="single" w:sz="4" w:space="0" w:color="auto"/>
              <w:right w:val="nil"/>
            </w:tcBorders>
          </w:tcPr>
          <w:p w14:paraId="430FFFE0" w14:textId="77777777" w:rsidR="00147908" w:rsidRPr="001F0BC8" w:rsidRDefault="00147908" w:rsidP="007567FA">
            <w:pPr>
              <w:spacing w:line="276" w:lineRule="auto"/>
              <w:rPr>
                <w:rFonts w:ascii="Times New Roman" w:hAnsi="Times New Roman" w:cs="Times New Roman"/>
                <w:b/>
                <w:sz w:val="24"/>
                <w:szCs w:val="24"/>
                <w:lang w:val="en-GB"/>
              </w:rPr>
            </w:pPr>
            <w:r w:rsidRPr="001F0BC8">
              <w:rPr>
                <w:rFonts w:ascii="Times New Roman" w:hAnsi="Times New Roman" w:cs="Times New Roman"/>
                <w:b/>
                <w:sz w:val="24"/>
                <w:szCs w:val="24"/>
                <w:lang w:val="en-GB"/>
              </w:rPr>
              <w:t>Female</w:t>
            </w:r>
          </w:p>
        </w:tc>
      </w:tr>
      <w:tr w:rsidR="00147908" w:rsidRPr="001F0BC8" w14:paraId="380C55E7" w14:textId="77777777" w:rsidTr="00CE0893">
        <w:tc>
          <w:tcPr>
            <w:tcW w:w="1750" w:type="dxa"/>
            <w:tcBorders>
              <w:top w:val="single" w:sz="4" w:space="0" w:color="auto"/>
              <w:left w:val="nil"/>
              <w:bottom w:val="nil"/>
              <w:right w:val="nil"/>
            </w:tcBorders>
          </w:tcPr>
          <w:p w14:paraId="163BCA71" w14:textId="77777777" w:rsidR="00147908" w:rsidRPr="001F0BC8" w:rsidRDefault="00147908" w:rsidP="007567FA">
            <w:pPr>
              <w:spacing w:line="276" w:lineRule="auto"/>
              <w:rPr>
                <w:rFonts w:ascii="Times New Roman" w:hAnsi="Times New Roman" w:cs="Times New Roman"/>
                <w:b/>
                <w:sz w:val="24"/>
                <w:szCs w:val="24"/>
                <w:lang w:val="en-GB"/>
              </w:rPr>
            </w:pPr>
            <w:r>
              <w:rPr>
                <w:rFonts w:ascii="Times New Roman" w:hAnsi="Times New Roman" w:cs="Times New Roman"/>
                <w:b/>
                <w:sz w:val="24"/>
                <w:szCs w:val="24"/>
                <w:lang w:val="en-GB"/>
              </w:rPr>
              <w:t>Parasite density(</w:t>
            </w:r>
            <w:proofErr w:type="spellStart"/>
            <w:r>
              <w:rPr>
                <w:rFonts w:ascii="Times New Roman" w:hAnsi="Times New Roman" w:cs="Times New Roman"/>
                <w:b/>
                <w:sz w:val="24"/>
                <w:szCs w:val="24"/>
                <w:lang w:val="en-GB"/>
              </w:rPr>
              <w:t>mp</w:t>
            </w:r>
            <w:proofErr w:type="spellEnd"/>
            <w:r>
              <w:rPr>
                <w:rFonts w:ascii="Times New Roman" w:hAnsi="Times New Roman" w:cs="Times New Roman"/>
                <w:b/>
                <w:sz w:val="24"/>
                <w:szCs w:val="24"/>
                <w:lang w:val="en-GB"/>
              </w:rPr>
              <w:t>/ul)</w:t>
            </w:r>
          </w:p>
        </w:tc>
        <w:tc>
          <w:tcPr>
            <w:tcW w:w="1684" w:type="dxa"/>
            <w:tcBorders>
              <w:top w:val="single" w:sz="4" w:space="0" w:color="auto"/>
              <w:left w:val="nil"/>
              <w:bottom w:val="nil"/>
              <w:right w:val="nil"/>
            </w:tcBorders>
          </w:tcPr>
          <w:p w14:paraId="0ED2031B"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softHyphen/>
            </w:r>
            <w:r w:rsidRPr="001F0BC8">
              <w:rPr>
                <w:rFonts w:ascii="Times New Roman" w:hAnsi="Times New Roman" w:cs="Times New Roman"/>
                <w:sz w:val="24"/>
                <w:szCs w:val="24"/>
                <w:lang w:val="en-GB"/>
              </w:rPr>
              <w:softHyphen/>
            </w:r>
            <w:r w:rsidRPr="001F0BC8">
              <w:rPr>
                <w:rFonts w:ascii="Times New Roman" w:hAnsi="Times New Roman" w:cs="Times New Roman"/>
                <w:sz w:val="24"/>
                <w:szCs w:val="24"/>
                <w:lang w:val="en-GB"/>
              </w:rPr>
              <w:softHyphen/>
            </w:r>
            <w:r w:rsidRPr="001F0BC8">
              <w:rPr>
                <w:rFonts w:ascii="Times New Roman" w:hAnsi="Times New Roman" w:cs="Times New Roman"/>
                <w:sz w:val="24"/>
                <w:szCs w:val="24"/>
                <w:lang w:val="en-GB"/>
              </w:rPr>
              <w:softHyphen/>
            </w:r>
            <w:r w:rsidRPr="001F0BC8">
              <w:rPr>
                <w:rFonts w:ascii="Times New Roman" w:hAnsi="Times New Roman" w:cs="Times New Roman"/>
                <w:sz w:val="24"/>
                <w:szCs w:val="24"/>
                <w:lang w:val="en-GB"/>
              </w:rPr>
              <w:softHyphen/>
            </w:r>
            <w:r w:rsidRPr="001F0BC8">
              <w:rPr>
                <w:rFonts w:ascii="Times New Roman" w:hAnsi="Times New Roman" w:cs="Times New Roman"/>
                <w:sz w:val="24"/>
                <w:szCs w:val="24"/>
                <w:lang w:val="en-GB"/>
              </w:rPr>
              <w:softHyphen/>
            </w:r>
            <w:r w:rsidRPr="001F0BC8">
              <w:rPr>
                <w:rFonts w:ascii="Times New Roman" w:hAnsi="Times New Roman" w:cs="Times New Roman"/>
                <w:sz w:val="24"/>
                <w:szCs w:val="24"/>
                <w:lang w:val="en-GB"/>
              </w:rPr>
              <w:softHyphen/>
            </w:r>
            <w:r w:rsidRPr="001F0BC8">
              <w:rPr>
                <w:rFonts w:ascii="Times New Roman" w:hAnsi="Times New Roman" w:cs="Times New Roman"/>
                <w:sz w:val="24"/>
                <w:szCs w:val="24"/>
                <w:lang w:val="en-GB"/>
              </w:rPr>
              <w:softHyphen/>
            </w:r>
            <w:r>
              <w:rPr>
                <w:rFonts w:ascii="Times New Roman" w:hAnsi="Times New Roman" w:cs="Times New Roman"/>
                <w:sz w:val="24"/>
                <w:szCs w:val="24"/>
                <w:lang w:val="en-GB"/>
              </w:rPr>
              <w:t>moderate</w:t>
            </w:r>
          </w:p>
        </w:tc>
        <w:tc>
          <w:tcPr>
            <w:tcW w:w="1684" w:type="dxa"/>
            <w:tcBorders>
              <w:top w:val="single" w:sz="4" w:space="0" w:color="auto"/>
              <w:left w:val="nil"/>
              <w:bottom w:val="nil"/>
              <w:right w:val="nil"/>
            </w:tcBorders>
          </w:tcPr>
          <w:p w14:paraId="29CDE32C" w14:textId="77777777" w:rsidR="00147908" w:rsidRPr="001F0BC8" w:rsidRDefault="00147908" w:rsidP="007567FA">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High</w:t>
            </w:r>
          </w:p>
        </w:tc>
        <w:tc>
          <w:tcPr>
            <w:tcW w:w="1684" w:type="dxa"/>
            <w:tcBorders>
              <w:top w:val="single" w:sz="4" w:space="0" w:color="auto"/>
              <w:left w:val="nil"/>
              <w:bottom w:val="nil"/>
              <w:right w:val="nil"/>
            </w:tcBorders>
          </w:tcPr>
          <w:p w14:paraId="5A90E9F2" w14:textId="77777777" w:rsidR="00147908" w:rsidRPr="001F0BC8" w:rsidRDefault="00147908" w:rsidP="007567FA">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Moderate</w:t>
            </w:r>
          </w:p>
        </w:tc>
        <w:tc>
          <w:tcPr>
            <w:tcW w:w="1684" w:type="dxa"/>
            <w:tcBorders>
              <w:top w:val="single" w:sz="4" w:space="0" w:color="auto"/>
              <w:left w:val="nil"/>
              <w:bottom w:val="nil"/>
              <w:right w:val="nil"/>
            </w:tcBorders>
          </w:tcPr>
          <w:p w14:paraId="046BD663" w14:textId="77777777" w:rsidR="00147908" w:rsidRPr="001F0BC8" w:rsidRDefault="00147908" w:rsidP="007567FA">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High</w:t>
            </w:r>
          </w:p>
        </w:tc>
      </w:tr>
      <w:tr w:rsidR="00147908" w:rsidRPr="001F0BC8" w14:paraId="136BB018" w14:textId="77777777" w:rsidTr="00CE0893">
        <w:tc>
          <w:tcPr>
            <w:tcW w:w="1750" w:type="dxa"/>
            <w:tcBorders>
              <w:top w:val="nil"/>
              <w:left w:val="nil"/>
              <w:bottom w:val="nil"/>
              <w:right w:val="nil"/>
            </w:tcBorders>
          </w:tcPr>
          <w:p w14:paraId="4C4852C3"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0-14</w:t>
            </w:r>
          </w:p>
        </w:tc>
        <w:tc>
          <w:tcPr>
            <w:tcW w:w="1684" w:type="dxa"/>
            <w:tcBorders>
              <w:top w:val="nil"/>
              <w:left w:val="nil"/>
              <w:bottom w:val="nil"/>
              <w:right w:val="nil"/>
            </w:tcBorders>
          </w:tcPr>
          <w:p w14:paraId="0D9BE67F"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w:t>
            </w:r>
          </w:p>
        </w:tc>
        <w:tc>
          <w:tcPr>
            <w:tcW w:w="1684" w:type="dxa"/>
            <w:tcBorders>
              <w:top w:val="nil"/>
              <w:left w:val="nil"/>
              <w:bottom w:val="nil"/>
              <w:right w:val="nil"/>
            </w:tcBorders>
          </w:tcPr>
          <w:p w14:paraId="30E65FF1"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w:t>
            </w:r>
          </w:p>
        </w:tc>
        <w:tc>
          <w:tcPr>
            <w:tcW w:w="1684" w:type="dxa"/>
            <w:tcBorders>
              <w:top w:val="nil"/>
              <w:left w:val="nil"/>
              <w:bottom w:val="nil"/>
              <w:right w:val="nil"/>
            </w:tcBorders>
          </w:tcPr>
          <w:p w14:paraId="10FB772C"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w:t>
            </w:r>
          </w:p>
        </w:tc>
        <w:tc>
          <w:tcPr>
            <w:tcW w:w="1684" w:type="dxa"/>
            <w:tcBorders>
              <w:top w:val="nil"/>
              <w:left w:val="nil"/>
              <w:bottom w:val="nil"/>
              <w:right w:val="nil"/>
            </w:tcBorders>
          </w:tcPr>
          <w:p w14:paraId="1A178590"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2</w:t>
            </w:r>
          </w:p>
        </w:tc>
      </w:tr>
      <w:tr w:rsidR="00147908" w:rsidRPr="001F0BC8" w14:paraId="4AE6EDE6" w14:textId="77777777" w:rsidTr="00CE0893">
        <w:tc>
          <w:tcPr>
            <w:tcW w:w="1750" w:type="dxa"/>
            <w:tcBorders>
              <w:top w:val="nil"/>
              <w:left w:val="nil"/>
              <w:bottom w:val="nil"/>
              <w:right w:val="nil"/>
            </w:tcBorders>
          </w:tcPr>
          <w:p w14:paraId="254F46D6"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15-29</w:t>
            </w:r>
          </w:p>
        </w:tc>
        <w:tc>
          <w:tcPr>
            <w:tcW w:w="1684" w:type="dxa"/>
            <w:tcBorders>
              <w:top w:val="nil"/>
              <w:left w:val="nil"/>
              <w:bottom w:val="nil"/>
              <w:right w:val="nil"/>
            </w:tcBorders>
          </w:tcPr>
          <w:p w14:paraId="6D5D4978"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w:t>
            </w:r>
          </w:p>
        </w:tc>
        <w:tc>
          <w:tcPr>
            <w:tcW w:w="1684" w:type="dxa"/>
            <w:tcBorders>
              <w:top w:val="nil"/>
              <w:left w:val="nil"/>
              <w:bottom w:val="nil"/>
              <w:right w:val="nil"/>
            </w:tcBorders>
          </w:tcPr>
          <w:p w14:paraId="2ED8769B"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2</w:t>
            </w:r>
          </w:p>
        </w:tc>
        <w:tc>
          <w:tcPr>
            <w:tcW w:w="1684" w:type="dxa"/>
            <w:tcBorders>
              <w:top w:val="nil"/>
              <w:left w:val="nil"/>
              <w:bottom w:val="nil"/>
              <w:right w:val="nil"/>
            </w:tcBorders>
          </w:tcPr>
          <w:p w14:paraId="414AF572"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2</w:t>
            </w:r>
          </w:p>
        </w:tc>
        <w:tc>
          <w:tcPr>
            <w:tcW w:w="1684" w:type="dxa"/>
            <w:tcBorders>
              <w:top w:val="nil"/>
              <w:left w:val="nil"/>
              <w:bottom w:val="nil"/>
              <w:right w:val="nil"/>
            </w:tcBorders>
          </w:tcPr>
          <w:p w14:paraId="73B6E7C9"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2</w:t>
            </w:r>
          </w:p>
        </w:tc>
      </w:tr>
      <w:tr w:rsidR="00147908" w:rsidRPr="001F0BC8" w14:paraId="7C16A012" w14:textId="77777777" w:rsidTr="00CE0893">
        <w:tc>
          <w:tcPr>
            <w:tcW w:w="1750" w:type="dxa"/>
            <w:tcBorders>
              <w:top w:val="nil"/>
              <w:left w:val="nil"/>
              <w:bottom w:val="nil"/>
              <w:right w:val="nil"/>
            </w:tcBorders>
          </w:tcPr>
          <w:p w14:paraId="18416F57"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30-44</w:t>
            </w:r>
          </w:p>
        </w:tc>
        <w:tc>
          <w:tcPr>
            <w:tcW w:w="1684" w:type="dxa"/>
            <w:tcBorders>
              <w:top w:val="nil"/>
              <w:left w:val="nil"/>
              <w:bottom w:val="nil"/>
              <w:right w:val="nil"/>
            </w:tcBorders>
          </w:tcPr>
          <w:p w14:paraId="21592DD4"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1</w:t>
            </w:r>
          </w:p>
        </w:tc>
        <w:tc>
          <w:tcPr>
            <w:tcW w:w="1684" w:type="dxa"/>
            <w:tcBorders>
              <w:top w:val="nil"/>
              <w:left w:val="nil"/>
              <w:bottom w:val="nil"/>
              <w:right w:val="nil"/>
            </w:tcBorders>
          </w:tcPr>
          <w:p w14:paraId="753FF3F5"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1</w:t>
            </w:r>
          </w:p>
        </w:tc>
        <w:tc>
          <w:tcPr>
            <w:tcW w:w="1684" w:type="dxa"/>
            <w:tcBorders>
              <w:top w:val="nil"/>
              <w:left w:val="nil"/>
              <w:bottom w:val="nil"/>
              <w:right w:val="nil"/>
            </w:tcBorders>
          </w:tcPr>
          <w:p w14:paraId="317EE4F5"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2</w:t>
            </w:r>
          </w:p>
        </w:tc>
        <w:tc>
          <w:tcPr>
            <w:tcW w:w="1684" w:type="dxa"/>
            <w:tcBorders>
              <w:top w:val="nil"/>
              <w:left w:val="nil"/>
              <w:bottom w:val="nil"/>
              <w:right w:val="nil"/>
            </w:tcBorders>
          </w:tcPr>
          <w:p w14:paraId="6C2254A8"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2</w:t>
            </w:r>
          </w:p>
        </w:tc>
      </w:tr>
      <w:tr w:rsidR="00147908" w:rsidRPr="001F0BC8" w14:paraId="1C1490EB" w14:textId="77777777" w:rsidTr="00CE0893">
        <w:tc>
          <w:tcPr>
            <w:tcW w:w="1750" w:type="dxa"/>
            <w:tcBorders>
              <w:top w:val="nil"/>
              <w:left w:val="nil"/>
              <w:bottom w:val="nil"/>
              <w:right w:val="nil"/>
            </w:tcBorders>
          </w:tcPr>
          <w:p w14:paraId="0B07DA3D"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45-49</w:t>
            </w:r>
          </w:p>
        </w:tc>
        <w:tc>
          <w:tcPr>
            <w:tcW w:w="1684" w:type="dxa"/>
            <w:tcBorders>
              <w:top w:val="nil"/>
              <w:left w:val="nil"/>
              <w:bottom w:val="nil"/>
              <w:right w:val="nil"/>
            </w:tcBorders>
          </w:tcPr>
          <w:p w14:paraId="474C07D6" w14:textId="77777777" w:rsidR="00147908" w:rsidRPr="001F0BC8" w:rsidRDefault="00147908" w:rsidP="007567FA">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684" w:type="dxa"/>
            <w:tcBorders>
              <w:top w:val="nil"/>
              <w:left w:val="nil"/>
              <w:bottom w:val="nil"/>
              <w:right w:val="nil"/>
            </w:tcBorders>
          </w:tcPr>
          <w:p w14:paraId="4AD586FD"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1</w:t>
            </w:r>
          </w:p>
        </w:tc>
        <w:tc>
          <w:tcPr>
            <w:tcW w:w="1684" w:type="dxa"/>
            <w:tcBorders>
              <w:top w:val="nil"/>
              <w:left w:val="nil"/>
              <w:bottom w:val="nil"/>
              <w:right w:val="nil"/>
            </w:tcBorders>
          </w:tcPr>
          <w:p w14:paraId="7CA8877A"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1</w:t>
            </w:r>
          </w:p>
        </w:tc>
        <w:tc>
          <w:tcPr>
            <w:tcW w:w="1684" w:type="dxa"/>
            <w:tcBorders>
              <w:top w:val="nil"/>
              <w:left w:val="nil"/>
              <w:bottom w:val="nil"/>
              <w:right w:val="nil"/>
            </w:tcBorders>
          </w:tcPr>
          <w:p w14:paraId="68623EEA"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4</w:t>
            </w:r>
          </w:p>
        </w:tc>
      </w:tr>
      <w:tr w:rsidR="00147908" w:rsidRPr="001F0BC8" w14:paraId="58F09F8B" w14:textId="77777777" w:rsidTr="00CE0893">
        <w:tc>
          <w:tcPr>
            <w:tcW w:w="1750" w:type="dxa"/>
            <w:tcBorders>
              <w:top w:val="nil"/>
              <w:left w:val="nil"/>
              <w:bottom w:val="single" w:sz="4" w:space="0" w:color="auto"/>
              <w:right w:val="nil"/>
            </w:tcBorders>
          </w:tcPr>
          <w:p w14:paraId="5C084F27" w14:textId="77777777" w:rsidR="00147908" w:rsidRPr="001F0BC8" w:rsidRDefault="00147908" w:rsidP="007567FA">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1684" w:type="dxa"/>
            <w:tcBorders>
              <w:top w:val="nil"/>
              <w:left w:val="nil"/>
              <w:bottom w:val="single" w:sz="4" w:space="0" w:color="auto"/>
              <w:right w:val="nil"/>
            </w:tcBorders>
          </w:tcPr>
          <w:p w14:paraId="45D16575" w14:textId="77777777" w:rsidR="00147908" w:rsidRPr="001F0BC8" w:rsidRDefault="00147908" w:rsidP="007567FA">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1684" w:type="dxa"/>
            <w:tcBorders>
              <w:top w:val="nil"/>
              <w:left w:val="nil"/>
              <w:bottom w:val="single" w:sz="4" w:space="0" w:color="auto"/>
              <w:right w:val="nil"/>
            </w:tcBorders>
          </w:tcPr>
          <w:p w14:paraId="0D2E0EA0" w14:textId="77777777" w:rsidR="00147908" w:rsidRPr="001F0BC8" w:rsidRDefault="00147908" w:rsidP="007567FA">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1684" w:type="dxa"/>
            <w:tcBorders>
              <w:top w:val="nil"/>
              <w:left w:val="nil"/>
              <w:bottom w:val="single" w:sz="4" w:space="0" w:color="auto"/>
              <w:right w:val="nil"/>
            </w:tcBorders>
          </w:tcPr>
          <w:p w14:paraId="3AF3D0CA" w14:textId="77777777" w:rsidR="00147908" w:rsidRPr="001F0BC8" w:rsidRDefault="00147908" w:rsidP="007567FA">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1684" w:type="dxa"/>
            <w:tcBorders>
              <w:top w:val="nil"/>
              <w:left w:val="nil"/>
              <w:bottom w:val="single" w:sz="4" w:space="0" w:color="auto"/>
              <w:right w:val="nil"/>
            </w:tcBorders>
          </w:tcPr>
          <w:p w14:paraId="369DA5DB" w14:textId="77777777" w:rsidR="00147908" w:rsidRPr="001F0BC8" w:rsidRDefault="00147908" w:rsidP="007567FA">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10</w:t>
            </w:r>
          </w:p>
        </w:tc>
      </w:tr>
    </w:tbl>
    <w:p w14:paraId="2225814C" w14:textId="77777777" w:rsidR="007179EF" w:rsidRDefault="005A34DE" w:rsidP="007567FA">
      <w:pPr>
        <w:spacing w:before="80" w:after="160" w:line="276" w:lineRule="auto"/>
        <w:rPr>
          <w:i/>
          <w:iCs/>
        </w:rPr>
      </w:pPr>
      <w:r w:rsidRPr="00522806">
        <w:rPr>
          <w:i/>
          <w:iCs/>
        </w:rPr>
        <w:t>– denotes no cases recorded in that category.</w:t>
      </w:r>
    </w:p>
    <w:p w14:paraId="13DE065F" w14:textId="77777777" w:rsidR="007179EF" w:rsidRDefault="007179EF" w:rsidP="007567FA">
      <w:pPr>
        <w:spacing w:before="80" w:after="160" w:line="276" w:lineRule="auto"/>
      </w:pPr>
    </w:p>
    <w:p w14:paraId="47A7221C" w14:textId="77777777" w:rsidR="00346FD1" w:rsidRPr="007179EF" w:rsidRDefault="005A34DE" w:rsidP="007567FA">
      <w:pPr>
        <w:spacing w:before="80" w:after="160" w:line="276" w:lineRule="auto"/>
        <w:rPr>
          <w:b/>
        </w:rPr>
      </w:pPr>
      <w:r w:rsidRPr="007179EF">
        <w:rPr>
          <w:b/>
        </w:rPr>
        <w:t>Discussion</w:t>
      </w:r>
    </w:p>
    <w:p w14:paraId="71D45D77" w14:textId="77777777" w:rsidR="00346FD1" w:rsidRPr="00522806" w:rsidRDefault="005A34DE" w:rsidP="007567FA">
      <w:pPr>
        <w:spacing w:before="100" w:after="100" w:line="276" w:lineRule="auto"/>
        <w:jc w:val="both"/>
      </w:pPr>
      <w:r w:rsidRPr="00522806">
        <w:t>This study determined the prevalence, gender and age distribution, species composition, and parasite density profile of Plasmodium falciparum malaria among patients presenting at Lulu Briggs Health Centre, University of Port Harcourt, Rivers State, during May to August 2020. The findings contribute to the body of locally generated epidemiological evidence needed to guide malaria control strategy in Rivers State.</w:t>
      </w:r>
    </w:p>
    <w:p w14:paraId="7B12A180" w14:textId="77777777" w:rsidR="00346FD1" w:rsidRPr="00522806" w:rsidRDefault="005A34DE" w:rsidP="007567FA">
      <w:pPr>
        <w:spacing w:before="100" w:after="100" w:line="276" w:lineRule="auto"/>
        <w:jc w:val="both"/>
      </w:pPr>
      <w:r w:rsidRPr="00522806">
        <w:t xml:space="preserve">The overall malaria prevalence of 5.3% observed in this study is notably lower than the 18.3% reported by </w:t>
      </w:r>
      <w:proofErr w:type="spellStart"/>
      <w:r w:rsidRPr="00522806">
        <w:t>Hwida</w:t>
      </w:r>
      <w:proofErr w:type="spellEnd"/>
      <w:r w:rsidRPr="00522806">
        <w:t xml:space="preserve"> et al. </w:t>
      </w:r>
      <w:r w:rsidR="0005693A">
        <w:t>[19]</w:t>
      </w:r>
      <w:r w:rsidRPr="00522806">
        <w:t xml:space="preserve">. However, it is in close agreement with the 5% and 11% figures documented by El Mekki et al. </w:t>
      </w:r>
      <w:r w:rsidR="00FE27FD">
        <w:t>[20]</w:t>
      </w:r>
      <w:r w:rsidRPr="00522806">
        <w:t xml:space="preserve"> from camp settings in Khartoum State, Sudan, and with El Sayed et al. </w:t>
      </w:r>
      <w:r w:rsidR="00FE27FD">
        <w:t>[21]</w:t>
      </w:r>
      <w:r w:rsidRPr="00522806">
        <w:t xml:space="preserve">. The relatively low prevalence in the present study may be attributed to the </w:t>
      </w:r>
      <w:r w:rsidRPr="00522806">
        <w:lastRenderedPageBreak/>
        <w:t xml:space="preserve">successful implementation of vector control measures by the Rivers State Ministry of Health, including the application of bio-larvicides targeting Anopheles mosquito larvae and the mass distribution of insecticide-treated bed nets </w:t>
      </w:r>
      <w:r w:rsidR="00B03111">
        <w:t>[14]</w:t>
      </w:r>
      <w:r w:rsidRPr="00522806">
        <w:t xml:space="preserve">. Laboratory confirmation of cases </w:t>
      </w:r>
      <w:r w:rsidR="00EC5DF1">
        <w:t>prior to antimalarial treatment</w:t>
      </w:r>
      <w:r w:rsidR="00174501" w:rsidRPr="00522806">
        <w:t>,</w:t>
      </w:r>
      <w:r w:rsidR="00EC5DF1">
        <w:t xml:space="preserve"> as practiced at Lulu Briggs</w:t>
      </w:r>
      <w:r w:rsidR="00174501" w:rsidRPr="00522806">
        <w:t>,</w:t>
      </w:r>
      <w:r w:rsidRPr="00522806">
        <w:t xml:space="preserve"> also reduces the risk of treating non-malaria febrile illness, potentially improving diagnostic specificity. Additionally, it is noteworthy that data collection occurred during the COVID-19 pandemic, a period during which reduced hospital attendance, especially among children, may have contributed to a lower-than-expected positive yield.</w:t>
      </w:r>
    </w:p>
    <w:p w14:paraId="14CAB4B2" w14:textId="77777777" w:rsidR="00346FD1" w:rsidRPr="00522806" w:rsidRDefault="005A34DE" w:rsidP="007567FA">
      <w:pPr>
        <w:spacing w:before="100" w:after="100" w:line="276" w:lineRule="auto"/>
        <w:jc w:val="both"/>
      </w:pPr>
      <w:r w:rsidRPr="00522806">
        <w:t>Females recorded a significantly higher malaria prevalence (7.39%) compared to males (2.91%). This gender disparity is consistent with broader literature suggesting that women of reproductive age in endemic settings may experience heightened exposure due to domestic and peri-domestic activities that increase mosquito contact, particularly in the evenings and early morning hours. Pregnant women have additional vulnerability due to pregnancy-related immunosuppression and placental sequestratio</w:t>
      </w:r>
      <w:r w:rsidR="0083432C">
        <w:t>n of infected erythrocytes [10]</w:t>
      </w:r>
      <w:r w:rsidRPr="00522806">
        <w:t xml:space="preserve">. While this study did not specifically </w:t>
      </w:r>
      <w:r w:rsidR="00DE2E43">
        <w:t>analyze</w:t>
      </w:r>
      <w:r w:rsidRPr="00522806">
        <w:t xml:space="preserve"> pregnancy status, the female</w:t>
      </w:r>
      <w:r w:rsidR="00EC5DF1">
        <w:t xml:space="preserve"> predominance in positive cases</w:t>
      </w:r>
      <w:r w:rsidR="00174501" w:rsidRPr="00522806">
        <w:t>,</w:t>
      </w:r>
      <w:r w:rsidRPr="00522806">
        <w:t xml:space="preserve"> particula</w:t>
      </w:r>
      <w:r>
        <w:t>rly among the 15–44 age bracket</w:t>
      </w:r>
      <w:r w:rsidR="00174501" w:rsidRPr="00522806">
        <w:t>,</w:t>
      </w:r>
      <w:r w:rsidRPr="00522806">
        <w:t xml:space="preserve"> is consistent with these known risk factors.</w:t>
      </w:r>
    </w:p>
    <w:p w14:paraId="3F82DA9E" w14:textId="77777777" w:rsidR="00346FD1" w:rsidRPr="00522806" w:rsidRDefault="005A34DE" w:rsidP="007567FA">
      <w:pPr>
        <w:spacing w:before="100" w:after="100" w:line="276" w:lineRule="auto"/>
        <w:jc w:val="both"/>
      </w:pPr>
      <w:r w:rsidRPr="00522806">
        <w:t xml:space="preserve">The highest age-specific prevalence was recorded in the 0–14 years group (100%), representing both individuals in that age bracket who were tested, suggesting full susceptibility in this age group consistent with the absence of acquired immunity in young children </w:t>
      </w:r>
      <w:r w:rsidR="00C01BB7">
        <w:t>[22]</w:t>
      </w:r>
      <w:r w:rsidRPr="00522806">
        <w:t xml:space="preserve">. Prevalence declined progressively with increasing age from the 15–29 group (5.94%) through to the 45–59 group (4.62%), and was absent in the ≥60 group. This declining trend with age is characteristic of endemic settings and </w:t>
      </w:r>
      <w:r w:rsidR="009D3F91">
        <w:t>suggests</w:t>
      </w:r>
      <w:r w:rsidRPr="00522806">
        <w:t xml:space="preserve"> the gradual acquisition of partial clinical immunity following repeated exposure to </w:t>
      </w:r>
      <w:r w:rsidRPr="009D66A5">
        <w:rPr>
          <w:i/>
        </w:rPr>
        <w:t>P. falciparum</w:t>
      </w:r>
      <w:r w:rsidRPr="00522806">
        <w:t xml:space="preserve">. As </w:t>
      </w:r>
      <w:r w:rsidR="00F508DE">
        <w:t xml:space="preserve">noted by </w:t>
      </w:r>
      <w:proofErr w:type="spellStart"/>
      <w:r w:rsidRPr="00522806">
        <w:t>Ademolue</w:t>
      </w:r>
      <w:proofErr w:type="spellEnd"/>
      <w:r w:rsidRPr="00522806">
        <w:t xml:space="preserve"> et al. </w:t>
      </w:r>
      <w:r w:rsidR="00C01BB7">
        <w:t>[23]</w:t>
      </w:r>
      <w:r w:rsidRPr="00522806">
        <w:t xml:space="preserve">, malaria transmission intensity is a strong predictor of immune tolerance, and in a </w:t>
      </w:r>
      <w:r w:rsidR="00F7338A">
        <w:t xml:space="preserve">highly </w:t>
      </w:r>
      <w:r w:rsidRPr="00522806">
        <w:t xml:space="preserve">endemic </w:t>
      </w:r>
      <w:r w:rsidR="00D94397">
        <w:t>settings</w:t>
      </w:r>
      <w:r w:rsidRPr="00522806">
        <w:t xml:space="preserve"> like Rivers State, adults develop immunity that suppresses clinical disease while permitting subclinical </w:t>
      </w:r>
      <w:proofErr w:type="spellStart"/>
      <w:r w:rsidRPr="00522806">
        <w:t>parasitaemia</w:t>
      </w:r>
      <w:proofErr w:type="spellEnd"/>
      <w:r w:rsidRPr="00522806">
        <w:t>. The absence of malaria in the ≥60 group may further reflect both long-standing immunity and possibly reduced outdoor exposure in older individuals.</w:t>
      </w:r>
    </w:p>
    <w:p w14:paraId="1A09C3F4" w14:textId="77777777" w:rsidR="00346FD1" w:rsidRPr="00522806" w:rsidRDefault="005A34DE" w:rsidP="007567FA">
      <w:pPr>
        <w:spacing w:before="100" w:after="100" w:line="276" w:lineRule="auto"/>
        <w:jc w:val="both"/>
      </w:pPr>
      <w:r w:rsidRPr="009D66A5">
        <w:rPr>
          <w:i/>
        </w:rPr>
        <w:t>P. falciparum</w:t>
      </w:r>
      <w:r w:rsidRPr="00522806">
        <w:t xml:space="preserve"> was the dominant species identified, accounting for 90% of positive cases. This is consistent with the known distribution of malaria species in Nigeria, where </w:t>
      </w:r>
      <w:r w:rsidRPr="009D66A5">
        <w:rPr>
          <w:i/>
        </w:rPr>
        <w:t>P. falciparum</w:t>
      </w:r>
      <w:r w:rsidRPr="00522806">
        <w:t xml:space="preserve"> is </w:t>
      </w:r>
      <w:r w:rsidR="00055A6A">
        <w:t>causes</w:t>
      </w:r>
      <w:r w:rsidRPr="00522806">
        <w:t xml:space="preserve"> majority of infections and virtually all severe </w:t>
      </w:r>
      <w:r w:rsidR="00055A6A">
        <w:t>malaria cases</w:t>
      </w:r>
      <w:r w:rsidRPr="00522806">
        <w:t xml:space="preserve"> </w:t>
      </w:r>
      <w:r w:rsidR="008A25D6">
        <w:t>[2]</w:t>
      </w:r>
      <w:r w:rsidRPr="00522806">
        <w:t xml:space="preserve">. </w:t>
      </w:r>
      <w:r w:rsidRPr="009D66A5">
        <w:rPr>
          <w:i/>
        </w:rPr>
        <w:t>P. malariae</w:t>
      </w:r>
      <w:r w:rsidRPr="00522806">
        <w:t xml:space="preserve"> comprised the remaining 10%, with all co-infections confined to females aged 30–59 years. The absence of </w:t>
      </w:r>
      <w:r w:rsidRPr="009D66A5">
        <w:rPr>
          <w:i/>
        </w:rPr>
        <w:t>P. vivax</w:t>
      </w:r>
      <w:r w:rsidRPr="00522806">
        <w:t xml:space="preserve">, </w:t>
      </w:r>
      <w:r w:rsidRPr="009D66A5">
        <w:rPr>
          <w:i/>
        </w:rPr>
        <w:t xml:space="preserve">P. </w:t>
      </w:r>
      <w:proofErr w:type="spellStart"/>
      <w:r w:rsidRPr="009D66A5">
        <w:rPr>
          <w:i/>
        </w:rPr>
        <w:t>ovale</w:t>
      </w:r>
      <w:proofErr w:type="spellEnd"/>
      <w:r w:rsidRPr="00522806">
        <w:t xml:space="preserve">, and </w:t>
      </w:r>
      <w:r w:rsidRPr="009D66A5">
        <w:rPr>
          <w:i/>
        </w:rPr>
        <w:t>P. knowlesi</w:t>
      </w:r>
      <w:r w:rsidRPr="00522806">
        <w:t xml:space="preserve"> is expected given their limited distribution in West Africa. These findings reinforce the need to focus diagnostic and therapeutic interventions on </w:t>
      </w:r>
      <w:r w:rsidRPr="005A34DE">
        <w:rPr>
          <w:i/>
        </w:rPr>
        <w:t>P. falciparum</w:t>
      </w:r>
      <w:r w:rsidRPr="00522806">
        <w:t xml:space="preserve"> in this setting.</w:t>
      </w:r>
    </w:p>
    <w:p w14:paraId="03AF3858" w14:textId="77777777" w:rsidR="00346FD1" w:rsidRPr="00522806" w:rsidRDefault="005A34DE" w:rsidP="007567FA">
      <w:pPr>
        <w:spacing w:before="100" w:after="100" w:line="276" w:lineRule="auto"/>
        <w:jc w:val="both"/>
      </w:pPr>
      <w:r w:rsidRPr="00522806">
        <w:t xml:space="preserve">The parasite density analysis revealed that 70% of positive cases had high parasite density (≥10,000 parasites/µL), while 30% had moderate density. The complete absence of low </w:t>
      </w:r>
      <w:proofErr w:type="spellStart"/>
      <w:r w:rsidRPr="00522806">
        <w:t>parasitaemia</w:t>
      </w:r>
      <w:proofErr w:type="spellEnd"/>
      <w:r w:rsidRPr="00522806">
        <w:t xml:space="preserve"> cases is notable and may indicate that the threshold for health-seeking </w:t>
      </w:r>
      <w:proofErr w:type="spellStart"/>
      <w:r w:rsidRPr="00522806">
        <w:t>behaviour</w:t>
      </w:r>
      <w:proofErr w:type="spellEnd"/>
      <w:r w:rsidRPr="00522806">
        <w:t xml:space="preserve"> at Lulu Briggs skews toward more symptomatic or higher-burden individuals. The concentration of high parasite density cases among females (10 of 14 high-density cases) further underscores the </w:t>
      </w:r>
      <w:r w:rsidRPr="00522806">
        <w:lastRenderedPageBreak/>
        <w:t xml:space="preserve">vulnerability of this subgroup. High </w:t>
      </w:r>
      <w:proofErr w:type="spellStart"/>
      <w:r w:rsidRPr="00522806">
        <w:t>parasitaemia</w:t>
      </w:r>
      <w:proofErr w:type="spellEnd"/>
      <w:r w:rsidRPr="00522806">
        <w:t xml:space="preserve"> is associated with increased risk of severe complications including severe </w:t>
      </w:r>
      <w:proofErr w:type="spellStart"/>
      <w:r w:rsidRPr="00522806">
        <w:t>anaemia</w:t>
      </w:r>
      <w:proofErr w:type="spellEnd"/>
      <w:r w:rsidRPr="00522806">
        <w:t xml:space="preserve">, cerebral malaria, and death, particularly in non-immune or partially immune individuals </w:t>
      </w:r>
      <w:r w:rsidR="008C40DD">
        <w:t>[6]</w:t>
      </w:r>
      <w:r w:rsidRPr="00522806">
        <w:t>. These findings highlight the importance of immediate confirmatory testing and prompt treatment initiation in all malaria-positive patients, especially those with high parasite burdens.</w:t>
      </w:r>
    </w:p>
    <w:p w14:paraId="74112D21" w14:textId="77777777" w:rsidR="00A41782" w:rsidRDefault="005A34DE" w:rsidP="007567FA">
      <w:pPr>
        <w:spacing w:before="100" w:after="100" w:line="276" w:lineRule="auto"/>
        <w:jc w:val="both"/>
      </w:pPr>
      <w:r w:rsidRPr="00522806">
        <w:t xml:space="preserve">The predominance of high-density infections in this population also suggests that routine malaria screening rather than symptom-triggered testing may be warranted in this hyperendemic setting. As highlighted by </w:t>
      </w:r>
      <w:proofErr w:type="spellStart"/>
      <w:r w:rsidRPr="00522806">
        <w:t>Wogu</w:t>
      </w:r>
      <w:proofErr w:type="spellEnd"/>
      <w:r w:rsidRPr="00522806">
        <w:t xml:space="preserve"> and </w:t>
      </w:r>
      <w:proofErr w:type="spellStart"/>
      <w:r w:rsidRPr="00522806">
        <w:t>Onosakponome</w:t>
      </w:r>
      <w:proofErr w:type="spellEnd"/>
      <w:r w:rsidRPr="00522806">
        <w:t xml:space="preserve"> </w:t>
      </w:r>
      <w:r w:rsidR="00A3587A">
        <w:t>[24]</w:t>
      </w:r>
      <w:r w:rsidRPr="00522806">
        <w:t>, misdiagnosis of malaria remains a concern in Rivers State, and the integration of R</w:t>
      </w:r>
      <w:r w:rsidR="000D1E56">
        <w:t>DT with confirmatory microscopy</w:t>
      </w:r>
      <w:r w:rsidR="00174501" w:rsidRPr="00522806">
        <w:t>,</w:t>
      </w:r>
      <w:r w:rsidR="00A41782">
        <w:t xml:space="preserve"> as employed in this study</w:t>
      </w:r>
      <w:r w:rsidR="00174501" w:rsidRPr="00522806">
        <w:t>,</w:t>
      </w:r>
      <w:r w:rsidRPr="00522806">
        <w:t xml:space="preserve"> represents a best-practice approach to improving diagnostic accuracy and guiding appropriate clinical management.</w:t>
      </w:r>
    </w:p>
    <w:p w14:paraId="51FD4EC9" w14:textId="77777777" w:rsidR="00346FD1" w:rsidRPr="00522806" w:rsidRDefault="005A34DE" w:rsidP="007567FA">
      <w:pPr>
        <w:spacing w:before="100" w:after="100" w:line="276" w:lineRule="auto"/>
        <w:jc w:val="both"/>
      </w:pPr>
      <w:r w:rsidRPr="00522806">
        <w:rPr>
          <w:b/>
          <w:bCs/>
        </w:rPr>
        <w:t>Conclusion</w:t>
      </w:r>
    </w:p>
    <w:p w14:paraId="7DC46256" w14:textId="77777777" w:rsidR="00346FD1" w:rsidRPr="00522806" w:rsidRDefault="005A34DE" w:rsidP="007567FA">
      <w:pPr>
        <w:spacing w:before="100" w:after="100" w:line="276" w:lineRule="auto"/>
        <w:jc w:val="both"/>
      </w:pPr>
      <w:r w:rsidRPr="00522806">
        <w:t xml:space="preserve">This study recorded a malaria prevalence of 5.3% among patients attending Lulu Briggs Health Centre, University of Port Harcourt, during the period May to August 2020. </w:t>
      </w:r>
      <w:r w:rsidRPr="000466F9">
        <w:rPr>
          <w:i/>
        </w:rPr>
        <w:t>P</w:t>
      </w:r>
      <w:r w:rsidR="000466F9">
        <w:rPr>
          <w:i/>
        </w:rPr>
        <w:t>.</w:t>
      </w:r>
      <w:r w:rsidRPr="000466F9">
        <w:rPr>
          <w:i/>
        </w:rPr>
        <w:t xml:space="preserve"> falciparum</w:t>
      </w:r>
      <w:r w:rsidRPr="00522806">
        <w:t xml:space="preserve"> was the dominant infective species (90%), with </w:t>
      </w:r>
      <w:r w:rsidRPr="005A34DE">
        <w:rPr>
          <w:i/>
        </w:rPr>
        <w:t>P. malariae</w:t>
      </w:r>
      <w:r w:rsidRPr="00522806">
        <w:t xml:space="preserve"> accounting for the remaining cases. Females and the 0–14 years age group were disproportionately affected, consistent with established patterns of malaria vulnerability in endemic West African settings. The majority of confirmed cases presented with high parasite density, underscoring the severity of infection at the point of healthcare presentation.</w:t>
      </w:r>
    </w:p>
    <w:p w14:paraId="71FD7DF7" w14:textId="77777777" w:rsidR="00735821" w:rsidRDefault="005A34DE" w:rsidP="007567FA">
      <w:pPr>
        <w:spacing w:before="100" w:after="100" w:line="276" w:lineRule="auto"/>
        <w:jc w:val="both"/>
      </w:pPr>
      <w:r w:rsidRPr="00522806">
        <w:t>The relatively low overall prevalence likely reflects the positive impact of ongoing vector control interventions in Rivers State, including bio-</w:t>
      </w:r>
      <w:proofErr w:type="spellStart"/>
      <w:r w:rsidRPr="00522806">
        <w:t>larviciding</w:t>
      </w:r>
      <w:proofErr w:type="spellEnd"/>
      <w:r w:rsidRPr="00522806">
        <w:t xml:space="preserve"> and insecticide-treated net distribution. Nevertheless, the continued burden of high-density </w:t>
      </w:r>
      <w:r w:rsidRPr="005A34DE">
        <w:rPr>
          <w:i/>
        </w:rPr>
        <w:t>P. falciparum</w:t>
      </w:r>
      <w:r w:rsidRPr="00522806">
        <w:t xml:space="preserve"> infection, particularly among females and younger age groups, underscores the importance of sustained surveillance and targeted prevention efforts. Routine parasitological diagnosis using RDT and confirmatory microscopy is recommended for all patients presenting with febrile illness in this hyperendemic area. Early and accurate diagnosis, followed by prompt species-appropriate treatment, remains the cornerstone of reducing malaria-related morbidity and mortality in this population.</w:t>
      </w:r>
    </w:p>
    <w:p w14:paraId="24D66F55" w14:textId="77777777" w:rsidR="00346FD1" w:rsidRPr="00735821" w:rsidRDefault="005A34DE" w:rsidP="007567FA">
      <w:pPr>
        <w:spacing w:before="100" w:after="100" w:line="276" w:lineRule="auto"/>
        <w:jc w:val="both"/>
        <w:rPr>
          <w:b/>
        </w:rPr>
      </w:pPr>
      <w:r w:rsidRPr="00735821">
        <w:rPr>
          <w:b/>
        </w:rPr>
        <w:t>References</w:t>
      </w:r>
    </w:p>
    <w:p w14:paraId="5179DA6F" w14:textId="77777777" w:rsidR="00735821" w:rsidRPr="00AD6D5C" w:rsidRDefault="00735821" w:rsidP="007567FA">
      <w:pPr>
        <w:pStyle w:val="ListParagraph"/>
        <w:numPr>
          <w:ilvl w:val="0"/>
          <w:numId w:val="2"/>
        </w:numPr>
        <w:spacing w:line="276" w:lineRule="auto"/>
        <w:jc w:val="both"/>
      </w:pPr>
      <w:r w:rsidRPr="00AD6D5C">
        <w:t>World Health Organization. World malaria report. Geneva: WHO; 2017. Available from: https://apps.who.int/iris/bitstream/1066</w:t>
      </w:r>
      <w:r>
        <w:t>5/259492 (apps.who.int in Bing)</w:t>
      </w:r>
    </w:p>
    <w:p w14:paraId="4ABDA3E6" w14:textId="77777777" w:rsidR="00735821" w:rsidRPr="00AD6D5C" w:rsidRDefault="00735821" w:rsidP="007567FA">
      <w:pPr>
        <w:pStyle w:val="ListParagraph"/>
        <w:numPr>
          <w:ilvl w:val="0"/>
          <w:numId w:val="2"/>
        </w:numPr>
        <w:spacing w:line="276" w:lineRule="auto"/>
        <w:jc w:val="both"/>
      </w:pPr>
      <w:r w:rsidRPr="00AD6D5C">
        <w:t xml:space="preserve">Angulo I, Fresno M. Cytokines in the pathogenesis of and protection against malaria. Clin Diagn </w:t>
      </w:r>
      <w:r>
        <w:t>Lab Immunol. 2002;9(6):1145–52.</w:t>
      </w:r>
    </w:p>
    <w:p w14:paraId="684584A5" w14:textId="77777777" w:rsidR="00735821" w:rsidRPr="00AD6D5C" w:rsidRDefault="00735821" w:rsidP="007567FA">
      <w:pPr>
        <w:pStyle w:val="ListParagraph"/>
        <w:numPr>
          <w:ilvl w:val="0"/>
          <w:numId w:val="2"/>
        </w:numPr>
        <w:spacing w:line="276" w:lineRule="auto"/>
        <w:jc w:val="both"/>
      </w:pPr>
      <w:r w:rsidRPr="00AD6D5C">
        <w:t>Rowe JA, Claessens A, Corrigan R, Arman M. Adhesion of Plasmodium falciparum-infected erythrocytes to human cells: molecular mechanisms and therapeutic implication</w:t>
      </w:r>
      <w:r>
        <w:t>s. Rev Mol Med. 2009;11(16):16.</w:t>
      </w:r>
    </w:p>
    <w:p w14:paraId="4DFEA2D4" w14:textId="77777777" w:rsidR="00735821" w:rsidRPr="00AD6D5C" w:rsidRDefault="00735821" w:rsidP="007567FA">
      <w:pPr>
        <w:pStyle w:val="ListParagraph"/>
        <w:numPr>
          <w:ilvl w:val="0"/>
          <w:numId w:val="2"/>
        </w:numPr>
        <w:spacing w:line="276" w:lineRule="auto"/>
        <w:jc w:val="both"/>
      </w:pPr>
      <w:r w:rsidRPr="00AD6D5C">
        <w:t>Centers for Disease Control and Prevention. Malaria: biology. Atlanta: CDC; 2018. Available from: https://www.cdc.gov/m</w:t>
      </w:r>
      <w:r>
        <w:t>alaria/about/biology/index.html</w:t>
      </w:r>
    </w:p>
    <w:p w14:paraId="3CB986A4" w14:textId="77777777" w:rsidR="00735821" w:rsidRPr="00AD6D5C" w:rsidRDefault="00735821" w:rsidP="007567FA">
      <w:pPr>
        <w:pStyle w:val="ListParagraph"/>
        <w:numPr>
          <w:ilvl w:val="0"/>
          <w:numId w:val="2"/>
        </w:numPr>
        <w:spacing w:line="276" w:lineRule="auto"/>
        <w:jc w:val="both"/>
      </w:pPr>
      <w:r w:rsidRPr="00AD6D5C">
        <w:t>Centers for Disease Control and Prevention. Clinical features of malaria. Atlanta: CDC; 2024. Available from: https://www.cdc.gov/malaria/hcp/clinical-features/inde</w:t>
      </w:r>
      <w:r>
        <w:t>x.html</w:t>
      </w:r>
    </w:p>
    <w:p w14:paraId="346F236F" w14:textId="77777777" w:rsidR="00735821" w:rsidRPr="00AD6D5C" w:rsidRDefault="00735821" w:rsidP="007567FA">
      <w:pPr>
        <w:pStyle w:val="ListParagraph"/>
        <w:numPr>
          <w:ilvl w:val="0"/>
          <w:numId w:val="2"/>
        </w:numPr>
        <w:spacing w:line="276" w:lineRule="auto"/>
        <w:jc w:val="both"/>
      </w:pPr>
      <w:r w:rsidRPr="00AD6D5C">
        <w:lastRenderedPageBreak/>
        <w:t>Elizabeth A, Ashley N, White J. Malaria diagnosis and treatment. In: The travel and tropical medicine manual. 4th ed. Philadelp</w:t>
      </w:r>
      <w:r>
        <w:t>hia: Elsevier; 2008. p. 303–21.</w:t>
      </w:r>
    </w:p>
    <w:p w14:paraId="26AF3BB5" w14:textId="77777777" w:rsidR="00735821" w:rsidRPr="00AD6D5C" w:rsidRDefault="00735821" w:rsidP="007567FA">
      <w:pPr>
        <w:pStyle w:val="ListParagraph"/>
        <w:numPr>
          <w:ilvl w:val="0"/>
          <w:numId w:val="2"/>
        </w:numPr>
        <w:spacing w:line="276" w:lineRule="auto"/>
        <w:jc w:val="both"/>
      </w:pPr>
      <w:proofErr w:type="spellStart"/>
      <w:r w:rsidRPr="00AD6D5C">
        <w:t>Mbishi</w:t>
      </w:r>
      <w:proofErr w:type="spellEnd"/>
      <w:r w:rsidRPr="00AD6D5C">
        <w:t xml:space="preserve"> JV, </w:t>
      </w:r>
      <w:proofErr w:type="spellStart"/>
      <w:r w:rsidRPr="00AD6D5C">
        <w:t>Chombo</w:t>
      </w:r>
      <w:proofErr w:type="spellEnd"/>
      <w:r w:rsidRPr="00AD6D5C">
        <w:t xml:space="preserve"> S, </w:t>
      </w:r>
      <w:proofErr w:type="spellStart"/>
      <w:r w:rsidRPr="00AD6D5C">
        <w:t>Luoga</w:t>
      </w:r>
      <w:proofErr w:type="spellEnd"/>
      <w:r w:rsidRPr="00AD6D5C">
        <w:t xml:space="preserve"> P, </w:t>
      </w:r>
      <w:proofErr w:type="spellStart"/>
      <w:r w:rsidRPr="00AD6D5C">
        <w:t>Omary</w:t>
      </w:r>
      <w:proofErr w:type="spellEnd"/>
      <w:r w:rsidRPr="00AD6D5C">
        <w:t xml:space="preserve"> HJ, Paulo HA, Andrew J, Addo IY. Malaria in under-five children: prevalence and multi-factor analysis of high-risk African countries. B</w:t>
      </w:r>
      <w:r>
        <w:t xml:space="preserve">MC Public Health. </w:t>
      </w:r>
      <w:proofErr w:type="gramStart"/>
      <w:r>
        <w:t>2024;24:1687</w:t>
      </w:r>
      <w:proofErr w:type="gramEnd"/>
      <w:r>
        <w:t>.</w:t>
      </w:r>
    </w:p>
    <w:p w14:paraId="2B925530" w14:textId="77777777" w:rsidR="00735821" w:rsidRPr="00AD6D5C" w:rsidRDefault="00735821" w:rsidP="007567FA">
      <w:pPr>
        <w:pStyle w:val="ListParagraph"/>
        <w:numPr>
          <w:ilvl w:val="0"/>
          <w:numId w:val="2"/>
        </w:numPr>
        <w:spacing w:line="276" w:lineRule="auto"/>
        <w:jc w:val="both"/>
      </w:pPr>
      <w:proofErr w:type="spellStart"/>
      <w:r w:rsidRPr="00AD6D5C">
        <w:t>Isiko</w:t>
      </w:r>
      <w:proofErr w:type="spellEnd"/>
      <w:r w:rsidRPr="00AD6D5C">
        <w:t xml:space="preserve"> I, </w:t>
      </w:r>
      <w:proofErr w:type="spellStart"/>
      <w:r w:rsidRPr="00AD6D5C">
        <w:t>Nyegenye</w:t>
      </w:r>
      <w:proofErr w:type="spellEnd"/>
      <w:r w:rsidRPr="00AD6D5C">
        <w:t xml:space="preserve"> S, </w:t>
      </w:r>
      <w:proofErr w:type="spellStart"/>
      <w:r w:rsidRPr="00AD6D5C">
        <w:t>Mwesigwa</w:t>
      </w:r>
      <w:proofErr w:type="spellEnd"/>
      <w:r w:rsidRPr="00AD6D5C">
        <w:t xml:space="preserve"> A, </w:t>
      </w:r>
      <w:proofErr w:type="spellStart"/>
      <w:r w:rsidRPr="00AD6D5C">
        <w:t>Asingwire</w:t>
      </w:r>
      <w:proofErr w:type="spellEnd"/>
      <w:r w:rsidRPr="00AD6D5C">
        <w:t xml:space="preserve"> JM, </w:t>
      </w:r>
      <w:proofErr w:type="spellStart"/>
      <w:r w:rsidRPr="00AD6D5C">
        <w:t>Olot</w:t>
      </w:r>
      <w:proofErr w:type="spellEnd"/>
      <w:r w:rsidRPr="00AD6D5C">
        <w:t xml:space="preserve"> H, Amaka S-RC, Okoro LN, Etane PAA. Determinants of malaria spread among under-five children in Nigeria: results from a 2021 Nigerian malaria indicator cross-sectional su</w:t>
      </w:r>
      <w:r>
        <w:t xml:space="preserve">rvey. BMC </w:t>
      </w:r>
      <w:proofErr w:type="spellStart"/>
      <w:r>
        <w:t>Pediatr</w:t>
      </w:r>
      <w:proofErr w:type="spellEnd"/>
      <w:r>
        <w:t xml:space="preserve">. </w:t>
      </w:r>
      <w:proofErr w:type="gramStart"/>
      <w:r>
        <w:t>2024;24:646</w:t>
      </w:r>
      <w:proofErr w:type="gramEnd"/>
      <w:r>
        <w:t>.</w:t>
      </w:r>
    </w:p>
    <w:p w14:paraId="27DAE263" w14:textId="77777777" w:rsidR="00735821" w:rsidRPr="00AD6D5C" w:rsidRDefault="00735821" w:rsidP="007567FA">
      <w:pPr>
        <w:pStyle w:val="ListParagraph"/>
        <w:numPr>
          <w:ilvl w:val="0"/>
          <w:numId w:val="2"/>
        </w:numPr>
        <w:spacing w:line="276" w:lineRule="auto"/>
        <w:jc w:val="both"/>
      </w:pPr>
      <w:proofErr w:type="spellStart"/>
      <w:r w:rsidRPr="00AD6D5C">
        <w:t>Berhe</w:t>
      </w:r>
      <w:proofErr w:type="spellEnd"/>
      <w:r w:rsidRPr="00AD6D5C">
        <w:t xml:space="preserve"> AD, </w:t>
      </w:r>
      <w:proofErr w:type="spellStart"/>
      <w:r w:rsidRPr="00AD6D5C">
        <w:t>Doritchamou</w:t>
      </w:r>
      <w:proofErr w:type="spellEnd"/>
      <w:r w:rsidRPr="00AD6D5C">
        <w:t xml:space="preserve"> JYA, Duffy PE. Malaria in pregnancy: adverse pregnancy outcomes and the future of prevention. Front Trop Dis. </w:t>
      </w:r>
      <w:proofErr w:type="gramStart"/>
      <w:r w:rsidRPr="00AD6D5C">
        <w:t>2023;4:12</w:t>
      </w:r>
      <w:r>
        <w:t>29735</w:t>
      </w:r>
      <w:proofErr w:type="gramEnd"/>
      <w:r>
        <w:t>.</w:t>
      </w:r>
    </w:p>
    <w:p w14:paraId="132BC28A" w14:textId="77777777" w:rsidR="00735821" w:rsidRPr="00AD6D5C" w:rsidRDefault="00735821" w:rsidP="007567FA">
      <w:pPr>
        <w:pStyle w:val="ListParagraph"/>
        <w:numPr>
          <w:ilvl w:val="0"/>
          <w:numId w:val="2"/>
        </w:numPr>
        <w:spacing w:line="276" w:lineRule="auto"/>
        <w:jc w:val="both"/>
      </w:pPr>
      <w:r w:rsidRPr="00AD6D5C">
        <w:t>Ryg-Cornejo V, Ioannidis LJ, Ly A, Chiu CY, Tellier J, Hill DL, Preston SP, Pellegrini M, Yu D, Nutt SL, Kallies A, Hansen DS. Severe malaria infections impair germinal center responses by inhibiting T follicular helper cell differentiation. Cell Rep. 2016;14(1):68–81. d</w:t>
      </w:r>
      <w:r>
        <w:t>oi:10.1016/j.celrep.2015.12.006</w:t>
      </w:r>
    </w:p>
    <w:p w14:paraId="10D2E20E" w14:textId="77777777" w:rsidR="00735821" w:rsidRPr="00AD6D5C" w:rsidRDefault="00735821" w:rsidP="007567FA">
      <w:pPr>
        <w:pStyle w:val="ListParagraph"/>
        <w:numPr>
          <w:ilvl w:val="0"/>
          <w:numId w:val="2"/>
        </w:numPr>
        <w:spacing w:line="276" w:lineRule="auto"/>
        <w:jc w:val="both"/>
      </w:pPr>
      <w:r w:rsidRPr="00AD6D5C">
        <w:t>Centers for Disease Control and Prevention. Malaria. Atlanta: CDC; 2019. Available fr</w:t>
      </w:r>
      <w:r>
        <w:t>om: https://www.cdc.gov/malaria</w:t>
      </w:r>
    </w:p>
    <w:p w14:paraId="0536F63A" w14:textId="77777777" w:rsidR="00735821" w:rsidRPr="00AD6D5C" w:rsidRDefault="00735821" w:rsidP="007567FA">
      <w:pPr>
        <w:pStyle w:val="ListParagraph"/>
        <w:numPr>
          <w:ilvl w:val="0"/>
          <w:numId w:val="2"/>
        </w:numPr>
        <w:spacing w:line="276" w:lineRule="auto"/>
        <w:jc w:val="both"/>
      </w:pPr>
      <w:r w:rsidRPr="00AD6D5C">
        <w:t xml:space="preserve">Woke VC, Ebere N, Orlu EE, </w:t>
      </w:r>
      <w:proofErr w:type="spellStart"/>
      <w:r w:rsidRPr="00AD6D5C">
        <w:t>Ekweozor</w:t>
      </w:r>
      <w:proofErr w:type="spellEnd"/>
      <w:r w:rsidRPr="00AD6D5C">
        <w:t xml:space="preserve"> IK, Muhammad MM. An investigation of physicochemical parameters of Anopheles and Culex breeding habitats in Port Harcourt Metropolis, Rivers State, Nigeria. </w:t>
      </w:r>
      <w:r>
        <w:t>J Public Health Dis. 2025;7(5).</w:t>
      </w:r>
    </w:p>
    <w:p w14:paraId="2890B8F5" w14:textId="77777777" w:rsidR="00735821" w:rsidRPr="00AD6D5C" w:rsidRDefault="00735821" w:rsidP="007567FA">
      <w:pPr>
        <w:pStyle w:val="ListParagraph"/>
        <w:numPr>
          <w:ilvl w:val="0"/>
          <w:numId w:val="2"/>
        </w:numPr>
        <w:spacing w:line="276" w:lineRule="auto"/>
        <w:jc w:val="both"/>
      </w:pPr>
      <w:r w:rsidRPr="00AD6D5C">
        <w:t>Ogbonna EK. Malaria prevention and control in Nigeria: evaluating the effectiveness of current strategies. Newpor</w:t>
      </w:r>
      <w:r>
        <w:t>t Int J Res Med Sci. 2024;5(3).</w:t>
      </w:r>
    </w:p>
    <w:p w14:paraId="53145716" w14:textId="77777777" w:rsidR="00735821" w:rsidRPr="00AD6D5C" w:rsidRDefault="00735821" w:rsidP="007567FA">
      <w:pPr>
        <w:pStyle w:val="ListParagraph"/>
        <w:numPr>
          <w:ilvl w:val="0"/>
          <w:numId w:val="2"/>
        </w:numPr>
        <w:spacing w:line="276" w:lineRule="auto"/>
        <w:jc w:val="both"/>
      </w:pPr>
      <w:proofErr w:type="spellStart"/>
      <w:r w:rsidRPr="00AD6D5C">
        <w:t>Wogu</w:t>
      </w:r>
      <w:proofErr w:type="spellEnd"/>
      <w:r w:rsidRPr="00AD6D5C">
        <w:t xml:space="preserve"> MN, Nduka FO, </w:t>
      </w:r>
      <w:proofErr w:type="spellStart"/>
      <w:r w:rsidRPr="00AD6D5C">
        <w:t>Wariso</w:t>
      </w:r>
      <w:proofErr w:type="spellEnd"/>
      <w:r w:rsidRPr="00AD6D5C">
        <w:t xml:space="preserve"> KT. Prevalence of uncomplicated and severe malaria in outpatients of a tertiary hospital in Rivers State, Nigeria. J App</w:t>
      </w:r>
      <w:r>
        <w:t>l Life Sci Int. 2017;15(3):1–5.</w:t>
      </w:r>
    </w:p>
    <w:p w14:paraId="4E5DB6CA" w14:textId="77777777" w:rsidR="00735821" w:rsidRPr="00AD6D5C" w:rsidRDefault="00735821" w:rsidP="007567FA">
      <w:pPr>
        <w:pStyle w:val="ListParagraph"/>
        <w:numPr>
          <w:ilvl w:val="0"/>
          <w:numId w:val="2"/>
        </w:numPr>
        <w:spacing w:line="276" w:lineRule="auto"/>
        <w:jc w:val="both"/>
      </w:pPr>
      <w:r w:rsidRPr="00AD6D5C">
        <w:t>Cheesbrough M. District laboratory practice in tropical countries. Part 1. 2nd ed. New York: Ca</w:t>
      </w:r>
      <w:r>
        <w:t>mbridge University Press; 2006.</w:t>
      </w:r>
    </w:p>
    <w:p w14:paraId="7C3A4E61" w14:textId="77777777" w:rsidR="00735821" w:rsidRPr="00AD6D5C" w:rsidRDefault="00735821" w:rsidP="007567FA">
      <w:pPr>
        <w:pStyle w:val="ListParagraph"/>
        <w:numPr>
          <w:ilvl w:val="0"/>
          <w:numId w:val="2"/>
        </w:numPr>
        <w:spacing w:line="276" w:lineRule="auto"/>
        <w:jc w:val="both"/>
      </w:pPr>
      <w:r w:rsidRPr="00AD6D5C">
        <w:t>World Health Organization. Basic malaria microscopy. Geneva: WHO; 2010. Available from: https://www.who.int/malariamicroscopy-quality-ass</w:t>
      </w:r>
      <w:r>
        <w:t>urance-manual (who.int in Bing)</w:t>
      </w:r>
    </w:p>
    <w:p w14:paraId="63DDC7C3" w14:textId="77777777" w:rsidR="00735821" w:rsidRPr="00AD6D5C" w:rsidRDefault="00735821" w:rsidP="007567FA">
      <w:pPr>
        <w:pStyle w:val="ListParagraph"/>
        <w:numPr>
          <w:ilvl w:val="0"/>
          <w:numId w:val="2"/>
        </w:numPr>
        <w:spacing w:line="276" w:lineRule="auto"/>
        <w:jc w:val="both"/>
      </w:pPr>
      <w:proofErr w:type="spellStart"/>
      <w:r w:rsidRPr="00AD6D5C">
        <w:t>Kloub</w:t>
      </w:r>
      <w:proofErr w:type="spellEnd"/>
      <w:r w:rsidRPr="00AD6D5C">
        <w:t xml:space="preserve"> AA. Methods of estimating and counting malaria parasites density. EC</w:t>
      </w:r>
      <w:r>
        <w:t xml:space="preserve"> Microbiol. 2019;15(10):727–30.</w:t>
      </w:r>
    </w:p>
    <w:p w14:paraId="4E456CAA" w14:textId="77777777" w:rsidR="00735821" w:rsidRPr="00AD6D5C" w:rsidRDefault="00735821" w:rsidP="007567FA">
      <w:pPr>
        <w:pStyle w:val="ListParagraph"/>
        <w:numPr>
          <w:ilvl w:val="0"/>
          <w:numId w:val="2"/>
        </w:numPr>
        <w:spacing w:line="276" w:lineRule="auto"/>
        <w:jc w:val="both"/>
      </w:pPr>
      <w:r w:rsidRPr="00AD6D5C">
        <w:t xml:space="preserve">World Health Organization. Malaria microscopy standard operating procedure – MM-SOP-09: malaria parasite counting. Geneva: WHO Global Malaria </w:t>
      </w:r>
      <w:proofErr w:type="spellStart"/>
      <w:r w:rsidRPr="00AD6D5C">
        <w:t>Program</w:t>
      </w:r>
      <w:r>
        <w:t>me</w:t>
      </w:r>
      <w:proofErr w:type="spellEnd"/>
      <w:r>
        <w:t>; 2016.</w:t>
      </w:r>
    </w:p>
    <w:p w14:paraId="58669404" w14:textId="77777777" w:rsidR="00735821" w:rsidRPr="00AD6D5C" w:rsidRDefault="00735821" w:rsidP="007567FA">
      <w:pPr>
        <w:pStyle w:val="ListParagraph"/>
        <w:numPr>
          <w:ilvl w:val="0"/>
          <w:numId w:val="2"/>
        </w:numPr>
        <w:spacing w:line="276" w:lineRule="auto"/>
        <w:jc w:val="both"/>
      </w:pPr>
      <w:proofErr w:type="spellStart"/>
      <w:r w:rsidRPr="00AD6D5C">
        <w:t>Hwida</w:t>
      </w:r>
      <w:proofErr w:type="spellEnd"/>
      <w:r w:rsidRPr="00AD6D5C">
        <w:t xml:space="preserve"> B, Abd </w:t>
      </w:r>
      <w:proofErr w:type="spellStart"/>
      <w:r w:rsidRPr="00AD6D5C">
        <w:t>Alla</w:t>
      </w:r>
      <w:proofErr w:type="spellEnd"/>
      <w:r w:rsidRPr="00AD6D5C">
        <w:t xml:space="preserve"> AB, </w:t>
      </w:r>
      <w:proofErr w:type="spellStart"/>
      <w:r w:rsidRPr="00AD6D5C">
        <w:t>Galander</w:t>
      </w:r>
      <w:proofErr w:type="spellEnd"/>
      <w:r w:rsidRPr="00AD6D5C">
        <w:t xml:space="preserve"> A, Salah T, </w:t>
      </w:r>
      <w:proofErr w:type="spellStart"/>
      <w:r w:rsidRPr="00AD6D5C">
        <w:t>Elfaki</w:t>
      </w:r>
      <w:proofErr w:type="spellEnd"/>
      <w:r w:rsidRPr="00AD6D5C">
        <w:t xml:space="preserve"> T, Nasir A. Prevalence of malaria and quantification of cytokine levels during infection in East Nile locality, Khartoum State: a cross-sectiona</w:t>
      </w:r>
      <w:r>
        <w:t xml:space="preserve">l study. F1000Res. </w:t>
      </w:r>
      <w:proofErr w:type="gramStart"/>
      <w:r>
        <w:t>2019;8:1529</w:t>
      </w:r>
      <w:proofErr w:type="gramEnd"/>
      <w:r>
        <w:t>.</w:t>
      </w:r>
    </w:p>
    <w:p w14:paraId="72494A9F" w14:textId="77777777" w:rsidR="00735821" w:rsidRPr="00AD6D5C" w:rsidRDefault="00735821" w:rsidP="007567FA">
      <w:pPr>
        <w:pStyle w:val="ListParagraph"/>
        <w:numPr>
          <w:ilvl w:val="0"/>
          <w:numId w:val="2"/>
        </w:numPr>
        <w:spacing w:line="276" w:lineRule="auto"/>
        <w:jc w:val="both"/>
      </w:pPr>
      <w:r w:rsidRPr="00AD6D5C">
        <w:t xml:space="preserve">El Mekki MA, </w:t>
      </w:r>
      <w:proofErr w:type="spellStart"/>
      <w:r w:rsidRPr="00AD6D5C">
        <w:t>Aburas</w:t>
      </w:r>
      <w:proofErr w:type="spellEnd"/>
      <w:r w:rsidRPr="00AD6D5C">
        <w:t xml:space="preserve"> NA, </w:t>
      </w:r>
      <w:proofErr w:type="spellStart"/>
      <w:r w:rsidRPr="00AD6D5C">
        <w:t>Alghaithy</w:t>
      </w:r>
      <w:proofErr w:type="spellEnd"/>
      <w:r w:rsidRPr="00AD6D5C">
        <w:t xml:space="preserve"> AA. Prevalence and molecular identification of malaria parasite in displaced camps in Khartoum State, Sudan. S</w:t>
      </w:r>
      <w:r>
        <w:t>udan J Med Sci. 2012;4(1):7–12.</w:t>
      </w:r>
    </w:p>
    <w:p w14:paraId="00C0A88E" w14:textId="77777777" w:rsidR="00735821" w:rsidRPr="00AD6D5C" w:rsidRDefault="00735821" w:rsidP="007567FA">
      <w:pPr>
        <w:pStyle w:val="ListParagraph"/>
        <w:numPr>
          <w:ilvl w:val="0"/>
          <w:numId w:val="2"/>
        </w:numPr>
        <w:spacing w:line="276" w:lineRule="auto"/>
        <w:jc w:val="both"/>
      </w:pPr>
      <w:r w:rsidRPr="00AD6D5C">
        <w:lastRenderedPageBreak/>
        <w:t>El Sayed BB, Arnot DE, Mukhtar MM, et al. A study of the urban malaria transmission problem in Khartoum</w:t>
      </w:r>
      <w:r>
        <w:t>. Acta Trop. 2000;75(2):163–71.</w:t>
      </w:r>
    </w:p>
    <w:p w14:paraId="7A0F0D8C" w14:textId="77777777" w:rsidR="00735821" w:rsidRPr="00AD6D5C" w:rsidRDefault="00735821" w:rsidP="007567FA">
      <w:pPr>
        <w:pStyle w:val="ListParagraph"/>
        <w:numPr>
          <w:ilvl w:val="0"/>
          <w:numId w:val="2"/>
        </w:numPr>
        <w:spacing w:line="276" w:lineRule="auto"/>
        <w:jc w:val="both"/>
      </w:pPr>
      <w:r w:rsidRPr="00AD6D5C">
        <w:t>World Health Organization. Severe malaria. Geneva: WHO; 2014. Available from: https://www.who.int/malaria/publication/atoz/severe-malaria-tmih-supple</w:t>
      </w:r>
      <w:r>
        <w:t>ment-2014.pdf (who.int in Bing)</w:t>
      </w:r>
    </w:p>
    <w:p w14:paraId="2E87BC62" w14:textId="77777777" w:rsidR="00735821" w:rsidRPr="00AD6D5C" w:rsidRDefault="00735821" w:rsidP="007567FA">
      <w:pPr>
        <w:pStyle w:val="ListParagraph"/>
        <w:numPr>
          <w:ilvl w:val="0"/>
          <w:numId w:val="2"/>
        </w:numPr>
        <w:spacing w:line="276" w:lineRule="auto"/>
        <w:jc w:val="both"/>
      </w:pPr>
      <w:proofErr w:type="spellStart"/>
      <w:r w:rsidRPr="00AD6D5C">
        <w:t>Ademolue</w:t>
      </w:r>
      <w:proofErr w:type="spellEnd"/>
      <w:r w:rsidRPr="00AD6D5C">
        <w:t xml:space="preserve"> TW, </w:t>
      </w:r>
      <w:proofErr w:type="spellStart"/>
      <w:r w:rsidRPr="00AD6D5C">
        <w:t>Aniweh</w:t>
      </w:r>
      <w:proofErr w:type="spellEnd"/>
      <w:r w:rsidRPr="00AD6D5C">
        <w:t xml:space="preserve"> Y, </w:t>
      </w:r>
      <w:proofErr w:type="spellStart"/>
      <w:r w:rsidRPr="00AD6D5C">
        <w:t>Kusi</w:t>
      </w:r>
      <w:proofErr w:type="spellEnd"/>
      <w:r w:rsidRPr="00AD6D5C">
        <w:t xml:space="preserve"> KA, </w:t>
      </w:r>
      <w:proofErr w:type="spellStart"/>
      <w:r w:rsidRPr="00AD6D5C">
        <w:t>Awandare</w:t>
      </w:r>
      <w:proofErr w:type="spellEnd"/>
      <w:r w:rsidRPr="00AD6D5C">
        <w:t xml:space="preserve"> GA. Patterns of inflammatory responses and parasite tolerance vary with malaria trans</w:t>
      </w:r>
      <w:r>
        <w:t xml:space="preserve">missions. Malar J. </w:t>
      </w:r>
      <w:proofErr w:type="gramStart"/>
      <w:r>
        <w:t>2017;16:145</w:t>
      </w:r>
      <w:proofErr w:type="gramEnd"/>
      <w:r>
        <w:t>.</w:t>
      </w:r>
    </w:p>
    <w:p w14:paraId="2852B8AB" w14:textId="77777777" w:rsidR="00735821" w:rsidRPr="00AD6D5C" w:rsidRDefault="00735821" w:rsidP="007567FA">
      <w:pPr>
        <w:pStyle w:val="ListParagraph"/>
        <w:numPr>
          <w:ilvl w:val="0"/>
          <w:numId w:val="2"/>
        </w:numPr>
        <w:spacing w:line="276" w:lineRule="auto"/>
        <w:jc w:val="both"/>
      </w:pPr>
      <w:proofErr w:type="spellStart"/>
      <w:r w:rsidRPr="00AD6D5C">
        <w:t>Wogu</w:t>
      </w:r>
      <w:proofErr w:type="spellEnd"/>
      <w:r w:rsidRPr="00AD6D5C">
        <w:t xml:space="preserve"> M, </w:t>
      </w:r>
      <w:proofErr w:type="spellStart"/>
      <w:r w:rsidRPr="00AD6D5C">
        <w:t>Onosakponome</w:t>
      </w:r>
      <w:proofErr w:type="spellEnd"/>
      <w:r w:rsidRPr="00AD6D5C">
        <w:t xml:space="preserve"> EO. Evaluating prevalence and misdiagnosis of Plasmodium using microscopy compared with polymerase chain reaction technique in two tertiary care hospitals in Rivers State, Nigeria. Int J Infect. 2021;8(1):109411.</w:t>
      </w:r>
    </w:p>
    <w:p w14:paraId="08835363" w14:textId="77777777" w:rsidR="00892580" w:rsidRPr="00522806" w:rsidRDefault="00892580" w:rsidP="007567FA">
      <w:pPr>
        <w:spacing w:before="80" w:after="80" w:line="276" w:lineRule="auto"/>
        <w:ind w:left="720" w:hanging="720"/>
        <w:jc w:val="both"/>
      </w:pPr>
    </w:p>
    <w:sectPr w:rsidR="00892580" w:rsidRPr="005228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470DE" w14:textId="77777777" w:rsidR="009F37BE" w:rsidRDefault="009F37BE" w:rsidP="00410DF0">
      <w:r>
        <w:separator/>
      </w:r>
    </w:p>
  </w:endnote>
  <w:endnote w:type="continuationSeparator" w:id="0">
    <w:p w14:paraId="286A6D6E" w14:textId="77777777" w:rsidR="009F37BE" w:rsidRDefault="009F37BE" w:rsidP="0041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4017A" w14:textId="77777777" w:rsidR="00410DF0" w:rsidRDefault="00410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87F03" w14:textId="77777777" w:rsidR="00410DF0" w:rsidRDefault="00410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47134" w14:textId="77777777" w:rsidR="00410DF0" w:rsidRDefault="00410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C5362" w14:textId="77777777" w:rsidR="009F37BE" w:rsidRDefault="009F37BE" w:rsidP="00410DF0">
      <w:r>
        <w:separator/>
      </w:r>
    </w:p>
  </w:footnote>
  <w:footnote w:type="continuationSeparator" w:id="0">
    <w:p w14:paraId="58975CB1" w14:textId="77777777" w:rsidR="009F37BE" w:rsidRDefault="009F37BE" w:rsidP="00410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E745" w14:textId="04E4EAD3" w:rsidR="00410DF0" w:rsidRDefault="00410DF0">
    <w:pPr>
      <w:pStyle w:val="Header"/>
    </w:pPr>
    <w:r>
      <w:rPr>
        <w:noProof/>
      </w:rPr>
      <w:pict w14:anchorId="06BC6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1465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2FE5B" w14:textId="60A83B1C" w:rsidR="00410DF0" w:rsidRDefault="00410DF0">
    <w:pPr>
      <w:pStyle w:val="Header"/>
    </w:pPr>
    <w:r>
      <w:rPr>
        <w:noProof/>
      </w:rPr>
      <w:pict w14:anchorId="17883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1465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B8284" w14:textId="7556E41C" w:rsidR="00410DF0" w:rsidRDefault="00410DF0">
    <w:pPr>
      <w:pStyle w:val="Header"/>
    </w:pPr>
    <w:r>
      <w:rPr>
        <w:noProof/>
      </w:rPr>
      <w:pict w14:anchorId="0D28E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1465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938F5"/>
    <w:multiLevelType w:val="hybridMultilevel"/>
    <w:tmpl w:val="7DE6564E"/>
    <w:lvl w:ilvl="0" w:tplc="478073E4">
      <w:start w:val="1"/>
      <w:numFmt w:val="bullet"/>
      <w:lvlText w:val="●"/>
      <w:lvlJc w:val="left"/>
      <w:pPr>
        <w:ind w:left="720" w:hanging="360"/>
      </w:pPr>
    </w:lvl>
    <w:lvl w:ilvl="1" w:tplc="82CEA6A8">
      <w:start w:val="1"/>
      <w:numFmt w:val="bullet"/>
      <w:lvlText w:val="○"/>
      <w:lvlJc w:val="left"/>
      <w:pPr>
        <w:ind w:left="1440" w:hanging="360"/>
      </w:pPr>
    </w:lvl>
    <w:lvl w:ilvl="2" w:tplc="FCD8A1C6">
      <w:start w:val="1"/>
      <w:numFmt w:val="bullet"/>
      <w:lvlText w:val="■"/>
      <w:lvlJc w:val="left"/>
      <w:pPr>
        <w:ind w:left="2160" w:hanging="360"/>
      </w:pPr>
    </w:lvl>
    <w:lvl w:ilvl="3" w:tplc="A8BA8C80">
      <w:start w:val="1"/>
      <w:numFmt w:val="bullet"/>
      <w:lvlText w:val="●"/>
      <w:lvlJc w:val="left"/>
      <w:pPr>
        <w:ind w:left="2880" w:hanging="360"/>
      </w:pPr>
    </w:lvl>
    <w:lvl w:ilvl="4" w:tplc="A4C6EA3C">
      <w:start w:val="1"/>
      <w:numFmt w:val="bullet"/>
      <w:lvlText w:val="○"/>
      <w:lvlJc w:val="left"/>
      <w:pPr>
        <w:ind w:left="3600" w:hanging="360"/>
      </w:pPr>
    </w:lvl>
    <w:lvl w:ilvl="5" w:tplc="ABCA0476">
      <w:start w:val="1"/>
      <w:numFmt w:val="bullet"/>
      <w:lvlText w:val="■"/>
      <w:lvlJc w:val="left"/>
      <w:pPr>
        <w:ind w:left="4320" w:hanging="360"/>
      </w:pPr>
    </w:lvl>
    <w:lvl w:ilvl="6" w:tplc="A2983D5C">
      <w:start w:val="1"/>
      <w:numFmt w:val="bullet"/>
      <w:lvlText w:val="●"/>
      <w:lvlJc w:val="left"/>
      <w:pPr>
        <w:ind w:left="5040" w:hanging="360"/>
      </w:pPr>
    </w:lvl>
    <w:lvl w:ilvl="7" w:tplc="5B5AEEA0">
      <w:start w:val="1"/>
      <w:numFmt w:val="bullet"/>
      <w:lvlText w:val="●"/>
      <w:lvlJc w:val="left"/>
      <w:pPr>
        <w:ind w:left="5760" w:hanging="360"/>
      </w:pPr>
    </w:lvl>
    <w:lvl w:ilvl="8" w:tplc="2EB0919C">
      <w:start w:val="1"/>
      <w:numFmt w:val="bullet"/>
      <w:lvlText w:val="●"/>
      <w:lvlJc w:val="left"/>
      <w:pPr>
        <w:ind w:left="6480" w:hanging="360"/>
      </w:pPr>
    </w:lvl>
  </w:abstractNum>
  <w:abstractNum w:abstractNumId="1" w15:restartNumberingAfterBreak="0">
    <w:nsid w:val="4A166ECA"/>
    <w:multiLevelType w:val="hybridMultilevel"/>
    <w:tmpl w:val="2710F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FD1"/>
    <w:rsid w:val="00027757"/>
    <w:rsid w:val="000466F9"/>
    <w:rsid w:val="00047D01"/>
    <w:rsid w:val="00051B63"/>
    <w:rsid w:val="00055A6A"/>
    <w:rsid w:val="0005693A"/>
    <w:rsid w:val="000A3C72"/>
    <w:rsid w:val="000A426D"/>
    <w:rsid w:val="000D1E56"/>
    <w:rsid w:val="000E65CE"/>
    <w:rsid w:val="0013270D"/>
    <w:rsid w:val="00147908"/>
    <w:rsid w:val="001541D7"/>
    <w:rsid w:val="00164D2C"/>
    <w:rsid w:val="00174501"/>
    <w:rsid w:val="001E2A0F"/>
    <w:rsid w:val="00267915"/>
    <w:rsid w:val="002B4558"/>
    <w:rsid w:val="00301B8E"/>
    <w:rsid w:val="00346FD1"/>
    <w:rsid w:val="0035033D"/>
    <w:rsid w:val="00375B05"/>
    <w:rsid w:val="003B240B"/>
    <w:rsid w:val="004038C8"/>
    <w:rsid w:val="00410DF0"/>
    <w:rsid w:val="00434BDA"/>
    <w:rsid w:val="00453D01"/>
    <w:rsid w:val="00471E42"/>
    <w:rsid w:val="004C0F85"/>
    <w:rsid w:val="004C215C"/>
    <w:rsid w:val="00522806"/>
    <w:rsid w:val="005830AA"/>
    <w:rsid w:val="0059149B"/>
    <w:rsid w:val="005A34DE"/>
    <w:rsid w:val="005B55E9"/>
    <w:rsid w:val="005E1F22"/>
    <w:rsid w:val="005E4DB1"/>
    <w:rsid w:val="006421D8"/>
    <w:rsid w:val="00655B12"/>
    <w:rsid w:val="00656DAF"/>
    <w:rsid w:val="00674657"/>
    <w:rsid w:val="006A3BEB"/>
    <w:rsid w:val="006A5EBF"/>
    <w:rsid w:val="006C59F1"/>
    <w:rsid w:val="00712638"/>
    <w:rsid w:val="00715C0A"/>
    <w:rsid w:val="007179EF"/>
    <w:rsid w:val="00735821"/>
    <w:rsid w:val="00744591"/>
    <w:rsid w:val="00752602"/>
    <w:rsid w:val="007567FA"/>
    <w:rsid w:val="00782D1B"/>
    <w:rsid w:val="007B4149"/>
    <w:rsid w:val="007B43B8"/>
    <w:rsid w:val="007E68DD"/>
    <w:rsid w:val="00802154"/>
    <w:rsid w:val="0083432C"/>
    <w:rsid w:val="00892580"/>
    <w:rsid w:val="008A25D6"/>
    <w:rsid w:val="008C40DD"/>
    <w:rsid w:val="008D2AF0"/>
    <w:rsid w:val="00913EC8"/>
    <w:rsid w:val="00927888"/>
    <w:rsid w:val="009467B6"/>
    <w:rsid w:val="0095207E"/>
    <w:rsid w:val="009C384D"/>
    <w:rsid w:val="009D3F91"/>
    <w:rsid w:val="009D66A5"/>
    <w:rsid w:val="009E12F0"/>
    <w:rsid w:val="009F1656"/>
    <w:rsid w:val="009F2F55"/>
    <w:rsid w:val="009F37BE"/>
    <w:rsid w:val="009F7196"/>
    <w:rsid w:val="00A1711C"/>
    <w:rsid w:val="00A3587A"/>
    <w:rsid w:val="00A41782"/>
    <w:rsid w:val="00A817F9"/>
    <w:rsid w:val="00AE6C4D"/>
    <w:rsid w:val="00B03111"/>
    <w:rsid w:val="00B411E6"/>
    <w:rsid w:val="00B96E38"/>
    <w:rsid w:val="00C01BB7"/>
    <w:rsid w:val="00C87E18"/>
    <w:rsid w:val="00CB37AD"/>
    <w:rsid w:val="00CE0893"/>
    <w:rsid w:val="00D004B4"/>
    <w:rsid w:val="00D00980"/>
    <w:rsid w:val="00D06395"/>
    <w:rsid w:val="00D351FC"/>
    <w:rsid w:val="00D414D5"/>
    <w:rsid w:val="00D4157A"/>
    <w:rsid w:val="00D470BA"/>
    <w:rsid w:val="00D94397"/>
    <w:rsid w:val="00DB1C36"/>
    <w:rsid w:val="00DD3ACC"/>
    <w:rsid w:val="00DE2E43"/>
    <w:rsid w:val="00DE5388"/>
    <w:rsid w:val="00DF6BDE"/>
    <w:rsid w:val="00DF7246"/>
    <w:rsid w:val="00E020F4"/>
    <w:rsid w:val="00E11165"/>
    <w:rsid w:val="00E20CF8"/>
    <w:rsid w:val="00E9135A"/>
    <w:rsid w:val="00EB77D0"/>
    <w:rsid w:val="00EC5DF1"/>
    <w:rsid w:val="00ED130C"/>
    <w:rsid w:val="00F067B2"/>
    <w:rsid w:val="00F373C7"/>
    <w:rsid w:val="00F508DE"/>
    <w:rsid w:val="00F52007"/>
    <w:rsid w:val="00F61EE8"/>
    <w:rsid w:val="00F7338A"/>
    <w:rsid w:val="00FE2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3660F3"/>
  <w15:docId w15:val="{A8864C99-5BAA-48CA-9D33-8A023E9E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spacing w:before="240" w:after="120"/>
      <w:outlineLvl w:val="0"/>
    </w:pPr>
    <w:rPr>
      <w:b/>
      <w:bCs/>
      <w:sz w:val="28"/>
      <w:szCs w:val="28"/>
    </w:rPr>
  </w:style>
  <w:style w:type="paragraph" w:styleId="Heading2">
    <w:name w:val="heading 2"/>
    <w:qFormat/>
    <w:pPr>
      <w:spacing w:before="200" w:after="80"/>
      <w:outlineLvl w:val="1"/>
    </w:pPr>
    <w:rPr>
      <w:b/>
      <w:bCs/>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715C0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1B63"/>
    <w:rPr>
      <w:color w:val="605E5C"/>
      <w:shd w:val="clear" w:color="auto" w:fill="E1DFDD"/>
    </w:rPr>
  </w:style>
  <w:style w:type="paragraph" w:styleId="Header">
    <w:name w:val="header"/>
    <w:basedOn w:val="Normal"/>
    <w:link w:val="HeaderChar"/>
    <w:uiPriority w:val="99"/>
    <w:unhideWhenUsed/>
    <w:rsid w:val="00410DF0"/>
    <w:pPr>
      <w:tabs>
        <w:tab w:val="center" w:pos="4513"/>
        <w:tab w:val="right" w:pos="9026"/>
      </w:tabs>
    </w:pPr>
  </w:style>
  <w:style w:type="character" w:customStyle="1" w:styleId="HeaderChar">
    <w:name w:val="Header Char"/>
    <w:basedOn w:val="DefaultParagraphFont"/>
    <w:link w:val="Header"/>
    <w:uiPriority w:val="99"/>
    <w:rsid w:val="00410DF0"/>
  </w:style>
  <w:style w:type="paragraph" w:styleId="Footer">
    <w:name w:val="footer"/>
    <w:basedOn w:val="Normal"/>
    <w:link w:val="FooterChar"/>
    <w:uiPriority w:val="99"/>
    <w:unhideWhenUsed/>
    <w:rsid w:val="00410DF0"/>
    <w:pPr>
      <w:tabs>
        <w:tab w:val="center" w:pos="4513"/>
        <w:tab w:val="right" w:pos="9026"/>
      </w:tabs>
    </w:pPr>
  </w:style>
  <w:style w:type="character" w:customStyle="1" w:styleId="FooterChar">
    <w:name w:val="Footer Char"/>
    <w:basedOn w:val="DefaultParagraphFont"/>
    <w:link w:val="Footer"/>
    <w:uiPriority w:val="99"/>
    <w:rsid w:val="00410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1322</TotalTime>
  <Pages>10</Pages>
  <Words>3530</Words>
  <Characters>20125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108</cp:revision>
  <dcterms:created xsi:type="dcterms:W3CDTF">2026-03-26T05:39:00Z</dcterms:created>
  <dcterms:modified xsi:type="dcterms:W3CDTF">2026-04-16T09:53:00Z</dcterms:modified>
</cp:coreProperties>
</file>