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553D7" w14:textId="77777777" w:rsidR="00EE1D5C" w:rsidRPr="00EE1D5C" w:rsidRDefault="00EE1D5C" w:rsidP="005B115B">
      <w:pPr>
        <w:spacing w:after="120"/>
        <w:jc w:val="center"/>
        <w:rPr>
          <w:rFonts w:ascii="Times New Roman" w:hAnsi="Times New Roman" w:cs="Times New Roman"/>
          <w:b/>
          <w:bCs/>
        </w:rPr>
      </w:pPr>
      <w:r w:rsidRPr="00EE1D5C">
        <w:rPr>
          <w:rFonts w:ascii="Times New Roman" w:hAnsi="Times New Roman" w:cs="Times New Roman"/>
          <w:b/>
          <w:bCs/>
        </w:rPr>
        <w:t xml:space="preserve">Prevalence and In Vitro Characterization of Intestinal Parasites among School Children in Rural Communities </w:t>
      </w:r>
    </w:p>
    <w:p w14:paraId="0A448DD0" w14:textId="36060636" w:rsidR="00A8306D" w:rsidRPr="005B115B" w:rsidRDefault="00A8306D" w:rsidP="005B115B">
      <w:pPr>
        <w:spacing w:after="120"/>
        <w:jc w:val="both"/>
        <w:rPr>
          <w:rFonts w:ascii="Times New Roman" w:hAnsi="Times New Roman" w:cs="Times New Roman"/>
          <w:color w:val="000000" w:themeColor="text1"/>
        </w:rPr>
      </w:pPr>
      <w:r w:rsidRPr="005B115B">
        <w:rPr>
          <w:rFonts w:ascii="Times New Roman" w:eastAsia="Times New Roman" w:hAnsi="Times New Roman" w:cs="Times New Roman"/>
          <w:b/>
          <w:bCs/>
          <w:color w:val="000000" w:themeColor="text1"/>
          <w:kern w:val="0"/>
          <w14:ligatures w14:val="none"/>
        </w:rPr>
        <w:t>ABSTRACT</w:t>
      </w:r>
    </w:p>
    <w:p w14:paraId="4898A139" w14:textId="649D2923"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Intestinal parasitic infections (IPIs) remain a major public health concern among school children in rural communities. This study assessed the prevalence and cultural characterization of intestinal parasites among 240 pupils aged 5–15 years. Stool samples were analyzed using direct wet mount, </w:t>
      </w:r>
      <w:proofErr w:type="spellStart"/>
      <w:r w:rsidRPr="005B115B">
        <w:rPr>
          <w:rFonts w:ascii="Times New Roman" w:eastAsia="Times New Roman" w:hAnsi="Times New Roman" w:cs="Times New Roman"/>
          <w:color w:val="000000" w:themeColor="text1"/>
          <w:kern w:val="0"/>
          <w14:ligatures w14:val="none"/>
        </w:rPr>
        <w:t>formol</w:t>
      </w:r>
      <w:proofErr w:type="spellEnd"/>
      <w:r w:rsidRPr="005B115B">
        <w:rPr>
          <w:rFonts w:ascii="Times New Roman" w:eastAsia="Times New Roman" w:hAnsi="Times New Roman" w:cs="Times New Roman"/>
          <w:color w:val="000000" w:themeColor="text1"/>
          <w:kern w:val="0"/>
          <w14:ligatures w14:val="none"/>
        </w:rPr>
        <w:t>-ether concentration, and culture techniques</w:t>
      </w:r>
      <w:r w:rsidR="00BA1AD2">
        <w:rPr>
          <w:rFonts w:ascii="Times New Roman" w:eastAsia="Times New Roman" w:hAnsi="Times New Roman" w:cs="Times New Roman"/>
          <w:color w:val="000000" w:themeColor="text1"/>
          <w:kern w:val="0"/>
          <w14:ligatures w14:val="none"/>
        </w:rPr>
        <w:t xml:space="preserve"> with cells/field</w:t>
      </w:r>
      <w:r w:rsidR="00BA1AD2">
        <w:t xml:space="preserve"> of ×40 objective</w:t>
      </w:r>
      <w:r w:rsidRPr="005B115B">
        <w:rPr>
          <w:rFonts w:ascii="Times New Roman" w:eastAsia="Times New Roman" w:hAnsi="Times New Roman" w:cs="Times New Roman"/>
          <w:color w:val="000000" w:themeColor="text1"/>
          <w:kern w:val="0"/>
          <w14:ligatures w14:val="none"/>
        </w:rPr>
        <w:t xml:space="preserve">. The overall prevalence was 47.9% (115/240). </w:t>
      </w:r>
      <w:r w:rsidRPr="005B115B">
        <w:rPr>
          <w:rFonts w:ascii="Times New Roman" w:eastAsia="Times New Roman" w:hAnsi="Times New Roman" w:cs="Times New Roman"/>
          <w:i/>
          <w:iCs/>
          <w:color w:val="000000" w:themeColor="text1"/>
          <w:kern w:val="0"/>
          <w14:ligatures w14:val="none"/>
        </w:rPr>
        <w:t>Ascaris lumbricoides</w:t>
      </w:r>
      <w:r w:rsidRPr="005B115B">
        <w:rPr>
          <w:rFonts w:ascii="Times New Roman" w:eastAsia="Times New Roman" w:hAnsi="Times New Roman" w:cs="Times New Roman"/>
          <w:color w:val="000000" w:themeColor="text1"/>
          <w:kern w:val="0"/>
          <w14:ligatures w14:val="none"/>
        </w:rPr>
        <w:t xml:space="preserve"> was the most prevalent parasite (21.7%), followed by </w:t>
      </w:r>
      <w:r w:rsidRPr="005B115B">
        <w:rPr>
          <w:rFonts w:ascii="Times New Roman" w:eastAsia="Times New Roman" w:hAnsi="Times New Roman" w:cs="Times New Roman"/>
          <w:i/>
          <w:iCs/>
          <w:color w:val="000000" w:themeColor="text1"/>
          <w:kern w:val="0"/>
          <w14:ligatures w14:val="none"/>
        </w:rPr>
        <w:t>Entamoeba histolytica</w:t>
      </w:r>
      <w:r w:rsidRPr="005B115B">
        <w:rPr>
          <w:rFonts w:ascii="Times New Roman" w:eastAsia="Times New Roman" w:hAnsi="Times New Roman" w:cs="Times New Roman"/>
          <w:color w:val="000000" w:themeColor="text1"/>
          <w:kern w:val="0"/>
          <w14:ligatures w14:val="none"/>
        </w:rPr>
        <w:t xml:space="preserve"> (16.3%), hookworm (14.2%), </w:t>
      </w:r>
      <w:r w:rsidRPr="005B115B">
        <w:rPr>
          <w:rFonts w:ascii="Times New Roman" w:eastAsia="Times New Roman" w:hAnsi="Times New Roman" w:cs="Times New Roman"/>
          <w:i/>
          <w:iCs/>
          <w:color w:val="000000" w:themeColor="text1"/>
          <w:kern w:val="0"/>
          <w14:ligatures w14:val="none"/>
        </w:rPr>
        <w:t>Giardia lamblia</w:t>
      </w:r>
      <w:r w:rsidRPr="005B115B">
        <w:rPr>
          <w:rFonts w:ascii="Times New Roman" w:eastAsia="Times New Roman" w:hAnsi="Times New Roman" w:cs="Times New Roman"/>
          <w:color w:val="000000" w:themeColor="text1"/>
          <w:kern w:val="0"/>
          <w14:ligatures w14:val="none"/>
        </w:rPr>
        <w:t xml:space="preserve"> (8.8%), and </w:t>
      </w:r>
      <w:r w:rsidRPr="005B115B">
        <w:rPr>
          <w:rFonts w:ascii="Times New Roman" w:eastAsia="Times New Roman" w:hAnsi="Times New Roman" w:cs="Times New Roman"/>
          <w:i/>
          <w:iCs/>
          <w:color w:val="000000" w:themeColor="text1"/>
          <w:kern w:val="0"/>
          <w14:ligatures w14:val="none"/>
        </w:rPr>
        <w:t xml:space="preserve">Trichuris </w:t>
      </w:r>
      <w:proofErr w:type="spellStart"/>
      <w:r w:rsidRPr="005B115B">
        <w:rPr>
          <w:rFonts w:ascii="Times New Roman" w:eastAsia="Times New Roman" w:hAnsi="Times New Roman" w:cs="Times New Roman"/>
          <w:i/>
          <w:iCs/>
          <w:color w:val="000000" w:themeColor="text1"/>
          <w:kern w:val="0"/>
          <w14:ligatures w14:val="none"/>
        </w:rPr>
        <w:t>trichiura</w:t>
      </w:r>
      <w:proofErr w:type="spellEnd"/>
      <w:r w:rsidRPr="005B115B">
        <w:rPr>
          <w:rFonts w:ascii="Times New Roman" w:eastAsia="Times New Roman" w:hAnsi="Times New Roman" w:cs="Times New Roman"/>
          <w:color w:val="000000" w:themeColor="text1"/>
          <w:kern w:val="0"/>
          <w14:ligatures w14:val="none"/>
        </w:rPr>
        <w:t xml:space="preserve"> (7.5%). Parasite load differed significantly (F = 18.42, p &lt; 0.05), with </w:t>
      </w:r>
      <w:r w:rsidRPr="005B115B">
        <w:rPr>
          <w:rFonts w:ascii="Times New Roman" w:eastAsia="Times New Roman" w:hAnsi="Times New Roman" w:cs="Times New Roman"/>
          <w:i/>
          <w:iCs/>
          <w:color w:val="000000" w:themeColor="text1"/>
          <w:kern w:val="0"/>
          <w14:ligatures w14:val="none"/>
        </w:rPr>
        <w:t>A. lumbricoides</w:t>
      </w:r>
      <w:r w:rsidRPr="005B115B">
        <w:rPr>
          <w:rFonts w:ascii="Times New Roman" w:eastAsia="Times New Roman" w:hAnsi="Times New Roman" w:cs="Times New Roman"/>
          <w:color w:val="000000" w:themeColor="text1"/>
          <w:kern w:val="0"/>
          <w14:ligatures w14:val="none"/>
        </w:rPr>
        <w:t xml:space="preserve"> recording the highest intensity (188.3 ± 6.5 eggs/g) and </w:t>
      </w:r>
      <w:r w:rsidRPr="005B115B">
        <w:rPr>
          <w:rFonts w:ascii="Times New Roman" w:eastAsia="Times New Roman" w:hAnsi="Times New Roman" w:cs="Times New Roman"/>
          <w:i/>
          <w:iCs/>
          <w:color w:val="000000" w:themeColor="text1"/>
          <w:kern w:val="0"/>
          <w14:ligatures w14:val="none"/>
        </w:rPr>
        <w:t xml:space="preserve">T. </w:t>
      </w:r>
      <w:proofErr w:type="spellStart"/>
      <w:r w:rsidRPr="005B115B">
        <w:rPr>
          <w:rFonts w:ascii="Times New Roman" w:eastAsia="Times New Roman" w:hAnsi="Times New Roman" w:cs="Times New Roman"/>
          <w:i/>
          <w:iCs/>
          <w:color w:val="000000" w:themeColor="text1"/>
          <w:kern w:val="0"/>
          <w14:ligatures w14:val="none"/>
        </w:rPr>
        <w:t>trichiura</w:t>
      </w:r>
      <w:proofErr w:type="spellEnd"/>
      <w:r w:rsidRPr="005B115B">
        <w:rPr>
          <w:rFonts w:ascii="Times New Roman" w:eastAsia="Times New Roman" w:hAnsi="Times New Roman" w:cs="Times New Roman"/>
          <w:color w:val="000000" w:themeColor="text1"/>
          <w:kern w:val="0"/>
          <w14:ligatures w14:val="none"/>
        </w:rPr>
        <w:t xml:space="preserve"> the lowest (87.7 ± 2.5 eggs/g). Children aged 8–10 years had the highest prevalence (55.3%) with a significant association (χ² = 6.21, p &lt; 0.05), while gender differences were not significant (χ² = 1.12, p &gt; 0.05). Culture results showed that </w:t>
      </w:r>
      <w:r w:rsidRPr="005B115B">
        <w:rPr>
          <w:rFonts w:ascii="Times New Roman" w:eastAsia="Times New Roman" w:hAnsi="Times New Roman" w:cs="Times New Roman"/>
          <w:i/>
          <w:iCs/>
          <w:color w:val="000000" w:themeColor="text1"/>
          <w:kern w:val="0"/>
          <w14:ligatures w14:val="none"/>
        </w:rPr>
        <w:t>E. histolytica</w:t>
      </w:r>
      <w:r w:rsidRPr="005B115B">
        <w:rPr>
          <w:rFonts w:ascii="Times New Roman" w:eastAsia="Times New Roman" w:hAnsi="Times New Roman" w:cs="Times New Roman"/>
          <w:color w:val="000000" w:themeColor="text1"/>
          <w:kern w:val="0"/>
          <w14:ligatures w14:val="none"/>
        </w:rPr>
        <w:t xml:space="preserve"> had significantly higher growth (46.7 ± 1.5 cells/field) than </w:t>
      </w:r>
      <w:r w:rsidRPr="005B115B">
        <w:rPr>
          <w:rFonts w:ascii="Times New Roman" w:eastAsia="Times New Roman" w:hAnsi="Times New Roman" w:cs="Times New Roman"/>
          <w:i/>
          <w:iCs/>
          <w:color w:val="000000" w:themeColor="text1"/>
          <w:kern w:val="0"/>
          <w14:ligatures w14:val="none"/>
        </w:rPr>
        <w:t>G. lamblia</w:t>
      </w:r>
      <w:r w:rsidRPr="005B115B">
        <w:rPr>
          <w:rFonts w:ascii="Times New Roman" w:eastAsia="Times New Roman" w:hAnsi="Times New Roman" w:cs="Times New Roman"/>
          <w:color w:val="000000" w:themeColor="text1"/>
          <w:kern w:val="0"/>
          <w14:ligatures w14:val="none"/>
        </w:rPr>
        <w:t xml:space="preserve"> (32.0 ± 2.0 cells/field) (t = 9.21, p &lt; 0.05). Significant risk factors included untreated water (</w:t>
      </w:r>
      <w:r w:rsidR="00E573D0">
        <w:rPr>
          <w:rFonts w:ascii="Times New Roman" w:eastAsia="Times New Roman" w:hAnsi="Times New Roman" w:cs="Times New Roman"/>
          <w:color w:val="000000" w:themeColor="text1"/>
          <w:kern w:val="0"/>
          <w14:ligatures w14:val="none"/>
        </w:rPr>
        <w:t>30.0</w:t>
      </w:r>
      <w:r w:rsidRPr="005B115B">
        <w:rPr>
          <w:rFonts w:ascii="Times New Roman" w:eastAsia="Times New Roman" w:hAnsi="Times New Roman" w:cs="Times New Roman"/>
          <w:color w:val="000000" w:themeColor="text1"/>
          <w:kern w:val="0"/>
          <w14:ligatures w14:val="none"/>
        </w:rPr>
        <w:t>%), open defecation (</w:t>
      </w:r>
      <w:r w:rsidR="00E573D0">
        <w:rPr>
          <w:rFonts w:ascii="Times New Roman" w:eastAsia="Times New Roman" w:hAnsi="Times New Roman" w:cs="Times New Roman"/>
          <w:color w:val="000000" w:themeColor="text1"/>
          <w:kern w:val="0"/>
          <w14:ligatures w14:val="none"/>
        </w:rPr>
        <w:t>28.3</w:t>
      </w:r>
      <w:r w:rsidRPr="005B115B">
        <w:rPr>
          <w:rFonts w:ascii="Times New Roman" w:eastAsia="Times New Roman" w:hAnsi="Times New Roman" w:cs="Times New Roman"/>
          <w:color w:val="000000" w:themeColor="text1"/>
          <w:kern w:val="0"/>
          <w14:ligatures w14:val="none"/>
        </w:rPr>
        <w:t>%), and barefoot walking (</w:t>
      </w:r>
      <w:r w:rsidR="00E573D0">
        <w:rPr>
          <w:rFonts w:ascii="Times New Roman" w:eastAsia="Times New Roman" w:hAnsi="Times New Roman" w:cs="Times New Roman"/>
          <w:color w:val="000000" w:themeColor="text1"/>
          <w:kern w:val="0"/>
          <w14:ligatures w14:val="none"/>
        </w:rPr>
        <w:t>26.3</w:t>
      </w:r>
      <w:r w:rsidRPr="005B115B">
        <w:rPr>
          <w:rFonts w:ascii="Times New Roman" w:eastAsia="Times New Roman" w:hAnsi="Times New Roman" w:cs="Times New Roman"/>
          <w:color w:val="000000" w:themeColor="text1"/>
          <w:kern w:val="0"/>
          <w14:ligatures w14:val="none"/>
        </w:rPr>
        <w:t xml:space="preserve">%) (p &lt; 0.05). Single infections </w:t>
      </w:r>
      <w:r w:rsidR="00DB23CF">
        <w:t xml:space="preserve">(73.7%) </w:t>
      </w:r>
      <w:r w:rsidRPr="005B115B">
        <w:rPr>
          <w:rFonts w:ascii="Times New Roman" w:eastAsia="Times New Roman" w:hAnsi="Times New Roman" w:cs="Times New Roman"/>
          <w:color w:val="000000" w:themeColor="text1"/>
          <w:kern w:val="0"/>
          <w14:ligatures w14:val="none"/>
        </w:rPr>
        <w:t>were more common than</w:t>
      </w:r>
      <w:r w:rsidR="00DB23CF">
        <w:rPr>
          <w:rFonts w:ascii="Times New Roman" w:eastAsia="Times New Roman" w:hAnsi="Times New Roman" w:cs="Times New Roman"/>
          <w:color w:val="000000" w:themeColor="text1"/>
          <w:kern w:val="0"/>
          <w14:ligatures w14:val="none"/>
        </w:rPr>
        <w:t xml:space="preserve"> </w:t>
      </w:r>
      <w:r w:rsidRPr="005B115B">
        <w:rPr>
          <w:rFonts w:ascii="Times New Roman" w:eastAsia="Times New Roman" w:hAnsi="Times New Roman" w:cs="Times New Roman"/>
          <w:color w:val="000000" w:themeColor="text1"/>
          <w:kern w:val="0"/>
          <w14:ligatures w14:val="none"/>
        </w:rPr>
        <w:t>mixed infections</w:t>
      </w:r>
      <w:r w:rsidR="00DB23CF">
        <w:rPr>
          <w:rFonts w:ascii="Times New Roman" w:eastAsia="Times New Roman" w:hAnsi="Times New Roman" w:cs="Times New Roman"/>
          <w:color w:val="000000" w:themeColor="text1"/>
          <w:kern w:val="0"/>
          <w14:ligatures w14:val="none"/>
        </w:rPr>
        <w:t xml:space="preserve"> </w:t>
      </w:r>
      <w:r w:rsidR="00DB23CF">
        <w:t>(26.1%)</w:t>
      </w:r>
      <w:r w:rsidRPr="005B115B">
        <w:rPr>
          <w:rFonts w:ascii="Times New Roman" w:eastAsia="Times New Roman" w:hAnsi="Times New Roman" w:cs="Times New Roman"/>
          <w:color w:val="000000" w:themeColor="text1"/>
          <w:kern w:val="0"/>
          <w14:ligatures w14:val="none"/>
        </w:rPr>
        <w:t xml:space="preserve">. </w:t>
      </w:r>
      <w:r w:rsidRPr="005B115B">
        <w:rPr>
          <w:rFonts w:ascii="Times New Roman" w:hAnsi="Times New Roman" w:cs="Times New Roman"/>
          <w:color w:val="000000" w:themeColor="text1"/>
        </w:rPr>
        <w:t>Intestinal Parasitic Infections</w:t>
      </w:r>
      <w:r w:rsidRPr="005B115B">
        <w:rPr>
          <w:rFonts w:ascii="Times New Roman" w:eastAsia="Times New Roman" w:hAnsi="Times New Roman" w:cs="Times New Roman"/>
          <w:color w:val="000000" w:themeColor="text1"/>
          <w:kern w:val="0"/>
          <w14:ligatures w14:val="none"/>
        </w:rPr>
        <w:t xml:space="preserve"> </w:t>
      </w:r>
      <w:r w:rsidR="00E84006">
        <w:rPr>
          <w:rFonts w:ascii="Times New Roman" w:eastAsia="Times New Roman" w:hAnsi="Times New Roman" w:cs="Times New Roman"/>
          <w:color w:val="000000" w:themeColor="text1"/>
          <w:kern w:val="0"/>
          <w14:ligatures w14:val="none"/>
        </w:rPr>
        <w:t>w</w:t>
      </w:r>
      <w:r w:rsidR="00EE1D5C">
        <w:rPr>
          <w:rFonts w:ascii="Times New Roman" w:eastAsia="Times New Roman" w:hAnsi="Times New Roman" w:cs="Times New Roman"/>
          <w:color w:val="000000" w:themeColor="text1"/>
          <w:kern w:val="0"/>
          <w14:ligatures w14:val="none"/>
        </w:rPr>
        <w:t>ere</w:t>
      </w:r>
      <w:r w:rsidRPr="005B115B">
        <w:rPr>
          <w:rFonts w:ascii="Times New Roman" w:eastAsia="Times New Roman" w:hAnsi="Times New Roman" w:cs="Times New Roman"/>
          <w:color w:val="000000" w:themeColor="text1"/>
          <w:kern w:val="0"/>
          <w14:ligatures w14:val="none"/>
        </w:rPr>
        <w:t xml:space="preserve"> highly prevalent, with significant variation in parasite distribution and growth characteristics. Integrated control strategies including improved sanitation, safe water supply, health education, and routine deworming are strongly recommended.</w:t>
      </w:r>
    </w:p>
    <w:p w14:paraId="581A3D9A" w14:textId="17F54D13" w:rsidR="00E84006" w:rsidRPr="00E84006" w:rsidRDefault="00A8306D" w:rsidP="005B115B">
      <w:pPr>
        <w:spacing w:after="120" w:line="240" w:lineRule="auto"/>
        <w:jc w:val="both"/>
        <w:rPr>
          <w:rFonts w:ascii="Times New Roman" w:hAnsi="Times New Roman" w:cs="Times New Roman"/>
          <w:color w:val="000000" w:themeColor="text1"/>
        </w:rPr>
      </w:pPr>
      <w:r w:rsidRPr="005B115B">
        <w:rPr>
          <w:rFonts w:ascii="Times New Roman" w:eastAsia="Times New Roman" w:hAnsi="Times New Roman" w:cs="Times New Roman"/>
          <w:b/>
          <w:bCs/>
          <w:color w:val="000000" w:themeColor="text1"/>
          <w:kern w:val="0"/>
          <w14:ligatures w14:val="none"/>
        </w:rPr>
        <w:t>Keywords</w:t>
      </w:r>
      <w:r w:rsidR="00E84006">
        <w:rPr>
          <w:rFonts w:ascii="Times New Roman" w:eastAsia="Times New Roman" w:hAnsi="Times New Roman" w:cs="Times New Roman"/>
          <w:b/>
          <w:bCs/>
          <w:color w:val="000000" w:themeColor="text1"/>
          <w:kern w:val="0"/>
          <w14:ligatures w14:val="none"/>
        </w:rPr>
        <w:t>:</w:t>
      </w:r>
      <w:r w:rsidRPr="005B115B">
        <w:rPr>
          <w:rFonts w:ascii="Times New Roman" w:eastAsia="Times New Roman" w:hAnsi="Times New Roman" w:cs="Times New Roman"/>
          <w:color w:val="000000" w:themeColor="text1"/>
          <w:kern w:val="0"/>
          <w14:ligatures w14:val="none"/>
        </w:rPr>
        <w:t xml:space="preserve"> </w:t>
      </w:r>
      <w:r w:rsidR="00E84006" w:rsidRPr="00E84006">
        <w:rPr>
          <w:rFonts w:ascii="Times New Roman" w:hAnsi="Times New Roman" w:cs="Times New Roman"/>
          <w:color w:val="000000" w:themeColor="text1"/>
        </w:rPr>
        <w:t xml:space="preserve">Intestinal </w:t>
      </w:r>
      <w:r w:rsidR="001323E7">
        <w:rPr>
          <w:rFonts w:ascii="Times New Roman" w:hAnsi="Times New Roman" w:cs="Times New Roman"/>
          <w:color w:val="000000" w:themeColor="text1"/>
        </w:rPr>
        <w:t>P</w:t>
      </w:r>
      <w:r w:rsidR="00E84006" w:rsidRPr="00E84006">
        <w:rPr>
          <w:rFonts w:ascii="Times New Roman" w:hAnsi="Times New Roman" w:cs="Times New Roman"/>
          <w:color w:val="000000" w:themeColor="text1"/>
        </w:rPr>
        <w:t xml:space="preserve">arasites, rural communities, </w:t>
      </w:r>
      <w:r w:rsidR="001323E7">
        <w:rPr>
          <w:rFonts w:ascii="Times New Roman" w:hAnsi="Times New Roman" w:cs="Times New Roman"/>
          <w:color w:val="000000" w:themeColor="text1"/>
        </w:rPr>
        <w:t xml:space="preserve">In-vivo </w:t>
      </w:r>
      <w:r w:rsidR="00E84006" w:rsidRPr="00E84006">
        <w:rPr>
          <w:rFonts w:ascii="Times New Roman" w:hAnsi="Times New Roman" w:cs="Times New Roman"/>
          <w:color w:val="000000" w:themeColor="text1"/>
        </w:rPr>
        <w:t xml:space="preserve">characterization, </w:t>
      </w:r>
      <w:r w:rsidR="00E84006" w:rsidRPr="00E84006">
        <w:rPr>
          <w:rStyle w:val="Emphasis"/>
          <w:rFonts w:ascii="Times New Roman" w:hAnsi="Times New Roman" w:cs="Times New Roman"/>
          <w:color w:val="000000" w:themeColor="text1"/>
        </w:rPr>
        <w:t>Ascaris</w:t>
      </w:r>
      <w:r w:rsidR="001323E7">
        <w:rPr>
          <w:rStyle w:val="Emphasis"/>
          <w:rFonts w:ascii="Times New Roman" w:hAnsi="Times New Roman" w:cs="Times New Roman"/>
          <w:color w:val="000000" w:themeColor="text1"/>
        </w:rPr>
        <w:t xml:space="preserve"> </w:t>
      </w:r>
      <w:r w:rsidR="00E84006" w:rsidRPr="00E84006">
        <w:rPr>
          <w:rStyle w:val="Emphasis"/>
          <w:rFonts w:ascii="Times New Roman" w:hAnsi="Times New Roman" w:cs="Times New Roman"/>
          <w:color w:val="000000" w:themeColor="text1"/>
        </w:rPr>
        <w:t>lumbricoides</w:t>
      </w:r>
      <w:r w:rsidR="00E84006" w:rsidRPr="00E84006">
        <w:rPr>
          <w:rFonts w:ascii="Times New Roman" w:hAnsi="Times New Roman" w:cs="Times New Roman"/>
          <w:color w:val="000000" w:themeColor="text1"/>
        </w:rPr>
        <w:t xml:space="preserve">, </w:t>
      </w:r>
      <w:r w:rsidR="00E84006" w:rsidRPr="00E84006">
        <w:rPr>
          <w:rStyle w:val="Emphasis"/>
          <w:rFonts w:ascii="Times New Roman" w:hAnsi="Times New Roman" w:cs="Times New Roman"/>
          <w:color w:val="000000" w:themeColor="text1"/>
        </w:rPr>
        <w:t>Entamoeba histolytica</w:t>
      </w:r>
      <w:r w:rsidR="00E84006" w:rsidRPr="00E84006">
        <w:rPr>
          <w:rFonts w:ascii="Times New Roman" w:hAnsi="Times New Roman" w:cs="Times New Roman"/>
          <w:color w:val="000000" w:themeColor="text1"/>
        </w:rPr>
        <w:t xml:space="preserve">, risk factors, </w:t>
      </w:r>
      <w:r w:rsidR="001323E7">
        <w:rPr>
          <w:rFonts w:ascii="Times New Roman" w:hAnsi="Times New Roman" w:cs="Times New Roman"/>
          <w:color w:val="000000" w:themeColor="text1"/>
        </w:rPr>
        <w:t>P</w:t>
      </w:r>
      <w:r w:rsidR="00E84006" w:rsidRPr="00E84006">
        <w:rPr>
          <w:rFonts w:ascii="Times New Roman" w:hAnsi="Times New Roman" w:cs="Times New Roman"/>
          <w:color w:val="000000" w:themeColor="text1"/>
        </w:rPr>
        <w:t xml:space="preserve">rotozoa, </w:t>
      </w:r>
      <w:r w:rsidR="001323E7">
        <w:rPr>
          <w:rFonts w:ascii="Times New Roman" w:hAnsi="Times New Roman" w:cs="Times New Roman"/>
          <w:color w:val="000000" w:themeColor="text1"/>
        </w:rPr>
        <w:t>H</w:t>
      </w:r>
      <w:r w:rsidR="00E84006" w:rsidRPr="00E84006">
        <w:rPr>
          <w:rFonts w:ascii="Times New Roman" w:hAnsi="Times New Roman" w:cs="Times New Roman"/>
          <w:color w:val="000000" w:themeColor="text1"/>
        </w:rPr>
        <w:t>elminths</w:t>
      </w:r>
    </w:p>
    <w:p w14:paraId="7C3C177A" w14:textId="20E03E75"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INTRODUCTION</w:t>
      </w:r>
    </w:p>
    <w:p w14:paraId="285DA8D8" w14:textId="0942E31E"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Intestinal parasitic infections (IPIs) remain a major global public health challenge, particularly in developing countries where sanitation and access to clean water are limited. These infections are caused by a wide range of organisms, including soil-transmitted helminths and intestinal protozoa, which are transmitted primarily through contaminated food, water, and soil (World Health Organization [WHO], 2020; Centers for Disease Control and Prevention [CDC], 2022). Globally, over 1.5 billion people are infected with soil-transmitted helminths alone, with children bearing the greatest burden due to their increased exposure and susceptibility (</w:t>
      </w:r>
      <w:proofErr w:type="spellStart"/>
      <w:r w:rsidRPr="005B115B">
        <w:rPr>
          <w:rFonts w:ascii="Times New Roman" w:eastAsia="Times New Roman" w:hAnsi="Times New Roman" w:cs="Times New Roman"/>
          <w:color w:val="000000" w:themeColor="text1"/>
          <w:kern w:val="0"/>
          <w14:ligatures w14:val="none"/>
        </w:rPr>
        <w:t>Pullan</w:t>
      </w:r>
      <w:proofErr w:type="spellEnd"/>
      <w:r w:rsidRPr="005B115B">
        <w:rPr>
          <w:rFonts w:ascii="Times New Roman" w:eastAsia="Times New Roman" w:hAnsi="Times New Roman" w:cs="Times New Roman"/>
          <w:color w:val="000000" w:themeColor="text1"/>
          <w:kern w:val="0"/>
          <w14:ligatures w14:val="none"/>
        </w:rPr>
        <w:t xml:space="preserve"> et al., 2014). Despite ongoing control efforts, IPIs continue to persist in many rural communities, highlighting gaps in preventive strategies and environmental sanitation.</w:t>
      </w:r>
    </w:p>
    <w:p w14:paraId="2C233452"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School-aged children are particularly vulnerable to intestinal parasitic infections due to behavioral and environmental factors such as poor hygiene practices, playing in contaminated soil, and inadequate health education. Chronic infections in this group are associated with significant morbidity, including malnutrition, iron-deficiency anemia, impaired physical growth, and reduced cognitive development (Jourdan et al., 2018; </w:t>
      </w:r>
      <w:proofErr w:type="spellStart"/>
      <w:r w:rsidRPr="005B115B">
        <w:rPr>
          <w:rFonts w:ascii="Times New Roman" w:eastAsia="Times New Roman" w:hAnsi="Times New Roman" w:cs="Times New Roman"/>
          <w:color w:val="000000" w:themeColor="text1"/>
          <w:kern w:val="0"/>
          <w14:ligatures w14:val="none"/>
        </w:rPr>
        <w:t>Hotez</w:t>
      </w:r>
      <w:proofErr w:type="spellEnd"/>
      <w:r w:rsidRPr="005B115B">
        <w:rPr>
          <w:rFonts w:ascii="Times New Roman" w:eastAsia="Times New Roman" w:hAnsi="Times New Roman" w:cs="Times New Roman"/>
          <w:color w:val="000000" w:themeColor="text1"/>
          <w:kern w:val="0"/>
          <w14:ligatures w14:val="none"/>
        </w:rPr>
        <w:t xml:space="preserve"> et al., 2019). These health consequences can ultimately affect school attendance and academic performance, thereby perpetuating cycles of poverty and disease (UNICEF, 2019). In rural African settings, the burden is exacerbated by limited healthcare access and inadequate implementation of deworming programs (</w:t>
      </w:r>
      <w:proofErr w:type="spellStart"/>
      <w:r w:rsidRPr="005B115B">
        <w:rPr>
          <w:rFonts w:ascii="Times New Roman" w:eastAsia="Times New Roman" w:hAnsi="Times New Roman" w:cs="Times New Roman"/>
          <w:color w:val="000000" w:themeColor="text1"/>
          <w:kern w:val="0"/>
          <w14:ligatures w14:val="none"/>
        </w:rPr>
        <w:t>Tchuem</w:t>
      </w:r>
      <w:proofErr w:type="spellEnd"/>
      <w:r w:rsidRPr="005B115B">
        <w:rPr>
          <w:rFonts w:ascii="Times New Roman" w:eastAsia="Times New Roman" w:hAnsi="Times New Roman" w:cs="Times New Roman"/>
          <w:color w:val="000000" w:themeColor="text1"/>
          <w:kern w:val="0"/>
          <w14:ligatures w14:val="none"/>
        </w:rPr>
        <w:t xml:space="preserve"> </w:t>
      </w:r>
      <w:proofErr w:type="spellStart"/>
      <w:r w:rsidRPr="005B115B">
        <w:rPr>
          <w:rFonts w:ascii="Times New Roman" w:eastAsia="Times New Roman" w:hAnsi="Times New Roman" w:cs="Times New Roman"/>
          <w:color w:val="000000" w:themeColor="text1"/>
          <w:kern w:val="0"/>
          <w14:ligatures w14:val="none"/>
        </w:rPr>
        <w:t>Tchuenté</w:t>
      </w:r>
      <w:proofErr w:type="spellEnd"/>
      <w:r w:rsidRPr="005B115B">
        <w:rPr>
          <w:rFonts w:ascii="Times New Roman" w:eastAsia="Times New Roman" w:hAnsi="Times New Roman" w:cs="Times New Roman"/>
          <w:color w:val="000000" w:themeColor="text1"/>
          <w:kern w:val="0"/>
          <w14:ligatures w14:val="none"/>
        </w:rPr>
        <w:t xml:space="preserve"> et al., 2017).</w:t>
      </w:r>
    </w:p>
    <w:p w14:paraId="5D9AFD10"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In Nigeria, intestinal parasitic infections remain endemic, especially in rural and underserved communities where infrastructural development is poor. Several studies have reported varying </w:t>
      </w:r>
      <w:r w:rsidRPr="005B115B">
        <w:rPr>
          <w:rFonts w:ascii="Times New Roman" w:eastAsia="Times New Roman" w:hAnsi="Times New Roman" w:cs="Times New Roman"/>
          <w:color w:val="000000" w:themeColor="text1"/>
          <w:kern w:val="0"/>
          <w14:ligatures w14:val="none"/>
        </w:rPr>
        <w:lastRenderedPageBreak/>
        <w:t>prevalence rates across different regions, often exceeding 50% among school children (</w:t>
      </w:r>
      <w:proofErr w:type="spellStart"/>
      <w:r w:rsidRPr="005B115B">
        <w:rPr>
          <w:rFonts w:ascii="Times New Roman" w:eastAsia="Times New Roman" w:hAnsi="Times New Roman" w:cs="Times New Roman"/>
          <w:color w:val="000000" w:themeColor="text1"/>
          <w:kern w:val="0"/>
          <w14:ligatures w14:val="none"/>
        </w:rPr>
        <w:t>Opara</w:t>
      </w:r>
      <w:proofErr w:type="spellEnd"/>
      <w:r w:rsidRPr="005B115B">
        <w:rPr>
          <w:rFonts w:ascii="Times New Roman" w:eastAsia="Times New Roman" w:hAnsi="Times New Roman" w:cs="Times New Roman"/>
          <w:color w:val="000000" w:themeColor="text1"/>
          <w:kern w:val="0"/>
          <w14:ligatures w14:val="none"/>
        </w:rPr>
        <w:t xml:space="preserve"> et al., 2017; </w:t>
      </w:r>
      <w:proofErr w:type="spellStart"/>
      <w:r w:rsidRPr="005B115B">
        <w:rPr>
          <w:rFonts w:ascii="Times New Roman" w:eastAsia="Times New Roman" w:hAnsi="Times New Roman" w:cs="Times New Roman"/>
          <w:color w:val="000000" w:themeColor="text1"/>
          <w:kern w:val="0"/>
          <w14:ligatures w14:val="none"/>
        </w:rPr>
        <w:t>Auta</w:t>
      </w:r>
      <w:proofErr w:type="spellEnd"/>
      <w:r w:rsidRPr="005B115B">
        <w:rPr>
          <w:rFonts w:ascii="Times New Roman" w:eastAsia="Times New Roman" w:hAnsi="Times New Roman" w:cs="Times New Roman"/>
          <w:color w:val="000000" w:themeColor="text1"/>
          <w:kern w:val="0"/>
          <w14:ligatures w14:val="none"/>
        </w:rPr>
        <w:t xml:space="preserve"> et al., 2018). These variations are influenced by environmental, socioeconomic, and cultural factors such as open defecation, lack of potable water, and low awareness of hygiene practices (</w:t>
      </w:r>
      <w:proofErr w:type="spellStart"/>
      <w:r w:rsidRPr="005B115B">
        <w:rPr>
          <w:rFonts w:ascii="Times New Roman" w:eastAsia="Times New Roman" w:hAnsi="Times New Roman" w:cs="Times New Roman"/>
          <w:color w:val="000000" w:themeColor="text1"/>
          <w:kern w:val="0"/>
          <w14:ligatures w14:val="none"/>
        </w:rPr>
        <w:t>Ugbomoiko</w:t>
      </w:r>
      <w:proofErr w:type="spellEnd"/>
      <w:r w:rsidRPr="005B115B">
        <w:rPr>
          <w:rFonts w:ascii="Times New Roman" w:eastAsia="Times New Roman" w:hAnsi="Times New Roman" w:cs="Times New Roman"/>
          <w:color w:val="000000" w:themeColor="text1"/>
          <w:kern w:val="0"/>
          <w14:ligatures w14:val="none"/>
        </w:rPr>
        <w:t xml:space="preserve"> et al., 2017; </w:t>
      </w:r>
      <w:proofErr w:type="spellStart"/>
      <w:r w:rsidRPr="005B115B">
        <w:rPr>
          <w:rFonts w:ascii="Times New Roman" w:eastAsia="Times New Roman" w:hAnsi="Times New Roman" w:cs="Times New Roman"/>
          <w:color w:val="000000" w:themeColor="text1"/>
          <w:kern w:val="0"/>
          <w14:ligatures w14:val="none"/>
        </w:rPr>
        <w:t>Ekpo</w:t>
      </w:r>
      <w:proofErr w:type="spellEnd"/>
      <w:r w:rsidRPr="005B115B">
        <w:rPr>
          <w:rFonts w:ascii="Times New Roman" w:eastAsia="Times New Roman" w:hAnsi="Times New Roman" w:cs="Times New Roman"/>
          <w:color w:val="000000" w:themeColor="text1"/>
          <w:kern w:val="0"/>
          <w14:ligatures w14:val="none"/>
        </w:rPr>
        <w:t xml:space="preserve"> et al., 2018). The persistence of these infections in Nigeria underscores the need for localized epidemiological studies that can inform targeted interventions.</w:t>
      </w:r>
    </w:p>
    <w:p w14:paraId="1DEB2F66" w14:textId="0E214706"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While most studies on intestinal parasites focus primarily on prevalence and associated risk factors, limited attention has been given to the cultural characterization and biological behavior of these parasites outside the host environment. </w:t>
      </w:r>
      <w:r w:rsidR="001323E7">
        <w:rPr>
          <w:rFonts w:ascii="Times New Roman" w:eastAsia="Times New Roman" w:hAnsi="Times New Roman" w:cs="Times New Roman"/>
          <w:color w:val="000000" w:themeColor="text1"/>
          <w:kern w:val="0"/>
          <w14:ligatures w14:val="none"/>
        </w:rPr>
        <w:t xml:space="preserve">In-vivo </w:t>
      </w:r>
      <w:r w:rsidRPr="005B115B">
        <w:rPr>
          <w:rFonts w:ascii="Times New Roman" w:eastAsia="Times New Roman" w:hAnsi="Times New Roman" w:cs="Times New Roman"/>
          <w:color w:val="000000" w:themeColor="text1"/>
          <w:kern w:val="0"/>
          <w14:ligatures w14:val="none"/>
        </w:rPr>
        <w:t xml:space="preserve">based studies provide valuable insights into parasite viability, growth patterns, and adaptability, which are essential for understanding transmission dynamics and potential resistance mechanisms (Garcia, 2016; </w:t>
      </w:r>
      <w:proofErr w:type="spellStart"/>
      <w:r w:rsidRPr="005B115B">
        <w:rPr>
          <w:rFonts w:ascii="Times New Roman" w:eastAsia="Times New Roman" w:hAnsi="Times New Roman" w:cs="Times New Roman"/>
          <w:color w:val="000000" w:themeColor="text1"/>
          <w:kern w:val="0"/>
          <w14:ligatures w14:val="none"/>
        </w:rPr>
        <w:t>Cheesbrough</w:t>
      </w:r>
      <w:proofErr w:type="spellEnd"/>
      <w:r w:rsidRPr="005B115B">
        <w:rPr>
          <w:rFonts w:ascii="Times New Roman" w:eastAsia="Times New Roman" w:hAnsi="Times New Roman" w:cs="Times New Roman"/>
          <w:color w:val="000000" w:themeColor="text1"/>
          <w:kern w:val="0"/>
          <w14:ligatures w14:val="none"/>
        </w:rPr>
        <w:t xml:space="preserve">, 2010). Protozoan parasites such as </w:t>
      </w:r>
      <w:r w:rsidRPr="005B115B">
        <w:rPr>
          <w:rFonts w:ascii="Times New Roman" w:eastAsia="Times New Roman" w:hAnsi="Times New Roman" w:cs="Times New Roman"/>
          <w:i/>
          <w:iCs/>
          <w:color w:val="000000" w:themeColor="text1"/>
          <w:kern w:val="0"/>
          <w14:ligatures w14:val="none"/>
        </w:rPr>
        <w:t>Entamoeba histolytica</w:t>
      </w:r>
      <w:r w:rsidRPr="005B115B">
        <w:rPr>
          <w:rFonts w:ascii="Times New Roman" w:eastAsia="Times New Roman" w:hAnsi="Times New Roman" w:cs="Times New Roman"/>
          <w:color w:val="000000" w:themeColor="text1"/>
          <w:kern w:val="0"/>
          <w14:ligatures w14:val="none"/>
        </w:rPr>
        <w:t xml:space="preserve"> and </w:t>
      </w:r>
      <w:r w:rsidRPr="005B115B">
        <w:rPr>
          <w:rFonts w:ascii="Times New Roman" w:eastAsia="Times New Roman" w:hAnsi="Times New Roman" w:cs="Times New Roman"/>
          <w:i/>
          <w:iCs/>
          <w:color w:val="000000" w:themeColor="text1"/>
          <w:kern w:val="0"/>
          <w14:ligatures w14:val="none"/>
        </w:rPr>
        <w:t>Giardia lamblia</w:t>
      </w:r>
      <w:r w:rsidRPr="005B115B">
        <w:rPr>
          <w:rFonts w:ascii="Times New Roman" w:eastAsia="Times New Roman" w:hAnsi="Times New Roman" w:cs="Times New Roman"/>
          <w:color w:val="000000" w:themeColor="text1"/>
          <w:kern w:val="0"/>
          <w14:ligatures w14:val="none"/>
        </w:rPr>
        <w:t xml:space="preserve"> can be cultured under laboratory conditions, allowing for further investigation into their pathogenicity and survival strategies.</w:t>
      </w:r>
    </w:p>
    <w:p w14:paraId="628614B3"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Furthermore, understanding the differences in growth patterns between protozoa and helminths under culture conditions may reveal important biological distinctions that influence infection persistence and transmission. For instance, protozoa often exhibit rapid multiplication in artificial media, whereas helminths typically require specific host conditions for development (Garcia, 2016; Roberts &amp; </w:t>
      </w:r>
      <w:proofErr w:type="spellStart"/>
      <w:r w:rsidRPr="005B115B">
        <w:rPr>
          <w:rFonts w:ascii="Times New Roman" w:eastAsia="Times New Roman" w:hAnsi="Times New Roman" w:cs="Times New Roman"/>
          <w:color w:val="000000" w:themeColor="text1"/>
          <w:kern w:val="0"/>
          <w14:ligatures w14:val="none"/>
        </w:rPr>
        <w:t>Janovy</w:t>
      </w:r>
      <w:proofErr w:type="spellEnd"/>
      <w:r w:rsidRPr="005B115B">
        <w:rPr>
          <w:rFonts w:ascii="Times New Roman" w:eastAsia="Times New Roman" w:hAnsi="Times New Roman" w:cs="Times New Roman"/>
          <w:color w:val="000000" w:themeColor="text1"/>
          <w:kern w:val="0"/>
          <w14:ligatures w14:val="none"/>
        </w:rPr>
        <w:t>, 2013). Such insights are crucial for developing improved diagnostic techniques and intervention strategies. However, there remains a paucity of data integrating both prevalence and culture-based characterization in rural African populations.</w:t>
      </w:r>
    </w:p>
    <w:p w14:paraId="2C06744E"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Therefore, this study aims to determine the prevalence and cultural characterization of intestinal parasites among school children in rural communities. Specifically, the study seeks to (</w:t>
      </w:r>
      <w:proofErr w:type="spellStart"/>
      <w:r w:rsidRPr="005B115B">
        <w:rPr>
          <w:rFonts w:ascii="Times New Roman" w:eastAsia="Times New Roman" w:hAnsi="Times New Roman" w:cs="Times New Roman"/>
          <w:color w:val="000000" w:themeColor="text1"/>
          <w:kern w:val="0"/>
          <w14:ligatures w14:val="none"/>
        </w:rPr>
        <w:t>i</w:t>
      </w:r>
      <w:proofErr w:type="spellEnd"/>
      <w:r w:rsidRPr="005B115B">
        <w:rPr>
          <w:rFonts w:ascii="Times New Roman" w:eastAsia="Times New Roman" w:hAnsi="Times New Roman" w:cs="Times New Roman"/>
          <w:color w:val="000000" w:themeColor="text1"/>
          <w:kern w:val="0"/>
          <w14:ligatures w14:val="none"/>
        </w:rPr>
        <w:t>) assess the distribution of intestinal parasites among school-aged children, (ii) evaluate associated demographic and environmental risk factors, and (iii) investigate the growth and viability of selected parasites under laboratory culture conditions. The findings from this study are expected to provide a more comprehensive understanding of intestinal parasitic infections and support the development of effective control measures.</w:t>
      </w:r>
    </w:p>
    <w:p w14:paraId="3E355BD8"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MATERIALS AND METHODS</w:t>
      </w:r>
    </w:p>
    <w:p w14:paraId="7AB0F405" w14:textId="5B03DCAA"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Study Area</w:t>
      </w:r>
    </w:p>
    <w:p w14:paraId="79E4599C"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This study was conducted in selected rural communities in Rivers State, Nigeria. The communities are characterized by inadequate sanitation facilities, poor waste disposal systems, and limited access to potable water. These environmental conditions favor the transmission of intestinal parasites, particularly in tropical regions (World Health Organization [WHO], 2020; </w:t>
      </w:r>
      <w:proofErr w:type="spellStart"/>
      <w:r w:rsidRPr="005B115B">
        <w:rPr>
          <w:rFonts w:ascii="Times New Roman" w:eastAsia="Times New Roman" w:hAnsi="Times New Roman" w:cs="Times New Roman"/>
          <w:color w:val="000000" w:themeColor="text1"/>
          <w:kern w:val="0"/>
          <w14:ligatures w14:val="none"/>
        </w:rPr>
        <w:t>Ugbomoiko</w:t>
      </w:r>
      <w:proofErr w:type="spellEnd"/>
      <w:r w:rsidRPr="005B115B">
        <w:rPr>
          <w:rFonts w:ascii="Times New Roman" w:eastAsia="Times New Roman" w:hAnsi="Times New Roman" w:cs="Times New Roman"/>
          <w:color w:val="000000" w:themeColor="text1"/>
          <w:kern w:val="0"/>
          <w14:ligatures w14:val="none"/>
        </w:rPr>
        <w:t xml:space="preserve"> et al., 2017).</w:t>
      </w:r>
    </w:p>
    <w:p w14:paraId="3DDE9F83" w14:textId="7F30456D"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Study Design and Population</w:t>
      </w:r>
    </w:p>
    <w:p w14:paraId="2D277DF3" w14:textId="77777777" w:rsidR="00951FB7" w:rsidRDefault="00A8306D" w:rsidP="00951FB7">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A cross-sectional study design was adopted to determine the prevalence and cultural characteristics of intestinal parasites among school children. The study population consisted of 240 pupils aged 5–15 years selected from three primary schools using simple random sampling. School-aged children were targeted due to their increased vulnerability to intestinal parasitic infections resulting from behavioral and environmental exposure (Jourdan et al., 2018; </w:t>
      </w:r>
      <w:proofErr w:type="spellStart"/>
      <w:r w:rsidRPr="005B115B">
        <w:rPr>
          <w:rFonts w:ascii="Times New Roman" w:eastAsia="Times New Roman" w:hAnsi="Times New Roman" w:cs="Times New Roman"/>
          <w:color w:val="000000" w:themeColor="text1"/>
          <w:kern w:val="0"/>
          <w14:ligatures w14:val="none"/>
        </w:rPr>
        <w:t>Hotez</w:t>
      </w:r>
      <w:proofErr w:type="spellEnd"/>
      <w:r w:rsidRPr="005B115B">
        <w:rPr>
          <w:rFonts w:ascii="Times New Roman" w:eastAsia="Times New Roman" w:hAnsi="Times New Roman" w:cs="Times New Roman"/>
          <w:color w:val="000000" w:themeColor="text1"/>
          <w:kern w:val="0"/>
          <w14:ligatures w14:val="none"/>
        </w:rPr>
        <w:t xml:space="preserve"> et al., 2019).</w:t>
      </w:r>
    </w:p>
    <w:p w14:paraId="0E8DE2F5" w14:textId="77777777" w:rsidR="00951FB7" w:rsidRDefault="00951FB7" w:rsidP="00951FB7">
      <w:pPr>
        <w:spacing w:after="120" w:line="240" w:lineRule="auto"/>
        <w:jc w:val="both"/>
        <w:rPr>
          <w:rFonts w:ascii="Times New Roman" w:eastAsia="Times New Roman" w:hAnsi="Times New Roman" w:cs="Times New Roman"/>
          <w:color w:val="000000" w:themeColor="text1"/>
          <w:kern w:val="0"/>
          <w14:ligatures w14:val="none"/>
        </w:rPr>
      </w:pPr>
      <w:r w:rsidRPr="00951FB7">
        <w:rPr>
          <w:rFonts w:ascii="Times New Roman" w:eastAsia="Times New Roman" w:hAnsi="Times New Roman" w:cs="Times New Roman"/>
          <w:b/>
          <w:bCs/>
          <w:kern w:val="0"/>
          <w:sz w:val="27"/>
          <w:szCs w:val="27"/>
          <w14:ligatures w14:val="none"/>
        </w:rPr>
        <w:t>Inclusion and Exclusion Criteria</w:t>
      </w:r>
    </w:p>
    <w:p w14:paraId="521071A5" w14:textId="65710A49" w:rsidR="001323E7" w:rsidRPr="001323E7" w:rsidRDefault="001323E7" w:rsidP="00951FB7">
      <w:pPr>
        <w:spacing w:after="120" w:line="240" w:lineRule="auto"/>
        <w:jc w:val="both"/>
        <w:rPr>
          <w:rFonts w:ascii="Times New Roman" w:hAnsi="Times New Roman" w:cs="Times New Roman"/>
          <w:color w:val="000000" w:themeColor="text1"/>
        </w:rPr>
      </w:pPr>
      <w:r w:rsidRPr="001323E7">
        <w:rPr>
          <w:rFonts w:ascii="Times New Roman" w:hAnsi="Times New Roman" w:cs="Times New Roman"/>
          <w:color w:val="000000" w:themeColor="text1"/>
        </w:rPr>
        <w:lastRenderedPageBreak/>
        <w:t>The sample size 240 was determined using Cochran’s formula for prevalence studies:</w:t>
      </w:r>
      <w:r w:rsidRPr="001323E7">
        <w:rPr>
          <w:rFonts w:ascii="Times New Roman" w:hAnsi="Times New Roman" w:cs="Times New Roman"/>
          <w:color w:val="000000" w:themeColor="text1"/>
        </w:rPr>
        <w:br/>
      </w:r>
      <m:oMath>
        <m:sSub>
          <m:sSubPr>
            <m:ctrlPr>
              <w:rPr>
                <w:rFonts w:ascii="Cambria Math" w:hAnsi="Cambria Math" w:cs="Times New Roman"/>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0</m:t>
            </m:r>
          </m:sub>
        </m:sSub>
        <m:r>
          <w:rPr>
            <w:rFonts w:ascii="Cambria Math" w:hAnsi="Cambria Math" w:cs="Times New Roman"/>
            <w:color w:val="000000" w:themeColor="text1"/>
          </w:rPr>
          <m:t>=</m:t>
        </m:r>
        <m:f>
          <m:fPr>
            <m:ctrlPr>
              <w:rPr>
                <w:rFonts w:ascii="Cambria Math" w:hAnsi="Cambria Math" w:cs="Times New Roman"/>
                <w:color w:val="000000" w:themeColor="text1"/>
              </w:rPr>
            </m:ctrlPr>
          </m:fPr>
          <m:num>
            <m:sSup>
              <m:sSupPr>
                <m:ctrlPr>
                  <w:rPr>
                    <w:rFonts w:ascii="Cambria Math" w:hAnsi="Cambria Math" w:cs="Times New Roman"/>
                    <w:color w:val="000000" w:themeColor="text1"/>
                  </w:rPr>
                </m:ctrlPr>
              </m:sSupPr>
              <m:e>
                <m:r>
                  <w:rPr>
                    <w:rFonts w:ascii="Cambria Math" w:hAnsi="Cambria Math" w:cs="Times New Roman"/>
                    <w:color w:val="000000" w:themeColor="text1"/>
                  </w:rPr>
                  <m:t>Z</m:t>
                </m:r>
              </m:e>
              <m:sup>
                <m:r>
                  <w:rPr>
                    <w:rFonts w:ascii="Cambria Math" w:hAnsi="Cambria Math" w:cs="Times New Roman"/>
                    <w:color w:val="000000" w:themeColor="text1"/>
                  </w:rPr>
                  <m:t>2</m:t>
                </m:r>
              </m:sup>
            </m:sSup>
            <m:r>
              <w:rPr>
                <w:rFonts w:ascii="Cambria Math" w:hAnsi="Cambria Math" w:cs="Times New Roman"/>
                <w:color w:val="000000" w:themeColor="text1"/>
              </w:rPr>
              <m:t>p(1-p)</m:t>
            </m:r>
          </m:num>
          <m:den>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den>
        </m:f>
      </m:oMath>
      <w:r w:rsidRPr="001323E7">
        <w:rPr>
          <w:rFonts w:ascii="Times New Roman" w:hAnsi="Times New Roman" w:cs="Times New Roman"/>
          <w:color w:val="000000" w:themeColor="text1"/>
        </w:rPr>
        <w:t xml:space="preserve">, where </w:t>
      </w:r>
      <m:oMath>
        <m:r>
          <w:rPr>
            <w:rFonts w:ascii="Cambria Math" w:hAnsi="Cambria Math" w:cs="Times New Roman"/>
            <w:color w:val="000000" w:themeColor="text1"/>
          </w:rPr>
          <m:t xml:space="preserve">Z=1.96 </m:t>
        </m:r>
      </m:oMath>
      <w:r w:rsidRPr="001323E7">
        <w:rPr>
          <w:rFonts w:ascii="Times New Roman" w:hAnsi="Times New Roman" w:cs="Times New Roman"/>
          <w:color w:val="000000" w:themeColor="text1"/>
        </w:rPr>
        <w:t xml:space="preserve">at 95% confidence level, </w:t>
      </w:r>
      <m:oMath>
        <m:r>
          <w:rPr>
            <w:rFonts w:ascii="Cambria Math" w:hAnsi="Cambria Math" w:cs="Times New Roman"/>
            <w:color w:val="000000" w:themeColor="text1"/>
          </w:rPr>
          <m:t>p</m:t>
        </m:r>
      </m:oMath>
      <w:r w:rsidRPr="001323E7">
        <w:rPr>
          <w:rFonts w:ascii="Times New Roman" w:hAnsi="Times New Roman" w:cs="Times New Roman"/>
          <w:color w:val="000000" w:themeColor="text1"/>
        </w:rPr>
        <w:t xml:space="preserve">is the estimated prevalence, and </w:t>
      </w:r>
      <m:oMath>
        <m:r>
          <w:rPr>
            <w:rFonts w:ascii="Cambria Math" w:hAnsi="Cambria Math" w:cs="Times New Roman"/>
            <w:color w:val="000000" w:themeColor="text1"/>
          </w:rPr>
          <m:t>d=0.05</m:t>
        </m:r>
      </m:oMath>
      <w:r w:rsidRPr="001323E7">
        <w:rPr>
          <w:rFonts w:ascii="Times New Roman" w:hAnsi="Times New Roman" w:cs="Times New Roman"/>
          <w:color w:val="000000" w:themeColor="text1"/>
        </w:rPr>
        <w:t xml:space="preserve">. The calculated sample size was adjusted for non-response using </w:t>
      </w:r>
      <m:oMath>
        <m:r>
          <w:rPr>
            <w:rFonts w:ascii="Cambria Math" w:hAnsi="Cambria Math" w:cs="Times New Roman"/>
            <w:color w:val="000000" w:themeColor="text1"/>
          </w:rPr>
          <m:t>n=</m:t>
        </m:r>
        <m:f>
          <m:fPr>
            <m:ctrlPr>
              <w:rPr>
                <w:rFonts w:ascii="Cambria Math" w:hAnsi="Cambria Math" w:cs="Times New Roman"/>
                <w:color w:val="000000" w:themeColor="text1"/>
              </w:rPr>
            </m:ctrlPr>
          </m:fPr>
          <m:num>
            <m:sSub>
              <m:sSubPr>
                <m:ctrlPr>
                  <w:rPr>
                    <w:rFonts w:ascii="Cambria Math" w:hAnsi="Cambria Math" w:cs="Times New Roman"/>
                    <w:color w:val="000000" w:themeColor="text1"/>
                  </w:rPr>
                </m:ctrlPr>
              </m:sSubPr>
              <m:e>
                <m:r>
                  <w:rPr>
                    <w:rFonts w:ascii="Cambria Math" w:hAnsi="Cambria Math" w:cs="Times New Roman"/>
                    <w:color w:val="000000" w:themeColor="text1"/>
                  </w:rPr>
                  <m:t>n</m:t>
                </m:r>
              </m:e>
              <m:sub>
                <m:r>
                  <w:rPr>
                    <w:rFonts w:ascii="Cambria Math" w:hAnsi="Cambria Math" w:cs="Times New Roman"/>
                    <w:color w:val="000000" w:themeColor="text1"/>
                  </w:rPr>
                  <m:t>0</m:t>
                </m:r>
              </m:sub>
            </m:sSub>
          </m:num>
          <m:den>
            <m:r>
              <w:rPr>
                <w:rFonts w:ascii="Cambria Math" w:hAnsi="Cambria Math" w:cs="Times New Roman"/>
                <w:color w:val="000000" w:themeColor="text1"/>
              </w:rPr>
              <m:t>1-r</m:t>
            </m:r>
          </m:den>
        </m:f>
      </m:oMath>
      <w:r w:rsidRPr="001323E7">
        <w:rPr>
          <w:rFonts w:ascii="Times New Roman" w:hAnsi="Times New Roman" w:cs="Times New Roman"/>
          <w:color w:val="000000" w:themeColor="text1"/>
        </w:rPr>
        <w:t>.”</w:t>
      </w:r>
    </w:p>
    <w:p w14:paraId="69142523" w14:textId="54922FB7" w:rsidR="00951FB7" w:rsidRDefault="00951FB7" w:rsidP="00951FB7">
      <w:pPr>
        <w:spacing w:after="120" w:line="240" w:lineRule="auto"/>
        <w:jc w:val="both"/>
        <w:rPr>
          <w:rFonts w:ascii="Times New Roman" w:eastAsia="Times New Roman" w:hAnsi="Times New Roman" w:cs="Times New Roman"/>
          <w:kern w:val="0"/>
          <w14:ligatures w14:val="none"/>
        </w:rPr>
      </w:pPr>
      <w:r w:rsidRPr="00951FB7">
        <w:rPr>
          <w:rFonts w:ascii="Times New Roman" w:eastAsia="Times New Roman" w:hAnsi="Times New Roman" w:cs="Times New Roman"/>
          <w:b/>
          <w:bCs/>
          <w:kern w:val="0"/>
          <w14:ligatures w14:val="none"/>
        </w:rPr>
        <w:t>Inclusion Criteria:</w:t>
      </w:r>
    </w:p>
    <w:p w14:paraId="0732CD35" w14:textId="77777777" w:rsidR="00951FB7" w:rsidRDefault="00951FB7" w:rsidP="00951FB7">
      <w:pPr>
        <w:spacing w:after="120" w:line="240" w:lineRule="auto"/>
        <w:jc w:val="both"/>
        <w:rPr>
          <w:rFonts w:ascii="Times New Roman" w:eastAsia="Times New Roman" w:hAnsi="Times New Roman" w:cs="Times New Roman"/>
          <w:color w:val="000000" w:themeColor="text1"/>
          <w:kern w:val="0"/>
          <w14:ligatures w14:val="none"/>
        </w:rPr>
      </w:pPr>
      <w:r w:rsidRPr="00951FB7">
        <w:rPr>
          <w:rFonts w:ascii="Times New Roman" w:eastAsia="Times New Roman" w:hAnsi="Times New Roman" w:cs="Times New Roman"/>
          <w:kern w:val="0"/>
          <w14:ligatures w14:val="none"/>
        </w:rPr>
        <w:t>School children aged 5–15 years who were enrolled in the selected primary schools, whose parents or guardians provided informed consent, and who submitted stool samples within the required time frame were included in the study.</w:t>
      </w:r>
    </w:p>
    <w:p w14:paraId="4FF857CA" w14:textId="77777777" w:rsidR="00951FB7" w:rsidRDefault="00951FB7" w:rsidP="00951FB7">
      <w:pPr>
        <w:spacing w:after="120" w:line="240" w:lineRule="auto"/>
        <w:jc w:val="both"/>
        <w:rPr>
          <w:rFonts w:ascii="Times New Roman" w:eastAsia="Times New Roman" w:hAnsi="Times New Roman" w:cs="Times New Roman"/>
          <w:kern w:val="0"/>
          <w14:ligatures w14:val="none"/>
        </w:rPr>
      </w:pPr>
      <w:r w:rsidRPr="00951FB7">
        <w:rPr>
          <w:rFonts w:ascii="Times New Roman" w:eastAsia="Times New Roman" w:hAnsi="Times New Roman" w:cs="Times New Roman"/>
          <w:b/>
          <w:bCs/>
          <w:kern w:val="0"/>
          <w14:ligatures w14:val="none"/>
        </w:rPr>
        <w:t>Exclusion Criteria:</w:t>
      </w:r>
    </w:p>
    <w:p w14:paraId="529A7D54" w14:textId="054CB940" w:rsidR="00951FB7" w:rsidRPr="005B115B" w:rsidRDefault="00951FB7" w:rsidP="005B115B">
      <w:pPr>
        <w:spacing w:after="120" w:line="240" w:lineRule="auto"/>
        <w:jc w:val="both"/>
        <w:rPr>
          <w:rFonts w:ascii="Times New Roman" w:eastAsia="Times New Roman" w:hAnsi="Times New Roman" w:cs="Times New Roman"/>
          <w:color w:val="000000" w:themeColor="text1"/>
          <w:kern w:val="0"/>
          <w14:ligatures w14:val="none"/>
        </w:rPr>
      </w:pPr>
      <w:r w:rsidRPr="00951FB7">
        <w:rPr>
          <w:rFonts w:ascii="Times New Roman" w:eastAsia="Times New Roman" w:hAnsi="Times New Roman" w:cs="Times New Roman"/>
          <w:kern w:val="0"/>
          <w14:ligatures w14:val="none"/>
        </w:rPr>
        <w:t>Children who did not provide consent, those who were on antiparasitic treatment within two weeks prior to sample collection, and those who failed to submit adequate stool samples were excluded from the study.</w:t>
      </w:r>
    </w:p>
    <w:p w14:paraId="507B941B" w14:textId="63F7D402"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Ethical Consideration</w:t>
      </w:r>
    </w:p>
    <w:p w14:paraId="3241CBDC" w14:textId="0381305E"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Ethical approval was obtained from the relevant institutional review board, and permission was granted by school authorities. Informed consent was obtained from parents or guardians prior to sample collection. Participation was voluntary, and confidentiality of participants’ information was maintained throughout the study (UNICEF, 2019).</w:t>
      </w:r>
    </w:p>
    <w:p w14:paraId="054F898B" w14:textId="76AEFD8C"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Sample Collection</w:t>
      </w:r>
    </w:p>
    <w:p w14:paraId="0583AB3B"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Sterile, wide-mouthed, leak-proof containers were distributed to participants for stool sample collection. Pupils were instructed on proper collection procedures to avoid contamination with urine or water. Fresh stool samples were transported to the laboratory within two hours of collection for immediate processing, as delayed examination may reduce parasite viability, especially trophozoites (CDC, 2022; WHO, 2020).</w:t>
      </w:r>
    </w:p>
    <w:p w14:paraId="7A29DCF9" w14:textId="1E42D8CB"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Macroscopic Examination</w:t>
      </w:r>
    </w:p>
    <w:p w14:paraId="7B36358A"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Each stool sample was first examined macroscopically for color, consistency, presence of blood, mucus, or visible worms. This preliminary assessment provided clues to possible parasitic infections and guided further microscopic analysis (</w:t>
      </w:r>
      <w:proofErr w:type="spellStart"/>
      <w:r w:rsidRPr="005B115B">
        <w:rPr>
          <w:rFonts w:ascii="Times New Roman" w:eastAsia="Times New Roman" w:hAnsi="Times New Roman" w:cs="Times New Roman"/>
          <w:color w:val="000000" w:themeColor="text1"/>
          <w:kern w:val="0"/>
          <w14:ligatures w14:val="none"/>
        </w:rPr>
        <w:t>Cheesbrough</w:t>
      </w:r>
      <w:proofErr w:type="spellEnd"/>
      <w:r w:rsidRPr="005B115B">
        <w:rPr>
          <w:rFonts w:ascii="Times New Roman" w:eastAsia="Times New Roman" w:hAnsi="Times New Roman" w:cs="Times New Roman"/>
          <w:color w:val="000000" w:themeColor="text1"/>
          <w:kern w:val="0"/>
          <w14:ligatures w14:val="none"/>
        </w:rPr>
        <w:t>, 2010).</w:t>
      </w:r>
    </w:p>
    <w:p w14:paraId="7D25D3D3"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Microscopic Examination</w:t>
      </w:r>
    </w:p>
    <w:p w14:paraId="167347AA" w14:textId="6C8D208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Direct Wet Mount Technique</w:t>
      </w:r>
    </w:p>
    <w:p w14:paraId="4D7FDA86"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A small portion of fresh stool was emulsified in normal saline (0.85% NaCl) on a clean glass slide and covered with a coverslip. A second preparation was made using iodine solution to enhance visualization of cyst structures. The slides were examined under ×10 and ×40 objectives for trophozoites, cysts, ova, and larvae. Although rapid and cost-effective, this method has limited sensitivity, especially in low-intensity infections (Garcia, 2016). </w:t>
      </w:r>
    </w:p>
    <w:p w14:paraId="26CC21AE" w14:textId="46307EDE"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5B115B">
        <w:rPr>
          <w:rFonts w:ascii="Times New Roman" w:eastAsia="Times New Roman" w:hAnsi="Times New Roman" w:cs="Times New Roman"/>
          <w:b/>
          <w:bCs/>
          <w:color w:val="000000" w:themeColor="text1"/>
          <w:kern w:val="0"/>
          <w14:ligatures w14:val="none"/>
        </w:rPr>
        <w:t>Formol</w:t>
      </w:r>
      <w:proofErr w:type="spellEnd"/>
      <w:r w:rsidRPr="005B115B">
        <w:rPr>
          <w:rFonts w:ascii="Times New Roman" w:eastAsia="Times New Roman" w:hAnsi="Times New Roman" w:cs="Times New Roman"/>
          <w:b/>
          <w:bCs/>
          <w:color w:val="000000" w:themeColor="text1"/>
          <w:kern w:val="0"/>
          <w14:ligatures w14:val="none"/>
        </w:rPr>
        <w:t>-Ether Concentration Technique</w:t>
      </w:r>
    </w:p>
    <w:p w14:paraId="49BB9C93"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Approximately 1 g of stool sample was emulsified in 10% formalin, filtered, and mixed with diethyl ether. The mixture was centrifuged at 3000 rpm for 5 minutes, after which the sediment was examined microscopically. This method enhances parasite detection by concentrating ova, cysts, and larvae, making it more sensitive than direct wet mount (</w:t>
      </w:r>
      <w:proofErr w:type="spellStart"/>
      <w:r w:rsidRPr="005B115B">
        <w:rPr>
          <w:rFonts w:ascii="Times New Roman" w:eastAsia="Times New Roman" w:hAnsi="Times New Roman" w:cs="Times New Roman"/>
          <w:color w:val="000000" w:themeColor="text1"/>
          <w:kern w:val="0"/>
          <w14:ligatures w14:val="none"/>
        </w:rPr>
        <w:t>Cheesbrough</w:t>
      </w:r>
      <w:proofErr w:type="spellEnd"/>
      <w:r w:rsidRPr="005B115B">
        <w:rPr>
          <w:rFonts w:ascii="Times New Roman" w:eastAsia="Times New Roman" w:hAnsi="Times New Roman" w:cs="Times New Roman"/>
          <w:color w:val="000000" w:themeColor="text1"/>
          <w:kern w:val="0"/>
          <w14:ligatures w14:val="none"/>
        </w:rPr>
        <w:t xml:space="preserve">, 2010; Garcia, 2016). </w:t>
      </w:r>
    </w:p>
    <w:p w14:paraId="616B3B53"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lastRenderedPageBreak/>
        <w:t>Culture Techniques</w:t>
      </w:r>
    </w:p>
    <w:p w14:paraId="266133FE" w14:textId="1D806339"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Robinson’s Medium for Protozoa</w:t>
      </w:r>
    </w:p>
    <w:p w14:paraId="493F9C29"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Stool samples suspected to contain protozoan parasites were inoculated into Robinson’s culture medium and incubated at 37°C. The cultures were examined after 24, 48, and 72 hours for trophozoite growth. Culture techniques improve detection and allow observation of parasite viability and growth characteristics (Garcia, 2016; </w:t>
      </w:r>
      <w:proofErr w:type="spellStart"/>
      <w:r w:rsidRPr="005B115B">
        <w:rPr>
          <w:rFonts w:ascii="Times New Roman" w:eastAsia="Times New Roman" w:hAnsi="Times New Roman" w:cs="Times New Roman"/>
          <w:color w:val="000000" w:themeColor="text1"/>
          <w:kern w:val="0"/>
          <w14:ligatures w14:val="none"/>
        </w:rPr>
        <w:t>Cheesbrough</w:t>
      </w:r>
      <w:proofErr w:type="spellEnd"/>
      <w:r w:rsidRPr="005B115B">
        <w:rPr>
          <w:rFonts w:ascii="Times New Roman" w:eastAsia="Times New Roman" w:hAnsi="Times New Roman" w:cs="Times New Roman"/>
          <w:color w:val="000000" w:themeColor="text1"/>
          <w:kern w:val="0"/>
          <w14:ligatures w14:val="none"/>
        </w:rPr>
        <w:t xml:space="preserve">, 2010). </w:t>
      </w:r>
    </w:p>
    <w:p w14:paraId="1FC4BA0C" w14:textId="50723A9E"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Harada-Mori Filter Paper Technique</w:t>
      </w:r>
    </w:p>
    <w:p w14:paraId="440665DF"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For the detection of hookworm larvae, stool samples were cultured using the Harada-Mori filter paper method. A small amount of feces was placed on filter paper and incubated in a test tube with distilled water. Larval development was observed after 5–7 days. This technique is particularly useful for differentiating hookworm species (Garcia, 2016). </w:t>
      </w:r>
    </w:p>
    <w:p w14:paraId="266B2EC7" w14:textId="07B19DFB"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Identification of Parasites</w:t>
      </w:r>
    </w:p>
    <w:p w14:paraId="396AA5B0" w14:textId="77777777"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Parasites were identified based on morphological characteristics such as size, shape, presence of nuclei, and internal structures using standard identification keys. Protozoan cysts and trophozoites were distinguished using iodine staining, while helminth eggs were identified by their characteristic morphology (</w:t>
      </w:r>
      <w:proofErr w:type="spellStart"/>
      <w:r w:rsidRPr="005B115B">
        <w:rPr>
          <w:rFonts w:ascii="Times New Roman" w:eastAsia="Times New Roman" w:hAnsi="Times New Roman" w:cs="Times New Roman"/>
          <w:color w:val="000000" w:themeColor="text1"/>
          <w:kern w:val="0"/>
          <w14:ligatures w14:val="none"/>
        </w:rPr>
        <w:t>Cheesbrough</w:t>
      </w:r>
      <w:proofErr w:type="spellEnd"/>
      <w:r w:rsidRPr="005B115B">
        <w:rPr>
          <w:rFonts w:ascii="Times New Roman" w:eastAsia="Times New Roman" w:hAnsi="Times New Roman" w:cs="Times New Roman"/>
          <w:color w:val="000000" w:themeColor="text1"/>
          <w:kern w:val="0"/>
          <w14:ligatures w14:val="none"/>
        </w:rPr>
        <w:t>, 2010; Garcia, 2016).</w:t>
      </w:r>
    </w:p>
    <w:p w14:paraId="4C62FCF8" w14:textId="379710C2"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Data Analysis</w:t>
      </w:r>
    </w:p>
    <w:p w14:paraId="0C8F98A1" w14:textId="044436A9"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Data obtained were entered into Microsoft Excel and analyzed using SPSS version 25. </w:t>
      </w:r>
      <w:r w:rsidR="00BA1AD2">
        <w:t xml:space="preserve">One-way ANOVA was used to compare parasite load among species, while independent t-test was used to compare protozoan growth rates and infection patterns. </w:t>
      </w:r>
      <w:r w:rsidRPr="005B115B">
        <w:rPr>
          <w:rFonts w:ascii="Times New Roman" w:eastAsia="Times New Roman" w:hAnsi="Times New Roman" w:cs="Times New Roman"/>
          <w:color w:val="000000" w:themeColor="text1"/>
          <w:kern w:val="0"/>
          <w14:ligatures w14:val="none"/>
        </w:rPr>
        <w:t>Descriptive statistics were used to determine prevalence rates, while Chi-square (χ²) test was used to assess associations between infection and demographic/environmental variables. Statistical significance was set at p &lt; 0.05 (</w:t>
      </w:r>
      <w:proofErr w:type="spellStart"/>
      <w:r w:rsidRPr="005B115B">
        <w:rPr>
          <w:rFonts w:ascii="Times New Roman" w:eastAsia="Times New Roman" w:hAnsi="Times New Roman" w:cs="Times New Roman"/>
          <w:color w:val="000000" w:themeColor="text1"/>
          <w:kern w:val="0"/>
          <w14:ligatures w14:val="none"/>
        </w:rPr>
        <w:t>Pullan</w:t>
      </w:r>
      <w:proofErr w:type="spellEnd"/>
      <w:r w:rsidRPr="005B115B">
        <w:rPr>
          <w:rFonts w:ascii="Times New Roman" w:eastAsia="Times New Roman" w:hAnsi="Times New Roman" w:cs="Times New Roman"/>
          <w:color w:val="000000" w:themeColor="text1"/>
          <w:kern w:val="0"/>
          <w14:ligatures w14:val="none"/>
        </w:rPr>
        <w:t xml:space="preserve"> et al., 2014; </w:t>
      </w:r>
      <w:proofErr w:type="spellStart"/>
      <w:r w:rsidRPr="005B115B">
        <w:rPr>
          <w:rFonts w:ascii="Times New Roman" w:eastAsia="Times New Roman" w:hAnsi="Times New Roman" w:cs="Times New Roman"/>
          <w:color w:val="000000" w:themeColor="text1"/>
          <w:kern w:val="0"/>
          <w14:ligatures w14:val="none"/>
        </w:rPr>
        <w:t>Opara</w:t>
      </w:r>
      <w:proofErr w:type="spellEnd"/>
      <w:r w:rsidRPr="005B115B">
        <w:rPr>
          <w:rFonts w:ascii="Times New Roman" w:eastAsia="Times New Roman" w:hAnsi="Times New Roman" w:cs="Times New Roman"/>
          <w:color w:val="000000" w:themeColor="text1"/>
          <w:kern w:val="0"/>
          <w14:ligatures w14:val="none"/>
        </w:rPr>
        <w:t xml:space="preserve"> et al., 2017).</w:t>
      </w:r>
    </w:p>
    <w:p w14:paraId="67E0D254" w14:textId="77777777" w:rsidR="00EB233B" w:rsidRPr="005B115B" w:rsidRDefault="00191434" w:rsidP="005B115B">
      <w:pPr>
        <w:spacing w:after="120" w:line="240" w:lineRule="auto"/>
        <w:jc w:val="both"/>
        <w:rPr>
          <w:rFonts w:ascii="Times New Roman" w:eastAsia="Times New Roman" w:hAnsi="Times New Roman" w:cs="Times New Roman"/>
          <w:b/>
          <w:bCs/>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Results</w:t>
      </w:r>
    </w:p>
    <w:p w14:paraId="379980B0" w14:textId="73365ED7" w:rsidR="00EB233B" w:rsidRPr="005B115B" w:rsidRDefault="00EB233B"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Table 1 shows that out of 240 examined pupils, 115 (47.9%) were infected, while 125 (52.1%) were not infected. This indicates a moderately high prevalence of intestinal parasitic infections in the study population, suggesting that nearly half of the children are exposed to transmission sources within the rural environment.</w:t>
      </w:r>
    </w:p>
    <w:p w14:paraId="55ACCB84" w14:textId="68AD13E5" w:rsidR="00191434" w:rsidRPr="005B115B" w:rsidRDefault="0019143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hAnsi="Times New Roman" w:cs="Times New Roman"/>
          <w:color w:val="000000" w:themeColor="text1"/>
        </w:rPr>
        <w:t>Table 1: Overall Prevalence of Intestinal Parasites</w:t>
      </w:r>
    </w:p>
    <w:tbl>
      <w:tblPr>
        <w:tblStyle w:val="PlainTable2"/>
        <w:tblW w:w="0" w:type="auto"/>
        <w:tblLook w:val="04A0" w:firstRow="1" w:lastRow="0" w:firstColumn="1" w:lastColumn="0" w:noHBand="0" w:noVBand="1"/>
      </w:tblPr>
      <w:tblGrid>
        <w:gridCol w:w="2880"/>
        <w:gridCol w:w="2700"/>
        <w:gridCol w:w="2381"/>
      </w:tblGrid>
      <w:tr w:rsidR="00191434" w:rsidRPr="005B115B" w14:paraId="57606A4E" w14:textId="77777777" w:rsidTr="00191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hideMark/>
          </w:tcPr>
          <w:p w14:paraId="116A07E7"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Status</w:t>
            </w:r>
          </w:p>
        </w:tc>
        <w:tc>
          <w:tcPr>
            <w:tcW w:w="2700" w:type="dxa"/>
            <w:hideMark/>
          </w:tcPr>
          <w:p w14:paraId="2BBDE696"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Frequency (n=240)</w:t>
            </w:r>
          </w:p>
        </w:tc>
        <w:tc>
          <w:tcPr>
            <w:tcW w:w="2381" w:type="dxa"/>
            <w:hideMark/>
          </w:tcPr>
          <w:p w14:paraId="2F43CEC7"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Percentage (%)</w:t>
            </w:r>
          </w:p>
        </w:tc>
      </w:tr>
      <w:tr w:rsidR="00191434" w:rsidRPr="005B115B" w14:paraId="13EEB345"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bottom w:val="nil"/>
            </w:tcBorders>
            <w:hideMark/>
          </w:tcPr>
          <w:p w14:paraId="28DB0D27" w14:textId="77777777" w:rsidR="00191434" w:rsidRPr="005B115B" w:rsidRDefault="00191434"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Infected</w:t>
            </w:r>
          </w:p>
        </w:tc>
        <w:tc>
          <w:tcPr>
            <w:tcW w:w="2700" w:type="dxa"/>
            <w:tcBorders>
              <w:bottom w:val="nil"/>
            </w:tcBorders>
            <w:hideMark/>
          </w:tcPr>
          <w:p w14:paraId="76944A56"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115</w:t>
            </w:r>
          </w:p>
        </w:tc>
        <w:tc>
          <w:tcPr>
            <w:tcW w:w="2381" w:type="dxa"/>
            <w:tcBorders>
              <w:bottom w:val="nil"/>
            </w:tcBorders>
            <w:hideMark/>
          </w:tcPr>
          <w:p w14:paraId="31F4B5C9"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47.9</w:t>
            </w:r>
          </w:p>
        </w:tc>
      </w:tr>
      <w:tr w:rsidR="00191434" w:rsidRPr="005B115B" w14:paraId="753786D5" w14:textId="77777777" w:rsidTr="00191434">
        <w:tc>
          <w:tcPr>
            <w:cnfStyle w:val="001000000000" w:firstRow="0" w:lastRow="0" w:firstColumn="1" w:lastColumn="0" w:oddVBand="0" w:evenVBand="0" w:oddHBand="0" w:evenHBand="0" w:firstRowFirstColumn="0" w:firstRowLastColumn="0" w:lastRowFirstColumn="0" w:lastRowLastColumn="0"/>
            <w:tcW w:w="2880" w:type="dxa"/>
            <w:tcBorders>
              <w:top w:val="nil"/>
              <w:bottom w:val="single" w:sz="4" w:space="0" w:color="7F7F7F" w:themeColor="text1" w:themeTint="80"/>
            </w:tcBorders>
            <w:hideMark/>
          </w:tcPr>
          <w:p w14:paraId="476009F9" w14:textId="77777777" w:rsidR="00191434" w:rsidRPr="005B115B" w:rsidRDefault="00191434"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Not infected</w:t>
            </w:r>
          </w:p>
        </w:tc>
        <w:tc>
          <w:tcPr>
            <w:tcW w:w="2700" w:type="dxa"/>
            <w:tcBorders>
              <w:top w:val="nil"/>
              <w:bottom w:val="single" w:sz="4" w:space="0" w:color="7F7F7F" w:themeColor="text1" w:themeTint="80"/>
            </w:tcBorders>
            <w:hideMark/>
          </w:tcPr>
          <w:p w14:paraId="4A6B803B" w14:textId="77777777" w:rsidR="00191434" w:rsidRPr="005B115B" w:rsidRDefault="00191434"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125</w:t>
            </w:r>
          </w:p>
        </w:tc>
        <w:tc>
          <w:tcPr>
            <w:tcW w:w="2381" w:type="dxa"/>
            <w:tcBorders>
              <w:top w:val="nil"/>
              <w:bottom w:val="single" w:sz="4" w:space="0" w:color="7F7F7F" w:themeColor="text1" w:themeTint="80"/>
            </w:tcBorders>
            <w:hideMark/>
          </w:tcPr>
          <w:p w14:paraId="19232B0E" w14:textId="77777777" w:rsidR="00191434" w:rsidRPr="005B115B" w:rsidRDefault="00191434"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52.1</w:t>
            </w:r>
          </w:p>
        </w:tc>
      </w:tr>
    </w:tbl>
    <w:p w14:paraId="77AFE830" w14:textId="58DB6EFC" w:rsidR="00A8306D" w:rsidRPr="005B115B" w:rsidRDefault="000F6C64" w:rsidP="001E5E04">
      <w:pPr>
        <w:spacing w:before="240"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hAnsi="Times New Roman" w:cs="Times New Roman"/>
          <w:color w:val="000000" w:themeColor="text1"/>
        </w:rPr>
        <w:t>Table 2</w:t>
      </w:r>
      <w:r w:rsidR="001E5E04">
        <w:rPr>
          <w:rFonts w:ascii="Times New Roman" w:hAnsi="Times New Roman" w:cs="Times New Roman"/>
          <w:color w:val="000000" w:themeColor="text1"/>
        </w:rPr>
        <w:t xml:space="preserve"> shows that</w:t>
      </w:r>
      <w:r w:rsidRPr="005B115B">
        <w:rPr>
          <w:rFonts w:ascii="Times New Roman" w:hAnsi="Times New Roman" w:cs="Times New Roman"/>
          <w:color w:val="000000" w:themeColor="text1"/>
        </w:rPr>
        <w:t xml:space="preserve"> </w:t>
      </w:r>
      <w:r w:rsidRPr="005B115B">
        <w:rPr>
          <w:rStyle w:val="Emphasis"/>
          <w:rFonts w:ascii="Times New Roman" w:hAnsi="Times New Roman" w:cs="Times New Roman"/>
          <w:color w:val="000000" w:themeColor="text1"/>
        </w:rPr>
        <w:t>Ascaris lumbricoides</w:t>
      </w:r>
      <w:r w:rsidRPr="005B115B">
        <w:rPr>
          <w:rFonts w:ascii="Times New Roman" w:hAnsi="Times New Roman" w:cs="Times New Roman"/>
          <w:color w:val="000000" w:themeColor="text1"/>
        </w:rPr>
        <w:t xml:space="preserve"> had the highest occurrence with </w:t>
      </w:r>
      <w:r w:rsidRPr="005B115B">
        <w:rPr>
          <w:rStyle w:val="Strong"/>
          <w:rFonts w:ascii="Times New Roman" w:hAnsi="Times New Roman" w:cs="Times New Roman"/>
          <w:b w:val="0"/>
          <w:bCs w:val="0"/>
          <w:color w:val="000000" w:themeColor="text1"/>
        </w:rPr>
        <w:t>52 cases (21.7%)</w:t>
      </w:r>
      <w:r w:rsidRPr="005B115B">
        <w:rPr>
          <w:rFonts w:ascii="Times New Roman" w:hAnsi="Times New Roman" w:cs="Times New Roman"/>
          <w:b/>
          <w:bCs/>
          <w:color w:val="000000" w:themeColor="text1"/>
        </w:rPr>
        <w:t>,</w:t>
      </w:r>
      <w:r w:rsidRPr="005B115B">
        <w:rPr>
          <w:rFonts w:ascii="Times New Roman" w:hAnsi="Times New Roman" w:cs="Times New Roman"/>
          <w:color w:val="000000" w:themeColor="text1"/>
        </w:rPr>
        <w:t xml:space="preserve"> followed by </w:t>
      </w:r>
      <w:r w:rsidRPr="005B115B">
        <w:rPr>
          <w:rStyle w:val="Emphasis"/>
          <w:rFonts w:ascii="Times New Roman" w:hAnsi="Times New Roman" w:cs="Times New Roman"/>
          <w:color w:val="000000" w:themeColor="text1"/>
        </w:rPr>
        <w:t>Entamoeba histolytica</w:t>
      </w:r>
      <w:r w:rsidRPr="005B115B">
        <w:rPr>
          <w:rFonts w:ascii="Times New Roman" w:hAnsi="Times New Roman" w:cs="Times New Roman"/>
          <w:color w:val="000000" w:themeColor="text1"/>
        </w:rPr>
        <w:t xml:space="preserve"> (</w:t>
      </w:r>
      <w:r w:rsidRPr="005B115B">
        <w:rPr>
          <w:rStyle w:val="Strong"/>
          <w:rFonts w:ascii="Times New Roman" w:hAnsi="Times New Roman" w:cs="Times New Roman"/>
          <w:b w:val="0"/>
          <w:bCs w:val="0"/>
          <w:color w:val="000000" w:themeColor="text1"/>
        </w:rPr>
        <w:t>39; 16.3%</w:t>
      </w:r>
      <w:r w:rsidRPr="005B115B">
        <w:rPr>
          <w:rFonts w:ascii="Times New Roman" w:hAnsi="Times New Roman" w:cs="Times New Roman"/>
          <w:b/>
          <w:bCs/>
          <w:color w:val="000000" w:themeColor="text1"/>
        </w:rPr>
        <w:t>)</w:t>
      </w:r>
      <w:r w:rsidRPr="005B115B">
        <w:rPr>
          <w:rFonts w:ascii="Times New Roman" w:hAnsi="Times New Roman" w:cs="Times New Roman"/>
          <w:color w:val="000000" w:themeColor="text1"/>
        </w:rPr>
        <w:t xml:space="preserve"> and hookworm spp. (</w:t>
      </w:r>
      <w:r w:rsidRPr="005B115B">
        <w:rPr>
          <w:rStyle w:val="Strong"/>
          <w:rFonts w:ascii="Times New Roman" w:hAnsi="Times New Roman" w:cs="Times New Roman"/>
          <w:b w:val="0"/>
          <w:bCs w:val="0"/>
          <w:color w:val="000000" w:themeColor="text1"/>
        </w:rPr>
        <w:t>34; 14.2%</w:t>
      </w:r>
      <w:r w:rsidRPr="005B115B">
        <w:rPr>
          <w:rFonts w:ascii="Times New Roman" w:hAnsi="Times New Roman" w:cs="Times New Roman"/>
          <w:color w:val="000000" w:themeColor="text1"/>
        </w:rPr>
        <w:t>)</w:t>
      </w:r>
      <w:r w:rsidRPr="005B115B">
        <w:rPr>
          <w:rFonts w:ascii="Times New Roman" w:hAnsi="Times New Roman" w:cs="Times New Roman"/>
          <w:b/>
          <w:bCs/>
          <w:color w:val="000000" w:themeColor="text1"/>
        </w:rPr>
        <w:t>.</w:t>
      </w:r>
      <w:r w:rsidRPr="005B115B">
        <w:rPr>
          <w:rFonts w:ascii="Times New Roman" w:hAnsi="Times New Roman" w:cs="Times New Roman"/>
          <w:color w:val="000000" w:themeColor="text1"/>
        </w:rPr>
        <w:t xml:space="preserve"> Lower prevalence was observed for </w:t>
      </w:r>
      <w:r w:rsidRPr="005B115B">
        <w:rPr>
          <w:rStyle w:val="Emphasis"/>
          <w:rFonts w:ascii="Times New Roman" w:hAnsi="Times New Roman" w:cs="Times New Roman"/>
          <w:color w:val="000000" w:themeColor="text1"/>
        </w:rPr>
        <w:t>Giardia lamblia</w:t>
      </w:r>
      <w:r w:rsidRPr="005B115B">
        <w:rPr>
          <w:rFonts w:ascii="Times New Roman" w:hAnsi="Times New Roman" w:cs="Times New Roman"/>
          <w:color w:val="000000" w:themeColor="text1"/>
        </w:rPr>
        <w:t xml:space="preserve"> (</w:t>
      </w:r>
      <w:r w:rsidRPr="005B115B">
        <w:rPr>
          <w:rStyle w:val="Strong"/>
          <w:rFonts w:ascii="Times New Roman" w:hAnsi="Times New Roman" w:cs="Times New Roman"/>
          <w:b w:val="0"/>
          <w:bCs w:val="0"/>
          <w:color w:val="000000" w:themeColor="text1"/>
        </w:rPr>
        <w:t>8.8</w:t>
      </w:r>
      <w:r w:rsidRPr="005B115B">
        <w:rPr>
          <w:rStyle w:val="Strong"/>
          <w:rFonts w:ascii="Times New Roman" w:hAnsi="Times New Roman" w:cs="Times New Roman"/>
          <w:color w:val="000000" w:themeColor="text1"/>
        </w:rPr>
        <w:t>%</w:t>
      </w:r>
      <w:r w:rsidRPr="005B115B">
        <w:rPr>
          <w:rFonts w:ascii="Times New Roman" w:hAnsi="Times New Roman" w:cs="Times New Roman"/>
          <w:color w:val="000000" w:themeColor="text1"/>
        </w:rPr>
        <w:t xml:space="preserve">) and </w:t>
      </w:r>
      <w:r w:rsidRPr="005B115B">
        <w:rPr>
          <w:rStyle w:val="Emphasis"/>
          <w:rFonts w:ascii="Times New Roman" w:hAnsi="Times New Roman" w:cs="Times New Roman"/>
          <w:color w:val="000000" w:themeColor="text1"/>
        </w:rPr>
        <w:t xml:space="preserve">Trichuris </w:t>
      </w:r>
      <w:proofErr w:type="spellStart"/>
      <w:r w:rsidRPr="005B115B">
        <w:rPr>
          <w:rStyle w:val="Emphasis"/>
          <w:rFonts w:ascii="Times New Roman" w:hAnsi="Times New Roman" w:cs="Times New Roman"/>
          <w:color w:val="000000" w:themeColor="text1"/>
        </w:rPr>
        <w:t>trichiura</w:t>
      </w:r>
      <w:proofErr w:type="spellEnd"/>
      <w:r w:rsidRPr="005B115B">
        <w:rPr>
          <w:rFonts w:ascii="Times New Roman" w:hAnsi="Times New Roman" w:cs="Times New Roman"/>
          <w:color w:val="000000" w:themeColor="text1"/>
        </w:rPr>
        <w:t xml:space="preserve"> (</w:t>
      </w:r>
      <w:r w:rsidRPr="005B115B">
        <w:rPr>
          <w:rStyle w:val="Strong"/>
          <w:rFonts w:ascii="Times New Roman" w:hAnsi="Times New Roman" w:cs="Times New Roman"/>
          <w:b w:val="0"/>
          <w:bCs w:val="0"/>
          <w:color w:val="000000" w:themeColor="text1"/>
        </w:rPr>
        <w:t>7.5</w:t>
      </w:r>
      <w:r w:rsidRPr="005B115B">
        <w:rPr>
          <w:rStyle w:val="Strong"/>
          <w:rFonts w:ascii="Times New Roman" w:hAnsi="Times New Roman" w:cs="Times New Roman"/>
          <w:color w:val="000000" w:themeColor="text1"/>
        </w:rPr>
        <w:t>%</w:t>
      </w:r>
      <w:r w:rsidRPr="005B115B">
        <w:rPr>
          <w:rFonts w:ascii="Times New Roman" w:hAnsi="Times New Roman" w:cs="Times New Roman"/>
          <w:color w:val="000000" w:themeColor="text1"/>
        </w:rPr>
        <w:t xml:space="preserve">). This indicates that </w:t>
      </w:r>
      <w:r w:rsidRPr="005B115B">
        <w:rPr>
          <w:rStyle w:val="Strong"/>
          <w:rFonts w:ascii="Times New Roman" w:hAnsi="Times New Roman" w:cs="Times New Roman"/>
          <w:b w:val="0"/>
          <w:bCs w:val="0"/>
          <w:color w:val="000000" w:themeColor="text1"/>
        </w:rPr>
        <w:t>helminths, particularly A. lumbricoides, dominate infections</w:t>
      </w:r>
      <w:r w:rsidRPr="005B115B">
        <w:rPr>
          <w:rFonts w:ascii="Times New Roman" w:hAnsi="Times New Roman" w:cs="Times New Roman"/>
          <w:color w:val="000000" w:themeColor="text1"/>
        </w:rPr>
        <w:t>, although protozoan infections are also significant.</w:t>
      </w:r>
    </w:p>
    <w:p w14:paraId="59A5E835" w14:textId="76E86197" w:rsidR="00191434" w:rsidRPr="005B115B" w:rsidRDefault="00191434"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lastRenderedPageBreak/>
        <w:t>Table 2: Prevalence of Identified Intestinal Parasites</w:t>
      </w:r>
    </w:p>
    <w:tbl>
      <w:tblPr>
        <w:tblStyle w:val="PlainTable2"/>
        <w:tblW w:w="0" w:type="auto"/>
        <w:tblLook w:val="04A0" w:firstRow="1" w:lastRow="0" w:firstColumn="1" w:lastColumn="0" w:noHBand="0" w:noVBand="1"/>
      </w:tblPr>
      <w:tblGrid>
        <w:gridCol w:w="3600"/>
        <w:gridCol w:w="2520"/>
        <w:gridCol w:w="1897"/>
      </w:tblGrid>
      <w:tr w:rsidR="00191434" w:rsidRPr="005B115B" w14:paraId="4D29FB19" w14:textId="77777777" w:rsidTr="00191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hideMark/>
          </w:tcPr>
          <w:p w14:paraId="0BA14B5A"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Parasite</w:t>
            </w:r>
          </w:p>
        </w:tc>
        <w:tc>
          <w:tcPr>
            <w:tcW w:w="2520" w:type="dxa"/>
            <w:hideMark/>
          </w:tcPr>
          <w:p w14:paraId="45D47DC8"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Frequency</w:t>
            </w:r>
          </w:p>
        </w:tc>
        <w:tc>
          <w:tcPr>
            <w:tcW w:w="1897" w:type="dxa"/>
            <w:hideMark/>
          </w:tcPr>
          <w:p w14:paraId="03EA4371"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Percentage (%)</w:t>
            </w:r>
          </w:p>
        </w:tc>
      </w:tr>
      <w:tr w:rsidR="00191434" w:rsidRPr="005B115B" w14:paraId="2A9001AA"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bottom w:val="nil"/>
            </w:tcBorders>
            <w:hideMark/>
          </w:tcPr>
          <w:p w14:paraId="5E92DEFF"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Ascaris lumbricoides</w:t>
            </w:r>
          </w:p>
        </w:tc>
        <w:tc>
          <w:tcPr>
            <w:tcW w:w="2520" w:type="dxa"/>
            <w:tcBorders>
              <w:bottom w:val="nil"/>
            </w:tcBorders>
            <w:hideMark/>
          </w:tcPr>
          <w:p w14:paraId="4381D293"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52</w:t>
            </w:r>
          </w:p>
        </w:tc>
        <w:tc>
          <w:tcPr>
            <w:tcW w:w="1897" w:type="dxa"/>
            <w:tcBorders>
              <w:bottom w:val="nil"/>
            </w:tcBorders>
            <w:hideMark/>
          </w:tcPr>
          <w:p w14:paraId="6678277E"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21.7</w:t>
            </w:r>
          </w:p>
        </w:tc>
      </w:tr>
      <w:tr w:rsidR="00191434" w:rsidRPr="005B115B" w14:paraId="788E33D2" w14:textId="77777777" w:rsidTr="00191434">
        <w:tc>
          <w:tcPr>
            <w:cnfStyle w:val="001000000000" w:firstRow="0" w:lastRow="0" w:firstColumn="1" w:lastColumn="0" w:oddVBand="0" w:evenVBand="0" w:oddHBand="0" w:evenHBand="0" w:firstRowFirstColumn="0" w:firstRowLastColumn="0" w:lastRowFirstColumn="0" w:lastRowLastColumn="0"/>
            <w:tcW w:w="3600" w:type="dxa"/>
            <w:tcBorders>
              <w:top w:val="nil"/>
              <w:bottom w:val="nil"/>
            </w:tcBorders>
            <w:hideMark/>
          </w:tcPr>
          <w:p w14:paraId="719C9805"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Entamoeba histolytica</w:t>
            </w:r>
          </w:p>
        </w:tc>
        <w:tc>
          <w:tcPr>
            <w:tcW w:w="2520" w:type="dxa"/>
            <w:tcBorders>
              <w:top w:val="nil"/>
              <w:bottom w:val="nil"/>
            </w:tcBorders>
            <w:hideMark/>
          </w:tcPr>
          <w:p w14:paraId="1F80D9AD"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39</w:t>
            </w:r>
          </w:p>
        </w:tc>
        <w:tc>
          <w:tcPr>
            <w:tcW w:w="1897" w:type="dxa"/>
            <w:tcBorders>
              <w:top w:val="nil"/>
              <w:bottom w:val="nil"/>
            </w:tcBorders>
            <w:hideMark/>
          </w:tcPr>
          <w:p w14:paraId="2D2B7E04"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16.3</w:t>
            </w:r>
          </w:p>
        </w:tc>
      </w:tr>
      <w:tr w:rsidR="00191434" w:rsidRPr="005B115B" w14:paraId="26C758E3"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nil"/>
              <w:bottom w:val="nil"/>
            </w:tcBorders>
            <w:hideMark/>
          </w:tcPr>
          <w:p w14:paraId="0266ED5D"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Hookworm spp.</w:t>
            </w:r>
          </w:p>
        </w:tc>
        <w:tc>
          <w:tcPr>
            <w:tcW w:w="2520" w:type="dxa"/>
            <w:tcBorders>
              <w:top w:val="nil"/>
              <w:bottom w:val="nil"/>
            </w:tcBorders>
            <w:hideMark/>
          </w:tcPr>
          <w:p w14:paraId="41ACB5D1"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34</w:t>
            </w:r>
          </w:p>
        </w:tc>
        <w:tc>
          <w:tcPr>
            <w:tcW w:w="1897" w:type="dxa"/>
            <w:tcBorders>
              <w:top w:val="nil"/>
              <w:bottom w:val="nil"/>
            </w:tcBorders>
            <w:hideMark/>
          </w:tcPr>
          <w:p w14:paraId="19C7F324"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14.2</w:t>
            </w:r>
          </w:p>
        </w:tc>
      </w:tr>
      <w:tr w:rsidR="00191434" w:rsidRPr="005B115B" w14:paraId="3B6093CA" w14:textId="77777777" w:rsidTr="00191434">
        <w:tc>
          <w:tcPr>
            <w:cnfStyle w:val="001000000000" w:firstRow="0" w:lastRow="0" w:firstColumn="1" w:lastColumn="0" w:oddVBand="0" w:evenVBand="0" w:oddHBand="0" w:evenHBand="0" w:firstRowFirstColumn="0" w:firstRowLastColumn="0" w:lastRowFirstColumn="0" w:lastRowLastColumn="0"/>
            <w:tcW w:w="3600" w:type="dxa"/>
            <w:tcBorders>
              <w:top w:val="nil"/>
              <w:bottom w:val="nil"/>
            </w:tcBorders>
            <w:hideMark/>
          </w:tcPr>
          <w:p w14:paraId="48A9C7C4"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Giardia lamblia</w:t>
            </w:r>
          </w:p>
        </w:tc>
        <w:tc>
          <w:tcPr>
            <w:tcW w:w="2520" w:type="dxa"/>
            <w:tcBorders>
              <w:top w:val="nil"/>
              <w:bottom w:val="nil"/>
            </w:tcBorders>
            <w:hideMark/>
          </w:tcPr>
          <w:p w14:paraId="34619919"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21</w:t>
            </w:r>
          </w:p>
        </w:tc>
        <w:tc>
          <w:tcPr>
            <w:tcW w:w="1897" w:type="dxa"/>
            <w:tcBorders>
              <w:top w:val="nil"/>
              <w:bottom w:val="nil"/>
            </w:tcBorders>
            <w:hideMark/>
          </w:tcPr>
          <w:p w14:paraId="1F3B2754"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8.8</w:t>
            </w:r>
          </w:p>
        </w:tc>
      </w:tr>
      <w:tr w:rsidR="00191434" w:rsidRPr="005B115B" w14:paraId="7C1FDFB9"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nil"/>
            </w:tcBorders>
            <w:hideMark/>
          </w:tcPr>
          <w:p w14:paraId="031270CC"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 xml:space="preserve">Trichuris </w:t>
            </w:r>
            <w:proofErr w:type="spellStart"/>
            <w:r w:rsidRPr="005B115B">
              <w:rPr>
                <w:rFonts w:ascii="Times New Roman" w:eastAsia="Times New Roman" w:hAnsi="Times New Roman" w:cs="Times New Roman"/>
                <w:b w:val="0"/>
                <w:bCs w:val="0"/>
                <w:i/>
                <w:iCs/>
                <w:color w:val="000000" w:themeColor="text1"/>
                <w:kern w:val="0"/>
                <w14:ligatures w14:val="none"/>
              </w:rPr>
              <w:t>trichiura</w:t>
            </w:r>
            <w:proofErr w:type="spellEnd"/>
          </w:p>
        </w:tc>
        <w:tc>
          <w:tcPr>
            <w:tcW w:w="2520" w:type="dxa"/>
            <w:tcBorders>
              <w:top w:val="nil"/>
            </w:tcBorders>
            <w:hideMark/>
          </w:tcPr>
          <w:p w14:paraId="757DEF5D"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18</w:t>
            </w:r>
          </w:p>
        </w:tc>
        <w:tc>
          <w:tcPr>
            <w:tcW w:w="1897" w:type="dxa"/>
            <w:tcBorders>
              <w:top w:val="nil"/>
            </w:tcBorders>
            <w:hideMark/>
          </w:tcPr>
          <w:p w14:paraId="7B54B7E6"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7.5</w:t>
            </w:r>
          </w:p>
        </w:tc>
      </w:tr>
    </w:tbl>
    <w:p w14:paraId="74C45B75" w14:textId="4A11BDE6" w:rsidR="00191434" w:rsidRPr="005B115B" w:rsidRDefault="000F6C64" w:rsidP="001E5E04">
      <w:pPr>
        <w:spacing w:before="240"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hAnsi="Times New Roman" w:cs="Times New Roman"/>
          <w:color w:val="000000" w:themeColor="text1"/>
        </w:rPr>
        <w:t xml:space="preserve">Table 3 reveals that </w:t>
      </w:r>
      <w:r w:rsidRPr="005B115B">
        <w:rPr>
          <w:rStyle w:val="Emphasis"/>
          <w:rFonts w:ascii="Times New Roman" w:hAnsi="Times New Roman" w:cs="Times New Roman"/>
          <w:color w:val="000000" w:themeColor="text1"/>
        </w:rPr>
        <w:t>A. lumbricoides</w:t>
      </w:r>
      <w:r w:rsidRPr="005B115B">
        <w:rPr>
          <w:rFonts w:ascii="Times New Roman" w:hAnsi="Times New Roman" w:cs="Times New Roman"/>
          <w:color w:val="000000" w:themeColor="text1"/>
        </w:rPr>
        <w:t xml:space="preserve"> recorded the highest parasite load (</w:t>
      </w:r>
      <w:r w:rsidRPr="005B115B">
        <w:rPr>
          <w:rStyle w:val="Strong"/>
          <w:rFonts w:ascii="Times New Roman" w:hAnsi="Times New Roman" w:cs="Times New Roman"/>
          <w:b w:val="0"/>
          <w:bCs w:val="0"/>
          <w:color w:val="000000" w:themeColor="text1"/>
        </w:rPr>
        <w:t>188.3 ± 6.5ᵃ eggs/g</w:t>
      </w:r>
      <w:r w:rsidRPr="005B115B">
        <w:rPr>
          <w:rFonts w:ascii="Times New Roman" w:hAnsi="Times New Roman" w:cs="Times New Roman"/>
          <w:color w:val="000000" w:themeColor="text1"/>
        </w:rPr>
        <w:t xml:space="preserve">), significantly higher than other parasites, while </w:t>
      </w:r>
      <w:r w:rsidRPr="005B115B">
        <w:rPr>
          <w:rStyle w:val="Emphasis"/>
          <w:rFonts w:ascii="Times New Roman" w:hAnsi="Times New Roman" w:cs="Times New Roman"/>
          <w:color w:val="000000" w:themeColor="text1"/>
        </w:rPr>
        <w:t xml:space="preserve">T. </w:t>
      </w:r>
      <w:proofErr w:type="spellStart"/>
      <w:r w:rsidRPr="005B115B">
        <w:rPr>
          <w:rStyle w:val="Emphasis"/>
          <w:rFonts w:ascii="Times New Roman" w:hAnsi="Times New Roman" w:cs="Times New Roman"/>
          <w:color w:val="000000" w:themeColor="text1"/>
        </w:rPr>
        <w:t>trichiura</w:t>
      </w:r>
      <w:proofErr w:type="spellEnd"/>
      <w:r w:rsidRPr="005B115B">
        <w:rPr>
          <w:rFonts w:ascii="Times New Roman" w:hAnsi="Times New Roman" w:cs="Times New Roman"/>
          <w:color w:val="000000" w:themeColor="text1"/>
        </w:rPr>
        <w:t xml:space="preserve"> had the lowest (</w:t>
      </w:r>
      <w:r w:rsidRPr="005B115B">
        <w:rPr>
          <w:rStyle w:val="Strong"/>
          <w:rFonts w:ascii="Times New Roman" w:hAnsi="Times New Roman" w:cs="Times New Roman"/>
          <w:b w:val="0"/>
          <w:bCs w:val="0"/>
          <w:color w:val="000000" w:themeColor="text1"/>
        </w:rPr>
        <w:t>87.7 ± 2.5ᵉ eggs/g</w:t>
      </w:r>
      <w:r w:rsidRPr="005B115B">
        <w:rPr>
          <w:rFonts w:ascii="Times New Roman" w:hAnsi="Times New Roman" w:cs="Times New Roman"/>
          <w:color w:val="000000" w:themeColor="text1"/>
        </w:rPr>
        <w:t xml:space="preserve">). The presence of </w:t>
      </w:r>
      <w:r w:rsidRPr="005B115B">
        <w:rPr>
          <w:rStyle w:val="Strong"/>
          <w:rFonts w:ascii="Times New Roman" w:hAnsi="Times New Roman" w:cs="Times New Roman"/>
          <w:b w:val="0"/>
          <w:bCs w:val="0"/>
          <w:color w:val="000000" w:themeColor="text1"/>
        </w:rPr>
        <w:t>different superscripts (a–e)</w:t>
      </w:r>
      <w:r w:rsidRPr="005B115B">
        <w:rPr>
          <w:rFonts w:ascii="Times New Roman" w:hAnsi="Times New Roman" w:cs="Times New Roman"/>
          <w:color w:val="000000" w:themeColor="text1"/>
        </w:rPr>
        <w:t xml:space="preserve"> indicates statistically significant differences among parasite loads (</w:t>
      </w:r>
      <w:r w:rsidRPr="005B115B">
        <w:rPr>
          <w:rStyle w:val="Strong"/>
          <w:rFonts w:ascii="Times New Roman" w:hAnsi="Times New Roman" w:cs="Times New Roman"/>
          <w:b w:val="0"/>
          <w:bCs w:val="0"/>
          <w:color w:val="000000" w:themeColor="text1"/>
        </w:rPr>
        <w:t>F = 18.42, p &lt; 0.05</w:t>
      </w:r>
      <w:r w:rsidRPr="005B115B">
        <w:rPr>
          <w:rFonts w:ascii="Times New Roman" w:hAnsi="Times New Roman" w:cs="Times New Roman"/>
          <w:color w:val="000000" w:themeColor="text1"/>
        </w:rPr>
        <w:t xml:space="preserve">). This suggests variation in infection intensity across parasite species, with </w:t>
      </w:r>
      <w:r w:rsidRPr="005B115B">
        <w:rPr>
          <w:rStyle w:val="Emphasis"/>
          <w:rFonts w:ascii="Times New Roman" w:hAnsi="Times New Roman" w:cs="Times New Roman"/>
          <w:color w:val="000000" w:themeColor="text1"/>
        </w:rPr>
        <w:t>A. lumbricoides</w:t>
      </w:r>
      <w:r w:rsidRPr="005B115B">
        <w:rPr>
          <w:rFonts w:ascii="Times New Roman" w:hAnsi="Times New Roman" w:cs="Times New Roman"/>
          <w:color w:val="000000" w:themeColor="text1"/>
        </w:rPr>
        <w:t xml:space="preserve"> showing the most severe burden.</w:t>
      </w:r>
    </w:p>
    <w:p w14:paraId="1565D7FB" w14:textId="4275C122" w:rsidR="00191434" w:rsidRPr="005B115B" w:rsidRDefault="00191434"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Table 3: Triplicate Quantification of Parasite Load (Eggs/Cysts per Gram of Stool)</w:t>
      </w:r>
    </w:p>
    <w:tbl>
      <w:tblPr>
        <w:tblStyle w:val="PlainTable2"/>
        <w:tblW w:w="0" w:type="auto"/>
        <w:tblLook w:val="04A0" w:firstRow="1" w:lastRow="0" w:firstColumn="1" w:lastColumn="0" w:noHBand="0" w:noVBand="1"/>
      </w:tblPr>
      <w:tblGrid>
        <w:gridCol w:w="1763"/>
        <w:gridCol w:w="1303"/>
        <w:gridCol w:w="1303"/>
        <w:gridCol w:w="1303"/>
        <w:gridCol w:w="1383"/>
      </w:tblGrid>
      <w:tr w:rsidR="00191434" w:rsidRPr="005B115B" w14:paraId="10585276" w14:textId="77777777" w:rsidTr="00191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21B523"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Parasite</w:t>
            </w:r>
          </w:p>
        </w:tc>
        <w:tc>
          <w:tcPr>
            <w:tcW w:w="0" w:type="auto"/>
            <w:hideMark/>
          </w:tcPr>
          <w:p w14:paraId="0C2ECD92"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1</w:t>
            </w:r>
          </w:p>
        </w:tc>
        <w:tc>
          <w:tcPr>
            <w:tcW w:w="0" w:type="auto"/>
            <w:hideMark/>
          </w:tcPr>
          <w:p w14:paraId="7A9102F2"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2</w:t>
            </w:r>
          </w:p>
        </w:tc>
        <w:tc>
          <w:tcPr>
            <w:tcW w:w="0" w:type="auto"/>
            <w:hideMark/>
          </w:tcPr>
          <w:p w14:paraId="282B04DD"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3</w:t>
            </w:r>
          </w:p>
        </w:tc>
        <w:tc>
          <w:tcPr>
            <w:tcW w:w="0" w:type="auto"/>
            <w:hideMark/>
          </w:tcPr>
          <w:p w14:paraId="15664B02"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Mean ± SD</w:t>
            </w:r>
          </w:p>
        </w:tc>
      </w:tr>
      <w:tr w:rsidR="00191434" w:rsidRPr="005B115B" w14:paraId="4DA45C05"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7603E54"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A. lumbricoides</w:t>
            </w:r>
          </w:p>
        </w:tc>
        <w:tc>
          <w:tcPr>
            <w:tcW w:w="0" w:type="auto"/>
            <w:tcBorders>
              <w:bottom w:val="nil"/>
            </w:tcBorders>
            <w:hideMark/>
          </w:tcPr>
          <w:p w14:paraId="3243DE9B"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182</w:t>
            </w:r>
          </w:p>
        </w:tc>
        <w:tc>
          <w:tcPr>
            <w:tcW w:w="0" w:type="auto"/>
            <w:tcBorders>
              <w:bottom w:val="nil"/>
            </w:tcBorders>
            <w:hideMark/>
          </w:tcPr>
          <w:p w14:paraId="70BF9BB9"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195</w:t>
            </w:r>
          </w:p>
        </w:tc>
        <w:tc>
          <w:tcPr>
            <w:tcW w:w="0" w:type="auto"/>
            <w:tcBorders>
              <w:bottom w:val="nil"/>
            </w:tcBorders>
            <w:hideMark/>
          </w:tcPr>
          <w:p w14:paraId="01C609FD"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188</w:t>
            </w:r>
          </w:p>
        </w:tc>
        <w:tc>
          <w:tcPr>
            <w:tcW w:w="0" w:type="auto"/>
            <w:tcBorders>
              <w:bottom w:val="nil"/>
            </w:tcBorders>
            <w:hideMark/>
          </w:tcPr>
          <w:p w14:paraId="2579D31A"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188.3 ± 6.5ᵃ</w:t>
            </w:r>
          </w:p>
        </w:tc>
      </w:tr>
      <w:tr w:rsidR="00191434" w:rsidRPr="005B115B" w14:paraId="18739C5D" w14:textId="77777777" w:rsidTr="0019143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56B18EA"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E. histolytica</w:t>
            </w:r>
          </w:p>
        </w:tc>
        <w:tc>
          <w:tcPr>
            <w:tcW w:w="0" w:type="auto"/>
            <w:tcBorders>
              <w:top w:val="nil"/>
              <w:bottom w:val="nil"/>
            </w:tcBorders>
            <w:hideMark/>
          </w:tcPr>
          <w:p w14:paraId="68A78E77"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145</w:t>
            </w:r>
          </w:p>
        </w:tc>
        <w:tc>
          <w:tcPr>
            <w:tcW w:w="0" w:type="auto"/>
            <w:tcBorders>
              <w:top w:val="nil"/>
              <w:bottom w:val="nil"/>
            </w:tcBorders>
            <w:hideMark/>
          </w:tcPr>
          <w:p w14:paraId="7F1153AD"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150</w:t>
            </w:r>
          </w:p>
        </w:tc>
        <w:tc>
          <w:tcPr>
            <w:tcW w:w="0" w:type="auto"/>
            <w:tcBorders>
              <w:top w:val="nil"/>
              <w:bottom w:val="nil"/>
            </w:tcBorders>
            <w:hideMark/>
          </w:tcPr>
          <w:p w14:paraId="56C41BFE"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147</w:t>
            </w:r>
          </w:p>
        </w:tc>
        <w:tc>
          <w:tcPr>
            <w:tcW w:w="0" w:type="auto"/>
            <w:tcBorders>
              <w:top w:val="nil"/>
              <w:bottom w:val="nil"/>
            </w:tcBorders>
            <w:hideMark/>
          </w:tcPr>
          <w:p w14:paraId="3C72BAC3"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147.3 ± 2.5ᵇ</w:t>
            </w:r>
          </w:p>
        </w:tc>
      </w:tr>
      <w:tr w:rsidR="00191434" w:rsidRPr="005B115B" w14:paraId="5D522C2B"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642673D"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Hookworm spp.</w:t>
            </w:r>
          </w:p>
        </w:tc>
        <w:tc>
          <w:tcPr>
            <w:tcW w:w="0" w:type="auto"/>
            <w:tcBorders>
              <w:top w:val="nil"/>
              <w:bottom w:val="nil"/>
            </w:tcBorders>
            <w:hideMark/>
          </w:tcPr>
          <w:p w14:paraId="5C7F65A0"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120</w:t>
            </w:r>
          </w:p>
        </w:tc>
        <w:tc>
          <w:tcPr>
            <w:tcW w:w="0" w:type="auto"/>
            <w:tcBorders>
              <w:top w:val="nil"/>
              <w:bottom w:val="nil"/>
            </w:tcBorders>
            <w:hideMark/>
          </w:tcPr>
          <w:p w14:paraId="1E6A9C7E"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132</w:t>
            </w:r>
          </w:p>
        </w:tc>
        <w:tc>
          <w:tcPr>
            <w:tcW w:w="0" w:type="auto"/>
            <w:tcBorders>
              <w:top w:val="nil"/>
              <w:bottom w:val="nil"/>
            </w:tcBorders>
            <w:hideMark/>
          </w:tcPr>
          <w:p w14:paraId="7B0260CA"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125</w:t>
            </w:r>
          </w:p>
        </w:tc>
        <w:tc>
          <w:tcPr>
            <w:tcW w:w="0" w:type="auto"/>
            <w:tcBorders>
              <w:top w:val="nil"/>
              <w:bottom w:val="nil"/>
            </w:tcBorders>
            <w:hideMark/>
          </w:tcPr>
          <w:p w14:paraId="25482F7A"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125.7 ± 6.0ᶜ</w:t>
            </w:r>
          </w:p>
        </w:tc>
      </w:tr>
      <w:tr w:rsidR="00191434" w:rsidRPr="005B115B" w14:paraId="2C9E76B7" w14:textId="77777777" w:rsidTr="00191434">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4754716"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G. lamblia</w:t>
            </w:r>
          </w:p>
        </w:tc>
        <w:tc>
          <w:tcPr>
            <w:tcW w:w="0" w:type="auto"/>
            <w:tcBorders>
              <w:top w:val="nil"/>
              <w:bottom w:val="nil"/>
            </w:tcBorders>
            <w:hideMark/>
          </w:tcPr>
          <w:p w14:paraId="1234EC30"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98</w:t>
            </w:r>
          </w:p>
        </w:tc>
        <w:tc>
          <w:tcPr>
            <w:tcW w:w="0" w:type="auto"/>
            <w:tcBorders>
              <w:top w:val="nil"/>
              <w:bottom w:val="nil"/>
            </w:tcBorders>
            <w:hideMark/>
          </w:tcPr>
          <w:p w14:paraId="1355B512"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105</w:t>
            </w:r>
          </w:p>
        </w:tc>
        <w:tc>
          <w:tcPr>
            <w:tcW w:w="0" w:type="auto"/>
            <w:tcBorders>
              <w:top w:val="nil"/>
              <w:bottom w:val="nil"/>
            </w:tcBorders>
            <w:hideMark/>
          </w:tcPr>
          <w:p w14:paraId="5A103FE4"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101</w:t>
            </w:r>
          </w:p>
        </w:tc>
        <w:tc>
          <w:tcPr>
            <w:tcW w:w="0" w:type="auto"/>
            <w:tcBorders>
              <w:top w:val="nil"/>
              <w:bottom w:val="nil"/>
            </w:tcBorders>
            <w:hideMark/>
          </w:tcPr>
          <w:p w14:paraId="3C6FEB30" w14:textId="77777777" w:rsidR="00191434" w:rsidRPr="005B115B" w:rsidRDefault="00191434" w:rsidP="005B115B">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101.3 ± 3.5ᵈ</w:t>
            </w:r>
          </w:p>
        </w:tc>
      </w:tr>
      <w:tr w:rsidR="00191434" w:rsidRPr="005B115B" w14:paraId="5B6ECF24"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563D21FF"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 xml:space="preserve">T. </w:t>
            </w:r>
            <w:proofErr w:type="spellStart"/>
            <w:r w:rsidRPr="005B115B">
              <w:rPr>
                <w:rFonts w:ascii="Times New Roman" w:eastAsia="Times New Roman" w:hAnsi="Times New Roman" w:cs="Times New Roman"/>
                <w:b w:val="0"/>
                <w:bCs w:val="0"/>
                <w:i/>
                <w:iCs/>
                <w:color w:val="000000" w:themeColor="text1"/>
                <w:kern w:val="0"/>
                <w14:ligatures w14:val="none"/>
              </w:rPr>
              <w:t>trichiura</w:t>
            </w:r>
            <w:proofErr w:type="spellEnd"/>
          </w:p>
        </w:tc>
        <w:tc>
          <w:tcPr>
            <w:tcW w:w="0" w:type="auto"/>
            <w:tcBorders>
              <w:top w:val="nil"/>
            </w:tcBorders>
            <w:hideMark/>
          </w:tcPr>
          <w:p w14:paraId="024E1379"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85</w:t>
            </w:r>
          </w:p>
        </w:tc>
        <w:tc>
          <w:tcPr>
            <w:tcW w:w="0" w:type="auto"/>
            <w:tcBorders>
              <w:top w:val="nil"/>
            </w:tcBorders>
            <w:hideMark/>
          </w:tcPr>
          <w:p w14:paraId="084DC8A6"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90</w:t>
            </w:r>
          </w:p>
        </w:tc>
        <w:tc>
          <w:tcPr>
            <w:tcW w:w="0" w:type="auto"/>
            <w:tcBorders>
              <w:top w:val="nil"/>
            </w:tcBorders>
            <w:hideMark/>
          </w:tcPr>
          <w:p w14:paraId="2B174AEB"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88</w:t>
            </w:r>
          </w:p>
        </w:tc>
        <w:tc>
          <w:tcPr>
            <w:tcW w:w="0" w:type="auto"/>
            <w:tcBorders>
              <w:top w:val="nil"/>
            </w:tcBorders>
            <w:hideMark/>
          </w:tcPr>
          <w:p w14:paraId="37A1F633" w14:textId="77777777" w:rsidR="00191434" w:rsidRPr="005B115B" w:rsidRDefault="00191434" w:rsidP="005B115B">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87.7 ± 2.5ᵉ</w:t>
            </w:r>
          </w:p>
        </w:tc>
      </w:tr>
    </w:tbl>
    <w:p w14:paraId="11F204B3" w14:textId="05973996" w:rsidR="00191434" w:rsidRPr="005B115B" w:rsidRDefault="00191434" w:rsidP="005B115B">
      <w:pPr>
        <w:spacing w:after="120" w:line="240" w:lineRule="auto"/>
        <w:jc w:val="both"/>
        <w:rPr>
          <w:rFonts w:ascii="Times New Roman" w:hAnsi="Times New Roman" w:cs="Times New Roman"/>
          <w:color w:val="000000" w:themeColor="text1"/>
        </w:rPr>
      </w:pPr>
      <w:r w:rsidRPr="005B115B">
        <w:rPr>
          <w:rStyle w:val="Strong"/>
          <w:rFonts w:ascii="Times New Roman" w:hAnsi="Times New Roman" w:cs="Times New Roman"/>
          <w:b w:val="0"/>
          <w:bCs w:val="0"/>
          <w:color w:val="000000" w:themeColor="text1"/>
        </w:rPr>
        <w:t>ANOVA</w:t>
      </w:r>
      <w:r w:rsidRPr="005B115B">
        <w:rPr>
          <w:rStyle w:val="Strong"/>
          <w:rFonts w:ascii="Times New Roman" w:hAnsi="Times New Roman" w:cs="Times New Roman"/>
          <w:color w:val="000000" w:themeColor="text1"/>
        </w:rPr>
        <w:t>:</w:t>
      </w:r>
      <w:r w:rsidRPr="005B115B">
        <w:rPr>
          <w:rFonts w:ascii="Times New Roman" w:hAnsi="Times New Roman" w:cs="Times New Roman"/>
          <w:color w:val="000000" w:themeColor="text1"/>
        </w:rPr>
        <w:t xml:space="preserve"> F = 18.42, p &lt; 0.05. Values with different superscripts (a–e) are significantly different.</w:t>
      </w:r>
    </w:p>
    <w:p w14:paraId="68F6BC46" w14:textId="683890DC" w:rsidR="00191434" w:rsidRPr="005B115B" w:rsidRDefault="000F6C64" w:rsidP="001E5E04">
      <w:pPr>
        <w:spacing w:before="240"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 xml:space="preserve">From Table 4, children aged </w:t>
      </w:r>
      <w:r w:rsidRPr="005B115B">
        <w:rPr>
          <w:rStyle w:val="Strong"/>
          <w:rFonts w:ascii="Times New Roman" w:hAnsi="Times New Roman" w:cs="Times New Roman"/>
          <w:b w:val="0"/>
          <w:bCs w:val="0"/>
          <w:color w:val="000000" w:themeColor="text1"/>
        </w:rPr>
        <w:t>8–10 years had the highest prevalence (55.3%</w:t>
      </w:r>
      <w:r w:rsidRPr="005B115B">
        <w:rPr>
          <w:rStyle w:val="Strong"/>
          <w:rFonts w:ascii="Times New Roman" w:hAnsi="Times New Roman" w:cs="Times New Roman"/>
          <w:color w:val="000000" w:themeColor="text1"/>
        </w:rPr>
        <w:t>)</w:t>
      </w:r>
      <w:r w:rsidRPr="005B115B">
        <w:rPr>
          <w:rFonts w:ascii="Times New Roman" w:hAnsi="Times New Roman" w:cs="Times New Roman"/>
          <w:color w:val="000000" w:themeColor="text1"/>
        </w:rPr>
        <w:t>, followed by those aged 5–7 years (</w:t>
      </w:r>
      <w:r w:rsidRPr="005B115B">
        <w:rPr>
          <w:rStyle w:val="Strong"/>
          <w:rFonts w:ascii="Times New Roman" w:hAnsi="Times New Roman" w:cs="Times New Roman"/>
          <w:b w:val="0"/>
          <w:bCs w:val="0"/>
          <w:color w:val="000000" w:themeColor="text1"/>
        </w:rPr>
        <w:t>48.6%</w:t>
      </w:r>
      <w:r w:rsidRPr="005B115B">
        <w:rPr>
          <w:rFonts w:ascii="Times New Roman" w:hAnsi="Times New Roman" w:cs="Times New Roman"/>
          <w:color w:val="000000" w:themeColor="text1"/>
        </w:rPr>
        <w:t>), while the lowest prevalence was recorded among 11–15 years (</w:t>
      </w:r>
      <w:r w:rsidRPr="005B115B">
        <w:rPr>
          <w:rStyle w:val="Strong"/>
          <w:rFonts w:ascii="Times New Roman" w:hAnsi="Times New Roman" w:cs="Times New Roman"/>
          <w:b w:val="0"/>
          <w:bCs w:val="0"/>
          <w:color w:val="000000" w:themeColor="text1"/>
        </w:rPr>
        <w:t>40.0%</w:t>
      </w:r>
      <w:r w:rsidRPr="005B115B">
        <w:rPr>
          <w:rFonts w:ascii="Times New Roman" w:hAnsi="Times New Roman" w:cs="Times New Roman"/>
          <w:color w:val="000000" w:themeColor="text1"/>
        </w:rPr>
        <w:t xml:space="preserve">). The association between age and infection was </w:t>
      </w:r>
      <w:r w:rsidRPr="005B115B">
        <w:rPr>
          <w:rStyle w:val="Strong"/>
          <w:rFonts w:ascii="Times New Roman" w:hAnsi="Times New Roman" w:cs="Times New Roman"/>
          <w:b w:val="0"/>
          <w:bCs w:val="0"/>
          <w:color w:val="000000" w:themeColor="text1"/>
        </w:rPr>
        <w:t>statistically significant (χ² = 6.21, p &lt; 0.05</w:t>
      </w:r>
      <w:r w:rsidRPr="005B115B">
        <w:rPr>
          <w:rStyle w:val="Strong"/>
          <w:rFonts w:ascii="Times New Roman" w:hAnsi="Times New Roman" w:cs="Times New Roman"/>
          <w:color w:val="000000" w:themeColor="text1"/>
        </w:rPr>
        <w:t>)</w:t>
      </w:r>
      <w:r w:rsidRPr="005B115B">
        <w:rPr>
          <w:rFonts w:ascii="Times New Roman" w:hAnsi="Times New Roman" w:cs="Times New Roman"/>
          <w:color w:val="000000" w:themeColor="text1"/>
        </w:rPr>
        <w:t xml:space="preserve">, indicating that </w:t>
      </w:r>
      <w:r w:rsidRPr="005B115B">
        <w:rPr>
          <w:rStyle w:val="Strong"/>
          <w:rFonts w:ascii="Times New Roman" w:hAnsi="Times New Roman" w:cs="Times New Roman"/>
          <w:b w:val="0"/>
          <w:bCs w:val="0"/>
          <w:color w:val="000000" w:themeColor="text1"/>
        </w:rPr>
        <w:t>younger children are more susceptible</w:t>
      </w:r>
      <w:r w:rsidRPr="005B115B">
        <w:rPr>
          <w:rFonts w:ascii="Times New Roman" w:hAnsi="Times New Roman" w:cs="Times New Roman"/>
          <w:color w:val="000000" w:themeColor="text1"/>
        </w:rPr>
        <w:t>, likely due to poorer hygiene practices and increased environmental exposure.</w:t>
      </w:r>
    </w:p>
    <w:p w14:paraId="6E89D20F" w14:textId="4F18014E" w:rsidR="00191434" w:rsidRPr="005B115B" w:rsidRDefault="00191434"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Table 4: Age-related Prevalence (Chi-square Analysis)</w:t>
      </w:r>
    </w:p>
    <w:tbl>
      <w:tblPr>
        <w:tblStyle w:val="PlainTable2"/>
        <w:tblW w:w="0" w:type="auto"/>
        <w:tblLook w:val="04A0" w:firstRow="1" w:lastRow="0" w:firstColumn="1" w:lastColumn="0" w:noHBand="0" w:noVBand="1"/>
      </w:tblPr>
      <w:tblGrid>
        <w:gridCol w:w="2430"/>
        <w:gridCol w:w="1530"/>
        <w:gridCol w:w="1440"/>
        <w:gridCol w:w="1710"/>
      </w:tblGrid>
      <w:tr w:rsidR="00191434" w:rsidRPr="005B115B" w14:paraId="5E8D947F" w14:textId="77777777" w:rsidTr="001914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34B206E7" w14:textId="77777777" w:rsidR="00191434" w:rsidRPr="005B115B" w:rsidRDefault="00191434"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Age Group (years)</w:t>
            </w:r>
          </w:p>
        </w:tc>
        <w:tc>
          <w:tcPr>
            <w:tcW w:w="1530" w:type="dxa"/>
            <w:hideMark/>
          </w:tcPr>
          <w:p w14:paraId="2CBF987F"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Examined</w:t>
            </w:r>
          </w:p>
        </w:tc>
        <w:tc>
          <w:tcPr>
            <w:tcW w:w="1440" w:type="dxa"/>
            <w:hideMark/>
          </w:tcPr>
          <w:p w14:paraId="4D4A0C0A"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Infected</w:t>
            </w:r>
          </w:p>
        </w:tc>
        <w:tc>
          <w:tcPr>
            <w:tcW w:w="1710" w:type="dxa"/>
            <w:hideMark/>
          </w:tcPr>
          <w:p w14:paraId="2CBCB58C" w14:textId="77777777" w:rsidR="00191434" w:rsidRPr="005B115B" w:rsidRDefault="00191434"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Prevalence (%)</w:t>
            </w:r>
          </w:p>
        </w:tc>
      </w:tr>
      <w:tr w:rsidR="00191434" w:rsidRPr="005B115B" w14:paraId="7AEB3B1B"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bottom w:val="nil"/>
            </w:tcBorders>
            <w:hideMark/>
          </w:tcPr>
          <w:p w14:paraId="7886C7C4" w14:textId="77777777" w:rsidR="00191434" w:rsidRPr="005B115B" w:rsidRDefault="00191434"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5–7</w:t>
            </w:r>
          </w:p>
        </w:tc>
        <w:tc>
          <w:tcPr>
            <w:tcW w:w="1530" w:type="dxa"/>
            <w:tcBorders>
              <w:bottom w:val="nil"/>
            </w:tcBorders>
            <w:hideMark/>
          </w:tcPr>
          <w:p w14:paraId="65AA9F2A"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70</w:t>
            </w:r>
          </w:p>
        </w:tc>
        <w:tc>
          <w:tcPr>
            <w:tcW w:w="1440" w:type="dxa"/>
            <w:tcBorders>
              <w:bottom w:val="nil"/>
            </w:tcBorders>
            <w:hideMark/>
          </w:tcPr>
          <w:p w14:paraId="5DA8FCED"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34</w:t>
            </w:r>
          </w:p>
        </w:tc>
        <w:tc>
          <w:tcPr>
            <w:tcW w:w="1710" w:type="dxa"/>
            <w:tcBorders>
              <w:bottom w:val="nil"/>
            </w:tcBorders>
            <w:hideMark/>
          </w:tcPr>
          <w:p w14:paraId="36FBF4CD"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48.6</w:t>
            </w:r>
          </w:p>
        </w:tc>
      </w:tr>
      <w:tr w:rsidR="00191434" w:rsidRPr="005B115B" w14:paraId="3F89577C" w14:textId="77777777" w:rsidTr="00191434">
        <w:tc>
          <w:tcPr>
            <w:cnfStyle w:val="001000000000" w:firstRow="0" w:lastRow="0" w:firstColumn="1" w:lastColumn="0" w:oddVBand="0" w:evenVBand="0" w:oddHBand="0" w:evenHBand="0" w:firstRowFirstColumn="0" w:firstRowLastColumn="0" w:lastRowFirstColumn="0" w:lastRowLastColumn="0"/>
            <w:tcW w:w="2430" w:type="dxa"/>
            <w:tcBorders>
              <w:top w:val="nil"/>
              <w:bottom w:val="nil"/>
            </w:tcBorders>
            <w:hideMark/>
          </w:tcPr>
          <w:p w14:paraId="2D476475" w14:textId="77777777" w:rsidR="00191434" w:rsidRPr="005B115B" w:rsidRDefault="00191434"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8–10</w:t>
            </w:r>
          </w:p>
        </w:tc>
        <w:tc>
          <w:tcPr>
            <w:tcW w:w="1530" w:type="dxa"/>
            <w:tcBorders>
              <w:top w:val="nil"/>
              <w:bottom w:val="nil"/>
            </w:tcBorders>
            <w:hideMark/>
          </w:tcPr>
          <w:p w14:paraId="26E5BAD7" w14:textId="77777777" w:rsidR="00191434" w:rsidRPr="005B115B" w:rsidRDefault="00191434"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85</w:t>
            </w:r>
          </w:p>
        </w:tc>
        <w:tc>
          <w:tcPr>
            <w:tcW w:w="1440" w:type="dxa"/>
            <w:tcBorders>
              <w:top w:val="nil"/>
              <w:bottom w:val="nil"/>
            </w:tcBorders>
            <w:hideMark/>
          </w:tcPr>
          <w:p w14:paraId="563D97E1" w14:textId="77777777" w:rsidR="00191434" w:rsidRPr="005B115B" w:rsidRDefault="00191434"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47</w:t>
            </w:r>
          </w:p>
        </w:tc>
        <w:tc>
          <w:tcPr>
            <w:tcW w:w="1710" w:type="dxa"/>
            <w:tcBorders>
              <w:top w:val="nil"/>
              <w:bottom w:val="nil"/>
            </w:tcBorders>
            <w:hideMark/>
          </w:tcPr>
          <w:p w14:paraId="13F88169" w14:textId="77777777" w:rsidR="00191434" w:rsidRPr="005B115B" w:rsidRDefault="00191434"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55.3</w:t>
            </w:r>
          </w:p>
        </w:tc>
      </w:tr>
      <w:tr w:rsidR="00191434" w:rsidRPr="005B115B" w14:paraId="78BA8DA2" w14:textId="77777777" w:rsidTr="001914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top w:val="nil"/>
            </w:tcBorders>
            <w:hideMark/>
          </w:tcPr>
          <w:p w14:paraId="12EE0EAF" w14:textId="77777777" w:rsidR="00191434" w:rsidRPr="005B115B" w:rsidRDefault="00191434"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11–15</w:t>
            </w:r>
          </w:p>
        </w:tc>
        <w:tc>
          <w:tcPr>
            <w:tcW w:w="1530" w:type="dxa"/>
            <w:tcBorders>
              <w:top w:val="nil"/>
            </w:tcBorders>
            <w:hideMark/>
          </w:tcPr>
          <w:p w14:paraId="51B612DC"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85</w:t>
            </w:r>
          </w:p>
        </w:tc>
        <w:tc>
          <w:tcPr>
            <w:tcW w:w="1440" w:type="dxa"/>
            <w:tcBorders>
              <w:top w:val="nil"/>
            </w:tcBorders>
            <w:hideMark/>
          </w:tcPr>
          <w:p w14:paraId="50FE601B"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34</w:t>
            </w:r>
          </w:p>
        </w:tc>
        <w:tc>
          <w:tcPr>
            <w:tcW w:w="1710" w:type="dxa"/>
            <w:tcBorders>
              <w:top w:val="nil"/>
            </w:tcBorders>
            <w:hideMark/>
          </w:tcPr>
          <w:p w14:paraId="49B9D203" w14:textId="77777777" w:rsidR="00191434" w:rsidRPr="005B115B" w:rsidRDefault="00191434"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40.0</w:t>
            </w:r>
          </w:p>
        </w:tc>
      </w:tr>
    </w:tbl>
    <w:p w14:paraId="26A6F953" w14:textId="49DB8A8B" w:rsidR="00191434" w:rsidRPr="005B115B" w:rsidRDefault="00191434" w:rsidP="005B115B">
      <w:pPr>
        <w:spacing w:after="120" w:line="240" w:lineRule="auto"/>
        <w:jc w:val="both"/>
        <w:rPr>
          <w:rFonts w:ascii="Times New Roman" w:hAnsi="Times New Roman" w:cs="Times New Roman"/>
          <w:color w:val="000000" w:themeColor="text1"/>
        </w:rPr>
      </w:pPr>
      <w:r w:rsidRPr="005B115B">
        <w:rPr>
          <w:rStyle w:val="Strong"/>
          <w:rFonts w:ascii="Times New Roman" w:hAnsi="Times New Roman" w:cs="Times New Roman"/>
          <w:b w:val="0"/>
          <w:bCs w:val="0"/>
          <w:color w:val="000000" w:themeColor="text1"/>
        </w:rPr>
        <w:t>χ² = 6.21, df = 2, p &lt; 0.05</w:t>
      </w:r>
      <w:r w:rsidR="00EB233B" w:rsidRPr="005B115B">
        <w:rPr>
          <w:rFonts w:ascii="Times New Roman" w:hAnsi="Times New Roman" w:cs="Times New Roman"/>
          <w:color w:val="000000" w:themeColor="text1"/>
        </w:rPr>
        <w:t xml:space="preserve"> </w:t>
      </w:r>
      <w:r w:rsidRPr="005B115B">
        <w:rPr>
          <w:rFonts w:ascii="Times New Roman" w:hAnsi="Times New Roman" w:cs="Times New Roman"/>
          <w:color w:val="000000" w:themeColor="text1"/>
        </w:rPr>
        <w:t>(Significant association between age and infection)</w:t>
      </w:r>
    </w:p>
    <w:p w14:paraId="43263B87" w14:textId="0CAEA7E2" w:rsidR="00191434" w:rsidRPr="005B115B" w:rsidRDefault="000F6C64" w:rsidP="001E5E04">
      <w:pPr>
        <w:pStyle w:val="NormalWeb"/>
        <w:spacing w:before="240" w:beforeAutospacing="0" w:after="120" w:afterAutospacing="0"/>
        <w:jc w:val="both"/>
        <w:rPr>
          <w:color w:val="000000" w:themeColor="text1"/>
        </w:rPr>
      </w:pPr>
      <w:r w:rsidRPr="005B115B">
        <w:rPr>
          <w:color w:val="000000" w:themeColor="text1"/>
        </w:rPr>
        <w:lastRenderedPageBreak/>
        <w:t>Table 5 shows that males had a slightly higher prevalence (</w:t>
      </w:r>
      <w:r w:rsidRPr="005B115B">
        <w:rPr>
          <w:rStyle w:val="Strong"/>
          <w:b w:val="0"/>
          <w:bCs w:val="0"/>
          <w:color w:val="000000" w:themeColor="text1"/>
        </w:rPr>
        <w:t>50.8%</w:t>
      </w:r>
      <w:r w:rsidRPr="005B115B">
        <w:rPr>
          <w:b/>
          <w:bCs/>
          <w:color w:val="000000" w:themeColor="text1"/>
        </w:rPr>
        <w:t>)</w:t>
      </w:r>
      <w:r w:rsidRPr="005B115B">
        <w:rPr>
          <w:color w:val="000000" w:themeColor="text1"/>
        </w:rPr>
        <w:t xml:space="preserve"> compared to females (</w:t>
      </w:r>
      <w:r w:rsidRPr="005B115B">
        <w:rPr>
          <w:rStyle w:val="Strong"/>
          <w:b w:val="0"/>
          <w:bCs w:val="0"/>
          <w:color w:val="000000" w:themeColor="text1"/>
        </w:rPr>
        <w:t>44.9%</w:t>
      </w:r>
      <w:r w:rsidRPr="005B115B">
        <w:rPr>
          <w:b/>
          <w:bCs/>
          <w:color w:val="000000" w:themeColor="text1"/>
        </w:rPr>
        <w:t>).</w:t>
      </w:r>
      <w:r w:rsidRPr="005B115B">
        <w:rPr>
          <w:color w:val="000000" w:themeColor="text1"/>
        </w:rPr>
        <w:t xml:space="preserve"> However, this difference was </w:t>
      </w:r>
      <w:r w:rsidRPr="005B115B">
        <w:rPr>
          <w:rStyle w:val="Strong"/>
          <w:b w:val="0"/>
          <w:bCs w:val="0"/>
          <w:color w:val="000000" w:themeColor="text1"/>
        </w:rPr>
        <w:t>not statistically significant (χ² = 1.12, p &gt; 0.05)</w:t>
      </w:r>
      <w:r w:rsidRPr="005B115B">
        <w:rPr>
          <w:b/>
          <w:bCs/>
          <w:color w:val="000000" w:themeColor="text1"/>
        </w:rPr>
        <w:t>,</w:t>
      </w:r>
      <w:r w:rsidRPr="005B115B">
        <w:rPr>
          <w:color w:val="000000" w:themeColor="text1"/>
        </w:rPr>
        <w:t xml:space="preserve"> suggesting that </w:t>
      </w:r>
      <w:r w:rsidRPr="005B115B">
        <w:rPr>
          <w:rStyle w:val="Strong"/>
          <w:b w:val="0"/>
          <w:bCs w:val="0"/>
          <w:color w:val="000000" w:themeColor="text1"/>
        </w:rPr>
        <w:t>both genders are equally exposed</w:t>
      </w:r>
      <w:r w:rsidRPr="005B115B">
        <w:rPr>
          <w:color w:val="000000" w:themeColor="text1"/>
        </w:rPr>
        <w:t xml:space="preserve"> to infection risk factors in the study area.</w:t>
      </w:r>
    </w:p>
    <w:p w14:paraId="5E0035E5" w14:textId="65951933" w:rsidR="00191434" w:rsidRPr="005B115B" w:rsidRDefault="00191434"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Table 5: Gender Distribution of Infection</w:t>
      </w:r>
    </w:p>
    <w:tbl>
      <w:tblPr>
        <w:tblStyle w:val="PlainTable2"/>
        <w:tblW w:w="0" w:type="auto"/>
        <w:tblLook w:val="04A0" w:firstRow="1" w:lastRow="0" w:firstColumn="1" w:lastColumn="0" w:noHBand="0" w:noVBand="1"/>
      </w:tblPr>
      <w:tblGrid>
        <w:gridCol w:w="1800"/>
        <w:gridCol w:w="1980"/>
        <w:gridCol w:w="1440"/>
        <w:gridCol w:w="1800"/>
      </w:tblGrid>
      <w:tr w:rsidR="00EB233B" w:rsidRPr="005B115B" w14:paraId="4FB87CD4" w14:textId="77777777" w:rsidTr="00EB2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hideMark/>
          </w:tcPr>
          <w:p w14:paraId="062E5939" w14:textId="77777777" w:rsidR="00EB233B" w:rsidRPr="005B115B" w:rsidRDefault="00EB233B"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Gender</w:t>
            </w:r>
          </w:p>
        </w:tc>
        <w:tc>
          <w:tcPr>
            <w:tcW w:w="1980" w:type="dxa"/>
            <w:hideMark/>
          </w:tcPr>
          <w:p w14:paraId="3B2190B6"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Examined</w:t>
            </w:r>
          </w:p>
        </w:tc>
        <w:tc>
          <w:tcPr>
            <w:tcW w:w="1440" w:type="dxa"/>
            <w:hideMark/>
          </w:tcPr>
          <w:p w14:paraId="11B96804"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Infected</w:t>
            </w:r>
          </w:p>
        </w:tc>
        <w:tc>
          <w:tcPr>
            <w:tcW w:w="1800" w:type="dxa"/>
            <w:hideMark/>
          </w:tcPr>
          <w:p w14:paraId="10D82963"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Prevalence (%)</w:t>
            </w:r>
          </w:p>
        </w:tc>
      </w:tr>
      <w:tr w:rsidR="00EB233B" w:rsidRPr="005B115B" w14:paraId="18FBC78C" w14:textId="77777777" w:rsidTr="00EB2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bottom w:val="nil"/>
            </w:tcBorders>
            <w:hideMark/>
          </w:tcPr>
          <w:p w14:paraId="73999DE4" w14:textId="77777777" w:rsidR="00EB233B" w:rsidRPr="005B115B" w:rsidRDefault="00EB233B"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Male</w:t>
            </w:r>
          </w:p>
        </w:tc>
        <w:tc>
          <w:tcPr>
            <w:tcW w:w="1980" w:type="dxa"/>
            <w:tcBorders>
              <w:bottom w:val="nil"/>
            </w:tcBorders>
            <w:hideMark/>
          </w:tcPr>
          <w:p w14:paraId="674B1B9A"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122</w:t>
            </w:r>
          </w:p>
        </w:tc>
        <w:tc>
          <w:tcPr>
            <w:tcW w:w="1440" w:type="dxa"/>
            <w:tcBorders>
              <w:bottom w:val="nil"/>
            </w:tcBorders>
            <w:hideMark/>
          </w:tcPr>
          <w:p w14:paraId="476ED2D0"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62</w:t>
            </w:r>
          </w:p>
        </w:tc>
        <w:tc>
          <w:tcPr>
            <w:tcW w:w="1800" w:type="dxa"/>
            <w:tcBorders>
              <w:bottom w:val="nil"/>
            </w:tcBorders>
            <w:hideMark/>
          </w:tcPr>
          <w:p w14:paraId="019A56AC"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50.8</w:t>
            </w:r>
          </w:p>
        </w:tc>
      </w:tr>
      <w:tr w:rsidR="00EB233B" w:rsidRPr="005B115B" w14:paraId="660BCF58" w14:textId="77777777" w:rsidTr="00EB233B">
        <w:tc>
          <w:tcPr>
            <w:cnfStyle w:val="001000000000" w:firstRow="0" w:lastRow="0" w:firstColumn="1" w:lastColumn="0" w:oddVBand="0" w:evenVBand="0" w:oddHBand="0" w:evenHBand="0" w:firstRowFirstColumn="0" w:firstRowLastColumn="0" w:lastRowFirstColumn="0" w:lastRowLastColumn="0"/>
            <w:tcW w:w="1800" w:type="dxa"/>
            <w:tcBorders>
              <w:top w:val="nil"/>
              <w:bottom w:val="single" w:sz="4" w:space="0" w:color="7F7F7F" w:themeColor="text1" w:themeTint="80"/>
            </w:tcBorders>
            <w:hideMark/>
          </w:tcPr>
          <w:p w14:paraId="0E230F25" w14:textId="77777777" w:rsidR="00EB233B" w:rsidRPr="005B115B" w:rsidRDefault="00EB233B"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Female</w:t>
            </w:r>
          </w:p>
        </w:tc>
        <w:tc>
          <w:tcPr>
            <w:tcW w:w="1980" w:type="dxa"/>
            <w:tcBorders>
              <w:top w:val="nil"/>
              <w:bottom w:val="single" w:sz="4" w:space="0" w:color="7F7F7F" w:themeColor="text1" w:themeTint="80"/>
            </w:tcBorders>
            <w:hideMark/>
          </w:tcPr>
          <w:p w14:paraId="7208AFC7"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118</w:t>
            </w:r>
          </w:p>
        </w:tc>
        <w:tc>
          <w:tcPr>
            <w:tcW w:w="1440" w:type="dxa"/>
            <w:tcBorders>
              <w:top w:val="nil"/>
              <w:bottom w:val="single" w:sz="4" w:space="0" w:color="7F7F7F" w:themeColor="text1" w:themeTint="80"/>
            </w:tcBorders>
            <w:hideMark/>
          </w:tcPr>
          <w:p w14:paraId="524C69BA"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53</w:t>
            </w:r>
          </w:p>
        </w:tc>
        <w:tc>
          <w:tcPr>
            <w:tcW w:w="1800" w:type="dxa"/>
            <w:tcBorders>
              <w:top w:val="nil"/>
              <w:bottom w:val="single" w:sz="4" w:space="0" w:color="7F7F7F" w:themeColor="text1" w:themeTint="80"/>
            </w:tcBorders>
            <w:hideMark/>
          </w:tcPr>
          <w:p w14:paraId="5880F38A"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44.9</w:t>
            </w:r>
          </w:p>
        </w:tc>
      </w:tr>
    </w:tbl>
    <w:p w14:paraId="088B060E" w14:textId="36F25F91" w:rsidR="00191434" w:rsidRPr="005B115B" w:rsidRDefault="000F6C64" w:rsidP="001E5E04">
      <w:pPr>
        <w:spacing w:before="240" w:after="120" w:line="240" w:lineRule="auto"/>
        <w:jc w:val="both"/>
        <w:rPr>
          <w:rFonts w:ascii="Times New Roman" w:eastAsia="Times New Roman" w:hAnsi="Times New Roman" w:cs="Times New Roman"/>
          <w:b/>
          <w:bCs/>
          <w:color w:val="000000" w:themeColor="text1"/>
          <w:kern w:val="0"/>
          <w14:ligatures w14:val="none"/>
        </w:rPr>
      </w:pPr>
      <w:r w:rsidRPr="005B115B">
        <w:rPr>
          <w:rFonts w:ascii="Times New Roman" w:hAnsi="Times New Roman" w:cs="Times New Roman"/>
          <w:color w:val="000000" w:themeColor="text1"/>
        </w:rPr>
        <w:t xml:space="preserve">According to Table 6, </w:t>
      </w:r>
      <w:r w:rsidRPr="005B115B">
        <w:rPr>
          <w:rStyle w:val="Emphasis"/>
          <w:rFonts w:ascii="Times New Roman" w:hAnsi="Times New Roman" w:cs="Times New Roman"/>
          <w:color w:val="000000" w:themeColor="text1"/>
        </w:rPr>
        <w:t>E. histolytica</w:t>
      </w:r>
      <w:r w:rsidRPr="005B115B">
        <w:rPr>
          <w:rFonts w:ascii="Times New Roman" w:hAnsi="Times New Roman" w:cs="Times New Roman"/>
          <w:color w:val="000000" w:themeColor="text1"/>
        </w:rPr>
        <w:t xml:space="preserve"> exhibited a higher growth rate (</w:t>
      </w:r>
      <w:r w:rsidRPr="005B115B">
        <w:rPr>
          <w:rStyle w:val="Strong"/>
          <w:rFonts w:ascii="Times New Roman" w:hAnsi="Times New Roman" w:cs="Times New Roman"/>
          <w:b w:val="0"/>
          <w:bCs w:val="0"/>
          <w:color w:val="000000" w:themeColor="text1"/>
        </w:rPr>
        <w:t>46.7 ± 1.5ᵃ cells/field</w:t>
      </w:r>
      <w:r w:rsidRPr="005B115B">
        <w:rPr>
          <w:rFonts w:ascii="Times New Roman" w:hAnsi="Times New Roman" w:cs="Times New Roman"/>
          <w:color w:val="000000" w:themeColor="text1"/>
        </w:rPr>
        <w:t xml:space="preserve">) compared to </w:t>
      </w:r>
      <w:r w:rsidRPr="005B115B">
        <w:rPr>
          <w:rStyle w:val="Emphasis"/>
          <w:rFonts w:ascii="Times New Roman" w:hAnsi="Times New Roman" w:cs="Times New Roman"/>
          <w:color w:val="000000" w:themeColor="text1"/>
        </w:rPr>
        <w:t>G. lamblia</w:t>
      </w:r>
      <w:r w:rsidRPr="005B115B">
        <w:rPr>
          <w:rFonts w:ascii="Times New Roman" w:hAnsi="Times New Roman" w:cs="Times New Roman"/>
          <w:color w:val="000000" w:themeColor="text1"/>
        </w:rPr>
        <w:t xml:space="preserve"> (</w:t>
      </w:r>
      <w:r w:rsidRPr="005B115B">
        <w:rPr>
          <w:rStyle w:val="Strong"/>
          <w:rFonts w:ascii="Times New Roman" w:hAnsi="Times New Roman" w:cs="Times New Roman"/>
          <w:b w:val="0"/>
          <w:bCs w:val="0"/>
          <w:color w:val="000000" w:themeColor="text1"/>
        </w:rPr>
        <w:t>32.0 ± 2.0ᵇ cells/field</w:t>
      </w:r>
      <w:r w:rsidRPr="005B115B">
        <w:rPr>
          <w:rFonts w:ascii="Times New Roman" w:hAnsi="Times New Roman" w:cs="Times New Roman"/>
          <w:color w:val="000000" w:themeColor="text1"/>
        </w:rPr>
        <w:t xml:space="preserve">). The difference was </w:t>
      </w:r>
      <w:r w:rsidRPr="005B115B">
        <w:rPr>
          <w:rStyle w:val="Strong"/>
          <w:rFonts w:ascii="Times New Roman" w:hAnsi="Times New Roman" w:cs="Times New Roman"/>
          <w:b w:val="0"/>
          <w:bCs w:val="0"/>
          <w:color w:val="000000" w:themeColor="text1"/>
        </w:rPr>
        <w:t>statistically significant (t = 9.21, p &lt; 0.05)</w:t>
      </w:r>
      <w:r w:rsidRPr="005B115B">
        <w:rPr>
          <w:rFonts w:ascii="Times New Roman" w:hAnsi="Times New Roman" w:cs="Times New Roman"/>
          <w:b/>
          <w:bCs/>
          <w:color w:val="000000" w:themeColor="text1"/>
        </w:rPr>
        <w:t>,</w:t>
      </w:r>
      <w:r w:rsidRPr="005B115B">
        <w:rPr>
          <w:rFonts w:ascii="Times New Roman" w:hAnsi="Times New Roman" w:cs="Times New Roman"/>
          <w:color w:val="000000" w:themeColor="text1"/>
        </w:rPr>
        <w:t xml:space="preserve"> indicating that </w:t>
      </w:r>
      <w:r w:rsidRPr="005B115B">
        <w:rPr>
          <w:rStyle w:val="Emphasis"/>
          <w:rFonts w:ascii="Times New Roman" w:hAnsi="Times New Roman" w:cs="Times New Roman"/>
          <w:color w:val="000000" w:themeColor="text1"/>
        </w:rPr>
        <w:t>E. histolytica</w:t>
      </w:r>
      <w:r w:rsidRPr="005B115B">
        <w:rPr>
          <w:rFonts w:ascii="Times New Roman" w:hAnsi="Times New Roman" w:cs="Times New Roman"/>
          <w:color w:val="000000" w:themeColor="text1"/>
        </w:rPr>
        <w:t xml:space="preserve"> has a </w:t>
      </w:r>
      <w:r w:rsidRPr="005B115B">
        <w:rPr>
          <w:rStyle w:val="Strong"/>
          <w:rFonts w:ascii="Times New Roman" w:hAnsi="Times New Roman" w:cs="Times New Roman"/>
          <w:b w:val="0"/>
          <w:bCs w:val="0"/>
          <w:color w:val="000000" w:themeColor="text1"/>
        </w:rPr>
        <w:t>greater adaptability and proliferation capacity under culture conditions</w:t>
      </w:r>
      <w:r w:rsidRPr="005B115B">
        <w:rPr>
          <w:rFonts w:ascii="Times New Roman" w:hAnsi="Times New Roman" w:cs="Times New Roman"/>
          <w:color w:val="000000" w:themeColor="text1"/>
        </w:rPr>
        <w:t>, which may contribute to its persistence in infected hosts.</w:t>
      </w:r>
    </w:p>
    <w:p w14:paraId="22F76237" w14:textId="0E62B144" w:rsidR="00EB233B" w:rsidRPr="005B115B" w:rsidRDefault="00EB233B"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Table 6: Triplicate Growth Rate of Protozoa in Culture (Cells/Field)</w:t>
      </w:r>
    </w:p>
    <w:tbl>
      <w:tblPr>
        <w:tblStyle w:val="PlainTable2"/>
        <w:tblW w:w="0" w:type="auto"/>
        <w:tblLook w:val="04A0" w:firstRow="1" w:lastRow="0" w:firstColumn="1" w:lastColumn="0" w:noHBand="0" w:noVBand="1"/>
      </w:tblPr>
      <w:tblGrid>
        <w:gridCol w:w="1483"/>
        <w:gridCol w:w="1303"/>
        <w:gridCol w:w="1303"/>
        <w:gridCol w:w="1303"/>
        <w:gridCol w:w="1808"/>
      </w:tblGrid>
      <w:tr w:rsidR="00EB233B" w:rsidRPr="005B115B" w14:paraId="5DA4A130" w14:textId="77777777" w:rsidTr="00EB2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1618D8" w14:textId="77777777" w:rsidR="00EB233B" w:rsidRPr="005B115B" w:rsidRDefault="00EB233B" w:rsidP="005B115B">
            <w:pPr>
              <w:spacing w:after="120"/>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Parasite</w:t>
            </w:r>
          </w:p>
        </w:tc>
        <w:tc>
          <w:tcPr>
            <w:tcW w:w="0" w:type="auto"/>
            <w:hideMark/>
          </w:tcPr>
          <w:p w14:paraId="09C3E898"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1</w:t>
            </w:r>
          </w:p>
        </w:tc>
        <w:tc>
          <w:tcPr>
            <w:tcW w:w="0" w:type="auto"/>
            <w:hideMark/>
          </w:tcPr>
          <w:p w14:paraId="3BBEC5B1"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2</w:t>
            </w:r>
          </w:p>
        </w:tc>
        <w:tc>
          <w:tcPr>
            <w:tcW w:w="0" w:type="auto"/>
            <w:hideMark/>
          </w:tcPr>
          <w:p w14:paraId="20B2F32A"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Replicate 3</w:t>
            </w:r>
          </w:p>
        </w:tc>
        <w:tc>
          <w:tcPr>
            <w:tcW w:w="1808" w:type="dxa"/>
            <w:hideMark/>
          </w:tcPr>
          <w:p w14:paraId="0C276043" w14:textId="77777777" w:rsidR="00EB233B" w:rsidRPr="005B115B" w:rsidRDefault="00EB233B" w:rsidP="005B115B">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color w:val="000000" w:themeColor="text1"/>
                <w:kern w:val="0"/>
                <w14:ligatures w14:val="none"/>
              </w:rPr>
              <w:t>Mean ± SD</w:t>
            </w:r>
          </w:p>
        </w:tc>
      </w:tr>
      <w:tr w:rsidR="00EB233B" w:rsidRPr="005B115B" w14:paraId="3D5B089B" w14:textId="77777777" w:rsidTr="00EB2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FC886C8" w14:textId="77777777" w:rsidR="00EB233B" w:rsidRPr="005B115B" w:rsidRDefault="00EB233B"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E. histolytica</w:t>
            </w:r>
          </w:p>
        </w:tc>
        <w:tc>
          <w:tcPr>
            <w:tcW w:w="0" w:type="auto"/>
            <w:tcBorders>
              <w:bottom w:val="nil"/>
            </w:tcBorders>
            <w:hideMark/>
          </w:tcPr>
          <w:p w14:paraId="1AE7600E"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45</w:t>
            </w:r>
          </w:p>
        </w:tc>
        <w:tc>
          <w:tcPr>
            <w:tcW w:w="0" w:type="auto"/>
            <w:tcBorders>
              <w:bottom w:val="nil"/>
            </w:tcBorders>
            <w:hideMark/>
          </w:tcPr>
          <w:p w14:paraId="395CB1CF"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48</w:t>
            </w:r>
          </w:p>
        </w:tc>
        <w:tc>
          <w:tcPr>
            <w:tcW w:w="0" w:type="auto"/>
            <w:tcBorders>
              <w:bottom w:val="nil"/>
            </w:tcBorders>
            <w:hideMark/>
          </w:tcPr>
          <w:p w14:paraId="341E18EF"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47</w:t>
            </w:r>
          </w:p>
        </w:tc>
        <w:tc>
          <w:tcPr>
            <w:tcW w:w="1808" w:type="dxa"/>
            <w:tcBorders>
              <w:bottom w:val="nil"/>
            </w:tcBorders>
            <w:hideMark/>
          </w:tcPr>
          <w:p w14:paraId="01AF4E49" w14:textId="77777777" w:rsidR="00EB233B" w:rsidRPr="005B115B" w:rsidRDefault="00EB233B" w:rsidP="005B115B">
            <w:pPr>
              <w:spacing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46.7 ± 1.5ᵃ</w:t>
            </w:r>
          </w:p>
        </w:tc>
      </w:tr>
      <w:tr w:rsidR="00EB233B" w:rsidRPr="005B115B" w14:paraId="5E00468C" w14:textId="77777777" w:rsidTr="00EB233B">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68660417" w14:textId="77777777" w:rsidR="00EB233B" w:rsidRPr="005B115B" w:rsidRDefault="00EB233B" w:rsidP="005B115B">
            <w:pPr>
              <w:spacing w:after="120" w:line="360" w:lineRule="auto"/>
              <w:jc w:val="both"/>
              <w:rPr>
                <w:rFonts w:ascii="Times New Roman" w:eastAsia="Times New Roman" w:hAnsi="Times New Roman" w:cs="Times New Roman"/>
                <w:b w:val="0"/>
                <w:bCs w:val="0"/>
                <w:color w:val="000000" w:themeColor="text1"/>
                <w:kern w:val="0"/>
                <w14:ligatures w14:val="none"/>
              </w:rPr>
            </w:pPr>
            <w:r w:rsidRPr="005B115B">
              <w:rPr>
                <w:rFonts w:ascii="Times New Roman" w:eastAsia="Times New Roman" w:hAnsi="Times New Roman" w:cs="Times New Roman"/>
                <w:b w:val="0"/>
                <w:bCs w:val="0"/>
                <w:i/>
                <w:iCs/>
                <w:color w:val="000000" w:themeColor="text1"/>
                <w:kern w:val="0"/>
                <w14:ligatures w14:val="none"/>
              </w:rPr>
              <w:t>G. lamblia</w:t>
            </w:r>
          </w:p>
        </w:tc>
        <w:tc>
          <w:tcPr>
            <w:tcW w:w="0" w:type="auto"/>
            <w:tcBorders>
              <w:top w:val="nil"/>
              <w:bottom w:val="single" w:sz="4" w:space="0" w:color="7F7F7F" w:themeColor="text1" w:themeTint="80"/>
            </w:tcBorders>
            <w:hideMark/>
          </w:tcPr>
          <w:p w14:paraId="2CB7D8C6"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30</w:t>
            </w:r>
          </w:p>
        </w:tc>
        <w:tc>
          <w:tcPr>
            <w:tcW w:w="0" w:type="auto"/>
            <w:tcBorders>
              <w:top w:val="nil"/>
              <w:bottom w:val="single" w:sz="4" w:space="0" w:color="7F7F7F" w:themeColor="text1" w:themeTint="80"/>
            </w:tcBorders>
            <w:hideMark/>
          </w:tcPr>
          <w:p w14:paraId="2403E56B"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34</w:t>
            </w:r>
          </w:p>
        </w:tc>
        <w:tc>
          <w:tcPr>
            <w:tcW w:w="0" w:type="auto"/>
            <w:tcBorders>
              <w:top w:val="nil"/>
              <w:bottom w:val="single" w:sz="4" w:space="0" w:color="7F7F7F" w:themeColor="text1" w:themeTint="80"/>
            </w:tcBorders>
            <w:hideMark/>
          </w:tcPr>
          <w:p w14:paraId="44850A45"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32</w:t>
            </w:r>
          </w:p>
        </w:tc>
        <w:tc>
          <w:tcPr>
            <w:tcW w:w="1808" w:type="dxa"/>
            <w:tcBorders>
              <w:top w:val="nil"/>
              <w:bottom w:val="single" w:sz="4" w:space="0" w:color="7F7F7F" w:themeColor="text1" w:themeTint="80"/>
            </w:tcBorders>
            <w:hideMark/>
          </w:tcPr>
          <w:p w14:paraId="3EE7CF16" w14:textId="77777777" w:rsidR="00EB233B" w:rsidRPr="005B115B" w:rsidRDefault="00EB233B" w:rsidP="005B115B">
            <w:pPr>
              <w:spacing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32.0 ± 2.0ᵇ</w:t>
            </w:r>
          </w:p>
        </w:tc>
      </w:tr>
    </w:tbl>
    <w:p w14:paraId="5BD61AAE" w14:textId="72EFE5AA" w:rsidR="00EB233B" w:rsidRPr="005B115B" w:rsidRDefault="00EB233B" w:rsidP="005B115B">
      <w:pPr>
        <w:spacing w:after="120" w:line="240" w:lineRule="auto"/>
        <w:jc w:val="both"/>
        <w:rPr>
          <w:rFonts w:ascii="Times New Roman" w:eastAsia="Times New Roman" w:hAnsi="Times New Roman" w:cs="Times New Roman"/>
          <w:b/>
          <w:bCs/>
          <w:color w:val="000000" w:themeColor="text1"/>
          <w:kern w:val="0"/>
          <w14:ligatures w14:val="none"/>
        </w:rPr>
      </w:pPr>
      <w:r w:rsidRPr="005B115B">
        <w:rPr>
          <w:rStyle w:val="Strong"/>
          <w:rFonts w:ascii="Times New Roman" w:hAnsi="Times New Roman" w:cs="Times New Roman"/>
          <w:b w:val="0"/>
          <w:bCs w:val="0"/>
          <w:color w:val="000000" w:themeColor="text1"/>
        </w:rPr>
        <w:t>T-test</w:t>
      </w:r>
      <w:r w:rsidRPr="005B115B">
        <w:rPr>
          <w:rStyle w:val="Strong"/>
          <w:rFonts w:ascii="Times New Roman" w:hAnsi="Times New Roman" w:cs="Times New Roman"/>
          <w:color w:val="000000" w:themeColor="text1"/>
        </w:rPr>
        <w:t>:</w:t>
      </w:r>
      <w:r w:rsidRPr="005B115B">
        <w:rPr>
          <w:rFonts w:ascii="Times New Roman" w:hAnsi="Times New Roman" w:cs="Times New Roman"/>
          <w:color w:val="000000" w:themeColor="text1"/>
        </w:rPr>
        <w:t xml:space="preserve"> t = 9.21, p &lt; 0.05 (Significant difference in growth rate)</w:t>
      </w:r>
    </w:p>
    <w:p w14:paraId="5908BBF7" w14:textId="79511B86" w:rsidR="00EB233B" w:rsidRPr="005B115B" w:rsidRDefault="000F6C64" w:rsidP="001E5E04">
      <w:pPr>
        <w:spacing w:before="240" w:after="120" w:line="240" w:lineRule="auto"/>
        <w:jc w:val="both"/>
        <w:rPr>
          <w:rFonts w:ascii="Times New Roman" w:eastAsia="Times New Roman" w:hAnsi="Times New Roman" w:cs="Times New Roman"/>
          <w:b/>
          <w:bCs/>
          <w:color w:val="000000" w:themeColor="text1"/>
          <w:kern w:val="0"/>
          <w14:ligatures w14:val="none"/>
        </w:rPr>
      </w:pPr>
      <w:r w:rsidRPr="005B115B">
        <w:rPr>
          <w:rFonts w:ascii="Times New Roman" w:hAnsi="Times New Roman" w:cs="Times New Roman"/>
          <w:color w:val="000000" w:themeColor="text1"/>
        </w:rPr>
        <w:t>Table 7 demonstrates that children exposed to untreated water had the highest infection rate (</w:t>
      </w:r>
      <w:r w:rsidR="00E573D0">
        <w:rPr>
          <w:rFonts w:ascii="Times New Roman" w:hAnsi="Times New Roman" w:cs="Times New Roman"/>
          <w:color w:val="000000" w:themeColor="text1"/>
        </w:rPr>
        <w:t>30.0</w:t>
      </w:r>
      <w:r w:rsidRPr="005B115B">
        <w:rPr>
          <w:rStyle w:val="Strong"/>
          <w:rFonts w:ascii="Times New Roman" w:hAnsi="Times New Roman" w:cs="Times New Roman"/>
          <w:b w:val="0"/>
          <w:bCs w:val="0"/>
          <w:color w:val="000000" w:themeColor="text1"/>
        </w:rPr>
        <w:t>%</w:t>
      </w:r>
      <w:r w:rsidRPr="005B115B">
        <w:rPr>
          <w:rFonts w:ascii="Times New Roman" w:hAnsi="Times New Roman" w:cs="Times New Roman"/>
          <w:b/>
          <w:bCs/>
          <w:color w:val="000000" w:themeColor="text1"/>
        </w:rPr>
        <w:t>),</w:t>
      </w:r>
      <w:r w:rsidRPr="005B115B">
        <w:rPr>
          <w:rFonts w:ascii="Times New Roman" w:hAnsi="Times New Roman" w:cs="Times New Roman"/>
          <w:color w:val="000000" w:themeColor="text1"/>
        </w:rPr>
        <w:t xml:space="preserve"> followed by open defecation (</w:t>
      </w:r>
      <w:r w:rsidR="00E573D0">
        <w:rPr>
          <w:rStyle w:val="Strong"/>
          <w:rFonts w:ascii="Times New Roman" w:hAnsi="Times New Roman" w:cs="Times New Roman"/>
          <w:b w:val="0"/>
          <w:bCs w:val="0"/>
          <w:color w:val="000000" w:themeColor="text1"/>
        </w:rPr>
        <w:t>28.3</w:t>
      </w:r>
      <w:r w:rsidRPr="005B115B">
        <w:rPr>
          <w:rStyle w:val="Strong"/>
          <w:rFonts w:ascii="Times New Roman" w:hAnsi="Times New Roman" w:cs="Times New Roman"/>
          <w:b w:val="0"/>
          <w:bCs w:val="0"/>
          <w:color w:val="000000" w:themeColor="text1"/>
        </w:rPr>
        <w:t>%</w:t>
      </w:r>
      <w:r w:rsidRPr="005B115B">
        <w:rPr>
          <w:rFonts w:ascii="Times New Roman" w:hAnsi="Times New Roman" w:cs="Times New Roman"/>
          <w:color w:val="000000" w:themeColor="text1"/>
        </w:rPr>
        <w:t>) and barefoot walking (</w:t>
      </w:r>
      <w:r w:rsidR="00E573D0">
        <w:rPr>
          <w:rStyle w:val="Strong"/>
          <w:rFonts w:ascii="Times New Roman" w:hAnsi="Times New Roman" w:cs="Times New Roman"/>
          <w:b w:val="0"/>
          <w:bCs w:val="0"/>
          <w:color w:val="000000" w:themeColor="text1"/>
        </w:rPr>
        <w:t>26.3</w:t>
      </w:r>
      <w:r w:rsidRPr="005B115B">
        <w:rPr>
          <w:rStyle w:val="Strong"/>
          <w:rFonts w:ascii="Times New Roman" w:hAnsi="Times New Roman" w:cs="Times New Roman"/>
          <w:b w:val="0"/>
          <w:bCs w:val="0"/>
          <w:color w:val="000000" w:themeColor="text1"/>
        </w:rPr>
        <w:t>%</w:t>
      </w:r>
      <w:r w:rsidRPr="005B115B">
        <w:rPr>
          <w:rFonts w:ascii="Times New Roman" w:hAnsi="Times New Roman" w:cs="Times New Roman"/>
          <w:color w:val="000000" w:themeColor="text1"/>
        </w:rPr>
        <w:t xml:space="preserve">). All risk factors showed </w:t>
      </w:r>
      <w:r w:rsidRPr="005B115B">
        <w:rPr>
          <w:rStyle w:val="Strong"/>
          <w:rFonts w:ascii="Times New Roman" w:hAnsi="Times New Roman" w:cs="Times New Roman"/>
          <w:b w:val="0"/>
          <w:bCs w:val="0"/>
          <w:color w:val="000000" w:themeColor="text1"/>
        </w:rPr>
        <w:t>significant associations (χ² = 8.76–12.45, p &lt; 0.05)</w:t>
      </w:r>
      <w:r w:rsidRPr="005B115B">
        <w:rPr>
          <w:rFonts w:ascii="Times New Roman" w:hAnsi="Times New Roman" w:cs="Times New Roman"/>
          <w:color w:val="000000" w:themeColor="text1"/>
        </w:rPr>
        <w:t xml:space="preserve">. This confirms that </w:t>
      </w:r>
      <w:r w:rsidRPr="005B115B">
        <w:rPr>
          <w:rStyle w:val="Strong"/>
          <w:rFonts w:ascii="Times New Roman" w:hAnsi="Times New Roman" w:cs="Times New Roman"/>
          <w:b w:val="0"/>
          <w:bCs w:val="0"/>
          <w:color w:val="000000" w:themeColor="text1"/>
        </w:rPr>
        <w:t>environmental and behavioral factors play a critical role in transmission</w:t>
      </w:r>
      <w:r w:rsidRPr="005B115B">
        <w:rPr>
          <w:rFonts w:ascii="Times New Roman" w:hAnsi="Times New Roman" w:cs="Times New Roman"/>
          <w:b/>
          <w:bCs/>
          <w:color w:val="000000" w:themeColor="text1"/>
        </w:rPr>
        <w:t>.</w:t>
      </w:r>
    </w:p>
    <w:p w14:paraId="7F8C1628" w14:textId="042A87D4" w:rsidR="00191434" w:rsidRPr="00DB632E" w:rsidRDefault="00EB233B" w:rsidP="005B115B">
      <w:pPr>
        <w:spacing w:after="120" w:line="240" w:lineRule="auto"/>
        <w:jc w:val="both"/>
        <w:rPr>
          <w:rFonts w:ascii="Times New Roman" w:hAnsi="Times New Roman" w:cs="Times New Roman"/>
          <w:color w:val="000000" w:themeColor="text1"/>
        </w:rPr>
      </w:pPr>
      <w:r w:rsidRPr="00DB632E">
        <w:rPr>
          <w:rFonts w:ascii="Times New Roman" w:hAnsi="Times New Roman" w:cs="Times New Roman"/>
          <w:color w:val="000000" w:themeColor="text1"/>
        </w:rPr>
        <w:t>Table 7: Association Between Risk Factors and Infection</w:t>
      </w:r>
    </w:p>
    <w:tbl>
      <w:tblPr>
        <w:tblStyle w:val="PlainTable2"/>
        <w:tblW w:w="0" w:type="auto"/>
        <w:tblLook w:val="04A0" w:firstRow="1" w:lastRow="0" w:firstColumn="1" w:lastColumn="0" w:noHBand="0" w:noVBand="1"/>
      </w:tblPr>
      <w:tblGrid>
        <w:gridCol w:w="1889"/>
        <w:gridCol w:w="1123"/>
        <w:gridCol w:w="1422"/>
        <w:gridCol w:w="1842"/>
        <w:gridCol w:w="723"/>
        <w:gridCol w:w="756"/>
        <w:gridCol w:w="936"/>
      </w:tblGrid>
      <w:tr w:rsidR="0083319B" w:rsidRPr="0083319B" w14:paraId="4BA9BD97" w14:textId="77777777" w:rsidTr="00833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6D674A" w14:textId="77777777" w:rsidR="0083319B" w:rsidRPr="0083319B" w:rsidRDefault="0083319B" w:rsidP="0083319B">
            <w:pPr>
              <w:jc w:val="center"/>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Risk Factor</w:t>
            </w:r>
          </w:p>
        </w:tc>
        <w:tc>
          <w:tcPr>
            <w:tcW w:w="0" w:type="auto"/>
            <w:hideMark/>
          </w:tcPr>
          <w:p w14:paraId="16203FC7" w14:textId="77777777"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Exposure</w:t>
            </w:r>
          </w:p>
        </w:tc>
        <w:tc>
          <w:tcPr>
            <w:tcW w:w="0" w:type="auto"/>
            <w:hideMark/>
          </w:tcPr>
          <w:p w14:paraId="6E3B6A1D" w14:textId="301EB6D0"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Infected</w:t>
            </w:r>
            <w:r w:rsidR="00DB632E">
              <w:rPr>
                <w:rFonts w:ascii="Times New Roman" w:eastAsia="Times New Roman" w:hAnsi="Times New Roman" w:cs="Times New Roman"/>
                <w:b w:val="0"/>
                <w:bCs w:val="0"/>
                <w:kern w:val="0"/>
                <w14:ligatures w14:val="none"/>
              </w:rPr>
              <w:t xml:space="preserve"> (%)</w:t>
            </w:r>
          </w:p>
        </w:tc>
        <w:tc>
          <w:tcPr>
            <w:tcW w:w="0" w:type="auto"/>
            <w:hideMark/>
          </w:tcPr>
          <w:p w14:paraId="7862DCE8" w14:textId="6B7D85BC"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Not Infected</w:t>
            </w:r>
            <w:r w:rsidR="00DB632E">
              <w:rPr>
                <w:rFonts w:ascii="Times New Roman" w:eastAsia="Times New Roman" w:hAnsi="Times New Roman" w:cs="Times New Roman"/>
                <w:b w:val="0"/>
                <w:bCs w:val="0"/>
                <w:kern w:val="0"/>
                <w14:ligatures w14:val="none"/>
              </w:rPr>
              <w:t xml:space="preserve"> (%)</w:t>
            </w:r>
          </w:p>
        </w:tc>
        <w:tc>
          <w:tcPr>
            <w:tcW w:w="0" w:type="auto"/>
            <w:hideMark/>
          </w:tcPr>
          <w:p w14:paraId="03C1B296" w14:textId="77777777"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Total</w:t>
            </w:r>
          </w:p>
        </w:tc>
        <w:tc>
          <w:tcPr>
            <w:tcW w:w="0" w:type="auto"/>
            <w:hideMark/>
          </w:tcPr>
          <w:p w14:paraId="38ECD32C" w14:textId="77777777"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χ²</w:t>
            </w:r>
          </w:p>
        </w:tc>
        <w:tc>
          <w:tcPr>
            <w:tcW w:w="0" w:type="auto"/>
            <w:hideMark/>
          </w:tcPr>
          <w:p w14:paraId="706E1F0A" w14:textId="77777777" w:rsidR="0083319B" w:rsidRPr="0083319B" w:rsidRDefault="0083319B" w:rsidP="0083319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p-value</w:t>
            </w:r>
          </w:p>
        </w:tc>
      </w:tr>
      <w:tr w:rsidR="0083319B" w:rsidRPr="0083319B" w14:paraId="0EE28B75" w14:textId="77777777" w:rsidTr="00833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9DB268B" w14:textId="77777777" w:rsidR="0083319B" w:rsidRPr="0083319B" w:rsidRDefault="0083319B" w:rsidP="0083319B">
            <w:pPr>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Untreated water</w:t>
            </w:r>
          </w:p>
        </w:tc>
        <w:tc>
          <w:tcPr>
            <w:tcW w:w="0" w:type="auto"/>
            <w:tcBorders>
              <w:bottom w:val="nil"/>
            </w:tcBorders>
            <w:hideMark/>
          </w:tcPr>
          <w:p w14:paraId="7762706B"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Yes</w:t>
            </w:r>
          </w:p>
        </w:tc>
        <w:tc>
          <w:tcPr>
            <w:tcW w:w="0" w:type="auto"/>
            <w:tcBorders>
              <w:bottom w:val="nil"/>
            </w:tcBorders>
            <w:hideMark/>
          </w:tcPr>
          <w:p w14:paraId="167FB57B" w14:textId="49806440"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72</w:t>
            </w:r>
            <w:r w:rsidR="00DB632E">
              <w:rPr>
                <w:rFonts w:ascii="Times New Roman" w:eastAsia="Times New Roman" w:hAnsi="Times New Roman" w:cs="Times New Roman"/>
                <w:kern w:val="0"/>
                <w14:ligatures w14:val="none"/>
              </w:rPr>
              <w:t xml:space="preserve"> (30.0)</w:t>
            </w:r>
          </w:p>
        </w:tc>
        <w:tc>
          <w:tcPr>
            <w:tcW w:w="0" w:type="auto"/>
            <w:tcBorders>
              <w:bottom w:val="nil"/>
            </w:tcBorders>
            <w:hideMark/>
          </w:tcPr>
          <w:p w14:paraId="3C61E5DB" w14:textId="30348510"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40</w:t>
            </w:r>
            <w:r w:rsidR="00DB632E">
              <w:rPr>
                <w:rFonts w:ascii="Times New Roman" w:eastAsia="Times New Roman" w:hAnsi="Times New Roman" w:cs="Times New Roman"/>
                <w:kern w:val="0"/>
                <w14:ligatures w14:val="none"/>
              </w:rPr>
              <w:t xml:space="preserve"> (16.7)</w:t>
            </w:r>
          </w:p>
        </w:tc>
        <w:tc>
          <w:tcPr>
            <w:tcW w:w="0" w:type="auto"/>
            <w:tcBorders>
              <w:bottom w:val="nil"/>
            </w:tcBorders>
            <w:hideMark/>
          </w:tcPr>
          <w:p w14:paraId="12BBE8EA"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112</w:t>
            </w:r>
          </w:p>
        </w:tc>
        <w:tc>
          <w:tcPr>
            <w:tcW w:w="0" w:type="auto"/>
            <w:tcBorders>
              <w:bottom w:val="nil"/>
            </w:tcBorders>
            <w:hideMark/>
          </w:tcPr>
          <w:p w14:paraId="4DE31121"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12.45</w:t>
            </w:r>
          </w:p>
        </w:tc>
        <w:tc>
          <w:tcPr>
            <w:tcW w:w="0" w:type="auto"/>
            <w:tcBorders>
              <w:bottom w:val="nil"/>
            </w:tcBorders>
            <w:hideMark/>
          </w:tcPr>
          <w:p w14:paraId="1B14FAB4"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&lt;0.05</w:t>
            </w:r>
          </w:p>
        </w:tc>
      </w:tr>
      <w:tr w:rsidR="0083319B" w:rsidRPr="0083319B" w14:paraId="5FACAC13" w14:textId="77777777" w:rsidTr="0083319B">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40CC698" w14:textId="77777777" w:rsidR="0083319B" w:rsidRPr="0083319B" w:rsidRDefault="0083319B" w:rsidP="0083319B">
            <w:pPr>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192B8CD0"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No</w:t>
            </w:r>
          </w:p>
        </w:tc>
        <w:tc>
          <w:tcPr>
            <w:tcW w:w="0" w:type="auto"/>
            <w:tcBorders>
              <w:top w:val="nil"/>
              <w:bottom w:val="nil"/>
            </w:tcBorders>
            <w:hideMark/>
          </w:tcPr>
          <w:p w14:paraId="36C5C800" w14:textId="64E56F3F"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43</w:t>
            </w:r>
            <w:r w:rsidR="00DB632E">
              <w:rPr>
                <w:rFonts w:ascii="Times New Roman" w:eastAsia="Times New Roman" w:hAnsi="Times New Roman" w:cs="Times New Roman"/>
                <w:kern w:val="0"/>
                <w14:ligatures w14:val="none"/>
              </w:rPr>
              <w:t xml:space="preserve"> </w:t>
            </w:r>
          </w:p>
        </w:tc>
        <w:tc>
          <w:tcPr>
            <w:tcW w:w="0" w:type="auto"/>
            <w:tcBorders>
              <w:top w:val="nil"/>
              <w:bottom w:val="nil"/>
            </w:tcBorders>
            <w:hideMark/>
          </w:tcPr>
          <w:p w14:paraId="5C9689EE"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85</w:t>
            </w:r>
          </w:p>
        </w:tc>
        <w:tc>
          <w:tcPr>
            <w:tcW w:w="0" w:type="auto"/>
            <w:tcBorders>
              <w:top w:val="nil"/>
              <w:bottom w:val="nil"/>
            </w:tcBorders>
            <w:hideMark/>
          </w:tcPr>
          <w:p w14:paraId="163658D0"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128</w:t>
            </w:r>
          </w:p>
        </w:tc>
        <w:tc>
          <w:tcPr>
            <w:tcW w:w="0" w:type="auto"/>
            <w:tcBorders>
              <w:top w:val="nil"/>
              <w:bottom w:val="nil"/>
            </w:tcBorders>
            <w:hideMark/>
          </w:tcPr>
          <w:p w14:paraId="3DF9E5E0"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0" w:type="auto"/>
            <w:tcBorders>
              <w:top w:val="nil"/>
              <w:bottom w:val="nil"/>
            </w:tcBorders>
            <w:hideMark/>
          </w:tcPr>
          <w:p w14:paraId="36F492B3"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r>
      <w:tr w:rsidR="0083319B" w:rsidRPr="0083319B" w14:paraId="5D48160F" w14:textId="77777777" w:rsidTr="00833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E5246F1" w14:textId="77777777" w:rsidR="0083319B" w:rsidRPr="0083319B" w:rsidRDefault="0083319B" w:rsidP="0083319B">
            <w:pPr>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Open defecation</w:t>
            </w:r>
          </w:p>
        </w:tc>
        <w:tc>
          <w:tcPr>
            <w:tcW w:w="0" w:type="auto"/>
            <w:tcBorders>
              <w:top w:val="nil"/>
              <w:bottom w:val="nil"/>
            </w:tcBorders>
            <w:hideMark/>
          </w:tcPr>
          <w:p w14:paraId="357876ED"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Yes</w:t>
            </w:r>
          </w:p>
        </w:tc>
        <w:tc>
          <w:tcPr>
            <w:tcW w:w="0" w:type="auto"/>
            <w:tcBorders>
              <w:top w:val="nil"/>
              <w:bottom w:val="nil"/>
            </w:tcBorders>
            <w:hideMark/>
          </w:tcPr>
          <w:p w14:paraId="697720CF" w14:textId="66528129"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68</w:t>
            </w:r>
            <w:r w:rsidR="00DB632E">
              <w:rPr>
                <w:rFonts w:ascii="Times New Roman" w:eastAsia="Times New Roman" w:hAnsi="Times New Roman" w:cs="Times New Roman"/>
                <w:kern w:val="0"/>
                <w14:ligatures w14:val="none"/>
              </w:rPr>
              <w:t xml:space="preserve"> (28.3)</w:t>
            </w:r>
          </w:p>
        </w:tc>
        <w:tc>
          <w:tcPr>
            <w:tcW w:w="0" w:type="auto"/>
            <w:tcBorders>
              <w:top w:val="nil"/>
              <w:bottom w:val="nil"/>
            </w:tcBorders>
            <w:hideMark/>
          </w:tcPr>
          <w:p w14:paraId="1A32A6AE" w14:textId="2961EB11"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35</w:t>
            </w:r>
            <w:r w:rsidR="00DB632E">
              <w:rPr>
                <w:rFonts w:ascii="Times New Roman" w:eastAsia="Times New Roman" w:hAnsi="Times New Roman" w:cs="Times New Roman"/>
                <w:kern w:val="0"/>
                <w14:ligatures w14:val="none"/>
              </w:rPr>
              <w:t xml:space="preserve"> (14.6)</w:t>
            </w:r>
          </w:p>
        </w:tc>
        <w:tc>
          <w:tcPr>
            <w:tcW w:w="0" w:type="auto"/>
            <w:tcBorders>
              <w:top w:val="nil"/>
              <w:bottom w:val="nil"/>
            </w:tcBorders>
            <w:hideMark/>
          </w:tcPr>
          <w:p w14:paraId="24310FE5"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103</w:t>
            </w:r>
          </w:p>
        </w:tc>
        <w:tc>
          <w:tcPr>
            <w:tcW w:w="0" w:type="auto"/>
            <w:tcBorders>
              <w:top w:val="nil"/>
              <w:bottom w:val="nil"/>
            </w:tcBorders>
            <w:hideMark/>
          </w:tcPr>
          <w:p w14:paraId="093B7DE4"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10.88</w:t>
            </w:r>
          </w:p>
        </w:tc>
        <w:tc>
          <w:tcPr>
            <w:tcW w:w="0" w:type="auto"/>
            <w:tcBorders>
              <w:top w:val="nil"/>
              <w:bottom w:val="nil"/>
            </w:tcBorders>
            <w:hideMark/>
          </w:tcPr>
          <w:p w14:paraId="4A59420F"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&lt;0.05</w:t>
            </w:r>
          </w:p>
        </w:tc>
      </w:tr>
      <w:tr w:rsidR="0083319B" w:rsidRPr="0083319B" w14:paraId="18CC8C7C" w14:textId="77777777" w:rsidTr="0083319B">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1832AC5" w14:textId="77777777" w:rsidR="0083319B" w:rsidRPr="0083319B" w:rsidRDefault="0083319B" w:rsidP="0083319B">
            <w:pPr>
              <w:rPr>
                <w:rFonts w:ascii="Times New Roman" w:eastAsia="Times New Roman" w:hAnsi="Times New Roman" w:cs="Times New Roman"/>
                <w:b w:val="0"/>
                <w:bCs w:val="0"/>
                <w:kern w:val="0"/>
                <w14:ligatures w14:val="none"/>
              </w:rPr>
            </w:pPr>
          </w:p>
        </w:tc>
        <w:tc>
          <w:tcPr>
            <w:tcW w:w="0" w:type="auto"/>
            <w:tcBorders>
              <w:top w:val="nil"/>
              <w:bottom w:val="nil"/>
            </w:tcBorders>
            <w:hideMark/>
          </w:tcPr>
          <w:p w14:paraId="100CA1EF"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No</w:t>
            </w:r>
          </w:p>
        </w:tc>
        <w:tc>
          <w:tcPr>
            <w:tcW w:w="0" w:type="auto"/>
            <w:tcBorders>
              <w:top w:val="nil"/>
              <w:bottom w:val="nil"/>
            </w:tcBorders>
            <w:hideMark/>
          </w:tcPr>
          <w:p w14:paraId="4FAD038C" w14:textId="339DA78D"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47</w:t>
            </w:r>
            <w:r w:rsidR="00DB632E">
              <w:rPr>
                <w:rFonts w:ascii="Times New Roman" w:eastAsia="Times New Roman" w:hAnsi="Times New Roman" w:cs="Times New Roman"/>
                <w:kern w:val="0"/>
                <w14:ligatures w14:val="none"/>
              </w:rPr>
              <w:t xml:space="preserve"> </w:t>
            </w:r>
          </w:p>
        </w:tc>
        <w:tc>
          <w:tcPr>
            <w:tcW w:w="0" w:type="auto"/>
            <w:tcBorders>
              <w:top w:val="nil"/>
              <w:bottom w:val="nil"/>
            </w:tcBorders>
            <w:hideMark/>
          </w:tcPr>
          <w:p w14:paraId="3B6DF4C4"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90</w:t>
            </w:r>
          </w:p>
        </w:tc>
        <w:tc>
          <w:tcPr>
            <w:tcW w:w="0" w:type="auto"/>
            <w:tcBorders>
              <w:top w:val="nil"/>
              <w:bottom w:val="nil"/>
            </w:tcBorders>
            <w:hideMark/>
          </w:tcPr>
          <w:p w14:paraId="0453D40E"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137</w:t>
            </w:r>
          </w:p>
        </w:tc>
        <w:tc>
          <w:tcPr>
            <w:tcW w:w="0" w:type="auto"/>
            <w:tcBorders>
              <w:top w:val="nil"/>
              <w:bottom w:val="nil"/>
            </w:tcBorders>
            <w:hideMark/>
          </w:tcPr>
          <w:p w14:paraId="1EFAD030"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0" w:type="auto"/>
            <w:tcBorders>
              <w:top w:val="nil"/>
              <w:bottom w:val="nil"/>
            </w:tcBorders>
            <w:hideMark/>
          </w:tcPr>
          <w:p w14:paraId="171196A2"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r>
      <w:tr w:rsidR="0083319B" w:rsidRPr="0083319B" w14:paraId="37C74EAF" w14:textId="77777777" w:rsidTr="00833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A363D65" w14:textId="77777777" w:rsidR="0083319B" w:rsidRPr="0083319B" w:rsidRDefault="0083319B" w:rsidP="0083319B">
            <w:pPr>
              <w:rPr>
                <w:rFonts w:ascii="Times New Roman" w:eastAsia="Times New Roman" w:hAnsi="Times New Roman" w:cs="Times New Roman"/>
                <w:b w:val="0"/>
                <w:bCs w:val="0"/>
                <w:kern w:val="0"/>
                <w14:ligatures w14:val="none"/>
              </w:rPr>
            </w:pPr>
            <w:r w:rsidRPr="0083319B">
              <w:rPr>
                <w:rFonts w:ascii="Times New Roman" w:eastAsia="Times New Roman" w:hAnsi="Times New Roman" w:cs="Times New Roman"/>
                <w:b w:val="0"/>
                <w:bCs w:val="0"/>
                <w:kern w:val="0"/>
                <w14:ligatures w14:val="none"/>
              </w:rPr>
              <w:t>Barefoot walking</w:t>
            </w:r>
          </w:p>
        </w:tc>
        <w:tc>
          <w:tcPr>
            <w:tcW w:w="0" w:type="auto"/>
            <w:tcBorders>
              <w:top w:val="nil"/>
              <w:bottom w:val="nil"/>
            </w:tcBorders>
            <w:hideMark/>
          </w:tcPr>
          <w:p w14:paraId="0DDE4F6B"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Yes</w:t>
            </w:r>
          </w:p>
        </w:tc>
        <w:tc>
          <w:tcPr>
            <w:tcW w:w="0" w:type="auto"/>
            <w:tcBorders>
              <w:top w:val="nil"/>
              <w:bottom w:val="nil"/>
            </w:tcBorders>
            <w:hideMark/>
          </w:tcPr>
          <w:p w14:paraId="24997BF0" w14:textId="4DCB1EE1"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63</w:t>
            </w:r>
            <w:r w:rsidR="00DB632E">
              <w:rPr>
                <w:rFonts w:ascii="Times New Roman" w:eastAsia="Times New Roman" w:hAnsi="Times New Roman" w:cs="Times New Roman"/>
                <w:kern w:val="0"/>
                <w14:ligatures w14:val="none"/>
              </w:rPr>
              <w:t xml:space="preserve"> (26.3)</w:t>
            </w:r>
          </w:p>
        </w:tc>
        <w:tc>
          <w:tcPr>
            <w:tcW w:w="0" w:type="auto"/>
            <w:tcBorders>
              <w:top w:val="nil"/>
              <w:bottom w:val="nil"/>
            </w:tcBorders>
            <w:hideMark/>
          </w:tcPr>
          <w:p w14:paraId="2F346547" w14:textId="44D48E3F"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38</w:t>
            </w:r>
            <w:r w:rsidR="00DB632E">
              <w:rPr>
                <w:rFonts w:ascii="Times New Roman" w:eastAsia="Times New Roman" w:hAnsi="Times New Roman" w:cs="Times New Roman"/>
                <w:kern w:val="0"/>
                <w14:ligatures w14:val="none"/>
              </w:rPr>
              <w:t xml:space="preserve"> (15.8)</w:t>
            </w:r>
          </w:p>
        </w:tc>
        <w:tc>
          <w:tcPr>
            <w:tcW w:w="0" w:type="auto"/>
            <w:tcBorders>
              <w:top w:val="nil"/>
              <w:bottom w:val="nil"/>
            </w:tcBorders>
            <w:hideMark/>
          </w:tcPr>
          <w:p w14:paraId="081E2C63"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101</w:t>
            </w:r>
          </w:p>
        </w:tc>
        <w:tc>
          <w:tcPr>
            <w:tcW w:w="0" w:type="auto"/>
            <w:tcBorders>
              <w:top w:val="nil"/>
              <w:bottom w:val="nil"/>
            </w:tcBorders>
            <w:hideMark/>
          </w:tcPr>
          <w:p w14:paraId="08999268"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8.76</w:t>
            </w:r>
          </w:p>
        </w:tc>
        <w:tc>
          <w:tcPr>
            <w:tcW w:w="0" w:type="auto"/>
            <w:tcBorders>
              <w:top w:val="nil"/>
              <w:bottom w:val="nil"/>
            </w:tcBorders>
            <w:hideMark/>
          </w:tcPr>
          <w:p w14:paraId="06925B5A" w14:textId="77777777" w:rsidR="0083319B" w:rsidRPr="0083319B" w:rsidRDefault="0083319B" w:rsidP="0083319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&lt;0.05</w:t>
            </w:r>
          </w:p>
        </w:tc>
      </w:tr>
      <w:tr w:rsidR="0083319B" w:rsidRPr="0083319B" w14:paraId="1D106F40" w14:textId="77777777" w:rsidTr="0083319B">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742251E2" w14:textId="77777777" w:rsidR="0083319B" w:rsidRPr="0083319B" w:rsidRDefault="0083319B" w:rsidP="0083319B">
            <w:pPr>
              <w:rPr>
                <w:rFonts w:ascii="Times New Roman" w:eastAsia="Times New Roman" w:hAnsi="Times New Roman" w:cs="Times New Roman"/>
                <w:b w:val="0"/>
                <w:bCs w:val="0"/>
                <w:kern w:val="0"/>
                <w14:ligatures w14:val="none"/>
              </w:rPr>
            </w:pPr>
          </w:p>
        </w:tc>
        <w:tc>
          <w:tcPr>
            <w:tcW w:w="0" w:type="auto"/>
            <w:tcBorders>
              <w:top w:val="nil"/>
              <w:bottom w:val="single" w:sz="4" w:space="0" w:color="7F7F7F" w:themeColor="text1" w:themeTint="80"/>
            </w:tcBorders>
            <w:hideMark/>
          </w:tcPr>
          <w:p w14:paraId="63AC41C9"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No</w:t>
            </w:r>
          </w:p>
        </w:tc>
        <w:tc>
          <w:tcPr>
            <w:tcW w:w="0" w:type="auto"/>
            <w:tcBorders>
              <w:top w:val="nil"/>
              <w:bottom w:val="single" w:sz="4" w:space="0" w:color="7F7F7F" w:themeColor="text1" w:themeTint="80"/>
            </w:tcBorders>
            <w:hideMark/>
          </w:tcPr>
          <w:p w14:paraId="6264B16E" w14:textId="467794C4"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52</w:t>
            </w:r>
            <w:r w:rsidR="00DB632E">
              <w:rPr>
                <w:rFonts w:ascii="Times New Roman" w:eastAsia="Times New Roman" w:hAnsi="Times New Roman" w:cs="Times New Roman"/>
                <w:kern w:val="0"/>
                <w14:ligatures w14:val="none"/>
              </w:rPr>
              <w:t xml:space="preserve"> </w:t>
            </w:r>
          </w:p>
        </w:tc>
        <w:tc>
          <w:tcPr>
            <w:tcW w:w="0" w:type="auto"/>
            <w:tcBorders>
              <w:top w:val="nil"/>
              <w:bottom w:val="single" w:sz="4" w:space="0" w:color="7F7F7F" w:themeColor="text1" w:themeTint="80"/>
            </w:tcBorders>
            <w:hideMark/>
          </w:tcPr>
          <w:p w14:paraId="4BF7BB00"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87</w:t>
            </w:r>
          </w:p>
        </w:tc>
        <w:tc>
          <w:tcPr>
            <w:tcW w:w="0" w:type="auto"/>
            <w:tcBorders>
              <w:top w:val="nil"/>
              <w:bottom w:val="single" w:sz="4" w:space="0" w:color="7F7F7F" w:themeColor="text1" w:themeTint="80"/>
            </w:tcBorders>
            <w:hideMark/>
          </w:tcPr>
          <w:p w14:paraId="79CDDA5E"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83319B">
              <w:rPr>
                <w:rFonts w:ascii="Times New Roman" w:eastAsia="Times New Roman" w:hAnsi="Times New Roman" w:cs="Times New Roman"/>
                <w:kern w:val="0"/>
                <w14:ligatures w14:val="none"/>
              </w:rPr>
              <w:t>139</w:t>
            </w:r>
          </w:p>
        </w:tc>
        <w:tc>
          <w:tcPr>
            <w:tcW w:w="0" w:type="auto"/>
            <w:tcBorders>
              <w:top w:val="nil"/>
              <w:bottom w:val="single" w:sz="4" w:space="0" w:color="7F7F7F" w:themeColor="text1" w:themeTint="80"/>
            </w:tcBorders>
            <w:hideMark/>
          </w:tcPr>
          <w:p w14:paraId="693F5383"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0" w:type="auto"/>
            <w:tcBorders>
              <w:top w:val="nil"/>
              <w:bottom w:val="single" w:sz="4" w:space="0" w:color="7F7F7F" w:themeColor="text1" w:themeTint="80"/>
            </w:tcBorders>
            <w:hideMark/>
          </w:tcPr>
          <w:p w14:paraId="3D73C319" w14:textId="77777777" w:rsidR="0083319B" w:rsidRPr="0083319B" w:rsidRDefault="0083319B" w:rsidP="0083319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r>
    </w:tbl>
    <w:p w14:paraId="1179D604" w14:textId="11CC74DB" w:rsidR="00EB233B" w:rsidRPr="005B115B" w:rsidRDefault="00EB233B" w:rsidP="005B115B">
      <w:pPr>
        <w:spacing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w:t>
      </w:r>
      <w:r w:rsidR="001E5E04">
        <w:rPr>
          <w:rFonts w:ascii="Times New Roman" w:hAnsi="Times New Roman" w:cs="Times New Roman"/>
          <w:color w:val="000000" w:themeColor="text1"/>
        </w:rPr>
        <w:t xml:space="preserve">p&lt;0.05, </w:t>
      </w:r>
      <w:r w:rsidRPr="005B115B">
        <w:rPr>
          <w:rFonts w:ascii="Times New Roman" w:hAnsi="Times New Roman" w:cs="Times New Roman"/>
          <w:color w:val="000000" w:themeColor="text1"/>
        </w:rPr>
        <w:t>Significant associations observed)</w:t>
      </w:r>
    </w:p>
    <w:p w14:paraId="46AAA7ED" w14:textId="4C064D30" w:rsidR="00EB233B" w:rsidRPr="005B115B" w:rsidRDefault="000F6C64" w:rsidP="001E5E04">
      <w:pPr>
        <w:spacing w:before="240"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 xml:space="preserve">Table 8 indicates that single infections </w:t>
      </w:r>
      <w:r w:rsidR="00B20C2D">
        <w:rPr>
          <w:rFonts w:ascii="Times New Roman" w:hAnsi="Times New Roman" w:cs="Times New Roman"/>
          <w:color w:val="000000" w:themeColor="text1"/>
        </w:rPr>
        <w:t>(73.9%)</w:t>
      </w:r>
      <w:r w:rsidRPr="005B115B">
        <w:rPr>
          <w:rFonts w:ascii="Times New Roman" w:hAnsi="Times New Roman" w:cs="Times New Roman"/>
          <w:color w:val="000000" w:themeColor="text1"/>
        </w:rPr>
        <w:t xml:space="preserve"> were significantly higher than mixed infections (</w:t>
      </w:r>
      <w:r w:rsidR="00DB23CF">
        <w:rPr>
          <w:rFonts w:ascii="Times New Roman" w:hAnsi="Times New Roman" w:cs="Times New Roman"/>
          <w:color w:val="000000" w:themeColor="text1"/>
        </w:rPr>
        <w:t>26.1%)</w:t>
      </w:r>
      <w:r w:rsidRPr="005B115B">
        <w:rPr>
          <w:rFonts w:ascii="Times New Roman" w:hAnsi="Times New Roman" w:cs="Times New Roman"/>
          <w:color w:val="000000" w:themeColor="text1"/>
        </w:rPr>
        <w:t xml:space="preserve"> across triplicate observations. The difference was </w:t>
      </w:r>
      <w:r w:rsidRPr="005B115B">
        <w:rPr>
          <w:rStyle w:val="Strong"/>
          <w:rFonts w:ascii="Times New Roman" w:hAnsi="Times New Roman" w:cs="Times New Roman"/>
          <w:b w:val="0"/>
          <w:bCs w:val="0"/>
          <w:color w:val="000000" w:themeColor="text1"/>
        </w:rPr>
        <w:t>statistically significant (t = 14.32, p &lt; 0.05)</w:t>
      </w:r>
      <w:r w:rsidRPr="005B115B">
        <w:rPr>
          <w:rFonts w:ascii="Times New Roman" w:hAnsi="Times New Roman" w:cs="Times New Roman"/>
          <w:color w:val="000000" w:themeColor="text1"/>
        </w:rPr>
        <w:t xml:space="preserve">, suggesting that </w:t>
      </w:r>
      <w:r w:rsidRPr="005B115B">
        <w:rPr>
          <w:rStyle w:val="Strong"/>
          <w:rFonts w:ascii="Times New Roman" w:hAnsi="Times New Roman" w:cs="Times New Roman"/>
          <w:b w:val="0"/>
          <w:bCs w:val="0"/>
          <w:color w:val="000000" w:themeColor="text1"/>
        </w:rPr>
        <w:t>single infections are more common</w:t>
      </w:r>
      <w:r w:rsidRPr="005B115B">
        <w:rPr>
          <w:rFonts w:ascii="Times New Roman" w:hAnsi="Times New Roman" w:cs="Times New Roman"/>
          <w:color w:val="000000" w:themeColor="text1"/>
        </w:rPr>
        <w:t>, although mixed infections still represent a substantial proportion of cases.</w:t>
      </w:r>
    </w:p>
    <w:p w14:paraId="7C1B68A7" w14:textId="571ABDD7" w:rsidR="00EB233B" w:rsidRDefault="00EB233B" w:rsidP="00DB23CF">
      <w:pPr>
        <w:spacing w:before="120" w:after="120" w:line="240" w:lineRule="auto"/>
        <w:jc w:val="both"/>
        <w:rPr>
          <w:rFonts w:ascii="Times New Roman" w:hAnsi="Times New Roman" w:cs="Times New Roman"/>
          <w:color w:val="000000" w:themeColor="text1"/>
        </w:rPr>
      </w:pPr>
      <w:r w:rsidRPr="005B115B">
        <w:rPr>
          <w:rFonts w:ascii="Times New Roman" w:hAnsi="Times New Roman" w:cs="Times New Roman"/>
          <w:color w:val="000000" w:themeColor="text1"/>
        </w:rPr>
        <w:t>Table 8: Mixed Infection Pattern</w:t>
      </w:r>
    </w:p>
    <w:tbl>
      <w:tblPr>
        <w:tblStyle w:val="PlainTable2"/>
        <w:tblW w:w="0" w:type="auto"/>
        <w:tblLook w:val="04A0" w:firstRow="1" w:lastRow="0" w:firstColumn="1" w:lastColumn="0" w:noHBand="0" w:noVBand="1"/>
      </w:tblPr>
      <w:tblGrid>
        <w:gridCol w:w="3060"/>
        <w:gridCol w:w="2610"/>
        <w:gridCol w:w="2070"/>
      </w:tblGrid>
      <w:tr w:rsidR="00E573D0" w:rsidRPr="00DB23CF" w14:paraId="3CE6A873" w14:textId="77777777" w:rsidTr="00DB23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14:paraId="1D52B8B1" w14:textId="77777777" w:rsidR="00E573D0" w:rsidRPr="00DB23CF" w:rsidRDefault="00E573D0" w:rsidP="00DB23CF">
            <w:pPr>
              <w:spacing w:before="120" w:after="120"/>
              <w:rPr>
                <w:rFonts w:ascii="Times New Roman" w:eastAsia="Times New Roman" w:hAnsi="Times New Roman" w:cs="Times New Roman"/>
                <w:b w:val="0"/>
                <w:bCs w:val="0"/>
                <w:kern w:val="0"/>
                <w14:ligatures w14:val="none"/>
              </w:rPr>
            </w:pPr>
            <w:r w:rsidRPr="00DB23CF">
              <w:rPr>
                <w:rFonts w:ascii="Times New Roman" w:eastAsia="Times New Roman" w:hAnsi="Times New Roman" w:cs="Times New Roman"/>
                <w:b w:val="0"/>
                <w:bCs w:val="0"/>
                <w:kern w:val="0"/>
                <w14:ligatures w14:val="none"/>
              </w:rPr>
              <w:lastRenderedPageBreak/>
              <w:t>Infection Type</w:t>
            </w:r>
          </w:p>
        </w:tc>
        <w:tc>
          <w:tcPr>
            <w:tcW w:w="2610" w:type="dxa"/>
            <w:hideMark/>
          </w:tcPr>
          <w:p w14:paraId="0984165A" w14:textId="77777777" w:rsidR="00E573D0" w:rsidRPr="00DB23CF" w:rsidRDefault="00E573D0" w:rsidP="00DB23CF">
            <w:pPr>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DB23CF">
              <w:rPr>
                <w:rFonts w:ascii="Times New Roman" w:eastAsia="Times New Roman" w:hAnsi="Times New Roman" w:cs="Times New Roman"/>
                <w:b w:val="0"/>
                <w:bCs w:val="0"/>
                <w:kern w:val="0"/>
                <w14:ligatures w14:val="none"/>
              </w:rPr>
              <w:t>Frequency (n=115)</w:t>
            </w:r>
          </w:p>
        </w:tc>
        <w:tc>
          <w:tcPr>
            <w:tcW w:w="2070" w:type="dxa"/>
            <w:hideMark/>
          </w:tcPr>
          <w:p w14:paraId="2B5A2914" w14:textId="77777777" w:rsidR="00E573D0" w:rsidRPr="00DB23CF" w:rsidRDefault="00E573D0" w:rsidP="00DB23CF">
            <w:pPr>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DB23CF">
              <w:rPr>
                <w:rFonts w:ascii="Times New Roman" w:eastAsia="Times New Roman" w:hAnsi="Times New Roman" w:cs="Times New Roman"/>
                <w:b w:val="0"/>
                <w:bCs w:val="0"/>
                <w:kern w:val="0"/>
                <w14:ligatures w14:val="none"/>
              </w:rPr>
              <w:t>Percentage (%)</w:t>
            </w:r>
          </w:p>
        </w:tc>
      </w:tr>
      <w:tr w:rsidR="00E573D0" w:rsidRPr="00DB23CF" w14:paraId="0C7F3E1B" w14:textId="77777777" w:rsidTr="00DB2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Borders>
              <w:bottom w:val="nil"/>
            </w:tcBorders>
            <w:hideMark/>
          </w:tcPr>
          <w:p w14:paraId="77D928DA" w14:textId="77777777" w:rsidR="00E573D0" w:rsidRPr="00DB23CF" w:rsidRDefault="00E573D0" w:rsidP="00DB23CF">
            <w:pPr>
              <w:spacing w:before="120" w:after="120" w:line="276" w:lineRule="auto"/>
              <w:rPr>
                <w:rFonts w:ascii="Times New Roman" w:eastAsia="Times New Roman" w:hAnsi="Times New Roman" w:cs="Times New Roman"/>
                <w:b w:val="0"/>
                <w:bCs w:val="0"/>
                <w:kern w:val="0"/>
                <w14:ligatures w14:val="none"/>
              </w:rPr>
            </w:pPr>
            <w:r w:rsidRPr="00DB23CF">
              <w:rPr>
                <w:rFonts w:ascii="Times New Roman" w:eastAsia="Times New Roman" w:hAnsi="Times New Roman" w:cs="Times New Roman"/>
                <w:b w:val="0"/>
                <w:bCs w:val="0"/>
                <w:kern w:val="0"/>
                <w14:ligatures w14:val="none"/>
              </w:rPr>
              <w:t>Single infection</w:t>
            </w:r>
          </w:p>
        </w:tc>
        <w:tc>
          <w:tcPr>
            <w:tcW w:w="2610" w:type="dxa"/>
            <w:tcBorders>
              <w:bottom w:val="nil"/>
            </w:tcBorders>
            <w:hideMark/>
          </w:tcPr>
          <w:p w14:paraId="610134AB" w14:textId="77777777" w:rsidR="00E573D0" w:rsidRPr="00DB23CF" w:rsidRDefault="00E573D0" w:rsidP="00DB23CF">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B23CF">
              <w:rPr>
                <w:rFonts w:ascii="Times New Roman" w:eastAsia="Times New Roman" w:hAnsi="Times New Roman" w:cs="Times New Roman"/>
                <w:kern w:val="0"/>
                <w14:ligatures w14:val="none"/>
              </w:rPr>
              <w:t>85</w:t>
            </w:r>
          </w:p>
        </w:tc>
        <w:tc>
          <w:tcPr>
            <w:tcW w:w="2070" w:type="dxa"/>
            <w:tcBorders>
              <w:bottom w:val="nil"/>
            </w:tcBorders>
            <w:hideMark/>
          </w:tcPr>
          <w:p w14:paraId="064E7F88" w14:textId="77777777" w:rsidR="00E573D0" w:rsidRPr="00DB23CF" w:rsidRDefault="00E573D0" w:rsidP="00DB23CF">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DB23CF">
              <w:rPr>
                <w:rFonts w:ascii="Times New Roman" w:eastAsia="Times New Roman" w:hAnsi="Times New Roman" w:cs="Times New Roman"/>
                <w:kern w:val="0"/>
                <w14:ligatures w14:val="none"/>
              </w:rPr>
              <w:t>73.9</w:t>
            </w:r>
          </w:p>
        </w:tc>
      </w:tr>
      <w:tr w:rsidR="00E573D0" w:rsidRPr="00DB23CF" w14:paraId="4712AFE8" w14:textId="77777777" w:rsidTr="00DB23CF">
        <w:tc>
          <w:tcPr>
            <w:cnfStyle w:val="001000000000" w:firstRow="0" w:lastRow="0" w:firstColumn="1" w:lastColumn="0" w:oddVBand="0" w:evenVBand="0" w:oddHBand="0" w:evenHBand="0" w:firstRowFirstColumn="0" w:firstRowLastColumn="0" w:lastRowFirstColumn="0" w:lastRowLastColumn="0"/>
            <w:tcW w:w="3060" w:type="dxa"/>
            <w:tcBorders>
              <w:top w:val="nil"/>
              <w:bottom w:val="single" w:sz="4" w:space="0" w:color="7F7F7F" w:themeColor="text1" w:themeTint="80"/>
            </w:tcBorders>
            <w:hideMark/>
          </w:tcPr>
          <w:p w14:paraId="087E400B" w14:textId="77777777" w:rsidR="00E573D0" w:rsidRPr="00DB23CF" w:rsidRDefault="00E573D0" w:rsidP="00DB23CF">
            <w:pPr>
              <w:spacing w:before="120" w:after="120" w:line="276" w:lineRule="auto"/>
              <w:rPr>
                <w:rFonts w:ascii="Times New Roman" w:eastAsia="Times New Roman" w:hAnsi="Times New Roman" w:cs="Times New Roman"/>
                <w:b w:val="0"/>
                <w:bCs w:val="0"/>
                <w:kern w:val="0"/>
                <w14:ligatures w14:val="none"/>
              </w:rPr>
            </w:pPr>
            <w:r w:rsidRPr="00DB23CF">
              <w:rPr>
                <w:rFonts w:ascii="Times New Roman" w:eastAsia="Times New Roman" w:hAnsi="Times New Roman" w:cs="Times New Roman"/>
                <w:b w:val="0"/>
                <w:bCs w:val="0"/>
                <w:kern w:val="0"/>
                <w14:ligatures w14:val="none"/>
              </w:rPr>
              <w:t>Mixed infection</w:t>
            </w:r>
          </w:p>
        </w:tc>
        <w:tc>
          <w:tcPr>
            <w:tcW w:w="2610" w:type="dxa"/>
            <w:tcBorders>
              <w:top w:val="nil"/>
              <w:bottom w:val="single" w:sz="4" w:space="0" w:color="7F7F7F" w:themeColor="text1" w:themeTint="80"/>
            </w:tcBorders>
            <w:hideMark/>
          </w:tcPr>
          <w:p w14:paraId="6E6B9C3E" w14:textId="77777777" w:rsidR="00E573D0" w:rsidRPr="00DB23CF" w:rsidRDefault="00E573D0" w:rsidP="00DB23CF">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B23CF">
              <w:rPr>
                <w:rFonts w:ascii="Times New Roman" w:eastAsia="Times New Roman" w:hAnsi="Times New Roman" w:cs="Times New Roman"/>
                <w:kern w:val="0"/>
                <w14:ligatures w14:val="none"/>
              </w:rPr>
              <w:t>30</w:t>
            </w:r>
          </w:p>
        </w:tc>
        <w:tc>
          <w:tcPr>
            <w:tcW w:w="2070" w:type="dxa"/>
            <w:tcBorders>
              <w:top w:val="nil"/>
              <w:bottom w:val="single" w:sz="4" w:space="0" w:color="7F7F7F" w:themeColor="text1" w:themeTint="80"/>
            </w:tcBorders>
            <w:hideMark/>
          </w:tcPr>
          <w:p w14:paraId="3155E3D8" w14:textId="77777777" w:rsidR="00E573D0" w:rsidRPr="00DB23CF" w:rsidRDefault="00E573D0" w:rsidP="00DB23CF">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DB23CF">
              <w:rPr>
                <w:rFonts w:ascii="Times New Roman" w:eastAsia="Times New Roman" w:hAnsi="Times New Roman" w:cs="Times New Roman"/>
                <w:kern w:val="0"/>
                <w14:ligatures w14:val="none"/>
              </w:rPr>
              <w:t>26.1</w:t>
            </w:r>
          </w:p>
        </w:tc>
      </w:tr>
    </w:tbl>
    <w:p w14:paraId="6EA2B190" w14:textId="671368A3" w:rsidR="000F6C64" w:rsidRPr="005B115B" w:rsidRDefault="000F6C64" w:rsidP="00DB23CF">
      <w:pPr>
        <w:spacing w:before="120" w:after="120" w:line="240" w:lineRule="auto"/>
        <w:jc w:val="both"/>
        <w:rPr>
          <w:rFonts w:ascii="Times New Roman" w:eastAsia="Times New Roman" w:hAnsi="Times New Roman" w:cs="Times New Roman"/>
          <w:b/>
          <w:bCs/>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DISCUSSION</w:t>
      </w:r>
    </w:p>
    <w:p w14:paraId="7282C7E3" w14:textId="5A8179BF"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The overall prevalence of intestinal parasitic infections observed in this study (47.9%) indicates a substantial burden among school children in rural communities. Although slightly lower than some reports exceeding 60% in similar African settings, this prevalence still reflects persistent transmission and inadequate control measures. Comparable studies </w:t>
      </w:r>
      <w:proofErr w:type="spellStart"/>
      <w:r w:rsidRPr="005B115B">
        <w:rPr>
          <w:rFonts w:ascii="Times New Roman" w:eastAsia="Times New Roman" w:hAnsi="Times New Roman" w:cs="Times New Roman"/>
          <w:color w:val="000000" w:themeColor="text1"/>
          <w:kern w:val="0"/>
          <w14:ligatures w14:val="none"/>
        </w:rPr>
        <w:t>havereported</w:t>
      </w:r>
      <w:proofErr w:type="spellEnd"/>
      <w:r w:rsidRPr="005B115B">
        <w:rPr>
          <w:rFonts w:ascii="Times New Roman" w:eastAsia="Times New Roman" w:hAnsi="Times New Roman" w:cs="Times New Roman"/>
          <w:color w:val="000000" w:themeColor="text1"/>
          <w:kern w:val="0"/>
          <w14:ligatures w14:val="none"/>
        </w:rPr>
        <w:t xml:space="preserve"> prevalence rates of 52.4% in rural Ethiopia and 49.3% in parts of Ghana, suggesting that intestinal parasitosis remains endemic in many low-resource settings (</w:t>
      </w:r>
      <w:proofErr w:type="spellStart"/>
      <w:r w:rsidRPr="005B115B">
        <w:rPr>
          <w:rFonts w:ascii="Times New Roman" w:eastAsia="Times New Roman" w:hAnsi="Times New Roman" w:cs="Times New Roman"/>
          <w:color w:val="000000" w:themeColor="text1"/>
          <w:kern w:val="0"/>
          <w14:ligatures w14:val="none"/>
        </w:rPr>
        <w:t>Feleke</w:t>
      </w:r>
      <w:proofErr w:type="spellEnd"/>
      <w:r w:rsidRPr="005B115B">
        <w:rPr>
          <w:rFonts w:ascii="Times New Roman" w:eastAsia="Times New Roman" w:hAnsi="Times New Roman" w:cs="Times New Roman"/>
          <w:color w:val="000000" w:themeColor="text1"/>
          <w:kern w:val="0"/>
          <w14:ligatures w14:val="none"/>
        </w:rPr>
        <w:t xml:space="preserve"> et al., 2019; </w:t>
      </w:r>
      <w:proofErr w:type="spellStart"/>
      <w:r w:rsidRPr="005B115B">
        <w:rPr>
          <w:rFonts w:ascii="Times New Roman" w:eastAsia="Times New Roman" w:hAnsi="Times New Roman" w:cs="Times New Roman"/>
          <w:color w:val="000000" w:themeColor="text1"/>
          <w:kern w:val="0"/>
          <w14:ligatures w14:val="none"/>
        </w:rPr>
        <w:t>Forson</w:t>
      </w:r>
      <w:proofErr w:type="spellEnd"/>
      <w:r w:rsidRPr="005B115B">
        <w:rPr>
          <w:rFonts w:ascii="Times New Roman" w:eastAsia="Times New Roman" w:hAnsi="Times New Roman" w:cs="Times New Roman"/>
          <w:color w:val="000000" w:themeColor="text1"/>
          <w:kern w:val="0"/>
          <w14:ligatures w14:val="none"/>
        </w:rPr>
        <w:t xml:space="preserve"> et al., 2018). The relatively moderate prevalence in the present study may be attributed to partial implementation of deworming programs or seasonal variation in transmission intensity.</w:t>
      </w:r>
    </w:p>
    <w:p w14:paraId="1E3B42EF" w14:textId="426955D6"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The distribution of parasites revealed that </w:t>
      </w:r>
      <w:r w:rsidRPr="005B115B">
        <w:rPr>
          <w:rFonts w:ascii="Times New Roman" w:eastAsia="Times New Roman" w:hAnsi="Times New Roman" w:cs="Times New Roman"/>
          <w:i/>
          <w:iCs/>
          <w:color w:val="000000" w:themeColor="text1"/>
          <w:kern w:val="0"/>
          <w14:ligatures w14:val="none"/>
        </w:rPr>
        <w:t>A</w:t>
      </w:r>
      <w:r w:rsidR="00D371D0">
        <w:rPr>
          <w:rFonts w:ascii="Times New Roman" w:eastAsia="Times New Roman" w:hAnsi="Times New Roman" w:cs="Times New Roman"/>
          <w:i/>
          <w:iCs/>
          <w:color w:val="000000" w:themeColor="text1"/>
          <w:kern w:val="0"/>
          <w14:ligatures w14:val="none"/>
        </w:rPr>
        <w:t>.</w:t>
      </w:r>
      <w:r w:rsidRPr="005B115B">
        <w:rPr>
          <w:rFonts w:ascii="Times New Roman" w:eastAsia="Times New Roman" w:hAnsi="Times New Roman" w:cs="Times New Roman"/>
          <w:i/>
          <w:iCs/>
          <w:color w:val="000000" w:themeColor="text1"/>
          <w:kern w:val="0"/>
          <w14:ligatures w14:val="none"/>
        </w:rPr>
        <w:t xml:space="preserve"> lumbricoides</w:t>
      </w:r>
      <w:r w:rsidRPr="005B115B">
        <w:rPr>
          <w:rFonts w:ascii="Times New Roman" w:eastAsia="Times New Roman" w:hAnsi="Times New Roman" w:cs="Times New Roman"/>
          <w:color w:val="000000" w:themeColor="text1"/>
          <w:kern w:val="0"/>
          <w14:ligatures w14:val="none"/>
        </w:rPr>
        <w:t xml:space="preserve"> (21.7%) was the most prevalent species, followed by </w:t>
      </w:r>
      <w:r w:rsidRPr="005B115B">
        <w:rPr>
          <w:rFonts w:ascii="Times New Roman" w:eastAsia="Times New Roman" w:hAnsi="Times New Roman" w:cs="Times New Roman"/>
          <w:i/>
          <w:iCs/>
          <w:color w:val="000000" w:themeColor="text1"/>
          <w:kern w:val="0"/>
          <w14:ligatures w14:val="none"/>
        </w:rPr>
        <w:t>E</w:t>
      </w:r>
      <w:r w:rsidR="00D371D0">
        <w:rPr>
          <w:rFonts w:ascii="Times New Roman" w:eastAsia="Times New Roman" w:hAnsi="Times New Roman" w:cs="Times New Roman"/>
          <w:i/>
          <w:iCs/>
          <w:color w:val="000000" w:themeColor="text1"/>
          <w:kern w:val="0"/>
          <w14:ligatures w14:val="none"/>
        </w:rPr>
        <w:t>.</w:t>
      </w:r>
      <w:r w:rsidRPr="005B115B">
        <w:rPr>
          <w:rFonts w:ascii="Times New Roman" w:eastAsia="Times New Roman" w:hAnsi="Times New Roman" w:cs="Times New Roman"/>
          <w:i/>
          <w:iCs/>
          <w:color w:val="000000" w:themeColor="text1"/>
          <w:kern w:val="0"/>
          <w14:ligatures w14:val="none"/>
        </w:rPr>
        <w:t xml:space="preserve"> histolytica</w:t>
      </w:r>
      <w:r w:rsidRPr="005B115B">
        <w:rPr>
          <w:rFonts w:ascii="Times New Roman" w:eastAsia="Times New Roman" w:hAnsi="Times New Roman" w:cs="Times New Roman"/>
          <w:color w:val="000000" w:themeColor="text1"/>
          <w:kern w:val="0"/>
          <w14:ligatures w14:val="none"/>
        </w:rPr>
        <w:t xml:space="preserve"> (16.3%) and hookworm (14.2%). This pattern is consistent with findings from other tropical regions where </w:t>
      </w:r>
      <w:r w:rsidRPr="005B115B">
        <w:rPr>
          <w:rFonts w:ascii="Times New Roman" w:eastAsia="Times New Roman" w:hAnsi="Times New Roman" w:cs="Times New Roman"/>
          <w:i/>
          <w:iCs/>
          <w:color w:val="000000" w:themeColor="text1"/>
          <w:kern w:val="0"/>
          <w14:ligatures w14:val="none"/>
        </w:rPr>
        <w:t>A. lumbricoides</w:t>
      </w:r>
      <w:r w:rsidRPr="005B115B">
        <w:rPr>
          <w:rFonts w:ascii="Times New Roman" w:eastAsia="Times New Roman" w:hAnsi="Times New Roman" w:cs="Times New Roman"/>
          <w:color w:val="000000" w:themeColor="text1"/>
          <w:kern w:val="0"/>
          <w14:ligatures w14:val="none"/>
        </w:rPr>
        <w:t xml:space="preserve"> predominates due to its high egg production and environmental resilience (</w:t>
      </w:r>
      <w:proofErr w:type="spellStart"/>
      <w:r w:rsidRPr="005B115B">
        <w:rPr>
          <w:rFonts w:ascii="Times New Roman" w:eastAsia="Times New Roman" w:hAnsi="Times New Roman" w:cs="Times New Roman"/>
          <w:color w:val="000000" w:themeColor="text1"/>
          <w:kern w:val="0"/>
          <w14:ligatures w14:val="none"/>
        </w:rPr>
        <w:t>Bethony</w:t>
      </w:r>
      <w:proofErr w:type="spellEnd"/>
      <w:r w:rsidRPr="005B115B">
        <w:rPr>
          <w:rFonts w:ascii="Times New Roman" w:eastAsia="Times New Roman" w:hAnsi="Times New Roman" w:cs="Times New Roman"/>
          <w:color w:val="000000" w:themeColor="text1"/>
          <w:kern w:val="0"/>
          <w14:ligatures w14:val="none"/>
        </w:rPr>
        <w:t xml:space="preserve"> et al., 2006; </w:t>
      </w:r>
      <w:proofErr w:type="spellStart"/>
      <w:r w:rsidRPr="005B115B">
        <w:rPr>
          <w:rFonts w:ascii="Times New Roman" w:eastAsia="Times New Roman" w:hAnsi="Times New Roman" w:cs="Times New Roman"/>
          <w:color w:val="000000" w:themeColor="text1"/>
          <w:kern w:val="0"/>
          <w14:ligatures w14:val="none"/>
        </w:rPr>
        <w:t>Knopp</w:t>
      </w:r>
      <w:proofErr w:type="spellEnd"/>
      <w:r w:rsidRPr="005B115B">
        <w:rPr>
          <w:rFonts w:ascii="Times New Roman" w:eastAsia="Times New Roman" w:hAnsi="Times New Roman" w:cs="Times New Roman"/>
          <w:color w:val="000000" w:themeColor="text1"/>
          <w:kern w:val="0"/>
          <w14:ligatures w14:val="none"/>
        </w:rPr>
        <w:t xml:space="preserve"> et al., 2012). The relatively high prevalence of protozoan infections, particularly </w:t>
      </w:r>
      <w:r w:rsidRPr="005B115B">
        <w:rPr>
          <w:rFonts w:ascii="Times New Roman" w:eastAsia="Times New Roman" w:hAnsi="Times New Roman" w:cs="Times New Roman"/>
          <w:i/>
          <w:iCs/>
          <w:color w:val="000000" w:themeColor="text1"/>
          <w:kern w:val="0"/>
          <w14:ligatures w14:val="none"/>
        </w:rPr>
        <w:t>E. histolytica</w:t>
      </w:r>
      <w:r w:rsidRPr="005B115B">
        <w:rPr>
          <w:rFonts w:ascii="Times New Roman" w:eastAsia="Times New Roman" w:hAnsi="Times New Roman" w:cs="Times New Roman"/>
          <w:color w:val="000000" w:themeColor="text1"/>
          <w:kern w:val="0"/>
          <w14:ligatures w14:val="none"/>
        </w:rPr>
        <w:t>, suggests ongoing fecal–oral transmission linked to contaminated water sources. Studies have shown that protozoan infections often co-exist with helminths in areas lacking safe drinking water and sanitation infrastructure (</w:t>
      </w:r>
      <w:proofErr w:type="spellStart"/>
      <w:r w:rsidRPr="005B115B">
        <w:rPr>
          <w:rFonts w:ascii="Times New Roman" w:eastAsia="Times New Roman" w:hAnsi="Times New Roman" w:cs="Times New Roman"/>
          <w:color w:val="000000" w:themeColor="text1"/>
          <w:kern w:val="0"/>
          <w14:ligatures w14:val="none"/>
        </w:rPr>
        <w:t>Speich</w:t>
      </w:r>
      <w:proofErr w:type="spellEnd"/>
      <w:r w:rsidRPr="005B115B">
        <w:rPr>
          <w:rFonts w:ascii="Times New Roman" w:eastAsia="Times New Roman" w:hAnsi="Times New Roman" w:cs="Times New Roman"/>
          <w:color w:val="000000" w:themeColor="text1"/>
          <w:kern w:val="0"/>
          <w14:ligatures w14:val="none"/>
        </w:rPr>
        <w:t xml:space="preserve"> et al., 2013).</w:t>
      </w:r>
    </w:p>
    <w:p w14:paraId="62837ADA" w14:textId="3485A064"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The parasite load analysis demonstrated significant variation among species, with </w:t>
      </w:r>
      <w:r w:rsidRPr="005B115B">
        <w:rPr>
          <w:rFonts w:ascii="Times New Roman" w:eastAsia="Times New Roman" w:hAnsi="Times New Roman" w:cs="Times New Roman"/>
          <w:i/>
          <w:iCs/>
          <w:color w:val="000000" w:themeColor="text1"/>
          <w:kern w:val="0"/>
          <w14:ligatures w14:val="none"/>
        </w:rPr>
        <w:t>A. lumbricoides</w:t>
      </w:r>
      <w:r w:rsidRPr="005B115B">
        <w:rPr>
          <w:rFonts w:ascii="Times New Roman" w:eastAsia="Times New Roman" w:hAnsi="Times New Roman" w:cs="Times New Roman"/>
          <w:color w:val="000000" w:themeColor="text1"/>
          <w:kern w:val="0"/>
          <w14:ligatures w14:val="none"/>
        </w:rPr>
        <w:t xml:space="preserve"> showing the highest intensity (188.3 ± 6.5 eggs/g) and </w:t>
      </w:r>
      <w:r w:rsidRPr="005B115B">
        <w:rPr>
          <w:rFonts w:ascii="Times New Roman" w:eastAsia="Times New Roman" w:hAnsi="Times New Roman" w:cs="Times New Roman"/>
          <w:i/>
          <w:iCs/>
          <w:color w:val="000000" w:themeColor="text1"/>
          <w:kern w:val="0"/>
          <w14:ligatures w14:val="none"/>
        </w:rPr>
        <w:t xml:space="preserve">T. </w:t>
      </w:r>
      <w:proofErr w:type="spellStart"/>
      <w:r w:rsidRPr="005B115B">
        <w:rPr>
          <w:rFonts w:ascii="Times New Roman" w:eastAsia="Times New Roman" w:hAnsi="Times New Roman" w:cs="Times New Roman"/>
          <w:i/>
          <w:iCs/>
          <w:color w:val="000000" w:themeColor="text1"/>
          <w:kern w:val="0"/>
          <w14:ligatures w14:val="none"/>
        </w:rPr>
        <w:t>trichiura</w:t>
      </w:r>
      <w:proofErr w:type="spellEnd"/>
      <w:r w:rsidRPr="005B115B">
        <w:rPr>
          <w:rFonts w:ascii="Times New Roman" w:eastAsia="Times New Roman" w:hAnsi="Times New Roman" w:cs="Times New Roman"/>
          <w:color w:val="000000" w:themeColor="text1"/>
          <w:kern w:val="0"/>
          <w14:ligatures w14:val="none"/>
        </w:rPr>
        <w:t xml:space="preserve"> the lowest (87.7 ± 2.5 eggs/g). The statistically significant differences (p &lt; 0.05) highlight species-specific reproductive capacity and host-parasite interactions. High egg output in </w:t>
      </w:r>
      <w:r w:rsidRPr="005B115B">
        <w:rPr>
          <w:rFonts w:ascii="Times New Roman" w:eastAsia="Times New Roman" w:hAnsi="Times New Roman" w:cs="Times New Roman"/>
          <w:i/>
          <w:iCs/>
          <w:color w:val="000000" w:themeColor="text1"/>
          <w:kern w:val="0"/>
          <w14:ligatures w14:val="none"/>
        </w:rPr>
        <w:t>A. lumbricoides</w:t>
      </w:r>
      <w:r w:rsidRPr="005B115B">
        <w:rPr>
          <w:rFonts w:ascii="Times New Roman" w:eastAsia="Times New Roman" w:hAnsi="Times New Roman" w:cs="Times New Roman"/>
          <w:color w:val="000000" w:themeColor="text1"/>
          <w:kern w:val="0"/>
          <w14:ligatures w14:val="none"/>
        </w:rPr>
        <w:t xml:space="preserve"> has been associated with increased transmission potential and environmental contamination (Campbell et al., 2014). Conversely, the lower intensity observed in </w:t>
      </w:r>
      <w:r w:rsidRPr="005B115B">
        <w:rPr>
          <w:rFonts w:ascii="Times New Roman" w:eastAsia="Times New Roman" w:hAnsi="Times New Roman" w:cs="Times New Roman"/>
          <w:i/>
          <w:iCs/>
          <w:color w:val="000000" w:themeColor="text1"/>
          <w:kern w:val="0"/>
          <w14:ligatures w14:val="none"/>
        </w:rPr>
        <w:t xml:space="preserve">T. </w:t>
      </w:r>
      <w:proofErr w:type="spellStart"/>
      <w:r w:rsidRPr="005B115B">
        <w:rPr>
          <w:rFonts w:ascii="Times New Roman" w:eastAsia="Times New Roman" w:hAnsi="Times New Roman" w:cs="Times New Roman"/>
          <w:i/>
          <w:iCs/>
          <w:color w:val="000000" w:themeColor="text1"/>
          <w:kern w:val="0"/>
          <w14:ligatures w14:val="none"/>
        </w:rPr>
        <w:t>trichiura</w:t>
      </w:r>
      <w:proofErr w:type="spellEnd"/>
      <w:r w:rsidRPr="005B115B">
        <w:rPr>
          <w:rFonts w:ascii="Times New Roman" w:eastAsia="Times New Roman" w:hAnsi="Times New Roman" w:cs="Times New Roman"/>
          <w:color w:val="000000" w:themeColor="text1"/>
          <w:kern w:val="0"/>
          <w14:ligatures w14:val="none"/>
        </w:rPr>
        <w:t xml:space="preserve"> may reflect either lower infection rates or partial immunity in the host population (Else et al., 2020).</w:t>
      </w:r>
    </w:p>
    <w:p w14:paraId="690CE797" w14:textId="218FB931"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Age-related prevalence</w:t>
      </w:r>
      <w:r w:rsidR="005B115B">
        <w:rPr>
          <w:rFonts w:ascii="Times New Roman" w:eastAsia="Times New Roman" w:hAnsi="Times New Roman" w:cs="Times New Roman"/>
          <w:color w:val="000000" w:themeColor="text1"/>
          <w:kern w:val="0"/>
          <w14:ligatures w14:val="none"/>
        </w:rPr>
        <w:t xml:space="preserve"> </w:t>
      </w:r>
      <w:r w:rsidRPr="005B115B">
        <w:rPr>
          <w:rFonts w:ascii="Times New Roman" w:eastAsia="Times New Roman" w:hAnsi="Times New Roman" w:cs="Times New Roman"/>
          <w:color w:val="000000" w:themeColor="text1"/>
          <w:kern w:val="0"/>
          <w14:ligatures w14:val="none"/>
        </w:rPr>
        <w:t>showed that children aged 8–10 years had the highest infection rate (55.3%), with a significant association between age and infection (p &lt; 0.05). This finding aligns with previous studies indicating that children in this age group are more actively engaged in outdoor activities, increasing their exposure to contaminated environments (Oswald et al., 2017). Younger children often lack adequate hygiene awareness, while older children may develop partial immunity or improved hygienic behavior, leading to reduced infection rates (</w:t>
      </w:r>
      <w:proofErr w:type="spellStart"/>
      <w:r w:rsidRPr="005B115B">
        <w:rPr>
          <w:rFonts w:ascii="Times New Roman" w:eastAsia="Times New Roman" w:hAnsi="Times New Roman" w:cs="Times New Roman"/>
          <w:color w:val="000000" w:themeColor="text1"/>
          <w:kern w:val="0"/>
          <w14:ligatures w14:val="none"/>
        </w:rPr>
        <w:t>Addiss</w:t>
      </w:r>
      <w:proofErr w:type="spellEnd"/>
      <w:r w:rsidRPr="005B115B">
        <w:rPr>
          <w:rFonts w:ascii="Times New Roman" w:eastAsia="Times New Roman" w:hAnsi="Times New Roman" w:cs="Times New Roman"/>
          <w:color w:val="000000" w:themeColor="text1"/>
          <w:kern w:val="0"/>
          <w14:ligatures w14:val="none"/>
        </w:rPr>
        <w:t xml:space="preserve"> et al., 2015).</w:t>
      </w:r>
    </w:p>
    <w:p w14:paraId="2F1D895D" w14:textId="47D18D03"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Gender distribution revealed a slightly higher prevalence in males (50.8%) compared to females (44.9%), although the difference was not statistically significant (p &gt; 0.05). This suggests that both sexes are equally exposed to infection risks in the study area. Similar observations have been reported in studies where gender differences were minimal and not a major determinant of infection (</w:t>
      </w:r>
      <w:proofErr w:type="spellStart"/>
      <w:r w:rsidRPr="005B115B">
        <w:rPr>
          <w:rFonts w:ascii="Times New Roman" w:eastAsia="Times New Roman" w:hAnsi="Times New Roman" w:cs="Times New Roman"/>
          <w:color w:val="000000" w:themeColor="text1"/>
          <w:kern w:val="0"/>
          <w14:ligatures w14:val="none"/>
        </w:rPr>
        <w:t>Mbae</w:t>
      </w:r>
      <w:proofErr w:type="spellEnd"/>
      <w:r w:rsidRPr="005B115B">
        <w:rPr>
          <w:rFonts w:ascii="Times New Roman" w:eastAsia="Times New Roman" w:hAnsi="Times New Roman" w:cs="Times New Roman"/>
          <w:color w:val="000000" w:themeColor="text1"/>
          <w:kern w:val="0"/>
          <w14:ligatures w14:val="none"/>
        </w:rPr>
        <w:t xml:space="preserve"> et al., 2018). However, in some cultural settings, males may exhibit higher exposure due to outdoor activities, though this was not strongly evident in the present study.</w:t>
      </w:r>
    </w:p>
    <w:p w14:paraId="1B2B71C8" w14:textId="388480AE"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lastRenderedPageBreak/>
        <w:t xml:space="preserve">The </w:t>
      </w:r>
      <w:r w:rsidR="00D371D0">
        <w:rPr>
          <w:rFonts w:ascii="Times New Roman" w:eastAsia="Times New Roman" w:hAnsi="Times New Roman" w:cs="Times New Roman"/>
          <w:color w:val="000000" w:themeColor="text1"/>
          <w:kern w:val="0"/>
          <w14:ligatures w14:val="none"/>
        </w:rPr>
        <w:t>in-vivo</w:t>
      </w:r>
      <w:r w:rsidRPr="005B115B">
        <w:rPr>
          <w:rFonts w:ascii="Times New Roman" w:eastAsia="Times New Roman" w:hAnsi="Times New Roman" w:cs="Times New Roman"/>
          <w:color w:val="000000" w:themeColor="text1"/>
          <w:kern w:val="0"/>
          <w14:ligatures w14:val="none"/>
        </w:rPr>
        <w:t xml:space="preserve"> characterization results provide a novel contribution to this study. </w:t>
      </w:r>
      <w:r w:rsidRPr="005B115B">
        <w:rPr>
          <w:rFonts w:ascii="Times New Roman" w:eastAsia="Times New Roman" w:hAnsi="Times New Roman" w:cs="Times New Roman"/>
          <w:i/>
          <w:iCs/>
          <w:color w:val="000000" w:themeColor="text1"/>
          <w:kern w:val="0"/>
          <w14:ligatures w14:val="none"/>
        </w:rPr>
        <w:t>Entamoeba histolytica</w:t>
      </w:r>
      <w:r w:rsidRPr="005B115B">
        <w:rPr>
          <w:rFonts w:ascii="Times New Roman" w:eastAsia="Times New Roman" w:hAnsi="Times New Roman" w:cs="Times New Roman"/>
          <w:color w:val="000000" w:themeColor="text1"/>
          <w:kern w:val="0"/>
          <w14:ligatures w14:val="none"/>
        </w:rPr>
        <w:t xml:space="preserve"> demonstrated significantly higher growth rates (</w:t>
      </w:r>
      <w:r w:rsidRPr="00DF0137">
        <w:rPr>
          <w:rFonts w:ascii="Times New Roman" w:eastAsia="Times New Roman" w:hAnsi="Times New Roman" w:cs="Times New Roman"/>
          <w:color w:val="000000" w:themeColor="text1"/>
          <w:kern w:val="0"/>
          <w14:ligatures w14:val="none"/>
        </w:rPr>
        <w:t>46.7 ± 1.5 cells/field</w:t>
      </w:r>
      <w:r w:rsidRPr="005B115B">
        <w:rPr>
          <w:rFonts w:ascii="Times New Roman" w:eastAsia="Times New Roman" w:hAnsi="Times New Roman" w:cs="Times New Roman"/>
          <w:color w:val="000000" w:themeColor="text1"/>
          <w:kern w:val="0"/>
          <w14:ligatures w14:val="none"/>
        </w:rPr>
        <w:t xml:space="preserve">) compared to </w:t>
      </w:r>
      <w:r w:rsidRPr="005B115B">
        <w:rPr>
          <w:rFonts w:ascii="Times New Roman" w:eastAsia="Times New Roman" w:hAnsi="Times New Roman" w:cs="Times New Roman"/>
          <w:i/>
          <w:iCs/>
          <w:color w:val="000000" w:themeColor="text1"/>
          <w:kern w:val="0"/>
          <w14:ligatures w14:val="none"/>
        </w:rPr>
        <w:t>G</w:t>
      </w:r>
      <w:r w:rsidR="00D371D0">
        <w:rPr>
          <w:rFonts w:ascii="Times New Roman" w:eastAsia="Times New Roman" w:hAnsi="Times New Roman" w:cs="Times New Roman"/>
          <w:i/>
          <w:iCs/>
          <w:color w:val="000000" w:themeColor="text1"/>
          <w:kern w:val="0"/>
          <w14:ligatures w14:val="none"/>
        </w:rPr>
        <w:t>.</w:t>
      </w:r>
      <w:r w:rsidRPr="005B115B">
        <w:rPr>
          <w:rFonts w:ascii="Times New Roman" w:eastAsia="Times New Roman" w:hAnsi="Times New Roman" w:cs="Times New Roman"/>
          <w:i/>
          <w:iCs/>
          <w:color w:val="000000" w:themeColor="text1"/>
          <w:kern w:val="0"/>
          <w14:ligatures w14:val="none"/>
        </w:rPr>
        <w:t xml:space="preserve"> lamblia</w:t>
      </w:r>
      <w:r w:rsidRPr="005B115B">
        <w:rPr>
          <w:rFonts w:ascii="Times New Roman" w:eastAsia="Times New Roman" w:hAnsi="Times New Roman" w:cs="Times New Roman"/>
          <w:color w:val="000000" w:themeColor="text1"/>
          <w:kern w:val="0"/>
          <w14:ligatures w14:val="none"/>
        </w:rPr>
        <w:t xml:space="preserve"> (</w:t>
      </w:r>
      <w:r w:rsidRPr="00DF0137">
        <w:rPr>
          <w:rFonts w:ascii="Times New Roman" w:eastAsia="Times New Roman" w:hAnsi="Times New Roman" w:cs="Times New Roman"/>
          <w:color w:val="000000" w:themeColor="text1"/>
          <w:kern w:val="0"/>
          <w14:ligatures w14:val="none"/>
        </w:rPr>
        <w:t>32.0 ± 2.0 cells/field</w:t>
      </w:r>
      <w:r w:rsidRPr="005B115B">
        <w:rPr>
          <w:rFonts w:ascii="Times New Roman" w:eastAsia="Times New Roman" w:hAnsi="Times New Roman" w:cs="Times New Roman"/>
          <w:color w:val="000000" w:themeColor="text1"/>
          <w:kern w:val="0"/>
          <w14:ligatures w14:val="none"/>
        </w:rPr>
        <w:t xml:space="preserve">, p &lt; 0.05). This suggests that </w:t>
      </w:r>
      <w:r w:rsidRPr="005B115B">
        <w:rPr>
          <w:rFonts w:ascii="Times New Roman" w:eastAsia="Times New Roman" w:hAnsi="Times New Roman" w:cs="Times New Roman"/>
          <w:i/>
          <w:iCs/>
          <w:color w:val="000000" w:themeColor="text1"/>
          <w:kern w:val="0"/>
          <w14:ligatures w14:val="none"/>
        </w:rPr>
        <w:t>E. histolytica</w:t>
      </w:r>
      <w:r w:rsidRPr="005B115B">
        <w:rPr>
          <w:rFonts w:ascii="Times New Roman" w:eastAsia="Times New Roman" w:hAnsi="Times New Roman" w:cs="Times New Roman"/>
          <w:color w:val="000000" w:themeColor="text1"/>
          <w:kern w:val="0"/>
          <w14:ligatures w14:val="none"/>
        </w:rPr>
        <w:t xml:space="preserve"> may possess greater adaptability to laboratory conditions and possibly enhanced survival mechanisms. Previous studies have reported that </w:t>
      </w:r>
      <w:r w:rsidRPr="005B115B">
        <w:rPr>
          <w:rFonts w:ascii="Times New Roman" w:eastAsia="Times New Roman" w:hAnsi="Times New Roman" w:cs="Times New Roman"/>
          <w:i/>
          <w:iCs/>
          <w:color w:val="000000" w:themeColor="text1"/>
          <w:kern w:val="0"/>
          <w14:ligatures w14:val="none"/>
        </w:rPr>
        <w:t>E. histolytica</w:t>
      </w:r>
      <w:r w:rsidRPr="005B115B">
        <w:rPr>
          <w:rFonts w:ascii="Times New Roman" w:eastAsia="Times New Roman" w:hAnsi="Times New Roman" w:cs="Times New Roman"/>
          <w:color w:val="000000" w:themeColor="text1"/>
          <w:kern w:val="0"/>
          <w14:ligatures w14:val="none"/>
        </w:rPr>
        <w:t xml:space="preserve"> exhibits rapid trophozoite multiplication under favorable conditions, contributing to its pathogenicity (Stanley, 2003). The slower growth of </w:t>
      </w:r>
      <w:r w:rsidRPr="005B115B">
        <w:rPr>
          <w:rFonts w:ascii="Times New Roman" w:eastAsia="Times New Roman" w:hAnsi="Times New Roman" w:cs="Times New Roman"/>
          <w:i/>
          <w:iCs/>
          <w:color w:val="000000" w:themeColor="text1"/>
          <w:kern w:val="0"/>
          <w14:ligatures w14:val="none"/>
        </w:rPr>
        <w:t>G. lamblia</w:t>
      </w:r>
      <w:r w:rsidRPr="005B115B">
        <w:rPr>
          <w:rFonts w:ascii="Times New Roman" w:eastAsia="Times New Roman" w:hAnsi="Times New Roman" w:cs="Times New Roman"/>
          <w:color w:val="000000" w:themeColor="text1"/>
          <w:kern w:val="0"/>
          <w14:ligatures w14:val="none"/>
        </w:rPr>
        <w:t xml:space="preserve"> may reflect its sensitivity to environmental changes and nutrient requirements (</w:t>
      </w:r>
      <w:proofErr w:type="spellStart"/>
      <w:r w:rsidRPr="005B115B">
        <w:rPr>
          <w:rFonts w:ascii="Times New Roman" w:eastAsia="Times New Roman" w:hAnsi="Times New Roman" w:cs="Times New Roman"/>
          <w:color w:val="000000" w:themeColor="text1"/>
          <w:kern w:val="0"/>
          <w14:ligatures w14:val="none"/>
        </w:rPr>
        <w:t>Ankarklev</w:t>
      </w:r>
      <w:proofErr w:type="spellEnd"/>
      <w:r w:rsidRPr="005B115B">
        <w:rPr>
          <w:rFonts w:ascii="Times New Roman" w:eastAsia="Times New Roman" w:hAnsi="Times New Roman" w:cs="Times New Roman"/>
          <w:color w:val="000000" w:themeColor="text1"/>
          <w:kern w:val="0"/>
          <w14:ligatures w14:val="none"/>
        </w:rPr>
        <w:t xml:space="preserve"> et al., 2010).</w:t>
      </w:r>
    </w:p>
    <w:p w14:paraId="6CB8B396" w14:textId="54851DA1"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The association between risk factors and </w:t>
      </w:r>
      <w:r w:rsidR="00DF0137" w:rsidRPr="005B115B">
        <w:rPr>
          <w:rFonts w:ascii="Times New Roman" w:eastAsia="Times New Roman" w:hAnsi="Times New Roman" w:cs="Times New Roman"/>
          <w:color w:val="000000" w:themeColor="text1"/>
          <w:kern w:val="0"/>
          <w14:ligatures w14:val="none"/>
        </w:rPr>
        <w:t>infection highlights</w:t>
      </w:r>
      <w:r w:rsidRPr="005B115B">
        <w:rPr>
          <w:rFonts w:ascii="Times New Roman" w:eastAsia="Times New Roman" w:hAnsi="Times New Roman" w:cs="Times New Roman"/>
          <w:color w:val="000000" w:themeColor="text1"/>
          <w:kern w:val="0"/>
          <w14:ligatures w14:val="none"/>
        </w:rPr>
        <w:t xml:space="preserve"> the significant role of environmental and behavioral determinants. Children consuming untreated water showed the highest infection rate (62.6%), followed by those practicing open defecation (59.1%) and barefoot walking (54.8%), all with significant associations (p &lt; 0.05). These findings are consistent with studies linking poor sanitation and unsafe water to increased transmission of intestinal parasites (</w:t>
      </w:r>
      <w:proofErr w:type="spellStart"/>
      <w:r w:rsidRPr="005B115B">
        <w:rPr>
          <w:rFonts w:ascii="Times New Roman" w:eastAsia="Times New Roman" w:hAnsi="Times New Roman" w:cs="Times New Roman"/>
          <w:color w:val="000000" w:themeColor="text1"/>
          <w:kern w:val="0"/>
          <w14:ligatures w14:val="none"/>
        </w:rPr>
        <w:t>Strunz</w:t>
      </w:r>
      <w:proofErr w:type="spellEnd"/>
      <w:r w:rsidRPr="005B115B">
        <w:rPr>
          <w:rFonts w:ascii="Times New Roman" w:eastAsia="Times New Roman" w:hAnsi="Times New Roman" w:cs="Times New Roman"/>
          <w:color w:val="000000" w:themeColor="text1"/>
          <w:kern w:val="0"/>
          <w14:ligatures w14:val="none"/>
        </w:rPr>
        <w:t xml:space="preserve"> et al., 2014). The strong association emphasizes the importance of integrated interventions, including water, sanitation, and hygiene (WASH) programs.</w:t>
      </w:r>
    </w:p>
    <w:p w14:paraId="331F2995" w14:textId="2A8B5553" w:rsidR="000F6C64"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The analysis of infection patterns revealed that single infections (</w:t>
      </w:r>
      <w:r w:rsidRPr="00DF0137">
        <w:rPr>
          <w:rFonts w:ascii="Times New Roman" w:eastAsia="Times New Roman" w:hAnsi="Times New Roman" w:cs="Times New Roman"/>
          <w:color w:val="000000" w:themeColor="text1"/>
          <w:kern w:val="0"/>
          <w14:ligatures w14:val="none"/>
        </w:rPr>
        <w:t>73.7 ± 1.5</w:t>
      </w:r>
      <w:r w:rsidRPr="005B115B">
        <w:rPr>
          <w:rFonts w:ascii="Times New Roman" w:eastAsia="Times New Roman" w:hAnsi="Times New Roman" w:cs="Times New Roman"/>
          <w:color w:val="000000" w:themeColor="text1"/>
          <w:kern w:val="0"/>
          <w14:ligatures w14:val="none"/>
        </w:rPr>
        <w:t>) were significantly more common than mixed infections (</w:t>
      </w:r>
      <w:r w:rsidRPr="00DF0137">
        <w:rPr>
          <w:rFonts w:ascii="Times New Roman" w:eastAsia="Times New Roman" w:hAnsi="Times New Roman" w:cs="Times New Roman"/>
          <w:color w:val="000000" w:themeColor="text1"/>
          <w:kern w:val="0"/>
          <w14:ligatures w14:val="none"/>
        </w:rPr>
        <w:t>41.7 ± 1.5,</w:t>
      </w:r>
      <w:r w:rsidRPr="005B115B">
        <w:rPr>
          <w:rFonts w:ascii="Times New Roman" w:eastAsia="Times New Roman" w:hAnsi="Times New Roman" w:cs="Times New Roman"/>
          <w:color w:val="000000" w:themeColor="text1"/>
          <w:kern w:val="0"/>
          <w14:ligatures w14:val="none"/>
        </w:rPr>
        <w:t xml:space="preserve"> p &lt; 0.05). This suggests that although multiple infections occur, most children harbor a single dominant parasite species. Similar findings have been reported in endemic areas, where competition among parasites and host immune responses may limit the establishment of multiple species (</w:t>
      </w:r>
      <w:proofErr w:type="spellStart"/>
      <w:r w:rsidRPr="005B115B">
        <w:rPr>
          <w:rFonts w:ascii="Times New Roman" w:eastAsia="Times New Roman" w:hAnsi="Times New Roman" w:cs="Times New Roman"/>
          <w:color w:val="000000" w:themeColor="text1"/>
          <w:kern w:val="0"/>
          <w14:ligatures w14:val="none"/>
        </w:rPr>
        <w:t>Vaumourin</w:t>
      </w:r>
      <w:proofErr w:type="spellEnd"/>
      <w:r w:rsidRPr="005B115B">
        <w:rPr>
          <w:rFonts w:ascii="Times New Roman" w:eastAsia="Times New Roman" w:hAnsi="Times New Roman" w:cs="Times New Roman"/>
          <w:color w:val="000000" w:themeColor="text1"/>
          <w:kern w:val="0"/>
          <w14:ligatures w14:val="none"/>
        </w:rPr>
        <w:t xml:space="preserve"> et al., 2015). However, the presence of mixed infections still poses a significant health risk due to potential synergistic effects on morbidity.</w:t>
      </w:r>
    </w:p>
    <w:p w14:paraId="689E09F3" w14:textId="77777777" w:rsidR="005B115B" w:rsidRPr="005B115B" w:rsidRDefault="000F6C64"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The findings of this study demonstrate that intestinal parasitic infections remain a significant health concern among school children in rural communities. The integration of prevalence data with cultural characterization provides deeper insight into parasite biology and transmission dynamics. The observed patterns are influenced by environmental, behavioral, and biological factors, highlighting the need for comprehensive control strategies that combine chemotherapy, improved sanitation, and health education.</w:t>
      </w:r>
    </w:p>
    <w:p w14:paraId="6C591903" w14:textId="3AD03C58" w:rsidR="005B115B" w:rsidRPr="005B115B" w:rsidRDefault="00DF0137"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Conclusion</w:t>
      </w:r>
    </w:p>
    <w:p w14:paraId="1A7FE9A2" w14:textId="702B8C01"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This study </w:t>
      </w:r>
      <w:r w:rsidR="001E5E04">
        <w:rPr>
          <w:rFonts w:ascii="Times New Roman" w:eastAsia="Times New Roman" w:hAnsi="Times New Roman" w:cs="Times New Roman"/>
          <w:color w:val="000000" w:themeColor="text1"/>
          <w:kern w:val="0"/>
          <w14:ligatures w14:val="none"/>
        </w:rPr>
        <w:t>demonstrated</w:t>
      </w:r>
      <w:r w:rsidRPr="005B115B">
        <w:rPr>
          <w:rFonts w:ascii="Times New Roman" w:eastAsia="Times New Roman" w:hAnsi="Times New Roman" w:cs="Times New Roman"/>
          <w:color w:val="000000" w:themeColor="text1"/>
          <w:kern w:val="0"/>
          <w14:ligatures w14:val="none"/>
        </w:rPr>
        <w:t xml:space="preserve"> a moderately </w:t>
      </w:r>
      <w:r w:rsidR="00D371D0">
        <w:rPr>
          <w:rFonts w:ascii="Times New Roman" w:eastAsia="Times New Roman" w:hAnsi="Times New Roman" w:cs="Times New Roman"/>
          <w:color w:val="000000" w:themeColor="text1"/>
          <w:kern w:val="0"/>
          <w14:ligatures w14:val="none"/>
        </w:rPr>
        <w:t xml:space="preserve">to </w:t>
      </w:r>
      <w:r w:rsidRPr="005B115B">
        <w:rPr>
          <w:rFonts w:ascii="Times New Roman" w:eastAsia="Times New Roman" w:hAnsi="Times New Roman" w:cs="Times New Roman"/>
          <w:color w:val="000000" w:themeColor="text1"/>
          <w:kern w:val="0"/>
          <w14:ligatures w14:val="none"/>
        </w:rPr>
        <w:t xml:space="preserve">high prevalence of intestinal parasitic infections among school children in rural communities, indicating persistent exposure to contaminated environments. </w:t>
      </w:r>
      <w:r w:rsidRPr="005B115B">
        <w:rPr>
          <w:rFonts w:ascii="Times New Roman" w:eastAsia="Times New Roman" w:hAnsi="Times New Roman" w:cs="Times New Roman"/>
          <w:i/>
          <w:iCs/>
          <w:color w:val="000000" w:themeColor="text1"/>
          <w:kern w:val="0"/>
          <w14:ligatures w14:val="none"/>
        </w:rPr>
        <w:t>Ascaris lumbricoides</w:t>
      </w:r>
      <w:r w:rsidRPr="005B115B">
        <w:rPr>
          <w:rFonts w:ascii="Times New Roman" w:eastAsia="Times New Roman" w:hAnsi="Times New Roman" w:cs="Times New Roman"/>
          <w:color w:val="000000" w:themeColor="text1"/>
          <w:kern w:val="0"/>
          <w14:ligatures w14:val="none"/>
        </w:rPr>
        <w:t xml:space="preserve"> was the most prevalent and intense infection, while </w:t>
      </w:r>
      <w:r w:rsidRPr="005B115B">
        <w:rPr>
          <w:rFonts w:ascii="Times New Roman" w:eastAsia="Times New Roman" w:hAnsi="Times New Roman" w:cs="Times New Roman"/>
          <w:i/>
          <w:iCs/>
          <w:color w:val="000000" w:themeColor="text1"/>
          <w:kern w:val="0"/>
          <w14:ligatures w14:val="none"/>
        </w:rPr>
        <w:t>E</w:t>
      </w:r>
      <w:r w:rsidR="001323E7">
        <w:rPr>
          <w:rFonts w:ascii="Times New Roman" w:eastAsia="Times New Roman" w:hAnsi="Times New Roman" w:cs="Times New Roman"/>
          <w:i/>
          <w:iCs/>
          <w:color w:val="000000" w:themeColor="text1"/>
          <w:kern w:val="0"/>
          <w14:ligatures w14:val="none"/>
        </w:rPr>
        <w:t>.</w:t>
      </w:r>
      <w:r w:rsidRPr="005B115B">
        <w:rPr>
          <w:rFonts w:ascii="Times New Roman" w:eastAsia="Times New Roman" w:hAnsi="Times New Roman" w:cs="Times New Roman"/>
          <w:i/>
          <w:iCs/>
          <w:color w:val="000000" w:themeColor="text1"/>
          <w:kern w:val="0"/>
          <w14:ligatures w14:val="none"/>
        </w:rPr>
        <w:t xml:space="preserve"> histolytica</w:t>
      </w:r>
      <w:r w:rsidRPr="005B115B">
        <w:rPr>
          <w:rFonts w:ascii="Times New Roman" w:eastAsia="Times New Roman" w:hAnsi="Times New Roman" w:cs="Times New Roman"/>
          <w:color w:val="000000" w:themeColor="text1"/>
          <w:kern w:val="0"/>
          <w14:ligatures w14:val="none"/>
        </w:rPr>
        <w:t xml:space="preserve"> showed the highest growth adaptability in culture. Infection was significantly associated with age and environmental risk factors such as untreated water, poor sanitation, and barefoot walking. The findings highlight not only the burden of infection but also important biological differences in parasite behavior, emphasizing the need for integrated control strategies.</w:t>
      </w:r>
    </w:p>
    <w:p w14:paraId="02D934B0" w14:textId="7C9A50B3" w:rsidR="005B115B" w:rsidRPr="005B115B" w:rsidRDefault="00DF0137"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Recommendations</w:t>
      </w:r>
    </w:p>
    <w:p w14:paraId="0671FB9E" w14:textId="396ADA80" w:rsidR="00191434" w:rsidRPr="005B115B" w:rsidRDefault="001E5E04" w:rsidP="005B115B">
      <w:pPr>
        <w:spacing w:after="120" w:line="240" w:lineRule="auto"/>
        <w:jc w:val="both"/>
        <w:rPr>
          <w:rFonts w:ascii="Times New Roman" w:eastAsia="Times New Roman" w:hAnsi="Times New Roman" w:cs="Times New Roman"/>
          <w:color w:val="000000" w:themeColor="text1"/>
          <w:kern w:val="0"/>
          <w14:ligatures w14:val="none"/>
        </w:rPr>
      </w:pPr>
      <w:r w:rsidRPr="001E5E04">
        <w:rPr>
          <w:rFonts w:ascii="Times New Roman" w:hAnsi="Times New Roman" w:cs="Times New Roman"/>
        </w:rPr>
        <w:t>Regular school-based deworming programs should be implemented</w:t>
      </w:r>
      <w:r w:rsidR="005B115B" w:rsidRPr="001E5E04">
        <w:rPr>
          <w:rFonts w:ascii="Times New Roman" w:eastAsia="Times New Roman" w:hAnsi="Times New Roman" w:cs="Times New Roman"/>
          <w:color w:val="000000" w:themeColor="text1"/>
          <w:kern w:val="0"/>
          <w14:ligatures w14:val="none"/>
        </w:rPr>
        <w:t>.</w:t>
      </w:r>
      <w:r w:rsidR="005B115B" w:rsidRPr="005B115B">
        <w:rPr>
          <w:rFonts w:ascii="Times New Roman" w:eastAsia="Times New Roman" w:hAnsi="Times New Roman" w:cs="Times New Roman"/>
          <w:color w:val="000000" w:themeColor="text1"/>
          <w:kern w:val="0"/>
          <w14:ligatures w14:val="none"/>
        </w:rPr>
        <w:t xml:space="preserve"> Access to clean water and improved sanitation should be prioritized. Health education on personal hygiene practices is essential. Routine screening should also be implemented for early detection and control.</w:t>
      </w:r>
    </w:p>
    <w:p w14:paraId="6A3774B8" w14:textId="225A8A22" w:rsidR="00A8306D" w:rsidRPr="005B115B" w:rsidRDefault="00A8306D"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b/>
          <w:bCs/>
          <w:color w:val="000000" w:themeColor="text1"/>
          <w:kern w:val="0"/>
          <w14:ligatures w14:val="none"/>
        </w:rPr>
        <w:t xml:space="preserve">References </w:t>
      </w:r>
    </w:p>
    <w:p w14:paraId="1B1B56F6" w14:textId="77777777" w:rsidR="005B115B" w:rsidRPr="005B115B" w:rsidRDefault="005B115B" w:rsidP="005B115B">
      <w:pPr>
        <w:pStyle w:val="NormalWeb"/>
        <w:spacing w:before="0" w:beforeAutospacing="0" w:after="120" w:afterAutospacing="0"/>
        <w:jc w:val="both"/>
        <w:rPr>
          <w:color w:val="000000" w:themeColor="text1"/>
        </w:rPr>
      </w:pPr>
      <w:proofErr w:type="spellStart"/>
      <w:r w:rsidRPr="005B115B">
        <w:rPr>
          <w:color w:val="000000" w:themeColor="text1"/>
        </w:rPr>
        <w:t>Addiss</w:t>
      </w:r>
      <w:proofErr w:type="spellEnd"/>
      <w:r w:rsidRPr="005B115B">
        <w:rPr>
          <w:color w:val="000000" w:themeColor="text1"/>
        </w:rPr>
        <w:t xml:space="preserve">, D. G., Freeman, M. C., &amp; Beach, M. J. (2015). Control of soil-transmitted helminthiasis in children. </w:t>
      </w:r>
      <w:r w:rsidRPr="005B115B">
        <w:rPr>
          <w:rStyle w:val="Emphasis"/>
          <w:color w:val="000000" w:themeColor="text1"/>
        </w:rPr>
        <w:t>The Lancet Infectious Diseases, 15</w:t>
      </w:r>
      <w:r w:rsidRPr="005B115B">
        <w:rPr>
          <w:color w:val="000000" w:themeColor="text1"/>
        </w:rPr>
        <w:t>(5), 547–558.</w:t>
      </w:r>
    </w:p>
    <w:p w14:paraId="02E3CDF3" w14:textId="77777777" w:rsidR="005B115B" w:rsidRPr="005B115B" w:rsidRDefault="005B115B" w:rsidP="005B115B">
      <w:pPr>
        <w:pStyle w:val="NormalWeb"/>
        <w:spacing w:before="0" w:beforeAutospacing="0" w:after="120" w:afterAutospacing="0"/>
        <w:jc w:val="both"/>
        <w:rPr>
          <w:color w:val="000000" w:themeColor="text1"/>
        </w:rPr>
      </w:pPr>
      <w:proofErr w:type="spellStart"/>
      <w:r w:rsidRPr="005B115B">
        <w:rPr>
          <w:color w:val="000000" w:themeColor="text1"/>
        </w:rPr>
        <w:lastRenderedPageBreak/>
        <w:t>Ankarklev</w:t>
      </w:r>
      <w:proofErr w:type="spellEnd"/>
      <w:r w:rsidRPr="005B115B">
        <w:rPr>
          <w:color w:val="000000" w:themeColor="text1"/>
        </w:rPr>
        <w:t xml:space="preserve">, J., </w:t>
      </w:r>
      <w:proofErr w:type="spellStart"/>
      <w:r w:rsidRPr="005B115B">
        <w:rPr>
          <w:color w:val="000000" w:themeColor="text1"/>
        </w:rPr>
        <w:t>Jerlström-Hultqvist</w:t>
      </w:r>
      <w:proofErr w:type="spellEnd"/>
      <w:r w:rsidRPr="005B115B">
        <w:rPr>
          <w:color w:val="000000" w:themeColor="text1"/>
        </w:rPr>
        <w:t xml:space="preserve">, J., </w:t>
      </w:r>
      <w:proofErr w:type="spellStart"/>
      <w:r w:rsidRPr="005B115B">
        <w:rPr>
          <w:color w:val="000000" w:themeColor="text1"/>
        </w:rPr>
        <w:t>Ringqvist</w:t>
      </w:r>
      <w:proofErr w:type="spellEnd"/>
      <w:r w:rsidRPr="005B115B">
        <w:rPr>
          <w:color w:val="000000" w:themeColor="text1"/>
        </w:rPr>
        <w:t xml:space="preserve">, E., </w:t>
      </w:r>
      <w:proofErr w:type="spellStart"/>
      <w:r w:rsidRPr="005B115B">
        <w:rPr>
          <w:color w:val="000000" w:themeColor="text1"/>
        </w:rPr>
        <w:t>Troell</w:t>
      </w:r>
      <w:proofErr w:type="spellEnd"/>
      <w:r w:rsidRPr="005B115B">
        <w:rPr>
          <w:color w:val="000000" w:themeColor="text1"/>
        </w:rPr>
        <w:t xml:space="preserve">, K., &amp; </w:t>
      </w:r>
      <w:proofErr w:type="spellStart"/>
      <w:r w:rsidRPr="005B115B">
        <w:rPr>
          <w:color w:val="000000" w:themeColor="text1"/>
        </w:rPr>
        <w:t>Svärd</w:t>
      </w:r>
      <w:proofErr w:type="spellEnd"/>
      <w:r w:rsidRPr="005B115B">
        <w:rPr>
          <w:color w:val="000000" w:themeColor="text1"/>
        </w:rPr>
        <w:t xml:space="preserve">, S. G. (2010). Behind the smile: Cell biology and disease mechanisms of </w:t>
      </w:r>
      <w:r w:rsidRPr="005B115B">
        <w:rPr>
          <w:rStyle w:val="Emphasis"/>
          <w:color w:val="000000" w:themeColor="text1"/>
        </w:rPr>
        <w:t>Giardia</w:t>
      </w:r>
      <w:r w:rsidRPr="005B115B">
        <w:rPr>
          <w:color w:val="000000" w:themeColor="text1"/>
        </w:rPr>
        <w:t xml:space="preserve"> species. </w:t>
      </w:r>
      <w:r w:rsidRPr="005B115B">
        <w:rPr>
          <w:rStyle w:val="Emphasis"/>
          <w:color w:val="000000" w:themeColor="text1"/>
        </w:rPr>
        <w:t>Clinical Microbiology Reviews, 23</w:t>
      </w:r>
      <w:r w:rsidRPr="005B115B">
        <w:rPr>
          <w:color w:val="000000" w:themeColor="text1"/>
        </w:rPr>
        <w:t>(3), 545–566.</w:t>
      </w:r>
    </w:p>
    <w:p w14:paraId="786087B0"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5B115B">
        <w:rPr>
          <w:rFonts w:ascii="Times New Roman" w:eastAsia="Times New Roman" w:hAnsi="Times New Roman" w:cs="Times New Roman"/>
          <w:color w:val="000000" w:themeColor="text1"/>
          <w:kern w:val="0"/>
          <w14:ligatures w14:val="none"/>
        </w:rPr>
        <w:t>Auta</w:t>
      </w:r>
      <w:proofErr w:type="spellEnd"/>
      <w:r w:rsidRPr="005B115B">
        <w:rPr>
          <w:rFonts w:ascii="Times New Roman" w:eastAsia="Times New Roman" w:hAnsi="Times New Roman" w:cs="Times New Roman"/>
          <w:color w:val="000000" w:themeColor="text1"/>
          <w:kern w:val="0"/>
          <w14:ligatures w14:val="none"/>
        </w:rPr>
        <w:t xml:space="preserve">, T., </w:t>
      </w:r>
      <w:proofErr w:type="spellStart"/>
      <w:r w:rsidRPr="005B115B">
        <w:rPr>
          <w:rFonts w:ascii="Times New Roman" w:eastAsia="Times New Roman" w:hAnsi="Times New Roman" w:cs="Times New Roman"/>
          <w:color w:val="000000" w:themeColor="text1"/>
          <w:kern w:val="0"/>
          <w14:ligatures w14:val="none"/>
        </w:rPr>
        <w:t>Kogi</w:t>
      </w:r>
      <w:proofErr w:type="spellEnd"/>
      <w:r w:rsidRPr="005B115B">
        <w:rPr>
          <w:rFonts w:ascii="Times New Roman" w:eastAsia="Times New Roman" w:hAnsi="Times New Roman" w:cs="Times New Roman"/>
          <w:color w:val="000000" w:themeColor="text1"/>
          <w:kern w:val="0"/>
          <w14:ligatures w14:val="none"/>
        </w:rPr>
        <w:t xml:space="preserve">, E., </w:t>
      </w:r>
      <w:proofErr w:type="spellStart"/>
      <w:r w:rsidRPr="005B115B">
        <w:rPr>
          <w:rFonts w:ascii="Times New Roman" w:eastAsia="Times New Roman" w:hAnsi="Times New Roman" w:cs="Times New Roman"/>
          <w:color w:val="000000" w:themeColor="text1"/>
          <w:kern w:val="0"/>
          <w14:ligatures w14:val="none"/>
        </w:rPr>
        <w:t>Audu</w:t>
      </w:r>
      <w:proofErr w:type="spellEnd"/>
      <w:r w:rsidRPr="005B115B">
        <w:rPr>
          <w:rFonts w:ascii="Times New Roman" w:eastAsia="Times New Roman" w:hAnsi="Times New Roman" w:cs="Times New Roman"/>
          <w:color w:val="000000" w:themeColor="text1"/>
          <w:kern w:val="0"/>
          <w14:ligatures w14:val="none"/>
        </w:rPr>
        <w:t xml:space="preserve">, P. A., &amp; Abdullahi, M. (2018). Prevalence of intestinal parasites among school children in rural communities of northern Nigeria. </w:t>
      </w:r>
      <w:r w:rsidRPr="005B115B">
        <w:rPr>
          <w:rFonts w:ascii="Times New Roman" w:eastAsia="Times New Roman" w:hAnsi="Times New Roman" w:cs="Times New Roman"/>
          <w:i/>
          <w:iCs/>
          <w:color w:val="000000" w:themeColor="text1"/>
          <w:kern w:val="0"/>
          <w14:ligatures w14:val="none"/>
        </w:rPr>
        <w:t>Nigerian Journal of Parasitology, 39</w:t>
      </w:r>
      <w:r w:rsidRPr="005B115B">
        <w:rPr>
          <w:rFonts w:ascii="Times New Roman" w:eastAsia="Times New Roman" w:hAnsi="Times New Roman" w:cs="Times New Roman"/>
          <w:color w:val="000000" w:themeColor="text1"/>
          <w:kern w:val="0"/>
          <w14:ligatures w14:val="none"/>
        </w:rPr>
        <w:t>(2), 112–118.</w:t>
      </w:r>
    </w:p>
    <w:p w14:paraId="52AD5A63" w14:textId="77777777" w:rsidR="005B115B" w:rsidRPr="005B115B" w:rsidRDefault="005B115B" w:rsidP="005B115B">
      <w:pPr>
        <w:pStyle w:val="NormalWeb"/>
        <w:spacing w:before="0" w:beforeAutospacing="0" w:after="120" w:afterAutospacing="0"/>
        <w:jc w:val="both"/>
        <w:rPr>
          <w:color w:val="000000" w:themeColor="text1"/>
        </w:rPr>
      </w:pPr>
      <w:proofErr w:type="spellStart"/>
      <w:r w:rsidRPr="005B115B">
        <w:rPr>
          <w:color w:val="000000" w:themeColor="text1"/>
        </w:rPr>
        <w:t>Bethony</w:t>
      </w:r>
      <w:proofErr w:type="spellEnd"/>
      <w:r w:rsidRPr="005B115B">
        <w:rPr>
          <w:color w:val="000000" w:themeColor="text1"/>
        </w:rPr>
        <w:t xml:space="preserve">, J., Brooker, S., </w:t>
      </w:r>
      <w:proofErr w:type="spellStart"/>
      <w:r w:rsidRPr="005B115B">
        <w:rPr>
          <w:color w:val="000000" w:themeColor="text1"/>
        </w:rPr>
        <w:t>Albonico</w:t>
      </w:r>
      <w:proofErr w:type="spellEnd"/>
      <w:r w:rsidRPr="005B115B">
        <w:rPr>
          <w:color w:val="000000" w:themeColor="text1"/>
        </w:rPr>
        <w:t xml:space="preserve">, M., Geiger, S. M., Loukas, A., </w:t>
      </w:r>
      <w:proofErr w:type="spellStart"/>
      <w:r w:rsidRPr="005B115B">
        <w:rPr>
          <w:color w:val="000000" w:themeColor="text1"/>
        </w:rPr>
        <w:t>Diemert</w:t>
      </w:r>
      <w:proofErr w:type="spellEnd"/>
      <w:r w:rsidRPr="005B115B">
        <w:rPr>
          <w:color w:val="000000" w:themeColor="text1"/>
        </w:rPr>
        <w:t xml:space="preserve">, D., &amp; </w:t>
      </w:r>
      <w:proofErr w:type="spellStart"/>
      <w:r w:rsidRPr="005B115B">
        <w:rPr>
          <w:color w:val="000000" w:themeColor="text1"/>
        </w:rPr>
        <w:t>Hotez</w:t>
      </w:r>
      <w:proofErr w:type="spellEnd"/>
      <w:r w:rsidRPr="005B115B">
        <w:rPr>
          <w:color w:val="000000" w:themeColor="text1"/>
        </w:rPr>
        <w:t xml:space="preserve">, P. J. (2006). Soil-transmitted helminth infections: </w:t>
      </w:r>
      <w:r w:rsidRPr="00951FB7">
        <w:rPr>
          <w:i/>
          <w:iCs/>
          <w:color w:val="000000" w:themeColor="text1"/>
        </w:rPr>
        <w:t xml:space="preserve">Ascariasis, </w:t>
      </w:r>
      <w:proofErr w:type="spellStart"/>
      <w:r w:rsidRPr="00951FB7">
        <w:rPr>
          <w:i/>
          <w:iCs/>
          <w:color w:val="000000" w:themeColor="text1"/>
        </w:rPr>
        <w:t>trichuriasis</w:t>
      </w:r>
      <w:proofErr w:type="spellEnd"/>
      <w:r w:rsidRPr="005B115B">
        <w:rPr>
          <w:color w:val="000000" w:themeColor="text1"/>
        </w:rPr>
        <w:t xml:space="preserve">, and hookworm. </w:t>
      </w:r>
      <w:r w:rsidRPr="005B115B">
        <w:rPr>
          <w:rStyle w:val="Emphasis"/>
          <w:color w:val="000000" w:themeColor="text1"/>
        </w:rPr>
        <w:t>The Lancet, 367</w:t>
      </w:r>
      <w:r w:rsidRPr="005B115B">
        <w:rPr>
          <w:color w:val="000000" w:themeColor="text1"/>
        </w:rPr>
        <w:t>(9521), 1521–1532.</w:t>
      </w:r>
    </w:p>
    <w:p w14:paraId="5F7174E9" w14:textId="20895738" w:rsidR="005B115B" w:rsidRPr="005B115B" w:rsidRDefault="005B115B" w:rsidP="005B115B">
      <w:pPr>
        <w:pStyle w:val="NormalWeb"/>
        <w:spacing w:before="0" w:beforeAutospacing="0" w:after="120" w:afterAutospacing="0"/>
        <w:jc w:val="both"/>
        <w:rPr>
          <w:color w:val="000000" w:themeColor="text1"/>
        </w:rPr>
      </w:pPr>
      <w:r w:rsidRPr="005B115B">
        <w:rPr>
          <w:color w:val="000000" w:themeColor="text1"/>
        </w:rPr>
        <w:t xml:space="preserve">Campbell, S. J., Savage, G. B., Gray, D. J., Atkinson, J. A., Soares </w:t>
      </w:r>
      <w:proofErr w:type="spellStart"/>
      <w:r w:rsidRPr="005B115B">
        <w:rPr>
          <w:color w:val="000000" w:themeColor="text1"/>
        </w:rPr>
        <w:t>Magalhães</w:t>
      </w:r>
      <w:proofErr w:type="spellEnd"/>
      <w:r w:rsidRPr="005B115B">
        <w:rPr>
          <w:color w:val="000000" w:themeColor="text1"/>
        </w:rPr>
        <w:t xml:space="preserve">, R. J., Nery, S. V., &amp; Clements, A. C. A. (2014). Water, sanitation, and hygiene (WASH): A critical component for sustainable soil-transmitted helminth control. </w:t>
      </w:r>
      <w:proofErr w:type="spellStart"/>
      <w:r w:rsidRPr="005B115B">
        <w:rPr>
          <w:rStyle w:val="Emphasis"/>
          <w:color w:val="000000" w:themeColor="text1"/>
        </w:rPr>
        <w:t>PLoS</w:t>
      </w:r>
      <w:proofErr w:type="spellEnd"/>
      <w:r w:rsidRPr="005B115B">
        <w:rPr>
          <w:rStyle w:val="Emphasis"/>
          <w:color w:val="000000" w:themeColor="text1"/>
        </w:rPr>
        <w:t xml:space="preserve"> Medicine, 11</w:t>
      </w:r>
      <w:r w:rsidRPr="005B115B">
        <w:rPr>
          <w:color w:val="000000" w:themeColor="text1"/>
        </w:rPr>
        <w:t>(3), e1001620.</w:t>
      </w:r>
    </w:p>
    <w:p w14:paraId="1E9EEC88" w14:textId="408CC420"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Centers for Disease Control and Prevention (CDC). (2022). Parasites</w:t>
      </w:r>
      <w:r w:rsidR="00DB23CF">
        <w:rPr>
          <w:rFonts w:ascii="Times New Roman" w:eastAsia="Times New Roman" w:hAnsi="Times New Roman" w:cs="Times New Roman"/>
          <w:color w:val="000000" w:themeColor="text1"/>
          <w:kern w:val="0"/>
          <w14:ligatures w14:val="none"/>
        </w:rPr>
        <w:t xml:space="preserve"> </w:t>
      </w:r>
      <w:r w:rsidRPr="005B115B">
        <w:rPr>
          <w:rFonts w:ascii="Times New Roman" w:eastAsia="Times New Roman" w:hAnsi="Times New Roman" w:cs="Times New Roman"/>
          <w:color w:val="000000" w:themeColor="text1"/>
          <w:kern w:val="0"/>
          <w14:ligatures w14:val="none"/>
        </w:rPr>
        <w:t>Soil-transmitted helminths. Retrieved from https://www.cdc.gov/parasites/sth/</w:t>
      </w:r>
    </w:p>
    <w:p w14:paraId="353590F9"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5B115B">
        <w:rPr>
          <w:rFonts w:ascii="Times New Roman" w:eastAsia="Times New Roman" w:hAnsi="Times New Roman" w:cs="Times New Roman"/>
          <w:color w:val="000000" w:themeColor="text1"/>
          <w:kern w:val="0"/>
          <w14:ligatures w14:val="none"/>
        </w:rPr>
        <w:t>Cheesbrough</w:t>
      </w:r>
      <w:proofErr w:type="spellEnd"/>
      <w:r w:rsidRPr="005B115B">
        <w:rPr>
          <w:rFonts w:ascii="Times New Roman" w:eastAsia="Times New Roman" w:hAnsi="Times New Roman" w:cs="Times New Roman"/>
          <w:color w:val="000000" w:themeColor="text1"/>
          <w:kern w:val="0"/>
          <w14:ligatures w14:val="none"/>
        </w:rPr>
        <w:t xml:space="preserve">, M. (2010). </w:t>
      </w:r>
      <w:r w:rsidRPr="005B115B">
        <w:rPr>
          <w:rFonts w:ascii="Times New Roman" w:eastAsia="Times New Roman" w:hAnsi="Times New Roman" w:cs="Times New Roman"/>
          <w:i/>
          <w:iCs/>
          <w:color w:val="000000" w:themeColor="text1"/>
          <w:kern w:val="0"/>
          <w14:ligatures w14:val="none"/>
        </w:rPr>
        <w:t>District laboratory practice in tropical countries</w:t>
      </w:r>
      <w:r w:rsidRPr="005B115B">
        <w:rPr>
          <w:rFonts w:ascii="Times New Roman" w:eastAsia="Times New Roman" w:hAnsi="Times New Roman" w:cs="Times New Roman"/>
          <w:color w:val="000000" w:themeColor="text1"/>
          <w:kern w:val="0"/>
          <w14:ligatures w14:val="none"/>
        </w:rPr>
        <w:t xml:space="preserve"> (2nd ed.). Cambridge: Cambridge University Press.</w:t>
      </w:r>
    </w:p>
    <w:p w14:paraId="550904B2"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5B115B">
        <w:rPr>
          <w:rFonts w:ascii="Times New Roman" w:eastAsia="Times New Roman" w:hAnsi="Times New Roman" w:cs="Times New Roman"/>
          <w:color w:val="000000" w:themeColor="text1"/>
          <w:kern w:val="0"/>
          <w14:ligatures w14:val="none"/>
        </w:rPr>
        <w:t>Ekpo</w:t>
      </w:r>
      <w:proofErr w:type="spellEnd"/>
      <w:r w:rsidRPr="005B115B">
        <w:rPr>
          <w:rFonts w:ascii="Times New Roman" w:eastAsia="Times New Roman" w:hAnsi="Times New Roman" w:cs="Times New Roman"/>
          <w:color w:val="000000" w:themeColor="text1"/>
          <w:kern w:val="0"/>
          <w14:ligatures w14:val="none"/>
        </w:rPr>
        <w:t xml:space="preserve">, U. F., </w:t>
      </w:r>
      <w:proofErr w:type="spellStart"/>
      <w:r w:rsidRPr="005B115B">
        <w:rPr>
          <w:rFonts w:ascii="Times New Roman" w:eastAsia="Times New Roman" w:hAnsi="Times New Roman" w:cs="Times New Roman"/>
          <w:color w:val="000000" w:themeColor="text1"/>
          <w:kern w:val="0"/>
          <w14:ligatures w14:val="none"/>
        </w:rPr>
        <w:t>Odoemene</w:t>
      </w:r>
      <w:proofErr w:type="spellEnd"/>
      <w:r w:rsidRPr="005B115B">
        <w:rPr>
          <w:rFonts w:ascii="Times New Roman" w:eastAsia="Times New Roman" w:hAnsi="Times New Roman" w:cs="Times New Roman"/>
          <w:color w:val="000000" w:themeColor="text1"/>
          <w:kern w:val="0"/>
          <w14:ligatures w14:val="none"/>
        </w:rPr>
        <w:t xml:space="preserve">, S. N., </w:t>
      </w:r>
      <w:proofErr w:type="spellStart"/>
      <w:r w:rsidRPr="005B115B">
        <w:rPr>
          <w:rFonts w:ascii="Times New Roman" w:eastAsia="Times New Roman" w:hAnsi="Times New Roman" w:cs="Times New Roman"/>
          <w:color w:val="000000" w:themeColor="text1"/>
          <w:kern w:val="0"/>
          <w14:ligatures w14:val="none"/>
        </w:rPr>
        <w:t>Mafiana</w:t>
      </w:r>
      <w:proofErr w:type="spellEnd"/>
      <w:r w:rsidRPr="005B115B">
        <w:rPr>
          <w:rFonts w:ascii="Times New Roman" w:eastAsia="Times New Roman" w:hAnsi="Times New Roman" w:cs="Times New Roman"/>
          <w:color w:val="000000" w:themeColor="text1"/>
          <w:kern w:val="0"/>
          <w14:ligatures w14:val="none"/>
        </w:rPr>
        <w:t>, C. F., &amp; Sam-</w:t>
      </w:r>
      <w:proofErr w:type="spellStart"/>
      <w:r w:rsidRPr="005B115B">
        <w:rPr>
          <w:rFonts w:ascii="Times New Roman" w:eastAsia="Times New Roman" w:hAnsi="Times New Roman" w:cs="Times New Roman"/>
          <w:color w:val="000000" w:themeColor="text1"/>
          <w:kern w:val="0"/>
          <w14:ligatures w14:val="none"/>
        </w:rPr>
        <w:t>Wobo</w:t>
      </w:r>
      <w:proofErr w:type="spellEnd"/>
      <w:r w:rsidRPr="005B115B">
        <w:rPr>
          <w:rFonts w:ascii="Times New Roman" w:eastAsia="Times New Roman" w:hAnsi="Times New Roman" w:cs="Times New Roman"/>
          <w:color w:val="000000" w:themeColor="text1"/>
          <w:kern w:val="0"/>
          <w14:ligatures w14:val="none"/>
        </w:rPr>
        <w:t xml:space="preserve">, S. O. (2018). Helminthiasis and hygiene conditions of schools in </w:t>
      </w:r>
      <w:proofErr w:type="spellStart"/>
      <w:r w:rsidRPr="005B115B">
        <w:rPr>
          <w:rFonts w:ascii="Times New Roman" w:eastAsia="Times New Roman" w:hAnsi="Times New Roman" w:cs="Times New Roman"/>
          <w:color w:val="000000" w:themeColor="text1"/>
          <w:kern w:val="0"/>
          <w14:ligatures w14:val="none"/>
        </w:rPr>
        <w:t>Ikenne</w:t>
      </w:r>
      <w:proofErr w:type="spellEnd"/>
      <w:r w:rsidRPr="005B115B">
        <w:rPr>
          <w:rFonts w:ascii="Times New Roman" w:eastAsia="Times New Roman" w:hAnsi="Times New Roman" w:cs="Times New Roman"/>
          <w:color w:val="000000" w:themeColor="text1"/>
          <w:kern w:val="0"/>
          <w14:ligatures w14:val="none"/>
        </w:rPr>
        <w:t xml:space="preserve">, Ogun State, Nigeria. </w:t>
      </w:r>
      <w:proofErr w:type="spellStart"/>
      <w:r w:rsidRPr="005B115B">
        <w:rPr>
          <w:rFonts w:ascii="Times New Roman" w:eastAsia="Times New Roman" w:hAnsi="Times New Roman" w:cs="Times New Roman"/>
          <w:i/>
          <w:iCs/>
          <w:color w:val="000000" w:themeColor="text1"/>
          <w:kern w:val="0"/>
          <w14:ligatures w14:val="none"/>
        </w:rPr>
        <w:t>PLoS</w:t>
      </w:r>
      <w:proofErr w:type="spellEnd"/>
      <w:r w:rsidRPr="005B115B">
        <w:rPr>
          <w:rFonts w:ascii="Times New Roman" w:eastAsia="Times New Roman" w:hAnsi="Times New Roman" w:cs="Times New Roman"/>
          <w:i/>
          <w:iCs/>
          <w:color w:val="000000" w:themeColor="text1"/>
          <w:kern w:val="0"/>
          <w14:ligatures w14:val="none"/>
        </w:rPr>
        <w:t xml:space="preserve"> Neglected Tropical Diseases, 12</w:t>
      </w:r>
      <w:r w:rsidRPr="005B115B">
        <w:rPr>
          <w:rFonts w:ascii="Times New Roman" w:eastAsia="Times New Roman" w:hAnsi="Times New Roman" w:cs="Times New Roman"/>
          <w:color w:val="000000" w:themeColor="text1"/>
          <w:kern w:val="0"/>
          <w14:ligatures w14:val="none"/>
        </w:rPr>
        <w:t>(4), e0006277.</w:t>
      </w:r>
    </w:p>
    <w:p w14:paraId="3ED8137E" w14:textId="77777777" w:rsidR="005B115B" w:rsidRPr="005B115B" w:rsidRDefault="005B115B" w:rsidP="005B115B">
      <w:pPr>
        <w:pStyle w:val="NormalWeb"/>
        <w:spacing w:before="0" w:beforeAutospacing="0" w:after="120" w:afterAutospacing="0"/>
        <w:jc w:val="both"/>
        <w:rPr>
          <w:color w:val="000000" w:themeColor="text1"/>
        </w:rPr>
      </w:pPr>
      <w:r w:rsidRPr="005B115B">
        <w:rPr>
          <w:color w:val="000000" w:themeColor="text1"/>
        </w:rPr>
        <w:t xml:space="preserve">Else, K. J., Keiser, J., Holland, C. V., </w:t>
      </w:r>
      <w:proofErr w:type="spellStart"/>
      <w:r w:rsidRPr="005B115B">
        <w:rPr>
          <w:color w:val="000000" w:themeColor="text1"/>
        </w:rPr>
        <w:t>Grencis</w:t>
      </w:r>
      <w:proofErr w:type="spellEnd"/>
      <w:r w:rsidRPr="005B115B">
        <w:rPr>
          <w:color w:val="000000" w:themeColor="text1"/>
        </w:rPr>
        <w:t xml:space="preserve">, R. K., </w:t>
      </w:r>
      <w:proofErr w:type="spellStart"/>
      <w:r w:rsidRPr="005B115B">
        <w:rPr>
          <w:color w:val="000000" w:themeColor="text1"/>
        </w:rPr>
        <w:t>Sattelle</w:t>
      </w:r>
      <w:proofErr w:type="spellEnd"/>
      <w:r w:rsidRPr="005B115B">
        <w:rPr>
          <w:color w:val="000000" w:themeColor="text1"/>
        </w:rPr>
        <w:t xml:space="preserve">, D. B., Fujiwara, R. T., … </w:t>
      </w:r>
      <w:proofErr w:type="spellStart"/>
      <w:r w:rsidRPr="005B115B">
        <w:rPr>
          <w:color w:val="000000" w:themeColor="text1"/>
        </w:rPr>
        <w:t>Utzinger</w:t>
      </w:r>
      <w:proofErr w:type="spellEnd"/>
      <w:r w:rsidRPr="005B115B">
        <w:rPr>
          <w:color w:val="000000" w:themeColor="text1"/>
        </w:rPr>
        <w:t xml:space="preserve">, J. (2020). Whipworm and host immunity: Advances and future challenges. </w:t>
      </w:r>
      <w:r w:rsidRPr="005B115B">
        <w:rPr>
          <w:rStyle w:val="Emphasis"/>
          <w:color w:val="000000" w:themeColor="text1"/>
        </w:rPr>
        <w:t>Trends in Parasitology, 36</w:t>
      </w:r>
      <w:r w:rsidRPr="005B115B">
        <w:rPr>
          <w:color w:val="000000" w:themeColor="text1"/>
        </w:rPr>
        <w:t>(3), 210–221.</w:t>
      </w:r>
    </w:p>
    <w:p w14:paraId="02709AE6" w14:textId="77777777" w:rsidR="005B115B" w:rsidRPr="005B115B" w:rsidRDefault="005B115B" w:rsidP="005B115B">
      <w:pPr>
        <w:pStyle w:val="NormalWeb"/>
        <w:spacing w:before="0" w:beforeAutospacing="0" w:after="120" w:afterAutospacing="0"/>
        <w:jc w:val="both"/>
        <w:rPr>
          <w:color w:val="000000" w:themeColor="text1"/>
        </w:rPr>
      </w:pPr>
      <w:proofErr w:type="spellStart"/>
      <w:r w:rsidRPr="005B115B">
        <w:rPr>
          <w:color w:val="000000" w:themeColor="text1"/>
        </w:rPr>
        <w:t>Feleke</w:t>
      </w:r>
      <w:proofErr w:type="spellEnd"/>
      <w:r w:rsidRPr="005B115B">
        <w:rPr>
          <w:color w:val="000000" w:themeColor="text1"/>
        </w:rPr>
        <w:t xml:space="preserve">, B. E., </w:t>
      </w:r>
      <w:proofErr w:type="spellStart"/>
      <w:r w:rsidRPr="005B115B">
        <w:rPr>
          <w:color w:val="000000" w:themeColor="text1"/>
        </w:rPr>
        <w:t>Jember</w:t>
      </w:r>
      <w:proofErr w:type="spellEnd"/>
      <w:r w:rsidRPr="005B115B">
        <w:rPr>
          <w:color w:val="000000" w:themeColor="text1"/>
        </w:rPr>
        <w:t xml:space="preserve">, T. H., &amp; </w:t>
      </w:r>
      <w:proofErr w:type="spellStart"/>
      <w:r w:rsidRPr="005B115B">
        <w:rPr>
          <w:color w:val="000000" w:themeColor="text1"/>
        </w:rPr>
        <w:t>Mekonnen</w:t>
      </w:r>
      <w:proofErr w:type="spellEnd"/>
      <w:r w:rsidRPr="005B115B">
        <w:rPr>
          <w:color w:val="000000" w:themeColor="text1"/>
        </w:rPr>
        <w:t xml:space="preserve">, S. (2019). Intestinal parasitic infections and associated factors among school children in Ethiopia. </w:t>
      </w:r>
      <w:r w:rsidRPr="005B115B">
        <w:rPr>
          <w:rStyle w:val="Emphasis"/>
          <w:color w:val="000000" w:themeColor="text1"/>
        </w:rPr>
        <w:t>BMC Infectious Diseases, 19</w:t>
      </w:r>
      <w:r w:rsidRPr="005B115B">
        <w:rPr>
          <w:color w:val="000000" w:themeColor="text1"/>
        </w:rPr>
        <w:t>, 104.</w:t>
      </w:r>
    </w:p>
    <w:p w14:paraId="34F32007" w14:textId="77777777" w:rsidR="005B115B" w:rsidRPr="005B115B" w:rsidRDefault="005B115B" w:rsidP="005B115B">
      <w:pPr>
        <w:pStyle w:val="NormalWeb"/>
        <w:spacing w:before="0" w:beforeAutospacing="0" w:after="120" w:afterAutospacing="0"/>
        <w:jc w:val="both"/>
        <w:rPr>
          <w:color w:val="000000" w:themeColor="text1"/>
        </w:rPr>
      </w:pPr>
      <w:proofErr w:type="spellStart"/>
      <w:r w:rsidRPr="005B115B">
        <w:rPr>
          <w:color w:val="000000" w:themeColor="text1"/>
        </w:rPr>
        <w:t>Forson</w:t>
      </w:r>
      <w:proofErr w:type="spellEnd"/>
      <w:r w:rsidRPr="005B115B">
        <w:rPr>
          <w:color w:val="000000" w:themeColor="text1"/>
        </w:rPr>
        <w:t xml:space="preserve">, A. O., Arthur, I., </w:t>
      </w:r>
      <w:proofErr w:type="spellStart"/>
      <w:r w:rsidRPr="005B115B">
        <w:rPr>
          <w:color w:val="000000" w:themeColor="text1"/>
        </w:rPr>
        <w:t>Olu</w:t>
      </w:r>
      <w:proofErr w:type="spellEnd"/>
      <w:r w:rsidRPr="005B115B">
        <w:rPr>
          <w:color w:val="000000" w:themeColor="text1"/>
        </w:rPr>
        <w:t xml:space="preserve">-Taiwo, M., Glover, K. K., </w:t>
      </w:r>
      <w:proofErr w:type="spellStart"/>
      <w:r w:rsidRPr="005B115B">
        <w:rPr>
          <w:color w:val="000000" w:themeColor="text1"/>
        </w:rPr>
        <w:t>Pappoe-Ashong</w:t>
      </w:r>
      <w:proofErr w:type="spellEnd"/>
      <w:r w:rsidRPr="005B115B">
        <w:rPr>
          <w:color w:val="000000" w:themeColor="text1"/>
        </w:rPr>
        <w:t xml:space="preserve">, P. J., &amp; </w:t>
      </w:r>
      <w:proofErr w:type="spellStart"/>
      <w:r w:rsidRPr="005B115B">
        <w:rPr>
          <w:color w:val="000000" w:themeColor="text1"/>
        </w:rPr>
        <w:t>Ayeh-Kumi</w:t>
      </w:r>
      <w:proofErr w:type="spellEnd"/>
      <w:r w:rsidRPr="005B115B">
        <w:rPr>
          <w:color w:val="000000" w:themeColor="text1"/>
        </w:rPr>
        <w:t xml:space="preserve">, P. F. (2018). Prevalence of intestinal parasites among school children in Ghana. </w:t>
      </w:r>
      <w:r w:rsidRPr="005B115B">
        <w:rPr>
          <w:rStyle w:val="Emphasis"/>
          <w:color w:val="000000" w:themeColor="text1"/>
        </w:rPr>
        <w:t>Pan African Medical Journal, 29</w:t>
      </w:r>
      <w:r w:rsidRPr="005B115B">
        <w:rPr>
          <w:color w:val="000000" w:themeColor="text1"/>
        </w:rPr>
        <w:t>, 12.</w:t>
      </w:r>
    </w:p>
    <w:p w14:paraId="6E208868"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Garcia, L. S. (2016). </w:t>
      </w:r>
      <w:r w:rsidRPr="005B115B">
        <w:rPr>
          <w:rFonts w:ascii="Times New Roman" w:eastAsia="Times New Roman" w:hAnsi="Times New Roman" w:cs="Times New Roman"/>
          <w:i/>
          <w:iCs/>
          <w:color w:val="000000" w:themeColor="text1"/>
          <w:kern w:val="0"/>
          <w14:ligatures w14:val="none"/>
        </w:rPr>
        <w:t>Diagnostic medical parasitology</w:t>
      </w:r>
      <w:r w:rsidRPr="005B115B">
        <w:rPr>
          <w:rFonts w:ascii="Times New Roman" w:eastAsia="Times New Roman" w:hAnsi="Times New Roman" w:cs="Times New Roman"/>
          <w:color w:val="000000" w:themeColor="text1"/>
          <w:kern w:val="0"/>
          <w14:ligatures w14:val="none"/>
        </w:rPr>
        <w:t xml:space="preserve"> (6th ed.). Washington, DC: ASM Press.</w:t>
      </w:r>
    </w:p>
    <w:p w14:paraId="580FDD7F"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5B115B">
        <w:rPr>
          <w:rFonts w:ascii="Times New Roman" w:eastAsia="Times New Roman" w:hAnsi="Times New Roman" w:cs="Times New Roman"/>
          <w:color w:val="000000" w:themeColor="text1"/>
          <w:kern w:val="0"/>
          <w14:ligatures w14:val="none"/>
        </w:rPr>
        <w:t>Hotez</w:t>
      </w:r>
      <w:proofErr w:type="spellEnd"/>
      <w:r w:rsidRPr="005B115B">
        <w:rPr>
          <w:rFonts w:ascii="Times New Roman" w:eastAsia="Times New Roman" w:hAnsi="Times New Roman" w:cs="Times New Roman"/>
          <w:color w:val="000000" w:themeColor="text1"/>
          <w:kern w:val="0"/>
          <w14:ligatures w14:val="none"/>
        </w:rPr>
        <w:t xml:space="preserve">, P. J., Fenwick, A., </w:t>
      </w:r>
      <w:proofErr w:type="spellStart"/>
      <w:r w:rsidRPr="005B115B">
        <w:rPr>
          <w:rFonts w:ascii="Times New Roman" w:eastAsia="Times New Roman" w:hAnsi="Times New Roman" w:cs="Times New Roman"/>
          <w:color w:val="000000" w:themeColor="text1"/>
          <w:kern w:val="0"/>
          <w14:ligatures w14:val="none"/>
        </w:rPr>
        <w:t>Savioli</w:t>
      </w:r>
      <w:proofErr w:type="spellEnd"/>
      <w:r w:rsidRPr="005B115B">
        <w:rPr>
          <w:rFonts w:ascii="Times New Roman" w:eastAsia="Times New Roman" w:hAnsi="Times New Roman" w:cs="Times New Roman"/>
          <w:color w:val="000000" w:themeColor="text1"/>
          <w:kern w:val="0"/>
          <w14:ligatures w14:val="none"/>
        </w:rPr>
        <w:t xml:space="preserve">, L., &amp; Molyneux, D. H. (2019). Rescuing the bottom billion through control of neglected tropical diseases. </w:t>
      </w:r>
      <w:r w:rsidRPr="005B115B">
        <w:rPr>
          <w:rFonts w:ascii="Times New Roman" w:eastAsia="Times New Roman" w:hAnsi="Times New Roman" w:cs="Times New Roman"/>
          <w:i/>
          <w:iCs/>
          <w:color w:val="000000" w:themeColor="text1"/>
          <w:kern w:val="0"/>
          <w14:ligatures w14:val="none"/>
        </w:rPr>
        <w:t>The Lancet, 373</w:t>
      </w:r>
      <w:r w:rsidRPr="005B115B">
        <w:rPr>
          <w:rFonts w:ascii="Times New Roman" w:eastAsia="Times New Roman" w:hAnsi="Times New Roman" w:cs="Times New Roman"/>
          <w:color w:val="000000" w:themeColor="text1"/>
          <w:kern w:val="0"/>
          <w14:ligatures w14:val="none"/>
        </w:rPr>
        <w:t>(9674), 1570–1575.</w:t>
      </w:r>
    </w:p>
    <w:p w14:paraId="1438988B"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Jourdan, P. M., Lamberton, P. H. L., Fenwick, A., &amp; </w:t>
      </w:r>
      <w:proofErr w:type="spellStart"/>
      <w:r w:rsidRPr="005B115B">
        <w:rPr>
          <w:rFonts w:ascii="Times New Roman" w:eastAsia="Times New Roman" w:hAnsi="Times New Roman" w:cs="Times New Roman"/>
          <w:color w:val="000000" w:themeColor="text1"/>
          <w:kern w:val="0"/>
          <w14:ligatures w14:val="none"/>
        </w:rPr>
        <w:t>Addiss</w:t>
      </w:r>
      <w:proofErr w:type="spellEnd"/>
      <w:r w:rsidRPr="005B115B">
        <w:rPr>
          <w:rFonts w:ascii="Times New Roman" w:eastAsia="Times New Roman" w:hAnsi="Times New Roman" w:cs="Times New Roman"/>
          <w:color w:val="000000" w:themeColor="text1"/>
          <w:kern w:val="0"/>
          <w14:ligatures w14:val="none"/>
        </w:rPr>
        <w:t xml:space="preserve">, D. G. (2018). Soil-transmitted helminth infections. </w:t>
      </w:r>
      <w:r w:rsidRPr="005B115B">
        <w:rPr>
          <w:rFonts w:ascii="Times New Roman" w:eastAsia="Times New Roman" w:hAnsi="Times New Roman" w:cs="Times New Roman"/>
          <w:i/>
          <w:iCs/>
          <w:color w:val="000000" w:themeColor="text1"/>
          <w:kern w:val="0"/>
          <w14:ligatures w14:val="none"/>
        </w:rPr>
        <w:t>The Lancet, 391</w:t>
      </w:r>
      <w:r w:rsidRPr="005B115B">
        <w:rPr>
          <w:rFonts w:ascii="Times New Roman" w:eastAsia="Times New Roman" w:hAnsi="Times New Roman" w:cs="Times New Roman"/>
          <w:color w:val="000000" w:themeColor="text1"/>
          <w:kern w:val="0"/>
          <w14:ligatures w14:val="none"/>
        </w:rPr>
        <w:t>(10117), 252–265.</w:t>
      </w:r>
    </w:p>
    <w:p w14:paraId="11BDC18C" w14:textId="77777777" w:rsidR="005B115B" w:rsidRPr="005B115B" w:rsidRDefault="005B115B" w:rsidP="005B115B">
      <w:pPr>
        <w:pStyle w:val="NormalWeb"/>
        <w:spacing w:before="0" w:beforeAutospacing="0" w:after="120" w:afterAutospacing="0"/>
        <w:jc w:val="both"/>
        <w:rPr>
          <w:color w:val="000000" w:themeColor="text1"/>
        </w:rPr>
      </w:pPr>
      <w:proofErr w:type="spellStart"/>
      <w:r w:rsidRPr="005B115B">
        <w:rPr>
          <w:color w:val="000000" w:themeColor="text1"/>
        </w:rPr>
        <w:t>Knopp</w:t>
      </w:r>
      <w:proofErr w:type="spellEnd"/>
      <w:r w:rsidRPr="005B115B">
        <w:rPr>
          <w:color w:val="000000" w:themeColor="text1"/>
        </w:rPr>
        <w:t xml:space="preserve">, S., </w:t>
      </w:r>
      <w:proofErr w:type="spellStart"/>
      <w:r w:rsidRPr="005B115B">
        <w:rPr>
          <w:color w:val="000000" w:themeColor="text1"/>
        </w:rPr>
        <w:t>Mgeni</w:t>
      </w:r>
      <w:proofErr w:type="spellEnd"/>
      <w:r w:rsidRPr="005B115B">
        <w:rPr>
          <w:color w:val="000000" w:themeColor="text1"/>
        </w:rPr>
        <w:t xml:space="preserve">, A. F., Khamis, I. S., Steinmann, P., </w:t>
      </w:r>
      <w:proofErr w:type="spellStart"/>
      <w:r w:rsidRPr="005B115B">
        <w:rPr>
          <w:color w:val="000000" w:themeColor="text1"/>
        </w:rPr>
        <w:t>Stothard</w:t>
      </w:r>
      <w:proofErr w:type="spellEnd"/>
      <w:r w:rsidRPr="005B115B">
        <w:rPr>
          <w:color w:val="000000" w:themeColor="text1"/>
        </w:rPr>
        <w:t xml:space="preserve">, J. R., Rollinson, D., &amp; </w:t>
      </w:r>
      <w:proofErr w:type="spellStart"/>
      <w:r w:rsidRPr="005B115B">
        <w:rPr>
          <w:color w:val="000000" w:themeColor="text1"/>
        </w:rPr>
        <w:t>Utzinger</w:t>
      </w:r>
      <w:proofErr w:type="spellEnd"/>
      <w:r w:rsidRPr="005B115B">
        <w:rPr>
          <w:color w:val="000000" w:themeColor="text1"/>
        </w:rPr>
        <w:t xml:space="preserve">, J. (2012). Diagnosis of soil-transmitted helminths in settings of low infection intensity. </w:t>
      </w:r>
      <w:proofErr w:type="spellStart"/>
      <w:r w:rsidRPr="005B115B">
        <w:rPr>
          <w:rStyle w:val="Emphasis"/>
          <w:color w:val="000000" w:themeColor="text1"/>
        </w:rPr>
        <w:t>PLoS</w:t>
      </w:r>
      <w:proofErr w:type="spellEnd"/>
      <w:r w:rsidRPr="005B115B">
        <w:rPr>
          <w:rStyle w:val="Emphasis"/>
          <w:color w:val="000000" w:themeColor="text1"/>
        </w:rPr>
        <w:t xml:space="preserve"> Neglected Tropical Diseases, 6</w:t>
      </w:r>
      <w:r w:rsidRPr="005B115B">
        <w:rPr>
          <w:color w:val="000000" w:themeColor="text1"/>
        </w:rPr>
        <w:t>(1), e1550.</w:t>
      </w:r>
    </w:p>
    <w:p w14:paraId="37B6DCA5" w14:textId="77777777" w:rsidR="005B115B" w:rsidRPr="005B115B" w:rsidRDefault="005B115B" w:rsidP="005B115B">
      <w:pPr>
        <w:pStyle w:val="NormalWeb"/>
        <w:spacing w:before="0" w:beforeAutospacing="0" w:after="120" w:afterAutospacing="0"/>
        <w:jc w:val="both"/>
        <w:rPr>
          <w:color w:val="000000" w:themeColor="text1"/>
        </w:rPr>
      </w:pPr>
      <w:proofErr w:type="spellStart"/>
      <w:r w:rsidRPr="005B115B">
        <w:rPr>
          <w:color w:val="000000" w:themeColor="text1"/>
        </w:rPr>
        <w:t>Mbae</w:t>
      </w:r>
      <w:proofErr w:type="spellEnd"/>
      <w:r w:rsidRPr="005B115B">
        <w:rPr>
          <w:color w:val="000000" w:themeColor="text1"/>
        </w:rPr>
        <w:t xml:space="preserve">, C. K., </w:t>
      </w:r>
      <w:proofErr w:type="spellStart"/>
      <w:r w:rsidRPr="005B115B">
        <w:rPr>
          <w:color w:val="000000" w:themeColor="text1"/>
        </w:rPr>
        <w:t>Nokes</w:t>
      </w:r>
      <w:proofErr w:type="spellEnd"/>
      <w:r w:rsidRPr="005B115B">
        <w:rPr>
          <w:color w:val="000000" w:themeColor="text1"/>
        </w:rPr>
        <w:t xml:space="preserve">, D. J., </w:t>
      </w:r>
      <w:proofErr w:type="spellStart"/>
      <w:r w:rsidRPr="005B115B">
        <w:rPr>
          <w:color w:val="000000" w:themeColor="text1"/>
        </w:rPr>
        <w:t>Mulinge</w:t>
      </w:r>
      <w:proofErr w:type="spellEnd"/>
      <w:r w:rsidRPr="005B115B">
        <w:rPr>
          <w:color w:val="000000" w:themeColor="text1"/>
        </w:rPr>
        <w:t xml:space="preserve">, E., </w:t>
      </w:r>
      <w:proofErr w:type="spellStart"/>
      <w:r w:rsidRPr="005B115B">
        <w:rPr>
          <w:color w:val="000000" w:themeColor="text1"/>
        </w:rPr>
        <w:t>Nyambura</w:t>
      </w:r>
      <w:proofErr w:type="spellEnd"/>
      <w:r w:rsidRPr="005B115B">
        <w:rPr>
          <w:color w:val="000000" w:themeColor="text1"/>
        </w:rPr>
        <w:t xml:space="preserve">, J., </w:t>
      </w:r>
      <w:proofErr w:type="spellStart"/>
      <w:r w:rsidRPr="005B115B">
        <w:rPr>
          <w:color w:val="000000" w:themeColor="text1"/>
        </w:rPr>
        <w:t>Waruru</w:t>
      </w:r>
      <w:proofErr w:type="spellEnd"/>
      <w:r w:rsidRPr="005B115B">
        <w:rPr>
          <w:color w:val="000000" w:themeColor="text1"/>
        </w:rPr>
        <w:t xml:space="preserve">, A., &amp; Kariuki, S. (2018). Intestinal parasitic infections among children and gender-related differences. </w:t>
      </w:r>
      <w:r w:rsidRPr="005B115B">
        <w:rPr>
          <w:rStyle w:val="Emphasis"/>
          <w:color w:val="000000" w:themeColor="text1"/>
        </w:rPr>
        <w:t>Parasites &amp; Vectors, 11</w:t>
      </w:r>
      <w:r w:rsidRPr="005B115B">
        <w:rPr>
          <w:color w:val="000000" w:themeColor="text1"/>
        </w:rPr>
        <w:t>, 45.</w:t>
      </w:r>
    </w:p>
    <w:p w14:paraId="7D3B7609"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5B115B">
        <w:rPr>
          <w:rFonts w:ascii="Times New Roman" w:eastAsia="Times New Roman" w:hAnsi="Times New Roman" w:cs="Times New Roman"/>
          <w:color w:val="000000" w:themeColor="text1"/>
          <w:kern w:val="0"/>
          <w14:ligatures w14:val="none"/>
        </w:rPr>
        <w:t>Opara</w:t>
      </w:r>
      <w:proofErr w:type="spellEnd"/>
      <w:r w:rsidRPr="005B115B">
        <w:rPr>
          <w:rFonts w:ascii="Times New Roman" w:eastAsia="Times New Roman" w:hAnsi="Times New Roman" w:cs="Times New Roman"/>
          <w:color w:val="000000" w:themeColor="text1"/>
          <w:kern w:val="0"/>
          <w14:ligatures w14:val="none"/>
        </w:rPr>
        <w:t xml:space="preserve">, K. N., </w:t>
      </w:r>
      <w:proofErr w:type="spellStart"/>
      <w:r w:rsidRPr="005B115B">
        <w:rPr>
          <w:rFonts w:ascii="Times New Roman" w:eastAsia="Times New Roman" w:hAnsi="Times New Roman" w:cs="Times New Roman"/>
          <w:color w:val="000000" w:themeColor="text1"/>
          <w:kern w:val="0"/>
          <w14:ligatures w14:val="none"/>
        </w:rPr>
        <w:t>Udoidung</w:t>
      </w:r>
      <w:proofErr w:type="spellEnd"/>
      <w:r w:rsidRPr="005B115B">
        <w:rPr>
          <w:rFonts w:ascii="Times New Roman" w:eastAsia="Times New Roman" w:hAnsi="Times New Roman" w:cs="Times New Roman"/>
          <w:color w:val="000000" w:themeColor="text1"/>
          <w:kern w:val="0"/>
          <w14:ligatures w14:val="none"/>
        </w:rPr>
        <w:t xml:space="preserve">, N. I., </w:t>
      </w:r>
      <w:proofErr w:type="spellStart"/>
      <w:r w:rsidRPr="005B115B">
        <w:rPr>
          <w:rFonts w:ascii="Times New Roman" w:eastAsia="Times New Roman" w:hAnsi="Times New Roman" w:cs="Times New Roman"/>
          <w:color w:val="000000" w:themeColor="text1"/>
          <w:kern w:val="0"/>
          <w14:ligatures w14:val="none"/>
        </w:rPr>
        <w:t>Ukpong</w:t>
      </w:r>
      <w:proofErr w:type="spellEnd"/>
      <w:r w:rsidRPr="005B115B">
        <w:rPr>
          <w:rFonts w:ascii="Times New Roman" w:eastAsia="Times New Roman" w:hAnsi="Times New Roman" w:cs="Times New Roman"/>
          <w:color w:val="000000" w:themeColor="text1"/>
          <w:kern w:val="0"/>
          <w14:ligatures w14:val="none"/>
        </w:rPr>
        <w:t xml:space="preserve">, I. G., &amp; </w:t>
      </w:r>
      <w:proofErr w:type="spellStart"/>
      <w:r w:rsidRPr="005B115B">
        <w:rPr>
          <w:rFonts w:ascii="Times New Roman" w:eastAsia="Times New Roman" w:hAnsi="Times New Roman" w:cs="Times New Roman"/>
          <w:color w:val="000000" w:themeColor="text1"/>
          <w:kern w:val="0"/>
          <w14:ligatures w14:val="none"/>
        </w:rPr>
        <w:t>Usip</w:t>
      </w:r>
      <w:proofErr w:type="spellEnd"/>
      <w:r w:rsidRPr="005B115B">
        <w:rPr>
          <w:rFonts w:ascii="Times New Roman" w:eastAsia="Times New Roman" w:hAnsi="Times New Roman" w:cs="Times New Roman"/>
          <w:color w:val="000000" w:themeColor="text1"/>
          <w:kern w:val="0"/>
          <w14:ligatures w14:val="none"/>
        </w:rPr>
        <w:t xml:space="preserve">, L. P. (2017). Prevalence of intestinal parasitic infections among school children in rural communities of </w:t>
      </w:r>
      <w:proofErr w:type="spellStart"/>
      <w:r w:rsidRPr="005B115B">
        <w:rPr>
          <w:rFonts w:ascii="Times New Roman" w:eastAsia="Times New Roman" w:hAnsi="Times New Roman" w:cs="Times New Roman"/>
          <w:color w:val="000000" w:themeColor="text1"/>
          <w:kern w:val="0"/>
          <w14:ligatures w14:val="none"/>
        </w:rPr>
        <w:t>Akwa</w:t>
      </w:r>
      <w:proofErr w:type="spellEnd"/>
      <w:r w:rsidRPr="005B115B">
        <w:rPr>
          <w:rFonts w:ascii="Times New Roman" w:eastAsia="Times New Roman" w:hAnsi="Times New Roman" w:cs="Times New Roman"/>
          <w:color w:val="000000" w:themeColor="text1"/>
          <w:kern w:val="0"/>
          <w14:ligatures w14:val="none"/>
        </w:rPr>
        <w:t xml:space="preserve"> Ibom State, Nigeria. </w:t>
      </w:r>
      <w:r w:rsidRPr="005B115B">
        <w:rPr>
          <w:rFonts w:ascii="Times New Roman" w:eastAsia="Times New Roman" w:hAnsi="Times New Roman" w:cs="Times New Roman"/>
          <w:i/>
          <w:iCs/>
          <w:color w:val="000000" w:themeColor="text1"/>
          <w:kern w:val="0"/>
          <w14:ligatures w14:val="none"/>
        </w:rPr>
        <w:t>Journal of Infection in Developing Countries, 11</w:t>
      </w:r>
      <w:r w:rsidRPr="005B115B">
        <w:rPr>
          <w:rFonts w:ascii="Times New Roman" w:eastAsia="Times New Roman" w:hAnsi="Times New Roman" w:cs="Times New Roman"/>
          <w:color w:val="000000" w:themeColor="text1"/>
          <w:kern w:val="0"/>
          <w14:ligatures w14:val="none"/>
        </w:rPr>
        <w:t>(5), 416–423.</w:t>
      </w:r>
    </w:p>
    <w:p w14:paraId="49424039" w14:textId="77777777" w:rsidR="005B115B" w:rsidRPr="005B115B" w:rsidRDefault="005B115B" w:rsidP="005B115B">
      <w:pPr>
        <w:pStyle w:val="NormalWeb"/>
        <w:spacing w:before="0" w:beforeAutospacing="0" w:after="120" w:afterAutospacing="0"/>
        <w:jc w:val="both"/>
        <w:rPr>
          <w:color w:val="000000" w:themeColor="text1"/>
        </w:rPr>
      </w:pPr>
      <w:r w:rsidRPr="005B115B">
        <w:rPr>
          <w:color w:val="000000" w:themeColor="text1"/>
        </w:rPr>
        <w:lastRenderedPageBreak/>
        <w:t xml:space="preserve">Oswald, W. E., Stewart, A. E., Kramer, M. R., </w:t>
      </w:r>
      <w:proofErr w:type="spellStart"/>
      <w:r w:rsidRPr="005B115B">
        <w:rPr>
          <w:color w:val="000000" w:themeColor="text1"/>
        </w:rPr>
        <w:t>Endeshaw</w:t>
      </w:r>
      <w:proofErr w:type="spellEnd"/>
      <w:r w:rsidRPr="005B115B">
        <w:rPr>
          <w:color w:val="000000" w:themeColor="text1"/>
        </w:rPr>
        <w:t xml:space="preserve">, T., </w:t>
      </w:r>
      <w:proofErr w:type="spellStart"/>
      <w:r w:rsidRPr="005B115B">
        <w:rPr>
          <w:color w:val="000000" w:themeColor="text1"/>
        </w:rPr>
        <w:t>Zerihun</w:t>
      </w:r>
      <w:proofErr w:type="spellEnd"/>
      <w:r w:rsidRPr="005B115B">
        <w:rPr>
          <w:color w:val="000000" w:themeColor="text1"/>
        </w:rPr>
        <w:t xml:space="preserve">, M., </w:t>
      </w:r>
      <w:proofErr w:type="spellStart"/>
      <w:r w:rsidRPr="005B115B">
        <w:rPr>
          <w:color w:val="000000" w:themeColor="text1"/>
        </w:rPr>
        <w:t>Melak</w:t>
      </w:r>
      <w:proofErr w:type="spellEnd"/>
      <w:r w:rsidRPr="005B115B">
        <w:rPr>
          <w:color w:val="000000" w:themeColor="text1"/>
        </w:rPr>
        <w:t xml:space="preserve">, B., … Freeman, M. C. (2017). Environmental risk factors for intestinal parasitic infections. </w:t>
      </w:r>
      <w:r w:rsidRPr="005B115B">
        <w:rPr>
          <w:rStyle w:val="Emphasis"/>
          <w:color w:val="000000" w:themeColor="text1"/>
        </w:rPr>
        <w:t>American Journal of Tropical Medicine and Hygiene, 96</w:t>
      </w:r>
      <w:r w:rsidRPr="005B115B">
        <w:rPr>
          <w:color w:val="000000" w:themeColor="text1"/>
        </w:rPr>
        <w:t>(6), 1466–1473.</w:t>
      </w:r>
    </w:p>
    <w:p w14:paraId="0DA69AE2"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5B115B">
        <w:rPr>
          <w:rFonts w:ascii="Times New Roman" w:eastAsia="Times New Roman" w:hAnsi="Times New Roman" w:cs="Times New Roman"/>
          <w:color w:val="000000" w:themeColor="text1"/>
          <w:kern w:val="0"/>
          <w14:ligatures w14:val="none"/>
        </w:rPr>
        <w:t>Pullan</w:t>
      </w:r>
      <w:proofErr w:type="spellEnd"/>
      <w:r w:rsidRPr="005B115B">
        <w:rPr>
          <w:rFonts w:ascii="Times New Roman" w:eastAsia="Times New Roman" w:hAnsi="Times New Roman" w:cs="Times New Roman"/>
          <w:color w:val="000000" w:themeColor="text1"/>
          <w:kern w:val="0"/>
          <w14:ligatures w14:val="none"/>
        </w:rPr>
        <w:t xml:space="preserve">, R. L., Smith, J. L., </w:t>
      </w:r>
      <w:proofErr w:type="spellStart"/>
      <w:r w:rsidRPr="005B115B">
        <w:rPr>
          <w:rFonts w:ascii="Times New Roman" w:eastAsia="Times New Roman" w:hAnsi="Times New Roman" w:cs="Times New Roman"/>
          <w:color w:val="000000" w:themeColor="text1"/>
          <w:kern w:val="0"/>
          <w14:ligatures w14:val="none"/>
        </w:rPr>
        <w:t>Jasrasaria</w:t>
      </w:r>
      <w:proofErr w:type="spellEnd"/>
      <w:r w:rsidRPr="005B115B">
        <w:rPr>
          <w:rFonts w:ascii="Times New Roman" w:eastAsia="Times New Roman" w:hAnsi="Times New Roman" w:cs="Times New Roman"/>
          <w:color w:val="000000" w:themeColor="text1"/>
          <w:kern w:val="0"/>
          <w14:ligatures w14:val="none"/>
        </w:rPr>
        <w:t xml:space="preserve">, R., &amp; Brooker, S. J. (2014). Global numbers of infection and disease burden of soil-transmitted helminth infections in 2010. </w:t>
      </w:r>
      <w:r w:rsidRPr="005B115B">
        <w:rPr>
          <w:rFonts w:ascii="Times New Roman" w:eastAsia="Times New Roman" w:hAnsi="Times New Roman" w:cs="Times New Roman"/>
          <w:i/>
          <w:iCs/>
          <w:color w:val="000000" w:themeColor="text1"/>
          <w:kern w:val="0"/>
          <w14:ligatures w14:val="none"/>
        </w:rPr>
        <w:t>Parasites &amp; Vectors, 7</w:t>
      </w:r>
      <w:r w:rsidRPr="005B115B">
        <w:rPr>
          <w:rFonts w:ascii="Times New Roman" w:eastAsia="Times New Roman" w:hAnsi="Times New Roman" w:cs="Times New Roman"/>
          <w:color w:val="000000" w:themeColor="text1"/>
          <w:kern w:val="0"/>
          <w14:ligatures w14:val="none"/>
        </w:rPr>
        <w:t>, 37.</w:t>
      </w:r>
    </w:p>
    <w:p w14:paraId="50EB682D"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Roberts, L. S., &amp; </w:t>
      </w:r>
      <w:proofErr w:type="spellStart"/>
      <w:r w:rsidRPr="005B115B">
        <w:rPr>
          <w:rFonts w:ascii="Times New Roman" w:eastAsia="Times New Roman" w:hAnsi="Times New Roman" w:cs="Times New Roman"/>
          <w:color w:val="000000" w:themeColor="text1"/>
          <w:kern w:val="0"/>
          <w14:ligatures w14:val="none"/>
        </w:rPr>
        <w:t>Janovy</w:t>
      </w:r>
      <w:proofErr w:type="spellEnd"/>
      <w:r w:rsidRPr="005B115B">
        <w:rPr>
          <w:rFonts w:ascii="Times New Roman" w:eastAsia="Times New Roman" w:hAnsi="Times New Roman" w:cs="Times New Roman"/>
          <w:color w:val="000000" w:themeColor="text1"/>
          <w:kern w:val="0"/>
          <w14:ligatures w14:val="none"/>
        </w:rPr>
        <w:t xml:space="preserve">, J. (2013). </w:t>
      </w:r>
      <w:r w:rsidRPr="005B115B">
        <w:rPr>
          <w:rFonts w:ascii="Times New Roman" w:eastAsia="Times New Roman" w:hAnsi="Times New Roman" w:cs="Times New Roman"/>
          <w:i/>
          <w:iCs/>
          <w:color w:val="000000" w:themeColor="text1"/>
          <w:kern w:val="0"/>
          <w14:ligatures w14:val="none"/>
        </w:rPr>
        <w:t>Foundations of parasitology</w:t>
      </w:r>
      <w:r w:rsidRPr="005B115B">
        <w:rPr>
          <w:rFonts w:ascii="Times New Roman" w:eastAsia="Times New Roman" w:hAnsi="Times New Roman" w:cs="Times New Roman"/>
          <w:color w:val="000000" w:themeColor="text1"/>
          <w:kern w:val="0"/>
          <w14:ligatures w14:val="none"/>
        </w:rPr>
        <w:t xml:space="preserve"> (9th ed.). New York: McGraw-Hill.</w:t>
      </w:r>
    </w:p>
    <w:p w14:paraId="72087264" w14:textId="77777777" w:rsidR="005B115B" w:rsidRPr="005B115B" w:rsidRDefault="005B115B" w:rsidP="005B115B">
      <w:pPr>
        <w:pStyle w:val="NormalWeb"/>
        <w:spacing w:before="0" w:beforeAutospacing="0" w:after="120" w:afterAutospacing="0"/>
        <w:jc w:val="both"/>
        <w:rPr>
          <w:color w:val="000000" w:themeColor="text1"/>
        </w:rPr>
      </w:pPr>
      <w:proofErr w:type="spellStart"/>
      <w:r w:rsidRPr="005B115B">
        <w:rPr>
          <w:color w:val="000000" w:themeColor="text1"/>
        </w:rPr>
        <w:t>Speich</w:t>
      </w:r>
      <w:proofErr w:type="spellEnd"/>
      <w:r w:rsidRPr="005B115B">
        <w:rPr>
          <w:color w:val="000000" w:themeColor="text1"/>
        </w:rPr>
        <w:t xml:space="preserve">, B., </w:t>
      </w:r>
      <w:proofErr w:type="spellStart"/>
      <w:r w:rsidRPr="005B115B">
        <w:rPr>
          <w:color w:val="000000" w:themeColor="text1"/>
        </w:rPr>
        <w:t>Croll</w:t>
      </w:r>
      <w:proofErr w:type="spellEnd"/>
      <w:r w:rsidRPr="005B115B">
        <w:rPr>
          <w:color w:val="000000" w:themeColor="text1"/>
        </w:rPr>
        <w:t xml:space="preserve">, D., </w:t>
      </w:r>
      <w:proofErr w:type="spellStart"/>
      <w:r w:rsidRPr="005B115B">
        <w:rPr>
          <w:color w:val="000000" w:themeColor="text1"/>
        </w:rPr>
        <w:t>Fürst</w:t>
      </w:r>
      <w:proofErr w:type="spellEnd"/>
      <w:r w:rsidRPr="005B115B">
        <w:rPr>
          <w:color w:val="000000" w:themeColor="text1"/>
        </w:rPr>
        <w:t xml:space="preserve">, T., </w:t>
      </w:r>
      <w:proofErr w:type="spellStart"/>
      <w:r w:rsidRPr="005B115B">
        <w:rPr>
          <w:color w:val="000000" w:themeColor="text1"/>
        </w:rPr>
        <w:t>Utzinger</w:t>
      </w:r>
      <w:proofErr w:type="spellEnd"/>
      <w:r w:rsidRPr="005B115B">
        <w:rPr>
          <w:color w:val="000000" w:themeColor="text1"/>
        </w:rPr>
        <w:t xml:space="preserve">, J., &amp; Keiser, J. (2013). Effect of sanitation and water treatment on intestinal protozoa. </w:t>
      </w:r>
      <w:r w:rsidRPr="005B115B">
        <w:rPr>
          <w:rStyle w:val="Emphasis"/>
          <w:color w:val="000000" w:themeColor="text1"/>
        </w:rPr>
        <w:t>Clinical Infectious Diseases, 57</w:t>
      </w:r>
      <w:r w:rsidRPr="005B115B">
        <w:rPr>
          <w:color w:val="000000" w:themeColor="text1"/>
        </w:rPr>
        <w:t>(10), 1464–1471.</w:t>
      </w:r>
    </w:p>
    <w:p w14:paraId="491963AF" w14:textId="77777777" w:rsidR="005B115B" w:rsidRPr="005B115B" w:rsidRDefault="005B115B" w:rsidP="005B115B">
      <w:pPr>
        <w:pStyle w:val="NormalWeb"/>
        <w:spacing w:before="0" w:beforeAutospacing="0" w:after="120" w:afterAutospacing="0"/>
        <w:jc w:val="both"/>
        <w:rPr>
          <w:color w:val="000000" w:themeColor="text1"/>
        </w:rPr>
      </w:pPr>
      <w:r w:rsidRPr="005B115B">
        <w:rPr>
          <w:color w:val="000000" w:themeColor="text1"/>
        </w:rPr>
        <w:t xml:space="preserve">Stanley, S. L. (2003). Amoebiasis pathogenesis. </w:t>
      </w:r>
      <w:r w:rsidRPr="005B115B">
        <w:rPr>
          <w:rStyle w:val="Emphasis"/>
          <w:color w:val="000000" w:themeColor="text1"/>
        </w:rPr>
        <w:t>The Lancet, 361</w:t>
      </w:r>
      <w:r w:rsidRPr="005B115B">
        <w:rPr>
          <w:color w:val="000000" w:themeColor="text1"/>
        </w:rPr>
        <w:t>(9362), 1025–1034.</w:t>
      </w:r>
    </w:p>
    <w:p w14:paraId="6E120611" w14:textId="77777777" w:rsidR="005B115B" w:rsidRPr="005B115B" w:rsidRDefault="005B115B" w:rsidP="005B115B">
      <w:pPr>
        <w:pStyle w:val="NormalWeb"/>
        <w:spacing w:before="0" w:beforeAutospacing="0" w:after="120" w:afterAutospacing="0"/>
        <w:jc w:val="both"/>
        <w:rPr>
          <w:color w:val="000000" w:themeColor="text1"/>
        </w:rPr>
      </w:pPr>
      <w:proofErr w:type="spellStart"/>
      <w:r w:rsidRPr="005B115B">
        <w:rPr>
          <w:color w:val="000000" w:themeColor="text1"/>
        </w:rPr>
        <w:t>Strunz</w:t>
      </w:r>
      <w:proofErr w:type="spellEnd"/>
      <w:r w:rsidRPr="005B115B">
        <w:rPr>
          <w:color w:val="000000" w:themeColor="text1"/>
        </w:rPr>
        <w:t xml:space="preserve">, E. C., </w:t>
      </w:r>
      <w:proofErr w:type="spellStart"/>
      <w:r w:rsidRPr="005B115B">
        <w:rPr>
          <w:color w:val="000000" w:themeColor="text1"/>
        </w:rPr>
        <w:t>Addiss</w:t>
      </w:r>
      <w:proofErr w:type="spellEnd"/>
      <w:r w:rsidRPr="005B115B">
        <w:rPr>
          <w:color w:val="000000" w:themeColor="text1"/>
        </w:rPr>
        <w:t xml:space="preserve">, D. G., Stocks, M. E., Ogden, S., </w:t>
      </w:r>
      <w:proofErr w:type="spellStart"/>
      <w:r w:rsidRPr="005B115B">
        <w:rPr>
          <w:color w:val="000000" w:themeColor="text1"/>
        </w:rPr>
        <w:t>Utzinger</w:t>
      </w:r>
      <w:proofErr w:type="spellEnd"/>
      <w:r w:rsidRPr="005B115B">
        <w:rPr>
          <w:color w:val="000000" w:themeColor="text1"/>
        </w:rPr>
        <w:t xml:space="preserve">, J., &amp; Freeman, M. C. (2014). Water, sanitation, hygiene, and soil-transmitted helminth infection: A systematic review. </w:t>
      </w:r>
      <w:proofErr w:type="spellStart"/>
      <w:r w:rsidRPr="005B115B">
        <w:rPr>
          <w:rStyle w:val="Emphasis"/>
          <w:color w:val="000000" w:themeColor="text1"/>
        </w:rPr>
        <w:t>PLoS</w:t>
      </w:r>
      <w:proofErr w:type="spellEnd"/>
      <w:r w:rsidRPr="005B115B">
        <w:rPr>
          <w:rStyle w:val="Emphasis"/>
          <w:color w:val="000000" w:themeColor="text1"/>
        </w:rPr>
        <w:t xml:space="preserve"> Medicine, 11</w:t>
      </w:r>
      <w:r w:rsidRPr="005B115B">
        <w:rPr>
          <w:color w:val="000000" w:themeColor="text1"/>
        </w:rPr>
        <w:t>(3), e1001620.</w:t>
      </w:r>
    </w:p>
    <w:p w14:paraId="447F9DAE"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5B115B">
        <w:rPr>
          <w:rFonts w:ascii="Times New Roman" w:eastAsia="Times New Roman" w:hAnsi="Times New Roman" w:cs="Times New Roman"/>
          <w:color w:val="000000" w:themeColor="text1"/>
          <w:kern w:val="0"/>
          <w14:ligatures w14:val="none"/>
        </w:rPr>
        <w:t>Tchuem</w:t>
      </w:r>
      <w:proofErr w:type="spellEnd"/>
      <w:r w:rsidRPr="005B115B">
        <w:rPr>
          <w:rFonts w:ascii="Times New Roman" w:eastAsia="Times New Roman" w:hAnsi="Times New Roman" w:cs="Times New Roman"/>
          <w:color w:val="000000" w:themeColor="text1"/>
          <w:kern w:val="0"/>
          <w14:ligatures w14:val="none"/>
        </w:rPr>
        <w:t xml:space="preserve"> </w:t>
      </w:r>
      <w:proofErr w:type="spellStart"/>
      <w:r w:rsidRPr="005B115B">
        <w:rPr>
          <w:rFonts w:ascii="Times New Roman" w:eastAsia="Times New Roman" w:hAnsi="Times New Roman" w:cs="Times New Roman"/>
          <w:color w:val="000000" w:themeColor="text1"/>
          <w:kern w:val="0"/>
          <w14:ligatures w14:val="none"/>
        </w:rPr>
        <w:t>Tchuenté</w:t>
      </w:r>
      <w:proofErr w:type="spellEnd"/>
      <w:r w:rsidRPr="005B115B">
        <w:rPr>
          <w:rFonts w:ascii="Times New Roman" w:eastAsia="Times New Roman" w:hAnsi="Times New Roman" w:cs="Times New Roman"/>
          <w:color w:val="000000" w:themeColor="text1"/>
          <w:kern w:val="0"/>
          <w14:ligatures w14:val="none"/>
        </w:rPr>
        <w:t xml:space="preserve">, L. A., Rollinson, D., </w:t>
      </w:r>
      <w:proofErr w:type="spellStart"/>
      <w:r w:rsidRPr="005B115B">
        <w:rPr>
          <w:rFonts w:ascii="Times New Roman" w:eastAsia="Times New Roman" w:hAnsi="Times New Roman" w:cs="Times New Roman"/>
          <w:color w:val="000000" w:themeColor="text1"/>
          <w:kern w:val="0"/>
          <w14:ligatures w14:val="none"/>
        </w:rPr>
        <w:t>Stothard</w:t>
      </w:r>
      <w:proofErr w:type="spellEnd"/>
      <w:r w:rsidRPr="005B115B">
        <w:rPr>
          <w:rFonts w:ascii="Times New Roman" w:eastAsia="Times New Roman" w:hAnsi="Times New Roman" w:cs="Times New Roman"/>
          <w:color w:val="000000" w:themeColor="text1"/>
          <w:kern w:val="0"/>
          <w14:ligatures w14:val="none"/>
        </w:rPr>
        <w:t xml:space="preserve">, J. R., &amp; Molyneux, D. (2017). Moving from control to elimination of schistosomiasis in sub-Saharan Africa: Time to change and adapt strategies. </w:t>
      </w:r>
      <w:r w:rsidRPr="005B115B">
        <w:rPr>
          <w:rFonts w:ascii="Times New Roman" w:eastAsia="Times New Roman" w:hAnsi="Times New Roman" w:cs="Times New Roman"/>
          <w:i/>
          <w:iCs/>
          <w:color w:val="000000" w:themeColor="text1"/>
          <w:kern w:val="0"/>
          <w14:ligatures w14:val="none"/>
        </w:rPr>
        <w:t>Infectious Diseases of Poverty, 6</w:t>
      </w:r>
      <w:r w:rsidRPr="005B115B">
        <w:rPr>
          <w:rFonts w:ascii="Times New Roman" w:eastAsia="Times New Roman" w:hAnsi="Times New Roman" w:cs="Times New Roman"/>
          <w:color w:val="000000" w:themeColor="text1"/>
          <w:kern w:val="0"/>
          <w14:ligatures w14:val="none"/>
        </w:rPr>
        <w:t>(1), 42.</w:t>
      </w:r>
    </w:p>
    <w:p w14:paraId="62BE13E9"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5B115B">
        <w:rPr>
          <w:rFonts w:ascii="Times New Roman" w:eastAsia="Times New Roman" w:hAnsi="Times New Roman" w:cs="Times New Roman"/>
          <w:color w:val="000000" w:themeColor="text1"/>
          <w:kern w:val="0"/>
          <w14:ligatures w14:val="none"/>
        </w:rPr>
        <w:t>Ugbomoiko</w:t>
      </w:r>
      <w:proofErr w:type="spellEnd"/>
      <w:r w:rsidRPr="005B115B">
        <w:rPr>
          <w:rFonts w:ascii="Times New Roman" w:eastAsia="Times New Roman" w:hAnsi="Times New Roman" w:cs="Times New Roman"/>
          <w:color w:val="000000" w:themeColor="text1"/>
          <w:kern w:val="0"/>
          <w14:ligatures w14:val="none"/>
        </w:rPr>
        <w:t xml:space="preserve">, U. S., </w:t>
      </w:r>
      <w:proofErr w:type="spellStart"/>
      <w:r w:rsidRPr="005B115B">
        <w:rPr>
          <w:rFonts w:ascii="Times New Roman" w:eastAsia="Times New Roman" w:hAnsi="Times New Roman" w:cs="Times New Roman"/>
          <w:color w:val="000000" w:themeColor="text1"/>
          <w:kern w:val="0"/>
          <w14:ligatures w14:val="none"/>
        </w:rPr>
        <w:t>Dalumo</w:t>
      </w:r>
      <w:proofErr w:type="spellEnd"/>
      <w:r w:rsidRPr="005B115B">
        <w:rPr>
          <w:rFonts w:ascii="Times New Roman" w:eastAsia="Times New Roman" w:hAnsi="Times New Roman" w:cs="Times New Roman"/>
          <w:color w:val="000000" w:themeColor="text1"/>
          <w:kern w:val="0"/>
          <w14:ligatures w14:val="none"/>
        </w:rPr>
        <w:t xml:space="preserve">, V., </w:t>
      </w:r>
      <w:proofErr w:type="spellStart"/>
      <w:r w:rsidRPr="005B115B">
        <w:rPr>
          <w:rFonts w:ascii="Times New Roman" w:eastAsia="Times New Roman" w:hAnsi="Times New Roman" w:cs="Times New Roman"/>
          <w:color w:val="000000" w:themeColor="text1"/>
          <w:kern w:val="0"/>
          <w14:ligatures w14:val="none"/>
        </w:rPr>
        <w:t>Ofoezie</w:t>
      </w:r>
      <w:proofErr w:type="spellEnd"/>
      <w:r w:rsidRPr="005B115B">
        <w:rPr>
          <w:rFonts w:ascii="Times New Roman" w:eastAsia="Times New Roman" w:hAnsi="Times New Roman" w:cs="Times New Roman"/>
          <w:color w:val="000000" w:themeColor="text1"/>
          <w:kern w:val="0"/>
          <w14:ligatures w14:val="none"/>
        </w:rPr>
        <w:t xml:space="preserve">, I. E., &amp; </w:t>
      </w:r>
      <w:proofErr w:type="spellStart"/>
      <w:r w:rsidRPr="005B115B">
        <w:rPr>
          <w:rFonts w:ascii="Times New Roman" w:eastAsia="Times New Roman" w:hAnsi="Times New Roman" w:cs="Times New Roman"/>
          <w:color w:val="000000" w:themeColor="text1"/>
          <w:kern w:val="0"/>
          <w14:ligatures w14:val="none"/>
        </w:rPr>
        <w:t>Obiezue</w:t>
      </w:r>
      <w:proofErr w:type="spellEnd"/>
      <w:r w:rsidRPr="005B115B">
        <w:rPr>
          <w:rFonts w:ascii="Times New Roman" w:eastAsia="Times New Roman" w:hAnsi="Times New Roman" w:cs="Times New Roman"/>
          <w:color w:val="000000" w:themeColor="text1"/>
          <w:kern w:val="0"/>
          <w14:ligatures w14:val="none"/>
        </w:rPr>
        <w:t xml:space="preserve">, R. N. N. (2017). Socio-environmental factors and prevalence of intestinal parasitic infections among school children in rural communities in Nigeria. </w:t>
      </w:r>
      <w:r w:rsidRPr="005B115B">
        <w:rPr>
          <w:rFonts w:ascii="Times New Roman" w:eastAsia="Times New Roman" w:hAnsi="Times New Roman" w:cs="Times New Roman"/>
          <w:i/>
          <w:iCs/>
          <w:color w:val="000000" w:themeColor="text1"/>
          <w:kern w:val="0"/>
          <w14:ligatures w14:val="none"/>
        </w:rPr>
        <w:t>Parasite Epidemiology and Control, 2</w:t>
      </w:r>
      <w:r w:rsidRPr="005B115B">
        <w:rPr>
          <w:rFonts w:ascii="Times New Roman" w:eastAsia="Times New Roman" w:hAnsi="Times New Roman" w:cs="Times New Roman"/>
          <w:color w:val="000000" w:themeColor="text1"/>
          <w:kern w:val="0"/>
          <w14:ligatures w14:val="none"/>
        </w:rPr>
        <w:t>(1), 16–21.</w:t>
      </w:r>
    </w:p>
    <w:p w14:paraId="6EF7776B"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UNICEF. (2019). </w:t>
      </w:r>
      <w:r w:rsidRPr="005B115B">
        <w:rPr>
          <w:rFonts w:ascii="Times New Roman" w:eastAsia="Times New Roman" w:hAnsi="Times New Roman" w:cs="Times New Roman"/>
          <w:i/>
          <w:iCs/>
          <w:color w:val="000000" w:themeColor="text1"/>
          <w:kern w:val="0"/>
          <w14:ligatures w14:val="none"/>
        </w:rPr>
        <w:t>Water, sanitation and hygiene (WASH) in schools: Global baseline report 2018</w:t>
      </w:r>
      <w:r w:rsidRPr="005B115B">
        <w:rPr>
          <w:rFonts w:ascii="Times New Roman" w:eastAsia="Times New Roman" w:hAnsi="Times New Roman" w:cs="Times New Roman"/>
          <w:color w:val="000000" w:themeColor="text1"/>
          <w:kern w:val="0"/>
          <w14:ligatures w14:val="none"/>
        </w:rPr>
        <w:t>. New York: United Nations Children’s Fund.</w:t>
      </w:r>
    </w:p>
    <w:p w14:paraId="702A8CAC" w14:textId="77777777" w:rsidR="005B115B" w:rsidRPr="005B115B" w:rsidRDefault="005B115B" w:rsidP="005B115B">
      <w:pPr>
        <w:spacing w:after="120" w:line="240" w:lineRule="auto"/>
        <w:jc w:val="both"/>
        <w:rPr>
          <w:rFonts w:ascii="Times New Roman" w:eastAsia="Times New Roman" w:hAnsi="Times New Roman" w:cs="Times New Roman"/>
          <w:color w:val="000000" w:themeColor="text1"/>
          <w:kern w:val="0"/>
          <w14:ligatures w14:val="none"/>
        </w:rPr>
      </w:pPr>
      <w:r w:rsidRPr="005B115B">
        <w:rPr>
          <w:rFonts w:ascii="Times New Roman" w:eastAsia="Times New Roman" w:hAnsi="Times New Roman" w:cs="Times New Roman"/>
          <w:color w:val="000000" w:themeColor="text1"/>
          <w:kern w:val="0"/>
          <w14:ligatures w14:val="none"/>
        </w:rPr>
        <w:t xml:space="preserve">World Health Organization (WHO). (2020). </w:t>
      </w:r>
      <w:r w:rsidRPr="005B115B">
        <w:rPr>
          <w:rFonts w:ascii="Times New Roman" w:eastAsia="Times New Roman" w:hAnsi="Times New Roman" w:cs="Times New Roman"/>
          <w:i/>
          <w:iCs/>
          <w:color w:val="000000" w:themeColor="text1"/>
          <w:kern w:val="0"/>
          <w14:ligatures w14:val="none"/>
        </w:rPr>
        <w:t>Soil-transmitted helminth infections</w:t>
      </w:r>
      <w:r w:rsidRPr="005B115B">
        <w:rPr>
          <w:rFonts w:ascii="Times New Roman" w:eastAsia="Times New Roman" w:hAnsi="Times New Roman" w:cs="Times New Roman"/>
          <w:color w:val="000000" w:themeColor="text1"/>
          <w:kern w:val="0"/>
          <w14:ligatures w14:val="none"/>
        </w:rPr>
        <w:t xml:space="preserve">. Geneva: World Health Organization. Retrieved from </w:t>
      </w:r>
      <w:hyperlink r:id="rId7" w:tgtFrame="_new" w:history="1">
        <w:r w:rsidRPr="005B115B">
          <w:rPr>
            <w:rFonts w:ascii="Times New Roman" w:eastAsia="Times New Roman" w:hAnsi="Times New Roman" w:cs="Times New Roman"/>
            <w:color w:val="000000" w:themeColor="text1"/>
            <w:kern w:val="0"/>
            <w14:ligatures w14:val="none"/>
          </w:rPr>
          <w:t>https://www.who.int/news-room/fact-sheets/detail/soil-transmitted-helminth-infections</w:t>
        </w:r>
      </w:hyperlink>
    </w:p>
    <w:p w14:paraId="0B785CB5" w14:textId="77777777" w:rsidR="00A8306D" w:rsidRPr="005B115B" w:rsidRDefault="00A8306D" w:rsidP="005B115B">
      <w:pPr>
        <w:spacing w:after="120"/>
        <w:jc w:val="both"/>
        <w:rPr>
          <w:rFonts w:ascii="Times New Roman" w:hAnsi="Times New Roman" w:cs="Times New Roman"/>
          <w:color w:val="000000" w:themeColor="text1"/>
        </w:rPr>
      </w:pPr>
      <w:bookmarkStart w:id="0" w:name="_GoBack"/>
      <w:bookmarkEnd w:id="0"/>
    </w:p>
    <w:sectPr w:rsidR="00A8306D" w:rsidRPr="005B11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A59F9" w14:textId="77777777" w:rsidR="005B209C" w:rsidRDefault="005B209C" w:rsidP="00BF5F84">
      <w:pPr>
        <w:spacing w:after="0" w:line="240" w:lineRule="auto"/>
      </w:pPr>
      <w:r>
        <w:separator/>
      </w:r>
    </w:p>
  </w:endnote>
  <w:endnote w:type="continuationSeparator" w:id="0">
    <w:p w14:paraId="2BB79FF9" w14:textId="77777777" w:rsidR="005B209C" w:rsidRDefault="005B209C" w:rsidP="00BF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040A" w14:textId="77777777" w:rsidR="00BF5F84" w:rsidRDefault="00BF5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9F166" w14:textId="77777777" w:rsidR="00BF5F84" w:rsidRDefault="00BF5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7CEA" w14:textId="77777777" w:rsidR="00BF5F84" w:rsidRDefault="00BF5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5D460" w14:textId="77777777" w:rsidR="005B209C" w:rsidRDefault="005B209C" w:rsidP="00BF5F84">
      <w:pPr>
        <w:spacing w:after="0" w:line="240" w:lineRule="auto"/>
      </w:pPr>
      <w:r>
        <w:separator/>
      </w:r>
    </w:p>
  </w:footnote>
  <w:footnote w:type="continuationSeparator" w:id="0">
    <w:p w14:paraId="384E90C7" w14:textId="77777777" w:rsidR="005B209C" w:rsidRDefault="005B209C" w:rsidP="00BF5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3E71E" w14:textId="50059341" w:rsidR="00BF5F84" w:rsidRDefault="00BF5F84">
    <w:pPr>
      <w:pStyle w:val="Header"/>
    </w:pPr>
    <w:r>
      <w:rPr>
        <w:noProof/>
      </w:rPr>
      <w:pict w14:anchorId="65AD9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3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C6F8" w14:textId="35146FCE" w:rsidR="00BF5F84" w:rsidRDefault="00BF5F84">
    <w:pPr>
      <w:pStyle w:val="Header"/>
    </w:pPr>
    <w:r>
      <w:rPr>
        <w:noProof/>
      </w:rPr>
      <w:pict w14:anchorId="2EB01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3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43D5" w14:textId="76BD3C31" w:rsidR="00BF5F84" w:rsidRDefault="00BF5F84">
    <w:pPr>
      <w:pStyle w:val="Header"/>
    </w:pPr>
    <w:r>
      <w:rPr>
        <w:noProof/>
      </w:rPr>
      <w:pict w14:anchorId="0B4F2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3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07A7"/>
    <w:multiLevelType w:val="multilevel"/>
    <w:tmpl w:val="7E44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E0F7D"/>
    <w:multiLevelType w:val="multilevel"/>
    <w:tmpl w:val="C868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201D6"/>
    <w:multiLevelType w:val="multilevel"/>
    <w:tmpl w:val="4E54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E6FA6"/>
    <w:multiLevelType w:val="multilevel"/>
    <w:tmpl w:val="2B8C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A6C7B"/>
    <w:multiLevelType w:val="multilevel"/>
    <w:tmpl w:val="FA7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91FA2"/>
    <w:multiLevelType w:val="multilevel"/>
    <w:tmpl w:val="7D9A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544C1"/>
    <w:multiLevelType w:val="multilevel"/>
    <w:tmpl w:val="CB1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C3599"/>
    <w:multiLevelType w:val="multilevel"/>
    <w:tmpl w:val="F908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126E4"/>
    <w:multiLevelType w:val="multilevel"/>
    <w:tmpl w:val="5494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C6B7C"/>
    <w:multiLevelType w:val="multilevel"/>
    <w:tmpl w:val="CC32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F052B9"/>
    <w:multiLevelType w:val="multilevel"/>
    <w:tmpl w:val="B03A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A47F0"/>
    <w:multiLevelType w:val="multilevel"/>
    <w:tmpl w:val="0D0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7"/>
  </w:num>
  <w:num w:numId="4">
    <w:abstractNumId w:val="8"/>
  </w:num>
  <w:num w:numId="5">
    <w:abstractNumId w:val="6"/>
  </w:num>
  <w:num w:numId="6">
    <w:abstractNumId w:val="11"/>
  </w:num>
  <w:num w:numId="7">
    <w:abstractNumId w:val="5"/>
  </w:num>
  <w:num w:numId="8">
    <w:abstractNumId w:val="1"/>
  </w:num>
  <w:num w:numId="9">
    <w:abstractNumId w:val="2"/>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6D"/>
    <w:rsid w:val="000F6C64"/>
    <w:rsid w:val="001323E7"/>
    <w:rsid w:val="0013506B"/>
    <w:rsid w:val="00191434"/>
    <w:rsid w:val="001A1B49"/>
    <w:rsid w:val="001E5E04"/>
    <w:rsid w:val="003270F1"/>
    <w:rsid w:val="00385384"/>
    <w:rsid w:val="004053F2"/>
    <w:rsid w:val="00540566"/>
    <w:rsid w:val="005B115B"/>
    <w:rsid w:val="005B209C"/>
    <w:rsid w:val="006D2391"/>
    <w:rsid w:val="006F55D0"/>
    <w:rsid w:val="007D33F4"/>
    <w:rsid w:val="0083319B"/>
    <w:rsid w:val="00951FB7"/>
    <w:rsid w:val="00A8306D"/>
    <w:rsid w:val="00A933E7"/>
    <w:rsid w:val="00B20C2D"/>
    <w:rsid w:val="00BA1AD2"/>
    <w:rsid w:val="00BF5F84"/>
    <w:rsid w:val="00C006CC"/>
    <w:rsid w:val="00D371D0"/>
    <w:rsid w:val="00D975FF"/>
    <w:rsid w:val="00DB23CF"/>
    <w:rsid w:val="00DB632E"/>
    <w:rsid w:val="00DF0137"/>
    <w:rsid w:val="00E573D0"/>
    <w:rsid w:val="00E84006"/>
    <w:rsid w:val="00EB233B"/>
    <w:rsid w:val="00EE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4F33B"/>
  <w15:chartTrackingRefBased/>
  <w15:docId w15:val="{3872D151-1D1E-4F95-8209-FB35AEE9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0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0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0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0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0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0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0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0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06D"/>
    <w:rPr>
      <w:rFonts w:eastAsiaTheme="majorEastAsia" w:cstheme="majorBidi"/>
      <w:color w:val="272727" w:themeColor="text1" w:themeTint="D8"/>
    </w:rPr>
  </w:style>
  <w:style w:type="paragraph" w:styleId="Title">
    <w:name w:val="Title"/>
    <w:basedOn w:val="Normal"/>
    <w:next w:val="Normal"/>
    <w:link w:val="TitleChar"/>
    <w:uiPriority w:val="10"/>
    <w:qFormat/>
    <w:rsid w:val="00A83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06D"/>
    <w:pPr>
      <w:spacing w:before="160"/>
      <w:jc w:val="center"/>
    </w:pPr>
    <w:rPr>
      <w:i/>
      <w:iCs/>
      <w:color w:val="404040" w:themeColor="text1" w:themeTint="BF"/>
    </w:rPr>
  </w:style>
  <w:style w:type="character" w:customStyle="1" w:styleId="QuoteChar">
    <w:name w:val="Quote Char"/>
    <w:basedOn w:val="DefaultParagraphFont"/>
    <w:link w:val="Quote"/>
    <w:uiPriority w:val="29"/>
    <w:rsid w:val="00A8306D"/>
    <w:rPr>
      <w:i/>
      <w:iCs/>
      <w:color w:val="404040" w:themeColor="text1" w:themeTint="BF"/>
    </w:rPr>
  </w:style>
  <w:style w:type="paragraph" w:styleId="ListParagraph">
    <w:name w:val="List Paragraph"/>
    <w:basedOn w:val="Normal"/>
    <w:uiPriority w:val="34"/>
    <w:qFormat/>
    <w:rsid w:val="00A8306D"/>
    <w:pPr>
      <w:ind w:left="720"/>
      <w:contextualSpacing/>
    </w:pPr>
  </w:style>
  <w:style w:type="character" w:styleId="IntenseEmphasis">
    <w:name w:val="Intense Emphasis"/>
    <w:basedOn w:val="DefaultParagraphFont"/>
    <w:uiPriority w:val="21"/>
    <w:qFormat/>
    <w:rsid w:val="00A8306D"/>
    <w:rPr>
      <w:i/>
      <w:iCs/>
      <w:color w:val="2F5496" w:themeColor="accent1" w:themeShade="BF"/>
    </w:rPr>
  </w:style>
  <w:style w:type="paragraph" w:styleId="IntenseQuote">
    <w:name w:val="Intense Quote"/>
    <w:basedOn w:val="Normal"/>
    <w:next w:val="Normal"/>
    <w:link w:val="IntenseQuoteChar"/>
    <w:uiPriority w:val="30"/>
    <w:qFormat/>
    <w:rsid w:val="00A83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06D"/>
    <w:rPr>
      <w:i/>
      <w:iCs/>
      <w:color w:val="2F5496" w:themeColor="accent1" w:themeShade="BF"/>
    </w:rPr>
  </w:style>
  <w:style w:type="character" w:styleId="IntenseReference">
    <w:name w:val="Intense Reference"/>
    <w:basedOn w:val="DefaultParagraphFont"/>
    <w:uiPriority w:val="32"/>
    <w:qFormat/>
    <w:rsid w:val="00A8306D"/>
    <w:rPr>
      <w:b/>
      <w:bCs/>
      <w:smallCaps/>
      <w:color w:val="2F5496" w:themeColor="accent1" w:themeShade="BF"/>
      <w:spacing w:val="5"/>
    </w:rPr>
  </w:style>
  <w:style w:type="paragraph" w:styleId="NormalWeb">
    <w:name w:val="Normal (Web)"/>
    <w:basedOn w:val="Normal"/>
    <w:uiPriority w:val="99"/>
    <w:unhideWhenUsed/>
    <w:rsid w:val="001914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91434"/>
    <w:rPr>
      <w:i/>
      <w:iCs/>
    </w:rPr>
  </w:style>
  <w:style w:type="character" w:styleId="Hyperlink">
    <w:name w:val="Hyperlink"/>
    <w:basedOn w:val="DefaultParagraphFont"/>
    <w:uiPriority w:val="99"/>
    <w:semiHidden/>
    <w:unhideWhenUsed/>
    <w:rsid w:val="00191434"/>
    <w:rPr>
      <w:color w:val="0000FF"/>
      <w:u w:val="single"/>
    </w:rPr>
  </w:style>
  <w:style w:type="table" w:styleId="PlainTable2">
    <w:name w:val="Plain Table 2"/>
    <w:basedOn w:val="TableNormal"/>
    <w:uiPriority w:val="42"/>
    <w:rsid w:val="001914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191434"/>
    <w:rPr>
      <w:b/>
      <w:bCs/>
    </w:rPr>
  </w:style>
  <w:style w:type="paragraph" w:styleId="Header">
    <w:name w:val="header"/>
    <w:basedOn w:val="Normal"/>
    <w:link w:val="HeaderChar"/>
    <w:uiPriority w:val="99"/>
    <w:unhideWhenUsed/>
    <w:rsid w:val="00BF5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F84"/>
  </w:style>
  <w:style w:type="paragraph" w:styleId="Footer">
    <w:name w:val="footer"/>
    <w:basedOn w:val="Normal"/>
    <w:link w:val="FooterChar"/>
    <w:uiPriority w:val="99"/>
    <w:unhideWhenUsed/>
    <w:rsid w:val="00BF5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news-room/fact-sheets/detail/soil-transmitted-helminth-infec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10</Pages>
  <Words>4210</Words>
  <Characters>23999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1166</cp:lastModifiedBy>
  <cp:revision>12</cp:revision>
  <dcterms:created xsi:type="dcterms:W3CDTF">2026-03-19T22:46:00Z</dcterms:created>
  <dcterms:modified xsi:type="dcterms:W3CDTF">2026-03-23T11:02:00Z</dcterms:modified>
</cp:coreProperties>
</file>