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AF394" w14:textId="173C5519" w:rsidR="007A4EA3" w:rsidRPr="002A248F" w:rsidRDefault="00812A12" w:rsidP="00BF5B0C">
      <w:pPr>
        <w:pStyle w:val="RSCB04AHeadingSection"/>
        <w:spacing w:before="0"/>
        <w:divId w:val="271595052"/>
        <w:rPr>
          <w:sz w:val="29"/>
          <w:szCs w:val="29"/>
        </w:rPr>
      </w:pPr>
      <w:r w:rsidRPr="002A248F">
        <w:rPr>
          <w:sz w:val="29"/>
          <w:szCs w:val="29"/>
        </w:rPr>
        <w:t xml:space="preserve">Thermodynamic and kinetic elucidation of the biogenic capping mechanism: evidence of ordered self-assembly in </w:t>
      </w:r>
      <w:proofErr w:type="spellStart"/>
      <w:r w:rsidRPr="002A248F">
        <w:rPr>
          <w:i/>
          <w:iCs/>
          <w:sz w:val="29"/>
          <w:szCs w:val="29"/>
        </w:rPr>
        <w:t>Gongronema</w:t>
      </w:r>
      <w:proofErr w:type="spellEnd"/>
      <w:r w:rsidRPr="002A248F">
        <w:rPr>
          <w:i/>
          <w:iCs/>
          <w:sz w:val="29"/>
          <w:szCs w:val="29"/>
        </w:rPr>
        <w:t xml:space="preserve"> </w:t>
      </w:r>
      <w:proofErr w:type="spellStart"/>
      <w:r w:rsidRPr="002A248F">
        <w:rPr>
          <w:i/>
          <w:iCs/>
          <w:sz w:val="29"/>
          <w:szCs w:val="29"/>
        </w:rPr>
        <w:t>latifolium</w:t>
      </w:r>
      <w:proofErr w:type="spellEnd"/>
      <w:r w:rsidRPr="002A248F">
        <w:rPr>
          <w:sz w:val="29"/>
          <w:szCs w:val="29"/>
        </w:rPr>
        <w:t>-silver nanoparticles</w:t>
      </w:r>
    </w:p>
    <w:p w14:paraId="3AED5C79" w14:textId="77777777" w:rsidR="007F371C" w:rsidRDefault="007F371C" w:rsidP="00F35C8F">
      <w:pPr>
        <w:pStyle w:val="NormalWeb"/>
        <w:jc w:val="both"/>
        <w:divId w:val="271595052"/>
      </w:pPr>
    </w:p>
    <w:p w14:paraId="11BF4FA8" w14:textId="48067618" w:rsidR="007A4EA3" w:rsidRPr="002A248F" w:rsidRDefault="007A4EA3" w:rsidP="00F35C8F">
      <w:pPr>
        <w:pStyle w:val="NormalWeb"/>
        <w:jc w:val="both"/>
        <w:divId w:val="271595052"/>
        <w:rPr>
          <w:rFonts w:asciiTheme="minorHAnsi" w:hAnsiTheme="minorHAnsi" w:cstheme="minorHAnsi"/>
          <w:sz w:val="20"/>
          <w:szCs w:val="20"/>
        </w:rPr>
      </w:pPr>
      <w:r w:rsidRPr="002A248F">
        <w:t>​</w:t>
      </w:r>
      <w:r w:rsidRPr="002A248F">
        <w:rPr>
          <w:rFonts w:asciiTheme="minorHAnsi" w:hAnsiTheme="minorHAnsi" w:cstheme="minorHAnsi"/>
          <w:b/>
          <w:bCs/>
          <w:sz w:val="20"/>
          <w:szCs w:val="20"/>
        </w:rPr>
        <w:t>Abstract</w:t>
      </w:r>
    </w:p>
    <w:p w14:paraId="3CC14DB2" w14:textId="27822D8E" w:rsidR="005A08F5" w:rsidRPr="002A248F" w:rsidRDefault="009C6186" w:rsidP="00F35C8F">
      <w:pPr>
        <w:pStyle w:val="NormalWeb"/>
        <w:jc w:val="both"/>
        <w:divId w:val="1026906164"/>
        <w:rPr>
          <w:rFonts w:asciiTheme="minorHAnsi" w:hAnsiTheme="minorHAnsi" w:cstheme="minorHAnsi"/>
          <w:sz w:val="20"/>
          <w:szCs w:val="20"/>
        </w:rPr>
      </w:pPr>
      <w:r w:rsidRPr="002A248F">
        <w:rPr>
          <w:rFonts w:asciiTheme="minorHAnsi" w:hAnsiTheme="minorHAnsi"/>
          <w:sz w:val="20"/>
          <w:szCs w:val="20"/>
        </w:rPr>
        <w:t xml:space="preserve">While our previous research established the exceptional in vivo safety (LD50 &gt; 5000 mg/kg) and antimalarial efficacy of </w:t>
      </w:r>
      <w:proofErr w:type="spellStart"/>
      <w:r w:rsidRPr="002A248F">
        <w:rPr>
          <w:rFonts w:asciiTheme="minorHAnsi" w:hAnsiTheme="minorHAnsi"/>
          <w:i/>
          <w:iCs/>
          <w:sz w:val="20"/>
          <w:szCs w:val="20"/>
        </w:rPr>
        <w:t>Gongronema</w:t>
      </w:r>
      <w:proofErr w:type="spellEnd"/>
      <w:r w:rsidRPr="002A248F">
        <w:rPr>
          <w:rFonts w:asciiTheme="minorHAnsi" w:hAnsiTheme="minorHAnsi"/>
          <w:i/>
          <w:iCs/>
          <w:sz w:val="20"/>
          <w:szCs w:val="20"/>
        </w:rPr>
        <w:t xml:space="preserve"> </w:t>
      </w:r>
      <w:proofErr w:type="spellStart"/>
      <w:r w:rsidRPr="002A248F">
        <w:rPr>
          <w:rFonts w:asciiTheme="minorHAnsi" w:hAnsiTheme="minorHAnsi"/>
          <w:i/>
          <w:iCs/>
          <w:sz w:val="20"/>
          <w:szCs w:val="20"/>
        </w:rPr>
        <w:t>latifolium</w:t>
      </w:r>
      <w:proofErr w:type="spellEnd"/>
      <w:r w:rsidRPr="002A248F">
        <w:rPr>
          <w:rFonts w:asciiTheme="minorHAnsi" w:hAnsiTheme="minorHAnsi"/>
          <w:sz w:val="20"/>
          <w:szCs w:val="20"/>
        </w:rPr>
        <w:t>-synthesized silver nanoparticles (</w:t>
      </w:r>
      <w:proofErr w:type="spellStart"/>
      <w:r w:rsidRPr="002A248F">
        <w:rPr>
          <w:rFonts w:asciiTheme="minorHAnsi" w:hAnsiTheme="minorHAnsi"/>
          <w:sz w:val="20"/>
          <w:szCs w:val="20"/>
        </w:rPr>
        <w:t>AgNPs</w:t>
      </w:r>
      <w:proofErr w:type="spellEnd"/>
      <w:r w:rsidRPr="002A248F">
        <w:rPr>
          <w:rFonts w:asciiTheme="minorHAnsi" w:hAnsiTheme="minorHAnsi"/>
          <w:sz w:val="20"/>
          <w:szCs w:val="20"/>
        </w:rPr>
        <w:t xml:space="preserve">), and subsequently identified </w:t>
      </w:r>
      <w:proofErr w:type="spellStart"/>
      <w:r w:rsidRPr="002A248F">
        <w:rPr>
          <w:rFonts w:asciiTheme="minorHAnsi" w:hAnsiTheme="minorHAnsi"/>
          <w:sz w:val="20"/>
          <w:szCs w:val="20"/>
        </w:rPr>
        <w:t>Sarsasapogenin</w:t>
      </w:r>
      <w:proofErr w:type="spellEnd"/>
      <w:r w:rsidRPr="002A248F">
        <w:rPr>
          <w:rFonts w:asciiTheme="minorHAnsi" w:hAnsiTheme="minorHAnsi"/>
          <w:sz w:val="20"/>
          <w:szCs w:val="20"/>
        </w:rPr>
        <w:t xml:space="preserve"> and </w:t>
      </w:r>
      <w:proofErr w:type="spellStart"/>
      <w:r w:rsidRPr="002A248F">
        <w:rPr>
          <w:rFonts w:asciiTheme="minorHAnsi" w:hAnsiTheme="minorHAnsi"/>
          <w:sz w:val="20"/>
          <w:szCs w:val="20"/>
        </w:rPr>
        <w:t>Cinchonidine</w:t>
      </w:r>
      <w:proofErr w:type="spellEnd"/>
      <w:r w:rsidRPr="002A248F">
        <w:rPr>
          <w:rFonts w:asciiTheme="minorHAnsi" w:hAnsiTheme="minorHAnsi"/>
          <w:sz w:val="20"/>
          <w:szCs w:val="20"/>
        </w:rPr>
        <w:t xml:space="preserve"> as primary molecular stabilizers via Density Functional Theory (DFT), the precise physical chemistry governing this “Safety Shield” formation remained unexplored. This third study in the series experimentally elucidates the energy landscape and self-assembly mechanism of these biogenic caps by monitoring the reduction of</w:t>
      </w:r>
      <w:r w:rsidR="00373C10" w:rsidRPr="002A248F">
        <w:rPr>
          <w:rFonts w:asciiTheme="minorHAnsi" w:hAnsiTheme="minorHAnsi" w:cstheme="minorHAnsi"/>
          <w:sz w:val="20"/>
          <w:szCs w:val="20"/>
        </w:rPr>
        <w:t xml:space="preserve"> Ag</w:t>
      </w:r>
      <w:r w:rsidR="005A08F5" w:rsidRPr="002A248F">
        <w:rPr>
          <w:rFonts w:asciiTheme="minorHAnsi" w:hAnsiTheme="minorHAnsi" w:cstheme="minorHAnsi"/>
          <w:sz w:val="20"/>
          <w:szCs w:val="20"/>
          <w:vertAlign w:val="superscript"/>
        </w:rPr>
        <w:t>+</w:t>
      </w:r>
      <w:r w:rsidR="005A08F5" w:rsidRPr="002A248F">
        <w:rPr>
          <w:rFonts w:asciiTheme="minorHAnsi" w:hAnsiTheme="minorHAnsi" w:cstheme="minorHAnsi"/>
          <w:sz w:val="20"/>
          <w:szCs w:val="20"/>
        </w:rPr>
        <w:t xml:space="preserve"> </w:t>
      </w:r>
      <w:r w:rsidR="00EB1639" w:rsidRPr="002A248F">
        <w:rPr>
          <w:rFonts w:asciiTheme="minorHAnsi" w:hAnsiTheme="minorHAnsi"/>
          <w:sz w:val="20"/>
          <w:szCs w:val="20"/>
        </w:rPr>
        <w:t>under pseudo-first-order conditions across a temperature range of 303–333 K. Kinetic analysis revealed a surface-controlled process</w:t>
      </w:r>
      <m:oMath>
        <m:r>
          <w:rPr>
            <w:rFonts w:ascii="Cambria Math" w:hAnsi="Cambria Math" w:cstheme="minorHAnsi"/>
            <w:sz w:val="20"/>
            <w:szCs w:val="20"/>
          </w:rPr>
          <m:t xml:space="preserve"> </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E</m:t>
                </m:r>
              </m:e>
              <m:sub>
                <m:r>
                  <w:rPr>
                    <w:rFonts w:ascii="Cambria Math" w:hAnsi="Cambria Math" w:cstheme="minorHAnsi"/>
                    <w:sz w:val="20"/>
                    <w:szCs w:val="20"/>
                  </w:rPr>
                  <m:t>a</m:t>
                </m:r>
              </m:sub>
            </m:sSub>
            <m:r>
              <w:rPr>
                <w:rFonts w:ascii="Cambria Math" w:hAnsi="Cambria Math" w:cstheme="minorHAnsi"/>
                <w:sz w:val="20"/>
                <w:szCs w:val="20"/>
              </w:rPr>
              <m:t>≈55 kJ/mol</m:t>
            </m:r>
          </m:e>
        </m:d>
      </m:oMath>
      <w:r w:rsidR="005A08F5" w:rsidRPr="002A248F">
        <w:rPr>
          <w:rFonts w:asciiTheme="minorHAnsi" w:hAnsiTheme="minorHAnsi" w:cstheme="minorHAnsi"/>
          <w:sz w:val="20"/>
          <w:szCs w:val="20"/>
        </w:rPr>
        <w:t>,</w:t>
      </w:r>
      <w:r w:rsidR="000665F7" w:rsidRPr="002A248F">
        <w:rPr>
          <w:rFonts w:asciiTheme="minorHAnsi" w:hAnsiTheme="minorHAnsi" w:cstheme="minorHAnsi"/>
          <w:sz w:val="20"/>
          <w:szCs w:val="20"/>
        </w:rPr>
        <w:t xml:space="preserve"> while</w:t>
      </w:r>
      <w:r w:rsidR="005A08F5" w:rsidRPr="002A248F">
        <w:rPr>
          <w:rFonts w:asciiTheme="minorHAnsi" w:hAnsiTheme="minorHAnsi" w:cstheme="minorHAnsi"/>
          <w:sz w:val="20"/>
          <w:szCs w:val="20"/>
        </w:rPr>
        <w:t xml:space="preserve"> Eyring analysis yielded </w:t>
      </w:r>
      <w:r w:rsidR="000665F7" w:rsidRPr="002A248F">
        <w:rPr>
          <w:rFonts w:asciiTheme="minorHAnsi" w:hAnsiTheme="minorHAnsi" w:cstheme="minorHAnsi"/>
          <w:sz w:val="20"/>
          <w:szCs w:val="20"/>
        </w:rPr>
        <w:t>significantly</w:t>
      </w:r>
      <w:r w:rsidR="005A08F5" w:rsidRPr="002A248F">
        <w:rPr>
          <w:rFonts w:asciiTheme="minorHAnsi" w:hAnsiTheme="minorHAnsi" w:cstheme="minorHAnsi"/>
          <w:sz w:val="20"/>
          <w:szCs w:val="20"/>
        </w:rPr>
        <w:t xml:space="preserve"> </w:t>
      </w:r>
      <w:r w:rsidR="00DB0793" w:rsidRPr="002A248F">
        <w:rPr>
          <w:rFonts w:asciiTheme="minorHAnsi" w:hAnsiTheme="minorHAnsi" w:cstheme="minorHAnsi"/>
          <w:sz w:val="20"/>
          <w:szCs w:val="20"/>
        </w:rPr>
        <w:t xml:space="preserve">negative entropy of </w:t>
      </w:r>
      <w:r w:rsidR="0014604A" w:rsidRPr="002A248F">
        <w:rPr>
          <w:rFonts w:asciiTheme="minorHAnsi" w:hAnsiTheme="minorHAnsi" w:cstheme="minorHAnsi"/>
          <w:sz w:val="20"/>
          <w:szCs w:val="20"/>
        </w:rPr>
        <w:t>activation</w:t>
      </w:r>
      <m:oMath>
        <m:r>
          <w:rPr>
            <w:rFonts w:ascii="Cambria Math" w:hAnsi="Cambria Math" w:cstheme="minorHAnsi"/>
            <w:sz w:val="20"/>
            <w:szCs w:val="20"/>
          </w:rPr>
          <m:t xml:space="preserve"> </m:t>
        </m:r>
        <m:d>
          <m:dPr>
            <m:ctrlPr>
              <w:rPr>
                <w:rFonts w:ascii="Cambria Math" w:hAnsi="Cambria Math" w:cstheme="minorHAnsi"/>
                <w:i/>
                <w:sz w:val="20"/>
                <w:szCs w:val="20"/>
              </w:rPr>
            </m:ctrlPr>
          </m:dPr>
          <m:e>
            <m:sSup>
              <m:sSupPr>
                <m:ctrlPr>
                  <w:rPr>
                    <w:rFonts w:ascii="Cambria Math" w:hAnsi="Cambria Math" w:cstheme="minorHAnsi"/>
                    <w:i/>
                    <w:sz w:val="20"/>
                    <w:szCs w:val="20"/>
                  </w:rPr>
                </m:ctrlPr>
              </m:sSupPr>
              <m:e>
                <m:r>
                  <m:rPr>
                    <m:sty m:val="p"/>
                  </m:rPr>
                  <w:rPr>
                    <w:rFonts w:ascii="Cambria Math" w:hAnsi="Cambria Math" w:cstheme="minorHAnsi"/>
                    <w:sz w:val="20"/>
                    <w:szCs w:val="20"/>
                  </w:rPr>
                  <m:t>Δ</m:t>
                </m:r>
                <m:r>
                  <w:rPr>
                    <w:rFonts w:ascii="Cambria Math" w:hAnsi="Cambria Math" w:cstheme="minorHAnsi"/>
                    <w:sz w:val="20"/>
                    <w:szCs w:val="20"/>
                  </w:rPr>
                  <m:t>S</m:t>
                </m:r>
              </m:e>
              <m:sup>
                <m:r>
                  <w:rPr>
                    <w:rFonts w:ascii="Cambria Math" w:hAnsi="Cambria Math" w:cstheme="minorHAnsi"/>
                    <w:sz w:val="20"/>
                    <w:szCs w:val="20"/>
                  </w:rPr>
                  <m:t>‡</m:t>
                </m:r>
              </m:sup>
            </m:sSup>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105kJ</m:t>
                </m:r>
              </m:num>
              <m:den>
                <m:r>
                  <w:rPr>
                    <w:rFonts w:ascii="Cambria Math" w:hAnsi="Cambria Math" w:cstheme="minorHAnsi"/>
                    <w:sz w:val="20"/>
                    <w:szCs w:val="20"/>
                  </w:rPr>
                  <m:t>mol</m:t>
                </m:r>
              </m:den>
            </m:f>
            <m:r>
              <w:rPr>
                <w:rFonts w:ascii="Cambria Math" w:hAnsi="Cambria Math" w:cstheme="minorHAnsi"/>
                <w:sz w:val="20"/>
                <w:szCs w:val="20"/>
              </w:rPr>
              <m:t>.K</m:t>
            </m:r>
          </m:e>
        </m:d>
      </m:oMath>
      <w:r w:rsidR="005A08F5" w:rsidRPr="002A248F">
        <w:rPr>
          <w:rFonts w:asciiTheme="minorHAnsi" w:hAnsiTheme="minorHAnsi" w:cstheme="minorHAnsi"/>
          <w:sz w:val="20"/>
          <w:szCs w:val="20"/>
        </w:rPr>
        <w:t xml:space="preserve">. This thermodynamic signature provides physical evidence for an </w:t>
      </w:r>
      <w:r w:rsidR="005A08F5" w:rsidRPr="002A248F">
        <w:rPr>
          <w:rFonts w:asciiTheme="minorHAnsi" w:hAnsiTheme="minorHAnsi" w:cstheme="minorHAnsi"/>
          <w:bCs/>
          <w:sz w:val="20"/>
          <w:szCs w:val="20"/>
        </w:rPr>
        <w:t>associative mechanism</w:t>
      </w:r>
      <w:r w:rsidR="005A08F5" w:rsidRPr="002A248F">
        <w:rPr>
          <w:rFonts w:asciiTheme="minorHAnsi" w:hAnsiTheme="minorHAnsi" w:cstheme="minorHAnsi"/>
          <w:sz w:val="20"/>
          <w:szCs w:val="20"/>
        </w:rPr>
        <w:t xml:space="preserve">, suggesting that the rate-determining step involves the formation of a highly ordered, sterically constrained "biopolymer cage" around the silver nuclei. These findings experimentally validate the "Safety Shield" model </w:t>
      </w:r>
      <w:r w:rsidR="00FD1700" w:rsidRPr="002A248F">
        <w:rPr>
          <w:rFonts w:asciiTheme="minorHAnsi" w:hAnsiTheme="minorHAnsi" w:cstheme="minorHAnsi"/>
          <w:sz w:val="20"/>
          <w:szCs w:val="20"/>
        </w:rPr>
        <w:t>for biocompatible nanotherapeutics reported</w:t>
      </w:r>
      <w:r w:rsidR="005A08F5" w:rsidRPr="002A248F">
        <w:rPr>
          <w:rFonts w:asciiTheme="minorHAnsi" w:hAnsiTheme="minorHAnsi" w:cstheme="minorHAnsi"/>
          <w:sz w:val="20"/>
          <w:szCs w:val="20"/>
        </w:rPr>
        <w:t xml:space="preserve"> in our previous DFT studies.</w:t>
      </w:r>
    </w:p>
    <w:p w14:paraId="7E845977" w14:textId="506C2C2B" w:rsidR="000972AE" w:rsidRPr="002A248F" w:rsidRDefault="007A4EA3" w:rsidP="00F35C8F">
      <w:pPr>
        <w:pStyle w:val="NormalWeb"/>
        <w:jc w:val="both"/>
        <w:divId w:val="271595052"/>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Keywords:</w:t>
      </w:r>
      <w:r w:rsidRPr="002A248F">
        <w:rPr>
          <w:rFonts w:asciiTheme="minorHAnsi" w:hAnsiTheme="minorHAnsi" w:cstheme="minorHAnsi"/>
          <w:sz w:val="20"/>
          <w:szCs w:val="20"/>
        </w:rPr>
        <w:t xml:space="preserve"> Green Synthesis; Kinetics; Thermodynamics; Activation Entropy; </w:t>
      </w:r>
      <w:proofErr w:type="spellStart"/>
      <w:r w:rsidRPr="002A248F">
        <w:rPr>
          <w:rFonts w:asciiTheme="minorHAnsi" w:hAnsiTheme="minorHAnsi" w:cstheme="minorHAnsi"/>
          <w:i/>
          <w:iCs/>
          <w:sz w:val="20"/>
          <w:szCs w:val="20"/>
        </w:rPr>
        <w:t>Gongronema</w:t>
      </w:r>
      <w:proofErr w:type="spellEnd"/>
      <w:r w:rsidRPr="002A248F">
        <w:rPr>
          <w:rFonts w:asciiTheme="minorHAnsi" w:hAnsiTheme="minorHAnsi" w:cstheme="minorHAnsi"/>
          <w:i/>
          <w:iCs/>
          <w:sz w:val="20"/>
          <w:szCs w:val="20"/>
        </w:rPr>
        <w:t xml:space="preserve"> </w:t>
      </w:r>
      <w:proofErr w:type="spellStart"/>
      <w:r w:rsidRPr="002A248F">
        <w:rPr>
          <w:rFonts w:asciiTheme="minorHAnsi" w:hAnsiTheme="minorHAnsi" w:cstheme="minorHAnsi"/>
          <w:i/>
          <w:iCs/>
          <w:sz w:val="20"/>
          <w:szCs w:val="20"/>
        </w:rPr>
        <w:t>latifolium</w:t>
      </w:r>
      <w:proofErr w:type="spellEnd"/>
      <w:r w:rsidRPr="002A248F">
        <w:rPr>
          <w:rFonts w:asciiTheme="minorHAnsi" w:hAnsiTheme="minorHAnsi" w:cstheme="minorHAnsi"/>
          <w:sz w:val="20"/>
          <w:szCs w:val="20"/>
        </w:rPr>
        <w:t>; Nanoparticle Stability</w:t>
      </w:r>
      <w:r w:rsidR="00FD1700" w:rsidRPr="002A248F">
        <w:rPr>
          <w:rFonts w:asciiTheme="minorHAnsi" w:hAnsiTheme="minorHAnsi" w:cstheme="minorHAnsi"/>
          <w:sz w:val="20"/>
          <w:szCs w:val="20"/>
        </w:rPr>
        <w:t>; Nanomedicine</w:t>
      </w:r>
      <w:r w:rsidRPr="002A248F">
        <w:rPr>
          <w:rFonts w:asciiTheme="minorHAnsi" w:hAnsiTheme="minorHAnsi" w:cstheme="minorHAnsi"/>
          <w:sz w:val="20"/>
          <w:szCs w:val="20"/>
        </w:rPr>
        <w:t>.</w:t>
      </w:r>
    </w:p>
    <w:p w14:paraId="614D5AD6" w14:textId="5BC9FD08" w:rsidR="008E21E1" w:rsidRPr="002A248F" w:rsidRDefault="00204E77" w:rsidP="001C5642">
      <w:pPr>
        <w:pStyle w:val="NormalWeb"/>
        <w:spacing w:after="0" w:afterAutospacing="0"/>
        <w:jc w:val="both"/>
        <w:divId w:val="271595052"/>
        <w:rPr>
          <w:rFonts w:asciiTheme="minorHAnsi" w:hAnsiTheme="minorHAnsi" w:cstheme="minorHAnsi"/>
          <w:sz w:val="20"/>
          <w:szCs w:val="20"/>
        </w:rPr>
      </w:pPr>
      <w:r w:rsidRPr="002A248F">
        <w:rPr>
          <w:noProof/>
        </w:rPr>
        <w:object w:dxaOrig="12067" w:dyaOrig="6394" w14:anchorId="7E1F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05pt;height:212.45pt" o:ole="">
            <v:imagedata r:id="rId7" o:title=""/>
          </v:shape>
          <o:OLEObject Type="Embed" ProgID="Prism5.Document" ShapeID="_x0000_i1025" DrawAspect="Content" ObjectID="_1836724783" r:id="rId8"/>
        </w:object>
      </w:r>
    </w:p>
    <w:p w14:paraId="32E6FE75" w14:textId="77777777" w:rsidR="00FF7EB1" w:rsidRPr="002A248F" w:rsidRDefault="007A4EA3" w:rsidP="001C5642">
      <w:pPr>
        <w:pStyle w:val="Heading3"/>
        <w:spacing w:before="0" w:line="240" w:lineRule="auto"/>
        <w:jc w:val="both"/>
        <w:divId w:val="271595052"/>
        <w:rPr>
          <w:rFonts w:asciiTheme="minorHAnsi" w:eastAsia="Times New Roman" w:hAnsiTheme="minorHAnsi" w:cstheme="minorHAnsi"/>
          <w:color w:val="auto"/>
          <w:sz w:val="20"/>
          <w:szCs w:val="20"/>
        </w:rPr>
      </w:pPr>
      <w:r w:rsidRPr="002A248F">
        <w:rPr>
          <w:rFonts w:asciiTheme="minorHAnsi" w:eastAsia="Times New Roman" w:hAnsiTheme="minorHAnsi" w:cstheme="minorHAnsi"/>
          <w:color w:val="auto"/>
          <w:sz w:val="20"/>
          <w:szCs w:val="20"/>
        </w:rPr>
        <w:t>​</w:t>
      </w:r>
    </w:p>
    <w:p w14:paraId="60403F8A" w14:textId="62BCA5F2" w:rsidR="007A4EA3" w:rsidRPr="002A248F" w:rsidRDefault="007A4EA3" w:rsidP="001C5642">
      <w:pPr>
        <w:pStyle w:val="Heading3"/>
        <w:spacing w:before="0" w:line="240" w:lineRule="auto"/>
        <w:jc w:val="both"/>
        <w:divId w:val="271595052"/>
        <w:rPr>
          <w:rFonts w:asciiTheme="minorHAnsi" w:eastAsia="Times New Roman" w:hAnsiTheme="minorHAnsi" w:cstheme="minorHAnsi"/>
          <w:color w:val="auto"/>
          <w:sz w:val="20"/>
          <w:szCs w:val="20"/>
        </w:rPr>
      </w:pPr>
      <w:r w:rsidRPr="002A248F">
        <w:rPr>
          <w:rFonts w:asciiTheme="minorHAnsi" w:eastAsia="Times New Roman" w:hAnsiTheme="minorHAnsi" w:cstheme="minorHAnsi"/>
          <w:color w:val="auto"/>
          <w:sz w:val="20"/>
          <w:szCs w:val="20"/>
        </w:rPr>
        <w:t>1. Introduction</w:t>
      </w:r>
    </w:p>
    <w:p w14:paraId="3666FC5F" w14:textId="509D9A9A" w:rsidR="00204E77" w:rsidRPr="002A248F" w:rsidRDefault="00674A6A" w:rsidP="007F6E77">
      <w:pPr>
        <w:pStyle w:val="NormalWeb"/>
        <w:jc w:val="both"/>
        <w:divId w:val="2139184395"/>
        <w:rPr>
          <w:rFonts w:asciiTheme="minorHAnsi" w:hAnsiTheme="minorHAnsi"/>
          <w:sz w:val="20"/>
          <w:szCs w:val="20"/>
        </w:rPr>
      </w:pPr>
      <w:r w:rsidRPr="002A248F">
        <w:rPr>
          <w:rFonts w:asciiTheme="minorHAnsi" w:hAnsiTheme="minorHAnsi" w:cstheme="minorHAnsi"/>
          <w:sz w:val="20"/>
          <w:szCs w:val="20"/>
        </w:rPr>
        <w:t>​</w:t>
      </w:r>
      <w:r w:rsidR="00204E77" w:rsidRPr="002A248F">
        <w:rPr>
          <w:rFonts w:asciiTheme="minorHAnsi" w:hAnsiTheme="minorHAnsi"/>
          <w:sz w:val="20"/>
          <w:szCs w:val="20"/>
        </w:rPr>
        <w:t xml:space="preserve">The paradigm of green nanotechnology has shifted from a novelty to a viable frontier in nanomedicine, offering a sustainable alternative to the toxic reagents </w:t>
      </w:r>
      <w:r w:rsidR="00671505" w:rsidRPr="002A248F">
        <w:rPr>
          <w:rFonts w:asciiTheme="minorHAnsi" w:hAnsiTheme="minorHAnsi"/>
          <w:sz w:val="20"/>
          <w:szCs w:val="20"/>
        </w:rPr>
        <w:t xml:space="preserve">inherent in chemical synthesis </w:t>
      </w:r>
      <w:r w:rsidR="00671505" w:rsidRPr="002A248F">
        <w:rPr>
          <w:rFonts w:asciiTheme="minorHAnsi" w:hAnsiTheme="minorHAnsi"/>
          <w:sz w:val="20"/>
          <w:szCs w:val="20"/>
          <w:vertAlign w:val="superscript"/>
        </w:rPr>
        <w:t xml:space="preserve">1 – </w:t>
      </w:r>
      <w:r w:rsidR="00F953CE">
        <w:rPr>
          <w:rFonts w:asciiTheme="minorHAnsi" w:hAnsiTheme="minorHAnsi"/>
          <w:sz w:val="20"/>
          <w:szCs w:val="20"/>
          <w:vertAlign w:val="superscript"/>
        </w:rPr>
        <w:t>4</w:t>
      </w:r>
      <w:r w:rsidR="00204E77" w:rsidRPr="002A248F">
        <w:rPr>
          <w:rFonts w:asciiTheme="minorHAnsi" w:hAnsiTheme="minorHAnsi"/>
          <w:sz w:val="20"/>
          <w:szCs w:val="20"/>
        </w:rPr>
        <w:t>. Among the diverse biogenic precursors, silver nanoparticles (</w:t>
      </w:r>
      <w:proofErr w:type="spellStart"/>
      <w:r w:rsidR="00204E77" w:rsidRPr="002A248F">
        <w:rPr>
          <w:rFonts w:asciiTheme="minorHAnsi" w:hAnsiTheme="minorHAnsi"/>
          <w:sz w:val="20"/>
          <w:szCs w:val="20"/>
        </w:rPr>
        <w:t>AgNPs</w:t>
      </w:r>
      <w:proofErr w:type="spellEnd"/>
      <w:r w:rsidR="00204E77" w:rsidRPr="002A248F">
        <w:rPr>
          <w:rFonts w:asciiTheme="minorHAnsi" w:hAnsiTheme="minorHAnsi"/>
          <w:sz w:val="20"/>
          <w:szCs w:val="20"/>
        </w:rPr>
        <w:t>) synthesized from medicinal plant extracts have garnered significant attention for their potent antimicrobia</w:t>
      </w:r>
      <w:r w:rsidR="00671505" w:rsidRPr="002A248F">
        <w:rPr>
          <w:rFonts w:asciiTheme="minorHAnsi" w:hAnsiTheme="minorHAnsi"/>
          <w:sz w:val="20"/>
          <w:szCs w:val="20"/>
        </w:rPr>
        <w:t xml:space="preserve">l and antiparasitic properties </w:t>
      </w:r>
      <w:r w:rsidR="00B33367" w:rsidRPr="002A248F">
        <w:rPr>
          <w:rFonts w:asciiTheme="minorHAnsi" w:hAnsiTheme="minorHAnsi"/>
          <w:sz w:val="20"/>
          <w:szCs w:val="20"/>
          <w:vertAlign w:val="superscript"/>
        </w:rPr>
        <w:t>6 – 11</w:t>
      </w:r>
      <w:r w:rsidR="00204E77" w:rsidRPr="002A248F">
        <w:rPr>
          <w:rFonts w:asciiTheme="minorHAnsi" w:hAnsiTheme="minorHAnsi"/>
          <w:sz w:val="20"/>
          <w:szCs w:val="20"/>
        </w:rPr>
        <w:t xml:space="preserve">. However, a persistent critique of this field remains the "black box" nature of the synthesis; while biological outcomes are frequently reported, the precise </w:t>
      </w:r>
      <w:r w:rsidR="00204E77" w:rsidRPr="002A248F">
        <w:rPr>
          <w:rFonts w:asciiTheme="minorHAnsi" w:hAnsiTheme="minorHAnsi"/>
          <w:sz w:val="20"/>
          <w:szCs w:val="20"/>
        </w:rPr>
        <w:lastRenderedPageBreak/>
        <w:t xml:space="preserve">physicochemical mechanisms governing the simultaneous reduction and stabilization (capping) of </w:t>
      </w:r>
      <w:r w:rsidR="00B33367" w:rsidRPr="002A248F">
        <w:rPr>
          <w:rFonts w:asciiTheme="minorHAnsi" w:hAnsiTheme="minorHAnsi"/>
          <w:sz w:val="20"/>
          <w:szCs w:val="20"/>
        </w:rPr>
        <w:t xml:space="preserve">the metal core remain obscured </w:t>
      </w:r>
      <w:r w:rsidR="00B33367" w:rsidRPr="002A248F">
        <w:rPr>
          <w:rFonts w:asciiTheme="minorHAnsi" w:hAnsiTheme="minorHAnsi"/>
          <w:sz w:val="20"/>
          <w:szCs w:val="20"/>
          <w:vertAlign w:val="superscript"/>
        </w:rPr>
        <w:t>12</w:t>
      </w:r>
      <w:r w:rsidR="00204E77" w:rsidRPr="002A248F">
        <w:rPr>
          <w:rFonts w:asciiTheme="minorHAnsi" w:hAnsiTheme="minorHAnsi"/>
          <w:sz w:val="20"/>
          <w:szCs w:val="20"/>
        </w:rPr>
        <w:t>.</w:t>
      </w:r>
    </w:p>
    <w:p w14:paraId="27EC9F6E" w14:textId="348663A8" w:rsidR="00204E77" w:rsidRPr="002A248F" w:rsidRDefault="00204E77" w:rsidP="007F6E77">
      <w:pPr>
        <w:pStyle w:val="NormalWeb"/>
        <w:jc w:val="both"/>
        <w:divId w:val="2139184395"/>
        <w:rPr>
          <w:rFonts w:asciiTheme="minorHAnsi" w:hAnsiTheme="minorHAnsi"/>
          <w:sz w:val="20"/>
          <w:szCs w:val="20"/>
        </w:rPr>
      </w:pPr>
      <w:r w:rsidRPr="002A248F">
        <w:rPr>
          <w:rFonts w:asciiTheme="minorHAnsi" w:hAnsiTheme="minorHAnsi"/>
          <w:sz w:val="20"/>
          <w:szCs w:val="20"/>
        </w:rPr>
        <w:t>​This mechanical opacity is often rooted in the chemical complexity of the plant extracts used</w:t>
      </w:r>
      <w:r w:rsidR="00F953CE">
        <w:rPr>
          <w:rFonts w:asciiTheme="minorHAnsi" w:hAnsiTheme="minorHAnsi"/>
          <w:sz w:val="20"/>
          <w:szCs w:val="20"/>
        </w:rPr>
        <w:t xml:space="preserve"> </w:t>
      </w:r>
      <w:r w:rsidR="00F953CE" w:rsidRPr="00F953CE">
        <w:rPr>
          <w:rFonts w:asciiTheme="minorHAnsi" w:hAnsiTheme="minorHAnsi"/>
          <w:sz w:val="20"/>
          <w:szCs w:val="20"/>
          <w:vertAlign w:val="superscript"/>
        </w:rPr>
        <w:t>5</w:t>
      </w:r>
      <w:r w:rsidRPr="002A248F">
        <w:rPr>
          <w:rFonts w:asciiTheme="minorHAnsi" w:hAnsiTheme="minorHAnsi"/>
          <w:sz w:val="20"/>
          <w:szCs w:val="20"/>
        </w:rPr>
        <w:t xml:space="preserve">. Recent investigations into other botanical species, such as </w:t>
      </w:r>
      <w:r w:rsidRPr="002A248F">
        <w:rPr>
          <w:rFonts w:asciiTheme="minorHAnsi" w:hAnsiTheme="minorHAnsi"/>
          <w:i/>
          <w:iCs/>
          <w:sz w:val="20"/>
          <w:szCs w:val="20"/>
        </w:rPr>
        <w:t xml:space="preserve">Cola </w:t>
      </w:r>
      <w:proofErr w:type="spellStart"/>
      <w:r w:rsidRPr="002A248F">
        <w:rPr>
          <w:rFonts w:asciiTheme="minorHAnsi" w:hAnsiTheme="minorHAnsi"/>
          <w:i/>
          <w:iCs/>
          <w:sz w:val="20"/>
          <w:szCs w:val="20"/>
        </w:rPr>
        <w:t>hispida</w:t>
      </w:r>
      <w:proofErr w:type="spellEnd"/>
      <w:r w:rsidRPr="002A248F">
        <w:rPr>
          <w:rFonts w:asciiTheme="minorHAnsi" w:hAnsiTheme="minorHAnsi"/>
          <w:sz w:val="20"/>
          <w:szCs w:val="20"/>
        </w:rPr>
        <w:t>, have underscored the necessity of integrative analytical approaches—combining molecular and chromatographic characterization—to accurately identify the bioactive compounds that may int</w:t>
      </w:r>
      <w:r w:rsidR="00B132F9" w:rsidRPr="002A248F">
        <w:rPr>
          <w:rFonts w:asciiTheme="minorHAnsi" w:hAnsiTheme="minorHAnsi"/>
          <w:sz w:val="20"/>
          <w:szCs w:val="20"/>
        </w:rPr>
        <w:t xml:space="preserve">eract with metallic precursors </w:t>
      </w:r>
      <w:r w:rsidR="00B132F9" w:rsidRPr="002A248F">
        <w:rPr>
          <w:rFonts w:asciiTheme="minorHAnsi" w:hAnsiTheme="minorHAnsi"/>
          <w:sz w:val="20"/>
          <w:szCs w:val="20"/>
          <w:vertAlign w:val="superscript"/>
        </w:rPr>
        <w:t>13</w:t>
      </w:r>
      <w:r w:rsidRPr="002A248F">
        <w:rPr>
          <w:rFonts w:asciiTheme="minorHAnsi" w:hAnsiTheme="minorHAnsi"/>
          <w:sz w:val="20"/>
          <w:szCs w:val="20"/>
        </w:rPr>
        <w:t xml:space="preserve">. Furthermore, the architecture of the resulting nanomaterial is heavily dictated by precursor chemistry. As demonstrated in the synthesis of zinc oxide nanoparticles, the specific choice of metallic salts and the resulting ionic environment significantly influence nucleation, growth </w:t>
      </w:r>
      <w:r w:rsidR="00671505" w:rsidRPr="002A248F">
        <w:rPr>
          <w:rFonts w:asciiTheme="minorHAnsi" w:hAnsiTheme="minorHAnsi"/>
          <w:sz w:val="20"/>
          <w:szCs w:val="20"/>
        </w:rPr>
        <w:t xml:space="preserve">kinetics, and final morphology </w:t>
      </w:r>
      <w:r w:rsidR="00671505" w:rsidRPr="002A248F">
        <w:rPr>
          <w:rFonts w:asciiTheme="minorHAnsi" w:hAnsiTheme="minorHAnsi"/>
          <w:sz w:val="20"/>
          <w:szCs w:val="20"/>
          <w:vertAlign w:val="superscript"/>
        </w:rPr>
        <w:t>1</w:t>
      </w:r>
      <w:r w:rsidR="00B132F9" w:rsidRPr="002A248F">
        <w:rPr>
          <w:rFonts w:asciiTheme="minorHAnsi" w:hAnsiTheme="minorHAnsi"/>
          <w:sz w:val="20"/>
          <w:szCs w:val="20"/>
          <w:vertAlign w:val="superscript"/>
        </w:rPr>
        <w:t>1, 14</w:t>
      </w:r>
      <w:r w:rsidR="00671505" w:rsidRPr="002A248F">
        <w:rPr>
          <w:rFonts w:asciiTheme="minorHAnsi" w:hAnsiTheme="minorHAnsi"/>
          <w:sz w:val="20"/>
          <w:szCs w:val="20"/>
          <w:vertAlign w:val="superscript"/>
        </w:rPr>
        <w:t xml:space="preserve"> – 1</w:t>
      </w:r>
      <w:r w:rsidR="001246E3" w:rsidRPr="002A248F">
        <w:rPr>
          <w:rFonts w:asciiTheme="minorHAnsi" w:hAnsiTheme="minorHAnsi"/>
          <w:sz w:val="20"/>
          <w:szCs w:val="20"/>
          <w:vertAlign w:val="superscript"/>
        </w:rPr>
        <w:t>5</w:t>
      </w:r>
      <w:r w:rsidRPr="002A248F">
        <w:rPr>
          <w:rFonts w:asciiTheme="minorHAnsi" w:hAnsiTheme="minorHAnsi"/>
          <w:sz w:val="20"/>
          <w:szCs w:val="20"/>
        </w:rPr>
        <w:t xml:space="preserve">. Consequently, without a rigorous elucidation of </w:t>
      </w:r>
      <w:r w:rsidR="007152D5" w:rsidRPr="002A248F">
        <w:rPr>
          <w:rFonts w:asciiTheme="minorHAnsi" w:hAnsiTheme="minorHAnsi"/>
          <w:sz w:val="20"/>
          <w:szCs w:val="20"/>
        </w:rPr>
        <w:t>this</w:t>
      </w:r>
      <w:r w:rsidRPr="002A248F">
        <w:rPr>
          <w:rFonts w:asciiTheme="minorHAnsi" w:hAnsiTheme="minorHAnsi"/>
          <w:sz w:val="20"/>
          <w:szCs w:val="20"/>
        </w:rPr>
        <w:t xml:space="preserve"> assembly kinetics, the correlation between engineered surface chemistry and the observed biological safety profile remains speculative rather than empirical.</w:t>
      </w:r>
    </w:p>
    <w:p w14:paraId="3BAD0D69" w14:textId="65FE7344" w:rsidR="00204E77" w:rsidRPr="002A248F" w:rsidRDefault="00204E77" w:rsidP="007F6E77">
      <w:pPr>
        <w:pStyle w:val="NormalWeb"/>
        <w:jc w:val="both"/>
        <w:divId w:val="2139184395"/>
        <w:rPr>
          <w:rFonts w:asciiTheme="minorHAnsi" w:hAnsiTheme="minorHAnsi"/>
          <w:sz w:val="20"/>
          <w:szCs w:val="20"/>
        </w:rPr>
      </w:pPr>
      <w:r w:rsidRPr="002A248F">
        <w:rPr>
          <w:rFonts w:asciiTheme="minorHAnsi" w:hAnsiTheme="minorHAnsi"/>
          <w:sz w:val="20"/>
          <w:szCs w:val="20"/>
        </w:rPr>
        <w:t xml:space="preserve">​Our research group has systematically addressed this gap through a phased investigation of </w:t>
      </w:r>
      <w:proofErr w:type="spellStart"/>
      <w:r w:rsidRPr="002A248F">
        <w:rPr>
          <w:rFonts w:asciiTheme="minorHAnsi" w:hAnsiTheme="minorHAnsi"/>
          <w:i/>
          <w:iCs/>
          <w:sz w:val="20"/>
          <w:szCs w:val="20"/>
        </w:rPr>
        <w:t>Gongronema</w:t>
      </w:r>
      <w:proofErr w:type="spellEnd"/>
      <w:r w:rsidRPr="002A248F">
        <w:rPr>
          <w:rFonts w:asciiTheme="minorHAnsi" w:hAnsiTheme="minorHAnsi"/>
          <w:i/>
          <w:iCs/>
          <w:sz w:val="20"/>
          <w:szCs w:val="20"/>
        </w:rPr>
        <w:t xml:space="preserve"> </w:t>
      </w:r>
      <w:proofErr w:type="spellStart"/>
      <w:r w:rsidRPr="002A248F">
        <w:rPr>
          <w:rFonts w:asciiTheme="minorHAnsi" w:hAnsiTheme="minorHAnsi"/>
          <w:i/>
          <w:iCs/>
          <w:sz w:val="20"/>
          <w:szCs w:val="20"/>
        </w:rPr>
        <w:t>latifolium</w:t>
      </w:r>
      <w:proofErr w:type="spellEnd"/>
      <w:r w:rsidRPr="002A248F">
        <w:rPr>
          <w:rFonts w:asciiTheme="minorHAnsi" w:hAnsiTheme="minorHAnsi"/>
          <w:sz w:val="20"/>
          <w:szCs w:val="20"/>
        </w:rPr>
        <w:t xml:space="preserve">-mediated </w:t>
      </w:r>
      <w:proofErr w:type="spellStart"/>
      <w:r w:rsidRPr="002A248F">
        <w:rPr>
          <w:rFonts w:asciiTheme="minorHAnsi" w:hAnsiTheme="minorHAnsi"/>
          <w:sz w:val="20"/>
          <w:szCs w:val="20"/>
        </w:rPr>
        <w:t>AgNPs</w:t>
      </w:r>
      <w:proofErr w:type="spellEnd"/>
      <w:r w:rsidRPr="002A248F">
        <w:rPr>
          <w:rFonts w:asciiTheme="minorHAnsi" w:hAnsiTheme="minorHAnsi"/>
          <w:sz w:val="20"/>
          <w:szCs w:val="20"/>
        </w:rPr>
        <w:t xml:space="preserve">. In our initial empirical study </w:t>
      </w:r>
      <w:r w:rsidR="00B132F9" w:rsidRPr="002A248F">
        <w:rPr>
          <w:rFonts w:asciiTheme="minorHAnsi" w:hAnsiTheme="minorHAnsi"/>
          <w:sz w:val="20"/>
          <w:szCs w:val="20"/>
          <w:vertAlign w:val="superscript"/>
        </w:rPr>
        <w:t>12</w:t>
      </w:r>
      <w:r w:rsidRPr="002A248F">
        <w:rPr>
          <w:rFonts w:asciiTheme="minorHAnsi" w:hAnsiTheme="minorHAnsi"/>
          <w:sz w:val="20"/>
          <w:szCs w:val="20"/>
        </w:rPr>
        <w:t xml:space="preserve">, we challenged the prevailing view that the organic capping layer is merely an inert by-product. Through comprehensive multi-modal characterization, we observed a critical discrepancy between the crystallite size (XRD/TEM) and the hydrodynamic diameter (DLS), pointing to the existence of a thick, protective "biopolymer matrix" encapsulating the silver core. We hypothesized that this extensive passivation layer was the critical determinant responsible for the nanoparticle's </w:t>
      </w:r>
      <w:r w:rsidR="00A11A9B" w:rsidRPr="002A248F">
        <w:rPr>
          <w:rFonts w:asciiTheme="minorHAnsi" w:hAnsiTheme="minorHAnsi"/>
          <w:sz w:val="20"/>
          <w:szCs w:val="20"/>
        </w:rPr>
        <w:t>favourable</w:t>
      </w:r>
      <w:r w:rsidRPr="002A248F">
        <w:rPr>
          <w:rFonts w:asciiTheme="minorHAnsi" w:hAnsiTheme="minorHAnsi"/>
          <w:sz w:val="20"/>
          <w:szCs w:val="20"/>
        </w:rPr>
        <w:t xml:space="preserve"> safety profile </w:t>
      </w:r>
      <m:oMath>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LD</m:t>
                </m:r>
              </m:e>
              <m:sub>
                <m:r>
                  <w:rPr>
                    <w:rFonts w:ascii="Cambria Math" w:hAnsi="Cambria Math" w:cstheme="minorHAnsi"/>
                    <w:sz w:val="20"/>
                    <w:szCs w:val="20"/>
                  </w:rPr>
                  <m:t>50</m:t>
                </m:r>
              </m:sub>
            </m:sSub>
            <m:r>
              <w:rPr>
                <w:rFonts w:ascii="Cambria Math" w:hAnsi="Cambria Math" w:cstheme="minorHAnsi"/>
                <w:sz w:val="20"/>
                <w:szCs w:val="20"/>
              </w:rPr>
              <m:t>&gt;5000 mg/kg</m:t>
            </m:r>
          </m:e>
        </m:d>
      </m:oMath>
      <w:r w:rsidRPr="002A248F">
        <w:rPr>
          <w:rFonts w:asciiTheme="minorHAnsi" w:hAnsiTheme="minorHAnsi"/>
          <w:sz w:val="20"/>
          <w:szCs w:val="20"/>
        </w:rPr>
        <w:t xml:space="preserve"> and the significant suppression of </w:t>
      </w:r>
      <w:r w:rsidRPr="002A248F">
        <w:rPr>
          <w:rFonts w:asciiTheme="minorHAnsi" w:hAnsiTheme="minorHAnsi"/>
          <w:i/>
          <w:iCs/>
          <w:sz w:val="20"/>
          <w:szCs w:val="20"/>
        </w:rPr>
        <w:t xml:space="preserve">Plasmodium </w:t>
      </w:r>
      <w:proofErr w:type="spellStart"/>
      <w:r w:rsidRPr="002A248F">
        <w:rPr>
          <w:rFonts w:asciiTheme="minorHAnsi" w:hAnsiTheme="minorHAnsi"/>
          <w:i/>
          <w:iCs/>
          <w:sz w:val="20"/>
          <w:szCs w:val="20"/>
        </w:rPr>
        <w:t>berghei</w:t>
      </w:r>
      <w:proofErr w:type="spellEnd"/>
      <w:r w:rsidRPr="002A248F">
        <w:rPr>
          <w:rFonts w:asciiTheme="minorHAnsi" w:hAnsiTheme="minorHAnsi"/>
          <w:sz w:val="20"/>
          <w:szCs w:val="20"/>
        </w:rPr>
        <w:t xml:space="preserve"> </w:t>
      </w:r>
      <w:proofErr w:type="spellStart"/>
      <w:r w:rsidRPr="002A248F">
        <w:rPr>
          <w:rFonts w:asciiTheme="minorHAnsi" w:hAnsiTheme="minorHAnsi"/>
          <w:sz w:val="20"/>
          <w:szCs w:val="20"/>
        </w:rPr>
        <w:t>parasitemia</w:t>
      </w:r>
      <w:proofErr w:type="spellEnd"/>
      <w:r w:rsidRPr="002A248F">
        <w:rPr>
          <w:rFonts w:asciiTheme="minorHAnsi" w:hAnsiTheme="minorHAnsi"/>
          <w:sz w:val="20"/>
          <w:szCs w:val="20"/>
        </w:rPr>
        <w:t>. We proposed that this matrix facilitated a "Trojan Horse" endocytic uptake mechanism while mitigating the direct metallic toxicity typically associated with bare silver.</w:t>
      </w:r>
    </w:p>
    <w:p w14:paraId="78E855CD" w14:textId="79FBA035" w:rsidR="00204E77" w:rsidRPr="002A248F" w:rsidRDefault="00204E77" w:rsidP="007F6E77">
      <w:pPr>
        <w:pStyle w:val="NormalWeb"/>
        <w:jc w:val="both"/>
        <w:divId w:val="2139184395"/>
        <w:rPr>
          <w:rFonts w:asciiTheme="minorHAnsi" w:hAnsiTheme="minorHAnsi"/>
          <w:sz w:val="20"/>
          <w:szCs w:val="20"/>
        </w:rPr>
      </w:pPr>
      <w:r w:rsidRPr="002A248F">
        <w:rPr>
          <w:rFonts w:asciiTheme="minorHAnsi" w:hAnsiTheme="minorHAnsi"/>
          <w:sz w:val="20"/>
          <w:szCs w:val="20"/>
        </w:rPr>
        <w:t xml:space="preserve">​Building upon this macroscopic "Safety Shield" hypothesis, our subsequent work </w:t>
      </w:r>
      <w:r w:rsidR="001246E3" w:rsidRPr="002A248F">
        <w:rPr>
          <w:rFonts w:asciiTheme="minorHAnsi" w:hAnsiTheme="minorHAnsi"/>
          <w:sz w:val="20"/>
          <w:szCs w:val="20"/>
          <w:vertAlign w:val="superscript"/>
        </w:rPr>
        <w:t>16</w:t>
      </w:r>
      <w:r w:rsidR="004D683A" w:rsidRPr="002A248F">
        <w:rPr>
          <w:rFonts w:asciiTheme="minorHAnsi" w:hAnsiTheme="minorHAnsi"/>
          <w:sz w:val="20"/>
          <w:szCs w:val="20"/>
        </w:rPr>
        <w:t>,</w:t>
      </w:r>
      <w:r w:rsidR="001246E3" w:rsidRPr="002A248F">
        <w:rPr>
          <w:rFonts w:asciiTheme="minorHAnsi" w:hAnsiTheme="minorHAnsi"/>
          <w:sz w:val="20"/>
          <w:szCs w:val="20"/>
        </w:rPr>
        <w:t xml:space="preserve"> </w:t>
      </w:r>
      <w:r w:rsidRPr="002A248F">
        <w:rPr>
          <w:rFonts w:asciiTheme="minorHAnsi" w:hAnsiTheme="minorHAnsi"/>
          <w:sz w:val="20"/>
          <w:szCs w:val="20"/>
        </w:rPr>
        <w:t xml:space="preserve">employed a computational framework to de-convolute the molecular identity of this passivation layer. Utilizing Density Functional Theory (DFT) and MM-GBSA calculations, we interrogated the specific phytochemical constituents of the </w:t>
      </w:r>
      <w:r w:rsidRPr="002A248F">
        <w:rPr>
          <w:rFonts w:asciiTheme="minorHAnsi" w:hAnsiTheme="minorHAnsi"/>
          <w:i/>
          <w:iCs/>
          <w:sz w:val="20"/>
          <w:szCs w:val="20"/>
        </w:rPr>
        <w:t xml:space="preserve">G. </w:t>
      </w:r>
      <w:proofErr w:type="spellStart"/>
      <w:r w:rsidRPr="002A248F">
        <w:rPr>
          <w:rFonts w:asciiTheme="minorHAnsi" w:hAnsiTheme="minorHAnsi"/>
          <w:i/>
          <w:iCs/>
          <w:sz w:val="20"/>
          <w:szCs w:val="20"/>
        </w:rPr>
        <w:t>latifolium</w:t>
      </w:r>
      <w:proofErr w:type="spellEnd"/>
      <w:r w:rsidRPr="002A248F">
        <w:rPr>
          <w:rFonts w:asciiTheme="minorHAnsi" w:hAnsiTheme="minorHAnsi"/>
          <w:sz w:val="20"/>
          <w:szCs w:val="20"/>
        </w:rPr>
        <w:t xml:space="preserve"> extract. This theoretical analysis provided a molecular resolution to our earlier experimental observations, identifying </w:t>
      </w:r>
      <w:proofErr w:type="spellStart"/>
      <w:r w:rsidRPr="002A248F">
        <w:rPr>
          <w:rFonts w:asciiTheme="minorHAnsi" w:hAnsiTheme="minorHAnsi"/>
          <w:sz w:val="20"/>
          <w:szCs w:val="20"/>
        </w:rPr>
        <w:t>Sarsasapogenin</w:t>
      </w:r>
      <w:proofErr w:type="spellEnd"/>
      <w:r w:rsidRPr="002A248F">
        <w:rPr>
          <w:rFonts w:asciiTheme="minorHAnsi" w:hAnsiTheme="minorHAnsi"/>
          <w:sz w:val="20"/>
          <w:szCs w:val="20"/>
        </w:rPr>
        <w:t xml:space="preserve"> as a rigid, chemically inert steric stabilizer—explaining the masking of metallic signals observed in our XRD data. Concurrently, </w:t>
      </w:r>
      <w:proofErr w:type="spellStart"/>
      <w:r w:rsidRPr="002A248F">
        <w:rPr>
          <w:rFonts w:asciiTheme="minorHAnsi" w:hAnsiTheme="minorHAnsi"/>
          <w:sz w:val="20"/>
          <w:szCs w:val="20"/>
        </w:rPr>
        <w:t>Cinchonidine</w:t>
      </w:r>
      <w:proofErr w:type="spellEnd"/>
      <w:r w:rsidRPr="002A248F">
        <w:rPr>
          <w:rFonts w:asciiTheme="minorHAnsi" w:hAnsiTheme="minorHAnsi"/>
          <w:sz w:val="20"/>
          <w:szCs w:val="20"/>
        </w:rPr>
        <w:t xml:space="preserve"> was identified as the bioactive lead, predicted to target </w:t>
      </w:r>
      <w:r w:rsidRPr="002A248F">
        <w:rPr>
          <w:rFonts w:asciiTheme="minorHAnsi" w:hAnsiTheme="minorHAnsi"/>
          <w:i/>
          <w:iCs/>
          <w:sz w:val="20"/>
          <w:szCs w:val="20"/>
        </w:rPr>
        <w:t>Plasmodium falciparum</w:t>
      </w:r>
      <w:r w:rsidRPr="002A248F">
        <w:rPr>
          <w:rFonts w:asciiTheme="minorHAnsi" w:hAnsiTheme="minorHAnsi"/>
          <w:sz w:val="20"/>
          <w:szCs w:val="20"/>
        </w:rPr>
        <w:t xml:space="preserve"> Dihydrofolate Reductase (</w:t>
      </w:r>
      <w:proofErr w:type="spellStart"/>
      <w:r w:rsidRPr="002A248F">
        <w:rPr>
          <w:rFonts w:asciiTheme="minorHAnsi" w:hAnsiTheme="minorHAnsi"/>
          <w:sz w:val="20"/>
          <w:szCs w:val="20"/>
        </w:rPr>
        <w:t>PfDHFR</w:t>
      </w:r>
      <w:proofErr w:type="spellEnd"/>
      <w:r w:rsidRPr="002A248F">
        <w:rPr>
          <w:rFonts w:asciiTheme="minorHAnsi" w:hAnsiTheme="minorHAnsi"/>
          <w:sz w:val="20"/>
          <w:szCs w:val="20"/>
        </w:rPr>
        <w:t>). These computational findings effectively bridged the gap between our murine safety signals and a plausible human therapeutic mechanism.</w:t>
      </w:r>
    </w:p>
    <w:p w14:paraId="04307F74" w14:textId="607E20D7" w:rsidR="00204E77" w:rsidRPr="002A248F" w:rsidRDefault="00204E77" w:rsidP="007F6E77">
      <w:pPr>
        <w:pStyle w:val="NormalWeb"/>
        <w:jc w:val="both"/>
        <w:divId w:val="2139184395"/>
        <w:rPr>
          <w:rFonts w:asciiTheme="minorHAnsi" w:hAnsiTheme="minorHAnsi"/>
          <w:sz w:val="20"/>
          <w:szCs w:val="20"/>
        </w:rPr>
      </w:pPr>
      <w:r w:rsidRPr="002A248F">
        <w:rPr>
          <w:rFonts w:asciiTheme="minorHAnsi" w:hAnsiTheme="minorHAnsi"/>
          <w:sz w:val="20"/>
          <w:szCs w:val="20"/>
        </w:rPr>
        <w:t>​However, a critical question remains: Does the physical formation of these nanoparticles actually follow the orderly, rigid assembly predicted by our computational models? While DFT predicts a stable, structured shell, it does not account for the chaotic kinetic environment of a boiling aqueous extract</w:t>
      </w:r>
      <w:r w:rsidR="00D7325B" w:rsidRPr="002A248F">
        <w:rPr>
          <w:rFonts w:asciiTheme="minorHAnsi" w:hAnsiTheme="minorHAnsi"/>
          <w:sz w:val="20"/>
          <w:szCs w:val="20"/>
        </w:rPr>
        <w:t xml:space="preserve"> </w:t>
      </w:r>
      <w:r w:rsidR="00AA2723" w:rsidRPr="002A248F">
        <w:rPr>
          <w:rFonts w:asciiTheme="minorHAnsi" w:hAnsiTheme="minorHAnsi"/>
          <w:sz w:val="20"/>
          <w:szCs w:val="20"/>
          <w:vertAlign w:val="superscript"/>
        </w:rPr>
        <w:t>16</w:t>
      </w:r>
      <w:r w:rsidRPr="002A248F">
        <w:rPr>
          <w:rFonts w:asciiTheme="minorHAnsi" w:hAnsiTheme="minorHAnsi"/>
          <w:sz w:val="20"/>
          <w:szCs w:val="20"/>
        </w:rPr>
        <w:t xml:space="preserve">. If the formation process is merely a random, diffusion-controlled collision of ligands, the "ordered shell" model may be an oversimplification. Conversely, if the synthesis is thermodynamically driven toward </w:t>
      </w:r>
      <w:r w:rsidR="007152D5" w:rsidRPr="002A248F">
        <w:rPr>
          <w:rFonts w:asciiTheme="minorHAnsi" w:hAnsiTheme="minorHAnsi"/>
          <w:sz w:val="20"/>
          <w:szCs w:val="20"/>
        </w:rPr>
        <w:t>highly</w:t>
      </w:r>
      <w:r w:rsidRPr="002A248F">
        <w:rPr>
          <w:rFonts w:asciiTheme="minorHAnsi" w:hAnsiTheme="minorHAnsi"/>
          <w:sz w:val="20"/>
          <w:szCs w:val="20"/>
        </w:rPr>
        <w:t xml:space="preserve"> ordered state, experimental evidence should exist in the form of specific activation parameters</w:t>
      </w:r>
      <w:r w:rsidR="00D7325B" w:rsidRPr="002A248F">
        <w:rPr>
          <w:rFonts w:asciiTheme="minorHAnsi" w:hAnsiTheme="minorHAnsi"/>
          <w:sz w:val="20"/>
          <w:szCs w:val="20"/>
        </w:rPr>
        <w:t xml:space="preserve"> </w:t>
      </w:r>
      <w:r w:rsidR="00C6786B" w:rsidRPr="002A248F">
        <w:rPr>
          <w:rFonts w:asciiTheme="minorHAnsi" w:hAnsiTheme="minorHAnsi"/>
          <w:sz w:val="20"/>
          <w:szCs w:val="20"/>
          <w:vertAlign w:val="superscript"/>
        </w:rPr>
        <w:t>17</w:t>
      </w:r>
      <w:r w:rsidRPr="002A248F">
        <w:rPr>
          <w:rFonts w:asciiTheme="minorHAnsi" w:hAnsiTheme="minorHAnsi"/>
          <w:sz w:val="20"/>
          <w:szCs w:val="20"/>
        </w:rPr>
        <w:t>.</w:t>
      </w:r>
    </w:p>
    <w:p w14:paraId="74B25AF8" w14:textId="2ADD1AE8" w:rsidR="00126F34" w:rsidRPr="002A248F" w:rsidRDefault="00204E77" w:rsidP="00ED79B5">
      <w:pPr>
        <w:pStyle w:val="NormalWeb"/>
        <w:jc w:val="both"/>
        <w:divId w:val="2139184395"/>
        <w:rPr>
          <w:rFonts w:asciiTheme="minorHAnsi" w:hAnsiTheme="minorHAnsi"/>
          <w:sz w:val="20"/>
          <w:szCs w:val="20"/>
        </w:rPr>
      </w:pPr>
      <w:r w:rsidRPr="002A248F">
        <w:rPr>
          <w:rFonts w:asciiTheme="minorHAnsi" w:hAnsiTheme="minorHAnsi"/>
          <w:sz w:val="20"/>
          <w:szCs w:val="20"/>
        </w:rPr>
        <w:t xml:space="preserve">​Therefore, this present study serves as the third pillar of our investigation—the physicochemical validation. By experimentally elucidating the kinetics and thermodynamics of the </w:t>
      </w:r>
      <w:r w:rsidRPr="002A248F">
        <w:rPr>
          <w:rFonts w:asciiTheme="minorHAnsi" w:hAnsiTheme="minorHAnsi"/>
          <w:i/>
          <w:iCs/>
          <w:sz w:val="20"/>
          <w:szCs w:val="20"/>
        </w:rPr>
        <w:t xml:space="preserve">G. </w:t>
      </w:r>
      <w:proofErr w:type="spellStart"/>
      <w:r w:rsidRPr="002A248F">
        <w:rPr>
          <w:rFonts w:asciiTheme="minorHAnsi" w:hAnsiTheme="minorHAnsi"/>
          <w:i/>
          <w:iCs/>
          <w:sz w:val="20"/>
          <w:szCs w:val="20"/>
        </w:rPr>
        <w:t>latifolium</w:t>
      </w:r>
      <w:proofErr w:type="spellEnd"/>
      <w:r w:rsidRPr="002A248F">
        <w:rPr>
          <w:rFonts w:asciiTheme="minorHAnsi" w:hAnsiTheme="minorHAnsi"/>
          <w:sz w:val="20"/>
          <w:szCs w:val="20"/>
        </w:rPr>
        <w:t>-mediated synthesis, we seek to define the energy landscape of the capping process. Specifically, we investigated whether the formation of the capping layer is a disordered event or—as our DFT model suggests—an associative, entropically ordered self-assembly. This study thus connects the in vivo safety observed in Phase I</w:t>
      </w:r>
      <w:r w:rsidR="00BA3831" w:rsidRPr="002A248F">
        <w:rPr>
          <w:rFonts w:asciiTheme="minorHAnsi" w:hAnsiTheme="minorHAnsi"/>
          <w:sz w:val="20"/>
          <w:szCs w:val="20"/>
        </w:rPr>
        <w:t xml:space="preserve"> </w:t>
      </w:r>
      <w:r w:rsidR="004D683A" w:rsidRPr="002A248F">
        <w:rPr>
          <w:rFonts w:asciiTheme="minorHAnsi" w:hAnsiTheme="minorHAnsi"/>
          <w:sz w:val="20"/>
          <w:szCs w:val="20"/>
          <w:vertAlign w:val="superscript"/>
        </w:rPr>
        <w:t>12</w:t>
      </w:r>
      <w:r w:rsidRPr="002A248F">
        <w:rPr>
          <w:rFonts w:asciiTheme="minorHAnsi" w:hAnsiTheme="minorHAnsi"/>
          <w:sz w:val="20"/>
          <w:szCs w:val="20"/>
        </w:rPr>
        <w:t xml:space="preserve"> and the molecular predictions of Phase II </w:t>
      </w:r>
      <w:r w:rsidR="00401651" w:rsidRPr="002A248F">
        <w:rPr>
          <w:rFonts w:asciiTheme="minorHAnsi" w:hAnsiTheme="minorHAnsi"/>
          <w:sz w:val="20"/>
          <w:szCs w:val="20"/>
          <w:vertAlign w:val="superscript"/>
        </w:rPr>
        <w:t>16</w:t>
      </w:r>
      <w:r w:rsidR="007152D5" w:rsidRPr="002A248F">
        <w:rPr>
          <w:rFonts w:asciiTheme="minorHAnsi" w:hAnsiTheme="minorHAnsi"/>
          <w:sz w:val="20"/>
          <w:szCs w:val="20"/>
        </w:rPr>
        <w:t xml:space="preserve"> </w:t>
      </w:r>
      <w:r w:rsidRPr="002A248F">
        <w:rPr>
          <w:rFonts w:asciiTheme="minorHAnsi" w:hAnsiTheme="minorHAnsi"/>
          <w:sz w:val="20"/>
          <w:szCs w:val="20"/>
        </w:rPr>
        <w:t>with hard physicochemical proof of the formation mechanism.</w:t>
      </w:r>
    </w:p>
    <w:p w14:paraId="627C6FCC" w14:textId="406FA939" w:rsidR="00056AFB" w:rsidRPr="002A248F" w:rsidRDefault="00056AFB" w:rsidP="00F35C8F">
      <w:pPr>
        <w:pStyle w:val="Heading3"/>
        <w:jc w:val="both"/>
        <w:divId w:val="1217467389"/>
        <w:rPr>
          <w:rFonts w:asciiTheme="minorHAnsi" w:eastAsia="Times New Roman" w:hAnsiTheme="minorHAnsi" w:cstheme="minorHAnsi"/>
          <w:color w:val="auto"/>
          <w:sz w:val="20"/>
          <w:szCs w:val="20"/>
        </w:rPr>
      </w:pPr>
      <w:r w:rsidRPr="002A248F">
        <w:rPr>
          <w:rFonts w:asciiTheme="minorHAnsi" w:eastAsia="Times New Roman" w:hAnsiTheme="minorHAnsi" w:cstheme="minorHAnsi"/>
          <w:color w:val="auto"/>
          <w:sz w:val="20"/>
          <w:szCs w:val="20"/>
        </w:rPr>
        <w:t>2. Materials and Methods</w:t>
      </w:r>
    </w:p>
    <w:p w14:paraId="7BD13302" w14:textId="678D9E63" w:rsidR="00853E69" w:rsidRPr="002A248F" w:rsidRDefault="00056AFB" w:rsidP="00F35C8F">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w:t>
      </w:r>
      <w:r w:rsidR="00853E69" w:rsidRPr="002A248F">
        <w:rPr>
          <w:rFonts w:asciiTheme="minorHAnsi" w:hAnsiTheme="minorHAnsi" w:cstheme="minorHAnsi"/>
          <w:sz w:val="20"/>
          <w:szCs w:val="20"/>
        </w:rPr>
        <w:t xml:space="preserve"> ​</w:t>
      </w:r>
      <w:r w:rsidR="00853E69" w:rsidRPr="002A248F">
        <w:rPr>
          <w:rFonts w:asciiTheme="minorHAnsi" w:hAnsiTheme="minorHAnsi" w:cstheme="minorHAnsi"/>
          <w:b/>
          <w:bCs/>
          <w:sz w:val="20"/>
          <w:szCs w:val="20"/>
        </w:rPr>
        <w:t>2.1 Materials</w:t>
      </w:r>
    </w:p>
    <w:p w14:paraId="239EDB6C" w14:textId="3ED5766A" w:rsidR="00853E69" w:rsidRPr="002A248F" w:rsidRDefault="00D41DD4" w:rsidP="00F35C8F">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lastRenderedPageBreak/>
        <w:t>Silver nitrate (AgNO</w:t>
      </w:r>
      <w:r w:rsidR="00853E69" w:rsidRPr="002A248F">
        <w:rPr>
          <w:rFonts w:asciiTheme="minorHAnsi" w:hAnsiTheme="minorHAnsi" w:cstheme="minorHAnsi"/>
          <w:sz w:val="20"/>
          <w:szCs w:val="20"/>
          <w:vertAlign w:val="subscript"/>
        </w:rPr>
        <w:t>3</w:t>
      </w:r>
      <w:r w:rsidR="00853E69" w:rsidRPr="002A248F">
        <w:rPr>
          <w:rFonts w:asciiTheme="minorHAnsi" w:hAnsiTheme="minorHAnsi" w:cstheme="minorHAnsi"/>
          <w:sz w:val="20"/>
          <w:szCs w:val="20"/>
        </w:rPr>
        <w:t>, analytical grade)</w:t>
      </w:r>
      <w:r w:rsidR="00FD1700" w:rsidRPr="002A248F">
        <w:rPr>
          <w:rFonts w:asciiTheme="minorHAnsi" w:hAnsiTheme="minorHAnsi" w:cstheme="minorHAnsi"/>
          <w:sz w:val="20"/>
          <w:szCs w:val="20"/>
        </w:rPr>
        <w:t xml:space="preserve"> by </w:t>
      </w:r>
      <w:r w:rsidR="00FD1700" w:rsidRPr="002A248F">
        <w:rPr>
          <w:rFonts w:asciiTheme="minorHAnsi" w:hAnsiTheme="minorHAnsi" w:cstheme="minorHAnsi"/>
          <w:sz w:val="20"/>
        </w:rPr>
        <w:t>Sigma-Aldrich (St. Louis, MO, USA)</w:t>
      </w:r>
      <w:r w:rsidR="00853E69" w:rsidRPr="002A248F">
        <w:rPr>
          <w:rFonts w:asciiTheme="minorHAnsi" w:hAnsiTheme="minorHAnsi" w:cstheme="minorHAnsi"/>
          <w:sz w:val="20"/>
          <w:szCs w:val="20"/>
        </w:rPr>
        <w:t xml:space="preserve"> was purchased from </w:t>
      </w:r>
      <w:r w:rsidR="008F73D4" w:rsidRPr="002A248F">
        <w:rPr>
          <w:rFonts w:asciiTheme="minorHAnsi" w:hAnsiTheme="minorHAnsi" w:cstheme="minorHAnsi"/>
          <w:bCs/>
          <w:sz w:val="20"/>
          <w:szCs w:val="20"/>
        </w:rPr>
        <w:t>Cobbler &amp; Farmer Ltd.</w:t>
      </w:r>
      <w:r w:rsidR="008F73D4" w:rsidRPr="002A248F">
        <w:rPr>
          <w:rFonts w:asciiTheme="minorHAnsi" w:hAnsiTheme="minorHAnsi" w:cstheme="minorHAnsi"/>
          <w:b/>
          <w:bCs/>
          <w:sz w:val="20"/>
          <w:szCs w:val="20"/>
        </w:rPr>
        <w:t xml:space="preserve"> </w:t>
      </w:r>
      <w:r w:rsidR="00853E69" w:rsidRPr="002A248F">
        <w:rPr>
          <w:rFonts w:asciiTheme="minorHAnsi" w:hAnsiTheme="minorHAnsi" w:cstheme="minorHAnsi"/>
          <w:sz w:val="20"/>
          <w:szCs w:val="20"/>
        </w:rPr>
        <w:t xml:space="preserve">Fresh leaves of </w:t>
      </w:r>
      <w:proofErr w:type="spellStart"/>
      <w:r w:rsidR="00853E69" w:rsidRPr="002A248F">
        <w:rPr>
          <w:rFonts w:asciiTheme="minorHAnsi" w:hAnsiTheme="minorHAnsi" w:cstheme="minorHAnsi"/>
          <w:i/>
          <w:iCs/>
          <w:sz w:val="20"/>
          <w:szCs w:val="20"/>
        </w:rPr>
        <w:t>Gongronema</w:t>
      </w:r>
      <w:proofErr w:type="spellEnd"/>
      <w:r w:rsidR="00853E69" w:rsidRPr="002A248F">
        <w:rPr>
          <w:rFonts w:asciiTheme="minorHAnsi" w:hAnsiTheme="minorHAnsi" w:cstheme="minorHAnsi"/>
          <w:i/>
          <w:iCs/>
          <w:sz w:val="20"/>
          <w:szCs w:val="20"/>
        </w:rPr>
        <w:t xml:space="preserve"> </w:t>
      </w:r>
      <w:proofErr w:type="spellStart"/>
      <w:r w:rsidR="00853E69" w:rsidRPr="002A248F">
        <w:rPr>
          <w:rFonts w:asciiTheme="minorHAnsi" w:hAnsiTheme="minorHAnsi" w:cstheme="minorHAnsi"/>
          <w:i/>
          <w:iCs/>
          <w:sz w:val="20"/>
          <w:szCs w:val="20"/>
        </w:rPr>
        <w:t>latifolium</w:t>
      </w:r>
      <w:proofErr w:type="spellEnd"/>
      <w:r w:rsidR="00853E69" w:rsidRPr="002A248F">
        <w:rPr>
          <w:rFonts w:asciiTheme="minorHAnsi" w:hAnsiTheme="minorHAnsi" w:cstheme="minorHAnsi"/>
          <w:sz w:val="20"/>
          <w:szCs w:val="20"/>
        </w:rPr>
        <w:t xml:space="preserve"> were harvested from </w:t>
      </w:r>
      <w:r w:rsidR="00302BA1" w:rsidRPr="002A248F">
        <w:rPr>
          <w:rFonts w:asciiTheme="minorHAnsi" w:hAnsiTheme="minorHAnsi" w:cstheme="minorHAnsi"/>
          <w:bCs/>
          <w:sz w:val="20"/>
          <w:szCs w:val="20"/>
        </w:rPr>
        <w:t>the School’s botanical garden</w:t>
      </w:r>
      <w:r w:rsidR="00302BA1" w:rsidRPr="002A248F">
        <w:rPr>
          <w:rFonts w:asciiTheme="minorHAnsi" w:hAnsiTheme="minorHAnsi" w:cstheme="minorHAnsi"/>
          <w:sz w:val="20"/>
          <w:szCs w:val="20"/>
        </w:rPr>
        <w:t xml:space="preserve"> and</w:t>
      </w:r>
      <w:r w:rsidR="00853E69" w:rsidRPr="002A248F">
        <w:rPr>
          <w:rFonts w:asciiTheme="minorHAnsi" w:hAnsiTheme="minorHAnsi" w:cstheme="minorHAnsi"/>
          <w:sz w:val="20"/>
          <w:szCs w:val="20"/>
        </w:rPr>
        <w:t xml:space="preserve"> authenticated at </w:t>
      </w:r>
      <w:r w:rsidR="00762DA4" w:rsidRPr="002A248F">
        <w:rPr>
          <w:rFonts w:asciiTheme="minorHAnsi" w:hAnsiTheme="minorHAnsi" w:cstheme="minorHAnsi"/>
          <w:sz w:val="20"/>
          <w:szCs w:val="20"/>
        </w:rPr>
        <w:t xml:space="preserve">the </w:t>
      </w:r>
      <w:r w:rsidR="00853E69" w:rsidRPr="002A248F">
        <w:rPr>
          <w:rFonts w:asciiTheme="minorHAnsi" w:hAnsiTheme="minorHAnsi" w:cstheme="minorHAnsi"/>
          <w:bCs/>
          <w:sz w:val="20"/>
          <w:szCs w:val="20"/>
        </w:rPr>
        <w:t>Department</w:t>
      </w:r>
      <w:r w:rsidR="00762DA4" w:rsidRPr="002A248F">
        <w:rPr>
          <w:rFonts w:asciiTheme="minorHAnsi" w:hAnsiTheme="minorHAnsi" w:cstheme="minorHAnsi"/>
          <w:bCs/>
          <w:sz w:val="20"/>
          <w:szCs w:val="20"/>
        </w:rPr>
        <w:t xml:space="preserve"> of Pharmacognosy, Faculty of Pharmaceutical Sciences, Enugu State University of Science and Technology</w:t>
      </w:r>
      <w:r w:rsidR="00853E69" w:rsidRPr="002A248F">
        <w:rPr>
          <w:rFonts w:asciiTheme="minorHAnsi" w:hAnsiTheme="minorHAnsi" w:cstheme="minorHAnsi"/>
          <w:sz w:val="20"/>
          <w:szCs w:val="20"/>
        </w:rPr>
        <w:t>, and processed into a crude aqueous extract following standard protocols</w:t>
      </w:r>
      <w:r w:rsidR="00FD1700" w:rsidRPr="002A248F">
        <w:rPr>
          <w:rFonts w:asciiTheme="minorHAnsi" w:hAnsiTheme="minorHAnsi" w:cstheme="minorHAnsi"/>
          <w:sz w:val="20"/>
          <w:szCs w:val="20"/>
        </w:rPr>
        <w:t xml:space="preserve"> </w:t>
      </w:r>
      <w:r w:rsidR="00217417" w:rsidRPr="002A248F">
        <w:rPr>
          <w:rFonts w:asciiTheme="minorHAnsi" w:hAnsiTheme="minorHAnsi" w:cstheme="minorHAnsi"/>
          <w:sz w:val="20"/>
          <w:szCs w:val="20"/>
          <w:vertAlign w:val="superscript"/>
        </w:rPr>
        <w:t>11</w:t>
      </w:r>
      <w:r w:rsidR="00853E69" w:rsidRPr="002A248F">
        <w:rPr>
          <w:rFonts w:asciiTheme="minorHAnsi" w:hAnsiTheme="minorHAnsi" w:cstheme="minorHAnsi"/>
          <w:sz w:val="20"/>
          <w:szCs w:val="20"/>
        </w:rPr>
        <w:t>.</w:t>
      </w:r>
    </w:p>
    <w:p w14:paraId="20549647" w14:textId="77777777" w:rsidR="00853E69" w:rsidRPr="002A248F" w:rsidRDefault="00853E69" w:rsidP="00F35C8F">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2.2 Experimental Design for Pseudo-First-Order Conditions</w:t>
      </w:r>
    </w:p>
    <w:p w14:paraId="2B190D6B" w14:textId="5697C241" w:rsidR="00853E69" w:rsidRPr="002A248F" w:rsidRDefault="00853E69" w:rsidP="00E85E3B">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 xml:space="preserve">To ensure the reaction kinetics were dependent solely on the unreduced silver fraction (and not limited by extract concentration), a high ratio of extract to precursor was maintained. 10 mL of </w:t>
      </w:r>
      <w:proofErr w:type="spellStart"/>
      <w:r w:rsidRPr="002A248F">
        <w:rPr>
          <w:rFonts w:asciiTheme="minorHAnsi" w:hAnsiTheme="minorHAnsi" w:cstheme="minorHAnsi"/>
          <w:i/>
          <w:iCs/>
          <w:sz w:val="20"/>
          <w:szCs w:val="20"/>
        </w:rPr>
        <w:t>Gongronema</w:t>
      </w:r>
      <w:proofErr w:type="spellEnd"/>
      <w:r w:rsidRPr="002A248F">
        <w:rPr>
          <w:rFonts w:asciiTheme="minorHAnsi" w:hAnsiTheme="minorHAnsi" w:cstheme="minorHAnsi"/>
          <w:i/>
          <w:iCs/>
          <w:sz w:val="20"/>
          <w:szCs w:val="20"/>
        </w:rPr>
        <w:t xml:space="preserve"> </w:t>
      </w:r>
      <w:proofErr w:type="spellStart"/>
      <w:r w:rsidRPr="002A248F">
        <w:rPr>
          <w:rFonts w:asciiTheme="minorHAnsi" w:hAnsiTheme="minorHAnsi" w:cstheme="minorHAnsi"/>
          <w:i/>
          <w:iCs/>
          <w:sz w:val="20"/>
          <w:szCs w:val="20"/>
        </w:rPr>
        <w:t>latifolium</w:t>
      </w:r>
      <w:proofErr w:type="spellEnd"/>
      <w:r w:rsidRPr="002A248F">
        <w:rPr>
          <w:rFonts w:asciiTheme="minorHAnsi" w:hAnsiTheme="minorHAnsi" w:cstheme="minorHAnsi"/>
          <w:sz w:val="20"/>
          <w:szCs w:val="20"/>
        </w:rPr>
        <w:t xml:space="preserve"> aqueous extract was </w:t>
      </w:r>
      <w:r w:rsidR="00302BA1" w:rsidRPr="002A248F">
        <w:rPr>
          <w:rFonts w:asciiTheme="minorHAnsi" w:hAnsiTheme="minorHAnsi" w:cstheme="minorHAnsi"/>
          <w:sz w:val="20"/>
          <w:szCs w:val="20"/>
        </w:rPr>
        <w:t>reacted with 90 mL of 1 mM AgNO</w:t>
      </w:r>
      <w:r w:rsidRPr="002A248F">
        <w:rPr>
          <w:rFonts w:asciiTheme="minorHAnsi" w:hAnsiTheme="minorHAnsi" w:cstheme="minorHAnsi"/>
          <w:sz w:val="20"/>
          <w:szCs w:val="20"/>
          <w:vertAlign w:val="subscript"/>
        </w:rPr>
        <w:t>3</w:t>
      </w:r>
      <w:r w:rsidRPr="002A248F">
        <w:rPr>
          <w:rFonts w:asciiTheme="minorHAnsi" w:hAnsiTheme="minorHAnsi" w:cstheme="minorHAnsi"/>
          <w:sz w:val="20"/>
          <w:szCs w:val="20"/>
        </w:rPr>
        <w:t xml:space="preserve"> (1:9 v/v).</w:t>
      </w:r>
      <w:r w:rsidR="00F355ED" w:rsidRPr="002A248F">
        <w:rPr>
          <w:rFonts w:asciiTheme="minorHAnsi" w:hAnsiTheme="minorHAnsi" w:cstheme="minorHAnsi"/>
          <w:sz w:val="20"/>
          <w:szCs w:val="20"/>
        </w:rPr>
        <w:t xml:space="preserve"> </w:t>
      </w:r>
      <w:r w:rsidR="00D61075" w:rsidRPr="002A248F">
        <w:rPr>
          <w:rFonts w:asciiTheme="minorHAnsi" w:hAnsiTheme="minorHAnsi" w:cstheme="minorHAnsi"/>
          <w:sz w:val="20"/>
        </w:rPr>
        <w:t>For thermal Control, it was</w:t>
      </w:r>
      <w:r w:rsidR="00F355ED" w:rsidRPr="002A248F">
        <w:rPr>
          <w:rFonts w:asciiTheme="minorHAnsi" w:hAnsiTheme="minorHAnsi" w:cstheme="minorHAnsi"/>
          <w:sz w:val="20"/>
        </w:rPr>
        <w:t xml:space="preserve"> ensure</w:t>
      </w:r>
      <w:r w:rsidR="00D61075" w:rsidRPr="002A248F">
        <w:rPr>
          <w:rFonts w:asciiTheme="minorHAnsi" w:hAnsiTheme="minorHAnsi" w:cstheme="minorHAnsi"/>
          <w:sz w:val="20"/>
        </w:rPr>
        <w:t>d</w:t>
      </w:r>
      <w:r w:rsidR="00F355ED" w:rsidRPr="002A248F">
        <w:rPr>
          <w:rFonts w:asciiTheme="minorHAnsi" w:hAnsiTheme="minorHAnsi" w:cstheme="minorHAnsi"/>
          <w:sz w:val="20"/>
        </w:rPr>
        <w:t xml:space="preserve"> that spectral changes were due to SPR generation and not phytochemical </w:t>
      </w:r>
      <w:r w:rsidR="00D61075" w:rsidRPr="002A248F">
        <w:rPr>
          <w:rFonts w:asciiTheme="minorHAnsi" w:hAnsiTheme="minorHAnsi" w:cstheme="minorHAnsi"/>
          <w:sz w:val="20"/>
        </w:rPr>
        <w:t>degradation; hence,</w:t>
      </w:r>
      <w:r w:rsidR="00F355ED" w:rsidRPr="002A248F">
        <w:rPr>
          <w:rFonts w:asciiTheme="minorHAnsi" w:hAnsiTheme="minorHAnsi" w:cstheme="minorHAnsi"/>
          <w:sz w:val="20"/>
        </w:rPr>
        <w:t xml:space="preserve"> a "blank" control (extract + deionized water) was heated to 60°C for 60 minutes and monitored at 430 nm</w:t>
      </w:r>
      <w:r w:rsidR="00D61075" w:rsidRPr="002A248F">
        <w:rPr>
          <w:rFonts w:asciiTheme="minorHAnsi" w:hAnsiTheme="minorHAnsi" w:cstheme="minorHAnsi"/>
          <w:sz w:val="20"/>
        </w:rPr>
        <w:t>.</w:t>
      </w:r>
      <w:r w:rsidR="00E85E3B" w:rsidRPr="002A248F">
        <w:rPr>
          <w:rFonts w:asciiTheme="minorHAnsi" w:hAnsiTheme="minorHAnsi" w:cstheme="minorHAnsi"/>
          <w:sz w:val="20"/>
        </w:rPr>
        <w:t xml:space="preserve"> </w:t>
      </w:r>
      <w:r w:rsidR="00302BA1" w:rsidRPr="002A248F">
        <w:rPr>
          <w:rFonts w:eastAsia="Times New Roman" w:cstheme="minorHAnsi"/>
          <w:sz w:val="20"/>
          <w:szCs w:val="20"/>
        </w:rPr>
        <w:t xml:space="preserve">For </w:t>
      </w:r>
      <w:r w:rsidR="00D61075" w:rsidRPr="002A248F">
        <w:rPr>
          <w:rFonts w:eastAsia="Times New Roman" w:cstheme="minorHAnsi"/>
          <w:sz w:val="20"/>
          <w:szCs w:val="20"/>
        </w:rPr>
        <w:t>stability</w:t>
      </w:r>
      <w:r w:rsidR="00302BA1" w:rsidRPr="002A248F">
        <w:rPr>
          <w:rFonts w:eastAsia="Times New Roman" w:cstheme="minorHAnsi"/>
          <w:b/>
          <w:bCs/>
          <w:sz w:val="20"/>
          <w:szCs w:val="20"/>
        </w:rPr>
        <w:t>, t</w:t>
      </w:r>
      <w:r w:rsidRPr="002A248F">
        <w:rPr>
          <w:rFonts w:eastAsia="Times New Roman" w:cstheme="minorHAnsi"/>
          <w:sz w:val="20"/>
          <w:szCs w:val="20"/>
        </w:rPr>
        <w:t>he pH of the reaction mixture was monitored at 30°C and 60°C</w:t>
      </w:r>
      <w:r w:rsidR="00D61075" w:rsidRPr="002A248F">
        <w:rPr>
          <w:rFonts w:eastAsia="Times New Roman" w:cstheme="minorHAnsi"/>
          <w:sz w:val="20"/>
          <w:szCs w:val="20"/>
        </w:rPr>
        <w:t xml:space="preserve"> using a calibrated PH-3SC pH metre</w:t>
      </w:r>
      <w:r w:rsidRPr="002A248F">
        <w:rPr>
          <w:rFonts w:eastAsia="Times New Roman" w:cstheme="minorHAnsi"/>
          <w:sz w:val="20"/>
          <w:szCs w:val="20"/>
        </w:rPr>
        <w:t xml:space="preserve"> to ensure thermal variations did not induce significant </w:t>
      </w:r>
      <w:r w:rsidR="00D61075" w:rsidRPr="002A248F">
        <w:rPr>
          <w:rFonts w:eastAsia="Times New Roman" w:cstheme="minorHAnsi"/>
          <w:sz w:val="20"/>
          <w:szCs w:val="20"/>
        </w:rPr>
        <w:t>protonation/</w:t>
      </w:r>
      <w:r w:rsidRPr="002A248F">
        <w:rPr>
          <w:rFonts w:eastAsia="Times New Roman" w:cstheme="minorHAnsi"/>
          <w:sz w:val="20"/>
          <w:szCs w:val="20"/>
        </w:rPr>
        <w:t xml:space="preserve">deprotonation </w:t>
      </w:r>
      <w:r w:rsidR="00A821AA" w:rsidRPr="002A248F">
        <w:rPr>
          <w:rFonts w:eastAsia="Times New Roman" w:cstheme="minorHAnsi"/>
          <w:sz w:val="20"/>
          <w:szCs w:val="20"/>
        </w:rPr>
        <w:t>events</w:t>
      </w:r>
      <m:oMath>
        <m:r>
          <w:rPr>
            <w:rFonts w:ascii="Cambria Math" w:eastAsia="Times New Roman" w:hAnsi="Cambria Math" w:cstheme="minorHAnsi"/>
            <w:sz w:val="20"/>
            <w:szCs w:val="20"/>
          </w:rPr>
          <m:t xml:space="preserve"> (</m:t>
        </m:r>
        <m:r>
          <m:rPr>
            <m:sty m:val="p"/>
          </m:rPr>
          <w:rPr>
            <w:rFonts w:ascii="Cambria Math" w:hAnsi="Cambria Math" w:cstheme="minorHAnsi"/>
            <w:sz w:val="20"/>
            <w:szCs w:val="20"/>
          </w:rPr>
          <m:t>ΔH&lt;0.3)</m:t>
        </m:r>
      </m:oMath>
      <w:r w:rsidR="00D61075" w:rsidRPr="002A248F">
        <w:rPr>
          <w:rFonts w:eastAsia="Times New Roman" w:cstheme="minorHAnsi"/>
          <w:sz w:val="20"/>
          <w:szCs w:val="20"/>
        </w:rPr>
        <w:t xml:space="preserve"> </w:t>
      </w:r>
      <w:r w:rsidR="00B13ACF" w:rsidRPr="002A248F">
        <w:rPr>
          <w:rFonts w:eastAsia="Times New Roman" w:cstheme="minorHAnsi"/>
          <w:sz w:val="20"/>
          <w:szCs w:val="20"/>
          <w:vertAlign w:val="superscript"/>
        </w:rPr>
        <w:t>18 – 21</w:t>
      </w:r>
      <w:r w:rsidR="00302BA1" w:rsidRPr="002A248F">
        <w:rPr>
          <w:rFonts w:eastAsia="Times New Roman" w:cstheme="minorHAnsi"/>
          <w:sz w:val="20"/>
          <w:szCs w:val="20"/>
        </w:rPr>
        <w:t>.</w:t>
      </w:r>
    </w:p>
    <w:p w14:paraId="7B24871A" w14:textId="390EAAB3" w:rsidR="00853E69" w:rsidRPr="002A248F" w:rsidRDefault="00853E69" w:rsidP="00F35C8F">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2.3 Kinetic</w:t>
      </w:r>
      <w:r w:rsidR="000163B1" w:rsidRPr="002A248F">
        <w:rPr>
          <w:rFonts w:asciiTheme="minorHAnsi" w:hAnsiTheme="minorHAnsi" w:cstheme="minorHAnsi"/>
          <w:b/>
          <w:bCs/>
          <w:sz w:val="20"/>
          <w:szCs w:val="20"/>
        </w:rPr>
        <w:t xml:space="preserve"> and Morphological</w:t>
      </w:r>
      <w:r w:rsidRPr="002A248F">
        <w:rPr>
          <w:rFonts w:asciiTheme="minorHAnsi" w:hAnsiTheme="minorHAnsi" w:cstheme="minorHAnsi"/>
          <w:b/>
          <w:bCs/>
          <w:sz w:val="20"/>
          <w:szCs w:val="20"/>
        </w:rPr>
        <w:t xml:space="preserve"> Monitoring</w:t>
      </w:r>
    </w:p>
    <w:p w14:paraId="5BB8D783" w14:textId="0FB1B51A" w:rsidR="00BE2431" w:rsidRPr="002A248F" w:rsidRDefault="00853E69" w:rsidP="00BE2431">
      <w:pPr>
        <w:pStyle w:val="NormalWeb"/>
        <w:jc w:val="both"/>
        <w:divId w:val="1100175223"/>
        <w:rPr>
          <w:rFonts w:asciiTheme="minorHAnsi" w:hAnsiTheme="minorHAnsi" w:cstheme="minorHAnsi"/>
          <w:sz w:val="20"/>
          <w:szCs w:val="20"/>
        </w:rPr>
      </w:pPr>
      <w:r w:rsidRPr="002A248F">
        <w:rPr>
          <w:rFonts w:asciiTheme="minorHAnsi" w:hAnsiTheme="minorHAnsi" w:cstheme="minorHAnsi"/>
          <w:sz w:val="20"/>
          <w:szCs w:val="20"/>
        </w:rPr>
        <w:t>The synthesis was conducted in a temperature-controlled water bath at 30, 40, 50, and 60°</w:t>
      </w:r>
      <w:r w:rsidR="00C92138" w:rsidRPr="002A248F">
        <w:rPr>
          <w:rFonts w:asciiTheme="minorHAnsi" w:hAnsiTheme="minorHAnsi" w:cstheme="minorHAnsi"/>
          <w:sz w:val="20"/>
          <w:szCs w:val="20"/>
        </w:rPr>
        <w:t>C</w:t>
      </w:r>
      <m:oMath>
        <m:r>
          <w:rPr>
            <w:rFonts w:ascii="Cambria Math" w:hAnsi="Cambria Math" w:cstheme="minorHAnsi"/>
            <w:sz w:val="20"/>
            <w:szCs w:val="20"/>
          </w:rPr>
          <m:t xml:space="preserve"> (±0.5℃)</m:t>
        </m:r>
      </m:oMath>
      <w:r w:rsidRPr="002A248F">
        <w:rPr>
          <w:rFonts w:asciiTheme="minorHAnsi" w:hAnsiTheme="minorHAnsi" w:cstheme="minorHAnsi"/>
          <w:sz w:val="20"/>
          <w:szCs w:val="20"/>
        </w:rPr>
        <w:t xml:space="preserve">. Aliquots (2 mL) were withdrawn every 5 minutes and </w:t>
      </w:r>
      <w:r w:rsidR="00A821AA" w:rsidRPr="002A248F">
        <w:rPr>
          <w:rFonts w:asciiTheme="minorHAnsi" w:hAnsiTheme="minorHAnsi" w:cstheme="minorHAnsi"/>
          <w:sz w:val="20"/>
          <w:szCs w:val="20"/>
        </w:rPr>
        <w:t>analysed</w:t>
      </w:r>
      <w:r w:rsidRPr="002A248F">
        <w:rPr>
          <w:rFonts w:asciiTheme="minorHAnsi" w:hAnsiTheme="minorHAnsi" w:cstheme="minorHAnsi"/>
          <w:sz w:val="20"/>
          <w:szCs w:val="20"/>
        </w:rPr>
        <w:t xml:space="preserve"> </w:t>
      </w:r>
      <w:r w:rsidR="00551ABB" w:rsidRPr="002A248F">
        <w:rPr>
          <w:rFonts w:asciiTheme="minorHAnsi" w:hAnsiTheme="minorHAnsi" w:cstheme="minorHAnsi"/>
          <w:sz w:val="20"/>
          <w:szCs w:val="20"/>
        </w:rPr>
        <w:t xml:space="preserve">using the LABEC D-11 UV-Vis spectrophotometer </w:t>
      </w:r>
      <w:r w:rsidRPr="002A248F">
        <w:rPr>
          <w:rFonts w:asciiTheme="minorHAnsi" w:hAnsiTheme="minorHAnsi" w:cstheme="minorHAnsi"/>
          <w:sz w:val="20"/>
          <w:szCs w:val="20"/>
        </w:rPr>
        <w:t>(Range: 300–700 nm).</w:t>
      </w:r>
      <w:r w:rsidR="00BE2431" w:rsidRPr="002A248F">
        <w:rPr>
          <w:rFonts w:asciiTheme="minorHAnsi" w:hAnsiTheme="minorHAnsi" w:cstheme="minorHAnsi"/>
          <w:sz w:val="20"/>
          <w:szCs w:val="20"/>
        </w:rPr>
        <w:t xml:space="preserve"> </w:t>
      </w:r>
      <w:r w:rsidR="00BE2431" w:rsidRPr="002A248F">
        <w:rPr>
          <w:rFonts w:asciiTheme="minorHAnsi" w:hAnsiTheme="minorHAnsi" w:cstheme="minorHAnsi"/>
          <w:sz w:val="20"/>
        </w:rPr>
        <w:t xml:space="preserve">To confirm that the reaction mechanism remained consistent across the temperature range, the final hydrodynamic diameter of particles synthesized at 30°C and 60°C was measured using Dynamic Light Scattering (DLS) (Malvern </w:t>
      </w:r>
      <w:proofErr w:type="spellStart"/>
      <w:r w:rsidR="00BE2431" w:rsidRPr="002A248F">
        <w:rPr>
          <w:rFonts w:asciiTheme="minorHAnsi" w:hAnsiTheme="minorHAnsi" w:cstheme="minorHAnsi"/>
          <w:sz w:val="20"/>
        </w:rPr>
        <w:t>Zetasizer</w:t>
      </w:r>
      <w:proofErr w:type="spellEnd"/>
      <w:r w:rsidR="00BE2431" w:rsidRPr="002A248F">
        <w:rPr>
          <w:rFonts w:asciiTheme="minorHAnsi" w:hAnsiTheme="minorHAnsi" w:cstheme="minorHAnsi"/>
          <w:sz w:val="20"/>
        </w:rPr>
        <w:t xml:space="preserve"> Nano ZS).</w:t>
      </w:r>
    </w:p>
    <w:p w14:paraId="593F9307" w14:textId="62F5AC2A" w:rsidR="000163B1" w:rsidRPr="002A248F" w:rsidRDefault="000163B1" w:rsidP="000163B1">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006E44A0" w:rsidRPr="002A248F">
        <w:rPr>
          <w:rFonts w:asciiTheme="minorHAnsi" w:hAnsiTheme="minorHAnsi" w:cstheme="minorHAnsi"/>
          <w:b/>
          <w:bCs/>
          <w:sz w:val="20"/>
          <w:szCs w:val="20"/>
        </w:rPr>
        <w:t>2.4</w:t>
      </w:r>
      <w:r w:rsidRPr="002A248F">
        <w:rPr>
          <w:rFonts w:asciiTheme="minorHAnsi" w:hAnsiTheme="minorHAnsi" w:cstheme="minorHAnsi"/>
          <w:b/>
          <w:bCs/>
          <w:sz w:val="20"/>
          <w:szCs w:val="20"/>
        </w:rPr>
        <w:t xml:space="preserve"> </w:t>
      </w:r>
      <w:r w:rsidR="006E44A0" w:rsidRPr="002A248F">
        <w:rPr>
          <w:rFonts w:asciiTheme="minorHAnsi" w:hAnsiTheme="minorHAnsi" w:cstheme="minorHAnsi"/>
          <w:b/>
          <w:bCs/>
          <w:sz w:val="20"/>
          <w:szCs w:val="20"/>
        </w:rPr>
        <w:t>Theoretical Models</w:t>
      </w:r>
    </w:p>
    <w:p w14:paraId="4F144FA0" w14:textId="0D8538CF" w:rsidR="000163B1" w:rsidRPr="002A248F" w:rsidRDefault="000163B1" w:rsidP="00BF5B0C">
      <w:pPr>
        <w:pStyle w:val="NormalWeb"/>
        <w:spacing w:after="240" w:afterAutospacing="0"/>
        <w:jc w:val="both"/>
        <w:divId w:val="1217467389"/>
        <w:rPr>
          <w:rFonts w:asciiTheme="minorHAnsi" w:eastAsia="Times New Roman" w:hAnsiTheme="minorHAnsi" w:cstheme="minorHAnsi"/>
          <w:sz w:val="20"/>
          <w:szCs w:val="20"/>
        </w:rPr>
      </w:pPr>
      <w:r w:rsidRPr="002A248F">
        <w:rPr>
          <w:rFonts w:asciiTheme="minorHAnsi" w:eastAsia="Times New Roman" w:hAnsiTheme="minorHAnsi" w:cstheme="minorHAnsi"/>
          <w:sz w:val="20"/>
          <w:szCs w:val="20"/>
        </w:rPr>
        <w:t xml:space="preserve">The growth of </w:t>
      </w:r>
      <w:proofErr w:type="spellStart"/>
      <w:r w:rsidRPr="002A248F">
        <w:rPr>
          <w:rFonts w:asciiTheme="minorHAnsi" w:eastAsia="Times New Roman" w:hAnsiTheme="minorHAnsi" w:cstheme="minorHAnsi"/>
          <w:sz w:val="20"/>
          <w:szCs w:val="20"/>
        </w:rPr>
        <w:t>AgNPs</w:t>
      </w:r>
      <w:proofErr w:type="spellEnd"/>
      <w:r w:rsidRPr="002A248F">
        <w:rPr>
          <w:rFonts w:asciiTheme="minorHAnsi" w:eastAsia="Times New Roman" w:hAnsiTheme="minorHAnsi" w:cstheme="minorHAnsi"/>
          <w:sz w:val="20"/>
          <w:szCs w:val="20"/>
        </w:rPr>
        <w:t xml:space="preserve"> was modelled using pseu</w:t>
      </w:r>
      <w:r w:rsidR="00217417" w:rsidRPr="002A248F">
        <w:rPr>
          <w:rFonts w:asciiTheme="minorHAnsi" w:eastAsia="Times New Roman" w:hAnsiTheme="minorHAnsi" w:cstheme="minorHAnsi"/>
          <w:sz w:val="20"/>
          <w:szCs w:val="20"/>
        </w:rPr>
        <w:t xml:space="preserve">do-first-order kinetic equation </w:t>
      </w:r>
      <w:r w:rsidR="00217417" w:rsidRPr="002A248F">
        <w:rPr>
          <w:rFonts w:asciiTheme="minorHAnsi" w:eastAsia="Times New Roman" w:hAnsiTheme="minorHAnsi" w:cstheme="minorHAnsi"/>
          <w:sz w:val="20"/>
          <w:szCs w:val="20"/>
          <w:vertAlign w:val="superscript"/>
        </w:rPr>
        <w:t>6 – 11</w:t>
      </w:r>
      <w:r w:rsidRPr="002A248F">
        <w:rPr>
          <w:rFonts w:asciiTheme="minorHAnsi" w:eastAsia="Times New Roman" w:hAnsiTheme="minorHAnsi" w:cstheme="minorHAnsi"/>
          <w:sz w:val="20"/>
          <w:szCs w:val="20"/>
        </w:rPr>
        <w:t>.</w:t>
      </w:r>
      <w:r w:rsidR="00D91504" w:rsidRPr="002A248F">
        <w:rPr>
          <w:rFonts w:asciiTheme="minorHAnsi" w:eastAsia="Times New Roman" w:hAnsiTheme="minorHAnsi" w:cstheme="minorHAnsi"/>
          <w:sz w:val="20"/>
          <w:szCs w:val="20"/>
        </w:rPr>
        <w:t xml:space="preserve"> To </w:t>
      </w:r>
      <w:r w:rsidR="004060C7" w:rsidRPr="002A248F">
        <w:rPr>
          <w:rFonts w:asciiTheme="minorHAnsi" w:eastAsia="Times New Roman" w:hAnsiTheme="minorHAnsi" w:cstheme="minorHAnsi"/>
          <w:sz w:val="20"/>
          <w:szCs w:val="20"/>
        </w:rPr>
        <w:t>simplify the</w:t>
      </w:r>
      <w:r w:rsidR="00D91504" w:rsidRPr="002A248F">
        <w:rPr>
          <w:rFonts w:asciiTheme="minorHAnsi" w:eastAsia="Times New Roman" w:hAnsiTheme="minorHAnsi" w:cstheme="minorHAnsi"/>
          <w:sz w:val="20"/>
          <w:szCs w:val="20"/>
        </w:rPr>
        <w:t xml:space="preserve"> analysis of the complex crude extract, the Ostwald Isolation Method was applied. By maintaining a large stoichiometric excess of the plant extract relative to the silver precursor (1:9 ratio), the concentration of the reducing agents remains effectively constant throughout the reaction.</w:t>
      </w:r>
      <w:r w:rsidR="009F6A1D" w:rsidRPr="002A248F">
        <w:rPr>
          <w:rFonts w:asciiTheme="minorHAnsi" w:eastAsia="Times New Roman" w:hAnsiTheme="minorHAnsi" w:cstheme="minorHAnsi"/>
          <w:sz w:val="20"/>
          <w:szCs w:val="20"/>
        </w:rPr>
        <w:t xml:space="preserve"> Consequently, the rate depends solely on the available silver ions, allowing the growth kinetics to be modelled using the pseudo-first-order equation </w:t>
      </w:r>
      <w:r w:rsidR="00AB72A6" w:rsidRPr="002A248F">
        <w:rPr>
          <w:rFonts w:asciiTheme="minorHAnsi" w:eastAsia="Times New Roman" w:hAnsiTheme="minorHAnsi" w:cstheme="minorHAnsi"/>
          <w:sz w:val="20"/>
          <w:szCs w:val="20"/>
          <w:vertAlign w:val="superscript"/>
        </w:rPr>
        <w:t>23 – 26</w:t>
      </w:r>
      <w:r w:rsidR="004060C7" w:rsidRPr="002A248F">
        <w:rPr>
          <w:rFonts w:asciiTheme="minorHAnsi" w:eastAsia="Times New Roman" w:hAnsiTheme="minorHAnsi" w:cstheme="minorHAnsi"/>
          <w:sz w:val="20"/>
          <w:szCs w:val="20"/>
        </w:rPr>
        <w:t>:</w:t>
      </w:r>
    </w:p>
    <w:p w14:paraId="563E2CD7" w14:textId="2061669B" w:rsidR="004060C7" w:rsidRPr="002A248F" w:rsidRDefault="00D20BC0" w:rsidP="00C46A06">
      <w:pPr>
        <w:pStyle w:val="NormalWeb"/>
        <w:spacing w:before="0" w:beforeAutospacing="0" w:after="0" w:afterAutospacing="0"/>
        <w:jc w:val="both"/>
        <w:divId w:val="1217467389"/>
        <w:rPr>
          <w:rFonts w:asciiTheme="minorHAnsi" w:eastAsia="Times New Roman" w:hAnsiTheme="minorHAnsi" w:cstheme="minorHAnsi"/>
          <w:sz w:val="20"/>
          <w:szCs w:val="20"/>
        </w:rPr>
      </w:pPr>
      <m:oMath>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d>
              <m:dPr>
                <m:ctrlPr>
                  <w:rPr>
                    <w:rFonts w:ascii="Cambria Math" w:eastAsia="Times New Roman" w:hAnsi="Cambria Math" w:cstheme="minorHAnsi"/>
                    <w:i/>
                    <w:sz w:val="20"/>
                    <w:szCs w:val="20"/>
                  </w:rPr>
                </m:ctrlPr>
              </m:dPr>
              <m:e>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A</m:t>
                    </m:r>
                  </m:e>
                  <m:sub>
                    <m:r>
                      <w:rPr>
                        <w:rFonts w:ascii="Cambria Math" w:eastAsia="Times New Roman" w:hAnsi="Cambria Math" w:cstheme="minorHAnsi"/>
                        <w:sz w:val="20"/>
                        <w:szCs w:val="20"/>
                      </w:rPr>
                      <m:t>∞</m:t>
                    </m:r>
                  </m:sub>
                </m:sSub>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A</m:t>
                    </m:r>
                  </m:e>
                  <m:sub>
                    <m:r>
                      <w:rPr>
                        <w:rFonts w:ascii="Cambria Math" w:eastAsia="Times New Roman" w:hAnsi="Cambria Math" w:cstheme="minorHAnsi"/>
                        <w:sz w:val="20"/>
                        <w:szCs w:val="20"/>
                      </w:rPr>
                      <m:t>t</m:t>
                    </m:r>
                  </m:sub>
                </m:sSub>
              </m:e>
            </m:d>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k</m:t>
                </m:r>
              </m:e>
              <m:sub>
                <m:r>
                  <w:rPr>
                    <w:rFonts w:ascii="Cambria Math" w:eastAsia="Times New Roman" w:hAnsi="Cambria Math" w:cstheme="minorHAnsi"/>
                    <w:sz w:val="20"/>
                    <w:szCs w:val="20"/>
                  </w:rPr>
                  <m:t>obs</m:t>
                </m:r>
              </m:sub>
            </m:sSub>
            <m:r>
              <w:rPr>
                <w:rFonts w:ascii="Cambria Math" w:eastAsia="Times New Roman" w:hAnsi="Cambria Math" w:cstheme="minorHAnsi"/>
                <w:sz w:val="20"/>
                <w:szCs w:val="20"/>
              </w:rPr>
              <m:t>t</m:t>
            </m:r>
            <m:r>
              <w:rPr>
                <w:rFonts w:ascii="Cambria Math" w:eastAsia="Times New Roman" w:hAnsi="Cambria Math" w:cstheme="minorHAnsi"/>
                <w:sz w:val="20"/>
                <w:szCs w:val="20"/>
              </w:rPr>
              <m:t>+</m:t>
            </m:r>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d>
                  <m:dPr>
                    <m:ctrlPr>
                      <w:rPr>
                        <w:rFonts w:ascii="Cambria Math" w:eastAsia="Times New Roman" w:hAnsi="Cambria Math" w:cstheme="minorHAnsi"/>
                        <w:i/>
                        <w:sz w:val="20"/>
                        <w:szCs w:val="20"/>
                      </w:rPr>
                    </m:ctrlPr>
                  </m:dPr>
                  <m:e>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A</m:t>
                        </m:r>
                      </m:e>
                      <m:sub>
                        <m:r>
                          <w:rPr>
                            <w:rFonts w:ascii="Cambria Math" w:eastAsia="Times New Roman" w:hAnsi="Cambria Math" w:cstheme="minorHAnsi"/>
                            <w:sz w:val="20"/>
                            <w:szCs w:val="20"/>
                          </w:rPr>
                          <m:t>∞</m:t>
                        </m:r>
                      </m:sub>
                    </m:sSub>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A</m:t>
                        </m:r>
                      </m:e>
                      <m:sub>
                        <m:r>
                          <w:rPr>
                            <w:rFonts w:ascii="Cambria Math" w:eastAsia="Times New Roman" w:hAnsi="Cambria Math" w:cstheme="minorHAnsi"/>
                            <w:sz w:val="20"/>
                            <w:szCs w:val="20"/>
                          </w:rPr>
                          <m:t>0</m:t>
                        </m:r>
                      </m:sub>
                    </m:sSub>
                  </m:e>
                </m:d>
              </m:e>
            </m:func>
          </m:e>
        </m:func>
        <m:r>
          <w:rPr>
            <w:rFonts w:ascii="Cambria Math" w:eastAsia="Times New Roman" w:hAnsi="Cambria Math" w:cstheme="minorHAnsi"/>
            <w:sz w:val="20"/>
            <w:szCs w:val="20"/>
          </w:rPr>
          <m:t>……</m:t>
        </m:r>
        <m:d>
          <m:dPr>
            <m:ctrlPr>
              <w:rPr>
                <w:rFonts w:ascii="Cambria Math" w:eastAsia="Times New Roman" w:hAnsi="Cambria Math" w:cstheme="minorHAnsi"/>
                <w:i/>
                <w:sz w:val="20"/>
                <w:szCs w:val="20"/>
              </w:rPr>
            </m:ctrlPr>
          </m:dPr>
          <m:e>
            <m:r>
              <w:rPr>
                <w:rFonts w:ascii="Cambria Math" w:eastAsia="Times New Roman" w:hAnsi="Cambria Math" w:cstheme="minorHAnsi"/>
                <w:sz w:val="20"/>
                <w:szCs w:val="20"/>
              </w:rPr>
              <m:t>1</m:t>
            </m:r>
          </m:e>
        </m:d>
      </m:oMath>
      <w:r w:rsidR="006E44A0" w:rsidRPr="002A248F">
        <w:rPr>
          <w:rFonts w:asciiTheme="minorHAnsi" w:eastAsia="Times New Roman" w:hAnsiTheme="minorHAnsi" w:cstheme="minorHAnsi"/>
          <w:sz w:val="20"/>
          <w:szCs w:val="20"/>
        </w:rPr>
        <w:t xml:space="preserve"> </w:t>
      </w:r>
    </w:p>
    <w:p w14:paraId="211211C7" w14:textId="2A01DAB7" w:rsidR="00C46A06" w:rsidRPr="002A248F" w:rsidRDefault="00C46A06" w:rsidP="00C46A06">
      <w:pPr>
        <w:pStyle w:val="NormalWeb"/>
        <w:spacing w:before="0" w:beforeAutospacing="0"/>
        <w:jc w:val="both"/>
        <w:divId w:val="1217467389"/>
        <w:rPr>
          <w:rFonts w:asciiTheme="minorHAnsi" w:eastAsia="Times New Roman" w:hAnsiTheme="minorHAnsi" w:cstheme="minorHAnsi"/>
          <w:sz w:val="20"/>
          <w:szCs w:val="20"/>
        </w:rPr>
      </w:pPr>
      <w:r w:rsidRPr="002A248F">
        <w:rPr>
          <w:rFonts w:asciiTheme="minorHAnsi" w:eastAsia="Times New Roman" w:hAnsiTheme="minorHAnsi" w:cstheme="minorHAnsi"/>
          <w:sz w:val="20"/>
          <w:szCs w:val="20"/>
        </w:rPr>
        <w:t xml:space="preserve">Where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k</m:t>
            </m:r>
          </m:e>
          <m:sub>
            <m:r>
              <w:rPr>
                <w:rFonts w:ascii="Cambria Math" w:eastAsia="Times New Roman" w:hAnsi="Cambria Math" w:cstheme="minorHAnsi"/>
                <w:sz w:val="20"/>
                <w:szCs w:val="20"/>
              </w:rPr>
              <m:t>obs</m:t>
            </m:r>
          </m:sub>
        </m:sSub>
      </m:oMath>
      <w:r w:rsidRPr="002A248F">
        <w:rPr>
          <w:rFonts w:asciiTheme="minorHAnsi" w:eastAsia="Times New Roman" w:hAnsiTheme="minorHAnsi" w:cstheme="minorHAnsi"/>
          <w:sz w:val="20"/>
          <w:szCs w:val="20"/>
        </w:rPr>
        <w:t xml:space="preserve"> represents the apparent </w:t>
      </w:r>
      <w:proofErr w:type="gramStart"/>
      <w:r w:rsidRPr="002A248F">
        <w:rPr>
          <w:rFonts w:asciiTheme="minorHAnsi" w:eastAsia="Times New Roman" w:hAnsiTheme="minorHAnsi" w:cstheme="minorHAnsi"/>
          <w:sz w:val="20"/>
          <w:szCs w:val="20"/>
        </w:rPr>
        <w:t>rate</w:t>
      </w:r>
      <w:proofErr w:type="gramEnd"/>
      <w:r w:rsidRPr="002A248F">
        <w:rPr>
          <w:rFonts w:asciiTheme="minorHAnsi" w:eastAsia="Times New Roman" w:hAnsiTheme="minorHAnsi" w:cstheme="minorHAnsi"/>
          <w:sz w:val="20"/>
          <w:szCs w:val="20"/>
        </w:rPr>
        <w:t xml:space="preserve"> constant derived from the slope of the linear plot.</w:t>
      </w:r>
    </w:p>
    <w:p w14:paraId="225174FD" w14:textId="6536DC39" w:rsidR="00C46A06" w:rsidRPr="002A248F" w:rsidRDefault="00C46A06" w:rsidP="00C46A06">
      <w:pPr>
        <w:pStyle w:val="NormalWeb"/>
        <w:spacing w:before="0" w:beforeAutospacing="0"/>
        <w:jc w:val="both"/>
        <w:divId w:val="1217467389"/>
        <w:rPr>
          <w:rFonts w:asciiTheme="minorHAnsi" w:eastAsia="Times New Roman" w:hAnsiTheme="minorHAnsi" w:cstheme="minorHAnsi"/>
          <w:sz w:val="20"/>
          <w:szCs w:val="20"/>
        </w:rPr>
      </w:pPr>
      <w:r w:rsidRPr="002A248F">
        <w:rPr>
          <w:rFonts w:asciiTheme="minorHAnsi" w:eastAsia="Times New Roman" w:hAnsiTheme="minorHAnsi" w:cstheme="minorHAnsi"/>
          <w:sz w:val="20"/>
          <w:szCs w:val="20"/>
        </w:rPr>
        <w:t>The energy barriers governing this rate were subsequently calculated using the Arrhenius and Eyring equations</w:t>
      </w:r>
      <w:r w:rsidR="00627880" w:rsidRPr="002A248F">
        <w:rPr>
          <w:rFonts w:asciiTheme="minorHAnsi" w:eastAsia="Times New Roman" w:hAnsiTheme="minorHAnsi" w:cstheme="minorHAnsi"/>
          <w:sz w:val="20"/>
          <w:szCs w:val="20"/>
        </w:rPr>
        <w:t xml:space="preserve"> </w:t>
      </w:r>
      <w:r w:rsidR="00EC70D7" w:rsidRPr="002A248F">
        <w:rPr>
          <w:rFonts w:eastAsia="Times New Roman" w:cstheme="minorHAnsi"/>
          <w:sz w:val="20"/>
          <w:szCs w:val="20"/>
          <w:vertAlign w:val="superscript"/>
        </w:rPr>
        <w:t>18 – 21,</w:t>
      </w:r>
      <w:r w:rsidR="00627880" w:rsidRPr="002A248F">
        <w:rPr>
          <w:rFonts w:asciiTheme="minorHAnsi" w:eastAsia="Times New Roman" w:hAnsiTheme="minorHAnsi" w:cstheme="minorHAnsi"/>
          <w:sz w:val="20"/>
          <w:szCs w:val="20"/>
        </w:rPr>
        <w:t xml:space="preserve"> </w:t>
      </w:r>
      <w:r w:rsidR="00F01B94" w:rsidRPr="002A248F">
        <w:rPr>
          <w:rFonts w:asciiTheme="minorHAnsi" w:eastAsia="Times New Roman" w:hAnsiTheme="minorHAnsi" w:cstheme="minorHAnsi"/>
          <w:sz w:val="20"/>
          <w:szCs w:val="20"/>
          <w:vertAlign w:val="superscript"/>
        </w:rPr>
        <w:t>32</w:t>
      </w:r>
      <w:r w:rsidR="00627880" w:rsidRPr="002A248F">
        <w:rPr>
          <w:rFonts w:asciiTheme="minorHAnsi" w:eastAsia="Times New Roman" w:hAnsiTheme="minorHAnsi" w:cstheme="minorHAnsi"/>
          <w:sz w:val="20"/>
          <w:szCs w:val="20"/>
        </w:rPr>
        <w:t xml:space="preserve"> to determine the activation energy (</w:t>
      </w:r>
      <w:proofErr w:type="spellStart"/>
      <w:r w:rsidR="00627880" w:rsidRPr="002A248F">
        <w:rPr>
          <w:rFonts w:asciiTheme="minorHAnsi" w:eastAsia="Times New Roman" w:hAnsiTheme="minorHAnsi" w:cstheme="minorHAnsi"/>
          <w:sz w:val="20"/>
          <w:szCs w:val="20"/>
        </w:rPr>
        <w:t>E</w:t>
      </w:r>
      <w:r w:rsidR="00627880" w:rsidRPr="002A248F">
        <w:rPr>
          <w:rFonts w:asciiTheme="minorHAnsi" w:eastAsia="Times New Roman" w:hAnsiTheme="minorHAnsi" w:cstheme="minorHAnsi"/>
          <w:sz w:val="20"/>
          <w:szCs w:val="20"/>
          <w:vertAlign w:val="subscript"/>
        </w:rPr>
        <w:t>a</w:t>
      </w:r>
      <w:proofErr w:type="spellEnd"/>
      <w:r w:rsidR="00627880" w:rsidRPr="002A248F">
        <w:rPr>
          <w:rFonts w:asciiTheme="minorHAnsi" w:eastAsia="Times New Roman" w:hAnsiTheme="minorHAnsi" w:cstheme="minorHAnsi"/>
          <w:sz w:val="20"/>
          <w:szCs w:val="20"/>
        </w:rPr>
        <w:t xml:space="preserve">), enthalpy </w:t>
      </w:r>
      <m:oMath>
        <m:r>
          <w:rPr>
            <w:rFonts w:ascii="Cambria Math" w:eastAsia="Times New Roman" w:hAnsi="Cambria Math" w:cstheme="minorHAnsi"/>
            <w:sz w:val="20"/>
            <w:szCs w:val="20"/>
          </w:rPr>
          <m:t>(</m:t>
        </m:r>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∆H</m:t>
            </m:r>
          </m:e>
          <m:sup>
            <m:r>
              <w:rPr>
                <w:rFonts w:ascii="Cambria Math" w:eastAsia="Times New Roman" w:hAnsi="Cambria Math" w:cstheme="minorHAnsi"/>
                <w:sz w:val="20"/>
                <w:szCs w:val="20"/>
              </w:rPr>
              <m:t>‡</m:t>
            </m:r>
          </m:sup>
        </m:sSup>
        <m:r>
          <w:rPr>
            <w:rFonts w:ascii="Cambria Math" w:eastAsia="Times New Roman" w:hAnsi="Cambria Math" w:cstheme="minorHAnsi"/>
            <w:sz w:val="20"/>
            <w:szCs w:val="20"/>
          </w:rPr>
          <m:t>)</m:t>
        </m:r>
      </m:oMath>
      <w:r w:rsidR="00627880" w:rsidRPr="002A248F">
        <w:rPr>
          <w:rFonts w:asciiTheme="minorHAnsi" w:eastAsia="Times New Roman" w:hAnsiTheme="minorHAnsi" w:cstheme="minorHAnsi"/>
          <w:sz w:val="20"/>
          <w:szCs w:val="20"/>
        </w:rPr>
        <w:t xml:space="preserve"> and </w:t>
      </w:r>
      <m:oMath>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(∆S</m:t>
            </m:r>
          </m:e>
          <m:sup>
            <m:r>
              <w:rPr>
                <w:rFonts w:ascii="Cambria Math" w:eastAsia="Times New Roman" w:hAnsi="Cambria Math" w:cstheme="minorHAnsi"/>
                <w:sz w:val="20"/>
                <w:szCs w:val="20"/>
              </w:rPr>
              <m:t>‡</m:t>
            </m:r>
          </m:sup>
        </m:sSup>
        <m:r>
          <w:rPr>
            <w:rFonts w:ascii="Cambria Math" w:eastAsia="Times New Roman" w:hAnsi="Cambria Math" w:cstheme="minorHAnsi"/>
            <w:sz w:val="20"/>
            <w:szCs w:val="20"/>
          </w:rPr>
          <m:t>)</m:t>
        </m:r>
      </m:oMath>
      <w:r w:rsidR="00627880" w:rsidRPr="002A248F">
        <w:rPr>
          <w:rFonts w:asciiTheme="minorHAnsi" w:eastAsia="Times New Roman" w:hAnsiTheme="minorHAnsi" w:cstheme="minorHAnsi"/>
          <w:sz w:val="20"/>
          <w:szCs w:val="20"/>
        </w:rPr>
        <w:t xml:space="preserve"> of the transition </w:t>
      </w:r>
      <w:r w:rsidR="00AF17F3" w:rsidRPr="002A248F">
        <w:rPr>
          <w:rFonts w:asciiTheme="minorHAnsi" w:eastAsia="Times New Roman" w:hAnsiTheme="minorHAnsi" w:cstheme="minorHAnsi"/>
          <w:sz w:val="20"/>
          <w:szCs w:val="20"/>
        </w:rPr>
        <w:t>state:</w:t>
      </w:r>
    </w:p>
    <w:p w14:paraId="663B7AF3" w14:textId="59ADD587" w:rsidR="006E44A0" w:rsidRPr="002A248F" w:rsidRDefault="00D20BC0" w:rsidP="00C46A06">
      <w:pPr>
        <w:pStyle w:val="NormalWeb"/>
        <w:spacing w:before="0" w:beforeAutospacing="0"/>
        <w:jc w:val="both"/>
        <w:divId w:val="1217467389"/>
        <w:rPr>
          <w:rFonts w:asciiTheme="minorHAnsi" w:eastAsia="Times New Roman" w:hAnsiTheme="minorHAnsi" w:cstheme="minorHAnsi"/>
          <w:sz w:val="20"/>
          <w:szCs w:val="20"/>
        </w:rPr>
      </w:pPr>
      <m:oMath>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r>
              <w:rPr>
                <w:rFonts w:ascii="Cambria Math" w:eastAsia="Times New Roman" w:hAnsi="Cambria Math" w:cstheme="minorHAnsi"/>
                <w:sz w:val="20"/>
                <w:szCs w:val="20"/>
              </w:rPr>
              <m:t>k</m:t>
            </m:r>
          </m:e>
        </m:func>
        <m:r>
          <w:rPr>
            <w:rFonts w:ascii="Cambria Math" w:eastAsia="Times New Roman" w:hAnsi="Cambria Math" w:cstheme="minorHAnsi"/>
            <w:sz w:val="20"/>
            <w:szCs w:val="20"/>
          </w:rPr>
          <m:t>=</m:t>
        </m:r>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r>
              <w:rPr>
                <w:rFonts w:ascii="Cambria Math" w:eastAsia="Times New Roman" w:hAnsi="Cambria Math" w:cstheme="minorHAnsi"/>
                <w:sz w:val="20"/>
                <w:szCs w:val="20"/>
              </w:rPr>
              <m:t>A</m:t>
            </m:r>
          </m:e>
        </m:func>
        <m:r>
          <w:rPr>
            <w:rFonts w:ascii="Cambria Math" w:eastAsia="Times New Roman" w:hAnsi="Cambria Math" w:cstheme="minorHAnsi"/>
            <w:sz w:val="20"/>
            <w:szCs w:val="20"/>
          </w:rPr>
          <m:t>-</m:t>
        </m:r>
        <m:f>
          <m:fPr>
            <m:ctrlPr>
              <w:rPr>
                <w:rFonts w:ascii="Cambria Math" w:eastAsia="Times New Roman" w:hAnsi="Cambria Math" w:cstheme="minorHAnsi"/>
                <w:i/>
                <w:sz w:val="20"/>
                <w:szCs w:val="20"/>
              </w:rPr>
            </m:ctrlPr>
          </m:fPr>
          <m:num>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E</m:t>
                </m:r>
              </m:e>
              <m:sub>
                <m:r>
                  <w:rPr>
                    <w:rFonts w:ascii="Cambria Math" w:eastAsia="Times New Roman" w:hAnsi="Cambria Math" w:cstheme="minorHAnsi"/>
                    <w:sz w:val="20"/>
                    <w:szCs w:val="20"/>
                  </w:rPr>
                  <m:t>a</m:t>
                </m:r>
              </m:sub>
            </m:sSub>
          </m:num>
          <m:den>
            <m:r>
              <w:rPr>
                <w:rFonts w:ascii="Cambria Math" w:eastAsia="Times New Roman" w:hAnsi="Cambria Math" w:cstheme="minorHAnsi"/>
                <w:sz w:val="20"/>
                <w:szCs w:val="20"/>
              </w:rPr>
              <m:t>RT</m:t>
            </m:r>
          </m:den>
        </m:f>
        <m:r>
          <w:rPr>
            <w:rFonts w:ascii="Cambria Math" w:eastAsia="Times New Roman" w:hAnsi="Cambria Math" w:cstheme="minorHAnsi"/>
            <w:sz w:val="20"/>
            <w:szCs w:val="20"/>
          </w:rPr>
          <m:t>……(2)</m:t>
        </m:r>
      </m:oMath>
      <w:r w:rsidR="006E44A0" w:rsidRPr="002A248F">
        <w:rPr>
          <w:rFonts w:asciiTheme="minorHAnsi" w:eastAsia="Times New Roman" w:hAnsiTheme="minorHAnsi" w:cstheme="minorHAnsi"/>
          <w:sz w:val="20"/>
          <w:szCs w:val="20"/>
        </w:rPr>
        <w:t xml:space="preserve"> </w:t>
      </w:r>
    </w:p>
    <w:p w14:paraId="13F73219" w14:textId="3D06CBFD" w:rsidR="00AF17F3" w:rsidRPr="002A248F" w:rsidRDefault="00D20BC0" w:rsidP="00C46A06">
      <w:pPr>
        <w:pStyle w:val="NormalWeb"/>
        <w:spacing w:before="0" w:beforeAutospacing="0"/>
        <w:jc w:val="both"/>
        <w:divId w:val="1217467389"/>
        <w:rPr>
          <w:rFonts w:asciiTheme="minorHAnsi" w:eastAsia="Times New Roman" w:hAnsiTheme="minorHAnsi" w:cstheme="minorHAnsi"/>
          <w:sz w:val="20"/>
          <w:szCs w:val="20"/>
        </w:rPr>
      </w:pPr>
      <m:oMath>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d>
              <m:dPr>
                <m:ctrlPr>
                  <w:rPr>
                    <w:rFonts w:ascii="Cambria Math" w:eastAsia="Times New Roman" w:hAnsi="Cambria Math" w:cstheme="minorHAnsi"/>
                    <w:i/>
                    <w:sz w:val="20"/>
                    <w:szCs w:val="20"/>
                  </w:rPr>
                </m:ctrlPr>
              </m:dPr>
              <m:e>
                <m:f>
                  <m:fPr>
                    <m:ctrlPr>
                      <w:rPr>
                        <w:rFonts w:ascii="Cambria Math" w:eastAsia="Times New Roman" w:hAnsi="Cambria Math" w:cstheme="minorHAnsi"/>
                        <w:i/>
                        <w:sz w:val="20"/>
                        <w:szCs w:val="20"/>
                      </w:rPr>
                    </m:ctrlPr>
                  </m:fPr>
                  <m:num>
                    <m:r>
                      <w:rPr>
                        <w:rFonts w:ascii="Cambria Math" w:eastAsia="Times New Roman" w:hAnsi="Cambria Math" w:cstheme="minorHAnsi"/>
                        <w:sz w:val="20"/>
                        <w:szCs w:val="20"/>
                      </w:rPr>
                      <m:t>k</m:t>
                    </m:r>
                  </m:num>
                  <m:den>
                    <m:r>
                      <w:rPr>
                        <w:rFonts w:ascii="Cambria Math" w:eastAsia="Times New Roman" w:hAnsi="Cambria Math" w:cstheme="minorHAnsi"/>
                        <w:sz w:val="20"/>
                        <w:szCs w:val="20"/>
                      </w:rPr>
                      <m:t>T</m:t>
                    </m:r>
                  </m:den>
                </m:f>
              </m:e>
            </m:d>
          </m:e>
        </m:func>
        <m:r>
          <w:rPr>
            <w:rFonts w:ascii="Cambria Math" w:eastAsia="Times New Roman" w:hAnsi="Cambria Math" w:cstheme="minorHAnsi"/>
            <w:sz w:val="20"/>
            <w:szCs w:val="20"/>
          </w:rPr>
          <m:t>=</m:t>
        </m:r>
        <m:func>
          <m:funcPr>
            <m:ctrlPr>
              <w:rPr>
                <w:rFonts w:ascii="Cambria Math" w:eastAsia="Times New Roman" w:hAnsi="Cambria Math" w:cstheme="minorHAnsi"/>
                <w:i/>
                <w:sz w:val="20"/>
                <w:szCs w:val="20"/>
              </w:rPr>
            </m:ctrlPr>
          </m:funcPr>
          <m:fName>
            <m:r>
              <m:rPr>
                <m:sty m:val="p"/>
              </m:rPr>
              <w:rPr>
                <w:rFonts w:ascii="Cambria Math" w:eastAsia="Times New Roman" w:hAnsi="Cambria Math" w:cstheme="minorHAnsi"/>
                <w:sz w:val="20"/>
                <w:szCs w:val="20"/>
              </w:rPr>
              <m:t>ln</m:t>
            </m:r>
          </m:fName>
          <m:e>
            <m:d>
              <m:dPr>
                <m:ctrlPr>
                  <w:rPr>
                    <w:rFonts w:ascii="Cambria Math" w:eastAsia="Times New Roman" w:hAnsi="Cambria Math" w:cstheme="minorHAnsi"/>
                    <w:i/>
                    <w:sz w:val="20"/>
                    <w:szCs w:val="20"/>
                  </w:rPr>
                </m:ctrlPr>
              </m:dPr>
              <m:e>
                <m:f>
                  <m:fPr>
                    <m:ctrlPr>
                      <w:rPr>
                        <w:rFonts w:ascii="Cambria Math" w:eastAsia="Times New Roman" w:hAnsi="Cambria Math" w:cstheme="minorHAnsi"/>
                        <w:i/>
                        <w:sz w:val="20"/>
                        <w:szCs w:val="20"/>
                      </w:rPr>
                    </m:ctrlPr>
                  </m:fPr>
                  <m:num>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k</m:t>
                        </m:r>
                      </m:e>
                      <m:sub>
                        <m:r>
                          <w:rPr>
                            <w:rFonts w:ascii="Cambria Math" w:eastAsia="Times New Roman" w:hAnsi="Cambria Math" w:cstheme="minorHAnsi"/>
                            <w:sz w:val="20"/>
                            <w:szCs w:val="20"/>
                          </w:rPr>
                          <m:t>B</m:t>
                        </m:r>
                      </m:sub>
                    </m:sSub>
                  </m:num>
                  <m:den>
                    <m:r>
                      <w:rPr>
                        <w:rFonts w:ascii="Cambria Math" w:eastAsia="Times New Roman" w:hAnsi="Cambria Math" w:cstheme="minorHAnsi"/>
                        <w:sz w:val="20"/>
                        <w:szCs w:val="20"/>
                      </w:rPr>
                      <m:t>h</m:t>
                    </m:r>
                  </m:den>
                </m:f>
              </m:e>
            </m:d>
            <m:r>
              <w:rPr>
                <w:rFonts w:ascii="Cambria Math" w:eastAsia="Times New Roman" w:hAnsi="Cambria Math" w:cstheme="minorHAnsi"/>
                <w:sz w:val="20"/>
                <w:szCs w:val="20"/>
              </w:rPr>
              <m:t>+</m:t>
            </m:r>
            <m:f>
              <m:fPr>
                <m:ctrlPr>
                  <w:rPr>
                    <w:rFonts w:ascii="Cambria Math" w:eastAsia="Times New Roman" w:hAnsi="Cambria Math" w:cstheme="minorHAnsi"/>
                    <w:i/>
                    <w:sz w:val="20"/>
                    <w:szCs w:val="20"/>
                  </w:rPr>
                </m:ctrlPr>
              </m:fPr>
              <m:num>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m:t>
                    </m:r>
                    <m:r>
                      <w:rPr>
                        <w:rFonts w:ascii="Cambria Math" w:eastAsia="Times New Roman" w:hAnsi="Cambria Math" w:cstheme="minorHAnsi"/>
                        <w:sz w:val="20"/>
                        <w:szCs w:val="20"/>
                      </w:rPr>
                      <m:t>S</m:t>
                    </m:r>
                  </m:e>
                  <m:sup>
                    <m:r>
                      <w:rPr>
                        <w:rFonts w:ascii="Cambria Math" w:eastAsia="Times New Roman" w:hAnsi="Cambria Math" w:cstheme="minorHAnsi"/>
                        <w:sz w:val="20"/>
                        <w:szCs w:val="20"/>
                      </w:rPr>
                      <m:t>‡</m:t>
                    </m:r>
                  </m:sup>
                </m:sSup>
              </m:num>
              <m:den>
                <m:r>
                  <w:rPr>
                    <w:rFonts w:ascii="Cambria Math" w:eastAsia="Times New Roman" w:hAnsi="Cambria Math" w:cstheme="minorHAnsi"/>
                    <w:sz w:val="20"/>
                    <w:szCs w:val="20"/>
                  </w:rPr>
                  <m:t>R</m:t>
                </m:r>
              </m:den>
            </m:f>
            <m:r>
              <w:rPr>
                <w:rFonts w:ascii="Cambria Math" w:eastAsia="Times New Roman" w:hAnsi="Cambria Math" w:cstheme="minorHAnsi"/>
                <w:sz w:val="20"/>
                <w:szCs w:val="20"/>
              </w:rPr>
              <m:t>-</m:t>
            </m:r>
            <m:f>
              <m:fPr>
                <m:ctrlPr>
                  <w:rPr>
                    <w:rFonts w:ascii="Cambria Math" w:eastAsia="Times New Roman" w:hAnsi="Cambria Math" w:cstheme="minorHAnsi"/>
                    <w:i/>
                    <w:sz w:val="20"/>
                    <w:szCs w:val="20"/>
                  </w:rPr>
                </m:ctrlPr>
              </m:fPr>
              <m:num>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m:t>
                    </m:r>
                    <m:r>
                      <w:rPr>
                        <w:rFonts w:ascii="Cambria Math" w:eastAsia="Times New Roman" w:hAnsi="Cambria Math" w:cstheme="minorHAnsi"/>
                        <w:sz w:val="20"/>
                        <w:szCs w:val="20"/>
                      </w:rPr>
                      <m:t>H</m:t>
                    </m:r>
                  </m:e>
                  <m:sup>
                    <m:r>
                      <w:rPr>
                        <w:rFonts w:ascii="Cambria Math" w:eastAsia="Times New Roman" w:hAnsi="Cambria Math" w:cstheme="minorHAnsi"/>
                        <w:sz w:val="20"/>
                        <w:szCs w:val="20"/>
                      </w:rPr>
                      <m:t>‡</m:t>
                    </m:r>
                  </m:sup>
                </m:sSup>
              </m:num>
              <m:den>
                <m:r>
                  <w:rPr>
                    <w:rFonts w:ascii="Cambria Math" w:eastAsia="Times New Roman" w:hAnsi="Cambria Math" w:cstheme="minorHAnsi"/>
                    <w:sz w:val="20"/>
                    <w:szCs w:val="20"/>
                  </w:rPr>
                  <m:t>RT</m:t>
                </m:r>
              </m:den>
            </m:f>
            <m:r>
              <w:rPr>
                <w:rFonts w:ascii="Cambria Math" w:eastAsia="Times New Roman" w:hAnsi="Cambria Math" w:cstheme="minorHAnsi"/>
                <w:sz w:val="20"/>
                <w:szCs w:val="20"/>
              </w:rPr>
              <m:t>……(3)</m:t>
            </m:r>
          </m:e>
        </m:func>
      </m:oMath>
      <w:r w:rsidR="006E44A0" w:rsidRPr="002A248F">
        <w:rPr>
          <w:rFonts w:asciiTheme="minorHAnsi" w:eastAsia="Times New Roman" w:hAnsiTheme="minorHAnsi" w:cstheme="minorHAnsi"/>
          <w:sz w:val="20"/>
          <w:szCs w:val="20"/>
        </w:rPr>
        <w:t xml:space="preserve"> </w:t>
      </w:r>
    </w:p>
    <w:p w14:paraId="01D9F62C" w14:textId="2DCE89EA" w:rsidR="00056AFB" w:rsidRPr="002A248F" w:rsidRDefault="00056AFB" w:rsidP="00F35C8F">
      <w:pPr>
        <w:pStyle w:val="NormalWeb"/>
        <w:jc w:val="both"/>
        <w:divId w:val="1217467389"/>
        <w:rPr>
          <w:rStyle w:val="RSCB04AHeadingSectionChar"/>
          <w:rFonts w:asciiTheme="minorHAnsi" w:hAnsiTheme="minorHAnsi" w:cstheme="minorHAnsi"/>
        </w:rPr>
      </w:pPr>
      <w:r w:rsidRPr="002A248F">
        <w:rPr>
          <w:rFonts w:asciiTheme="minorHAnsi" w:eastAsia="Times New Roman" w:hAnsiTheme="minorHAnsi" w:cstheme="minorHAnsi"/>
          <w:sz w:val="20"/>
          <w:szCs w:val="20"/>
        </w:rPr>
        <w:t>​</w:t>
      </w:r>
      <w:r w:rsidRPr="002A248F">
        <w:rPr>
          <w:rStyle w:val="RSCB04AHeadingSectionChar"/>
          <w:rFonts w:asciiTheme="minorHAnsi" w:hAnsiTheme="minorHAnsi" w:cstheme="minorHAnsi"/>
        </w:rPr>
        <w:t>3. Results and Discussion</w:t>
      </w:r>
    </w:p>
    <w:p w14:paraId="21C59BE6" w14:textId="1338DE61" w:rsidR="00056AFB" w:rsidRPr="002A248F" w:rsidRDefault="00056AFB" w:rsidP="000A6DD0">
      <w:pPr>
        <w:pStyle w:val="NormalWeb"/>
        <w:numPr>
          <w:ilvl w:val="1"/>
          <w:numId w:val="7"/>
        </w:numPr>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Spectral Evolution and Stability</w:t>
      </w:r>
    </w:p>
    <w:p w14:paraId="5AAFB2DC" w14:textId="71913F05" w:rsidR="00F33A50" w:rsidRPr="002A248F" w:rsidRDefault="00056AFB" w:rsidP="00F33A50">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 xml:space="preserve">The formation of </w:t>
      </w:r>
      <w:proofErr w:type="spellStart"/>
      <w:r w:rsidRPr="002A248F">
        <w:rPr>
          <w:rFonts w:asciiTheme="minorHAnsi" w:hAnsiTheme="minorHAnsi" w:cstheme="minorHAnsi"/>
          <w:sz w:val="20"/>
          <w:szCs w:val="20"/>
        </w:rPr>
        <w:t>AgNPs</w:t>
      </w:r>
      <w:proofErr w:type="spellEnd"/>
      <w:r w:rsidRPr="002A248F">
        <w:rPr>
          <w:rFonts w:asciiTheme="minorHAnsi" w:hAnsiTheme="minorHAnsi" w:cstheme="minorHAnsi"/>
          <w:sz w:val="20"/>
          <w:szCs w:val="20"/>
        </w:rPr>
        <w:t xml:space="preserve"> was tracked by the emergence of a Surface Plasmon Resonance (SPR) band. Figure 1 illustrates the spectral evolution at 50°C. A distinct peak formed at </w:t>
      </w:r>
      <w:r w:rsidRPr="002A248F">
        <w:rPr>
          <w:rFonts w:asciiTheme="minorHAnsi" w:hAnsiTheme="minorHAnsi" w:cstheme="minorHAnsi"/>
          <w:b/>
          <w:bCs/>
          <w:sz w:val="20"/>
          <w:szCs w:val="20"/>
        </w:rPr>
        <w:t>430 nm</w:t>
      </w:r>
      <w:r w:rsidRPr="002A248F">
        <w:rPr>
          <w:rFonts w:asciiTheme="minorHAnsi" w:hAnsiTheme="minorHAnsi" w:cstheme="minorHAnsi"/>
          <w:sz w:val="20"/>
          <w:szCs w:val="20"/>
        </w:rPr>
        <w:t>, increasing in intensity over 60 minutes</w:t>
      </w:r>
      <w:r w:rsidR="00F33A50" w:rsidRPr="002A248F">
        <w:rPr>
          <w:rFonts w:asciiTheme="minorHAnsi" w:hAnsiTheme="minorHAnsi" w:cstheme="minorHAnsi"/>
          <w:sz w:val="20"/>
          <w:szCs w:val="20"/>
        </w:rPr>
        <w:t>.</w:t>
      </w:r>
      <w:r w:rsidRPr="002A248F">
        <w:rPr>
          <w:rFonts w:asciiTheme="minorHAnsi" w:hAnsiTheme="minorHAnsi" w:cstheme="minorHAnsi"/>
          <w:sz w:val="20"/>
          <w:szCs w:val="20"/>
        </w:rPr>
        <w:t xml:space="preserve"> </w:t>
      </w:r>
      <w:r w:rsidR="00F33A50" w:rsidRPr="002A248F">
        <w:rPr>
          <w:rFonts w:asciiTheme="minorHAnsi" w:hAnsiTheme="minorHAnsi" w:cstheme="minorHAnsi"/>
          <w:sz w:val="20"/>
          <w:szCs w:val="20"/>
        </w:rPr>
        <w:t xml:space="preserve">The peak symmetry was maintained without significant red-shifting, indicating the formation of monodisperse particles protected from agglomeration </w:t>
      </w:r>
      <w:r w:rsidR="00081555" w:rsidRPr="002A248F">
        <w:rPr>
          <w:rFonts w:asciiTheme="minorHAnsi" w:hAnsiTheme="minorHAnsi" w:cstheme="minorHAnsi"/>
          <w:sz w:val="20"/>
          <w:szCs w:val="20"/>
          <w:vertAlign w:val="superscript"/>
        </w:rPr>
        <w:t>27 – 30</w:t>
      </w:r>
      <w:r w:rsidR="00F33A50" w:rsidRPr="002A248F">
        <w:rPr>
          <w:rFonts w:asciiTheme="minorHAnsi" w:hAnsiTheme="minorHAnsi" w:cstheme="minorHAnsi"/>
          <w:sz w:val="20"/>
          <w:szCs w:val="20"/>
        </w:rPr>
        <w:t>.</w:t>
      </w:r>
    </w:p>
    <w:p w14:paraId="69C44318" w14:textId="31BA3157" w:rsidR="0082222B" w:rsidRPr="002A248F" w:rsidRDefault="0082222B" w:rsidP="0082222B">
      <w:pPr>
        <w:pStyle w:val="NormalWeb"/>
        <w:jc w:val="both"/>
        <w:divId w:val="1217467389"/>
        <w:rPr>
          <w:rFonts w:asciiTheme="minorHAnsi" w:hAnsiTheme="minorHAnsi" w:cstheme="minorHAnsi"/>
          <w:sz w:val="20"/>
        </w:rPr>
      </w:pPr>
      <w:r w:rsidRPr="002A248F">
        <w:rPr>
          <w:rFonts w:asciiTheme="minorHAnsi" w:hAnsiTheme="minorHAnsi" w:cstheme="minorHAnsi"/>
          <w:sz w:val="20"/>
        </w:rPr>
        <w:lastRenderedPageBreak/>
        <w:t xml:space="preserve">Crucially, the thermal control (extract without silver) exhibited negligible absorbance changes (&lt; 0.02 </w:t>
      </w:r>
      <w:proofErr w:type="spellStart"/>
      <w:r w:rsidRPr="002A248F">
        <w:rPr>
          <w:rFonts w:asciiTheme="minorHAnsi" w:hAnsiTheme="minorHAnsi" w:cstheme="minorHAnsi"/>
          <w:sz w:val="20"/>
        </w:rPr>
        <w:t>a.u</w:t>
      </w:r>
      <w:proofErr w:type="spellEnd"/>
      <w:r w:rsidRPr="002A248F">
        <w:rPr>
          <w:rFonts w:asciiTheme="minorHAnsi" w:hAnsiTheme="minorHAnsi" w:cstheme="minorHAnsi"/>
          <w:sz w:val="20"/>
        </w:rPr>
        <w:t>.) at 430 nm upon heating to 60°C. This confirms that the observed kinetics is exclusively attributable to the reduction of Ag</w:t>
      </w:r>
      <w:r w:rsidRPr="002A248F">
        <w:rPr>
          <w:rFonts w:asciiTheme="minorHAnsi" w:hAnsiTheme="minorHAnsi" w:cstheme="minorHAnsi"/>
          <w:sz w:val="20"/>
          <w:vertAlign w:val="superscript"/>
        </w:rPr>
        <w:t>+</w:t>
      </w:r>
      <w:r w:rsidRPr="002A248F">
        <w:rPr>
          <w:rFonts w:asciiTheme="minorHAnsi" w:hAnsiTheme="minorHAnsi" w:cstheme="minorHAnsi"/>
          <w:sz w:val="20"/>
        </w:rPr>
        <w:t xml:space="preserve"> and nucleation of nanoparticles, rather than the thermal oxidation of phenolic constituents.</w:t>
      </w:r>
    </w:p>
    <w:p w14:paraId="71D80C6A" w14:textId="17DEC33A" w:rsidR="000A6DD0" w:rsidRPr="002A248F" w:rsidRDefault="00056AFB" w:rsidP="00FA7A81">
      <w:pPr>
        <w:pStyle w:val="NoSpacing"/>
        <w:divId w:val="1217467389"/>
        <w:rPr>
          <w:rFonts w:cstheme="minorHAnsi"/>
          <w:i/>
          <w:iCs/>
          <w:sz w:val="20"/>
          <w:szCs w:val="20"/>
        </w:rPr>
      </w:pPr>
      <w:r w:rsidRPr="002A248F">
        <w:rPr>
          <w:rFonts w:cstheme="minorHAnsi"/>
          <w:sz w:val="20"/>
          <w:szCs w:val="20"/>
        </w:rPr>
        <w:t>​</w:t>
      </w:r>
      <w:r w:rsidR="000A6DD0" w:rsidRPr="002A248F">
        <w:t xml:space="preserve"> </w:t>
      </w:r>
      <w:r w:rsidR="00204E77" w:rsidRPr="002A248F">
        <w:rPr>
          <w:noProof/>
        </w:rPr>
        <w:object w:dxaOrig="4591" w:dyaOrig="3682" w14:anchorId="64792DCB">
          <v:shape id="_x0000_i1026" type="#_x0000_t75" style="width:228.85pt;height:185.35pt" o:ole="">
            <v:imagedata r:id="rId9" o:title=""/>
          </v:shape>
          <o:OLEObject Type="Embed" ProgID="Prism5.Document" ShapeID="_x0000_i1026" DrawAspect="Content" ObjectID="_1836724784" r:id="rId10"/>
        </w:object>
      </w:r>
      <w:r w:rsidR="000A6DD0" w:rsidRPr="002A248F">
        <w:rPr>
          <w:rFonts w:cstheme="minorHAnsi"/>
          <w:i/>
          <w:iCs/>
          <w:sz w:val="20"/>
          <w:szCs w:val="20"/>
        </w:rPr>
        <w:t xml:space="preserve"> </w:t>
      </w:r>
    </w:p>
    <w:p w14:paraId="425AD8AE" w14:textId="24ED17C4" w:rsidR="00056AFB" w:rsidRPr="002A248F" w:rsidRDefault="00D174E5" w:rsidP="000163B1">
      <w:pPr>
        <w:pStyle w:val="NormalWeb"/>
        <w:spacing w:before="0" w:beforeAutospacing="0" w:after="0" w:afterAutospacing="0"/>
        <w:jc w:val="both"/>
        <w:divId w:val="1217467389"/>
        <w:rPr>
          <w:rFonts w:asciiTheme="minorHAnsi" w:hAnsiTheme="minorHAnsi" w:cstheme="minorHAnsi"/>
          <w:sz w:val="20"/>
          <w:szCs w:val="20"/>
        </w:rPr>
      </w:pPr>
      <w:r w:rsidRPr="002A248F">
        <w:rPr>
          <w:rFonts w:asciiTheme="minorHAnsi" w:hAnsiTheme="minorHAnsi" w:cstheme="minorHAnsi"/>
          <w:b/>
          <w:iCs/>
          <w:sz w:val="20"/>
          <w:szCs w:val="20"/>
        </w:rPr>
        <w:t xml:space="preserve">Figure 1. </w:t>
      </w:r>
      <w:r w:rsidR="00056AFB" w:rsidRPr="002A248F">
        <w:rPr>
          <w:rFonts w:asciiTheme="minorHAnsi" w:hAnsiTheme="minorHAnsi" w:cstheme="minorHAnsi"/>
          <w:i/>
          <w:iCs/>
          <w:sz w:val="20"/>
          <w:szCs w:val="20"/>
        </w:rPr>
        <w:t xml:space="preserve">UV-Vis spectral evolution of </w:t>
      </w:r>
      <w:proofErr w:type="spellStart"/>
      <w:r w:rsidR="00056AFB" w:rsidRPr="002A248F">
        <w:rPr>
          <w:rFonts w:asciiTheme="minorHAnsi" w:hAnsiTheme="minorHAnsi" w:cstheme="minorHAnsi"/>
          <w:i/>
          <w:iCs/>
          <w:sz w:val="20"/>
          <w:szCs w:val="20"/>
        </w:rPr>
        <w:t>AgNP</w:t>
      </w:r>
      <w:proofErr w:type="spellEnd"/>
      <w:r w:rsidR="00056AFB" w:rsidRPr="002A248F">
        <w:rPr>
          <w:rFonts w:asciiTheme="minorHAnsi" w:hAnsiTheme="minorHAnsi" w:cstheme="minorHAnsi"/>
          <w:i/>
          <w:iCs/>
          <w:sz w:val="20"/>
          <w:szCs w:val="20"/>
        </w:rPr>
        <w:t xml:space="preserve"> synthesis at 323 K, showing the steady gr</w:t>
      </w:r>
      <w:r w:rsidR="000A6DD0" w:rsidRPr="002A248F">
        <w:rPr>
          <w:rFonts w:asciiTheme="minorHAnsi" w:hAnsiTheme="minorHAnsi" w:cstheme="minorHAnsi"/>
          <w:i/>
          <w:iCs/>
          <w:sz w:val="20"/>
          <w:szCs w:val="20"/>
        </w:rPr>
        <w:t>owth of the SPR peak at 430 nm</w:t>
      </w:r>
    </w:p>
    <w:p w14:paraId="32375F6E" w14:textId="77777777"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3.2 Reaction Kinetics</w:t>
      </w:r>
    </w:p>
    <w:p w14:paraId="119F687D" w14:textId="6D6440B0" w:rsidR="006A1B72" w:rsidRPr="002A248F" w:rsidRDefault="00056AFB" w:rsidP="006A1B72">
      <w:pPr>
        <w:pStyle w:val="NormalWeb"/>
        <w:jc w:val="both"/>
        <w:divId w:val="1217467389"/>
      </w:pPr>
      <w:r w:rsidRPr="002A248F">
        <w:rPr>
          <w:rFonts w:asciiTheme="minorHAnsi" w:hAnsiTheme="minorHAnsi" w:cstheme="minorHAnsi"/>
          <w:sz w:val="20"/>
          <w:szCs w:val="20"/>
        </w:rPr>
        <w:t xml:space="preserve">The rate of particle formation increased significantly with temperature. Figure 2 displays the growth </w:t>
      </w:r>
      <w:r w:rsidR="006022AF" w:rsidRPr="002A248F">
        <w:rPr>
          <w:rFonts w:asciiTheme="minorHAnsi" w:hAnsiTheme="minorHAnsi" w:cstheme="minorHAnsi"/>
          <w:sz w:val="20"/>
          <w:szCs w:val="20"/>
        </w:rPr>
        <w:t>curves</w:t>
      </w:r>
      <m:oMath>
        <m:r>
          <w:rPr>
            <w:rFonts w:ascii="Cambria Math" w:hAnsi="Cambria Math" w:cstheme="minorHAnsi"/>
            <w:sz w:val="20"/>
            <w:szCs w:val="20"/>
          </w:rPr>
          <m:t xml:space="preserve"> </m:t>
        </m:r>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Abs</m:t>
                </m:r>
              </m:e>
              <m:sub>
                <m:r>
                  <w:rPr>
                    <w:rFonts w:ascii="Cambria Math" w:hAnsi="Cambria Math" w:cstheme="minorHAnsi"/>
                    <w:sz w:val="20"/>
                    <w:szCs w:val="20"/>
                  </w:rPr>
                  <m:t>430</m:t>
                </m:r>
              </m:sub>
            </m:sSub>
            <m:r>
              <w:rPr>
                <w:rFonts w:ascii="Cambria Math" w:hAnsi="Cambria Math" w:cstheme="minorHAnsi"/>
                <w:sz w:val="20"/>
                <w:szCs w:val="20"/>
              </w:rPr>
              <m:t xml:space="preserve"> vs. Time</m:t>
            </m:r>
          </m:e>
        </m:d>
      </m:oMath>
      <w:r w:rsidRPr="002A248F">
        <w:rPr>
          <w:rFonts w:asciiTheme="minorHAnsi" w:hAnsiTheme="minorHAnsi" w:cstheme="minorHAnsi"/>
          <w:sz w:val="20"/>
          <w:szCs w:val="20"/>
        </w:rPr>
        <w:t>, showing a transition from a slow, sigmoidal growth at 30°C to a rapid exponential rise at 60°C.</w:t>
      </w:r>
      <w:r w:rsidR="006A1B72" w:rsidRPr="002A248F">
        <w:rPr>
          <w:rFonts w:asciiTheme="minorHAnsi" w:hAnsiTheme="minorHAnsi" w:cstheme="minorHAnsi"/>
          <w:sz w:val="20"/>
          <w:szCs w:val="20"/>
        </w:rPr>
        <w:t xml:space="preserve"> To quantify the rate, the data was fitted to the pseudo-first-order kinetic model </w:t>
      </w:r>
      <m:oMath>
        <m:r>
          <w:rPr>
            <w:rFonts w:ascii="Cambria Math" w:hAnsi="Cambria Math" w:cstheme="minorHAnsi"/>
            <w:sz w:val="20"/>
            <w:szCs w:val="20"/>
          </w:rPr>
          <m:t xml:space="preserve"> </m:t>
        </m:r>
        <m:d>
          <m:dPr>
            <m:ctrlPr>
              <w:rPr>
                <w:rFonts w:ascii="Cambria Math" w:hAnsi="Cambria Math" w:cstheme="minorHAnsi"/>
                <w:i/>
                <w:sz w:val="20"/>
                <w:szCs w:val="20"/>
              </w:rPr>
            </m:ctrlPr>
          </m:dPr>
          <m:e>
            <m:r>
              <w:rPr>
                <w:rFonts w:ascii="Cambria Math" w:hAnsi="Cambria Math" w:cstheme="minorHAnsi"/>
                <w:sz w:val="20"/>
                <w:szCs w:val="20"/>
              </w:rPr>
              <m:t>ln</m:t>
            </m:r>
            <m:d>
              <m:dPr>
                <m:ctrlPr>
                  <w:rPr>
                    <w:rFonts w:ascii="Cambria Math" w:hAnsi="Cambria Math" w:cstheme="minorHAnsi"/>
                    <w:i/>
                    <w:iCs/>
                    <w:sz w:val="20"/>
                    <w:szCs w:val="20"/>
                  </w:rPr>
                </m:ctrlPr>
              </m:dPr>
              <m:e>
                <m:sSub>
                  <m:sSubPr>
                    <m:ctrlPr>
                      <w:rPr>
                        <w:rFonts w:ascii="Cambria Math" w:hAnsi="Cambria Math" w:cstheme="minorHAnsi"/>
                        <w:i/>
                        <w:iCs/>
                        <w:sz w:val="20"/>
                        <w:szCs w:val="20"/>
                      </w:rPr>
                    </m:ctrlPr>
                  </m:sSubPr>
                  <m:e>
                    <m:r>
                      <w:rPr>
                        <w:rFonts w:ascii="Cambria Math" w:hAnsi="Cambria Math" w:cstheme="minorHAnsi"/>
                        <w:sz w:val="20"/>
                        <w:szCs w:val="20"/>
                      </w:rPr>
                      <m:t>A</m:t>
                    </m:r>
                  </m:e>
                  <m:sub>
                    <m:r>
                      <w:rPr>
                        <w:rFonts w:ascii="Cambria Math" w:hAnsi="Cambria Math" w:cstheme="minorHAnsi"/>
                        <w:sz w:val="20"/>
                        <w:szCs w:val="20"/>
                      </w:rPr>
                      <m:t>∞</m:t>
                    </m:r>
                  </m:sub>
                </m:sSub>
                <m:r>
                  <w:rPr>
                    <w:rFonts w:ascii="Cambria Math" w:hAnsi="Cambria Math" w:cstheme="minorHAnsi"/>
                    <w:sz w:val="20"/>
                    <w:szCs w:val="20"/>
                  </w:rPr>
                  <m:t>-</m:t>
                </m:r>
                <m:sSub>
                  <m:sSubPr>
                    <m:ctrlPr>
                      <w:rPr>
                        <w:rFonts w:ascii="Cambria Math" w:hAnsi="Cambria Math" w:cstheme="minorHAnsi"/>
                        <w:i/>
                        <w:iCs/>
                        <w:sz w:val="20"/>
                        <w:szCs w:val="20"/>
                      </w:rPr>
                    </m:ctrlPr>
                  </m:sSubPr>
                  <m:e>
                    <m:r>
                      <w:rPr>
                        <w:rFonts w:ascii="Cambria Math" w:hAnsi="Cambria Math" w:cstheme="minorHAnsi"/>
                        <w:sz w:val="20"/>
                        <w:szCs w:val="20"/>
                      </w:rPr>
                      <m:t>A</m:t>
                    </m:r>
                  </m:e>
                  <m:sub>
                    <m:r>
                      <w:rPr>
                        <w:rFonts w:ascii="Cambria Math" w:hAnsi="Cambria Math" w:cstheme="minorHAnsi"/>
                        <w:sz w:val="20"/>
                        <w:szCs w:val="20"/>
                      </w:rPr>
                      <m:t>t</m:t>
                    </m:r>
                  </m:sub>
                </m:sSub>
              </m:e>
            </m:d>
            <m:r>
              <w:rPr>
                <w:rFonts w:ascii="Cambria Math" w:hAnsi="Cambria Math" w:cstheme="minorHAnsi"/>
                <w:sz w:val="20"/>
                <w:szCs w:val="20"/>
              </w:rPr>
              <m:t xml:space="preserve"> vs.  Time</m:t>
            </m:r>
            <m:ctrlPr>
              <w:rPr>
                <w:rFonts w:ascii="Cambria Math" w:hAnsi="Cambria Math" w:cstheme="minorHAnsi"/>
                <w:i/>
                <w:iCs/>
                <w:sz w:val="20"/>
                <w:szCs w:val="20"/>
              </w:rPr>
            </m:ctrlPr>
          </m:e>
        </m:d>
        <m:r>
          <w:rPr>
            <w:rFonts w:ascii="Cambria Math" w:hAnsi="Cambria Math" w:cstheme="minorHAnsi"/>
            <w:sz w:val="20"/>
            <w:szCs w:val="20"/>
          </w:rPr>
          <m:t>.</m:t>
        </m:r>
      </m:oMath>
      <w:r w:rsidR="006A1B72" w:rsidRPr="002A248F">
        <w:rPr>
          <w:rFonts w:asciiTheme="minorHAnsi" w:hAnsiTheme="minorHAnsi" w:cstheme="minorHAnsi"/>
          <w:sz w:val="20"/>
          <w:szCs w:val="20"/>
        </w:rPr>
        <w:t xml:space="preserve"> As shown in Figure 3, the plots exhibited high linearity (</w:t>
      </w:r>
      <w:r w:rsidR="006A1B72" w:rsidRPr="002A248F">
        <w:rPr>
          <w:rFonts w:asciiTheme="minorHAnsi" w:hAnsiTheme="minorHAnsi" w:cstheme="minorHAnsi"/>
          <w:i/>
          <w:sz w:val="20"/>
          <w:szCs w:val="20"/>
        </w:rPr>
        <w:t>R</w:t>
      </w:r>
      <w:r w:rsidR="006A1B72" w:rsidRPr="002A248F">
        <w:rPr>
          <w:rFonts w:asciiTheme="minorHAnsi" w:hAnsiTheme="minorHAnsi" w:cstheme="minorHAnsi"/>
          <w:i/>
          <w:sz w:val="20"/>
          <w:szCs w:val="20"/>
          <w:vertAlign w:val="superscript"/>
        </w:rPr>
        <w:t>2</w:t>
      </w:r>
      <w:r w:rsidR="006A1B72" w:rsidRPr="002A248F">
        <w:rPr>
          <w:rFonts w:asciiTheme="minorHAnsi" w:hAnsiTheme="minorHAnsi" w:cstheme="minorHAnsi"/>
          <w:sz w:val="20"/>
          <w:szCs w:val="20"/>
        </w:rPr>
        <w:t xml:space="preserve"> &gt; 0.98), confirming that under these conditions, the reaction rate depends linearly on the unreduced silver fraction. While the dependence on extract concentration was not explicitly modelled in this study, the high stoichiometric excess of the reducing agent (1:9 v/v) effectively isolates the silver reduction as the rate-limiting kinetic variance, consistent with established protocols </w:t>
      </w:r>
      <w:r w:rsidR="00081555" w:rsidRPr="002A248F">
        <w:rPr>
          <w:rFonts w:asciiTheme="minorHAnsi" w:hAnsiTheme="minorHAnsi" w:cstheme="minorHAnsi"/>
          <w:sz w:val="20"/>
          <w:szCs w:val="20"/>
          <w:vertAlign w:val="superscript"/>
        </w:rPr>
        <w:t>31</w:t>
      </w:r>
      <w:r w:rsidR="006A1B72" w:rsidRPr="002A248F">
        <w:t>.</w:t>
      </w:r>
    </w:p>
    <w:p w14:paraId="7A4CB542" w14:textId="05D1151D" w:rsidR="003E1162" w:rsidRPr="002A248F" w:rsidRDefault="00056AFB" w:rsidP="006A1B72">
      <w:pPr>
        <w:pStyle w:val="NormalWeb"/>
        <w:jc w:val="both"/>
        <w:divId w:val="1217467389"/>
        <w:rPr>
          <w:rFonts w:cstheme="minorHAnsi"/>
          <w:i/>
          <w:iCs/>
          <w:sz w:val="20"/>
          <w:szCs w:val="20"/>
        </w:rPr>
      </w:pPr>
      <w:r w:rsidRPr="002A248F">
        <w:rPr>
          <w:rFonts w:cstheme="minorHAnsi"/>
          <w:sz w:val="20"/>
          <w:szCs w:val="20"/>
        </w:rPr>
        <w:t>​</w:t>
      </w:r>
      <w:r w:rsidR="003E1162" w:rsidRPr="002A248F">
        <w:t xml:space="preserve"> </w:t>
      </w:r>
      <w:r w:rsidR="00204E77" w:rsidRPr="002A248F">
        <w:rPr>
          <w:noProof/>
        </w:rPr>
        <w:object w:dxaOrig="4620" w:dyaOrig="3428" w14:anchorId="1AA51065">
          <v:shape id="_x0000_i1027" type="#_x0000_t75" style="width:230.95pt;height:171.8pt" o:ole="">
            <v:imagedata r:id="rId11" o:title=""/>
          </v:shape>
          <o:OLEObject Type="Embed" ProgID="Prism5.Document" ShapeID="_x0000_i1027" DrawAspect="Content" ObjectID="_1836724785" r:id="rId12"/>
        </w:object>
      </w:r>
      <w:r w:rsidR="003E1162" w:rsidRPr="002A248F">
        <w:rPr>
          <w:rFonts w:cstheme="minorHAnsi"/>
          <w:i/>
          <w:iCs/>
          <w:sz w:val="20"/>
          <w:szCs w:val="20"/>
        </w:rPr>
        <w:t xml:space="preserve"> </w:t>
      </w:r>
    </w:p>
    <w:p w14:paraId="068FDDA7" w14:textId="7B07BD0C" w:rsidR="00056AFB" w:rsidRPr="002A248F" w:rsidRDefault="001E1DC8" w:rsidP="003E1162">
      <w:pPr>
        <w:pStyle w:val="NormalWeb"/>
        <w:spacing w:before="0" w:beforeAutospacing="0"/>
        <w:jc w:val="both"/>
        <w:divId w:val="1217467389"/>
        <w:rPr>
          <w:rFonts w:asciiTheme="minorHAnsi" w:hAnsiTheme="minorHAnsi" w:cstheme="minorHAnsi"/>
          <w:sz w:val="20"/>
          <w:szCs w:val="20"/>
        </w:rPr>
      </w:pPr>
      <w:bookmarkStart w:id="0" w:name="OLE_LINK2"/>
      <w:r w:rsidRPr="002A248F">
        <w:rPr>
          <w:rFonts w:asciiTheme="minorHAnsi" w:hAnsiTheme="minorHAnsi" w:cstheme="minorHAnsi"/>
          <w:b/>
          <w:iCs/>
          <w:sz w:val="20"/>
          <w:szCs w:val="20"/>
        </w:rPr>
        <w:t xml:space="preserve">Figure </w:t>
      </w:r>
      <w:bookmarkEnd w:id="0"/>
      <w:r w:rsidRPr="002A248F">
        <w:rPr>
          <w:rFonts w:asciiTheme="minorHAnsi" w:hAnsiTheme="minorHAnsi" w:cstheme="minorHAnsi"/>
          <w:b/>
          <w:iCs/>
          <w:sz w:val="20"/>
          <w:szCs w:val="20"/>
        </w:rPr>
        <w:t xml:space="preserve">2. </w:t>
      </w:r>
      <w:r w:rsidR="00056AFB" w:rsidRPr="002A248F">
        <w:rPr>
          <w:rFonts w:asciiTheme="minorHAnsi" w:hAnsiTheme="minorHAnsi" w:cstheme="minorHAnsi"/>
          <w:i/>
          <w:iCs/>
          <w:sz w:val="20"/>
          <w:szCs w:val="20"/>
        </w:rPr>
        <w:t xml:space="preserve">Time-dependent growth of </w:t>
      </w:r>
      <w:proofErr w:type="spellStart"/>
      <w:r w:rsidR="00056AFB" w:rsidRPr="002A248F">
        <w:rPr>
          <w:rFonts w:asciiTheme="minorHAnsi" w:hAnsiTheme="minorHAnsi" w:cstheme="minorHAnsi"/>
          <w:i/>
          <w:iCs/>
          <w:sz w:val="20"/>
          <w:szCs w:val="20"/>
        </w:rPr>
        <w:t>AgNPs</w:t>
      </w:r>
      <w:proofErr w:type="spellEnd"/>
      <w:r w:rsidR="00056AFB" w:rsidRPr="002A248F">
        <w:rPr>
          <w:rFonts w:asciiTheme="minorHAnsi" w:hAnsiTheme="minorHAnsi" w:cstheme="minorHAnsi"/>
          <w:i/>
          <w:iCs/>
          <w:sz w:val="20"/>
          <w:szCs w:val="20"/>
        </w:rPr>
        <w:t xml:space="preserve"> at temperatur</w:t>
      </w:r>
      <w:r w:rsidR="003E1162" w:rsidRPr="002A248F">
        <w:rPr>
          <w:rFonts w:asciiTheme="minorHAnsi" w:hAnsiTheme="minorHAnsi" w:cstheme="minorHAnsi"/>
          <w:i/>
          <w:iCs/>
          <w:sz w:val="20"/>
          <w:szCs w:val="20"/>
        </w:rPr>
        <w:t>es ranging from 303 K to 333 K</w:t>
      </w:r>
    </w:p>
    <w:p w14:paraId="76D5CDC1" w14:textId="2953C76D" w:rsidR="0085239E" w:rsidRPr="002A248F" w:rsidRDefault="00056AFB" w:rsidP="003A7747">
      <w:pPr>
        <w:pStyle w:val="NormalWeb"/>
        <w:jc w:val="both"/>
        <w:divId w:val="1217467389"/>
        <w:rPr>
          <w:rFonts w:cstheme="minorHAnsi"/>
          <w:i/>
          <w:iCs/>
          <w:sz w:val="20"/>
          <w:szCs w:val="20"/>
        </w:rPr>
      </w:pPr>
      <w:r w:rsidRPr="002A248F">
        <w:rPr>
          <w:rFonts w:asciiTheme="minorHAnsi" w:hAnsiTheme="minorHAnsi" w:cstheme="minorHAnsi"/>
          <w:sz w:val="20"/>
          <w:szCs w:val="20"/>
        </w:rPr>
        <w:lastRenderedPageBreak/>
        <w:t>​</w:t>
      </w:r>
      <w:r w:rsidRPr="002A248F">
        <w:rPr>
          <w:rFonts w:cstheme="minorHAnsi"/>
          <w:sz w:val="20"/>
          <w:szCs w:val="20"/>
        </w:rPr>
        <w:t>​</w:t>
      </w:r>
      <w:r w:rsidR="00204E77" w:rsidRPr="002A248F">
        <w:rPr>
          <w:noProof/>
        </w:rPr>
        <w:object w:dxaOrig="4634" w:dyaOrig="3000" w14:anchorId="52856E09">
          <v:shape id="_x0000_i1028" type="#_x0000_t75" style="width:230.95pt;height:149pt" o:ole="">
            <v:imagedata r:id="rId13" o:title=""/>
          </v:shape>
          <o:OLEObject Type="Embed" ProgID="Prism5.Document" ShapeID="_x0000_i1028" DrawAspect="Content" ObjectID="_1836724786" r:id="rId14"/>
        </w:object>
      </w:r>
      <w:r w:rsidR="0085239E" w:rsidRPr="002A248F">
        <w:rPr>
          <w:rFonts w:cstheme="minorHAnsi"/>
          <w:i/>
          <w:iCs/>
          <w:sz w:val="20"/>
          <w:szCs w:val="20"/>
        </w:rPr>
        <w:t xml:space="preserve"> </w:t>
      </w:r>
    </w:p>
    <w:p w14:paraId="504994D2" w14:textId="59965D4E" w:rsidR="00056AFB" w:rsidRPr="002A248F" w:rsidRDefault="001E1DC8" w:rsidP="0085239E">
      <w:pPr>
        <w:pStyle w:val="NormalWeb"/>
        <w:spacing w:after="0" w:afterAutospacing="0"/>
        <w:jc w:val="both"/>
        <w:divId w:val="1217467389"/>
        <w:rPr>
          <w:rFonts w:asciiTheme="minorHAnsi" w:hAnsiTheme="minorHAnsi" w:cstheme="minorHAnsi"/>
          <w:sz w:val="20"/>
          <w:szCs w:val="20"/>
        </w:rPr>
      </w:pPr>
      <w:r w:rsidRPr="002A248F">
        <w:rPr>
          <w:rFonts w:asciiTheme="minorHAnsi" w:hAnsiTheme="minorHAnsi" w:cstheme="minorHAnsi"/>
          <w:b/>
          <w:iCs/>
          <w:sz w:val="20"/>
          <w:szCs w:val="20"/>
        </w:rPr>
        <w:t xml:space="preserve">Figure 3. </w:t>
      </w:r>
      <w:r w:rsidR="00056AFB" w:rsidRPr="002A248F">
        <w:rPr>
          <w:rFonts w:asciiTheme="minorHAnsi" w:hAnsiTheme="minorHAnsi" w:cstheme="minorHAnsi"/>
          <w:i/>
          <w:iCs/>
          <w:sz w:val="20"/>
          <w:szCs w:val="20"/>
        </w:rPr>
        <w:t>Pseud</w:t>
      </w:r>
      <w:r w:rsidR="007B5208" w:rsidRPr="002A248F">
        <w:rPr>
          <w:rFonts w:asciiTheme="minorHAnsi" w:hAnsiTheme="minorHAnsi" w:cstheme="minorHAnsi"/>
          <w:i/>
          <w:iCs/>
          <w:sz w:val="20"/>
          <w:szCs w:val="20"/>
        </w:rPr>
        <w:t xml:space="preserve">o-first-order kinetic plots of </w:t>
      </w:r>
      <m:oMath>
        <m:r>
          <w:rPr>
            <w:rFonts w:ascii="Cambria Math" w:hAnsi="Cambria Math" w:cstheme="minorHAnsi"/>
            <w:sz w:val="20"/>
            <w:szCs w:val="20"/>
          </w:rPr>
          <m:t>ln</m:t>
        </m:r>
        <m:d>
          <m:dPr>
            <m:ctrlPr>
              <w:rPr>
                <w:rFonts w:ascii="Cambria Math" w:hAnsi="Cambria Math" w:cstheme="minorHAnsi"/>
                <w:i/>
                <w:iCs/>
                <w:sz w:val="20"/>
                <w:szCs w:val="20"/>
              </w:rPr>
            </m:ctrlPr>
          </m:dPr>
          <m:e>
            <m:sSub>
              <m:sSubPr>
                <m:ctrlPr>
                  <w:rPr>
                    <w:rFonts w:ascii="Cambria Math" w:hAnsi="Cambria Math" w:cstheme="minorHAnsi"/>
                    <w:i/>
                    <w:iCs/>
                    <w:sz w:val="20"/>
                    <w:szCs w:val="20"/>
                  </w:rPr>
                </m:ctrlPr>
              </m:sSubPr>
              <m:e>
                <m:r>
                  <w:rPr>
                    <w:rFonts w:ascii="Cambria Math" w:hAnsi="Cambria Math" w:cstheme="minorHAnsi"/>
                    <w:sz w:val="20"/>
                    <w:szCs w:val="20"/>
                  </w:rPr>
                  <m:t>A</m:t>
                </m:r>
              </m:e>
              <m:sub>
                <m:r>
                  <w:rPr>
                    <w:rFonts w:ascii="Cambria Math" w:hAnsi="Cambria Math" w:cstheme="minorHAnsi"/>
                    <w:sz w:val="20"/>
                    <w:szCs w:val="20"/>
                  </w:rPr>
                  <m:t>∞</m:t>
                </m:r>
              </m:sub>
            </m:sSub>
            <m:r>
              <w:rPr>
                <w:rFonts w:ascii="Cambria Math" w:hAnsi="Cambria Math" w:cstheme="minorHAnsi"/>
                <w:sz w:val="20"/>
                <w:szCs w:val="20"/>
              </w:rPr>
              <m:t>-</m:t>
            </m:r>
            <m:sSub>
              <m:sSubPr>
                <m:ctrlPr>
                  <w:rPr>
                    <w:rFonts w:ascii="Cambria Math" w:hAnsi="Cambria Math" w:cstheme="minorHAnsi"/>
                    <w:i/>
                    <w:iCs/>
                    <w:sz w:val="20"/>
                    <w:szCs w:val="20"/>
                  </w:rPr>
                </m:ctrlPr>
              </m:sSubPr>
              <m:e>
                <m:r>
                  <w:rPr>
                    <w:rFonts w:ascii="Cambria Math" w:hAnsi="Cambria Math" w:cstheme="minorHAnsi"/>
                    <w:sz w:val="20"/>
                    <w:szCs w:val="20"/>
                  </w:rPr>
                  <m:t>A</m:t>
                </m:r>
              </m:e>
              <m:sub>
                <m:r>
                  <w:rPr>
                    <w:rFonts w:ascii="Cambria Math" w:hAnsi="Cambria Math" w:cstheme="minorHAnsi"/>
                    <w:sz w:val="20"/>
                    <w:szCs w:val="20"/>
                  </w:rPr>
                  <m:t>t</m:t>
                </m:r>
              </m:sub>
            </m:sSub>
          </m:e>
        </m:d>
      </m:oMath>
      <w:r w:rsidR="00056AFB" w:rsidRPr="002A248F">
        <w:rPr>
          <w:rFonts w:asciiTheme="minorHAnsi" w:hAnsiTheme="minorHAnsi" w:cstheme="minorHAnsi"/>
          <w:i/>
          <w:iCs/>
          <w:sz w:val="20"/>
          <w:szCs w:val="20"/>
        </w:rPr>
        <w:t xml:space="preserve"> versus time. The lineari</w:t>
      </w:r>
      <w:r w:rsidR="00A30102" w:rsidRPr="002A248F">
        <w:rPr>
          <w:rFonts w:asciiTheme="minorHAnsi" w:hAnsiTheme="minorHAnsi" w:cstheme="minorHAnsi"/>
          <w:i/>
          <w:iCs/>
          <w:sz w:val="20"/>
          <w:szCs w:val="20"/>
        </w:rPr>
        <w:t>ty confirms the reaction order.</w:t>
      </w:r>
    </w:p>
    <w:p w14:paraId="31DF2172" w14:textId="2AA4D38F" w:rsidR="00056AFB" w:rsidRPr="002A248F" w:rsidRDefault="00056AFB" w:rsidP="00292AE3">
      <w:pPr>
        <w:pStyle w:val="NormalWeb"/>
        <w:numPr>
          <w:ilvl w:val="1"/>
          <w:numId w:val="7"/>
        </w:numPr>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Thermodynamic Activation Parameters</w:t>
      </w:r>
    </w:p>
    <w:p w14:paraId="30F958DE" w14:textId="56C742D8" w:rsidR="00056AFB" w:rsidRPr="002A248F" w:rsidRDefault="00056AFB" w:rsidP="00292AE3">
      <w:pPr>
        <w:pStyle w:val="NormalWeb"/>
        <w:jc w:val="both"/>
        <w:divId w:val="1217467389"/>
        <w:rPr>
          <w:rFonts w:eastAsia="Times New Roman" w:cstheme="minorHAnsi"/>
          <w:sz w:val="20"/>
          <w:szCs w:val="20"/>
        </w:rPr>
      </w:pPr>
      <w:r w:rsidRPr="002A248F">
        <w:rPr>
          <w:rFonts w:asciiTheme="minorHAnsi" w:hAnsiTheme="minorHAnsi" w:cstheme="minorHAnsi"/>
          <w:sz w:val="20"/>
          <w:szCs w:val="20"/>
        </w:rPr>
        <w:t xml:space="preserve">Using the rate constants derived from Figure 3, the energy barrier of the reaction was </w:t>
      </w:r>
      <w:r w:rsidR="007B5208" w:rsidRPr="002A248F">
        <w:rPr>
          <w:rFonts w:asciiTheme="minorHAnsi" w:hAnsiTheme="minorHAnsi" w:cstheme="minorHAnsi"/>
          <w:sz w:val="20"/>
          <w:szCs w:val="20"/>
        </w:rPr>
        <w:t>analysed</w:t>
      </w:r>
      <w:r w:rsidR="001C1160" w:rsidRPr="002A248F">
        <w:rPr>
          <w:rFonts w:asciiTheme="minorHAnsi" w:hAnsiTheme="minorHAnsi" w:cstheme="minorHAnsi"/>
          <w:sz w:val="20"/>
          <w:szCs w:val="20"/>
        </w:rPr>
        <w:t xml:space="preserve">. </w:t>
      </w:r>
      <w:r w:rsidRPr="002A248F">
        <w:rPr>
          <w:rFonts w:asciiTheme="minorHAnsi" w:hAnsiTheme="minorHAnsi" w:cstheme="minorHAnsi"/>
          <w:sz w:val="20"/>
          <w:szCs w:val="20"/>
        </w:rPr>
        <w:t>Figure 4A (Arrhenius Plot) yielded an Activation Energy (</w:t>
      </w:r>
      <w:proofErr w:type="spellStart"/>
      <w:r w:rsidRPr="002A248F">
        <w:rPr>
          <w:rFonts w:asciiTheme="minorHAnsi" w:hAnsiTheme="minorHAnsi" w:cstheme="minorHAnsi"/>
          <w:sz w:val="20"/>
          <w:szCs w:val="20"/>
        </w:rPr>
        <w:t>E</w:t>
      </w:r>
      <w:r w:rsidRPr="002A248F">
        <w:rPr>
          <w:rFonts w:asciiTheme="minorHAnsi" w:hAnsiTheme="minorHAnsi" w:cstheme="minorHAnsi"/>
          <w:sz w:val="20"/>
          <w:szCs w:val="20"/>
          <w:vertAlign w:val="subscript"/>
        </w:rPr>
        <w:t>a</w:t>
      </w:r>
      <w:proofErr w:type="spellEnd"/>
      <w:r w:rsidRPr="002A248F">
        <w:rPr>
          <w:rFonts w:asciiTheme="minorHAnsi" w:hAnsiTheme="minorHAnsi" w:cstheme="minorHAnsi"/>
          <w:sz w:val="20"/>
          <w:szCs w:val="20"/>
        </w:rPr>
        <w:t xml:space="preserve">) of </w:t>
      </w:r>
      <w:r w:rsidRPr="002A248F">
        <w:rPr>
          <w:rFonts w:asciiTheme="minorHAnsi" w:hAnsiTheme="minorHAnsi" w:cstheme="minorHAnsi"/>
          <w:bCs/>
          <w:sz w:val="20"/>
          <w:szCs w:val="20"/>
        </w:rPr>
        <w:t>55.0 kJ/mol</w:t>
      </w:r>
      <w:r w:rsidRPr="002A248F">
        <w:rPr>
          <w:rFonts w:asciiTheme="minorHAnsi" w:hAnsiTheme="minorHAnsi" w:cstheme="minorHAnsi"/>
          <w:sz w:val="20"/>
          <w:szCs w:val="20"/>
        </w:rPr>
        <w:t>.</w:t>
      </w:r>
      <w:r w:rsidR="001C1160" w:rsidRPr="002A248F">
        <w:rPr>
          <w:rFonts w:asciiTheme="minorHAnsi" w:hAnsiTheme="minorHAnsi" w:cstheme="minorHAnsi"/>
          <w:sz w:val="20"/>
          <w:szCs w:val="20"/>
        </w:rPr>
        <w:t xml:space="preserve"> This value is significantly higher than the activation energy for simple diffusion-controlled processes (&lt; 20 kJ/mol) </w:t>
      </w:r>
      <w:r w:rsidR="001C1160" w:rsidRPr="002A248F">
        <w:rPr>
          <w:rFonts w:asciiTheme="minorHAnsi" w:hAnsiTheme="minorHAnsi" w:cstheme="minorHAnsi"/>
          <w:sz w:val="20"/>
          <w:szCs w:val="20"/>
          <w:vertAlign w:val="superscript"/>
        </w:rPr>
        <w:t>3</w:t>
      </w:r>
      <w:r w:rsidR="00081555" w:rsidRPr="002A248F">
        <w:rPr>
          <w:rFonts w:asciiTheme="minorHAnsi" w:hAnsiTheme="minorHAnsi" w:cstheme="minorHAnsi"/>
          <w:sz w:val="20"/>
          <w:szCs w:val="20"/>
          <w:vertAlign w:val="superscript"/>
        </w:rPr>
        <w:t>2</w:t>
      </w:r>
      <w:r w:rsidR="001C1160" w:rsidRPr="002A248F">
        <w:rPr>
          <w:rFonts w:asciiTheme="minorHAnsi" w:hAnsiTheme="minorHAnsi" w:cstheme="minorHAnsi"/>
          <w:sz w:val="20"/>
          <w:szCs w:val="20"/>
        </w:rPr>
        <w:t xml:space="preserve">. It suggests a chemically controlled surface reaction, where the rate is limited by the specific interaction between the phytochemical ligands and the silver interface, rather than simple Brownian collision. Furthermore, </w:t>
      </w:r>
      <w:r w:rsidRPr="002A248F">
        <w:rPr>
          <w:rFonts w:asciiTheme="minorHAnsi" w:hAnsiTheme="minorHAnsi" w:cstheme="minorHAnsi"/>
          <w:sz w:val="20"/>
          <w:szCs w:val="20"/>
        </w:rPr>
        <w:t xml:space="preserve">Figure 4B (Eyring Plot) provided the Enthalpy </w:t>
      </w:r>
      <m:oMath>
        <m:sSup>
          <m:sSupPr>
            <m:ctrlPr>
              <w:rPr>
                <w:rFonts w:ascii="Cambria Math" w:hAnsi="Cambria Math" w:cstheme="minorHAnsi"/>
                <w:i/>
                <w:sz w:val="20"/>
                <w:szCs w:val="20"/>
              </w:rPr>
            </m:ctrlPr>
          </m:sSupPr>
          <m:e>
            <m:r>
              <m:rPr>
                <m:sty m:val="p"/>
              </m:rPr>
              <w:rPr>
                <w:rFonts w:ascii="Cambria Math" w:hAnsi="Cambria Math" w:cstheme="minorHAnsi"/>
                <w:sz w:val="20"/>
                <w:szCs w:val="20"/>
              </w:rPr>
              <m:t>(ΔH</m:t>
            </m:r>
          </m:e>
          <m:sup>
            <m:r>
              <w:rPr>
                <w:rFonts w:ascii="Cambria Math" w:hAnsi="Cambria Math" w:cstheme="minorHAnsi"/>
                <w:sz w:val="20"/>
                <w:szCs w:val="20"/>
              </w:rPr>
              <m:t>‡</m:t>
            </m:r>
          </m:sup>
        </m:sSup>
        <m:r>
          <w:rPr>
            <w:rFonts w:ascii="Cambria Math" w:hAnsi="Cambria Math" w:cstheme="minorHAnsi"/>
            <w:sz w:val="20"/>
            <w:szCs w:val="20"/>
          </w:rPr>
          <m:t>)</m:t>
        </m:r>
      </m:oMath>
      <w:r w:rsidRPr="002A248F">
        <w:rPr>
          <w:rFonts w:asciiTheme="minorHAnsi" w:hAnsiTheme="minorHAnsi" w:cstheme="minorHAnsi"/>
          <w:sz w:val="20"/>
          <w:szCs w:val="20"/>
        </w:rPr>
        <w:t xml:space="preserve"> and Entropy </w:t>
      </w:r>
      <m:oMath>
        <m:r>
          <w:rPr>
            <w:rFonts w:ascii="Cambria Math" w:hAnsi="Cambria Math" w:cstheme="minorHAnsi"/>
            <w:sz w:val="20"/>
            <w:szCs w:val="20"/>
          </w:rPr>
          <m:t>(</m:t>
        </m:r>
        <m:sSup>
          <m:sSupPr>
            <m:ctrlPr>
              <w:rPr>
                <w:rFonts w:ascii="Cambria Math" w:hAnsi="Cambria Math" w:cstheme="minorHAnsi"/>
                <w:i/>
                <w:sz w:val="20"/>
                <w:szCs w:val="20"/>
              </w:rPr>
            </m:ctrlPr>
          </m:sSupPr>
          <m:e>
            <m:r>
              <m:rPr>
                <m:sty m:val="p"/>
              </m:rPr>
              <w:rPr>
                <w:rFonts w:ascii="Cambria Math" w:hAnsi="Cambria Math" w:cstheme="minorHAnsi"/>
                <w:sz w:val="20"/>
                <w:szCs w:val="20"/>
              </w:rPr>
              <m:t>Δ</m:t>
            </m:r>
            <m:r>
              <w:rPr>
                <w:rFonts w:ascii="Cambria Math" w:hAnsi="Cambria Math" w:cstheme="minorHAnsi"/>
                <w:sz w:val="20"/>
                <w:szCs w:val="20"/>
              </w:rPr>
              <m:t>S</m:t>
            </m:r>
          </m:e>
          <m:sup>
            <m:r>
              <w:rPr>
                <w:rFonts w:ascii="Cambria Math" w:hAnsi="Cambria Math" w:cstheme="minorHAnsi"/>
                <w:sz w:val="20"/>
                <w:szCs w:val="20"/>
              </w:rPr>
              <m:t>‡</m:t>
            </m:r>
          </m:sup>
        </m:sSup>
        <m:r>
          <w:rPr>
            <w:rFonts w:ascii="Cambria Math" w:hAnsi="Cambria Math" w:cstheme="minorHAnsi"/>
            <w:sz w:val="20"/>
            <w:szCs w:val="20"/>
          </w:rPr>
          <m:t>)</m:t>
        </m:r>
      </m:oMath>
      <w:r w:rsidR="00292AE3" w:rsidRPr="002A248F">
        <w:rPr>
          <w:rFonts w:asciiTheme="minorHAnsi" w:hAnsiTheme="minorHAnsi" w:cstheme="minorHAnsi"/>
          <w:sz w:val="20"/>
          <w:szCs w:val="20"/>
        </w:rPr>
        <w:t xml:space="preserve"> of activation as </w:t>
      </w:r>
      <w:r w:rsidR="00812A12" w:rsidRPr="002A248F">
        <w:rPr>
          <w:rFonts w:asciiTheme="minorHAnsi" w:eastAsia="Times New Roman" w:hAnsiTheme="minorHAnsi" w:cstheme="minorHAnsi"/>
          <w:sz w:val="20"/>
          <w:szCs w:val="20"/>
        </w:rPr>
        <w:t xml:space="preserve">52.4 </w:t>
      </w:r>
      <m:oMath>
        <m:r>
          <w:rPr>
            <w:rFonts w:ascii="Cambria Math" w:eastAsia="Times New Roman" w:hAnsi="Cambria Math" w:cstheme="minorHAnsi"/>
            <w:sz w:val="20"/>
            <w:szCs w:val="20"/>
          </w:rPr>
          <m:t>k</m:t>
        </m:r>
        <m:r>
          <w:rPr>
            <w:rFonts w:ascii="Cambria Math" w:hAnsi="Cambria Math" w:cstheme="minorHAnsi"/>
            <w:sz w:val="20"/>
            <w:szCs w:val="20"/>
          </w:rPr>
          <m:t>J/mol</m:t>
        </m:r>
      </m:oMath>
      <w:r w:rsidR="00812A12" w:rsidRPr="002A248F">
        <w:rPr>
          <w:rFonts w:asciiTheme="minorHAnsi" w:eastAsia="Times New Roman" w:hAnsiTheme="minorHAnsi" w:cstheme="minorHAnsi"/>
          <w:sz w:val="20"/>
          <w:szCs w:val="20"/>
        </w:rPr>
        <w:t xml:space="preserve"> (Endothermic)</w:t>
      </w:r>
      <w:r w:rsidR="00292AE3" w:rsidRPr="002A248F">
        <w:rPr>
          <w:rFonts w:asciiTheme="minorHAnsi" w:eastAsia="Times New Roman" w:hAnsiTheme="minorHAnsi" w:cstheme="minorHAnsi"/>
          <w:sz w:val="20"/>
          <w:szCs w:val="20"/>
        </w:rPr>
        <w:t xml:space="preserve"> and —</w:t>
      </w:r>
      <w:r w:rsidR="00812A12" w:rsidRPr="002A248F">
        <w:rPr>
          <w:rFonts w:asciiTheme="minorHAnsi" w:eastAsia="Times New Roman" w:hAnsiTheme="minorHAnsi" w:cstheme="minorHAnsi"/>
          <w:sz w:val="20"/>
          <w:szCs w:val="20"/>
        </w:rPr>
        <w:t xml:space="preserve">104.8 </w:t>
      </w:r>
      <m:oMath>
        <m:r>
          <w:rPr>
            <w:rFonts w:ascii="Cambria Math" w:hAnsi="Cambria Math" w:cstheme="minorHAnsi"/>
            <w:sz w:val="20"/>
            <w:szCs w:val="20"/>
          </w:rPr>
          <m:t>J/mol⋅K</m:t>
        </m:r>
      </m:oMath>
      <w:r w:rsidR="00A612F8" w:rsidRPr="002A248F">
        <w:rPr>
          <w:rFonts w:asciiTheme="minorHAnsi" w:hAnsiTheme="minorHAnsi" w:cstheme="minorHAnsi"/>
          <w:sz w:val="20"/>
          <w:szCs w:val="20"/>
        </w:rPr>
        <w:t xml:space="preserve"> </w:t>
      </w:r>
      <w:r w:rsidR="00292AE3" w:rsidRPr="002A248F">
        <w:rPr>
          <w:rFonts w:asciiTheme="minorHAnsi" w:eastAsia="Times New Roman" w:hAnsiTheme="minorHAnsi" w:cstheme="minorHAnsi"/>
          <w:sz w:val="20"/>
          <w:szCs w:val="20"/>
        </w:rPr>
        <w:t>respectively.</w:t>
      </w:r>
    </w:p>
    <w:p w14:paraId="03915C6A" w14:textId="1D15489B"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003C5552" w:rsidRPr="002A248F">
        <w:t xml:space="preserve"> </w:t>
      </w:r>
      <w:r w:rsidR="00204E77" w:rsidRPr="002A248F">
        <w:rPr>
          <w:noProof/>
        </w:rPr>
        <w:object w:dxaOrig="11558" w:dyaOrig="4839" w14:anchorId="43F13B42">
          <v:shape id="_x0000_i1029" type="#_x0000_t75" style="width:451.25pt;height:188.9pt" o:ole="">
            <v:imagedata r:id="rId15" o:title=""/>
          </v:shape>
          <o:OLEObject Type="Embed" ProgID="Prism5.Document" ShapeID="_x0000_i1029" DrawAspect="Content" ObjectID="_1836724787" r:id="rId16"/>
        </w:object>
      </w:r>
      <w:r w:rsidR="003C5552" w:rsidRPr="002A248F">
        <w:rPr>
          <w:rFonts w:asciiTheme="minorHAnsi" w:hAnsiTheme="minorHAnsi" w:cstheme="minorHAnsi"/>
          <w:i/>
          <w:iCs/>
          <w:sz w:val="20"/>
          <w:szCs w:val="20"/>
        </w:rPr>
        <w:t xml:space="preserve"> </w:t>
      </w:r>
      <w:r w:rsidR="001E1DC8" w:rsidRPr="002A248F">
        <w:rPr>
          <w:rFonts w:asciiTheme="minorHAnsi" w:hAnsiTheme="minorHAnsi" w:cstheme="minorHAnsi"/>
          <w:b/>
          <w:iCs/>
          <w:sz w:val="20"/>
          <w:szCs w:val="20"/>
        </w:rPr>
        <w:t xml:space="preserve">Figure 4. </w:t>
      </w:r>
      <w:r w:rsidRPr="002A248F">
        <w:rPr>
          <w:rFonts w:asciiTheme="minorHAnsi" w:hAnsiTheme="minorHAnsi" w:cstheme="minorHAnsi"/>
          <w:i/>
          <w:iCs/>
          <w:sz w:val="20"/>
          <w:szCs w:val="20"/>
        </w:rPr>
        <w:t>(A) Arrhenius plot for determining Activation Energy. (B) Eyring plot for determining Enth</w:t>
      </w:r>
      <w:r w:rsidR="003C5552" w:rsidRPr="002A248F">
        <w:rPr>
          <w:rFonts w:asciiTheme="minorHAnsi" w:hAnsiTheme="minorHAnsi" w:cstheme="minorHAnsi"/>
          <w:i/>
          <w:iCs/>
          <w:sz w:val="20"/>
          <w:szCs w:val="20"/>
        </w:rPr>
        <w:t>alpy and Entropy of activation</w:t>
      </w:r>
    </w:p>
    <w:p w14:paraId="7A9310AB" w14:textId="77777777"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w:t>
      </w:r>
      <w:r w:rsidRPr="002A248F">
        <w:rPr>
          <w:rFonts w:asciiTheme="minorHAnsi" w:hAnsiTheme="minorHAnsi" w:cstheme="minorHAnsi"/>
          <w:b/>
          <w:bCs/>
          <w:sz w:val="20"/>
          <w:szCs w:val="20"/>
        </w:rPr>
        <w:t>3.4 Mechanism: The "Associative Cage" Hypothesis</w:t>
      </w:r>
    </w:p>
    <w:p w14:paraId="70A53A73" w14:textId="78930A15"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 xml:space="preserve">The negative entropy value </w:t>
      </w:r>
      <m:oMath>
        <m:sSup>
          <m:sSupPr>
            <m:ctrlPr>
              <w:rPr>
                <w:rFonts w:ascii="Cambria Math" w:hAnsi="Cambria Math" w:cstheme="minorHAnsi"/>
                <w:i/>
                <w:sz w:val="20"/>
                <w:szCs w:val="20"/>
              </w:rPr>
            </m:ctrlPr>
          </m:sSupPr>
          <m:e>
            <m:r>
              <m:rPr>
                <m:sty m:val="p"/>
              </m:rPr>
              <w:rPr>
                <w:rFonts w:ascii="Cambria Math" w:hAnsi="Cambria Math" w:cstheme="minorHAnsi"/>
                <w:sz w:val="20"/>
                <w:szCs w:val="20"/>
              </w:rPr>
              <m:t>Δ</m:t>
            </m:r>
            <m:r>
              <w:rPr>
                <w:rFonts w:ascii="Cambria Math" w:hAnsi="Cambria Math" w:cstheme="minorHAnsi"/>
                <w:sz w:val="20"/>
                <w:szCs w:val="20"/>
              </w:rPr>
              <m:t>S</m:t>
            </m:r>
          </m:e>
          <m:sup>
            <m:r>
              <w:rPr>
                <w:rFonts w:ascii="Cambria Math" w:hAnsi="Cambria Math" w:cstheme="minorHAnsi"/>
                <w:sz w:val="20"/>
                <w:szCs w:val="20"/>
              </w:rPr>
              <m:t>‡</m:t>
            </m:r>
          </m:sup>
        </m:sSup>
        <m:r>
          <w:rPr>
            <w:rFonts w:ascii="Cambria Math" w:hAnsi="Cambria Math" w:cstheme="minorHAnsi"/>
            <w:sz w:val="20"/>
            <w:szCs w:val="20"/>
          </w:rPr>
          <m:t>≈-105 J/mol⋅K</m:t>
        </m:r>
      </m:oMath>
      <w:r w:rsidRPr="002A248F">
        <w:rPr>
          <w:rFonts w:asciiTheme="minorHAnsi" w:hAnsiTheme="minorHAnsi" w:cstheme="minorHAnsi"/>
          <w:sz w:val="20"/>
          <w:szCs w:val="20"/>
        </w:rPr>
        <w:t xml:space="preserve"> is the </w:t>
      </w:r>
      <w:r w:rsidR="00EA68FC" w:rsidRPr="002A248F">
        <w:rPr>
          <w:rFonts w:asciiTheme="minorHAnsi" w:hAnsiTheme="minorHAnsi" w:cstheme="minorHAnsi"/>
          <w:sz w:val="20"/>
          <w:szCs w:val="20"/>
        </w:rPr>
        <w:t xml:space="preserve">defining finding of this study. </w:t>
      </w:r>
      <w:r w:rsidRPr="002A248F">
        <w:rPr>
          <w:rFonts w:asciiTheme="minorHAnsi" w:hAnsiTheme="minorHAnsi" w:cstheme="minorHAnsi"/>
          <w:sz w:val="20"/>
          <w:szCs w:val="20"/>
        </w:rPr>
        <w:t xml:space="preserve">In the context of the Transition State Theory, a negative entropy change indicates a loss of degrees of freedom. This strongly supports an </w:t>
      </w:r>
      <w:r w:rsidRPr="002A248F">
        <w:rPr>
          <w:rFonts w:asciiTheme="minorHAnsi" w:hAnsiTheme="minorHAnsi" w:cstheme="minorHAnsi"/>
          <w:b/>
          <w:bCs/>
          <w:sz w:val="20"/>
          <w:szCs w:val="20"/>
        </w:rPr>
        <w:t>associative mechanism</w:t>
      </w:r>
      <w:r w:rsidRPr="002A248F">
        <w:rPr>
          <w:rFonts w:asciiTheme="minorHAnsi" w:hAnsiTheme="minorHAnsi" w:cstheme="minorHAnsi"/>
          <w:sz w:val="20"/>
          <w:szCs w:val="20"/>
        </w:rPr>
        <w:t>, where the reactants (silver ions and phytochemicals) form a highly ordered complex in the transition state</w:t>
      </w:r>
      <w:r w:rsidR="00EA68FC" w:rsidRPr="002A248F">
        <w:rPr>
          <w:rFonts w:asciiTheme="minorHAnsi" w:hAnsiTheme="minorHAnsi" w:cstheme="minorHAnsi"/>
          <w:sz w:val="20"/>
          <w:szCs w:val="20"/>
        </w:rPr>
        <w:t xml:space="preserve"> </w:t>
      </w:r>
      <w:r w:rsidR="00EF3EAA" w:rsidRPr="002A248F">
        <w:rPr>
          <w:rFonts w:asciiTheme="minorHAnsi" w:hAnsiTheme="minorHAnsi" w:cstheme="minorHAnsi"/>
          <w:sz w:val="20"/>
          <w:szCs w:val="20"/>
          <w:vertAlign w:val="superscript"/>
        </w:rPr>
        <w:t>33 – 3</w:t>
      </w:r>
      <w:r w:rsidR="00EA68FC" w:rsidRPr="002A248F">
        <w:rPr>
          <w:rFonts w:asciiTheme="minorHAnsi" w:hAnsiTheme="minorHAnsi" w:cstheme="minorHAnsi"/>
          <w:sz w:val="20"/>
          <w:szCs w:val="20"/>
          <w:vertAlign w:val="superscript"/>
        </w:rPr>
        <w:t>4</w:t>
      </w:r>
      <w:r w:rsidRPr="002A248F">
        <w:rPr>
          <w:rFonts w:asciiTheme="minorHAnsi" w:hAnsiTheme="minorHAnsi" w:cstheme="minorHAnsi"/>
          <w:sz w:val="20"/>
          <w:szCs w:val="20"/>
        </w:rPr>
        <w:t>.</w:t>
      </w:r>
    </w:p>
    <w:p w14:paraId="749F5EFE" w14:textId="77777777" w:rsidR="003A15D0" w:rsidRPr="002A248F" w:rsidRDefault="00EA68FC" w:rsidP="00EA68FC">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 xml:space="preserve">This provides direct physical evidence for an associative mechanism. Unlike simple collision theory where reactants bounce randomly, the data suggests that the bulky ligands identified in our previous computational study </w:t>
      </w:r>
      <w:r w:rsidRPr="002A248F">
        <w:rPr>
          <w:rFonts w:asciiTheme="minorHAnsi" w:hAnsiTheme="minorHAnsi" w:cstheme="minorHAnsi"/>
          <w:sz w:val="20"/>
          <w:szCs w:val="20"/>
        </w:rPr>
        <w:lastRenderedPageBreak/>
        <w:t>(</w:t>
      </w:r>
      <w:proofErr w:type="spellStart"/>
      <w:r w:rsidRPr="002A248F">
        <w:rPr>
          <w:rFonts w:asciiTheme="minorHAnsi" w:hAnsiTheme="minorHAnsi" w:cstheme="minorHAnsi"/>
          <w:sz w:val="20"/>
          <w:szCs w:val="20"/>
        </w:rPr>
        <w:t>Sarsasapogenin</w:t>
      </w:r>
      <w:proofErr w:type="spellEnd"/>
      <w:r w:rsidRPr="002A248F">
        <w:rPr>
          <w:rFonts w:asciiTheme="minorHAnsi" w:hAnsiTheme="minorHAnsi" w:cstheme="minorHAnsi"/>
          <w:sz w:val="20"/>
          <w:szCs w:val="20"/>
        </w:rPr>
        <w:t xml:space="preserve">, </w:t>
      </w:r>
      <w:proofErr w:type="spellStart"/>
      <w:r w:rsidRPr="002A248F">
        <w:rPr>
          <w:rFonts w:asciiTheme="minorHAnsi" w:hAnsiTheme="minorHAnsi" w:cstheme="minorHAnsi"/>
          <w:sz w:val="20"/>
          <w:szCs w:val="20"/>
        </w:rPr>
        <w:t>Cinchonidine</w:t>
      </w:r>
      <w:proofErr w:type="spellEnd"/>
      <w:r w:rsidRPr="002A248F">
        <w:rPr>
          <w:rFonts w:asciiTheme="minorHAnsi" w:hAnsiTheme="minorHAnsi" w:cstheme="minorHAnsi"/>
          <w:sz w:val="20"/>
          <w:szCs w:val="20"/>
        </w:rPr>
        <w:t>) undergo a structural reorientation to form a "supramolecular cage" around the silver nuclei</w:t>
      </w:r>
      <w:r w:rsidR="001E1DC8" w:rsidRPr="002A248F">
        <w:rPr>
          <w:rFonts w:asciiTheme="minorHAnsi" w:hAnsiTheme="minorHAnsi" w:cstheme="minorHAnsi"/>
          <w:sz w:val="20"/>
          <w:szCs w:val="20"/>
        </w:rPr>
        <w:t xml:space="preserve"> (Figure 5)</w:t>
      </w:r>
      <w:r w:rsidRPr="002A248F">
        <w:rPr>
          <w:rFonts w:asciiTheme="minorHAnsi" w:hAnsiTheme="minorHAnsi" w:cstheme="minorHAnsi"/>
          <w:sz w:val="20"/>
          <w:szCs w:val="20"/>
        </w:rPr>
        <w:t xml:space="preserve">. </w:t>
      </w:r>
      <w:r w:rsidR="003A15D0" w:rsidRPr="002A248F">
        <w:rPr>
          <w:rFonts w:asciiTheme="minorHAnsi" w:hAnsiTheme="minorHAnsi" w:cstheme="minorHAnsi"/>
          <w:sz w:val="20"/>
          <w:szCs w:val="20"/>
        </w:rPr>
        <w:t xml:space="preserve">The negative entropy reflects the thermodynamic "cost" of organizing this bulky </w:t>
      </w:r>
      <w:proofErr w:type="spellStart"/>
      <w:r w:rsidR="003A15D0" w:rsidRPr="002A248F">
        <w:rPr>
          <w:rFonts w:asciiTheme="minorHAnsi" w:hAnsiTheme="minorHAnsi" w:cstheme="minorHAnsi"/>
          <w:sz w:val="20"/>
          <w:szCs w:val="20"/>
        </w:rPr>
        <w:t>Sarsasapogenin</w:t>
      </w:r>
      <w:proofErr w:type="spellEnd"/>
      <w:r w:rsidR="003A15D0" w:rsidRPr="002A248F">
        <w:rPr>
          <w:rFonts w:asciiTheme="minorHAnsi" w:hAnsiTheme="minorHAnsi" w:cstheme="minorHAnsi"/>
          <w:sz w:val="20"/>
          <w:szCs w:val="20"/>
        </w:rPr>
        <w:t xml:space="preserve"> lattice. However, this cost pays off in the exceptional stability and safety profile of the final particle, confirming the "Safety Shield" architecture modelled in our previous work </w:t>
      </w:r>
    </w:p>
    <w:p w14:paraId="0DC04D15" w14:textId="6E75904C" w:rsidR="00056AFB" w:rsidRPr="002A248F" w:rsidRDefault="00204E77" w:rsidP="0082026B">
      <w:pPr>
        <w:spacing w:after="0"/>
        <w:divId w:val="1217467389"/>
      </w:pPr>
      <w:r w:rsidRPr="002A248F">
        <w:rPr>
          <w:noProof/>
        </w:rPr>
        <w:object w:dxaOrig="11088" w:dyaOrig="5357" w14:anchorId="337A4F02">
          <v:shape id="_x0000_i1030" type="#_x0000_t75" style="width:392.8pt;height:190.35pt" o:ole="">
            <v:imagedata r:id="rId17" o:title=""/>
          </v:shape>
          <o:OLEObject Type="Embed" ProgID="Prism5.Document" ShapeID="_x0000_i1030" DrawAspect="Content" ObjectID="_1836724788" r:id="rId18"/>
        </w:object>
      </w:r>
    </w:p>
    <w:p w14:paraId="055EFF22" w14:textId="73D3E232" w:rsidR="00056AFB" w:rsidRPr="002A248F" w:rsidRDefault="001F60DB" w:rsidP="0082026B">
      <w:pPr>
        <w:pStyle w:val="NormalWeb"/>
        <w:spacing w:before="0" w:beforeAutospacing="0" w:after="0" w:afterAutospacing="0"/>
        <w:jc w:val="both"/>
        <w:divId w:val="1217467389"/>
        <w:rPr>
          <w:rFonts w:asciiTheme="minorHAnsi" w:hAnsiTheme="minorHAnsi" w:cstheme="minorHAnsi"/>
          <w:i/>
          <w:sz w:val="20"/>
          <w:szCs w:val="20"/>
        </w:rPr>
      </w:pPr>
      <w:r w:rsidRPr="002A248F">
        <w:rPr>
          <w:rFonts w:asciiTheme="minorHAnsi" w:hAnsiTheme="minorHAnsi" w:cstheme="minorHAnsi"/>
          <w:b/>
          <w:iCs/>
          <w:sz w:val="20"/>
          <w:szCs w:val="20"/>
        </w:rPr>
        <w:t xml:space="preserve">Figure 5. </w:t>
      </w:r>
      <w:r w:rsidRPr="002A248F">
        <w:rPr>
          <w:rFonts w:asciiTheme="minorHAnsi" w:hAnsiTheme="minorHAnsi" w:cstheme="minorHAnsi"/>
          <w:i/>
          <w:iCs/>
          <w:sz w:val="20"/>
          <w:szCs w:val="20"/>
        </w:rPr>
        <w:t>An</w:t>
      </w:r>
      <w:r w:rsidRPr="002A248F">
        <w:rPr>
          <w:rFonts w:asciiTheme="minorHAnsi" w:hAnsiTheme="minorHAnsi" w:cstheme="minorHAnsi"/>
          <w:iCs/>
          <w:sz w:val="20"/>
          <w:szCs w:val="20"/>
        </w:rPr>
        <w:t xml:space="preserve"> </w:t>
      </w:r>
      <w:r w:rsidR="00E404FC" w:rsidRPr="002A248F">
        <w:rPr>
          <w:rFonts w:asciiTheme="minorHAnsi" w:hAnsiTheme="minorHAnsi" w:cstheme="minorHAnsi"/>
          <w:iCs/>
          <w:sz w:val="20"/>
          <w:szCs w:val="20"/>
        </w:rPr>
        <w:t>Illustration of</w:t>
      </w:r>
      <w:r w:rsidR="00E404FC" w:rsidRPr="002A248F">
        <w:rPr>
          <w:rFonts w:asciiTheme="minorHAnsi" w:hAnsiTheme="minorHAnsi" w:cstheme="minorHAnsi"/>
          <w:b/>
          <w:iCs/>
          <w:sz w:val="20"/>
          <w:szCs w:val="20"/>
        </w:rPr>
        <w:t xml:space="preserve"> </w:t>
      </w:r>
      <w:r w:rsidR="00E404FC" w:rsidRPr="002A248F">
        <w:rPr>
          <w:rFonts w:asciiTheme="minorHAnsi" w:hAnsiTheme="minorHAnsi" w:cstheme="minorHAnsi"/>
          <w:i/>
          <w:iCs/>
          <w:sz w:val="20"/>
          <w:szCs w:val="20"/>
        </w:rPr>
        <w:t xml:space="preserve">the schematic associative mechanism </w:t>
      </w:r>
      <w:r w:rsidR="00C16505" w:rsidRPr="002A248F">
        <w:rPr>
          <w:rFonts w:asciiTheme="minorHAnsi" w:hAnsiTheme="minorHAnsi" w:cstheme="minorHAnsi"/>
          <w:i/>
          <w:iCs/>
          <w:sz w:val="20"/>
          <w:szCs w:val="20"/>
        </w:rPr>
        <w:t>of t</w:t>
      </w:r>
      <w:r w:rsidR="00056AFB" w:rsidRPr="002A248F">
        <w:rPr>
          <w:rFonts w:asciiTheme="minorHAnsi" w:hAnsiTheme="minorHAnsi" w:cstheme="minorHAnsi"/>
          <w:i/>
          <w:iCs/>
          <w:sz w:val="20"/>
          <w:szCs w:val="20"/>
        </w:rPr>
        <w:t>he transition from disordered free ligands to an ordered "</w:t>
      </w:r>
      <w:proofErr w:type="spellStart"/>
      <w:r w:rsidR="00056AFB" w:rsidRPr="002A248F">
        <w:rPr>
          <w:rFonts w:asciiTheme="minorHAnsi" w:hAnsiTheme="minorHAnsi" w:cstheme="minorHAnsi"/>
          <w:i/>
          <w:iCs/>
          <w:sz w:val="20"/>
          <w:szCs w:val="20"/>
        </w:rPr>
        <w:t>Sarsasapogenin</w:t>
      </w:r>
      <w:proofErr w:type="spellEnd"/>
      <w:r w:rsidR="00056AFB" w:rsidRPr="002A248F">
        <w:rPr>
          <w:rFonts w:asciiTheme="minorHAnsi" w:hAnsiTheme="minorHAnsi" w:cstheme="minorHAnsi"/>
          <w:i/>
          <w:iCs/>
          <w:sz w:val="20"/>
          <w:szCs w:val="20"/>
        </w:rPr>
        <w:t xml:space="preserve"> Cage" correspond</w:t>
      </w:r>
      <w:r w:rsidR="00E404FC" w:rsidRPr="002A248F">
        <w:rPr>
          <w:rFonts w:asciiTheme="minorHAnsi" w:hAnsiTheme="minorHAnsi" w:cstheme="minorHAnsi"/>
          <w:i/>
          <w:iCs/>
          <w:sz w:val="20"/>
          <w:szCs w:val="20"/>
        </w:rPr>
        <w:t>ing</w:t>
      </w:r>
      <w:r w:rsidR="00056AFB" w:rsidRPr="002A248F">
        <w:rPr>
          <w:rFonts w:asciiTheme="minorHAnsi" w:hAnsiTheme="minorHAnsi" w:cstheme="minorHAnsi"/>
          <w:i/>
          <w:iCs/>
          <w:sz w:val="20"/>
          <w:szCs w:val="20"/>
        </w:rPr>
        <w:t xml:space="preserve"> to the observed negative entropy</w:t>
      </w:r>
      <m:oMath>
        <m:sSup>
          <m:sSupPr>
            <m:ctrlPr>
              <w:rPr>
                <w:rFonts w:ascii="Cambria Math" w:hAnsi="Cambria Math" w:cstheme="minorHAnsi"/>
                <w:i/>
                <w:sz w:val="20"/>
                <w:szCs w:val="20"/>
              </w:rPr>
            </m:ctrlPr>
          </m:sSupPr>
          <m:e>
            <m:r>
              <m:rPr>
                <m:sty m:val="p"/>
              </m:rPr>
              <w:rPr>
                <w:rFonts w:ascii="Cambria Math" w:hAnsi="Cambria Math" w:cstheme="minorHAnsi"/>
                <w:sz w:val="20"/>
                <w:szCs w:val="20"/>
              </w:rPr>
              <m:t xml:space="preserve">  (Δ</m:t>
            </m:r>
            <m:r>
              <w:rPr>
                <w:rFonts w:ascii="Cambria Math" w:hAnsi="Cambria Math" w:cstheme="minorHAnsi"/>
                <w:sz w:val="20"/>
                <w:szCs w:val="20"/>
              </w:rPr>
              <m:t>S</m:t>
            </m:r>
          </m:e>
          <m:sup>
            <m:r>
              <w:rPr>
                <w:rFonts w:ascii="Cambria Math" w:hAnsi="Cambria Math" w:cstheme="minorHAnsi"/>
                <w:sz w:val="20"/>
                <w:szCs w:val="20"/>
              </w:rPr>
              <m:t>‡</m:t>
            </m:r>
          </m:sup>
        </m:sSup>
        <m:r>
          <w:rPr>
            <w:rFonts w:ascii="Cambria Math" w:hAnsi="Cambria Math" w:cstheme="minorHAnsi"/>
            <w:sz w:val="20"/>
            <w:szCs w:val="20"/>
          </w:rPr>
          <m:t>&lt;0)</m:t>
        </m:r>
      </m:oMath>
    </w:p>
    <w:p w14:paraId="5C751166" w14:textId="3A428A5D" w:rsidR="00952C2F" w:rsidRPr="002A248F" w:rsidRDefault="003A15D0" w:rsidP="00752EFC">
      <w:pPr>
        <w:pStyle w:val="NormalWeb"/>
        <w:spacing w:after="0" w:afterAutospacing="0"/>
        <w:jc w:val="both"/>
        <w:divId w:val="1217467389"/>
        <w:rPr>
          <w:rFonts w:asciiTheme="minorHAnsi" w:hAnsiTheme="minorHAnsi" w:cstheme="minorHAnsi"/>
          <w:sz w:val="20"/>
          <w:szCs w:val="20"/>
        </w:rPr>
      </w:pPr>
      <w:r w:rsidRPr="002A248F">
        <w:rPr>
          <w:rFonts w:asciiTheme="minorHAnsi" w:hAnsiTheme="minorHAnsi" w:cstheme="minorHAnsi"/>
          <w:sz w:val="20"/>
        </w:rPr>
        <w:t>To validate that this mechanism holds true across temperatures, DLS analysis was performed on the end-products. As shown in Figure 6, the hydrodynamic diameter remained statistically consistent between 30°C (43.5 ± 2.1 nm) and 60°C (44.1 ± 3.5 nm). This confirms that thermal energy accelerated the reaction rate without altering the fundamental assembly of the biopolymer shell.</w:t>
      </w:r>
    </w:p>
    <w:p w14:paraId="70C0AC7C" w14:textId="0EB1EB3F" w:rsidR="00952C2F" w:rsidRPr="002A248F" w:rsidRDefault="00204E77" w:rsidP="00752EFC">
      <w:pPr>
        <w:pStyle w:val="NormalWeb"/>
        <w:spacing w:before="0" w:beforeAutospacing="0" w:after="0" w:afterAutospacing="0"/>
        <w:jc w:val="both"/>
        <w:divId w:val="1217467389"/>
      </w:pPr>
      <w:r w:rsidRPr="002A248F">
        <w:rPr>
          <w:noProof/>
        </w:rPr>
        <w:object w:dxaOrig="6060" w:dyaOrig="4498" w14:anchorId="65EEA161">
          <v:shape id="_x0000_i1031" type="#_x0000_t75" style="width:302.95pt;height:225.25pt" o:ole="">
            <v:imagedata r:id="rId19" o:title=""/>
          </v:shape>
          <o:OLEObject Type="Embed" ProgID="Prism5.Document" ShapeID="_x0000_i1031" DrawAspect="Content" ObjectID="_1836724789" r:id="rId20"/>
        </w:object>
      </w:r>
    </w:p>
    <w:p w14:paraId="229CEA35" w14:textId="50B31E0A" w:rsidR="00952C2F" w:rsidRPr="002A248F" w:rsidRDefault="001E1DC8" w:rsidP="00952C2F">
      <w:pPr>
        <w:pStyle w:val="NormalWeb"/>
        <w:spacing w:before="0" w:beforeAutospacing="0"/>
        <w:jc w:val="both"/>
        <w:divId w:val="1217467389"/>
        <w:rPr>
          <w:rFonts w:asciiTheme="minorHAnsi" w:hAnsiTheme="minorHAnsi" w:cstheme="minorHAnsi"/>
          <w:sz w:val="20"/>
          <w:szCs w:val="20"/>
        </w:rPr>
      </w:pPr>
      <w:r w:rsidRPr="002A248F">
        <w:rPr>
          <w:rFonts w:asciiTheme="minorHAnsi" w:hAnsiTheme="minorHAnsi" w:cstheme="minorHAnsi"/>
          <w:b/>
          <w:iCs/>
          <w:sz w:val="20"/>
          <w:szCs w:val="20"/>
        </w:rPr>
        <w:t xml:space="preserve">Figure 6. </w:t>
      </w:r>
      <w:r w:rsidR="00952C2F" w:rsidRPr="002A248F">
        <w:rPr>
          <w:rFonts w:asciiTheme="minorHAnsi" w:hAnsiTheme="minorHAnsi" w:cstheme="minorHAnsi"/>
          <w:sz w:val="20"/>
          <w:szCs w:val="20"/>
        </w:rPr>
        <w:t xml:space="preserve">Comparative DLS size distribution of </w:t>
      </w:r>
      <w:proofErr w:type="spellStart"/>
      <w:r w:rsidR="00952C2F" w:rsidRPr="002A248F">
        <w:rPr>
          <w:rFonts w:asciiTheme="minorHAnsi" w:hAnsiTheme="minorHAnsi" w:cstheme="minorHAnsi"/>
          <w:sz w:val="20"/>
          <w:szCs w:val="20"/>
        </w:rPr>
        <w:t>AgNPs</w:t>
      </w:r>
      <w:proofErr w:type="spellEnd"/>
      <w:r w:rsidR="00952C2F" w:rsidRPr="002A248F">
        <w:rPr>
          <w:rFonts w:asciiTheme="minorHAnsi" w:hAnsiTheme="minorHAnsi" w:cstheme="minorHAnsi"/>
          <w:sz w:val="20"/>
          <w:szCs w:val="20"/>
        </w:rPr>
        <w:t xml:space="preserve"> synthesized at 30°C and 60°C, showing preserved morphological integrity</w:t>
      </w:r>
    </w:p>
    <w:p w14:paraId="286E80F6" w14:textId="121328A9" w:rsidR="00056AFB" w:rsidRPr="002A248F" w:rsidRDefault="00056AFB" w:rsidP="00F35C8F">
      <w:pPr>
        <w:pStyle w:val="Heading3"/>
        <w:jc w:val="both"/>
        <w:divId w:val="1217467389"/>
        <w:rPr>
          <w:rFonts w:asciiTheme="minorHAnsi" w:eastAsia="Times New Roman" w:hAnsiTheme="minorHAnsi" w:cstheme="minorHAnsi"/>
          <w:b/>
          <w:color w:val="auto"/>
          <w:sz w:val="20"/>
          <w:szCs w:val="20"/>
        </w:rPr>
      </w:pPr>
      <w:r w:rsidRPr="002A248F">
        <w:rPr>
          <w:rFonts w:asciiTheme="minorHAnsi" w:eastAsia="Times New Roman" w:hAnsiTheme="minorHAnsi" w:cstheme="minorHAnsi"/>
          <w:b/>
          <w:color w:val="auto"/>
          <w:sz w:val="20"/>
          <w:szCs w:val="20"/>
        </w:rPr>
        <w:lastRenderedPageBreak/>
        <w:t>​4. Conclusion</w:t>
      </w:r>
    </w:p>
    <w:p w14:paraId="32562D64" w14:textId="4EA76020" w:rsidR="00056AFB" w:rsidRPr="002A248F" w:rsidRDefault="00056AFB" w:rsidP="00F35C8F">
      <w:pPr>
        <w:pStyle w:val="NormalWeb"/>
        <w:jc w:val="both"/>
        <w:divId w:val="1217467389"/>
        <w:rPr>
          <w:rFonts w:asciiTheme="minorHAnsi" w:hAnsiTheme="minorHAnsi" w:cstheme="minorHAnsi"/>
          <w:sz w:val="20"/>
          <w:szCs w:val="20"/>
        </w:rPr>
      </w:pPr>
      <w:r w:rsidRPr="002A248F">
        <w:rPr>
          <w:rFonts w:asciiTheme="minorHAnsi" w:hAnsiTheme="minorHAnsi" w:cstheme="minorHAnsi"/>
          <w:sz w:val="20"/>
          <w:szCs w:val="20"/>
        </w:rPr>
        <w:t xml:space="preserve">​This study provides the thermodynamic "missing link" between our computational predictions and the observed stability of </w:t>
      </w:r>
      <w:proofErr w:type="spellStart"/>
      <w:r w:rsidRPr="002A248F">
        <w:rPr>
          <w:rFonts w:asciiTheme="minorHAnsi" w:hAnsiTheme="minorHAnsi" w:cstheme="minorHAnsi"/>
          <w:i/>
          <w:iCs/>
          <w:sz w:val="20"/>
          <w:szCs w:val="20"/>
        </w:rPr>
        <w:t>Gongronema</w:t>
      </w:r>
      <w:proofErr w:type="spellEnd"/>
      <w:r w:rsidRPr="002A248F">
        <w:rPr>
          <w:rFonts w:asciiTheme="minorHAnsi" w:hAnsiTheme="minorHAnsi" w:cstheme="minorHAnsi"/>
          <w:i/>
          <w:iCs/>
          <w:sz w:val="20"/>
          <w:szCs w:val="20"/>
        </w:rPr>
        <w:t xml:space="preserve"> </w:t>
      </w:r>
      <w:proofErr w:type="spellStart"/>
      <w:r w:rsidRPr="002A248F">
        <w:rPr>
          <w:rFonts w:asciiTheme="minorHAnsi" w:hAnsiTheme="minorHAnsi" w:cstheme="minorHAnsi"/>
          <w:i/>
          <w:iCs/>
          <w:sz w:val="20"/>
          <w:szCs w:val="20"/>
        </w:rPr>
        <w:t>latifolium</w:t>
      </w:r>
      <w:r w:rsidRPr="002A248F">
        <w:rPr>
          <w:rFonts w:asciiTheme="minorHAnsi" w:hAnsiTheme="minorHAnsi" w:cstheme="minorHAnsi"/>
          <w:sz w:val="20"/>
          <w:szCs w:val="20"/>
        </w:rPr>
        <w:t>-AgNPs</w:t>
      </w:r>
      <w:proofErr w:type="spellEnd"/>
      <w:r w:rsidRPr="002A248F">
        <w:rPr>
          <w:rFonts w:asciiTheme="minorHAnsi" w:hAnsiTheme="minorHAnsi" w:cstheme="minorHAnsi"/>
          <w:sz w:val="20"/>
          <w:szCs w:val="20"/>
        </w:rPr>
        <w:t xml:space="preserve">. The reaction kinetics </w:t>
      </w:r>
      <w:r w:rsidR="00C2445B" w:rsidRPr="002A248F">
        <w:rPr>
          <w:rFonts w:asciiTheme="minorHAnsi" w:hAnsiTheme="minorHAnsi" w:cstheme="minorHAnsi"/>
          <w:sz w:val="20"/>
          <w:szCs w:val="20"/>
        </w:rPr>
        <w:t>confirms</w:t>
      </w:r>
      <w:r w:rsidRPr="002A248F">
        <w:rPr>
          <w:rFonts w:asciiTheme="minorHAnsi" w:hAnsiTheme="minorHAnsi" w:cstheme="minorHAnsi"/>
          <w:sz w:val="20"/>
          <w:szCs w:val="20"/>
        </w:rPr>
        <w:t xml:space="preserve"> a surface-controlled process, while the negative entropy of activation provides physical proof of an ordered, associative assembly. We conclude that the "Safety Shield" mechanism is not a passive outcome but an active, thermodynamically driven self-assembly of phytochemicals, validating the potential of these particles for stable biomedical applications.</w:t>
      </w:r>
    </w:p>
    <w:p w14:paraId="633D85E3" w14:textId="77777777" w:rsidR="001D043E" w:rsidRDefault="001D043E" w:rsidP="00C2445B">
      <w:pPr>
        <w:spacing w:line="240" w:lineRule="auto"/>
        <w:jc w:val="both"/>
        <w:divId w:val="271595052"/>
        <w:rPr>
          <w:rFonts w:ascii="Times New Roman" w:hAnsi="Times New Roman" w:cs="Times New Roman"/>
          <w:sz w:val="18"/>
          <w:szCs w:val="20"/>
        </w:rPr>
      </w:pPr>
      <w:bookmarkStart w:id="1" w:name="_GoBack"/>
      <w:bookmarkEnd w:id="1"/>
    </w:p>
    <w:p w14:paraId="41347CA6" w14:textId="77777777" w:rsidR="001D043E" w:rsidRPr="003A29C6" w:rsidRDefault="001D043E" w:rsidP="001D043E">
      <w:pPr>
        <w:jc w:val="both"/>
        <w:outlineLvl w:val="0"/>
        <w:divId w:val="271595052"/>
        <w:rPr>
          <w:rFonts w:ascii="Arial" w:hAnsi="Arial" w:cs="Arial"/>
        </w:rPr>
      </w:pPr>
      <w:r w:rsidRPr="003A29C6">
        <w:rPr>
          <w:rFonts w:ascii="Arial" w:hAnsi="Arial" w:cs="Arial"/>
          <w:b/>
          <w:bCs/>
        </w:rPr>
        <w:t>COMPETING INTERESTS DISCLAIMER:</w:t>
      </w:r>
    </w:p>
    <w:p w14:paraId="159EB54A" w14:textId="77777777" w:rsidR="001D043E" w:rsidRDefault="001D043E" w:rsidP="001D043E">
      <w:pPr>
        <w:divId w:val="271595052"/>
      </w:pPr>
      <w:r w:rsidRPr="00A10EDE">
        <w:t>Authors have declared that they have no known competing financial interests OR non-financial interests OR personal relationships that could have appeared to influence the work reported in this paper.</w:t>
      </w:r>
    </w:p>
    <w:p w14:paraId="016956D3" w14:textId="77777777" w:rsidR="001D043E" w:rsidRPr="004020A2" w:rsidRDefault="001D043E" w:rsidP="00C2445B">
      <w:pPr>
        <w:spacing w:line="240" w:lineRule="auto"/>
        <w:jc w:val="both"/>
        <w:divId w:val="271595052"/>
        <w:rPr>
          <w:rFonts w:ascii="Times New Roman" w:hAnsi="Times New Roman" w:cs="Times New Roman"/>
          <w:sz w:val="18"/>
          <w:szCs w:val="20"/>
        </w:rPr>
      </w:pPr>
    </w:p>
    <w:p w14:paraId="73064AB7" w14:textId="77777777" w:rsidR="00C2445B" w:rsidRPr="002A248F" w:rsidRDefault="00C2445B" w:rsidP="00C2445B">
      <w:pPr>
        <w:pStyle w:val="RSCB04AHeadingSection"/>
        <w:divId w:val="271595052"/>
      </w:pPr>
      <w:r w:rsidRPr="002A248F">
        <w:t>Data availability statement</w:t>
      </w:r>
    </w:p>
    <w:p w14:paraId="536D4ADC" w14:textId="77777777" w:rsidR="00C2445B" w:rsidRPr="002A248F" w:rsidRDefault="00C2445B" w:rsidP="00C2445B">
      <w:pPr>
        <w:pStyle w:val="RSCB04AHeadingSection"/>
        <w:spacing w:before="0" w:after="0"/>
        <w:jc w:val="both"/>
        <w:divId w:val="271595052"/>
        <w:rPr>
          <w:rFonts w:cs="Times New Roman"/>
          <w:b w:val="0"/>
          <w:w w:val="108"/>
          <w:sz w:val="18"/>
          <w:szCs w:val="18"/>
        </w:rPr>
      </w:pPr>
      <w:r w:rsidRPr="002A248F">
        <w:rPr>
          <w:b w:val="0"/>
          <w:sz w:val="18"/>
          <w:szCs w:val="20"/>
        </w:rPr>
        <w:t>Data will be made available on request</w:t>
      </w:r>
      <w:r w:rsidRPr="002A248F">
        <w:rPr>
          <w:rFonts w:cs="Times New Roman"/>
          <w:b w:val="0"/>
          <w:w w:val="108"/>
          <w:sz w:val="18"/>
          <w:szCs w:val="18"/>
        </w:rPr>
        <w:t>.</w:t>
      </w:r>
    </w:p>
    <w:p w14:paraId="55A509D8" w14:textId="7A317BB1" w:rsidR="004F2C8E" w:rsidRPr="002A248F" w:rsidRDefault="004F2C8E" w:rsidP="001E1DC8">
      <w:pPr>
        <w:pStyle w:val="RSCB04AHeadingSection"/>
        <w:divId w:val="271595052"/>
        <w:rPr>
          <w:sz w:val="28"/>
        </w:rPr>
      </w:pPr>
      <w:r w:rsidRPr="002A248F">
        <w:t>References</w:t>
      </w:r>
    </w:p>
    <w:p w14:paraId="5F574853"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[1] Mittal AK, </w:t>
      </w:r>
      <w:proofErr w:type="spellStart"/>
      <w:r w:rsidRPr="00375A54">
        <w:rPr>
          <w:rStyle w:val="Strong"/>
          <w:rFonts w:ascii="Times New Roman" w:eastAsia="Times New Roman" w:hAnsi="Times New Roman" w:cs="Times New Roman"/>
          <w:b w:val="0"/>
          <w:sz w:val="20"/>
          <w:szCs w:val="20"/>
        </w:rPr>
        <w:t>Chisti</w:t>
      </w:r>
      <w:proofErr w:type="spellEnd"/>
      <w:r w:rsidRPr="00375A54">
        <w:rPr>
          <w:rStyle w:val="Strong"/>
          <w:rFonts w:ascii="Times New Roman" w:eastAsia="Times New Roman" w:hAnsi="Times New Roman" w:cs="Times New Roman"/>
          <w:b w:val="0"/>
          <w:sz w:val="20"/>
          <w:szCs w:val="20"/>
        </w:rPr>
        <w:t xml:space="preserve"> Y, Banerjee UC.</w:t>
      </w:r>
      <w:r w:rsidRPr="00375A54">
        <w:rPr>
          <w:rFonts w:ascii="Times New Roman" w:eastAsia="Times New Roman" w:hAnsi="Times New Roman" w:cs="Times New Roman"/>
          <w:sz w:val="20"/>
          <w:szCs w:val="20"/>
        </w:rPr>
        <w:t xml:space="preserve"> Synthesis of metallic nanoparticles using plant extracts. </w:t>
      </w:r>
      <w:proofErr w:type="spellStart"/>
      <w:r w:rsidRPr="00375A54">
        <w:rPr>
          <w:rFonts w:ascii="Times New Roman" w:eastAsia="Times New Roman" w:hAnsi="Times New Roman" w:cs="Times New Roman"/>
          <w:sz w:val="20"/>
          <w:szCs w:val="20"/>
        </w:rPr>
        <w:t>Biotechnol</w:t>
      </w:r>
      <w:proofErr w:type="spellEnd"/>
      <w:r w:rsidRPr="00375A54">
        <w:rPr>
          <w:rFonts w:ascii="Times New Roman" w:eastAsia="Times New Roman" w:hAnsi="Times New Roman" w:cs="Times New Roman"/>
          <w:sz w:val="20"/>
          <w:szCs w:val="20"/>
        </w:rPr>
        <w:t xml:space="preserve"> Adv. 2013;31(2):346-356.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10.1016/j.biotechadv.2013.01.003</w:t>
      </w:r>
    </w:p>
    <w:p w14:paraId="327E7331"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 </w:t>
      </w:r>
      <w:proofErr w:type="spellStart"/>
      <w:r w:rsidRPr="00375A54">
        <w:rPr>
          <w:rStyle w:val="Strong"/>
          <w:rFonts w:eastAsia="Times New Roman"/>
          <w:b w:val="0"/>
          <w:sz w:val="20"/>
          <w:szCs w:val="20"/>
        </w:rPr>
        <w:t>Jadoun</w:t>
      </w:r>
      <w:proofErr w:type="spellEnd"/>
      <w:r w:rsidRPr="00375A54">
        <w:rPr>
          <w:rStyle w:val="Strong"/>
          <w:rFonts w:eastAsia="Times New Roman"/>
          <w:b w:val="0"/>
          <w:sz w:val="20"/>
          <w:szCs w:val="20"/>
        </w:rPr>
        <w:t xml:space="preserve"> S, </w:t>
      </w:r>
      <w:proofErr w:type="spellStart"/>
      <w:r w:rsidRPr="00375A54">
        <w:rPr>
          <w:rStyle w:val="Strong"/>
          <w:rFonts w:eastAsia="Times New Roman"/>
          <w:b w:val="0"/>
          <w:sz w:val="20"/>
          <w:szCs w:val="20"/>
        </w:rPr>
        <w:t>Arif</w:t>
      </w:r>
      <w:proofErr w:type="spellEnd"/>
      <w:r w:rsidRPr="00375A54">
        <w:rPr>
          <w:rStyle w:val="Strong"/>
          <w:rFonts w:eastAsia="Times New Roman"/>
          <w:b w:val="0"/>
          <w:sz w:val="20"/>
          <w:szCs w:val="20"/>
        </w:rPr>
        <w:t xml:space="preserve"> R, </w:t>
      </w:r>
      <w:proofErr w:type="spellStart"/>
      <w:r w:rsidRPr="00375A54">
        <w:rPr>
          <w:rStyle w:val="Strong"/>
          <w:rFonts w:eastAsia="Times New Roman"/>
          <w:b w:val="0"/>
          <w:sz w:val="20"/>
          <w:szCs w:val="20"/>
        </w:rPr>
        <w:t>Jangid</w:t>
      </w:r>
      <w:proofErr w:type="spellEnd"/>
      <w:r w:rsidRPr="00375A54">
        <w:rPr>
          <w:rStyle w:val="Strong"/>
          <w:rFonts w:eastAsia="Times New Roman"/>
          <w:b w:val="0"/>
          <w:sz w:val="20"/>
          <w:szCs w:val="20"/>
        </w:rPr>
        <w:t xml:space="preserve"> NK, Meena RK.</w:t>
      </w:r>
      <w:r w:rsidRPr="00375A54">
        <w:rPr>
          <w:rStyle w:val="t286pc"/>
          <w:rFonts w:eastAsia="Times New Roman"/>
          <w:sz w:val="20"/>
          <w:szCs w:val="20"/>
        </w:rPr>
        <w:t xml:space="preserve"> Green synthesis of nanoparticles using plant extracts: a review. Environ Chem Lett. 2021;19(1):355-374.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10.1007/s10311-020-01074-x</w:t>
      </w:r>
    </w:p>
    <w:p w14:paraId="3815ECE0"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[3] Singh J, Dutta T, Kim KH, Rawat M, </w:t>
      </w:r>
      <w:proofErr w:type="spellStart"/>
      <w:r w:rsidRPr="00375A54">
        <w:rPr>
          <w:rStyle w:val="Strong"/>
          <w:rFonts w:eastAsia="Times New Roman"/>
          <w:b w:val="0"/>
          <w:sz w:val="20"/>
          <w:szCs w:val="20"/>
        </w:rPr>
        <w:t>Samddar</w:t>
      </w:r>
      <w:proofErr w:type="spellEnd"/>
      <w:r w:rsidRPr="00375A54">
        <w:rPr>
          <w:rStyle w:val="Strong"/>
          <w:rFonts w:eastAsia="Times New Roman"/>
          <w:b w:val="0"/>
          <w:sz w:val="20"/>
          <w:szCs w:val="20"/>
        </w:rPr>
        <w:t xml:space="preserve"> P, Kumar P.</w:t>
      </w:r>
      <w:r w:rsidRPr="00375A54">
        <w:rPr>
          <w:rStyle w:val="t286pc"/>
          <w:rFonts w:eastAsia="Times New Roman"/>
          <w:sz w:val="20"/>
          <w:szCs w:val="20"/>
        </w:rPr>
        <w:t xml:space="preserve"> ‘Green’ synthesis of metals and their oxide nanoparticles: applications for environmental remediation. J Nanobiotechnology. 2018;16(1):84.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10.1186/s12951-018-0408-4</w:t>
      </w:r>
    </w:p>
    <w:p w14:paraId="491638F1" w14:textId="77777777" w:rsidR="00F953CE" w:rsidRPr="00375A54" w:rsidRDefault="00EC70D7" w:rsidP="00F953CE">
      <w:pPr>
        <w:pStyle w:val="df3vjf"/>
        <w:shd w:val="clear" w:color="auto" w:fill="FFFFFF"/>
        <w:spacing w:before="0" w:beforeAutospacing="0" w:after="180" w:afterAutospacing="0" w:line="288" w:lineRule="atLeast"/>
        <w:ind w:left="360"/>
        <w:jc w:val="both"/>
        <w:divId w:val="271595052"/>
        <w:rPr>
          <w:rStyle w:val="t286pc"/>
          <w:rFonts w:eastAsia="Times New Roman"/>
          <w:sz w:val="20"/>
          <w:szCs w:val="20"/>
        </w:rPr>
      </w:pPr>
      <w:r w:rsidRPr="00375A54">
        <w:rPr>
          <w:rStyle w:val="Strong"/>
          <w:rFonts w:eastAsia="Times New Roman"/>
          <w:b w:val="0"/>
          <w:sz w:val="20"/>
          <w:szCs w:val="20"/>
        </w:rPr>
        <w:t xml:space="preserve">[4] </w:t>
      </w:r>
      <w:proofErr w:type="spellStart"/>
      <w:r w:rsidRPr="00375A54">
        <w:rPr>
          <w:rStyle w:val="Strong"/>
          <w:rFonts w:eastAsia="Times New Roman"/>
          <w:b w:val="0"/>
          <w:sz w:val="20"/>
          <w:szCs w:val="20"/>
        </w:rPr>
        <w:t>Ovais</w:t>
      </w:r>
      <w:proofErr w:type="spellEnd"/>
      <w:r w:rsidRPr="00375A54">
        <w:rPr>
          <w:rStyle w:val="Strong"/>
          <w:rFonts w:eastAsia="Times New Roman"/>
          <w:b w:val="0"/>
          <w:sz w:val="20"/>
          <w:szCs w:val="20"/>
        </w:rPr>
        <w:t xml:space="preserve"> M, Khalil AT, Islam NU, Ahmad I, Ayaz M, Saravanan M, et al.</w:t>
      </w:r>
      <w:r w:rsidRPr="00375A54">
        <w:rPr>
          <w:rStyle w:val="t286pc"/>
          <w:rFonts w:eastAsia="Times New Roman"/>
          <w:sz w:val="20"/>
          <w:szCs w:val="20"/>
        </w:rPr>
        <w:t xml:space="preserve"> Role of plant phytochemicals and microbial enzymes in biosynthesis of metallic nanoparticles. </w:t>
      </w:r>
      <w:proofErr w:type="spellStart"/>
      <w:r w:rsidRPr="00375A54">
        <w:rPr>
          <w:rStyle w:val="t286pc"/>
          <w:rFonts w:eastAsia="Times New Roman"/>
          <w:sz w:val="20"/>
          <w:szCs w:val="20"/>
        </w:rPr>
        <w:t>Appl</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Microbiol</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Biotechnol</w:t>
      </w:r>
      <w:proofErr w:type="spellEnd"/>
      <w:r w:rsidRPr="00375A54">
        <w:rPr>
          <w:rStyle w:val="t286pc"/>
          <w:rFonts w:eastAsia="Times New Roman"/>
          <w:sz w:val="20"/>
          <w:szCs w:val="20"/>
        </w:rPr>
        <w:t>. 2018</w:t>
      </w:r>
      <w:r w:rsidR="00731AFC" w:rsidRPr="00375A54">
        <w:rPr>
          <w:rStyle w:val="t286pc"/>
          <w:rFonts w:eastAsia="Times New Roman"/>
          <w:sz w:val="20"/>
          <w:szCs w:val="20"/>
        </w:rPr>
        <w:t>; 102</w:t>
      </w:r>
      <w:r w:rsidRPr="00375A54">
        <w:rPr>
          <w:rStyle w:val="t286pc"/>
          <w:rFonts w:eastAsia="Times New Roman"/>
          <w:sz w:val="20"/>
          <w:szCs w:val="20"/>
        </w:rPr>
        <w:t xml:space="preserve">(16):6799-6814.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10.1007/s00253-018-9146-7</w:t>
      </w:r>
    </w:p>
    <w:p w14:paraId="67AA8B3F" w14:textId="74935216" w:rsidR="00F953CE" w:rsidRPr="00375A54" w:rsidRDefault="00EC70D7" w:rsidP="00F953CE">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[5]</w:t>
      </w:r>
      <w:r w:rsidR="00F953CE" w:rsidRPr="00375A54">
        <w:rPr>
          <w:rStyle w:val="Strong"/>
          <w:rFonts w:eastAsia="Times New Roman"/>
          <w:b w:val="0"/>
          <w:sz w:val="20"/>
          <w:szCs w:val="20"/>
        </w:rPr>
        <w:t xml:space="preserve"> </w:t>
      </w:r>
      <w:proofErr w:type="spellStart"/>
      <w:r w:rsidR="00F953CE" w:rsidRPr="00375A54">
        <w:rPr>
          <w:rFonts w:ascii="Roboto" w:eastAsia="Times New Roman" w:hAnsi="Roboto"/>
          <w:color w:val="0A0A0A"/>
          <w:sz w:val="20"/>
          <w:szCs w:val="20"/>
          <w:shd w:val="clear" w:color="auto" w:fill="FFFFFF"/>
        </w:rPr>
        <w:t>Umerie</w:t>
      </w:r>
      <w:proofErr w:type="spellEnd"/>
      <w:r w:rsidR="00F953CE" w:rsidRPr="00375A54">
        <w:rPr>
          <w:rFonts w:ascii="Roboto" w:eastAsia="Times New Roman" w:hAnsi="Roboto"/>
          <w:color w:val="0A0A0A"/>
          <w:sz w:val="20"/>
          <w:szCs w:val="20"/>
          <w:shd w:val="clear" w:color="auto" w:fill="FFFFFF"/>
        </w:rPr>
        <w:t xml:space="preserve"> SC, Okorie NH, Dike DU, Ani NI. Phytochemical analysis and antioxidant activity of avocado pear peel (</w:t>
      </w:r>
      <w:proofErr w:type="spellStart"/>
      <w:r w:rsidR="00F953CE" w:rsidRPr="00375A54">
        <w:rPr>
          <w:rFonts w:ascii="Roboto" w:eastAsia="Times New Roman" w:hAnsi="Roboto"/>
          <w:color w:val="0A0A0A"/>
          <w:sz w:val="20"/>
          <w:szCs w:val="20"/>
          <w:shd w:val="clear" w:color="auto" w:fill="FFFFFF"/>
        </w:rPr>
        <w:t>Persea</w:t>
      </w:r>
      <w:proofErr w:type="spellEnd"/>
      <w:r w:rsidR="00F953CE" w:rsidRPr="00375A54">
        <w:rPr>
          <w:rFonts w:ascii="Roboto" w:eastAsia="Times New Roman" w:hAnsi="Roboto"/>
          <w:color w:val="0A0A0A"/>
          <w:sz w:val="20"/>
          <w:szCs w:val="20"/>
          <w:shd w:val="clear" w:color="auto" w:fill="FFFFFF"/>
        </w:rPr>
        <w:t xml:space="preserve"> </w:t>
      </w:r>
      <w:proofErr w:type="spellStart"/>
      <w:r w:rsidR="00F953CE" w:rsidRPr="00375A54">
        <w:rPr>
          <w:rFonts w:ascii="Roboto" w:eastAsia="Times New Roman" w:hAnsi="Roboto"/>
          <w:color w:val="0A0A0A"/>
          <w:sz w:val="20"/>
          <w:szCs w:val="20"/>
          <w:shd w:val="clear" w:color="auto" w:fill="FFFFFF"/>
        </w:rPr>
        <w:t>americana</w:t>
      </w:r>
      <w:proofErr w:type="spellEnd"/>
      <w:r w:rsidR="00F953CE" w:rsidRPr="00375A54">
        <w:rPr>
          <w:rFonts w:ascii="Roboto" w:eastAsia="Times New Roman" w:hAnsi="Roboto"/>
          <w:color w:val="0A0A0A"/>
          <w:sz w:val="20"/>
          <w:szCs w:val="20"/>
          <w:shd w:val="clear" w:color="auto" w:fill="FFFFFF"/>
        </w:rPr>
        <w:t>) extract. J Pharm Res Int. 2022 Mar 29;34(28A):22-29. </w:t>
      </w:r>
    </w:p>
    <w:p w14:paraId="323A06F8"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[6] Zhang XF, Liu ZG, Shen W, </w:t>
      </w:r>
      <w:proofErr w:type="spellStart"/>
      <w:r w:rsidRPr="00375A54">
        <w:rPr>
          <w:rStyle w:val="Strong"/>
          <w:rFonts w:ascii="Times New Roman" w:eastAsia="Times New Roman" w:hAnsi="Times New Roman" w:cs="Times New Roman"/>
          <w:b w:val="0"/>
          <w:sz w:val="20"/>
          <w:szCs w:val="20"/>
        </w:rPr>
        <w:t>Gurunathan</w:t>
      </w:r>
      <w:proofErr w:type="spellEnd"/>
      <w:r w:rsidRPr="00375A54">
        <w:rPr>
          <w:rStyle w:val="Strong"/>
          <w:rFonts w:ascii="Times New Roman" w:eastAsia="Times New Roman" w:hAnsi="Times New Roman" w:cs="Times New Roman"/>
          <w:b w:val="0"/>
          <w:sz w:val="20"/>
          <w:szCs w:val="20"/>
        </w:rPr>
        <w:t xml:space="preserve"> S.</w:t>
      </w:r>
      <w:r w:rsidRPr="00375A54">
        <w:rPr>
          <w:rFonts w:ascii="Times New Roman" w:eastAsia="Times New Roman" w:hAnsi="Times New Roman" w:cs="Times New Roman"/>
          <w:sz w:val="20"/>
          <w:szCs w:val="20"/>
        </w:rPr>
        <w:t xml:space="preserve"> Silver nanoparticles: synthesis, characterization, properties, applications, and therapeutic approaches. Int J Mol Sci. 2016;17(9):1534.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10.3390/ijms17091534</w:t>
      </w:r>
    </w:p>
    <w:p w14:paraId="772A33A7"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[7] </w:t>
      </w:r>
      <w:proofErr w:type="spellStart"/>
      <w:r w:rsidRPr="00375A54">
        <w:rPr>
          <w:rStyle w:val="Strong"/>
          <w:rFonts w:eastAsia="Times New Roman"/>
          <w:b w:val="0"/>
          <w:sz w:val="20"/>
          <w:szCs w:val="20"/>
        </w:rPr>
        <w:t>Burdușel</w:t>
      </w:r>
      <w:proofErr w:type="spellEnd"/>
      <w:r w:rsidRPr="00375A54">
        <w:rPr>
          <w:rStyle w:val="Strong"/>
          <w:rFonts w:eastAsia="Times New Roman"/>
          <w:b w:val="0"/>
          <w:sz w:val="20"/>
          <w:szCs w:val="20"/>
        </w:rPr>
        <w:t xml:space="preserve"> AC, </w:t>
      </w:r>
      <w:proofErr w:type="spellStart"/>
      <w:r w:rsidRPr="00375A54">
        <w:rPr>
          <w:rStyle w:val="Strong"/>
          <w:rFonts w:eastAsia="Times New Roman"/>
          <w:b w:val="0"/>
          <w:sz w:val="20"/>
          <w:szCs w:val="20"/>
        </w:rPr>
        <w:t>Gherasim</w:t>
      </w:r>
      <w:proofErr w:type="spellEnd"/>
      <w:r w:rsidRPr="00375A54">
        <w:rPr>
          <w:rStyle w:val="Strong"/>
          <w:rFonts w:eastAsia="Times New Roman"/>
          <w:b w:val="0"/>
          <w:sz w:val="20"/>
          <w:szCs w:val="20"/>
        </w:rPr>
        <w:t xml:space="preserve"> O, </w:t>
      </w:r>
      <w:proofErr w:type="spellStart"/>
      <w:r w:rsidRPr="00375A54">
        <w:rPr>
          <w:rStyle w:val="Strong"/>
          <w:rFonts w:eastAsia="Times New Roman"/>
          <w:b w:val="0"/>
          <w:sz w:val="20"/>
          <w:szCs w:val="20"/>
        </w:rPr>
        <w:t>Grumezescu</w:t>
      </w:r>
      <w:proofErr w:type="spellEnd"/>
      <w:r w:rsidRPr="00375A54">
        <w:rPr>
          <w:rStyle w:val="Strong"/>
          <w:rFonts w:eastAsia="Times New Roman"/>
          <w:b w:val="0"/>
          <w:sz w:val="20"/>
          <w:szCs w:val="20"/>
        </w:rPr>
        <w:t xml:space="preserve"> AM, </w:t>
      </w:r>
      <w:proofErr w:type="spellStart"/>
      <w:r w:rsidRPr="00375A54">
        <w:rPr>
          <w:rStyle w:val="Strong"/>
          <w:rFonts w:eastAsia="Times New Roman"/>
          <w:b w:val="0"/>
          <w:sz w:val="20"/>
          <w:szCs w:val="20"/>
        </w:rPr>
        <w:t>Mogoantă</w:t>
      </w:r>
      <w:proofErr w:type="spellEnd"/>
      <w:r w:rsidRPr="00375A54">
        <w:rPr>
          <w:rStyle w:val="Strong"/>
          <w:rFonts w:eastAsia="Times New Roman"/>
          <w:b w:val="0"/>
          <w:sz w:val="20"/>
          <w:szCs w:val="20"/>
        </w:rPr>
        <w:t xml:space="preserve"> L, </w:t>
      </w:r>
      <w:proofErr w:type="spellStart"/>
      <w:r w:rsidRPr="00375A54">
        <w:rPr>
          <w:rStyle w:val="Strong"/>
          <w:rFonts w:eastAsia="Times New Roman"/>
          <w:b w:val="0"/>
          <w:sz w:val="20"/>
          <w:szCs w:val="20"/>
        </w:rPr>
        <w:t>Ficai</w:t>
      </w:r>
      <w:proofErr w:type="spellEnd"/>
      <w:r w:rsidRPr="00375A54">
        <w:rPr>
          <w:rStyle w:val="Strong"/>
          <w:rFonts w:eastAsia="Times New Roman"/>
          <w:b w:val="0"/>
          <w:sz w:val="20"/>
          <w:szCs w:val="20"/>
        </w:rPr>
        <w:t xml:space="preserve"> A, </w:t>
      </w:r>
      <w:proofErr w:type="spellStart"/>
      <w:r w:rsidRPr="00375A54">
        <w:rPr>
          <w:rStyle w:val="Strong"/>
          <w:rFonts w:eastAsia="Times New Roman"/>
          <w:b w:val="0"/>
          <w:sz w:val="20"/>
          <w:szCs w:val="20"/>
        </w:rPr>
        <w:t>Andronescu</w:t>
      </w:r>
      <w:proofErr w:type="spellEnd"/>
      <w:r w:rsidRPr="00375A54">
        <w:rPr>
          <w:rStyle w:val="Strong"/>
          <w:rFonts w:eastAsia="Times New Roman"/>
          <w:b w:val="0"/>
          <w:sz w:val="20"/>
          <w:szCs w:val="20"/>
        </w:rPr>
        <w:t xml:space="preserve"> E.</w:t>
      </w:r>
      <w:r w:rsidRPr="00375A54">
        <w:rPr>
          <w:rStyle w:val="t286pc"/>
          <w:rFonts w:eastAsia="Times New Roman"/>
          <w:sz w:val="20"/>
          <w:szCs w:val="20"/>
        </w:rPr>
        <w:t xml:space="preserve"> Biomedical applications of silver nanoparticles: an up-to-date review. Nanomaterials. 2018;8(9):681.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10.3390/nano8090681</w:t>
      </w:r>
    </w:p>
    <w:p w14:paraId="290C8C86"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[8] </w:t>
      </w:r>
      <w:proofErr w:type="spellStart"/>
      <w:r w:rsidRPr="00375A54">
        <w:rPr>
          <w:rStyle w:val="Strong"/>
          <w:rFonts w:eastAsia="Times New Roman"/>
          <w:b w:val="0"/>
          <w:sz w:val="20"/>
          <w:szCs w:val="20"/>
        </w:rPr>
        <w:t>Tortella</w:t>
      </w:r>
      <w:proofErr w:type="spellEnd"/>
      <w:r w:rsidRPr="00375A54">
        <w:rPr>
          <w:rStyle w:val="Strong"/>
          <w:rFonts w:eastAsia="Times New Roman"/>
          <w:b w:val="0"/>
          <w:sz w:val="20"/>
          <w:szCs w:val="20"/>
        </w:rPr>
        <w:t xml:space="preserve"> GR, </w:t>
      </w:r>
      <w:proofErr w:type="spellStart"/>
      <w:r w:rsidRPr="00375A54">
        <w:rPr>
          <w:rStyle w:val="Strong"/>
          <w:rFonts w:eastAsia="Times New Roman"/>
          <w:b w:val="0"/>
          <w:sz w:val="20"/>
          <w:szCs w:val="20"/>
        </w:rPr>
        <w:t>Rubilar</w:t>
      </w:r>
      <w:proofErr w:type="spellEnd"/>
      <w:r w:rsidRPr="00375A54">
        <w:rPr>
          <w:rStyle w:val="Strong"/>
          <w:rFonts w:eastAsia="Times New Roman"/>
          <w:b w:val="0"/>
          <w:sz w:val="20"/>
          <w:szCs w:val="20"/>
        </w:rPr>
        <w:t xml:space="preserve"> O, Durán N, Diez MC, Martínez M, Parada J, et al.</w:t>
      </w:r>
      <w:r w:rsidRPr="00375A54">
        <w:rPr>
          <w:rStyle w:val="t286pc"/>
          <w:rFonts w:eastAsia="Times New Roman"/>
          <w:sz w:val="20"/>
          <w:szCs w:val="20"/>
        </w:rPr>
        <w:t xml:space="preserve"> Silver nanoparticles: toxicity in model organisms as an overview of its hazard for environmental health. J Hazard Mater. </w:t>
      </w:r>
      <w:proofErr w:type="gramStart"/>
      <w:r w:rsidRPr="00375A54">
        <w:rPr>
          <w:rStyle w:val="t286pc"/>
          <w:rFonts w:eastAsia="Times New Roman"/>
          <w:sz w:val="20"/>
          <w:szCs w:val="20"/>
        </w:rPr>
        <w:t>2020;390:121974</w:t>
      </w:r>
      <w:proofErr w:type="gramEnd"/>
      <w:r w:rsidRPr="00375A54">
        <w:rPr>
          <w:rStyle w:val="t286pc"/>
          <w:rFonts w:eastAsia="Times New Roman"/>
          <w:sz w:val="20"/>
          <w:szCs w:val="20"/>
        </w:rPr>
        <w:t xml:space="preserve">.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10.1016/j.jhazmat.2019.121974</w:t>
      </w:r>
    </w:p>
    <w:p w14:paraId="6177B816"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Style w:val="t286pc"/>
          <w:rFonts w:eastAsia="Times New Roman"/>
          <w:sz w:val="20"/>
          <w:szCs w:val="20"/>
        </w:rPr>
      </w:pPr>
      <w:r w:rsidRPr="00375A54">
        <w:rPr>
          <w:rStyle w:val="Strong"/>
          <w:rFonts w:eastAsia="Times New Roman"/>
          <w:b w:val="0"/>
          <w:sz w:val="20"/>
          <w:szCs w:val="20"/>
        </w:rPr>
        <w:lastRenderedPageBreak/>
        <w:t>[9] Lee SH, Jun BH.</w:t>
      </w:r>
      <w:r w:rsidRPr="00375A54">
        <w:rPr>
          <w:rStyle w:val="t286pc"/>
          <w:rFonts w:eastAsia="Times New Roman"/>
          <w:sz w:val="20"/>
          <w:szCs w:val="20"/>
        </w:rPr>
        <w:t xml:space="preserve"> Silver nanoparticles: synthesis and application for nanomedicine. Pharmaceutics. 2019;11(10):499.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10.3390/pharmaceutics11100499</w:t>
      </w:r>
    </w:p>
    <w:p w14:paraId="48DE01CD" w14:textId="28E008CD" w:rsidR="00EC70D7" w:rsidRPr="00375A54" w:rsidRDefault="00EC70D7" w:rsidP="00684EBA">
      <w:pPr>
        <w:pStyle w:val="df3vjf"/>
        <w:shd w:val="clear" w:color="auto" w:fill="FFFFFF"/>
        <w:spacing w:before="0" w:beforeAutospacing="0" w:after="180" w:afterAutospacing="0" w:line="288" w:lineRule="atLeast"/>
        <w:ind w:left="360"/>
        <w:jc w:val="both"/>
        <w:divId w:val="271595052"/>
        <w:rPr>
          <w:sz w:val="20"/>
          <w:szCs w:val="20"/>
        </w:rPr>
      </w:pPr>
      <w:r w:rsidRPr="00375A54">
        <w:rPr>
          <w:rStyle w:val="Strong"/>
          <w:rFonts w:eastAsia="Times New Roman"/>
          <w:b w:val="0"/>
          <w:sz w:val="20"/>
          <w:szCs w:val="20"/>
        </w:rPr>
        <w:t xml:space="preserve">[10] </w:t>
      </w:r>
      <w:proofErr w:type="spellStart"/>
      <w:r w:rsidRPr="00375A54">
        <w:rPr>
          <w:sz w:val="20"/>
          <w:szCs w:val="20"/>
        </w:rPr>
        <w:t>Ikeh</w:t>
      </w:r>
      <w:proofErr w:type="spellEnd"/>
      <w:r w:rsidRPr="00375A54">
        <w:rPr>
          <w:sz w:val="20"/>
          <w:szCs w:val="20"/>
        </w:rPr>
        <w:t xml:space="preserve"> </w:t>
      </w:r>
      <w:r w:rsidR="00684EBA" w:rsidRPr="00375A54">
        <w:rPr>
          <w:sz w:val="20"/>
          <w:szCs w:val="20"/>
        </w:rPr>
        <w:t xml:space="preserve">GO, </w:t>
      </w:r>
      <w:proofErr w:type="spellStart"/>
      <w:r w:rsidR="00684EBA" w:rsidRPr="00375A54">
        <w:rPr>
          <w:sz w:val="20"/>
          <w:szCs w:val="20"/>
        </w:rPr>
        <w:t>Ugwu</w:t>
      </w:r>
      <w:proofErr w:type="spellEnd"/>
      <w:r w:rsidR="00684EBA" w:rsidRPr="00375A54">
        <w:rPr>
          <w:sz w:val="20"/>
          <w:szCs w:val="20"/>
        </w:rPr>
        <w:t xml:space="preserve"> PE, </w:t>
      </w:r>
      <w:proofErr w:type="spellStart"/>
      <w:r w:rsidR="00684EBA" w:rsidRPr="00375A54">
        <w:rPr>
          <w:sz w:val="20"/>
          <w:szCs w:val="20"/>
        </w:rPr>
        <w:t>Okpoto</w:t>
      </w:r>
      <w:proofErr w:type="spellEnd"/>
      <w:r w:rsidR="00684EBA" w:rsidRPr="00375A54">
        <w:rPr>
          <w:sz w:val="20"/>
          <w:szCs w:val="20"/>
        </w:rPr>
        <w:t xml:space="preserve"> RC, Njoku EA, </w:t>
      </w:r>
      <w:proofErr w:type="spellStart"/>
      <w:r w:rsidR="00684EBA" w:rsidRPr="00375A54">
        <w:rPr>
          <w:sz w:val="20"/>
          <w:szCs w:val="20"/>
        </w:rPr>
        <w:t>Diovu</w:t>
      </w:r>
      <w:proofErr w:type="spellEnd"/>
      <w:r w:rsidR="00684EBA" w:rsidRPr="00375A54">
        <w:rPr>
          <w:sz w:val="20"/>
          <w:szCs w:val="20"/>
        </w:rPr>
        <w:t xml:space="preserve"> CC, </w:t>
      </w:r>
      <w:proofErr w:type="spellStart"/>
      <w:r w:rsidR="00684EBA" w:rsidRPr="00375A54">
        <w:rPr>
          <w:sz w:val="20"/>
          <w:szCs w:val="20"/>
        </w:rPr>
        <w:t>Adonu</w:t>
      </w:r>
      <w:proofErr w:type="spellEnd"/>
      <w:r w:rsidR="00684EBA" w:rsidRPr="00375A54">
        <w:rPr>
          <w:sz w:val="20"/>
          <w:szCs w:val="20"/>
        </w:rPr>
        <w:t xml:space="preserve"> CC. Biogenic Synthesis and comparative Assessment of the Antimicrobial Activities of Silver and Zinc Nanoparticles of </w:t>
      </w:r>
      <w:proofErr w:type="spellStart"/>
      <w:r w:rsidR="00684EBA" w:rsidRPr="00375A54">
        <w:rPr>
          <w:i/>
          <w:sz w:val="20"/>
          <w:szCs w:val="20"/>
        </w:rPr>
        <w:t>Dialium</w:t>
      </w:r>
      <w:proofErr w:type="spellEnd"/>
      <w:r w:rsidR="00684EBA" w:rsidRPr="00375A54">
        <w:rPr>
          <w:i/>
          <w:sz w:val="20"/>
          <w:szCs w:val="20"/>
        </w:rPr>
        <w:t xml:space="preserve"> </w:t>
      </w:r>
      <w:proofErr w:type="spellStart"/>
      <w:r w:rsidR="00684EBA" w:rsidRPr="00375A54">
        <w:rPr>
          <w:i/>
          <w:sz w:val="20"/>
          <w:szCs w:val="20"/>
        </w:rPr>
        <w:t>guineense</w:t>
      </w:r>
      <w:proofErr w:type="spellEnd"/>
      <w:r w:rsidR="00684EBA" w:rsidRPr="00375A54">
        <w:rPr>
          <w:i/>
          <w:sz w:val="20"/>
          <w:szCs w:val="20"/>
        </w:rPr>
        <w:t xml:space="preserve"> </w:t>
      </w:r>
      <w:r w:rsidR="00684EBA" w:rsidRPr="00375A54">
        <w:rPr>
          <w:sz w:val="20"/>
          <w:szCs w:val="20"/>
        </w:rPr>
        <w:t xml:space="preserve">Leaf Extract against Human Pathogens. J. </w:t>
      </w:r>
      <w:proofErr w:type="spellStart"/>
      <w:r w:rsidR="00684EBA" w:rsidRPr="00375A54">
        <w:rPr>
          <w:sz w:val="20"/>
          <w:szCs w:val="20"/>
        </w:rPr>
        <w:t>Compl</w:t>
      </w:r>
      <w:proofErr w:type="spellEnd"/>
      <w:r w:rsidR="00684EBA" w:rsidRPr="00375A54">
        <w:rPr>
          <w:sz w:val="20"/>
          <w:szCs w:val="20"/>
        </w:rPr>
        <w:t xml:space="preserve">. </w:t>
      </w:r>
      <w:proofErr w:type="spellStart"/>
      <w:r w:rsidR="00684EBA" w:rsidRPr="00375A54">
        <w:rPr>
          <w:sz w:val="20"/>
          <w:szCs w:val="20"/>
        </w:rPr>
        <w:t>Altern</w:t>
      </w:r>
      <w:proofErr w:type="spellEnd"/>
      <w:r w:rsidR="00684EBA" w:rsidRPr="00375A54">
        <w:rPr>
          <w:sz w:val="20"/>
          <w:szCs w:val="20"/>
        </w:rPr>
        <w:t>. Med. Res.</w:t>
      </w:r>
      <w:r w:rsidRPr="00375A54">
        <w:rPr>
          <w:sz w:val="20"/>
          <w:szCs w:val="20"/>
        </w:rPr>
        <w:t xml:space="preserve"> 2024</w:t>
      </w:r>
      <w:r w:rsidR="00684EBA" w:rsidRPr="00375A54">
        <w:rPr>
          <w:sz w:val="20"/>
          <w:szCs w:val="20"/>
        </w:rPr>
        <w:t xml:space="preserve">:25(12):211-26. </w:t>
      </w:r>
      <w:proofErr w:type="spellStart"/>
      <w:r w:rsidR="00684EBA" w:rsidRPr="00375A54">
        <w:rPr>
          <w:sz w:val="20"/>
          <w:szCs w:val="20"/>
        </w:rPr>
        <w:t>doi</w:t>
      </w:r>
      <w:proofErr w:type="spellEnd"/>
      <w:r w:rsidR="00684EBA" w:rsidRPr="00375A54">
        <w:rPr>
          <w:sz w:val="20"/>
          <w:szCs w:val="20"/>
        </w:rPr>
        <w:t>: 10.9734/</w:t>
      </w:r>
      <w:proofErr w:type="spellStart"/>
      <w:r w:rsidR="00684EBA" w:rsidRPr="00375A54">
        <w:rPr>
          <w:sz w:val="20"/>
          <w:szCs w:val="20"/>
        </w:rPr>
        <w:t>jocamr</w:t>
      </w:r>
      <w:proofErr w:type="spellEnd"/>
      <w:r w:rsidR="00684EBA" w:rsidRPr="00375A54">
        <w:rPr>
          <w:sz w:val="20"/>
          <w:szCs w:val="20"/>
        </w:rPr>
        <w:t>/2024/v25i12607</w:t>
      </w:r>
    </w:p>
    <w:p w14:paraId="5F08FA58" w14:textId="77777777" w:rsidR="002A248F" w:rsidRPr="00375A54" w:rsidRDefault="00EC70D7" w:rsidP="002A248F">
      <w:pPr>
        <w:pStyle w:val="df3vjf"/>
        <w:shd w:val="clear" w:color="auto" w:fill="FFFFFF"/>
        <w:spacing w:before="0" w:beforeAutospacing="0" w:after="180" w:afterAutospacing="0" w:line="288" w:lineRule="atLeast"/>
        <w:ind w:left="360"/>
        <w:jc w:val="both"/>
        <w:divId w:val="271595052"/>
        <w:rPr>
          <w:sz w:val="20"/>
          <w:szCs w:val="20"/>
        </w:rPr>
      </w:pPr>
      <w:r w:rsidRPr="00375A54">
        <w:rPr>
          <w:rStyle w:val="Strong"/>
          <w:rFonts w:eastAsia="Times New Roman"/>
          <w:b w:val="0"/>
          <w:sz w:val="20"/>
          <w:szCs w:val="20"/>
        </w:rPr>
        <w:t>[11]</w:t>
      </w:r>
      <w:r w:rsidRPr="00375A54">
        <w:rPr>
          <w:sz w:val="20"/>
          <w:szCs w:val="20"/>
        </w:rPr>
        <w:t xml:space="preserve"> Okorie </w:t>
      </w:r>
      <w:r w:rsidR="00EC2900" w:rsidRPr="00375A54">
        <w:rPr>
          <w:sz w:val="20"/>
          <w:szCs w:val="20"/>
        </w:rPr>
        <w:t xml:space="preserve">NH, </w:t>
      </w:r>
      <w:proofErr w:type="spellStart"/>
      <w:r w:rsidR="00EC2900" w:rsidRPr="00375A54">
        <w:rPr>
          <w:sz w:val="20"/>
          <w:szCs w:val="20"/>
        </w:rPr>
        <w:t>Ikeh</w:t>
      </w:r>
      <w:proofErr w:type="spellEnd"/>
      <w:r w:rsidR="00EC2900" w:rsidRPr="00375A54">
        <w:rPr>
          <w:sz w:val="20"/>
          <w:szCs w:val="20"/>
        </w:rPr>
        <w:t xml:space="preserve"> GO, </w:t>
      </w:r>
      <w:proofErr w:type="spellStart"/>
      <w:r w:rsidR="00EC2900" w:rsidRPr="00375A54">
        <w:rPr>
          <w:sz w:val="20"/>
          <w:szCs w:val="20"/>
        </w:rPr>
        <w:t>Adonu</w:t>
      </w:r>
      <w:proofErr w:type="spellEnd"/>
      <w:r w:rsidR="00EC2900" w:rsidRPr="00375A54">
        <w:rPr>
          <w:sz w:val="20"/>
          <w:szCs w:val="20"/>
        </w:rPr>
        <w:t xml:space="preserve"> CC, Okorie CP, </w:t>
      </w:r>
      <w:proofErr w:type="spellStart"/>
      <w:r w:rsidR="00EC2900" w:rsidRPr="00375A54">
        <w:rPr>
          <w:sz w:val="20"/>
          <w:szCs w:val="20"/>
        </w:rPr>
        <w:t>Omeh</w:t>
      </w:r>
      <w:proofErr w:type="spellEnd"/>
      <w:r w:rsidR="00EC2900" w:rsidRPr="00375A54">
        <w:rPr>
          <w:sz w:val="20"/>
          <w:szCs w:val="20"/>
        </w:rPr>
        <w:t xml:space="preserve"> RC, </w:t>
      </w:r>
      <w:proofErr w:type="spellStart"/>
      <w:r w:rsidR="00EC2900" w:rsidRPr="00375A54">
        <w:rPr>
          <w:sz w:val="20"/>
          <w:szCs w:val="20"/>
        </w:rPr>
        <w:t>Nwangwu</w:t>
      </w:r>
      <w:proofErr w:type="spellEnd"/>
      <w:r w:rsidR="00EC2900" w:rsidRPr="00375A54">
        <w:rPr>
          <w:sz w:val="20"/>
          <w:szCs w:val="20"/>
        </w:rPr>
        <w:t xml:space="preserve"> AK. Precursor Chemistry and Antimicrobial Performance: A Green Synthesis Approach to the Zinc Oxide Nanoparticles. Asian J. Apple. Chem. Res. 2025;16(2):116-40. </w:t>
      </w:r>
      <w:proofErr w:type="spellStart"/>
      <w:r w:rsidR="00EC2900" w:rsidRPr="00375A54">
        <w:rPr>
          <w:sz w:val="20"/>
          <w:szCs w:val="20"/>
        </w:rPr>
        <w:t>doi</w:t>
      </w:r>
      <w:proofErr w:type="spellEnd"/>
      <w:r w:rsidR="00EC2900" w:rsidRPr="00375A54">
        <w:rPr>
          <w:sz w:val="20"/>
          <w:szCs w:val="20"/>
        </w:rPr>
        <w:t>: 10.9734/</w:t>
      </w:r>
      <w:proofErr w:type="spellStart"/>
      <w:r w:rsidR="00EC2900" w:rsidRPr="00375A54">
        <w:rPr>
          <w:sz w:val="20"/>
          <w:szCs w:val="20"/>
        </w:rPr>
        <w:t>ajacr</w:t>
      </w:r>
      <w:proofErr w:type="spellEnd"/>
      <w:r w:rsidR="00EC2900" w:rsidRPr="00375A54">
        <w:rPr>
          <w:sz w:val="20"/>
          <w:szCs w:val="20"/>
        </w:rPr>
        <w:t>/2025/v16i2333</w:t>
      </w:r>
    </w:p>
    <w:p w14:paraId="122D3383" w14:textId="17E2AB5D" w:rsidR="00EC70D7" w:rsidRPr="00375A54" w:rsidRDefault="00EC70D7" w:rsidP="002A248F">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[12] </w:t>
      </w:r>
      <w:proofErr w:type="spellStart"/>
      <w:r w:rsidR="002A248F" w:rsidRPr="00375A54">
        <w:rPr>
          <w:rFonts w:eastAsia="Times New Roman"/>
          <w:sz w:val="20"/>
          <w:szCs w:val="20"/>
          <w:shd w:val="clear" w:color="auto" w:fill="FFFFFF"/>
        </w:rPr>
        <w:t>Ikeh</w:t>
      </w:r>
      <w:proofErr w:type="spellEnd"/>
      <w:r w:rsidR="002A248F" w:rsidRPr="00375A54">
        <w:rPr>
          <w:rFonts w:eastAsia="Times New Roman"/>
          <w:sz w:val="20"/>
          <w:szCs w:val="20"/>
          <w:shd w:val="clear" w:color="auto" w:fill="FFFFFF"/>
        </w:rPr>
        <w:t xml:space="preserve"> GO, </w:t>
      </w:r>
      <w:proofErr w:type="spellStart"/>
      <w:r w:rsidR="002A248F" w:rsidRPr="00375A54">
        <w:rPr>
          <w:rFonts w:eastAsia="Times New Roman"/>
          <w:sz w:val="20"/>
          <w:szCs w:val="20"/>
          <w:shd w:val="clear" w:color="auto" w:fill="FFFFFF"/>
        </w:rPr>
        <w:t>Nubila</w:t>
      </w:r>
      <w:proofErr w:type="spellEnd"/>
      <w:r w:rsidR="002A248F" w:rsidRPr="00375A54">
        <w:rPr>
          <w:rFonts w:eastAsia="Times New Roman"/>
          <w:sz w:val="20"/>
          <w:szCs w:val="20"/>
          <w:shd w:val="clear" w:color="auto" w:fill="FFFFFF"/>
        </w:rPr>
        <w:t xml:space="preserve"> NI, </w:t>
      </w:r>
      <w:proofErr w:type="spellStart"/>
      <w:r w:rsidR="002A248F" w:rsidRPr="00375A54">
        <w:rPr>
          <w:rFonts w:eastAsia="Times New Roman"/>
          <w:sz w:val="20"/>
          <w:szCs w:val="20"/>
          <w:shd w:val="clear" w:color="auto" w:fill="FFFFFF"/>
        </w:rPr>
        <w:t>Nwoke</w:t>
      </w:r>
      <w:proofErr w:type="spellEnd"/>
      <w:r w:rsidR="002A248F" w:rsidRPr="00375A54">
        <w:rPr>
          <w:rFonts w:eastAsia="Times New Roman"/>
          <w:sz w:val="20"/>
          <w:szCs w:val="20"/>
          <w:shd w:val="clear" w:color="auto" w:fill="FFFFFF"/>
        </w:rPr>
        <w:t xml:space="preserve"> CO, </w:t>
      </w:r>
      <w:proofErr w:type="spellStart"/>
      <w:r w:rsidR="002A248F" w:rsidRPr="00375A54">
        <w:rPr>
          <w:rFonts w:eastAsia="Times New Roman"/>
          <w:sz w:val="20"/>
          <w:szCs w:val="20"/>
          <w:shd w:val="clear" w:color="auto" w:fill="FFFFFF"/>
        </w:rPr>
        <w:t>Nwoke</w:t>
      </w:r>
      <w:proofErr w:type="spellEnd"/>
      <w:r w:rsidR="002A248F" w:rsidRPr="00375A54">
        <w:rPr>
          <w:rFonts w:eastAsia="Times New Roman"/>
          <w:sz w:val="20"/>
          <w:szCs w:val="20"/>
          <w:shd w:val="clear" w:color="auto" w:fill="FFFFFF"/>
        </w:rPr>
        <w:t xml:space="preserve"> CN, </w:t>
      </w:r>
      <w:proofErr w:type="spellStart"/>
      <w:r w:rsidR="002A248F" w:rsidRPr="00375A54">
        <w:rPr>
          <w:rFonts w:eastAsia="Times New Roman"/>
          <w:sz w:val="20"/>
          <w:szCs w:val="20"/>
          <w:shd w:val="clear" w:color="auto" w:fill="FFFFFF"/>
        </w:rPr>
        <w:t>Okpoto</w:t>
      </w:r>
      <w:proofErr w:type="spellEnd"/>
      <w:r w:rsidR="002A248F" w:rsidRPr="00375A54">
        <w:rPr>
          <w:rFonts w:eastAsia="Times New Roman"/>
          <w:sz w:val="20"/>
          <w:szCs w:val="20"/>
          <w:shd w:val="clear" w:color="auto" w:fill="FFFFFF"/>
        </w:rPr>
        <w:t xml:space="preserve"> RC, </w:t>
      </w:r>
      <w:proofErr w:type="spellStart"/>
      <w:r w:rsidR="002A248F" w:rsidRPr="00375A54">
        <w:rPr>
          <w:rFonts w:eastAsia="Times New Roman"/>
          <w:sz w:val="20"/>
          <w:szCs w:val="20"/>
          <w:shd w:val="clear" w:color="auto" w:fill="FFFFFF"/>
        </w:rPr>
        <w:t>Igwe</w:t>
      </w:r>
      <w:proofErr w:type="spellEnd"/>
      <w:r w:rsidR="002A248F" w:rsidRPr="00375A54">
        <w:rPr>
          <w:rFonts w:eastAsia="Times New Roman"/>
          <w:sz w:val="20"/>
          <w:szCs w:val="20"/>
          <w:shd w:val="clear" w:color="auto" w:fill="FFFFFF"/>
        </w:rPr>
        <w:t xml:space="preserve"> CC, </w:t>
      </w:r>
      <w:proofErr w:type="spellStart"/>
      <w:r w:rsidR="002A248F" w:rsidRPr="00375A54">
        <w:rPr>
          <w:rFonts w:eastAsia="Times New Roman"/>
          <w:sz w:val="20"/>
          <w:szCs w:val="20"/>
          <w:shd w:val="clear" w:color="auto" w:fill="FFFFFF"/>
        </w:rPr>
        <w:t>Chukwuebuka</w:t>
      </w:r>
      <w:proofErr w:type="spellEnd"/>
      <w:r w:rsidR="002A248F" w:rsidRPr="00375A54">
        <w:rPr>
          <w:rFonts w:eastAsia="Times New Roman"/>
          <w:sz w:val="20"/>
          <w:szCs w:val="20"/>
          <w:shd w:val="clear" w:color="auto" w:fill="FFFFFF"/>
        </w:rPr>
        <w:t xml:space="preserve"> OE. Green Synthesis of Silver Nanoparticles for Antimalarial Activity: Characterisation, Acute Toxicity, and Efficacy Studies in a Murine Model. </w:t>
      </w:r>
      <w:proofErr w:type="spellStart"/>
      <w:r w:rsidR="002A248F" w:rsidRPr="00375A54">
        <w:rPr>
          <w:rFonts w:eastAsia="Times New Roman"/>
          <w:sz w:val="20"/>
          <w:szCs w:val="20"/>
          <w:shd w:val="clear" w:color="auto" w:fill="FFFFFF"/>
        </w:rPr>
        <w:t>Jabirian</w:t>
      </w:r>
      <w:proofErr w:type="spellEnd"/>
      <w:r w:rsidR="002A248F" w:rsidRPr="00375A54">
        <w:rPr>
          <w:rFonts w:eastAsia="Times New Roman"/>
          <w:sz w:val="20"/>
          <w:szCs w:val="20"/>
          <w:shd w:val="clear" w:color="auto" w:fill="FFFFFF"/>
        </w:rPr>
        <w:t xml:space="preserve"> J. </w:t>
      </w:r>
      <w:proofErr w:type="spellStart"/>
      <w:r w:rsidR="002A248F" w:rsidRPr="00375A54">
        <w:rPr>
          <w:rFonts w:eastAsia="Times New Roman"/>
          <w:sz w:val="20"/>
          <w:szCs w:val="20"/>
          <w:shd w:val="clear" w:color="auto" w:fill="FFFFFF"/>
        </w:rPr>
        <w:t>Biointerface</w:t>
      </w:r>
      <w:proofErr w:type="spellEnd"/>
      <w:r w:rsidR="002A248F" w:rsidRPr="00375A54">
        <w:rPr>
          <w:rFonts w:eastAsia="Times New Roman"/>
          <w:sz w:val="20"/>
          <w:szCs w:val="20"/>
          <w:shd w:val="clear" w:color="auto" w:fill="FFFFFF"/>
        </w:rPr>
        <w:t xml:space="preserve"> Res. </w:t>
      </w:r>
      <w:proofErr w:type="spellStart"/>
      <w:r w:rsidR="002A248F" w:rsidRPr="00375A54">
        <w:rPr>
          <w:rFonts w:eastAsia="Times New Roman"/>
          <w:sz w:val="20"/>
          <w:szCs w:val="20"/>
          <w:shd w:val="clear" w:color="auto" w:fill="FFFFFF"/>
        </w:rPr>
        <w:t>Pharmaceut</w:t>
      </w:r>
      <w:proofErr w:type="spellEnd"/>
      <w:r w:rsidR="002A248F" w:rsidRPr="00375A54">
        <w:rPr>
          <w:rFonts w:eastAsia="Times New Roman"/>
          <w:sz w:val="20"/>
          <w:szCs w:val="20"/>
          <w:shd w:val="clear" w:color="auto" w:fill="FFFFFF"/>
        </w:rPr>
        <w:t xml:space="preserve">. Appl. Chem. [Internet]. 2025 Jan. 10 [cited 2026 Apr. 2];2(1):15-2. Available from: </w:t>
      </w:r>
      <w:hyperlink r:id="rId21" w:history="1">
        <w:r w:rsidR="002A248F" w:rsidRPr="00375A54">
          <w:rPr>
            <w:rStyle w:val="Hyperlink"/>
            <w:rFonts w:eastAsia="Times New Roman"/>
            <w:color w:val="auto"/>
            <w:sz w:val="20"/>
            <w:szCs w:val="20"/>
            <w:u w:val="none"/>
            <w:shd w:val="clear" w:color="auto" w:fill="FFFFFF"/>
          </w:rPr>
          <w:t>https://sprinpub.com/jabirian/article/view/jjbrpac.v2i1.593</w:t>
        </w:r>
      </w:hyperlink>
    </w:p>
    <w:p w14:paraId="6B1DD326" w14:textId="696BEEB5"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[13] </w:t>
      </w:r>
      <w:proofErr w:type="spellStart"/>
      <w:r w:rsidR="00731AFC" w:rsidRPr="00375A54">
        <w:rPr>
          <w:rFonts w:ascii="Times New Roman" w:hAnsi="Times New Roman" w:cs="Times New Roman"/>
          <w:sz w:val="20"/>
          <w:szCs w:val="20"/>
        </w:rPr>
        <w:t>Ikeh</w:t>
      </w:r>
      <w:proofErr w:type="spellEnd"/>
      <w:r w:rsidR="00731AFC" w:rsidRPr="00375A54">
        <w:rPr>
          <w:rFonts w:ascii="Times New Roman" w:hAnsi="Times New Roman" w:cs="Times New Roman"/>
          <w:sz w:val="20"/>
          <w:szCs w:val="20"/>
        </w:rPr>
        <w:t xml:space="preserve"> GO, Ani NI, </w:t>
      </w:r>
      <w:proofErr w:type="spellStart"/>
      <w:r w:rsidR="00731AFC" w:rsidRPr="00375A54">
        <w:rPr>
          <w:rFonts w:ascii="Times New Roman" w:hAnsi="Times New Roman" w:cs="Times New Roman"/>
          <w:sz w:val="20"/>
          <w:szCs w:val="20"/>
        </w:rPr>
        <w:t>Ude</w:t>
      </w:r>
      <w:proofErr w:type="spellEnd"/>
      <w:r w:rsidR="00731AFC" w:rsidRPr="00375A54">
        <w:rPr>
          <w:rFonts w:ascii="Times New Roman" w:hAnsi="Times New Roman" w:cs="Times New Roman"/>
          <w:sz w:val="20"/>
          <w:szCs w:val="20"/>
        </w:rPr>
        <w:t xml:space="preserve"> VU, </w:t>
      </w:r>
      <w:proofErr w:type="spellStart"/>
      <w:r w:rsidR="00731AFC" w:rsidRPr="00375A54">
        <w:rPr>
          <w:rFonts w:ascii="Times New Roman" w:hAnsi="Times New Roman" w:cs="Times New Roman"/>
          <w:sz w:val="20"/>
          <w:szCs w:val="20"/>
        </w:rPr>
        <w:t>Onyia</w:t>
      </w:r>
      <w:proofErr w:type="spellEnd"/>
      <w:r w:rsidR="00731AFC" w:rsidRPr="00375A54">
        <w:rPr>
          <w:rFonts w:ascii="Times New Roman" w:hAnsi="Times New Roman" w:cs="Times New Roman"/>
          <w:sz w:val="20"/>
          <w:szCs w:val="20"/>
        </w:rPr>
        <w:t xml:space="preserve"> JK, </w:t>
      </w:r>
      <w:proofErr w:type="spellStart"/>
      <w:r w:rsidR="00731AFC" w:rsidRPr="00375A54">
        <w:rPr>
          <w:rFonts w:ascii="Times New Roman" w:hAnsi="Times New Roman" w:cs="Times New Roman"/>
          <w:sz w:val="20"/>
          <w:szCs w:val="20"/>
        </w:rPr>
        <w:t>Diovu</w:t>
      </w:r>
      <w:proofErr w:type="spellEnd"/>
      <w:r w:rsidR="00731AFC" w:rsidRPr="00375A54">
        <w:rPr>
          <w:rFonts w:ascii="Times New Roman" w:hAnsi="Times New Roman" w:cs="Times New Roman"/>
          <w:sz w:val="20"/>
          <w:szCs w:val="20"/>
        </w:rPr>
        <w:t xml:space="preserve"> CC, </w:t>
      </w:r>
      <w:proofErr w:type="spellStart"/>
      <w:r w:rsidR="00731AFC" w:rsidRPr="00375A54">
        <w:rPr>
          <w:rFonts w:ascii="Times New Roman" w:hAnsi="Times New Roman" w:cs="Times New Roman"/>
          <w:sz w:val="20"/>
          <w:szCs w:val="20"/>
        </w:rPr>
        <w:t>Okpoto</w:t>
      </w:r>
      <w:proofErr w:type="spellEnd"/>
      <w:r w:rsidR="00731AFC" w:rsidRPr="00375A54">
        <w:rPr>
          <w:rFonts w:ascii="Times New Roman" w:hAnsi="Times New Roman" w:cs="Times New Roman"/>
          <w:sz w:val="20"/>
          <w:szCs w:val="20"/>
        </w:rPr>
        <w:t xml:space="preserve"> RC. Molecular Spectroscopic (FTIR and UV-Vis) and Hyphenated Chromatographic (GC-MS) Characterisation of Bioactive Compounds present in different solvent fraction of Extract of Leaf of </w:t>
      </w:r>
      <w:r w:rsidR="00731AFC" w:rsidRPr="00375A54">
        <w:rPr>
          <w:rFonts w:ascii="Times New Roman" w:hAnsi="Times New Roman" w:cs="Times New Roman"/>
          <w:i/>
          <w:sz w:val="20"/>
          <w:szCs w:val="20"/>
        </w:rPr>
        <w:t xml:space="preserve">Cola </w:t>
      </w:r>
      <w:proofErr w:type="spellStart"/>
      <w:r w:rsidR="00731AFC" w:rsidRPr="00375A54">
        <w:rPr>
          <w:rFonts w:ascii="Times New Roman" w:hAnsi="Times New Roman" w:cs="Times New Roman"/>
          <w:i/>
          <w:sz w:val="20"/>
          <w:szCs w:val="20"/>
        </w:rPr>
        <w:t>hispida</w:t>
      </w:r>
      <w:proofErr w:type="spellEnd"/>
      <w:r w:rsidR="00731AFC" w:rsidRPr="00375A54">
        <w:rPr>
          <w:rFonts w:ascii="Times New Roman" w:hAnsi="Times New Roman" w:cs="Times New Roman"/>
          <w:sz w:val="20"/>
          <w:szCs w:val="20"/>
        </w:rPr>
        <w:t xml:space="preserve"> Brenan&amp; </w:t>
      </w:r>
      <w:proofErr w:type="spellStart"/>
      <w:r w:rsidR="00731AFC" w:rsidRPr="00375A54">
        <w:rPr>
          <w:rFonts w:ascii="Times New Roman" w:hAnsi="Times New Roman" w:cs="Times New Roman"/>
          <w:sz w:val="20"/>
          <w:szCs w:val="20"/>
        </w:rPr>
        <w:t>Keat</w:t>
      </w:r>
      <w:proofErr w:type="spellEnd"/>
      <w:r w:rsidR="00731AFC" w:rsidRPr="00375A54">
        <w:rPr>
          <w:rFonts w:ascii="Times New Roman" w:hAnsi="Times New Roman" w:cs="Times New Roman"/>
          <w:sz w:val="20"/>
          <w:szCs w:val="20"/>
        </w:rPr>
        <w:t xml:space="preserve"> </w:t>
      </w:r>
      <w:proofErr w:type="spellStart"/>
      <w:r w:rsidR="00731AFC" w:rsidRPr="00375A54">
        <w:rPr>
          <w:rFonts w:ascii="Times New Roman" w:hAnsi="Times New Roman" w:cs="Times New Roman"/>
          <w:sz w:val="20"/>
          <w:szCs w:val="20"/>
        </w:rPr>
        <w:t>Sterculiaceae</w:t>
      </w:r>
      <w:proofErr w:type="spellEnd"/>
      <w:r w:rsidR="00731AFC" w:rsidRPr="00375A54">
        <w:rPr>
          <w:rFonts w:ascii="Times New Roman" w:hAnsi="Times New Roman" w:cs="Times New Roman"/>
          <w:sz w:val="20"/>
          <w:szCs w:val="20"/>
        </w:rPr>
        <w:t xml:space="preserve">. S. Asian Res. J. Nat. Prod. 2025;8(2):229-52. </w:t>
      </w:r>
      <w:proofErr w:type="spellStart"/>
      <w:r w:rsidR="00731AFC" w:rsidRPr="00375A54">
        <w:rPr>
          <w:rFonts w:ascii="Times New Roman" w:hAnsi="Times New Roman" w:cs="Times New Roman"/>
          <w:sz w:val="20"/>
          <w:szCs w:val="20"/>
        </w:rPr>
        <w:t>doi</w:t>
      </w:r>
      <w:proofErr w:type="spellEnd"/>
      <w:r w:rsidR="00731AFC" w:rsidRPr="00375A54">
        <w:rPr>
          <w:rFonts w:ascii="Times New Roman" w:hAnsi="Times New Roman" w:cs="Times New Roman"/>
          <w:sz w:val="20"/>
          <w:szCs w:val="20"/>
        </w:rPr>
        <w:t>: 10.9734/</w:t>
      </w:r>
      <w:proofErr w:type="spellStart"/>
      <w:r w:rsidR="00731AFC" w:rsidRPr="00375A54">
        <w:rPr>
          <w:rFonts w:ascii="Times New Roman" w:hAnsi="Times New Roman" w:cs="Times New Roman"/>
          <w:sz w:val="20"/>
          <w:szCs w:val="20"/>
        </w:rPr>
        <w:t>sarjnp</w:t>
      </w:r>
      <w:proofErr w:type="spellEnd"/>
      <w:r w:rsidR="00731AFC" w:rsidRPr="00375A54">
        <w:rPr>
          <w:rFonts w:ascii="Times New Roman" w:hAnsi="Times New Roman" w:cs="Times New Roman"/>
          <w:sz w:val="20"/>
          <w:szCs w:val="20"/>
        </w:rPr>
        <w:t xml:space="preserve">/2025/v8i2194 </w:t>
      </w:r>
    </w:p>
    <w:p w14:paraId="723A393C"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[14] </w:t>
      </w:r>
      <w:proofErr w:type="spellStart"/>
      <w:r w:rsidRPr="00375A54">
        <w:rPr>
          <w:rStyle w:val="Strong"/>
          <w:rFonts w:eastAsia="Times New Roman"/>
          <w:b w:val="0"/>
          <w:sz w:val="20"/>
          <w:szCs w:val="20"/>
        </w:rPr>
        <w:t>Loza</w:t>
      </w:r>
      <w:proofErr w:type="spellEnd"/>
      <w:r w:rsidRPr="00375A54">
        <w:rPr>
          <w:rStyle w:val="Strong"/>
          <w:rFonts w:eastAsia="Times New Roman"/>
          <w:b w:val="0"/>
          <w:sz w:val="20"/>
          <w:szCs w:val="20"/>
        </w:rPr>
        <w:t xml:space="preserve"> K, </w:t>
      </w:r>
      <w:proofErr w:type="spellStart"/>
      <w:r w:rsidRPr="00375A54">
        <w:rPr>
          <w:rStyle w:val="Strong"/>
          <w:rFonts w:eastAsia="Times New Roman"/>
          <w:b w:val="0"/>
          <w:sz w:val="20"/>
          <w:szCs w:val="20"/>
        </w:rPr>
        <w:t>Heggen</w:t>
      </w:r>
      <w:proofErr w:type="spellEnd"/>
      <w:r w:rsidRPr="00375A54">
        <w:rPr>
          <w:rStyle w:val="Strong"/>
          <w:rFonts w:eastAsia="Times New Roman"/>
          <w:b w:val="0"/>
          <w:sz w:val="20"/>
          <w:szCs w:val="20"/>
        </w:rPr>
        <w:t xml:space="preserve"> M, </w:t>
      </w:r>
      <w:proofErr w:type="spellStart"/>
      <w:r w:rsidRPr="00375A54">
        <w:rPr>
          <w:rStyle w:val="Strong"/>
          <w:rFonts w:eastAsia="Times New Roman"/>
          <w:b w:val="0"/>
          <w:sz w:val="20"/>
          <w:szCs w:val="20"/>
        </w:rPr>
        <w:t>Epple</w:t>
      </w:r>
      <w:proofErr w:type="spellEnd"/>
      <w:r w:rsidRPr="00375A54">
        <w:rPr>
          <w:rStyle w:val="Strong"/>
          <w:rFonts w:eastAsia="Times New Roman"/>
          <w:b w:val="0"/>
          <w:sz w:val="20"/>
          <w:szCs w:val="20"/>
        </w:rPr>
        <w:t xml:space="preserve"> M.</w:t>
      </w:r>
      <w:r w:rsidRPr="00375A54">
        <w:rPr>
          <w:rStyle w:val="t286pc"/>
          <w:rFonts w:eastAsia="Times New Roman"/>
          <w:sz w:val="20"/>
          <w:szCs w:val="20"/>
        </w:rPr>
        <w:t xml:space="preserve"> Synthesis, structure, properties, and applications of silver nanoparticles. Adv </w:t>
      </w:r>
      <w:proofErr w:type="spellStart"/>
      <w:r w:rsidRPr="00375A54">
        <w:rPr>
          <w:rStyle w:val="t286pc"/>
          <w:rFonts w:eastAsia="Times New Roman"/>
          <w:sz w:val="20"/>
          <w:szCs w:val="20"/>
        </w:rPr>
        <w:t>Funct</w:t>
      </w:r>
      <w:proofErr w:type="spellEnd"/>
      <w:r w:rsidRPr="00375A54">
        <w:rPr>
          <w:rStyle w:val="t286pc"/>
          <w:rFonts w:eastAsia="Times New Roman"/>
          <w:sz w:val="20"/>
          <w:szCs w:val="20"/>
        </w:rPr>
        <w:t xml:space="preserve"> Mater. 2020;30(24):1904390.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10.1002/adfm.201904390</w:t>
      </w:r>
    </w:p>
    <w:p w14:paraId="3EB2AA4F"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[15] Finney EE, Finke RG.</w:t>
      </w:r>
      <w:r w:rsidRPr="00375A54">
        <w:rPr>
          <w:rStyle w:val="t286pc"/>
          <w:rFonts w:eastAsia="Times New Roman"/>
          <w:sz w:val="20"/>
          <w:szCs w:val="20"/>
        </w:rPr>
        <w:t xml:space="preserve"> Nanocluster nucleation and growth kinetic and mechanistic studies: A review emphasizing stopping points. J Colloid Interface Sci. </w:t>
      </w:r>
      <w:proofErr w:type="gramStart"/>
      <w:r w:rsidRPr="00375A54">
        <w:rPr>
          <w:rStyle w:val="t286pc"/>
          <w:rFonts w:eastAsia="Times New Roman"/>
          <w:sz w:val="20"/>
          <w:szCs w:val="20"/>
        </w:rPr>
        <w:t>2016;472:232</w:t>
      </w:r>
      <w:proofErr w:type="gramEnd"/>
      <w:r w:rsidRPr="00375A54">
        <w:rPr>
          <w:rStyle w:val="t286pc"/>
          <w:rFonts w:eastAsia="Times New Roman"/>
          <w:sz w:val="20"/>
          <w:szCs w:val="20"/>
        </w:rPr>
        <w:t xml:space="preserve">-257.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10.1016/j.jcis.2016.03.018</w:t>
      </w:r>
    </w:p>
    <w:p w14:paraId="673C67BF" w14:textId="4CC1F0D6"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[16] </w:t>
      </w:r>
      <w:proofErr w:type="spellStart"/>
      <w:r w:rsidR="002A248F" w:rsidRPr="00375A54">
        <w:rPr>
          <w:rFonts w:eastAsia="Times New Roman"/>
          <w:sz w:val="20"/>
          <w:szCs w:val="20"/>
          <w:shd w:val="clear" w:color="auto" w:fill="FFFFFF"/>
        </w:rPr>
        <w:t>Ikeh</w:t>
      </w:r>
      <w:proofErr w:type="spellEnd"/>
      <w:r w:rsidR="002A248F" w:rsidRPr="00375A54">
        <w:rPr>
          <w:rFonts w:eastAsia="Times New Roman"/>
          <w:sz w:val="20"/>
          <w:szCs w:val="20"/>
          <w:shd w:val="clear" w:color="auto" w:fill="FFFFFF"/>
        </w:rPr>
        <w:t xml:space="preserve"> GO, </w:t>
      </w:r>
      <w:proofErr w:type="spellStart"/>
      <w:r w:rsidR="002A248F" w:rsidRPr="00375A54">
        <w:rPr>
          <w:rFonts w:eastAsia="Times New Roman"/>
          <w:sz w:val="20"/>
          <w:szCs w:val="20"/>
          <w:shd w:val="clear" w:color="auto" w:fill="FFFFFF"/>
        </w:rPr>
        <w:t>Kayanian</w:t>
      </w:r>
      <w:proofErr w:type="spellEnd"/>
      <w:r w:rsidR="002A248F" w:rsidRPr="00375A54">
        <w:rPr>
          <w:rFonts w:eastAsia="Times New Roman"/>
          <w:sz w:val="20"/>
          <w:szCs w:val="20"/>
          <w:shd w:val="clear" w:color="auto" w:fill="FFFFFF"/>
        </w:rPr>
        <w:t xml:space="preserve"> J, </w:t>
      </w:r>
      <w:proofErr w:type="spellStart"/>
      <w:r w:rsidR="002A248F" w:rsidRPr="00375A54">
        <w:rPr>
          <w:rFonts w:eastAsia="Times New Roman"/>
          <w:sz w:val="20"/>
          <w:szCs w:val="20"/>
          <w:shd w:val="clear" w:color="auto" w:fill="FFFFFF"/>
        </w:rPr>
        <w:t>Nubila</w:t>
      </w:r>
      <w:proofErr w:type="spellEnd"/>
      <w:r w:rsidR="002A248F" w:rsidRPr="00375A54">
        <w:rPr>
          <w:rFonts w:eastAsia="Times New Roman"/>
          <w:sz w:val="20"/>
          <w:szCs w:val="20"/>
          <w:shd w:val="clear" w:color="auto" w:fill="FFFFFF"/>
        </w:rPr>
        <w:t xml:space="preserve"> NI, </w:t>
      </w:r>
      <w:proofErr w:type="spellStart"/>
      <w:r w:rsidR="002A248F" w:rsidRPr="00375A54">
        <w:rPr>
          <w:rFonts w:eastAsia="Times New Roman"/>
          <w:sz w:val="20"/>
          <w:szCs w:val="20"/>
          <w:shd w:val="clear" w:color="auto" w:fill="FFFFFF"/>
        </w:rPr>
        <w:t>Diovu</w:t>
      </w:r>
      <w:proofErr w:type="spellEnd"/>
      <w:r w:rsidR="002A248F" w:rsidRPr="00375A54">
        <w:rPr>
          <w:rFonts w:eastAsia="Times New Roman"/>
          <w:sz w:val="20"/>
          <w:szCs w:val="20"/>
          <w:shd w:val="clear" w:color="auto" w:fill="FFFFFF"/>
        </w:rPr>
        <w:t xml:space="preserve"> CC, </w:t>
      </w:r>
      <w:proofErr w:type="spellStart"/>
      <w:r w:rsidR="002A248F" w:rsidRPr="00375A54">
        <w:rPr>
          <w:rFonts w:eastAsia="Times New Roman"/>
          <w:sz w:val="20"/>
          <w:szCs w:val="20"/>
          <w:shd w:val="clear" w:color="auto" w:fill="FFFFFF"/>
        </w:rPr>
        <w:t>Kaura</w:t>
      </w:r>
      <w:proofErr w:type="spellEnd"/>
      <w:r w:rsidR="002A248F" w:rsidRPr="00375A54">
        <w:rPr>
          <w:rFonts w:eastAsia="Times New Roman"/>
          <w:sz w:val="20"/>
          <w:szCs w:val="20"/>
          <w:shd w:val="clear" w:color="auto" w:fill="FFFFFF"/>
        </w:rPr>
        <w:t xml:space="preserve"> S, Okorie NH, et al. Translational Insight into </w:t>
      </w:r>
      <w:proofErr w:type="spellStart"/>
      <w:r w:rsidR="002A248F" w:rsidRPr="00375A54">
        <w:rPr>
          <w:rFonts w:eastAsia="Times New Roman"/>
          <w:sz w:val="20"/>
          <w:szCs w:val="20"/>
          <w:shd w:val="clear" w:color="auto" w:fill="FFFFFF"/>
        </w:rPr>
        <w:t>Gongronema</w:t>
      </w:r>
      <w:proofErr w:type="spellEnd"/>
      <w:r w:rsidR="002A248F" w:rsidRPr="00375A54">
        <w:rPr>
          <w:rFonts w:eastAsia="Times New Roman"/>
          <w:sz w:val="20"/>
          <w:szCs w:val="20"/>
          <w:shd w:val="clear" w:color="auto" w:fill="FFFFFF"/>
        </w:rPr>
        <w:t xml:space="preserve"> </w:t>
      </w:r>
      <w:proofErr w:type="spellStart"/>
      <w:r w:rsidR="002A248F" w:rsidRPr="00375A54">
        <w:rPr>
          <w:rFonts w:eastAsia="Times New Roman"/>
          <w:sz w:val="20"/>
          <w:szCs w:val="20"/>
          <w:shd w:val="clear" w:color="auto" w:fill="FFFFFF"/>
        </w:rPr>
        <w:t>latifolium</w:t>
      </w:r>
      <w:proofErr w:type="spellEnd"/>
      <w:r w:rsidR="002A248F" w:rsidRPr="00375A54">
        <w:rPr>
          <w:rFonts w:eastAsia="Times New Roman"/>
          <w:sz w:val="20"/>
          <w:szCs w:val="20"/>
          <w:shd w:val="clear" w:color="auto" w:fill="FFFFFF"/>
        </w:rPr>
        <w:t>-silver Nanoparticles: Linking in vivo Safety to Molecular Antimalarial Mechanism. J. Adv. Med. Pharm. Sci. [Internet]. 2026 Mar. 26 [cited 2026 Apr. 2];28(3):22-35. Available from: https://journaljamps.com/index.php/JAMPS/article/view/850</w:t>
      </w:r>
    </w:p>
    <w:p w14:paraId="1364FC6E"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[17] Al-</w:t>
      </w:r>
      <w:proofErr w:type="spellStart"/>
      <w:r w:rsidRPr="00375A54">
        <w:rPr>
          <w:rStyle w:val="Strong"/>
          <w:rFonts w:ascii="Times New Roman" w:eastAsia="Times New Roman" w:hAnsi="Times New Roman" w:cs="Times New Roman"/>
          <w:b w:val="0"/>
          <w:sz w:val="20"/>
          <w:szCs w:val="20"/>
        </w:rPr>
        <w:t>Thabaiti</w:t>
      </w:r>
      <w:proofErr w:type="spellEnd"/>
      <w:r w:rsidRPr="00375A54">
        <w:rPr>
          <w:rStyle w:val="Strong"/>
          <w:rFonts w:ascii="Times New Roman" w:eastAsia="Times New Roman" w:hAnsi="Times New Roman" w:cs="Times New Roman"/>
          <w:b w:val="0"/>
          <w:sz w:val="20"/>
          <w:szCs w:val="20"/>
        </w:rPr>
        <w:t xml:space="preserve"> SA, Al-</w:t>
      </w:r>
      <w:proofErr w:type="spellStart"/>
      <w:r w:rsidRPr="00375A54">
        <w:rPr>
          <w:rStyle w:val="Strong"/>
          <w:rFonts w:ascii="Times New Roman" w:eastAsia="Times New Roman" w:hAnsi="Times New Roman" w:cs="Times New Roman"/>
          <w:b w:val="0"/>
          <w:sz w:val="20"/>
          <w:szCs w:val="20"/>
        </w:rPr>
        <w:t>Arfaj</w:t>
      </w:r>
      <w:proofErr w:type="spellEnd"/>
      <w:r w:rsidRPr="00375A54">
        <w:rPr>
          <w:rStyle w:val="Strong"/>
          <w:rFonts w:ascii="Times New Roman" w:eastAsia="Times New Roman" w:hAnsi="Times New Roman" w:cs="Times New Roman"/>
          <w:b w:val="0"/>
          <w:sz w:val="20"/>
          <w:szCs w:val="20"/>
        </w:rPr>
        <w:t xml:space="preserve"> AA, Khan Z.</w:t>
      </w:r>
      <w:r w:rsidRPr="00375A54">
        <w:rPr>
          <w:rFonts w:ascii="Times New Roman" w:eastAsia="Times New Roman" w:hAnsi="Times New Roman" w:cs="Times New Roman"/>
          <w:sz w:val="20"/>
          <w:szCs w:val="20"/>
        </w:rPr>
        <w:t xml:space="preserve"> Sol-gel synthesis of silver nanoparticles using </w:t>
      </w:r>
      <w:proofErr w:type="spellStart"/>
      <w:r w:rsidRPr="00375A54">
        <w:rPr>
          <w:rFonts w:ascii="Times New Roman" w:eastAsia="Times New Roman" w:hAnsi="Times New Roman" w:cs="Times New Roman"/>
          <w:sz w:val="20"/>
          <w:szCs w:val="20"/>
        </w:rPr>
        <w:t>Senegalia</w:t>
      </w:r>
      <w:proofErr w:type="spellEnd"/>
      <w:r w:rsidRPr="00375A54">
        <w:rPr>
          <w:rFonts w:ascii="Times New Roman" w:eastAsia="Times New Roman" w:hAnsi="Times New Roman" w:cs="Times New Roman"/>
          <w:sz w:val="20"/>
          <w:szCs w:val="20"/>
        </w:rPr>
        <w:t xml:space="preserve"> </w:t>
      </w:r>
      <w:proofErr w:type="spellStart"/>
      <w:r w:rsidRPr="00375A54">
        <w:rPr>
          <w:rFonts w:ascii="Times New Roman" w:eastAsia="Times New Roman" w:hAnsi="Times New Roman" w:cs="Times New Roman"/>
          <w:sz w:val="20"/>
          <w:szCs w:val="20"/>
        </w:rPr>
        <w:t>greggii</w:t>
      </w:r>
      <w:proofErr w:type="spellEnd"/>
      <w:r w:rsidRPr="00375A54">
        <w:rPr>
          <w:rFonts w:ascii="Times New Roman" w:eastAsia="Times New Roman" w:hAnsi="Times New Roman" w:cs="Times New Roman"/>
          <w:sz w:val="20"/>
          <w:szCs w:val="20"/>
        </w:rPr>
        <w:t xml:space="preserve"> leaf extract: Kinetics and thermodynamics. J Mol Liq. </w:t>
      </w:r>
      <w:proofErr w:type="gramStart"/>
      <w:r w:rsidRPr="00375A54">
        <w:rPr>
          <w:rFonts w:ascii="Times New Roman" w:eastAsia="Times New Roman" w:hAnsi="Times New Roman" w:cs="Times New Roman"/>
          <w:sz w:val="20"/>
          <w:szCs w:val="20"/>
        </w:rPr>
        <w:t>2021;321:114749</w:t>
      </w:r>
      <w:proofErr w:type="gramEnd"/>
      <w:r w:rsidRPr="00375A54">
        <w:rPr>
          <w:rFonts w:ascii="Times New Roman" w:eastAsia="Times New Roman" w:hAnsi="Times New Roman" w:cs="Times New Roman"/>
          <w:sz w:val="20"/>
          <w:szCs w:val="20"/>
        </w:rPr>
        <w:t xml:space="preserve">.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10.1016/j.molliq.2020.114749</w:t>
      </w:r>
      <w:r w:rsidRPr="00375A54">
        <w:rPr>
          <w:rFonts w:ascii="Times New Roman" w:eastAsia="Times New Roman" w:hAnsi="Times New Roman" w:cs="Times New Roman"/>
          <w:sz w:val="20"/>
          <w:szCs w:val="20"/>
        </w:rPr>
        <w:br/>
      </w:r>
      <w:r w:rsidRPr="00375A54">
        <w:rPr>
          <w:rStyle w:val="Strong"/>
          <w:rFonts w:ascii="Times New Roman" w:eastAsia="Times New Roman" w:hAnsi="Times New Roman" w:cs="Times New Roman"/>
          <w:b w:val="0"/>
          <w:sz w:val="20"/>
          <w:szCs w:val="20"/>
        </w:rPr>
        <w:t>[18] Nayak V, Singh KR, Singh RP.</w:t>
      </w:r>
      <w:r w:rsidRPr="00375A54">
        <w:rPr>
          <w:rFonts w:ascii="Times New Roman" w:eastAsia="Times New Roman" w:hAnsi="Times New Roman" w:cs="Times New Roman"/>
          <w:sz w:val="20"/>
          <w:szCs w:val="20"/>
        </w:rPr>
        <w:t xml:space="preserve"> Kinetics and thermodynamics of green synthesis of silver nanoparticles. J Environ Chem Eng. 2021;9(4):105574.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10.1016/j.jece.2021.105574</w:t>
      </w:r>
    </w:p>
    <w:p w14:paraId="2434CCF9"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[19] </w:t>
      </w:r>
      <w:proofErr w:type="spellStart"/>
      <w:r w:rsidRPr="00375A54">
        <w:rPr>
          <w:rStyle w:val="Strong"/>
          <w:rFonts w:eastAsia="Times New Roman"/>
          <w:b w:val="0"/>
          <w:sz w:val="20"/>
          <w:szCs w:val="20"/>
        </w:rPr>
        <w:t>Mekky</w:t>
      </w:r>
      <w:proofErr w:type="spellEnd"/>
      <w:r w:rsidRPr="00375A54">
        <w:rPr>
          <w:rStyle w:val="Strong"/>
          <w:rFonts w:eastAsia="Times New Roman"/>
          <w:b w:val="0"/>
          <w:sz w:val="20"/>
          <w:szCs w:val="20"/>
        </w:rPr>
        <w:t xml:space="preserve"> AE, Al-</w:t>
      </w:r>
      <w:proofErr w:type="spellStart"/>
      <w:r w:rsidRPr="00375A54">
        <w:rPr>
          <w:rStyle w:val="Strong"/>
          <w:rFonts w:eastAsia="Times New Roman"/>
          <w:b w:val="0"/>
          <w:sz w:val="20"/>
          <w:szCs w:val="20"/>
        </w:rPr>
        <w:t>Hazmi</w:t>
      </w:r>
      <w:proofErr w:type="spellEnd"/>
      <w:r w:rsidRPr="00375A54">
        <w:rPr>
          <w:rStyle w:val="Strong"/>
          <w:rFonts w:eastAsia="Times New Roman"/>
          <w:b w:val="0"/>
          <w:sz w:val="20"/>
          <w:szCs w:val="20"/>
        </w:rPr>
        <w:t xml:space="preserve"> GA, Al-</w:t>
      </w:r>
      <w:proofErr w:type="spellStart"/>
      <w:r w:rsidRPr="00375A54">
        <w:rPr>
          <w:rStyle w:val="Strong"/>
          <w:rFonts w:eastAsia="Times New Roman"/>
          <w:b w:val="0"/>
          <w:sz w:val="20"/>
          <w:szCs w:val="20"/>
        </w:rPr>
        <w:t>Arfaj</w:t>
      </w:r>
      <w:proofErr w:type="spellEnd"/>
      <w:r w:rsidRPr="00375A54">
        <w:rPr>
          <w:rStyle w:val="Strong"/>
          <w:rFonts w:eastAsia="Times New Roman"/>
          <w:b w:val="0"/>
          <w:sz w:val="20"/>
          <w:szCs w:val="20"/>
        </w:rPr>
        <w:t xml:space="preserve"> AA, Khan Z.</w:t>
      </w:r>
      <w:r w:rsidRPr="00375A54">
        <w:rPr>
          <w:rStyle w:val="t286pc"/>
          <w:rFonts w:eastAsia="Times New Roman"/>
          <w:sz w:val="20"/>
          <w:szCs w:val="20"/>
        </w:rPr>
        <w:t xml:space="preserve"> Mechanistic and kinetic studies of green synthesis of silver nanoparticles using aqueous extract of Cymbopogon </w:t>
      </w:r>
      <w:proofErr w:type="spellStart"/>
      <w:r w:rsidRPr="00375A54">
        <w:rPr>
          <w:rStyle w:val="t286pc"/>
          <w:rFonts w:eastAsia="Times New Roman"/>
          <w:sz w:val="20"/>
          <w:szCs w:val="20"/>
        </w:rPr>
        <w:t>proximus</w:t>
      </w:r>
      <w:proofErr w:type="spellEnd"/>
      <w:r w:rsidRPr="00375A54">
        <w:rPr>
          <w:rStyle w:val="t286pc"/>
          <w:rFonts w:eastAsia="Times New Roman"/>
          <w:sz w:val="20"/>
          <w:szCs w:val="20"/>
        </w:rPr>
        <w:t xml:space="preserve">. J Mol Liq. </w:t>
      </w:r>
      <w:proofErr w:type="gramStart"/>
      <w:r w:rsidRPr="00375A54">
        <w:rPr>
          <w:rStyle w:val="t286pc"/>
          <w:rFonts w:eastAsia="Times New Roman"/>
          <w:sz w:val="20"/>
          <w:szCs w:val="20"/>
        </w:rPr>
        <w:t>2019;275:758</w:t>
      </w:r>
      <w:proofErr w:type="gramEnd"/>
      <w:r w:rsidRPr="00375A54">
        <w:rPr>
          <w:rStyle w:val="t286pc"/>
          <w:rFonts w:eastAsia="Times New Roman"/>
          <w:sz w:val="20"/>
          <w:szCs w:val="20"/>
        </w:rPr>
        <w:t xml:space="preserve">-765.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10.1016/j.molliq.2018.11.111</w:t>
      </w:r>
    </w:p>
    <w:p w14:paraId="18A82B1A"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[20] </w:t>
      </w:r>
      <w:proofErr w:type="spellStart"/>
      <w:r w:rsidRPr="00375A54">
        <w:rPr>
          <w:rStyle w:val="Strong"/>
          <w:rFonts w:eastAsia="Times New Roman"/>
          <w:b w:val="0"/>
          <w:sz w:val="20"/>
          <w:szCs w:val="20"/>
        </w:rPr>
        <w:t>Heidari</w:t>
      </w:r>
      <w:proofErr w:type="spellEnd"/>
      <w:r w:rsidRPr="00375A54">
        <w:rPr>
          <w:rStyle w:val="Strong"/>
          <w:rFonts w:eastAsia="Times New Roman"/>
          <w:b w:val="0"/>
          <w:sz w:val="20"/>
          <w:szCs w:val="20"/>
        </w:rPr>
        <w:t xml:space="preserve"> M, </w:t>
      </w:r>
      <w:proofErr w:type="spellStart"/>
      <w:r w:rsidRPr="00375A54">
        <w:rPr>
          <w:rStyle w:val="Strong"/>
          <w:rFonts w:eastAsia="Times New Roman"/>
          <w:b w:val="0"/>
          <w:sz w:val="20"/>
          <w:szCs w:val="20"/>
        </w:rPr>
        <w:t>Ghorbani</w:t>
      </w:r>
      <w:proofErr w:type="spellEnd"/>
      <w:r w:rsidRPr="00375A54">
        <w:rPr>
          <w:rStyle w:val="Strong"/>
          <w:rFonts w:eastAsia="Times New Roman"/>
          <w:b w:val="0"/>
          <w:sz w:val="20"/>
          <w:szCs w:val="20"/>
        </w:rPr>
        <w:t xml:space="preserve"> M.</w:t>
      </w:r>
      <w:r w:rsidRPr="00375A54">
        <w:rPr>
          <w:rStyle w:val="t286pc"/>
          <w:rFonts w:eastAsia="Times New Roman"/>
          <w:sz w:val="20"/>
          <w:szCs w:val="20"/>
        </w:rPr>
        <w:t xml:space="preserve"> Kinetic study and optimization of silver nanoparticles green synthesis using </w:t>
      </w:r>
      <w:proofErr w:type="spellStart"/>
      <w:r w:rsidRPr="00375A54">
        <w:rPr>
          <w:rStyle w:val="t286pc"/>
          <w:rFonts w:eastAsia="Times New Roman"/>
          <w:sz w:val="20"/>
          <w:szCs w:val="20"/>
        </w:rPr>
        <w:t>Urtica</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dioica</w:t>
      </w:r>
      <w:proofErr w:type="spellEnd"/>
      <w:r w:rsidRPr="00375A54">
        <w:rPr>
          <w:rStyle w:val="t286pc"/>
          <w:rFonts w:eastAsia="Times New Roman"/>
          <w:sz w:val="20"/>
          <w:szCs w:val="20"/>
        </w:rPr>
        <w:t xml:space="preserve"> extract. Sci Rep. </w:t>
      </w:r>
      <w:proofErr w:type="gramStart"/>
      <w:r w:rsidRPr="00375A54">
        <w:rPr>
          <w:rStyle w:val="t286pc"/>
          <w:rFonts w:eastAsia="Times New Roman"/>
          <w:sz w:val="20"/>
          <w:szCs w:val="20"/>
        </w:rPr>
        <w:t>2022;12:12450</w:t>
      </w:r>
      <w:proofErr w:type="gramEnd"/>
      <w:r w:rsidRPr="00375A54">
        <w:rPr>
          <w:rStyle w:val="t286pc"/>
          <w:rFonts w:eastAsia="Times New Roman"/>
          <w:sz w:val="20"/>
          <w:szCs w:val="20"/>
        </w:rPr>
        <w:t xml:space="preserve">.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10.1038/s41598-022-16627-y</w:t>
      </w:r>
    </w:p>
    <w:p w14:paraId="068A323B"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[21] </w:t>
      </w:r>
      <w:proofErr w:type="spellStart"/>
      <w:r w:rsidRPr="00375A54">
        <w:rPr>
          <w:rStyle w:val="Strong"/>
          <w:rFonts w:eastAsia="Times New Roman"/>
          <w:b w:val="0"/>
          <w:sz w:val="20"/>
          <w:szCs w:val="20"/>
        </w:rPr>
        <w:t>Anandalakshmi</w:t>
      </w:r>
      <w:proofErr w:type="spellEnd"/>
      <w:r w:rsidRPr="00375A54">
        <w:rPr>
          <w:rStyle w:val="Strong"/>
          <w:rFonts w:eastAsia="Times New Roman"/>
          <w:b w:val="0"/>
          <w:sz w:val="20"/>
          <w:szCs w:val="20"/>
        </w:rPr>
        <w:t xml:space="preserve"> K, </w:t>
      </w:r>
      <w:proofErr w:type="spellStart"/>
      <w:r w:rsidRPr="00375A54">
        <w:rPr>
          <w:rStyle w:val="Strong"/>
          <w:rFonts w:eastAsia="Times New Roman"/>
          <w:b w:val="0"/>
          <w:sz w:val="20"/>
          <w:szCs w:val="20"/>
        </w:rPr>
        <w:t>Venugobal</w:t>
      </w:r>
      <w:proofErr w:type="spellEnd"/>
      <w:r w:rsidRPr="00375A54">
        <w:rPr>
          <w:rStyle w:val="Strong"/>
          <w:rFonts w:eastAsia="Times New Roman"/>
          <w:b w:val="0"/>
          <w:sz w:val="20"/>
          <w:szCs w:val="20"/>
        </w:rPr>
        <w:t xml:space="preserve"> J, Ramasamy V.</w:t>
      </w:r>
      <w:r w:rsidRPr="00375A54">
        <w:rPr>
          <w:rStyle w:val="t286pc"/>
          <w:rFonts w:eastAsia="Times New Roman"/>
          <w:sz w:val="20"/>
          <w:szCs w:val="20"/>
        </w:rPr>
        <w:t xml:space="preserve"> Characterization of silver nanoparticles by green synthesis method using </w:t>
      </w:r>
      <w:proofErr w:type="spellStart"/>
      <w:r w:rsidRPr="00375A54">
        <w:rPr>
          <w:rStyle w:val="t286pc"/>
          <w:rFonts w:eastAsia="Times New Roman"/>
          <w:sz w:val="20"/>
          <w:szCs w:val="20"/>
        </w:rPr>
        <w:t>Adhatoda</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vasica</w:t>
      </w:r>
      <w:proofErr w:type="spellEnd"/>
      <w:r w:rsidRPr="00375A54">
        <w:rPr>
          <w:rStyle w:val="t286pc"/>
          <w:rFonts w:eastAsia="Times New Roman"/>
          <w:sz w:val="20"/>
          <w:szCs w:val="20"/>
        </w:rPr>
        <w:t xml:space="preserve"> leaf extract and its antibacterial activity. </w:t>
      </w:r>
      <w:proofErr w:type="spellStart"/>
      <w:r w:rsidRPr="00375A54">
        <w:rPr>
          <w:rStyle w:val="t286pc"/>
          <w:rFonts w:eastAsia="Times New Roman"/>
          <w:sz w:val="20"/>
          <w:szCs w:val="20"/>
        </w:rPr>
        <w:t>Appl</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Nanosci</w:t>
      </w:r>
      <w:proofErr w:type="spellEnd"/>
      <w:r w:rsidRPr="00375A54">
        <w:rPr>
          <w:rStyle w:val="t286pc"/>
          <w:rFonts w:eastAsia="Times New Roman"/>
          <w:sz w:val="20"/>
          <w:szCs w:val="20"/>
        </w:rPr>
        <w:t xml:space="preserve">. </w:t>
      </w:r>
      <w:proofErr w:type="gramStart"/>
      <w:r w:rsidRPr="00375A54">
        <w:rPr>
          <w:rStyle w:val="t286pc"/>
          <w:rFonts w:eastAsia="Times New Roman"/>
          <w:sz w:val="20"/>
          <w:szCs w:val="20"/>
        </w:rPr>
        <w:t>2016;6:399</w:t>
      </w:r>
      <w:proofErr w:type="gramEnd"/>
      <w:r w:rsidRPr="00375A54">
        <w:rPr>
          <w:rStyle w:val="t286pc"/>
          <w:rFonts w:eastAsia="Times New Roman"/>
          <w:sz w:val="20"/>
          <w:szCs w:val="20"/>
        </w:rPr>
        <w:t xml:space="preserve">-408.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10.1007/s13204-015-0449-z</w:t>
      </w:r>
    </w:p>
    <w:p w14:paraId="7EB5B43B"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lastRenderedPageBreak/>
        <w:t xml:space="preserve">[22] </w:t>
      </w:r>
      <w:proofErr w:type="spellStart"/>
      <w:r w:rsidRPr="00375A54">
        <w:rPr>
          <w:rStyle w:val="Strong"/>
          <w:rFonts w:ascii="Times New Roman" w:eastAsia="Times New Roman" w:hAnsi="Times New Roman" w:cs="Times New Roman"/>
          <w:b w:val="0"/>
          <w:sz w:val="20"/>
          <w:szCs w:val="20"/>
        </w:rPr>
        <w:t>Darroudi</w:t>
      </w:r>
      <w:proofErr w:type="spellEnd"/>
      <w:r w:rsidRPr="00375A54">
        <w:rPr>
          <w:rStyle w:val="Strong"/>
          <w:rFonts w:ascii="Times New Roman" w:eastAsia="Times New Roman" w:hAnsi="Times New Roman" w:cs="Times New Roman"/>
          <w:b w:val="0"/>
          <w:sz w:val="20"/>
          <w:szCs w:val="20"/>
        </w:rPr>
        <w:t xml:space="preserve"> M, Ahmad MB, Abdullah AH, Ibrahim NA.</w:t>
      </w:r>
      <w:r w:rsidRPr="00375A54">
        <w:rPr>
          <w:rFonts w:ascii="Times New Roman" w:eastAsia="Times New Roman" w:hAnsi="Times New Roman" w:cs="Times New Roman"/>
          <w:sz w:val="20"/>
          <w:szCs w:val="20"/>
        </w:rPr>
        <w:t xml:space="preserve"> Green synthesis and characterization of </w:t>
      </w:r>
      <w:proofErr w:type="spellStart"/>
      <w:r w:rsidRPr="00375A54">
        <w:rPr>
          <w:rFonts w:ascii="Times New Roman" w:eastAsia="Times New Roman" w:hAnsi="Times New Roman" w:cs="Times New Roman"/>
          <w:sz w:val="20"/>
          <w:szCs w:val="20"/>
        </w:rPr>
        <w:t>gelatin</w:t>
      </w:r>
      <w:proofErr w:type="spellEnd"/>
      <w:r w:rsidRPr="00375A54">
        <w:rPr>
          <w:rFonts w:ascii="Times New Roman" w:eastAsia="Times New Roman" w:hAnsi="Times New Roman" w:cs="Times New Roman"/>
          <w:sz w:val="20"/>
          <w:szCs w:val="20"/>
        </w:rPr>
        <w:t xml:space="preserve">-based and sugar-reduced silver nanoparticles. Int J Nanomedicine. </w:t>
      </w:r>
      <w:proofErr w:type="gramStart"/>
      <w:r w:rsidRPr="00375A54">
        <w:rPr>
          <w:rFonts w:ascii="Times New Roman" w:eastAsia="Times New Roman" w:hAnsi="Times New Roman" w:cs="Times New Roman"/>
          <w:sz w:val="20"/>
          <w:szCs w:val="20"/>
        </w:rPr>
        <w:t>2011;6:569</w:t>
      </w:r>
      <w:proofErr w:type="gramEnd"/>
      <w:r w:rsidRPr="00375A54">
        <w:rPr>
          <w:rFonts w:ascii="Times New Roman" w:eastAsia="Times New Roman" w:hAnsi="Times New Roman" w:cs="Times New Roman"/>
          <w:sz w:val="20"/>
          <w:szCs w:val="20"/>
        </w:rPr>
        <w:t xml:space="preserve">-574.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10.2147/IJN.S16867</w:t>
      </w:r>
      <w:r w:rsidRPr="00375A54">
        <w:rPr>
          <w:rFonts w:ascii="Times New Roman" w:eastAsia="Times New Roman" w:hAnsi="Times New Roman" w:cs="Times New Roman"/>
          <w:sz w:val="20"/>
          <w:szCs w:val="20"/>
        </w:rPr>
        <w:br/>
      </w:r>
      <w:r w:rsidRPr="00375A54">
        <w:rPr>
          <w:rStyle w:val="Strong"/>
          <w:rFonts w:ascii="Times New Roman" w:eastAsia="Times New Roman" w:hAnsi="Times New Roman" w:cs="Times New Roman"/>
          <w:b w:val="0"/>
          <w:sz w:val="20"/>
          <w:szCs w:val="20"/>
        </w:rPr>
        <w:t xml:space="preserve">[23] Espinoza MG, </w:t>
      </w:r>
      <w:proofErr w:type="spellStart"/>
      <w:r w:rsidRPr="00375A54">
        <w:rPr>
          <w:rStyle w:val="Strong"/>
          <w:rFonts w:ascii="Times New Roman" w:eastAsia="Times New Roman" w:hAnsi="Times New Roman" w:cs="Times New Roman"/>
          <w:b w:val="0"/>
          <w:sz w:val="20"/>
          <w:szCs w:val="20"/>
        </w:rPr>
        <w:t>Hietala</w:t>
      </w:r>
      <w:proofErr w:type="spellEnd"/>
      <w:r w:rsidRPr="00375A54">
        <w:rPr>
          <w:rStyle w:val="Strong"/>
          <w:rFonts w:ascii="Times New Roman" w:eastAsia="Times New Roman" w:hAnsi="Times New Roman" w:cs="Times New Roman"/>
          <w:b w:val="0"/>
          <w:sz w:val="20"/>
          <w:szCs w:val="20"/>
        </w:rPr>
        <w:t xml:space="preserve"> S.</w:t>
      </w:r>
      <w:r w:rsidRPr="00375A54">
        <w:rPr>
          <w:rFonts w:ascii="Times New Roman" w:eastAsia="Times New Roman" w:hAnsi="Times New Roman" w:cs="Times New Roman"/>
          <w:sz w:val="20"/>
          <w:szCs w:val="20"/>
        </w:rPr>
        <w:t xml:space="preserve"> The effect of temperature on the nucleation and growth of silver nanoparticles mediated by a plant extract. Nanomaterials. 2020;10(9):1723.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10.3390/nano10091723</w:t>
      </w:r>
    </w:p>
    <w:p w14:paraId="1BD0417C"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[24] Prasad R, et al.</w:t>
      </w:r>
      <w:r w:rsidRPr="00375A54">
        <w:rPr>
          <w:rStyle w:val="t286pc"/>
          <w:rFonts w:eastAsia="Times New Roman"/>
          <w:sz w:val="20"/>
          <w:szCs w:val="20"/>
        </w:rPr>
        <w:t xml:space="preserve"> Temperature-dependent synthesis of silver nanoparticles using Terminalia </w:t>
      </w:r>
      <w:proofErr w:type="spellStart"/>
      <w:r w:rsidRPr="00375A54">
        <w:rPr>
          <w:rStyle w:val="t286pc"/>
          <w:rFonts w:eastAsia="Times New Roman"/>
          <w:sz w:val="20"/>
          <w:szCs w:val="20"/>
        </w:rPr>
        <w:t>chebula</w:t>
      </w:r>
      <w:proofErr w:type="spellEnd"/>
      <w:r w:rsidRPr="00375A54">
        <w:rPr>
          <w:rStyle w:val="t286pc"/>
          <w:rFonts w:eastAsia="Times New Roman"/>
          <w:sz w:val="20"/>
          <w:szCs w:val="20"/>
        </w:rPr>
        <w:t xml:space="preserve"> fruit extract. Mater Lett. </w:t>
      </w:r>
      <w:proofErr w:type="gramStart"/>
      <w:r w:rsidRPr="00375A54">
        <w:rPr>
          <w:rStyle w:val="t286pc"/>
          <w:rFonts w:eastAsia="Times New Roman"/>
          <w:sz w:val="20"/>
          <w:szCs w:val="20"/>
        </w:rPr>
        <w:t>2017;188:143</w:t>
      </w:r>
      <w:proofErr w:type="gramEnd"/>
      <w:r w:rsidRPr="00375A54">
        <w:rPr>
          <w:rStyle w:val="t286pc"/>
          <w:rFonts w:eastAsia="Times New Roman"/>
          <w:sz w:val="20"/>
          <w:szCs w:val="20"/>
        </w:rPr>
        <w:t xml:space="preserve">-146.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10.1016/j.matlet.2016.10.076</w:t>
      </w:r>
    </w:p>
    <w:p w14:paraId="1F6CE3E0"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[25] </w:t>
      </w:r>
      <w:proofErr w:type="spellStart"/>
      <w:r w:rsidRPr="00375A54">
        <w:rPr>
          <w:rStyle w:val="Strong"/>
          <w:rFonts w:eastAsia="Times New Roman"/>
          <w:b w:val="0"/>
          <w:sz w:val="20"/>
          <w:szCs w:val="20"/>
        </w:rPr>
        <w:t>Iravani</w:t>
      </w:r>
      <w:proofErr w:type="spellEnd"/>
      <w:r w:rsidRPr="00375A54">
        <w:rPr>
          <w:rStyle w:val="Strong"/>
          <w:rFonts w:eastAsia="Times New Roman"/>
          <w:b w:val="0"/>
          <w:sz w:val="20"/>
          <w:szCs w:val="20"/>
        </w:rPr>
        <w:t xml:space="preserve"> S, Varma RS.</w:t>
      </w:r>
      <w:r w:rsidRPr="00375A54">
        <w:rPr>
          <w:rStyle w:val="t286pc"/>
          <w:rFonts w:eastAsia="Times New Roman"/>
          <w:sz w:val="20"/>
          <w:szCs w:val="20"/>
        </w:rPr>
        <w:t xml:space="preserve"> Green synthesis, characterization and applications of silver nanoparticles. Nanomaterials. 2020;10(3):575.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10.3390/nano10030575</w:t>
      </w:r>
    </w:p>
    <w:p w14:paraId="2F6EDA33"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[26] Ameen S, et al.</w:t>
      </w:r>
      <w:r w:rsidRPr="00375A54">
        <w:rPr>
          <w:rStyle w:val="t286pc"/>
          <w:rFonts w:eastAsia="Times New Roman"/>
          <w:sz w:val="20"/>
          <w:szCs w:val="20"/>
        </w:rPr>
        <w:t xml:space="preserve"> Green synthesis of silver nanoparticles using Hibiscus </w:t>
      </w:r>
      <w:proofErr w:type="spellStart"/>
      <w:r w:rsidRPr="00375A54">
        <w:rPr>
          <w:rStyle w:val="t286pc"/>
          <w:rFonts w:eastAsia="Times New Roman"/>
          <w:sz w:val="20"/>
          <w:szCs w:val="20"/>
        </w:rPr>
        <w:t>rosa-sinensis</w:t>
      </w:r>
      <w:proofErr w:type="spellEnd"/>
      <w:r w:rsidRPr="00375A54">
        <w:rPr>
          <w:rStyle w:val="t286pc"/>
          <w:rFonts w:eastAsia="Times New Roman"/>
          <w:sz w:val="20"/>
          <w:szCs w:val="20"/>
        </w:rPr>
        <w:t xml:space="preserve">: Influence of temperature and pH on growth kinetics. J </w:t>
      </w:r>
      <w:proofErr w:type="spellStart"/>
      <w:r w:rsidRPr="00375A54">
        <w:rPr>
          <w:rStyle w:val="t286pc"/>
          <w:rFonts w:eastAsia="Times New Roman"/>
          <w:sz w:val="20"/>
          <w:szCs w:val="20"/>
        </w:rPr>
        <w:t>Photochem</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Photobiol</w:t>
      </w:r>
      <w:proofErr w:type="spellEnd"/>
      <w:r w:rsidRPr="00375A54">
        <w:rPr>
          <w:rStyle w:val="t286pc"/>
          <w:rFonts w:eastAsia="Times New Roman"/>
          <w:sz w:val="20"/>
          <w:szCs w:val="20"/>
        </w:rPr>
        <w:t xml:space="preserve"> B. </w:t>
      </w:r>
      <w:proofErr w:type="gramStart"/>
      <w:r w:rsidRPr="00375A54">
        <w:rPr>
          <w:rStyle w:val="t286pc"/>
          <w:rFonts w:eastAsia="Times New Roman"/>
          <w:sz w:val="20"/>
          <w:szCs w:val="20"/>
        </w:rPr>
        <w:t>2019;192:131</w:t>
      </w:r>
      <w:proofErr w:type="gramEnd"/>
      <w:r w:rsidRPr="00375A54">
        <w:rPr>
          <w:rStyle w:val="t286pc"/>
          <w:rFonts w:eastAsia="Times New Roman"/>
          <w:sz w:val="20"/>
          <w:szCs w:val="20"/>
        </w:rPr>
        <w:t xml:space="preserve">-139.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10.1016/j.jphotobiol.2019.01.014</w:t>
      </w:r>
    </w:p>
    <w:p w14:paraId="4AB5977D" w14:textId="77777777" w:rsidR="00EC70D7" w:rsidRPr="00375A54" w:rsidRDefault="00EC70D7" w:rsidP="00EC70D7">
      <w:pPr>
        <w:shd w:val="clear" w:color="auto" w:fill="FFFFFF"/>
        <w:spacing w:line="288" w:lineRule="atLeast"/>
        <w:ind w:left="360"/>
        <w:jc w:val="both"/>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[27] </w:t>
      </w:r>
      <w:proofErr w:type="spellStart"/>
      <w:r w:rsidRPr="00375A54">
        <w:rPr>
          <w:rStyle w:val="Strong"/>
          <w:rFonts w:ascii="Times New Roman" w:eastAsia="Times New Roman" w:hAnsi="Times New Roman" w:cs="Times New Roman"/>
          <w:b w:val="0"/>
          <w:sz w:val="20"/>
          <w:szCs w:val="20"/>
        </w:rPr>
        <w:t>Eyley</w:t>
      </w:r>
      <w:proofErr w:type="spellEnd"/>
      <w:r w:rsidRPr="00375A54">
        <w:rPr>
          <w:rStyle w:val="Strong"/>
          <w:rFonts w:ascii="Times New Roman" w:eastAsia="Times New Roman" w:hAnsi="Times New Roman" w:cs="Times New Roman"/>
          <w:b w:val="0"/>
          <w:sz w:val="20"/>
          <w:szCs w:val="20"/>
        </w:rPr>
        <w:t xml:space="preserve"> S, Thielemans W.</w:t>
      </w:r>
      <w:r w:rsidRPr="00375A54">
        <w:rPr>
          <w:rFonts w:ascii="Times New Roman" w:eastAsia="Times New Roman" w:hAnsi="Times New Roman" w:cs="Times New Roman"/>
          <w:sz w:val="20"/>
          <w:szCs w:val="20"/>
        </w:rPr>
        <w:t xml:space="preserve"> Surface modification of cellulose nanocrystals. Nanoscale. </w:t>
      </w:r>
      <w:proofErr w:type="gramStart"/>
      <w:r w:rsidRPr="00375A54">
        <w:rPr>
          <w:rFonts w:ascii="Times New Roman" w:eastAsia="Times New Roman" w:hAnsi="Times New Roman" w:cs="Times New Roman"/>
          <w:sz w:val="20"/>
          <w:szCs w:val="20"/>
        </w:rPr>
        <w:t>2014;6:7764</w:t>
      </w:r>
      <w:proofErr w:type="gramEnd"/>
      <w:r w:rsidRPr="00375A54">
        <w:rPr>
          <w:rFonts w:ascii="Times New Roman" w:eastAsia="Times New Roman" w:hAnsi="Times New Roman" w:cs="Times New Roman"/>
          <w:sz w:val="20"/>
          <w:szCs w:val="20"/>
        </w:rPr>
        <w:t xml:space="preserve">-7779.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10.1039/C4NR01756K</w:t>
      </w:r>
    </w:p>
    <w:p w14:paraId="338182C2"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[28] </w:t>
      </w:r>
      <w:proofErr w:type="spellStart"/>
      <w:r w:rsidRPr="00375A54">
        <w:rPr>
          <w:rStyle w:val="Strong"/>
          <w:rFonts w:eastAsia="Times New Roman"/>
          <w:b w:val="0"/>
          <w:sz w:val="20"/>
          <w:szCs w:val="20"/>
        </w:rPr>
        <w:t>Trache</w:t>
      </w:r>
      <w:proofErr w:type="spellEnd"/>
      <w:r w:rsidRPr="00375A54">
        <w:rPr>
          <w:rStyle w:val="Strong"/>
          <w:rFonts w:eastAsia="Times New Roman"/>
          <w:b w:val="0"/>
          <w:sz w:val="20"/>
          <w:szCs w:val="20"/>
        </w:rPr>
        <w:t xml:space="preserve"> D, </w:t>
      </w:r>
      <w:proofErr w:type="spellStart"/>
      <w:r w:rsidRPr="00375A54">
        <w:rPr>
          <w:rStyle w:val="Strong"/>
          <w:rFonts w:eastAsia="Times New Roman"/>
          <w:b w:val="0"/>
          <w:sz w:val="20"/>
          <w:szCs w:val="20"/>
        </w:rPr>
        <w:t>Tarchoun</w:t>
      </w:r>
      <w:proofErr w:type="spellEnd"/>
      <w:r w:rsidRPr="00375A54">
        <w:rPr>
          <w:rStyle w:val="Strong"/>
          <w:rFonts w:eastAsia="Times New Roman"/>
          <w:b w:val="0"/>
          <w:sz w:val="20"/>
          <w:szCs w:val="20"/>
        </w:rPr>
        <w:t xml:space="preserve"> AF, </w:t>
      </w:r>
      <w:proofErr w:type="spellStart"/>
      <w:r w:rsidRPr="00375A54">
        <w:rPr>
          <w:rStyle w:val="Strong"/>
          <w:rFonts w:eastAsia="Times New Roman"/>
          <w:b w:val="0"/>
          <w:sz w:val="20"/>
          <w:szCs w:val="20"/>
        </w:rPr>
        <w:t>Derradji</w:t>
      </w:r>
      <w:proofErr w:type="spellEnd"/>
      <w:r w:rsidRPr="00375A54">
        <w:rPr>
          <w:rStyle w:val="Strong"/>
          <w:rFonts w:eastAsia="Times New Roman"/>
          <w:b w:val="0"/>
          <w:sz w:val="20"/>
          <w:szCs w:val="20"/>
        </w:rPr>
        <w:t xml:space="preserve"> M, Hamidi A, Ning N, Gandhi S, et al.</w:t>
      </w:r>
      <w:r w:rsidRPr="00375A54">
        <w:rPr>
          <w:rStyle w:val="t286pc"/>
          <w:rFonts w:eastAsia="Times New Roman"/>
          <w:sz w:val="20"/>
          <w:szCs w:val="20"/>
        </w:rPr>
        <w:t xml:space="preserve"> Nanocellulose: From fundamentals to advanced applications. Front Chem. </w:t>
      </w:r>
      <w:proofErr w:type="gramStart"/>
      <w:r w:rsidRPr="00375A54">
        <w:rPr>
          <w:rStyle w:val="t286pc"/>
          <w:rFonts w:eastAsia="Times New Roman"/>
          <w:sz w:val="20"/>
          <w:szCs w:val="20"/>
        </w:rPr>
        <w:t>2020;8:392</w:t>
      </w:r>
      <w:proofErr w:type="gramEnd"/>
      <w:r w:rsidRPr="00375A54">
        <w:rPr>
          <w:rStyle w:val="t286pc"/>
          <w:rFonts w:eastAsia="Times New Roman"/>
          <w:sz w:val="20"/>
          <w:szCs w:val="20"/>
        </w:rPr>
        <w:t xml:space="preserve">.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10.3389/fchem.2020.00392</w:t>
      </w:r>
    </w:p>
    <w:p w14:paraId="0A8218FB"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[29] Dufresne A.</w:t>
      </w:r>
      <w:r w:rsidRPr="00375A54">
        <w:rPr>
          <w:rStyle w:val="t286pc"/>
          <w:rFonts w:eastAsia="Times New Roman"/>
          <w:sz w:val="20"/>
          <w:szCs w:val="20"/>
        </w:rPr>
        <w:t> Nanocellulose: From nature to high performance tailored materials. 2nd ed. Berlin: De Gruyter; 2017. ISBN: 978-3110478488.</w:t>
      </w:r>
    </w:p>
    <w:p w14:paraId="3C051A1E"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 xml:space="preserve">[30] </w:t>
      </w:r>
      <w:proofErr w:type="spellStart"/>
      <w:r w:rsidRPr="00375A54">
        <w:rPr>
          <w:rStyle w:val="Strong"/>
          <w:rFonts w:eastAsia="Times New Roman"/>
          <w:b w:val="0"/>
          <w:sz w:val="20"/>
          <w:szCs w:val="20"/>
        </w:rPr>
        <w:t>Grishkewich</w:t>
      </w:r>
      <w:proofErr w:type="spellEnd"/>
      <w:r w:rsidRPr="00375A54">
        <w:rPr>
          <w:rStyle w:val="Strong"/>
          <w:rFonts w:eastAsia="Times New Roman"/>
          <w:b w:val="0"/>
          <w:sz w:val="20"/>
          <w:szCs w:val="20"/>
        </w:rPr>
        <w:t xml:space="preserve"> N, Mohammed N, Tang J, Tam KC.</w:t>
      </w:r>
      <w:r w:rsidRPr="00375A54">
        <w:rPr>
          <w:rStyle w:val="t286pc"/>
          <w:rFonts w:eastAsia="Times New Roman"/>
          <w:sz w:val="20"/>
          <w:szCs w:val="20"/>
        </w:rPr>
        <w:t xml:space="preserve"> Recent advances in the application of cellulose nanocrystals. </w:t>
      </w:r>
      <w:proofErr w:type="spellStart"/>
      <w:r w:rsidRPr="00375A54">
        <w:rPr>
          <w:rStyle w:val="t286pc"/>
          <w:rFonts w:eastAsia="Times New Roman"/>
          <w:sz w:val="20"/>
          <w:szCs w:val="20"/>
        </w:rPr>
        <w:t>Curr</w:t>
      </w:r>
      <w:proofErr w:type="spellEnd"/>
      <w:r w:rsidRPr="00375A54">
        <w:rPr>
          <w:rStyle w:val="t286pc"/>
          <w:rFonts w:eastAsia="Times New Roman"/>
          <w:sz w:val="20"/>
          <w:szCs w:val="20"/>
        </w:rPr>
        <w:t xml:space="preserve"> </w:t>
      </w:r>
      <w:proofErr w:type="spellStart"/>
      <w:r w:rsidRPr="00375A54">
        <w:rPr>
          <w:rStyle w:val="t286pc"/>
          <w:rFonts w:eastAsia="Times New Roman"/>
          <w:sz w:val="20"/>
          <w:szCs w:val="20"/>
        </w:rPr>
        <w:t>Opin</w:t>
      </w:r>
      <w:proofErr w:type="spellEnd"/>
      <w:r w:rsidRPr="00375A54">
        <w:rPr>
          <w:rStyle w:val="t286pc"/>
          <w:rFonts w:eastAsia="Times New Roman"/>
          <w:sz w:val="20"/>
          <w:szCs w:val="20"/>
        </w:rPr>
        <w:t xml:space="preserve"> Colloid Interface Sci. </w:t>
      </w:r>
      <w:proofErr w:type="gramStart"/>
      <w:r w:rsidRPr="00375A54">
        <w:rPr>
          <w:rStyle w:val="t286pc"/>
          <w:rFonts w:eastAsia="Times New Roman"/>
          <w:sz w:val="20"/>
          <w:szCs w:val="20"/>
        </w:rPr>
        <w:t>2017;29:32</w:t>
      </w:r>
      <w:proofErr w:type="gramEnd"/>
      <w:r w:rsidRPr="00375A54">
        <w:rPr>
          <w:rStyle w:val="t286pc"/>
          <w:rFonts w:eastAsia="Times New Roman"/>
          <w:sz w:val="20"/>
          <w:szCs w:val="20"/>
        </w:rPr>
        <w:t xml:space="preserve">-45. </w:t>
      </w:r>
      <w:proofErr w:type="spellStart"/>
      <w:r w:rsidRPr="00375A54">
        <w:rPr>
          <w:rStyle w:val="t286pc"/>
          <w:rFonts w:eastAsia="Times New Roman"/>
          <w:sz w:val="20"/>
          <w:szCs w:val="20"/>
        </w:rPr>
        <w:t>doi</w:t>
      </w:r>
      <w:proofErr w:type="spellEnd"/>
      <w:r w:rsidRPr="00375A54">
        <w:rPr>
          <w:rStyle w:val="t286pc"/>
          <w:rFonts w:eastAsia="Times New Roman"/>
          <w:sz w:val="20"/>
          <w:szCs w:val="20"/>
        </w:rPr>
        <w:t>: 10.1016/j.cocis.2017.01.005</w:t>
      </w:r>
    </w:p>
    <w:p w14:paraId="2AC7CEEF" w14:textId="77777777" w:rsidR="00EC70D7" w:rsidRPr="00375A54" w:rsidRDefault="00EC70D7" w:rsidP="002A248F">
      <w:pPr>
        <w:shd w:val="clear" w:color="auto" w:fill="FFFFFF"/>
        <w:spacing w:line="288" w:lineRule="atLeast"/>
        <w:ind w:left="360"/>
        <w:divId w:val="271595052"/>
        <w:rPr>
          <w:rFonts w:ascii="Times New Roman" w:eastAsia="Times New Roman" w:hAnsi="Times New Roman" w:cs="Times New Roman"/>
          <w:sz w:val="20"/>
          <w:szCs w:val="20"/>
        </w:rPr>
      </w:pPr>
      <w:r w:rsidRPr="00375A54">
        <w:rPr>
          <w:rStyle w:val="Strong"/>
          <w:rFonts w:ascii="Times New Roman" w:eastAsia="Times New Roman" w:hAnsi="Times New Roman" w:cs="Times New Roman"/>
          <w:b w:val="0"/>
          <w:sz w:val="20"/>
          <w:szCs w:val="20"/>
        </w:rPr>
        <w:t xml:space="preserve">[31] </w:t>
      </w:r>
      <w:proofErr w:type="spellStart"/>
      <w:r w:rsidRPr="00375A54">
        <w:rPr>
          <w:rStyle w:val="Strong"/>
          <w:rFonts w:ascii="Times New Roman" w:eastAsia="Times New Roman" w:hAnsi="Times New Roman" w:cs="Times New Roman"/>
          <w:b w:val="0"/>
          <w:sz w:val="20"/>
          <w:szCs w:val="20"/>
        </w:rPr>
        <w:t>Laidler</w:t>
      </w:r>
      <w:proofErr w:type="spellEnd"/>
      <w:r w:rsidRPr="00375A54">
        <w:rPr>
          <w:rStyle w:val="Strong"/>
          <w:rFonts w:ascii="Times New Roman" w:eastAsia="Times New Roman" w:hAnsi="Times New Roman" w:cs="Times New Roman"/>
          <w:b w:val="0"/>
          <w:sz w:val="20"/>
          <w:szCs w:val="20"/>
        </w:rPr>
        <w:t xml:space="preserve"> KJ.</w:t>
      </w:r>
      <w:r w:rsidRPr="00375A54">
        <w:rPr>
          <w:rFonts w:ascii="Times New Roman" w:eastAsia="Times New Roman" w:hAnsi="Times New Roman" w:cs="Times New Roman"/>
          <w:sz w:val="20"/>
          <w:szCs w:val="20"/>
        </w:rPr>
        <w:t> Chemical Kinetics. 3rd ed. New York: Harper &amp; Row; 1987.</w:t>
      </w:r>
      <w:r w:rsidRPr="00375A54">
        <w:rPr>
          <w:rFonts w:ascii="Times New Roman" w:eastAsia="Times New Roman" w:hAnsi="Times New Roman" w:cs="Times New Roman"/>
          <w:sz w:val="20"/>
          <w:szCs w:val="20"/>
        </w:rPr>
        <w:br/>
      </w:r>
      <w:r w:rsidRPr="00375A54">
        <w:rPr>
          <w:rStyle w:val="Strong"/>
          <w:rFonts w:ascii="Times New Roman" w:eastAsia="Times New Roman" w:hAnsi="Times New Roman" w:cs="Times New Roman"/>
          <w:b w:val="0"/>
          <w:sz w:val="20"/>
          <w:szCs w:val="20"/>
        </w:rPr>
        <w:t>[32] Atkins P, de Paula J, Keeler J.</w:t>
      </w:r>
      <w:r w:rsidRPr="00375A54">
        <w:rPr>
          <w:rFonts w:ascii="Times New Roman" w:eastAsia="Times New Roman" w:hAnsi="Times New Roman" w:cs="Times New Roman"/>
          <w:sz w:val="20"/>
          <w:szCs w:val="20"/>
        </w:rPr>
        <w:t> Atkins' Physical Chemistry. 12th ed. Oxford: Oxford University Press; 2022. ISBN: 978-0198847816.</w:t>
      </w:r>
      <w:r w:rsidRPr="00375A54">
        <w:rPr>
          <w:rFonts w:ascii="Times New Roman" w:eastAsia="Times New Roman" w:hAnsi="Times New Roman" w:cs="Times New Roman"/>
          <w:sz w:val="20"/>
          <w:szCs w:val="20"/>
        </w:rPr>
        <w:br/>
      </w:r>
      <w:r w:rsidRPr="00375A54">
        <w:rPr>
          <w:rStyle w:val="Strong"/>
          <w:rFonts w:ascii="Times New Roman" w:eastAsia="Times New Roman" w:hAnsi="Times New Roman" w:cs="Times New Roman"/>
          <w:b w:val="0"/>
          <w:sz w:val="20"/>
          <w:szCs w:val="20"/>
        </w:rPr>
        <w:t>[33] House JE.</w:t>
      </w:r>
      <w:r w:rsidRPr="00375A54">
        <w:rPr>
          <w:rFonts w:ascii="Times New Roman" w:eastAsia="Times New Roman" w:hAnsi="Times New Roman" w:cs="Times New Roman"/>
          <w:sz w:val="20"/>
          <w:szCs w:val="20"/>
        </w:rPr>
        <w:t xml:space="preserve"> Principles of Chemical Kinetics. 2nd ed. Burlington: Academic Press; 2007. </w:t>
      </w:r>
      <w:proofErr w:type="spellStart"/>
      <w:r w:rsidRPr="00375A54">
        <w:rPr>
          <w:rFonts w:ascii="Times New Roman" w:eastAsia="Times New Roman" w:hAnsi="Times New Roman" w:cs="Times New Roman"/>
          <w:sz w:val="20"/>
          <w:szCs w:val="20"/>
        </w:rPr>
        <w:t>doi</w:t>
      </w:r>
      <w:proofErr w:type="spellEnd"/>
      <w:r w:rsidRPr="00375A54">
        <w:rPr>
          <w:rFonts w:ascii="Times New Roman" w:eastAsia="Times New Roman" w:hAnsi="Times New Roman" w:cs="Times New Roman"/>
          <w:sz w:val="20"/>
          <w:szCs w:val="20"/>
        </w:rPr>
        <w:t>: </w:t>
      </w:r>
      <w:r w:rsidRPr="00375A54">
        <w:rPr>
          <w:rStyle w:val="t286pc"/>
          <w:rFonts w:ascii="Times New Roman" w:eastAsia="Times New Roman" w:hAnsi="Times New Roman" w:cs="Times New Roman"/>
          <w:sz w:val="20"/>
          <w:szCs w:val="20"/>
        </w:rPr>
        <w:t>10.1016/B978-0-12-356787-1.X5001-3</w:t>
      </w:r>
    </w:p>
    <w:p w14:paraId="4E5A7F17" w14:textId="77777777" w:rsidR="00EC70D7" w:rsidRPr="00375A54" w:rsidRDefault="00EC70D7" w:rsidP="00EC70D7">
      <w:pPr>
        <w:pStyle w:val="df3vjf"/>
        <w:shd w:val="clear" w:color="auto" w:fill="FFFFFF"/>
        <w:spacing w:before="0" w:beforeAutospacing="0" w:after="180" w:afterAutospacing="0" w:line="288" w:lineRule="atLeast"/>
        <w:ind w:left="360"/>
        <w:jc w:val="both"/>
        <w:divId w:val="271595052"/>
        <w:rPr>
          <w:rFonts w:eastAsia="Times New Roman"/>
          <w:sz w:val="20"/>
          <w:szCs w:val="20"/>
        </w:rPr>
      </w:pPr>
      <w:r w:rsidRPr="00375A54">
        <w:rPr>
          <w:rStyle w:val="Strong"/>
          <w:rFonts w:eastAsia="Times New Roman"/>
          <w:b w:val="0"/>
          <w:sz w:val="20"/>
          <w:szCs w:val="20"/>
        </w:rPr>
        <w:t>[34] Houston PL.</w:t>
      </w:r>
      <w:r w:rsidRPr="00375A54">
        <w:rPr>
          <w:rStyle w:val="t286pc"/>
          <w:rFonts w:eastAsia="Times New Roman"/>
          <w:sz w:val="20"/>
          <w:szCs w:val="20"/>
        </w:rPr>
        <w:t> Chemical Kinetics and Reaction Dynamics. New York: Dover Publications; 2019. ISBN: 978-0486835013.</w:t>
      </w:r>
    </w:p>
    <w:p w14:paraId="587AC16E" w14:textId="17136D5D" w:rsidR="00B74DDC" w:rsidRPr="002A248F" w:rsidRDefault="00B74DDC" w:rsidP="00EC70D7">
      <w:pPr>
        <w:pStyle w:val="df3vjf"/>
        <w:shd w:val="clear" w:color="auto" w:fill="FFFFFF"/>
        <w:spacing w:before="0" w:beforeAutospacing="0" w:after="180" w:afterAutospacing="0" w:line="288" w:lineRule="atLeast"/>
        <w:divId w:val="271595052"/>
        <w:rPr>
          <w:rFonts w:ascii="Roboto" w:eastAsia="Times New Roman" w:hAnsi="Roboto"/>
          <w:sz w:val="19"/>
          <w:szCs w:val="19"/>
        </w:rPr>
      </w:pPr>
    </w:p>
    <w:p w14:paraId="38EA154B" w14:textId="77777777" w:rsidR="00B74DDC" w:rsidRPr="002A248F" w:rsidRDefault="00B74DDC" w:rsidP="00B74DDC">
      <w:pPr>
        <w:pStyle w:val="NormalWeb"/>
        <w:jc w:val="both"/>
        <w:divId w:val="271595052"/>
        <w:rPr>
          <w:rFonts w:asciiTheme="minorHAnsi" w:hAnsiTheme="minorHAnsi" w:cstheme="minorHAnsi"/>
          <w:sz w:val="20"/>
        </w:rPr>
      </w:pPr>
    </w:p>
    <w:p w14:paraId="11B6A744" w14:textId="77777777" w:rsidR="00E85E3B" w:rsidRPr="002A248F" w:rsidRDefault="00E85E3B" w:rsidP="001D043E">
      <w:pPr>
        <w:pStyle w:val="NormalWeb"/>
        <w:spacing w:after="0" w:afterAutospacing="0"/>
        <w:ind w:left="360"/>
        <w:jc w:val="center"/>
        <w:divId w:val="271595052"/>
        <w:rPr>
          <w:b/>
          <w:sz w:val="18"/>
          <w:szCs w:val="16"/>
        </w:rPr>
      </w:pPr>
      <w:r w:rsidRPr="002A248F">
        <w:rPr>
          <w:b/>
          <w:sz w:val="18"/>
          <w:szCs w:val="16"/>
        </w:rPr>
        <w:t>Supplementary Data (For Plotting)</w:t>
      </w:r>
    </w:p>
    <w:p w14:paraId="3557CDB5" w14:textId="19E5934D" w:rsidR="00E85E3B" w:rsidRPr="002A248F" w:rsidRDefault="00EE1F09" w:rsidP="001D043E">
      <w:pPr>
        <w:pStyle w:val="NormalWeb"/>
        <w:spacing w:after="0" w:afterAutospacing="0"/>
        <w:jc w:val="center"/>
        <w:divId w:val="271595052"/>
        <w:rPr>
          <w:sz w:val="14"/>
          <w:szCs w:val="16"/>
        </w:rPr>
      </w:pPr>
      <w:r>
        <w:rPr>
          <w:sz w:val="14"/>
          <w:szCs w:val="16"/>
        </w:rPr>
        <w:t>Table</w:t>
      </w:r>
      <w:r w:rsidR="00E85E3B" w:rsidRPr="002A248F">
        <w:rPr>
          <w:sz w:val="14"/>
          <w:szCs w:val="16"/>
        </w:rPr>
        <w:t xml:space="preserve"> 1 Data: Spectral </w:t>
      </w:r>
      <w:r w:rsidR="00A101D8" w:rsidRPr="002A248F">
        <w:rPr>
          <w:sz w:val="14"/>
          <w:szCs w:val="16"/>
        </w:rPr>
        <w:t>Evolution (50°C Representative)</w:t>
      </w:r>
    </w:p>
    <w:tbl>
      <w:tblPr>
        <w:tblW w:w="5000" w:type="pct"/>
        <w:tblCellMar>
          <w:left w:w="0" w:type="dxa"/>
          <w:right w:w="0" w:type="dxa"/>
        </w:tblCellMar>
        <w:tblLook w:val="04A0" w:firstRow="1" w:lastRow="0" w:firstColumn="1" w:lastColumn="0" w:noHBand="0" w:noVBand="1"/>
      </w:tblPr>
      <w:tblGrid>
        <w:gridCol w:w="1685"/>
        <w:gridCol w:w="1100"/>
        <w:gridCol w:w="1100"/>
        <w:gridCol w:w="1101"/>
        <w:gridCol w:w="1101"/>
        <w:gridCol w:w="1101"/>
        <w:gridCol w:w="1101"/>
        <w:gridCol w:w="1101"/>
      </w:tblGrid>
      <w:tr w:rsidR="00A101D8" w:rsidRPr="002A248F" w14:paraId="428F6EE6"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03697FC8"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Wavelength (nm)</w:t>
            </w:r>
          </w:p>
        </w:tc>
        <w:tc>
          <w:tcPr>
            <w:tcW w:w="586" w:type="pct"/>
            <w:tcBorders>
              <w:top w:val="nil"/>
              <w:left w:val="nil"/>
              <w:bottom w:val="nil"/>
              <w:right w:val="nil"/>
            </w:tcBorders>
            <w:noWrap/>
            <w:tcMar>
              <w:top w:w="15" w:type="dxa"/>
              <w:left w:w="15" w:type="dxa"/>
              <w:bottom w:w="0" w:type="dxa"/>
              <w:right w:w="15" w:type="dxa"/>
            </w:tcMar>
            <w:vAlign w:val="bottom"/>
            <w:hideMark/>
          </w:tcPr>
          <w:p w14:paraId="0157DB46"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0 min</w:t>
            </w:r>
          </w:p>
        </w:tc>
        <w:tc>
          <w:tcPr>
            <w:tcW w:w="586" w:type="pct"/>
            <w:tcBorders>
              <w:top w:val="nil"/>
              <w:left w:val="nil"/>
              <w:bottom w:val="nil"/>
              <w:right w:val="nil"/>
            </w:tcBorders>
            <w:noWrap/>
            <w:tcMar>
              <w:top w:w="15" w:type="dxa"/>
              <w:left w:w="15" w:type="dxa"/>
              <w:bottom w:w="0" w:type="dxa"/>
              <w:right w:w="15" w:type="dxa"/>
            </w:tcMar>
            <w:vAlign w:val="bottom"/>
            <w:hideMark/>
          </w:tcPr>
          <w:p w14:paraId="2283C813"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10 min</w:t>
            </w:r>
          </w:p>
        </w:tc>
        <w:tc>
          <w:tcPr>
            <w:tcW w:w="586" w:type="pct"/>
            <w:tcBorders>
              <w:top w:val="nil"/>
              <w:left w:val="nil"/>
              <w:bottom w:val="nil"/>
              <w:right w:val="nil"/>
            </w:tcBorders>
            <w:noWrap/>
            <w:tcMar>
              <w:top w:w="15" w:type="dxa"/>
              <w:left w:w="15" w:type="dxa"/>
              <w:bottom w:w="0" w:type="dxa"/>
              <w:right w:w="15" w:type="dxa"/>
            </w:tcMar>
            <w:vAlign w:val="bottom"/>
            <w:hideMark/>
          </w:tcPr>
          <w:p w14:paraId="349F4ADC"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20 min</w:t>
            </w:r>
          </w:p>
        </w:tc>
        <w:tc>
          <w:tcPr>
            <w:tcW w:w="586" w:type="pct"/>
            <w:tcBorders>
              <w:top w:val="nil"/>
              <w:left w:val="nil"/>
              <w:bottom w:val="nil"/>
              <w:right w:val="nil"/>
            </w:tcBorders>
            <w:noWrap/>
            <w:tcMar>
              <w:top w:w="15" w:type="dxa"/>
              <w:left w:w="15" w:type="dxa"/>
              <w:bottom w:w="0" w:type="dxa"/>
              <w:right w:w="15" w:type="dxa"/>
            </w:tcMar>
            <w:vAlign w:val="bottom"/>
            <w:hideMark/>
          </w:tcPr>
          <w:p w14:paraId="5E07A39D"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30 min</w:t>
            </w:r>
          </w:p>
        </w:tc>
        <w:tc>
          <w:tcPr>
            <w:tcW w:w="586" w:type="pct"/>
            <w:tcBorders>
              <w:top w:val="nil"/>
              <w:left w:val="nil"/>
              <w:bottom w:val="nil"/>
              <w:right w:val="nil"/>
            </w:tcBorders>
            <w:noWrap/>
            <w:tcMar>
              <w:top w:w="15" w:type="dxa"/>
              <w:left w:w="15" w:type="dxa"/>
              <w:bottom w:w="0" w:type="dxa"/>
              <w:right w:w="15" w:type="dxa"/>
            </w:tcMar>
            <w:vAlign w:val="bottom"/>
            <w:hideMark/>
          </w:tcPr>
          <w:p w14:paraId="661C9D61"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40 min</w:t>
            </w:r>
          </w:p>
        </w:tc>
        <w:tc>
          <w:tcPr>
            <w:tcW w:w="586" w:type="pct"/>
            <w:tcBorders>
              <w:top w:val="nil"/>
              <w:left w:val="nil"/>
              <w:bottom w:val="nil"/>
              <w:right w:val="nil"/>
            </w:tcBorders>
            <w:noWrap/>
            <w:tcMar>
              <w:top w:w="15" w:type="dxa"/>
              <w:left w:w="15" w:type="dxa"/>
              <w:bottom w:w="0" w:type="dxa"/>
              <w:right w:w="15" w:type="dxa"/>
            </w:tcMar>
            <w:vAlign w:val="bottom"/>
            <w:hideMark/>
          </w:tcPr>
          <w:p w14:paraId="72CE8493"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50 min</w:t>
            </w:r>
          </w:p>
        </w:tc>
        <w:tc>
          <w:tcPr>
            <w:tcW w:w="586" w:type="pct"/>
            <w:tcBorders>
              <w:top w:val="nil"/>
              <w:left w:val="nil"/>
              <w:bottom w:val="nil"/>
              <w:right w:val="nil"/>
            </w:tcBorders>
            <w:noWrap/>
            <w:tcMar>
              <w:top w:w="15" w:type="dxa"/>
              <w:left w:w="15" w:type="dxa"/>
              <w:bottom w:w="0" w:type="dxa"/>
              <w:right w:w="15" w:type="dxa"/>
            </w:tcMar>
            <w:vAlign w:val="bottom"/>
            <w:hideMark/>
          </w:tcPr>
          <w:p w14:paraId="77C102A5"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60 min</w:t>
            </w:r>
          </w:p>
        </w:tc>
      </w:tr>
      <w:tr w:rsidR="00A101D8" w:rsidRPr="002A248F" w14:paraId="7F064F76"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139E4A3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300.</w:t>
            </w:r>
          </w:p>
        </w:tc>
        <w:tc>
          <w:tcPr>
            <w:tcW w:w="586" w:type="pct"/>
            <w:tcBorders>
              <w:top w:val="nil"/>
              <w:left w:val="nil"/>
              <w:bottom w:val="nil"/>
              <w:right w:val="nil"/>
            </w:tcBorders>
            <w:noWrap/>
            <w:tcMar>
              <w:top w:w="15" w:type="dxa"/>
              <w:left w:w="15" w:type="dxa"/>
              <w:bottom w:w="0" w:type="dxa"/>
              <w:right w:w="15" w:type="dxa"/>
            </w:tcMar>
            <w:vAlign w:val="bottom"/>
            <w:hideMark/>
          </w:tcPr>
          <w:p w14:paraId="3A92FA73"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0.100</w:t>
            </w:r>
          </w:p>
        </w:tc>
        <w:tc>
          <w:tcPr>
            <w:tcW w:w="586" w:type="pct"/>
            <w:tcBorders>
              <w:top w:val="nil"/>
              <w:left w:val="nil"/>
              <w:bottom w:val="nil"/>
              <w:right w:val="nil"/>
            </w:tcBorders>
            <w:noWrap/>
            <w:tcMar>
              <w:top w:w="15" w:type="dxa"/>
              <w:left w:w="15" w:type="dxa"/>
              <w:bottom w:w="0" w:type="dxa"/>
              <w:right w:w="15" w:type="dxa"/>
            </w:tcMar>
            <w:vAlign w:val="bottom"/>
            <w:hideMark/>
          </w:tcPr>
          <w:p w14:paraId="339EE40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0.112</w:t>
            </w:r>
          </w:p>
        </w:tc>
        <w:tc>
          <w:tcPr>
            <w:tcW w:w="586" w:type="pct"/>
            <w:tcBorders>
              <w:top w:val="nil"/>
              <w:left w:val="nil"/>
              <w:bottom w:val="nil"/>
              <w:right w:val="nil"/>
            </w:tcBorders>
            <w:noWrap/>
            <w:tcMar>
              <w:top w:w="15" w:type="dxa"/>
              <w:left w:w="15" w:type="dxa"/>
              <w:bottom w:w="0" w:type="dxa"/>
              <w:right w:w="15" w:type="dxa"/>
            </w:tcMar>
            <w:vAlign w:val="bottom"/>
            <w:hideMark/>
          </w:tcPr>
          <w:p w14:paraId="719E704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0.117</w:t>
            </w:r>
          </w:p>
        </w:tc>
        <w:tc>
          <w:tcPr>
            <w:tcW w:w="586" w:type="pct"/>
            <w:tcBorders>
              <w:top w:val="nil"/>
              <w:left w:val="nil"/>
              <w:bottom w:val="nil"/>
              <w:right w:val="nil"/>
            </w:tcBorders>
            <w:noWrap/>
            <w:tcMar>
              <w:top w:w="15" w:type="dxa"/>
              <w:left w:w="15" w:type="dxa"/>
              <w:bottom w:w="0" w:type="dxa"/>
              <w:right w:w="15" w:type="dxa"/>
            </w:tcMar>
            <w:vAlign w:val="bottom"/>
            <w:hideMark/>
          </w:tcPr>
          <w:p w14:paraId="6646332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0.119</w:t>
            </w:r>
          </w:p>
        </w:tc>
        <w:tc>
          <w:tcPr>
            <w:tcW w:w="586" w:type="pct"/>
            <w:tcBorders>
              <w:top w:val="nil"/>
              <w:left w:val="nil"/>
              <w:bottom w:val="nil"/>
              <w:right w:val="nil"/>
            </w:tcBorders>
            <w:noWrap/>
            <w:tcMar>
              <w:top w:w="15" w:type="dxa"/>
              <w:left w:w="15" w:type="dxa"/>
              <w:bottom w:w="0" w:type="dxa"/>
              <w:right w:w="15" w:type="dxa"/>
            </w:tcMar>
            <w:vAlign w:val="bottom"/>
            <w:hideMark/>
          </w:tcPr>
          <w:p w14:paraId="2E26280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0.121</w:t>
            </w:r>
          </w:p>
        </w:tc>
        <w:tc>
          <w:tcPr>
            <w:tcW w:w="586" w:type="pct"/>
            <w:tcBorders>
              <w:top w:val="nil"/>
              <w:left w:val="nil"/>
              <w:bottom w:val="nil"/>
              <w:right w:val="nil"/>
            </w:tcBorders>
            <w:noWrap/>
            <w:tcMar>
              <w:top w:w="15" w:type="dxa"/>
              <w:left w:w="15" w:type="dxa"/>
              <w:bottom w:w="0" w:type="dxa"/>
              <w:right w:w="15" w:type="dxa"/>
            </w:tcMar>
            <w:vAlign w:val="bottom"/>
            <w:hideMark/>
          </w:tcPr>
          <w:p w14:paraId="08DA76D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0.121</w:t>
            </w:r>
          </w:p>
        </w:tc>
        <w:tc>
          <w:tcPr>
            <w:tcW w:w="586" w:type="pct"/>
            <w:tcBorders>
              <w:top w:val="nil"/>
              <w:left w:val="nil"/>
              <w:bottom w:val="nil"/>
              <w:right w:val="nil"/>
            </w:tcBorders>
            <w:noWrap/>
            <w:tcMar>
              <w:top w:w="15" w:type="dxa"/>
              <w:left w:w="15" w:type="dxa"/>
              <w:bottom w:w="0" w:type="dxa"/>
              <w:right w:w="15" w:type="dxa"/>
            </w:tcMar>
            <w:vAlign w:val="bottom"/>
            <w:hideMark/>
          </w:tcPr>
          <w:p w14:paraId="400E48A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0.121</w:t>
            </w:r>
          </w:p>
        </w:tc>
      </w:tr>
      <w:tr w:rsidR="00A101D8" w:rsidRPr="002A248F" w14:paraId="6B58BF49"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30235A6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320.</w:t>
            </w:r>
          </w:p>
        </w:tc>
        <w:tc>
          <w:tcPr>
            <w:tcW w:w="586" w:type="pct"/>
            <w:tcBorders>
              <w:top w:val="nil"/>
              <w:left w:val="nil"/>
              <w:bottom w:val="nil"/>
              <w:right w:val="nil"/>
            </w:tcBorders>
            <w:noWrap/>
            <w:tcMar>
              <w:top w:w="15" w:type="dxa"/>
              <w:left w:w="15" w:type="dxa"/>
              <w:bottom w:w="0" w:type="dxa"/>
              <w:right w:w="15" w:type="dxa"/>
            </w:tcMar>
            <w:vAlign w:val="bottom"/>
            <w:hideMark/>
          </w:tcPr>
          <w:p w14:paraId="5750EB7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0.090</w:t>
            </w:r>
          </w:p>
        </w:tc>
        <w:tc>
          <w:tcPr>
            <w:tcW w:w="586" w:type="pct"/>
            <w:tcBorders>
              <w:top w:val="nil"/>
              <w:left w:val="nil"/>
              <w:bottom w:val="nil"/>
              <w:right w:val="nil"/>
            </w:tcBorders>
            <w:noWrap/>
            <w:tcMar>
              <w:top w:w="15" w:type="dxa"/>
              <w:left w:w="15" w:type="dxa"/>
              <w:bottom w:w="0" w:type="dxa"/>
              <w:right w:w="15" w:type="dxa"/>
            </w:tcMar>
            <w:vAlign w:val="bottom"/>
            <w:hideMark/>
          </w:tcPr>
          <w:p w14:paraId="5666860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0.128</w:t>
            </w:r>
          </w:p>
        </w:tc>
        <w:tc>
          <w:tcPr>
            <w:tcW w:w="586" w:type="pct"/>
            <w:tcBorders>
              <w:top w:val="nil"/>
              <w:left w:val="nil"/>
              <w:bottom w:val="nil"/>
              <w:right w:val="nil"/>
            </w:tcBorders>
            <w:noWrap/>
            <w:tcMar>
              <w:top w:w="15" w:type="dxa"/>
              <w:left w:w="15" w:type="dxa"/>
              <w:bottom w:w="0" w:type="dxa"/>
              <w:right w:w="15" w:type="dxa"/>
            </w:tcMar>
            <w:vAlign w:val="bottom"/>
            <w:hideMark/>
          </w:tcPr>
          <w:p w14:paraId="3630AB2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0.146</w:t>
            </w:r>
          </w:p>
        </w:tc>
        <w:tc>
          <w:tcPr>
            <w:tcW w:w="586" w:type="pct"/>
            <w:tcBorders>
              <w:top w:val="nil"/>
              <w:left w:val="nil"/>
              <w:bottom w:val="nil"/>
              <w:right w:val="nil"/>
            </w:tcBorders>
            <w:noWrap/>
            <w:tcMar>
              <w:top w:w="15" w:type="dxa"/>
              <w:left w:w="15" w:type="dxa"/>
              <w:bottom w:w="0" w:type="dxa"/>
              <w:right w:w="15" w:type="dxa"/>
            </w:tcMar>
            <w:vAlign w:val="bottom"/>
            <w:hideMark/>
          </w:tcPr>
          <w:p w14:paraId="04231DF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0.154</w:t>
            </w:r>
          </w:p>
        </w:tc>
        <w:tc>
          <w:tcPr>
            <w:tcW w:w="586" w:type="pct"/>
            <w:tcBorders>
              <w:top w:val="nil"/>
              <w:left w:val="nil"/>
              <w:bottom w:val="nil"/>
              <w:right w:val="nil"/>
            </w:tcBorders>
            <w:noWrap/>
            <w:tcMar>
              <w:top w:w="15" w:type="dxa"/>
              <w:left w:w="15" w:type="dxa"/>
              <w:bottom w:w="0" w:type="dxa"/>
              <w:right w:w="15" w:type="dxa"/>
            </w:tcMar>
            <w:vAlign w:val="bottom"/>
            <w:hideMark/>
          </w:tcPr>
          <w:p w14:paraId="5241269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0.158</w:t>
            </w:r>
          </w:p>
        </w:tc>
        <w:tc>
          <w:tcPr>
            <w:tcW w:w="586" w:type="pct"/>
            <w:tcBorders>
              <w:top w:val="nil"/>
              <w:left w:val="nil"/>
              <w:bottom w:val="nil"/>
              <w:right w:val="nil"/>
            </w:tcBorders>
            <w:noWrap/>
            <w:tcMar>
              <w:top w:w="15" w:type="dxa"/>
              <w:left w:w="15" w:type="dxa"/>
              <w:bottom w:w="0" w:type="dxa"/>
              <w:right w:w="15" w:type="dxa"/>
            </w:tcMar>
            <w:vAlign w:val="bottom"/>
            <w:hideMark/>
          </w:tcPr>
          <w:p w14:paraId="2871EF2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0.160</w:t>
            </w:r>
          </w:p>
        </w:tc>
        <w:tc>
          <w:tcPr>
            <w:tcW w:w="586" w:type="pct"/>
            <w:tcBorders>
              <w:top w:val="nil"/>
              <w:left w:val="nil"/>
              <w:bottom w:val="nil"/>
              <w:right w:val="nil"/>
            </w:tcBorders>
            <w:noWrap/>
            <w:tcMar>
              <w:top w:w="15" w:type="dxa"/>
              <w:left w:w="15" w:type="dxa"/>
              <w:bottom w:w="0" w:type="dxa"/>
              <w:right w:w="15" w:type="dxa"/>
            </w:tcMar>
            <w:vAlign w:val="bottom"/>
            <w:hideMark/>
          </w:tcPr>
          <w:p w14:paraId="35F0A0E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0.160</w:t>
            </w:r>
          </w:p>
        </w:tc>
      </w:tr>
      <w:tr w:rsidR="00A101D8" w:rsidRPr="002A248F" w14:paraId="61B10BB3"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46AF54C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340.</w:t>
            </w:r>
          </w:p>
        </w:tc>
        <w:tc>
          <w:tcPr>
            <w:tcW w:w="586" w:type="pct"/>
            <w:tcBorders>
              <w:top w:val="nil"/>
              <w:left w:val="nil"/>
              <w:bottom w:val="nil"/>
              <w:right w:val="nil"/>
            </w:tcBorders>
            <w:noWrap/>
            <w:tcMar>
              <w:top w:w="15" w:type="dxa"/>
              <w:left w:w="15" w:type="dxa"/>
              <w:bottom w:w="0" w:type="dxa"/>
              <w:right w:w="15" w:type="dxa"/>
            </w:tcMar>
            <w:vAlign w:val="bottom"/>
            <w:hideMark/>
          </w:tcPr>
          <w:p w14:paraId="4F53F02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0.082</w:t>
            </w:r>
          </w:p>
        </w:tc>
        <w:tc>
          <w:tcPr>
            <w:tcW w:w="586" w:type="pct"/>
            <w:tcBorders>
              <w:top w:val="nil"/>
              <w:left w:val="nil"/>
              <w:bottom w:val="nil"/>
              <w:right w:val="nil"/>
            </w:tcBorders>
            <w:noWrap/>
            <w:tcMar>
              <w:top w:w="15" w:type="dxa"/>
              <w:left w:w="15" w:type="dxa"/>
              <w:bottom w:w="0" w:type="dxa"/>
              <w:right w:w="15" w:type="dxa"/>
            </w:tcMar>
            <w:vAlign w:val="bottom"/>
            <w:hideMark/>
          </w:tcPr>
          <w:p w14:paraId="6230887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0.184</w:t>
            </w:r>
          </w:p>
        </w:tc>
        <w:tc>
          <w:tcPr>
            <w:tcW w:w="586" w:type="pct"/>
            <w:tcBorders>
              <w:top w:val="nil"/>
              <w:left w:val="nil"/>
              <w:bottom w:val="nil"/>
              <w:right w:val="nil"/>
            </w:tcBorders>
            <w:noWrap/>
            <w:tcMar>
              <w:top w:w="15" w:type="dxa"/>
              <w:left w:w="15" w:type="dxa"/>
              <w:bottom w:w="0" w:type="dxa"/>
              <w:right w:w="15" w:type="dxa"/>
            </w:tcMar>
            <w:vAlign w:val="bottom"/>
            <w:hideMark/>
          </w:tcPr>
          <w:p w14:paraId="7AF032F1"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0.231</w:t>
            </w:r>
          </w:p>
        </w:tc>
        <w:tc>
          <w:tcPr>
            <w:tcW w:w="586" w:type="pct"/>
            <w:tcBorders>
              <w:top w:val="nil"/>
              <w:left w:val="nil"/>
              <w:bottom w:val="nil"/>
              <w:right w:val="nil"/>
            </w:tcBorders>
            <w:noWrap/>
            <w:tcMar>
              <w:top w:w="15" w:type="dxa"/>
              <w:left w:w="15" w:type="dxa"/>
              <w:bottom w:w="0" w:type="dxa"/>
              <w:right w:w="15" w:type="dxa"/>
            </w:tcMar>
            <w:vAlign w:val="bottom"/>
            <w:hideMark/>
          </w:tcPr>
          <w:p w14:paraId="6BDF2F1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0.253</w:t>
            </w:r>
          </w:p>
        </w:tc>
        <w:tc>
          <w:tcPr>
            <w:tcW w:w="586" w:type="pct"/>
            <w:tcBorders>
              <w:top w:val="nil"/>
              <w:left w:val="nil"/>
              <w:bottom w:val="nil"/>
              <w:right w:val="nil"/>
            </w:tcBorders>
            <w:noWrap/>
            <w:tcMar>
              <w:top w:w="15" w:type="dxa"/>
              <w:left w:w="15" w:type="dxa"/>
              <w:bottom w:w="0" w:type="dxa"/>
              <w:right w:w="15" w:type="dxa"/>
            </w:tcMar>
            <w:vAlign w:val="bottom"/>
            <w:hideMark/>
          </w:tcPr>
          <w:p w14:paraId="6C1ED35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0.263</w:t>
            </w:r>
          </w:p>
        </w:tc>
        <w:tc>
          <w:tcPr>
            <w:tcW w:w="586" w:type="pct"/>
            <w:tcBorders>
              <w:top w:val="nil"/>
              <w:left w:val="nil"/>
              <w:bottom w:val="nil"/>
              <w:right w:val="nil"/>
            </w:tcBorders>
            <w:noWrap/>
            <w:tcMar>
              <w:top w:w="15" w:type="dxa"/>
              <w:left w:w="15" w:type="dxa"/>
              <w:bottom w:w="0" w:type="dxa"/>
              <w:right w:w="15" w:type="dxa"/>
            </w:tcMar>
            <w:vAlign w:val="bottom"/>
            <w:hideMark/>
          </w:tcPr>
          <w:p w14:paraId="759E4A7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0.267</w:t>
            </w:r>
          </w:p>
        </w:tc>
        <w:tc>
          <w:tcPr>
            <w:tcW w:w="586" w:type="pct"/>
            <w:tcBorders>
              <w:top w:val="nil"/>
              <w:left w:val="nil"/>
              <w:bottom w:val="nil"/>
              <w:right w:val="nil"/>
            </w:tcBorders>
            <w:noWrap/>
            <w:tcMar>
              <w:top w:w="15" w:type="dxa"/>
              <w:left w:w="15" w:type="dxa"/>
              <w:bottom w:w="0" w:type="dxa"/>
              <w:right w:w="15" w:type="dxa"/>
            </w:tcMar>
            <w:vAlign w:val="bottom"/>
            <w:hideMark/>
          </w:tcPr>
          <w:p w14:paraId="549B379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0.270</w:t>
            </w:r>
          </w:p>
        </w:tc>
      </w:tr>
      <w:tr w:rsidR="00A101D8" w:rsidRPr="002A248F" w14:paraId="0A348C5D"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601ABC6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360.</w:t>
            </w:r>
          </w:p>
        </w:tc>
        <w:tc>
          <w:tcPr>
            <w:tcW w:w="586" w:type="pct"/>
            <w:tcBorders>
              <w:top w:val="nil"/>
              <w:left w:val="nil"/>
              <w:bottom w:val="nil"/>
              <w:right w:val="nil"/>
            </w:tcBorders>
            <w:noWrap/>
            <w:tcMar>
              <w:top w:w="15" w:type="dxa"/>
              <w:left w:w="15" w:type="dxa"/>
              <w:bottom w:w="0" w:type="dxa"/>
              <w:right w:w="15" w:type="dxa"/>
            </w:tcMar>
            <w:vAlign w:val="bottom"/>
            <w:hideMark/>
          </w:tcPr>
          <w:p w14:paraId="7CBB78B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0.074</w:t>
            </w:r>
          </w:p>
        </w:tc>
        <w:tc>
          <w:tcPr>
            <w:tcW w:w="586" w:type="pct"/>
            <w:tcBorders>
              <w:top w:val="nil"/>
              <w:left w:val="nil"/>
              <w:bottom w:val="nil"/>
              <w:right w:val="nil"/>
            </w:tcBorders>
            <w:noWrap/>
            <w:tcMar>
              <w:top w:w="15" w:type="dxa"/>
              <w:left w:w="15" w:type="dxa"/>
              <w:bottom w:w="0" w:type="dxa"/>
              <w:right w:w="15" w:type="dxa"/>
            </w:tcMar>
            <w:vAlign w:val="bottom"/>
            <w:hideMark/>
          </w:tcPr>
          <w:p w14:paraId="3F13CE0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0.299</w:t>
            </w:r>
          </w:p>
        </w:tc>
        <w:tc>
          <w:tcPr>
            <w:tcW w:w="586" w:type="pct"/>
            <w:tcBorders>
              <w:top w:val="nil"/>
              <w:left w:val="nil"/>
              <w:bottom w:val="nil"/>
              <w:right w:val="nil"/>
            </w:tcBorders>
            <w:noWrap/>
            <w:tcMar>
              <w:top w:w="15" w:type="dxa"/>
              <w:left w:w="15" w:type="dxa"/>
              <w:bottom w:w="0" w:type="dxa"/>
              <w:right w:w="15" w:type="dxa"/>
            </w:tcMar>
            <w:vAlign w:val="bottom"/>
            <w:hideMark/>
          </w:tcPr>
          <w:p w14:paraId="75D343B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0.403</w:t>
            </w:r>
          </w:p>
        </w:tc>
        <w:tc>
          <w:tcPr>
            <w:tcW w:w="586" w:type="pct"/>
            <w:tcBorders>
              <w:top w:val="nil"/>
              <w:left w:val="nil"/>
              <w:bottom w:val="nil"/>
              <w:right w:val="nil"/>
            </w:tcBorders>
            <w:noWrap/>
            <w:tcMar>
              <w:top w:w="15" w:type="dxa"/>
              <w:left w:w="15" w:type="dxa"/>
              <w:bottom w:w="0" w:type="dxa"/>
              <w:right w:w="15" w:type="dxa"/>
            </w:tcMar>
            <w:vAlign w:val="bottom"/>
            <w:hideMark/>
          </w:tcPr>
          <w:p w14:paraId="44DADD7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0.451</w:t>
            </w:r>
          </w:p>
        </w:tc>
        <w:tc>
          <w:tcPr>
            <w:tcW w:w="586" w:type="pct"/>
            <w:tcBorders>
              <w:top w:val="nil"/>
              <w:left w:val="nil"/>
              <w:bottom w:val="nil"/>
              <w:right w:val="nil"/>
            </w:tcBorders>
            <w:noWrap/>
            <w:tcMar>
              <w:top w:w="15" w:type="dxa"/>
              <w:left w:w="15" w:type="dxa"/>
              <w:bottom w:w="0" w:type="dxa"/>
              <w:right w:w="15" w:type="dxa"/>
            </w:tcMar>
            <w:vAlign w:val="bottom"/>
            <w:hideMark/>
          </w:tcPr>
          <w:p w14:paraId="1B6FDBD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0.473</w:t>
            </w:r>
          </w:p>
        </w:tc>
        <w:tc>
          <w:tcPr>
            <w:tcW w:w="586" w:type="pct"/>
            <w:tcBorders>
              <w:top w:val="nil"/>
              <w:left w:val="nil"/>
              <w:bottom w:val="nil"/>
              <w:right w:val="nil"/>
            </w:tcBorders>
            <w:noWrap/>
            <w:tcMar>
              <w:top w:w="15" w:type="dxa"/>
              <w:left w:w="15" w:type="dxa"/>
              <w:bottom w:w="0" w:type="dxa"/>
              <w:right w:w="15" w:type="dxa"/>
            </w:tcMar>
            <w:vAlign w:val="bottom"/>
            <w:hideMark/>
          </w:tcPr>
          <w:p w14:paraId="2D52131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0.483</w:t>
            </w:r>
          </w:p>
        </w:tc>
        <w:tc>
          <w:tcPr>
            <w:tcW w:w="586" w:type="pct"/>
            <w:tcBorders>
              <w:top w:val="nil"/>
              <w:left w:val="nil"/>
              <w:bottom w:val="nil"/>
              <w:right w:val="nil"/>
            </w:tcBorders>
            <w:noWrap/>
            <w:tcMar>
              <w:top w:w="15" w:type="dxa"/>
              <w:left w:w="15" w:type="dxa"/>
              <w:bottom w:w="0" w:type="dxa"/>
              <w:right w:w="15" w:type="dxa"/>
            </w:tcMar>
            <w:vAlign w:val="bottom"/>
            <w:hideMark/>
          </w:tcPr>
          <w:p w14:paraId="40B2109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0.488</w:t>
            </w:r>
          </w:p>
        </w:tc>
      </w:tr>
      <w:tr w:rsidR="00A101D8" w:rsidRPr="002A248F" w14:paraId="4F957E07"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1CF9952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380.</w:t>
            </w:r>
          </w:p>
        </w:tc>
        <w:tc>
          <w:tcPr>
            <w:tcW w:w="586" w:type="pct"/>
            <w:tcBorders>
              <w:top w:val="nil"/>
              <w:left w:val="nil"/>
              <w:bottom w:val="nil"/>
              <w:right w:val="nil"/>
            </w:tcBorders>
            <w:noWrap/>
            <w:tcMar>
              <w:top w:w="15" w:type="dxa"/>
              <w:left w:w="15" w:type="dxa"/>
              <w:bottom w:w="0" w:type="dxa"/>
              <w:right w:w="15" w:type="dxa"/>
            </w:tcMar>
            <w:vAlign w:val="bottom"/>
            <w:hideMark/>
          </w:tcPr>
          <w:p w14:paraId="2DDB594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0.067</w:t>
            </w:r>
          </w:p>
        </w:tc>
        <w:tc>
          <w:tcPr>
            <w:tcW w:w="586" w:type="pct"/>
            <w:tcBorders>
              <w:top w:val="nil"/>
              <w:left w:val="nil"/>
              <w:bottom w:val="nil"/>
              <w:right w:val="nil"/>
            </w:tcBorders>
            <w:noWrap/>
            <w:tcMar>
              <w:top w:w="15" w:type="dxa"/>
              <w:left w:w="15" w:type="dxa"/>
              <w:bottom w:w="0" w:type="dxa"/>
              <w:right w:w="15" w:type="dxa"/>
            </w:tcMar>
            <w:vAlign w:val="bottom"/>
            <w:hideMark/>
          </w:tcPr>
          <w:p w14:paraId="52FBB78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0.474</w:t>
            </w:r>
          </w:p>
        </w:tc>
        <w:tc>
          <w:tcPr>
            <w:tcW w:w="586" w:type="pct"/>
            <w:tcBorders>
              <w:top w:val="nil"/>
              <w:left w:val="nil"/>
              <w:bottom w:val="nil"/>
              <w:right w:val="nil"/>
            </w:tcBorders>
            <w:noWrap/>
            <w:tcMar>
              <w:top w:w="15" w:type="dxa"/>
              <w:left w:w="15" w:type="dxa"/>
              <w:bottom w:w="0" w:type="dxa"/>
              <w:right w:w="15" w:type="dxa"/>
            </w:tcMar>
            <w:vAlign w:val="bottom"/>
            <w:hideMark/>
          </w:tcPr>
          <w:p w14:paraId="1DBD8B1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0.661</w:t>
            </w:r>
          </w:p>
        </w:tc>
        <w:tc>
          <w:tcPr>
            <w:tcW w:w="586" w:type="pct"/>
            <w:tcBorders>
              <w:top w:val="nil"/>
              <w:left w:val="nil"/>
              <w:bottom w:val="nil"/>
              <w:right w:val="nil"/>
            </w:tcBorders>
            <w:noWrap/>
            <w:tcMar>
              <w:top w:w="15" w:type="dxa"/>
              <w:left w:w="15" w:type="dxa"/>
              <w:bottom w:w="0" w:type="dxa"/>
              <w:right w:w="15" w:type="dxa"/>
            </w:tcMar>
            <w:vAlign w:val="bottom"/>
            <w:hideMark/>
          </w:tcPr>
          <w:p w14:paraId="0B8ED12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0.748</w:t>
            </w:r>
          </w:p>
        </w:tc>
        <w:tc>
          <w:tcPr>
            <w:tcW w:w="586" w:type="pct"/>
            <w:tcBorders>
              <w:top w:val="nil"/>
              <w:left w:val="nil"/>
              <w:bottom w:val="nil"/>
              <w:right w:val="nil"/>
            </w:tcBorders>
            <w:noWrap/>
            <w:tcMar>
              <w:top w:w="15" w:type="dxa"/>
              <w:left w:w="15" w:type="dxa"/>
              <w:bottom w:w="0" w:type="dxa"/>
              <w:right w:w="15" w:type="dxa"/>
            </w:tcMar>
            <w:vAlign w:val="bottom"/>
            <w:hideMark/>
          </w:tcPr>
          <w:p w14:paraId="00FA4AB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0.788</w:t>
            </w:r>
          </w:p>
        </w:tc>
        <w:tc>
          <w:tcPr>
            <w:tcW w:w="586" w:type="pct"/>
            <w:tcBorders>
              <w:top w:val="nil"/>
              <w:left w:val="nil"/>
              <w:bottom w:val="nil"/>
              <w:right w:val="nil"/>
            </w:tcBorders>
            <w:noWrap/>
            <w:tcMar>
              <w:top w:w="15" w:type="dxa"/>
              <w:left w:w="15" w:type="dxa"/>
              <w:bottom w:w="0" w:type="dxa"/>
              <w:right w:w="15" w:type="dxa"/>
            </w:tcMar>
            <w:vAlign w:val="bottom"/>
            <w:hideMark/>
          </w:tcPr>
          <w:p w14:paraId="1D1112E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0.806</w:t>
            </w:r>
          </w:p>
        </w:tc>
        <w:tc>
          <w:tcPr>
            <w:tcW w:w="586" w:type="pct"/>
            <w:tcBorders>
              <w:top w:val="nil"/>
              <w:left w:val="nil"/>
              <w:bottom w:val="nil"/>
              <w:right w:val="nil"/>
            </w:tcBorders>
            <w:noWrap/>
            <w:tcMar>
              <w:top w:w="15" w:type="dxa"/>
              <w:left w:w="15" w:type="dxa"/>
              <w:bottom w:w="0" w:type="dxa"/>
              <w:right w:w="15" w:type="dxa"/>
            </w:tcMar>
            <w:vAlign w:val="bottom"/>
            <w:hideMark/>
          </w:tcPr>
          <w:p w14:paraId="330E8873"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0.815</w:t>
            </w:r>
          </w:p>
        </w:tc>
      </w:tr>
      <w:tr w:rsidR="00A101D8" w:rsidRPr="002A248F" w14:paraId="0BAA5D7A"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3510B75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400.</w:t>
            </w:r>
          </w:p>
        </w:tc>
        <w:tc>
          <w:tcPr>
            <w:tcW w:w="586" w:type="pct"/>
            <w:tcBorders>
              <w:top w:val="nil"/>
              <w:left w:val="nil"/>
              <w:bottom w:val="nil"/>
              <w:right w:val="nil"/>
            </w:tcBorders>
            <w:noWrap/>
            <w:tcMar>
              <w:top w:w="15" w:type="dxa"/>
              <w:left w:w="15" w:type="dxa"/>
              <w:bottom w:w="0" w:type="dxa"/>
              <w:right w:w="15" w:type="dxa"/>
            </w:tcMar>
            <w:vAlign w:val="bottom"/>
            <w:hideMark/>
          </w:tcPr>
          <w:p w14:paraId="5D571A5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0.061</w:t>
            </w:r>
          </w:p>
        </w:tc>
        <w:tc>
          <w:tcPr>
            <w:tcW w:w="586" w:type="pct"/>
            <w:tcBorders>
              <w:top w:val="nil"/>
              <w:left w:val="nil"/>
              <w:bottom w:val="nil"/>
              <w:right w:val="nil"/>
            </w:tcBorders>
            <w:noWrap/>
            <w:tcMar>
              <w:top w:w="15" w:type="dxa"/>
              <w:left w:w="15" w:type="dxa"/>
              <w:bottom w:w="0" w:type="dxa"/>
              <w:right w:w="15" w:type="dxa"/>
            </w:tcMar>
            <w:vAlign w:val="bottom"/>
            <w:hideMark/>
          </w:tcPr>
          <w:p w14:paraId="719B48B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0.664</w:t>
            </w:r>
          </w:p>
        </w:tc>
        <w:tc>
          <w:tcPr>
            <w:tcW w:w="586" w:type="pct"/>
            <w:tcBorders>
              <w:top w:val="nil"/>
              <w:left w:val="nil"/>
              <w:bottom w:val="nil"/>
              <w:right w:val="nil"/>
            </w:tcBorders>
            <w:noWrap/>
            <w:tcMar>
              <w:top w:w="15" w:type="dxa"/>
              <w:left w:w="15" w:type="dxa"/>
              <w:bottom w:w="0" w:type="dxa"/>
              <w:right w:w="15" w:type="dxa"/>
            </w:tcMar>
            <w:vAlign w:val="bottom"/>
            <w:hideMark/>
          </w:tcPr>
          <w:p w14:paraId="6D42442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0.943</w:t>
            </w:r>
          </w:p>
        </w:tc>
        <w:tc>
          <w:tcPr>
            <w:tcW w:w="586" w:type="pct"/>
            <w:tcBorders>
              <w:top w:val="nil"/>
              <w:left w:val="nil"/>
              <w:bottom w:val="nil"/>
              <w:right w:val="nil"/>
            </w:tcBorders>
            <w:noWrap/>
            <w:tcMar>
              <w:top w:w="15" w:type="dxa"/>
              <w:left w:w="15" w:type="dxa"/>
              <w:bottom w:w="0" w:type="dxa"/>
              <w:right w:w="15" w:type="dxa"/>
            </w:tcMar>
            <w:vAlign w:val="bottom"/>
            <w:hideMark/>
          </w:tcPr>
          <w:p w14:paraId="223DE071"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1.071</w:t>
            </w:r>
          </w:p>
        </w:tc>
        <w:tc>
          <w:tcPr>
            <w:tcW w:w="586" w:type="pct"/>
            <w:tcBorders>
              <w:top w:val="nil"/>
              <w:left w:val="nil"/>
              <w:bottom w:val="nil"/>
              <w:right w:val="nil"/>
            </w:tcBorders>
            <w:noWrap/>
            <w:tcMar>
              <w:top w:w="15" w:type="dxa"/>
              <w:left w:w="15" w:type="dxa"/>
              <w:bottom w:w="0" w:type="dxa"/>
              <w:right w:w="15" w:type="dxa"/>
            </w:tcMar>
            <w:vAlign w:val="bottom"/>
            <w:hideMark/>
          </w:tcPr>
          <w:p w14:paraId="3AD8192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1.131</w:t>
            </w:r>
          </w:p>
        </w:tc>
        <w:tc>
          <w:tcPr>
            <w:tcW w:w="586" w:type="pct"/>
            <w:tcBorders>
              <w:top w:val="nil"/>
              <w:left w:val="nil"/>
              <w:bottom w:val="nil"/>
              <w:right w:val="nil"/>
            </w:tcBorders>
            <w:noWrap/>
            <w:tcMar>
              <w:top w:w="15" w:type="dxa"/>
              <w:left w:w="15" w:type="dxa"/>
              <w:bottom w:w="0" w:type="dxa"/>
              <w:right w:w="15" w:type="dxa"/>
            </w:tcMar>
            <w:vAlign w:val="bottom"/>
            <w:hideMark/>
          </w:tcPr>
          <w:p w14:paraId="0F49DFA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1.158</w:t>
            </w:r>
          </w:p>
        </w:tc>
        <w:tc>
          <w:tcPr>
            <w:tcW w:w="586" w:type="pct"/>
            <w:tcBorders>
              <w:top w:val="nil"/>
              <w:left w:val="nil"/>
              <w:bottom w:val="nil"/>
              <w:right w:val="nil"/>
            </w:tcBorders>
            <w:noWrap/>
            <w:tcMar>
              <w:top w:w="15" w:type="dxa"/>
              <w:left w:w="15" w:type="dxa"/>
              <w:bottom w:w="0" w:type="dxa"/>
              <w:right w:w="15" w:type="dxa"/>
            </w:tcMar>
            <w:vAlign w:val="bottom"/>
            <w:hideMark/>
          </w:tcPr>
          <w:p w14:paraId="20161ED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1.171</w:t>
            </w:r>
          </w:p>
        </w:tc>
      </w:tr>
      <w:tr w:rsidR="00A101D8" w:rsidRPr="002A248F" w14:paraId="169D5E06"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21D0C15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420.</w:t>
            </w:r>
          </w:p>
        </w:tc>
        <w:tc>
          <w:tcPr>
            <w:tcW w:w="586" w:type="pct"/>
            <w:tcBorders>
              <w:top w:val="nil"/>
              <w:left w:val="nil"/>
              <w:bottom w:val="nil"/>
              <w:right w:val="nil"/>
            </w:tcBorders>
            <w:noWrap/>
            <w:tcMar>
              <w:top w:w="15" w:type="dxa"/>
              <w:left w:w="15" w:type="dxa"/>
              <w:bottom w:w="0" w:type="dxa"/>
              <w:right w:w="15" w:type="dxa"/>
            </w:tcMar>
            <w:vAlign w:val="bottom"/>
            <w:hideMark/>
          </w:tcPr>
          <w:p w14:paraId="60965DB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0.055</w:t>
            </w:r>
          </w:p>
        </w:tc>
        <w:tc>
          <w:tcPr>
            <w:tcW w:w="586" w:type="pct"/>
            <w:tcBorders>
              <w:top w:val="nil"/>
              <w:left w:val="nil"/>
              <w:bottom w:val="nil"/>
              <w:right w:val="nil"/>
            </w:tcBorders>
            <w:noWrap/>
            <w:tcMar>
              <w:top w:w="15" w:type="dxa"/>
              <w:left w:w="15" w:type="dxa"/>
              <w:bottom w:w="0" w:type="dxa"/>
              <w:right w:w="15" w:type="dxa"/>
            </w:tcMar>
            <w:vAlign w:val="bottom"/>
            <w:hideMark/>
          </w:tcPr>
          <w:p w14:paraId="0396A61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0.790</w:t>
            </w:r>
          </w:p>
        </w:tc>
        <w:tc>
          <w:tcPr>
            <w:tcW w:w="586" w:type="pct"/>
            <w:tcBorders>
              <w:top w:val="nil"/>
              <w:left w:val="nil"/>
              <w:bottom w:val="nil"/>
              <w:right w:val="nil"/>
            </w:tcBorders>
            <w:noWrap/>
            <w:tcMar>
              <w:top w:w="15" w:type="dxa"/>
              <w:left w:w="15" w:type="dxa"/>
              <w:bottom w:w="0" w:type="dxa"/>
              <w:right w:w="15" w:type="dxa"/>
            </w:tcMar>
            <w:vAlign w:val="bottom"/>
            <w:hideMark/>
          </w:tcPr>
          <w:p w14:paraId="456E0A4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1.130</w:t>
            </w:r>
          </w:p>
        </w:tc>
        <w:tc>
          <w:tcPr>
            <w:tcW w:w="586" w:type="pct"/>
            <w:tcBorders>
              <w:top w:val="nil"/>
              <w:left w:val="nil"/>
              <w:bottom w:val="nil"/>
              <w:right w:val="nil"/>
            </w:tcBorders>
            <w:noWrap/>
            <w:tcMar>
              <w:top w:w="15" w:type="dxa"/>
              <w:left w:w="15" w:type="dxa"/>
              <w:bottom w:w="0" w:type="dxa"/>
              <w:right w:w="15" w:type="dxa"/>
            </w:tcMar>
            <w:vAlign w:val="bottom"/>
            <w:hideMark/>
          </w:tcPr>
          <w:p w14:paraId="298C5A4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1.286</w:t>
            </w:r>
          </w:p>
        </w:tc>
        <w:tc>
          <w:tcPr>
            <w:tcW w:w="586" w:type="pct"/>
            <w:tcBorders>
              <w:top w:val="nil"/>
              <w:left w:val="nil"/>
              <w:bottom w:val="nil"/>
              <w:right w:val="nil"/>
            </w:tcBorders>
            <w:noWrap/>
            <w:tcMar>
              <w:top w:w="15" w:type="dxa"/>
              <w:left w:w="15" w:type="dxa"/>
              <w:bottom w:w="0" w:type="dxa"/>
              <w:right w:w="15" w:type="dxa"/>
            </w:tcMar>
            <w:vAlign w:val="bottom"/>
            <w:hideMark/>
          </w:tcPr>
          <w:p w14:paraId="086FF02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1.359</w:t>
            </w:r>
          </w:p>
        </w:tc>
        <w:tc>
          <w:tcPr>
            <w:tcW w:w="586" w:type="pct"/>
            <w:tcBorders>
              <w:top w:val="nil"/>
              <w:left w:val="nil"/>
              <w:bottom w:val="nil"/>
              <w:right w:val="nil"/>
            </w:tcBorders>
            <w:noWrap/>
            <w:tcMar>
              <w:top w:w="15" w:type="dxa"/>
              <w:left w:w="15" w:type="dxa"/>
              <w:bottom w:w="0" w:type="dxa"/>
              <w:right w:w="15" w:type="dxa"/>
            </w:tcMar>
            <w:vAlign w:val="bottom"/>
            <w:hideMark/>
          </w:tcPr>
          <w:p w14:paraId="495D791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1.392</w:t>
            </w:r>
          </w:p>
        </w:tc>
        <w:tc>
          <w:tcPr>
            <w:tcW w:w="586" w:type="pct"/>
            <w:tcBorders>
              <w:top w:val="nil"/>
              <w:left w:val="nil"/>
              <w:bottom w:val="nil"/>
              <w:right w:val="nil"/>
            </w:tcBorders>
            <w:noWrap/>
            <w:tcMar>
              <w:top w:w="15" w:type="dxa"/>
              <w:left w:w="15" w:type="dxa"/>
              <w:bottom w:w="0" w:type="dxa"/>
              <w:right w:w="15" w:type="dxa"/>
            </w:tcMar>
            <w:vAlign w:val="bottom"/>
            <w:hideMark/>
          </w:tcPr>
          <w:p w14:paraId="21FA33A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1.408</w:t>
            </w:r>
          </w:p>
        </w:tc>
      </w:tr>
      <w:tr w:rsidR="00A101D8" w:rsidRPr="002A248F" w14:paraId="61104D24"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2E2CCE6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430.</w:t>
            </w:r>
          </w:p>
        </w:tc>
        <w:tc>
          <w:tcPr>
            <w:tcW w:w="586" w:type="pct"/>
            <w:tcBorders>
              <w:top w:val="nil"/>
              <w:left w:val="nil"/>
              <w:bottom w:val="nil"/>
              <w:right w:val="nil"/>
            </w:tcBorders>
            <w:noWrap/>
            <w:tcMar>
              <w:top w:w="15" w:type="dxa"/>
              <w:left w:w="15" w:type="dxa"/>
              <w:bottom w:w="0" w:type="dxa"/>
              <w:right w:w="15" w:type="dxa"/>
            </w:tcMar>
            <w:vAlign w:val="bottom"/>
            <w:hideMark/>
          </w:tcPr>
          <w:p w14:paraId="07F7A83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0.052</w:t>
            </w:r>
          </w:p>
        </w:tc>
        <w:tc>
          <w:tcPr>
            <w:tcW w:w="586" w:type="pct"/>
            <w:tcBorders>
              <w:top w:val="nil"/>
              <w:left w:val="nil"/>
              <w:bottom w:val="nil"/>
              <w:right w:val="nil"/>
            </w:tcBorders>
            <w:noWrap/>
            <w:tcMar>
              <w:top w:w="15" w:type="dxa"/>
              <w:left w:w="15" w:type="dxa"/>
              <w:bottom w:w="0" w:type="dxa"/>
              <w:right w:w="15" w:type="dxa"/>
            </w:tcMar>
            <w:vAlign w:val="bottom"/>
            <w:hideMark/>
          </w:tcPr>
          <w:p w14:paraId="42FD8C3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0.795</w:t>
            </w:r>
          </w:p>
        </w:tc>
        <w:tc>
          <w:tcPr>
            <w:tcW w:w="586" w:type="pct"/>
            <w:tcBorders>
              <w:top w:val="nil"/>
              <w:left w:val="nil"/>
              <w:bottom w:val="nil"/>
              <w:right w:val="nil"/>
            </w:tcBorders>
            <w:noWrap/>
            <w:tcMar>
              <w:top w:w="15" w:type="dxa"/>
              <w:left w:w="15" w:type="dxa"/>
              <w:bottom w:w="0" w:type="dxa"/>
              <w:right w:w="15" w:type="dxa"/>
            </w:tcMar>
            <w:vAlign w:val="bottom"/>
            <w:hideMark/>
          </w:tcPr>
          <w:p w14:paraId="13F9F1D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1.140</w:t>
            </w:r>
          </w:p>
        </w:tc>
        <w:tc>
          <w:tcPr>
            <w:tcW w:w="586" w:type="pct"/>
            <w:tcBorders>
              <w:top w:val="nil"/>
              <w:left w:val="nil"/>
              <w:bottom w:val="nil"/>
              <w:right w:val="nil"/>
            </w:tcBorders>
            <w:noWrap/>
            <w:tcMar>
              <w:top w:w="15" w:type="dxa"/>
              <w:left w:w="15" w:type="dxa"/>
              <w:bottom w:w="0" w:type="dxa"/>
              <w:right w:w="15" w:type="dxa"/>
            </w:tcMar>
            <w:vAlign w:val="bottom"/>
            <w:hideMark/>
          </w:tcPr>
          <w:p w14:paraId="76BF1A8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1.295</w:t>
            </w:r>
          </w:p>
        </w:tc>
        <w:tc>
          <w:tcPr>
            <w:tcW w:w="586" w:type="pct"/>
            <w:tcBorders>
              <w:top w:val="nil"/>
              <w:left w:val="nil"/>
              <w:bottom w:val="nil"/>
              <w:right w:val="nil"/>
            </w:tcBorders>
            <w:noWrap/>
            <w:tcMar>
              <w:top w:w="15" w:type="dxa"/>
              <w:left w:w="15" w:type="dxa"/>
              <w:bottom w:w="0" w:type="dxa"/>
              <w:right w:w="15" w:type="dxa"/>
            </w:tcMar>
            <w:vAlign w:val="bottom"/>
            <w:hideMark/>
          </w:tcPr>
          <w:p w14:paraId="1C6A401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1.365</w:t>
            </w:r>
          </w:p>
        </w:tc>
        <w:tc>
          <w:tcPr>
            <w:tcW w:w="586" w:type="pct"/>
            <w:tcBorders>
              <w:top w:val="nil"/>
              <w:left w:val="nil"/>
              <w:bottom w:val="nil"/>
              <w:right w:val="nil"/>
            </w:tcBorders>
            <w:noWrap/>
            <w:tcMar>
              <w:top w:w="15" w:type="dxa"/>
              <w:left w:w="15" w:type="dxa"/>
              <w:bottom w:w="0" w:type="dxa"/>
              <w:right w:w="15" w:type="dxa"/>
            </w:tcMar>
            <w:vAlign w:val="bottom"/>
            <w:hideMark/>
          </w:tcPr>
          <w:p w14:paraId="332A1E2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1.395</w:t>
            </w:r>
          </w:p>
        </w:tc>
        <w:tc>
          <w:tcPr>
            <w:tcW w:w="586" w:type="pct"/>
            <w:tcBorders>
              <w:top w:val="nil"/>
              <w:left w:val="nil"/>
              <w:bottom w:val="nil"/>
              <w:right w:val="nil"/>
            </w:tcBorders>
            <w:noWrap/>
            <w:tcMar>
              <w:top w:w="15" w:type="dxa"/>
              <w:left w:w="15" w:type="dxa"/>
              <w:bottom w:w="0" w:type="dxa"/>
              <w:right w:w="15" w:type="dxa"/>
            </w:tcMar>
            <w:vAlign w:val="bottom"/>
            <w:hideMark/>
          </w:tcPr>
          <w:p w14:paraId="71D3AFE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1.410</w:t>
            </w:r>
          </w:p>
        </w:tc>
      </w:tr>
      <w:tr w:rsidR="00A101D8" w:rsidRPr="002A248F" w14:paraId="063F586B"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496C53A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440.</w:t>
            </w:r>
          </w:p>
        </w:tc>
        <w:tc>
          <w:tcPr>
            <w:tcW w:w="586" w:type="pct"/>
            <w:tcBorders>
              <w:top w:val="nil"/>
              <w:left w:val="nil"/>
              <w:bottom w:val="nil"/>
              <w:right w:val="nil"/>
            </w:tcBorders>
            <w:noWrap/>
            <w:tcMar>
              <w:top w:w="15" w:type="dxa"/>
              <w:left w:w="15" w:type="dxa"/>
              <w:bottom w:w="0" w:type="dxa"/>
              <w:right w:w="15" w:type="dxa"/>
            </w:tcMar>
            <w:vAlign w:val="bottom"/>
            <w:hideMark/>
          </w:tcPr>
          <w:p w14:paraId="5BD19431"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0.050</w:t>
            </w:r>
          </w:p>
        </w:tc>
        <w:tc>
          <w:tcPr>
            <w:tcW w:w="586" w:type="pct"/>
            <w:tcBorders>
              <w:top w:val="nil"/>
              <w:left w:val="nil"/>
              <w:bottom w:val="nil"/>
              <w:right w:val="nil"/>
            </w:tcBorders>
            <w:noWrap/>
            <w:tcMar>
              <w:top w:w="15" w:type="dxa"/>
              <w:left w:w="15" w:type="dxa"/>
              <w:bottom w:w="0" w:type="dxa"/>
              <w:right w:w="15" w:type="dxa"/>
            </w:tcMar>
            <w:vAlign w:val="bottom"/>
            <w:hideMark/>
          </w:tcPr>
          <w:p w14:paraId="122EFEE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0.785</w:t>
            </w:r>
          </w:p>
        </w:tc>
        <w:tc>
          <w:tcPr>
            <w:tcW w:w="586" w:type="pct"/>
            <w:tcBorders>
              <w:top w:val="nil"/>
              <w:left w:val="nil"/>
              <w:bottom w:val="nil"/>
              <w:right w:val="nil"/>
            </w:tcBorders>
            <w:noWrap/>
            <w:tcMar>
              <w:top w:w="15" w:type="dxa"/>
              <w:left w:w="15" w:type="dxa"/>
              <w:bottom w:w="0" w:type="dxa"/>
              <w:right w:w="15" w:type="dxa"/>
            </w:tcMar>
            <w:vAlign w:val="bottom"/>
            <w:hideMark/>
          </w:tcPr>
          <w:p w14:paraId="2FF6D63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1.124</w:t>
            </w:r>
          </w:p>
        </w:tc>
        <w:tc>
          <w:tcPr>
            <w:tcW w:w="586" w:type="pct"/>
            <w:tcBorders>
              <w:top w:val="nil"/>
              <w:left w:val="nil"/>
              <w:bottom w:val="nil"/>
              <w:right w:val="nil"/>
            </w:tcBorders>
            <w:noWrap/>
            <w:tcMar>
              <w:top w:w="15" w:type="dxa"/>
              <w:left w:w="15" w:type="dxa"/>
              <w:bottom w:w="0" w:type="dxa"/>
              <w:right w:w="15" w:type="dxa"/>
            </w:tcMar>
            <w:vAlign w:val="bottom"/>
            <w:hideMark/>
          </w:tcPr>
          <w:p w14:paraId="2B84C91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1.281</w:t>
            </w:r>
          </w:p>
        </w:tc>
        <w:tc>
          <w:tcPr>
            <w:tcW w:w="586" w:type="pct"/>
            <w:tcBorders>
              <w:top w:val="nil"/>
              <w:left w:val="nil"/>
              <w:bottom w:val="nil"/>
              <w:right w:val="nil"/>
            </w:tcBorders>
            <w:noWrap/>
            <w:tcMar>
              <w:top w:w="15" w:type="dxa"/>
              <w:left w:w="15" w:type="dxa"/>
              <w:bottom w:w="0" w:type="dxa"/>
              <w:right w:w="15" w:type="dxa"/>
            </w:tcMar>
            <w:vAlign w:val="bottom"/>
            <w:hideMark/>
          </w:tcPr>
          <w:p w14:paraId="202300F3"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1.353</w:t>
            </w:r>
          </w:p>
        </w:tc>
        <w:tc>
          <w:tcPr>
            <w:tcW w:w="586" w:type="pct"/>
            <w:tcBorders>
              <w:top w:val="nil"/>
              <w:left w:val="nil"/>
              <w:bottom w:val="nil"/>
              <w:right w:val="nil"/>
            </w:tcBorders>
            <w:noWrap/>
            <w:tcMar>
              <w:top w:w="15" w:type="dxa"/>
              <w:left w:w="15" w:type="dxa"/>
              <w:bottom w:w="0" w:type="dxa"/>
              <w:right w:w="15" w:type="dxa"/>
            </w:tcMar>
            <w:vAlign w:val="bottom"/>
            <w:hideMark/>
          </w:tcPr>
          <w:p w14:paraId="79E8275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1.387</w:t>
            </w:r>
          </w:p>
        </w:tc>
        <w:tc>
          <w:tcPr>
            <w:tcW w:w="586" w:type="pct"/>
            <w:tcBorders>
              <w:top w:val="nil"/>
              <w:left w:val="nil"/>
              <w:bottom w:val="nil"/>
              <w:right w:val="nil"/>
            </w:tcBorders>
            <w:noWrap/>
            <w:tcMar>
              <w:top w:w="15" w:type="dxa"/>
              <w:left w:w="15" w:type="dxa"/>
              <w:bottom w:w="0" w:type="dxa"/>
              <w:right w:w="15" w:type="dxa"/>
            </w:tcMar>
            <w:vAlign w:val="bottom"/>
            <w:hideMark/>
          </w:tcPr>
          <w:p w14:paraId="5A3A363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1.402</w:t>
            </w:r>
          </w:p>
        </w:tc>
      </w:tr>
      <w:tr w:rsidR="00A101D8" w:rsidRPr="002A248F" w14:paraId="5B5B0BDB"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472FB253"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460.</w:t>
            </w:r>
          </w:p>
        </w:tc>
        <w:tc>
          <w:tcPr>
            <w:tcW w:w="586" w:type="pct"/>
            <w:tcBorders>
              <w:top w:val="nil"/>
              <w:left w:val="nil"/>
              <w:bottom w:val="nil"/>
              <w:right w:val="nil"/>
            </w:tcBorders>
            <w:noWrap/>
            <w:tcMar>
              <w:top w:w="15" w:type="dxa"/>
              <w:left w:w="15" w:type="dxa"/>
              <w:bottom w:w="0" w:type="dxa"/>
              <w:right w:w="15" w:type="dxa"/>
            </w:tcMar>
            <w:vAlign w:val="bottom"/>
            <w:hideMark/>
          </w:tcPr>
          <w:p w14:paraId="0BD8EF8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0.045</w:t>
            </w:r>
          </w:p>
        </w:tc>
        <w:tc>
          <w:tcPr>
            <w:tcW w:w="586" w:type="pct"/>
            <w:tcBorders>
              <w:top w:val="nil"/>
              <w:left w:val="nil"/>
              <w:bottom w:val="nil"/>
              <w:right w:val="nil"/>
            </w:tcBorders>
            <w:noWrap/>
            <w:tcMar>
              <w:top w:w="15" w:type="dxa"/>
              <w:left w:w="15" w:type="dxa"/>
              <w:bottom w:w="0" w:type="dxa"/>
              <w:right w:w="15" w:type="dxa"/>
            </w:tcMar>
            <w:vAlign w:val="bottom"/>
            <w:hideMark/>
          </w:tcPr>
          <w:p w14:paraId="1C68B0B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0.648</w:t>
            </w:r>
          </w:p>
        </w:tc>
        <w:tc>
          <w:tcPr>
            <w:tcW w:w="586" w:type="pct"/>
            <w:tcBorders>
              <w:top w:val="nil"/>
              <w:left w:val="nil"/>
              <w:bottom w:val="nil"/>
              <w:right w:val="nil"/>
            </w:tcBorders>
            <w:noWrap/>
            <w:tcMar>
              <w:top w:w="15" w:type="dxa"/>
              <w:left w:w="15" w:type="dxa"/>
              <w:bottom w:w="0" w:type="dxa"/>
              <w:right w:w="15" w:type="dxa"/>
            </w:tcMar>
            <w:vAlign w:val="bottom"/>
            <w:hideMark/>
          </w:tcPr>
          <w:p w14:paraId="774FD3D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0.927</w:t>
            </w:r>
          </w:p>
        </w:tc>
        <w:tc>
          <w:tcPr>
            <w:tcW w:w="586" w:type="pct"/>
            <w:tcBorders>
              <w:top w:val="nil"/>
              <w:left w:val="nil"/>
              <w:bottom w:val="nil"/>
              <w:right w:val="nil"/>
            </w:tcBorders>
            <w:noWrap/>
            <w:tcMar>
              <w:top w:w="15" w:type="dxa"/>
              <w:left w:w="15" w:type="dxa"/>
              <w:bottom w:w="0" w:type="dxa"/>
              <w:right w:w="15" w:type="dxa"/>
            </w:tcMar>
            <w:vAlign w:val="bottom"/>
            <w:hideMark/>
          </w:tcPr>
          <w:p w14:paraId="4C7FA36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1.056</w:t>
            </w:r>
          </w:p>
        </w:tc>
        <w:tc>
          <w:tcPr>
            <w:tcW w:w="586" w:type="pct"/>
            <w:tcBorders>
              <w:top w:val="nil"/>
              <w:left w:val="nil"/>
              <w:bottom w:val="nil"/>
              <w:right w:val="nil"/>
            </w:tcBorders>
            <w:noWrap/>
            <w:tcMar>
              <w:top w:w="15" w:type="dxa"/>
              <w:left w:w="15" w:type="dxa"/>
              <w:bottom w:w="0" w:type="dxa"/>
              <w:right w:w="15" w:type="dxa"/>
            </w:tcMar>
            <w:vAlign w:val="bottom"/>
            <w:hideMark/>
          </w:tcPr>
          <w:p w14:paraId="57AC38E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1.115</w:t>
            </w:r>
          </w:p>
        </w:tc>
        <w:tc>
          <w:tcPr>
            <w:tcW w:w="586" w:type="pct"/>
            <w:tcBorders>
              <w:top w:val="nil"/>
              <w:left w:val="nil"/>
              <w:bottom w:val="nil"/>
              <w:right w:val="nil"/>
            </w:tcBorders>
            <w:noWrap/>
            <w:tcMar>
              <w:top w:w="15" w:type="dxa"/>
              <w:left w:w="15" w:type="dxa"/>
              <w:bottom w:w="0" w:type="dxa"/>
              <w:right w:w="15" w:type="dxa"/>
            </w:tcMar>
            <w:vAlign w:val="bottom"/>
            <w:hideMark/>
          </w:tcPr>
          <w:p w14:paraId="0510B0C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1.142</w:t>
            </w:r>
          </w:p>
        </w:tc>
        <w:tc>
          <w:tcPr>
            <w:tcW w:w="586" w:type="pct"/>
            <w:tcBorders>
              <w:top w:val="nil"/>
              <w:left w:val="nil"/>
              <w:bottom w:val="nil"/>
              <w:right w:val="nil"/>
            </w:tcBorders>
            <w:noWrap/>
            <w:tcMar>
              <w:top w:w="15" w:type="dxa"/>
              <w:left w:w="15" w:type="dxa"/>
              <w:bottom w:w="0" w:type="dxa"/>
              <w:right w:w="15" w:type="dxa"/>
            </w:tcMar>
            <w:vAlign w:val="bottom"/>
            <w:hideMark/>
          </w:tcPr>
          <w:p w14:paraId="6C5A32C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1.155</w:t>
            </w:r>
          </w:p>
        </w:tc>
      </w:tr>
      <w:tr w:rsidR="00A101D8" w:rsidRPr="002A248F" w14:paraId="0631A405"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4EE2AB4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lastRenderedPageBreak/>
              <w:t>480.</w:t>
            </w:r>
          </w:p>
        </w:tc>
        <w:tc>
          <w:tcPr>
            <w:tcW w:w="586" w:type="pct"/>
            <w:tcBorders>
              <w:top w:val="nil"/>
              <w:left w:val="nil"/>
              <w:bottom w:val="nil"/>
              <w:right w:val="nil"/>
            </w:tcBorders>
            <w:noWrap/>
            <w:tcMar>
              <w:top w:w="15" w:type="dxa"/>
              <w:left w:w="15" w:type="dxa"/>
              <w:bottom w:w="0" w:type="dxa"/>
              <w:right w:w="15" w:type="dxa"/>
            </w:tcMar>
            <w:vAlign w:val="bottom"/>
            <w:hideMark/>
          </w:tcPr>
          <w:p w14:paraId="68D25B2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0.041</w:t>
            </w:r>
          </w:p>
        </w:tc>
        <w:tc>
          <w:tcPr>
            <w:tcW w:w="586" w:type="pct"/>
            <w:tcBorders>
              <w:top w:val="nil"/>
              <w:left w:val="nil"/>
              <w:bottom w:val="nil"/>
              <w:right w:val="nil"/>
            </w:tcBorders>
            <w:noWrap/>
            <w:tcMar>
              <w:top w:w="15" w:type="dxa"/>
              <w:left w:w="15" w:type="dxa"/>
              <w:bottom w:w="0" w:type="dxa"/>
              <w:right w:w="15" w:type="dxa"/>
            </w:tcMar>
            <w:vAlign w:val="bottom"/>
            <w:hideMark/>
          </w:tcPr>
          <w:p w14:paraId="69009BA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0.447</w:t>
            </w:r>
          </w:p>
        </w:tc>
        <w:tc>
          <w:tcPr>
            <w:tcW w:w="586" w:type="pct"/>
            <w:tcBorders>
              <w:top w:val="nil"/>
              <w:left w:val="nil"/>
              <w:bottom w:val="nil"/>
              <w:right w:val="nil"/>
            </w:tcBorders>
            <w:noWrap/>
            <w:tcMar>
              <w:top w:w="15" w:type="dxa"/>
              <w:left w:w="15" w:type="dxa"/>
              <w:bottom w:w="0" w:type="dxa"/>
              <w:right w:w="15" w:type="dxa"/>
            </w:tcMar>
            <w:vAlign w:val="bottom"/>
            <w:hideMark/>
          </w:tcPr>
          <w:p w14:paraId="5760020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0.635</w:t>
            </w:r>
          </w:p>
        </w:tc>
        <w:tc>
          <w:tcPr>
            <w:tcW w:w="586" w:type="pct"/>
            <w:tcBorders>
              <w:top w:val="nil"/>
              <w:left w:val="nil"/>
              <w:bottom w:val="nil"/>
              <w:right w:val="nil"/>
            </w:tcBorders>
            <w:noWrap/>
            <w:tcMar>
              <w:top w:w="15" w:type="dxa"/>
              <w:left w:w="15" w:type="dxa"/>
              <w:bottom w:w="0" w:type="dxa"/>
              <w:right w:w="15" w:type="dxa"/>
            </w:tcMar>
            <w:vAlign w:val="bottom"/>
            <w:hideMark/>
          </w:tcPr>
          <w:p w14:paraId="193A8E6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0.722</w:t>
            </w:r>
          </w:p>
        </w:tc>
        <w:tc>
          <w:tcPr>
            <w:tcW w:w="586" w:type="pct"/>
            <w:tcBorders>
              <w:top w:val="nil"/>
              <w:left w:val="nil"/>
              <w:bottom w:val="nil"/>
              <w:right w:val="nil"/>
            </w:tcBorders>
            <w:noWrap/>
            <w:tcMar>
              <w:top w:w="15" w:type="dxa"/>
              <w:left w:w="15" w:type="dxa"/>
              <w:bottom w:w="0" w:type="dxa"/>
              <w:right w:w="15" w:type="dxa"/>
            </w:tcMar>
            <w:vAlign w:val="bottom"/>
            <w:hideMark/>
          </w:tcPr>
          <w:p w14:paraId="7675C04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0.762</w:t>
            </w:r>
          </w:p>
        </w:tc>
        <w:tc>
          <w:tcPr>
            <w:tcW w:w="586" w:type="pct"/>
            <w:tcBorders>
              <w:top w:val="nil"/>
              <w:left w:val="nil"/>
              <w:bottom w:val="nil"/>
              <w:right w:val="nil"/>
            </w:tcBorders>
            <w:noWrap/>
            <w:tcMar>
              <w:top w:w="15" w:type="dxa"/>
              <w:left w:w="15" w:type="dxa"/>
              <w:bottom w:w="0" w:type="dxa"/>
              <w:right w:w="15" w:type="dxa"/>
            </w:tcMar>
            <w:vAlign w:val="bottom"/>
            <w:hideMark/>
          </w:tcPr>
          <w:p w14:paraId="1E5F8E1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0.780</w:t>
            </w:r>
          </w:p>
        </w:tc>
        <w:tc>
          <w:tcPr>
            <w:tcW w:w="586" w:type="pct"/>
            <w:tcBorders>
              <w:top w:val="nil"/>
              <w:left w:val="nil"/>
              <w:bottom w:val="nil"/>
              <w:right w:val="nil"/>
            </w:tcBorders>
            <w:noWrap/>
            <w:tcMar>
              <w:top w:w="15" w:type="dxa"/>
              <w:left w:w="15" w:type="dxa"/>
              <w:bottom w:w="0" w:type="dxa"/>
              <w:right w:w="15" w:type="dxa"/>
            </w:tcMar>
            <w:vAlign w:val="bottom"/>
            <w:hideMark/>
          </w:tcPr>
          <w:p w14:paraId="52D9BCE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0.789</w:t>
            </w:r>
          </w:p>
        </w:tc>
      </w:tr>
      <w:tr w:rsidR="00A101D8" w:rsidRPr="002A248F" w14:paraId="51C0B54E"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396E181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500.</w:t>
            </w:r>
          </w:p>
        </w:tc>
        <w:tc>
          <w:tcPr>
            <w:tcW w:w="586" w:type="pct"/>
            <w:tcBorders>
              <w:top w:val="nil"/>
              <w:left w:val="nil"/>
              <w:bottom w:val="nil"/>
              <w:right w:val="nil"/>
            </w:tcBorders>
            <w:noWrap/>
            <w:tcMar>
              <w:top w:w="15" w:type="dxa"/>
              <w:left w:w="15" w:type="dxa"/>
              <w:bottom w:w="0" w:type="dxa"/>
              <w:right w:w="15" w:type="dxa"/>
            </w:tcMar>
            <w:vAlign w:val="bottom"/>
            <w:hideMark/>
          </w:tcPr>
          <w:p w14:paraId="4F9E7CF3"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0.037</w:t>
            </w:r>
          </w:p>
        </w:tc>
        <w:tc>
          <w:tcPr>
            <w:tcW w:w="586" w:type="pct"/>
            <w:tcBorders>
              <w:top w:val="nil"/>
              <w:left w:val="nil"/>
              <w:bottom w:val="nil"/>
              <w:right w:val="nil"/>
            </w:tcBorders>
            <w:noWrap/>
            <w:tcMar>
              <w:top w:w="15" w:type="dxa"/>
              <w:left w:w="15" w:type="dxa"/>
              <w:bottom w:w="0" w:type="dxa"/>
              <w:right w:w="15" w:type="dxa"/>
            </w:tcMar>
            <w:vAlign w:val="bottom"/>
            <w:hideMark/>
          </w:tcPr>
          <w:p w14:paraId="0E2C4D4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0.262</w:t>
            </w:r>
          </w:p>
        </w:tc>
        <w:tc>
          <w:tcPr>
            <w:tcW w:w="586" w:type="pct"/>
            <w:tcBorders>
              <w:top w:val="nil"/>
              <w:left w:val="nil"/>
              <w:bottom w:val="nil"/>
              <w:right w:val="nil"/>
            </w:tcBorders>
            <w:noWrap/>
            <w:tcMar>
              <w:top w:w="15" w:type="dxa"/>
              <w:left w:w="15" w:type="dxa"/>
              <w:bottom w:w="0" w:type="dxa"/>
              <w:right w:w="15" w:type="dxa"/>
            </w:tcMar>
            <w:vAlign w:val="bottom"/>
            <w:hideMark/>
          </w:tcPr>
          <w:p w14:paraId="549D257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0.365</w:t>
            </w:r>
          </w:p>
        </w:tc>
        <w:tc>
          <w:tcPr>
            <w:tcW w:w="586" w:type="pct"/>
            <w:tcBorders>
              <w:top w:val="nil"/>
              <w:left w:val="nil"/>
              <w:bottom w:val="nil"/>
              <w:right w:val="nil"/>
            </w:tcBorders>
            <w:noWrap/>
            <w:tcMar>
              <w:top w:w="15" w:type="dxa"/>
              <w:left w:w="15" w:type="dxa"/>
              <w:bottom w:w="0" w:type="dxa"/>
              <w:right w:w="15" w:type="dxa"/>
            </w:tcMar>
            <w:vAlign w:val="bottom"/>
            <w:hideMark/>
          </w:tcPr>
          <w:p w14:paraId="2BB3E29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0.413</w:t>
            </w:r>
          </w:p>
        </w:tc>
        <w:tc>
          <w:tcPr>
            <w:tcW w:w="586" w:type="pct"/>
            <w:tcBorders>
              <w:top w:val="nil"/>
              <w:left w:val="nil"/>
              <w:bottom w:val="nil"/>
              <w:right w:val="nil"/>
            </w:tcBorders>
            <w:noWrap/>
            <w:tcMar>
              <w:top w:w="15" w:type="dxa"/>
              <w:left w:w="15" w:type="dxa"/>
              <w:bottom w:w="0" w:type="dxa"/>
              <w:right w:w="15" w:type="dxa"/>
            </w:tcMar>
            <w:vAlign w:val="bottom"/>
            <w:hideMark/>
          </w:tcPr>
          <w:p w14:paraId="2F08547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0.435</w:t>
            </w:r>
          </w:p>
        </w:tc>
        <w:tc>
          <w:tcPr>
            <w:tcW w:w="586" w:type="pct"/>
            <w:tcBorders>
              <w:top w:val="nil"/>
              <w:left w:val="nil"/>
              <w:bottom w:val="nil"/>
              <w:right w:val="nil"/>
            </w:tcBorders>
            <w:noWrap/>
            <w:tcMar>
              <w:top w:w="15" w:type="dxa"/>
              <w:left w:w="15" w:type="dxa"/>
              <w:bottom w:w="0" w:type="dxa"/>
              <w:right w:w="15" w:type="dxa"/>
            </w:tcMar>
            <w:vAlign w:val="bottom"/>
            <w:hideMark/>
          </w:tcPr>
          <w:p w14:paraId="6D9DD12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0.446</w:t>
            </w:r>
          </w:p>
        </w:tc>
        <w:tc>
          <w:tcPr>
            <w:tcW w:w="586" w:type="pct"/>
            <w:tcBorders>
              <w:top w:val="nil"/>
              <w:left w:val="nil"/>
              <w:bottom w:val="nil"/>
              <w:right w:val="nil"/>
            </w:tcBorders>
            <w:noWrap/>
            <w:tcMar>
              <w:top w:w="15" w:type="dxa"/>
              <w:left w:w="15" w:type="dxa"/>
              <w:bottom w:w="0" w:type="dxa"/>
              <w:right w:w="15" w:type="dxa"/>
            </w:tcMar>
            <w:vAlign w:val="bottom"/>
            <w:hideMark/>
          </w:tcPr>
          <w:p w14:paraId="5A6E3A5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0.450</w:t>
            </w:r>
          </w:p>
        </w:tc>
      </w:tr>
      <w:tr w:rsidR="00A101D8" w:rsidRPr="002A248F" w14:paraId="35CA9048" w14:textId="77777777" w:rsidTr="001D043E">
        <w:trPr>
          <w:divId w:val="271595052"/>
        </w:trPr>
        <w:tc>
          <w:tcPr>
            <w:tcW w:w="898" w:type="pct"/>
            <w:tcBorders>
              <w:top w:val="nil"/>
              <w:left w:val="nil"/>
              <w:bottom w:val="nil"/>
              <w:right w:val="nil"/>
            </w:tcBorders>
            <w:noWrap/>
            <w:tcMar>
              <w:top w:w="15" w:type="dxa"/>
              <w:left w:w="15" w:type="dxa"/>
              <w:bottom w:w="0" w:type="dxa"/>
              <w:right w:w="15" w:type="dxa"/>
            </w:tcMar>
            <w:vAlign w:val="bottom"/>
            <w:hideMark/>
          </w:tcPr>
          <w:p w14:paraId="68F856C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600.</w:t>
            </w:r>
          </w:p>
        </w:tc>
        <w:tc>
          <w:tcPr>
            <w:tcW w:w="586" w:type="pct"/>
            <w:tcBorders>
              <w:top w:val="nil"/>
              <w:left w:val="nil"/>
              <w:bottom w:val="nil"/>
              <w:right w:val="nil"/>
            </w:tcBorders>
            <w:noWrap/>
            <w:tcMar>
              <w:top w:w="15" w:type="dxa"/>
              <w:left w:w="15" w:type="dxa"/>
              <w:bottom w:w="0" w:type="dxa"/>
              <w:right w:w="15" w:type="dxa"/>
            </w:tcMar>
            <w:vAlign w:val="bottom"/>
            <w:hideMark/>
          </w:tcPr>
          <w:p w14:paraId="1A265AF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0.022</w:t>
            </w:r>
          </w:p>
        </w:tc>
        <w:tc>
          <w:tcPr>
            <w:tcW w:w="586" w:type="pct"/>
            <w:tcBorders>
              <w:top w:val="nil"/>
              <w:left w:val="nil"/>
              <w:bottom w:val="nil"/>
              <w:right w:val="nil"/>
            </w:tcBorders>
            <w:noWrap/>
            <w:tcMar>
              <w:top w:w="15" w:type="dxa"/>
              <w:left w:w="15" w:type="dxa"/>
              <w:bottom w:w="0" w:type="dxa"/>
              <w:right w:w="15" w:type="dxa"/>
            </w:tcMar>
            <w:vAlign w:val="bottom"/>
            <w:hideMark/>
          </w:tcPr>
          <w:p w14:paraId="4C7CE94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0.023</w:t>
            </w:r>
          </w:p>
        </w:tc>
        <w:tc>
          <w:tcPr>
            <w:tcW w:w="586" w:type="pct"/>
            <w:tcBorders>
              <w:top w:val="nil"/>
              <w:left w:val="nil"/>
              <w:bottom w:val="nil"/>
              <w:right w:val="nil"/>
            </w:tcBorders>
            <w:noWrap/>
            <w:tcMar>
              <w:top w:w="15" w:type="dxa"/>
              <w:left w:w="15" w:type="dxa"/>
              <w:bottom w:w="0" w:type="dxa"/>
              <w:right w:w="15" w:type="dxa"/>
            </w:tcMar>
            <w:vAlign w:val="bottom"/>
            <w:hideMark/>
          </w:tcPr>
          <w:p w14:paraId="6F0D6AE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0.023</w:t>
            </w:r>
          </w:p>
        </w:tc>
        <w:tc>
          <w:tcPr>
            <w:tcW w:w="586" w:type="pct"/>
            <w:tcBorders>
              <w:top w:val="nil"/>
              <w:left w:val="nil"/>
              <w:bottom w:val="nil"/>
              <w:right w:val="nil"/>
            </w:tcBorders>
            <w:noWrap/>
            <w:tcMar>
              <w:top w:w="15" w:type="dxa"/>
              <w:left w:w="15" w:type="dxa"/>
              <w:bottom w:w="0" w:type="dxa"/>
              <w:right w:w="15" w:type="dxa"/>
            </w:tcMar>
            <w:vAlign w:val="bottom"/>
            <w:hideMark/>
          </w:tcPr>
          <w:p w14:paraId="70CB2FA1"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0.023</w:t>
            </w:r>
          </w:p>
        </w:tc>
        <w:tc>
          <w:tcPr>
            <w:tcW w:w="586" w:type="pct"/>
            <w:tcBorders>
              <w:top w:val="nil"/>
              <w:left w:val="nil"/>
              <w:bottom w:val="nil"/>
              <w:right w:val="nil"/>
            </w:tcBorders>
            <w:noWrap/>
            <w:tcMar>
              <w:top w:w="15" w:type="dxa"/>
              <w:left w:w="15" w:type="dxa"/>
              <w:bottom w:w="0" w:type="dxa"/>
              <w:right w:w="15" w:type="dxa"/>
            </w:tcMar>
            <w:vAlign w:val="bottom"/>
            <w:hideMark/>
          </w:tcPr>
          <w:p w14:paraId="3DEF1C2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0.023</w:t>
            </w:r>
          </w:p>
        </w:tc>
        <w:tc>
          <w:tcPr>
            <w:tcW w:w="586" w:type="pct"/>
            <w:tcBorders>
              <w:top w:val="nil"/>
              <w:left w:val="nil"/>
              <w:bottom w:val="nil"/>
              <w:right w:val="nil"/>
            </w:tcBorders>
            <w:noWrap/>
            <w:tcMar>
              <w:top w:w="15" w:type="dxa"/>
              <w:left w:w="15" w:type="dxa"/>
              <w:bottom w:w="0" w:type="dxa"/>
              <w:right w:w="15" w:type="dxa"/>
            </w:tcMar>
            <w:vAlign w:val="bottom"/>
            <w:hideMark/>
          </w:tcPr>
          <w:p w14:paraId="191847A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0.023</w:t>
            </w:r>
          </w:p>
        </w:tc>
        <w:tc>
          <w:tcPr>
            <w:tcW w:w="586" w:type="pct"/>
            <w:tcBorders>
              <w:top w:val="nil"/>
              <w:left w:val="nil"/>
              <w:bottom w:val="nil"/>
              <w:right w:val="nil"/>
            </w:tcBorders>
            <w:noWrap/>
            <w:tcMar>
              <w:top w:w="15" w:type="dxa"/>
              <w:left w:w="15" w:type="dxa"/>
              <w:bottom w:w="0" w:type="dxa"/>
              <w:right w:w="15" w:type="dxa"/>
            </w:tcMar>
            <w:vAlign w:val="bottom"/>
            <w:hideMark/>
          </w:tcPr>
          <w:p w14:paraId="5381CE0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0.023</w:t>
            </w:r>
          </w:p>
        </w:tc>
      </w:tr>
    </w:tbl>
    <w:p w14:paraId="4F7989C6" w14:textId="2C89B8B1" w:rsidR="00E85E3B" w:rsidRPr="002A248F" w:rsidRDefault="00EE1F09" w:rsidP="001D043E">
      <w:pPr>
        <w:pStyle w:val="NormalWeb"/>
        <w:spacing w:after="0" w:afterAutospacing="0"/>
        <w:jc w:val="center"/>
        <w:divId w:val="271595052"/>
        <w:rPr>
          <w:sz w:val="14"/>
          <w:szCs w:val="16"/>
        </w:rPr>
      </w:pPr>
      <w:r>
        <w:rPr>
          <w:sz w:val="14"/>
          <w:szCs w:val="16"/>
        </w:rPr>
        <w:t>Table</w:t>
      </w:r>
      <w:r w:rsidR="00E85E3B" w:rsidRPr="002A248F">
        <w:rPr>
          <w:sz w:val="14"/>
          <w:szCs w:val="16"/>
        </w:rPr>
        <w:t xml:space="preserve"> 2 Data: Kinetic Growth Curves</w:t>
      </w:r>
    </w:p>
    <w:tbl>
      <w:tblPr>
        <w:tblW w:w="5000" w:type="pct"/>
        <w:tblCellMar>
          <w:left w:w="0" w:type="dxa"/>
          <w:right w:w="0" w:type="dxa"/>
        </w:tblCellMar>
        <w:tblLook w:val="04A0" w:firstRow="1" w:lastRow="0" w:firstColumn="1" w:lastColumn="0" w:noHBand="0" w:noVBand="1"/>
      </w:tblPr>
      <w:tblGrid>
        <w:gridCol w:w="1350"/>
        <w:gridCol w:w="2010"/>
        <w:gridCol w:w="2010"/>
        <w:gridCol w:w="2010"/>
        <w:gridCol w:w="2010"/>
      </w:tblGrid>
      <w:tr w:rsidR="00A101D8" w:rsidRPr="002A248F" w14:paraId="0BBF390A"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0CD82359"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Time (min)</w:t>
            </w:r>
          </w:p>
        </w:tc>
        <w:tc>
          <w:tcPr>
            <w:tcW w:w="1070" w:type="pct"/>
            <w:tcBorders>
              <w:top w:val="nil"/>
              <w:left w:val="nil"/>
              <w:bottom w:val="nil"/>
              <w:right w:val="nil"/>
            </w:tcBorders>
            <w:noWrap/>
            <w:tcMar>
              <w:top w:w="15" w:type="dxa"/>
              <w:left w:w="15" w:type="dxa"/>
              <w:bottom w:w="0" w:type="dxa"/>
              <w:right w:w="15" w:type="dxa"/>
            </w:tcMar>
            <w:vAlign w:val="bottom"/>
            <w:hideMark/>
          </w:tcPr>
          <w:p w14:paraId="5AD0B651"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Absorbance (30°C)</w:t>
            </w:r>
          </w:p>
        </w:tc>
        <w:tc>
          <w:tcPr>
            <w:tcW w:w="1070" w:type="pct"/>
            <w:tcBorders>
              <w:top w:val="nil"/>
              <w:left w:val="nil"/>
              <w:bottom w:val="nil"/>
              <w:right w:val="nil"/>
            </w:tcBorders>
            <w:noWrap/>
            <w:tcMar>
              <w:top w:w="15" w:type="dxa"/>
              <w:left w:w="15" w:type="dxa"/>
              <w:bottom w:w="0" w:type="dxa"/>
              <w:right w:w="15" w:type="dxa"/>
            </w:tcMar>
            <w:vAlign w:val="bottom"/>
            <w:hideMark/>
          </w:tcPr>
          <w:p w14:paraId="13EF28FB"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Absorbance (40°C)</w:t>
            </w:r>
          </w:p>
        </w:tc>
        <w:tc>
          <w:tcPr>
            <w:tcW w:w="1070" w:type="pct"/>
            <w:tcBorders>
              <w:top w:val="nil"/>
              <w:left w:val="nil"/>
              <w:bottom w:val="nil"/>
              <w:right w:val="nil"/>
            </w:tcBorders>
            <w:noWrap/>
            <w:tcMar>
              <w:top w:w="15" w:type="dxa"/>
              <w:left w:w="15" w:type="dxa"/>
              <w:bottom w:w="0" w:type="dxa"/>
              <w:right w:w="15" w:type="dxa"/>
            </w:tcMar>
            <w:vAlign w:val="bottom"/>
            <w:hideMark/>
          </w:tcPr>
          <w:p w14:paraId="5903D9B5"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Absorbance (50°C)</w:t>
            </w:r>
          </w:p>
        </w:tc>
        <w:tc>
          <w:tcPr>
            <w:tcW w:w="1070" w:type="pct"/>
            <w:tcBorders>
              <w:top w:val="nil"/>
              <w:left w:val="nil"/>
              <w:bottom w:val="nil"/>
              <w:right w:val="nil"/>
            </w:tcBorders>
            <w:noWrap/>
            <w:tcMar>
              <w:top w:w="15" w:type="dxa"/>
              <w:left w:w="15" w:type="dxa"/>
              <w:bottom w:w="0" w:type="dxa"/>
              <w:right w:w="15" w:type="dxa"/>
            </w:tcMar>
            <w:vAlign w:val="bottom"/>
            <w:hideMark/>
          </w:tcPr>
          <w:p w14:paraId="03C3DB43"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Absorbance (60°C)</w:t>
            </w:r>
          </w:p>
        </w:tc>
      </w:tr>
      <w:tr w:rsidR="00A101D8" w:rsidRPr="002A248F" w14:paraId="471A2FE1"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41FBE1B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w:t>
            </w:r>
          </w:p>
        </w:tc>
        <w:tc>
          <w:tcPr>
            <w:tcW w:w="1070" w:type="pct"/>
            <w:tcBorders>
              <w:top w:val="nil"/>
              <w:left w:val="nil"/>
              <w:bottom w:val="nil"/>
              <w:right w:val="nil"/>
            </w:tcBorders>
            <w:noWrap/>
            <w:tcMar>
              <w:top w:w="15" w:type="dxa"/>
              <w:left w:w="15" w:type="dxa"/>
              <w:bottom w:w="0" w:type="dxa"/>
              <w:right w:w="15" w:type="dxa"/>
            </w:tcMar>
            <w:vAlign w:val="bottom"/>
            <w:hideMark/>
          </w:tcPr>
          <w:p w14:paraId="770FF6D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0.000</w:t>
            </w:r>
          </w:p>
        </w:tc>
        <w:tc>
          <w:tcPr>
            <w:tcW w:w="1070" w:type="pct"/>
            <w:tcBorders>
              <w:top w:val="nil"/>
              <w:left w:val="nil"/>
              <w:bottom w:val="nil"/>
              <w:right w:val="nil"/>
            </w:tcBorders>
            <w:noWrap/>
            <w:tcMar>
              <w:top w:w="15" w:type="dxa"/>
              <w:left w:w="15" w:type="dxa"/>
              <w:bottom w:w="0" w:type="dxa"/>
              <w:right w:w="15" w:type="dxa"/>
            </w:tcMar>
            <w:vAlign w:val="bottom"/>
            <w:hideMark/>
          </w:tcPr>
          <w:p w14:paraId="3A7D4E2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0.000</w:t>
            </w:r>
          </w:p>
        </w:tc>
        <w:tc>
          <w:tcPr>
            <w:tcW w:w="1070" w:type="pct"/>
            <w:tcBorders>
              <w:top w:val="nil"/>
              <w:left w:val="nil"/>
              <w:bottom w:val="nil"/>
              <w:right w:val="nil"/>
            </w:tcBorders>
            <w:noWrap/>
            <w:tcMar>
              <w:top w:w="15" w:type="dxa"/>
              <w:left w:w="15" w:type="dxa"/>
              <w:bottom w:w="0" w:type="dxa"/>
              <w:right w:w="15" w:type="dxa"/>
            </w:tcMar>
            <w:vAlign w:val="bottom"/>
            <w:hideMark/>
          </w:tcPr>
          <w:p w14:paraId="742C02E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0.000</w:t>
            </w:r>
          </w:p>
        </w:tc>
        <w:tc>
          <w:tcPr>
            <w:tcW w:w="1070" w:type="pct"/>
            <w:tcBorders>
              <w:top w:val="nil"/>
              <w:left w:val="nil"/>
              <w:bottom w:val="nil"/>
              <w:right w:val="nil"/>
            </w:tcBorders>
            <w:noWrap/>
            <w:tcMar>
              <w:top w:w="15" w:type="dxa"/>
              <w:left w:w="15" w:type="dxa"/>
              <w:bottom w:w="0" w:type="dxa"/>
              <w:right w:w="15" w:type="dxa"/>
            </w:tcMar>
            <w:vAlign w:val="bottom"/>
            <w:hideMark/>
          </w:tcPr>
          <w:p w14:paraId="57788F31"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0.000</w:t>
            </w:r>
          </w:p>
        </w:tc>
      </w:tr>
      <w:tr w:rsidR="00A101D8" w:rsidRPr="002A248F" w14:paraId="3285534D"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52ABA5D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w:t>
            </w:r>
          </w:p>
        </w:tc>
        <w:tc>
          <w:tcPr>
            <w:tcW w:w="1070" w:type="pct"/>
            <w:tcBorders>
              <w:top w:val="nil"/>
              <w:left w:val="nil"/>
              <w:bottom w:val="nil"/>
              <w:right w:val="nil"/>
            </w:tcBorders>
            <w:noWrap/>
            <w:tcMar>
              <w:top w:w="15" w:type="dxa"/>
              <w:left w:w="15" w:type="dxa"/>
              <w:bottom w:w="0" w:type="dxa"/>
              <w:right w:w="15" w:type="dxa"/>
            </w:tcMar>
            <w:vAlign w:val="bottom"/>
            <w:hideMark/>
          </w:tcPr>
          <w:p w14:paraId="1E06713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0.132</w:t>
            </w:r>
          </w:p>
        </w:tc>
        <w:tc>
          <w:tcPr>
            <w:tcW w:w="1070" w:type="pct"/>
            <w:tcBorders>
              <w:top w:val="nil"/>
              <w:left w:val="nil"/>
              <w:bottom w:val="nil"/>
              <w:right w:val="nil"/>
            </w:tcBorders>
            <w:noWrap/>
            <w:tcMar>
              <w:top w:w="15" w:type="dxa"/>
              <w:left w:w="15" w:type="dxa"/>
              <w:bottom w:w="0" w:type="dxa"/>
              <w:right w:w="15" w:type="dxa"/>
            </w:tcMar>
            <w:vAlign w:val="bottom"/>
            <w:hideMark/>
          </w:tcPr>
          <w:p w14:paraId="7833113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0.255</w:t>
            </w:r>
          </w:p>
        </w:tc>
        <w:tc>
          <w:tcPr>
            <w:tcW w:w="1070" w:type="pct"/>
            <w:tcBorders>
              <w:top w:val="nil"/>
              <w:left w:val="nil"/>
              <w:bottom w:val="nil"/>
              <w:right w:val="nil"/>
            </w:tcBorders>
            <w:noWrap/>
            <w:tcMar>
              <w:top w:w="15" w:type="dxa"/>
              <w:left w:w="15" w:type="dxa"/>
              <w:bottom w:w="0" w:type="dxa"/>
              <w:right w:w="15" w:type="dxa"/>
            </w:tcMar>
            <w:vAlign w:val="bottom"/>
            <w:hideMark/>
          </w:tcPr>
          <w:p w14:paraId="5A2865F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0.447</w:t>
            </w:r>
          </w:p>
        </w:tc>
        <w:tc>
          <w:tcPr>
            <w:tcW w:w="1070" w:type="pct"/>
            <w:tcBorders>
              <w:top w:val="nil"/>
              <w:left w:val="nil"/>
              <w:bottom w:val="nil"/>
              <w:right w:val="nil"/>
            </w:tcBorders>
            <w:noWrap/>
            <w:tcMar>
              <w:top w:w="15" w:type="dxa"/>
              <w:left w:w="15" w:type="dxa"/>
              <w:bottom w:w="0" w:type="dxa"/>
              <w:right w:w="15" w:type="dxa"/>
            </w:tcMar>
            <w:vAlign w:val="bottom"/>
            <w:hideMark/>
          </w:tcPr>
          <w:p w14:paraId="5ADB84D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0.719</w:t>
            </w:r>
          </w:p>
        </w:tc>
      </w:tr>
      <w:tr w:rsidR="00A101D8" w:rsidRPr="002A248F" w14:paraId="51E5AC0F"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3FD9873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w:t>
            </w:r>
          </w:p>
        </w:tc>
        <w:tc>
          <w:tcPr>
            <w:tcW w:w="1070" w:type="pct"/>
            <w:tcBorders>
              <w:top w:val="nil"/>
              <w:left w:val="nil"/>
              <w:bottom w:val="nil"/>
              <w:right w:val="nil"/>
            </w:tcBorders>
            <w:noWrap/>
            <w:tcMar>
              <w:top w:w="15" w:type="dxa"/>
              <w:left w:w="15" w:type="dxa"/>
              <w:bottom w:w="0" w:type="dxa"/>
              <w:right w:w="15" w:type="dxa"/>
            </w:tcMar>
            <w:vAlign w:val="bottom"/>
            <w:hideMark/>
          </w:tcPr>
          <w:p w14:paraId="1725257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0.258</w:t>
            </w:r>
          </w:p>
        </w:tc>
        <w:tc>
          <w:tcPr>
            <w:tcW w:w="1070" w:type="pct"/>
            <w:tcBorders>
              <w:top w:val="nil"/>
              <w:left w:val="nil"/>
              <w:bottom w:val="nil"/>
              <w:right w:val="nil"/>
            </w:tcBorders>
            <w:noWrap/>
            <w:tcMar>
              <w:top w:w="15" w:type="dxa"/>
              <w:left w:w="15" w:type="dxa"/>
              <w:bottom w:w="0" w:type="dxa"/>
              <w:right w:w="15" w:type="dxa"/>
            </w:tcMar>
            <w:vAlign w:val="bottom"/>
            <w:hideMark/>
          </w:tcPr>
          <w:p w14:paraId="071A3F7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0.464</w:t>
            </w:r>
          </w:p>
        </w:tc>
        <w:tc>
          <w:tcPr>
            <w:tcW w:w="1070" w:type="pct"/>
            <w:tcBorders>
              <w:top w:val="nil"/>
              <w:left w:val="nil"/>
              <w:bottom w:val="nil"/>
              <w:right w:val="nil"/>
            </w:tcBorders>
            <w:noWrap/>
            <w:tcMar>
              <w:top w:w="15" w:type="dxa"/>
              <w:left w:w="15" w:type="dxa"/>
              <w:bottom w:w="0" w:type="dxa"/>
              <w:right w:w="15" w:type="dxa"/>
            </w:tcMar>
            <w:vAlign w:val="bottom"/>
            <w:hideMark/>
          </w:tcPr>
          <w:p w14:paraId="150067E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0.757</w:t>
            </w:r>
          </w:p>
        </w:tc>
        <w:tc>
          <w:tcPr>
            <w:tcW w:w="1070" w:type="pct"/>
            <w:tcBorders>
              <w:top w:val="nil"/>
              <w:left w:val="nil"/>
              <w:bottom w:val="nil"/>
              <w:right w:val="nil"/>
            </w:tcBorders>
            <w:noWrap/>
            <w:tcMar>
              <w:top w:w="15" w:type="dxa"/>
              <w:left w:w="15" w:type="dxa"/>
              <w:bottom w:w="0" w:type="dxa"/>
              <w:right w:w="15" w:type="dxa"/>
            </w:tcMar>
            <w:vAlign w:val="bottom"/>
            <w:hideMark/>
          </w:tcPr>
          <w:p w14:paraId="4B9FF0C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1.066</w:t>
            </w:r>
          </w:p>
        </w:tc>
      </w:tr>
      <w:tr w:rsidR="00A101D8" w:rsidRPr="002A248F" w14:paraId="41A1142F"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73068F2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15.</w:t>
            </w:r>
          </w:p>
        </w:tc>
        <w:tc>
          <w:tcPr>
            <w:tcW w:w="1070" w:type="pct"/>
            <w:tcBorders>
              <w:top w:val="nil"/>
              <w:left w:val="nil"/>
              <w:bottom w:val="nil"/>
              <w:right w:val="nil"/>
            </w:tcBorders>
            <w:noWrap/>
            <w:tcMar>
              <w:top w:w="15" w:type="dxa"/>
              <w:left w:w="15" w:type="dxa"/>
              <w:bottom w:w="0" w:type="dxa"/>
              <w:right w:w="15" w:type="dxa"/>
            </w:tcMar>
            <w:vAlign w:val="bottom"/>
            <w:hideMark/>
          </w:tcPr>
          <w:p w14:paraId="5DAE542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0.360</w:t>
            </w:r>
          </w:p>
        </w:tc>
        <w:tc>
          <w:tcPr>
            <w:tcW w:w="1070" w:type="pct"/>
            <w:tcBorders>
              <w:top w:val="nil"/>
              <w:left w:val="nil"/>
              <w:bottom w:val="nil"/>
              <w:right w:val="nil"/>
            </w:tcBorders>
            <w:noWrap/>
            <w:tcMar>
              <w:top w:w="15" w:type="dxa"/>
              <w:left w:w="15" w:type="dxa"/>
              <w:bottom w:w="0" w:type="dxa"/>
              <w:right w:w="15" w:type="dxa"/>
            </w:tcMar>
            <w:vAlign w:val="bottom"/>
            <w:hideMark/>
          </w:tcPr>
          <w:p w14:paraId="03DF7AF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0.635</w:t>
            </w:r>
          </w:p>
        </w:tc>
        <w:tc>
          <w:tcPr>
            <w:tcW w:w="1070" w:type="pct"/>
            <w:tcBorders>
              <w:top w:val="nil"/>
              <w:left w:val="nil"/>
              <w:bottom w:val="nil"/>
              <w:right w:val="nil"/>
            </w:tcBorders>
            <w:noWrap/>
            <w:tcMar>
              <w:top w:w="15" w:type="dxa"/>
              <w:left w:w="15" w:type="dxa"/>
              <w:bottom w:w="0" w:type="dxa"/>
              <w:right w:w="15" w:type="dxa"/>
            </w:tcMar>
            <w:vAlign w:val="bottom"/>
            <w:hideMark/>
          </w:tcPr>
          <w:p w14:paraId="2F7C456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0.959</w:t>
            </w:r>
          </w:p>
        </w:tc>
        <w:tc>
          <w:tcPr>
            <w:tcW w:w="1070" w:type="pct"/>
            <w:tcBorders>
              <w:top w:val="nil"/>
              <w:left w:val="nil"/>
              <w:bottom w:val="nil"/>
              <w:right w:val="nil"/>
            </w:tcBorders>
            <w:noWrap/>
            <w:tcMar>
              <w:top w:w="15" w:type="dxa"/>
              <w:left w:w="15" w:type="dxa"/>
              <w:bottom w:w="0" w:type="dxa"/>
              <w:right w:w="15" w:type="dxa"/>
            </w:tcMar>
            <w:vAlign w:val="bottom"/>
            <w:hideMark/>
          </w:tcPr>
          <w:p w14:paraId="4D7FF9D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1.236</w:t>
            </w:r>
          </w:p>
        </w:tc>
      </w:tr>
      <w:tr w:rsidR="00A101D8" w:rsidRPr="002A248F" w14:paraId="3DA9B908"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5B902FC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20.</w:t>
            </w:r>
          </w:p>
        </w:tc>
        <w:tc>
          <w:tcPr>
            <w:tcW w:w="1070" w:type="pct"/>
            <w:tcBorders>
              <w:top w:val="nil"/>
              <w:left w:val="nil"/>
              <w:bottom w:val="nil"/>
              <w:right w:val="nil"/>
            </w:tcBorders>
            <w:noWrap/>
            <w:tcMar>
              <w:top w:w="15" w:type="dxa"/>
              <w:left w:w="15" w:type="dxa"/>
              <w:bottom w:w="0" w:type="dxa"/>
              <w:right w:w="15" w:type="dxa"/>
            </w:tcMar>
            <w:vAlign w:val="bottom"/>
            <w:hideMark/>
          </w:tcPr>
          <w:p w14:paraId="4586DEC8"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0.463</w:t>
            </w:r>
          </w:p>
        </w:tc>
        <w:tc>
          <w:tcPr>
            <w:tcW w:w="1070" w:type="pct"/>
            <w:tcBorders>
              <w:top w:val="nil"/>
              <w:left w:val="nil"/>
              <w:bottom w:val="nil"/>
              <w:right w:val="nil"/>
            </w:tcBorders>
            <w:noWrap/>
            <w:tcMar>
              <w:top w:w="15" w:type="dxa"/>
              <w:left w:w="15" w:type="dxa"/>
              <w:bottom w:w="0" w:type="dxa"/>
              <w:right w:w="15" w:type="dxa"/>
            </w:tcMar>
            <w:vAlign w:val="bottom"/>
            <w:hideMark/>
          </w:tcPr>
          <w:p w14:paraId="621D7C8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0.772</w:t>
            </w:r>
          </w:p>
        </w:tc>
        <w:tc>
          <w:tcPr>
            <w:tcW w:w="1070" w:type="pct"/>
            <w:tcBorders>
              <w:top w:val="nil"/>
              <w:left w:val="nil"/>
              <w:bottom w:val="nil"/>
              <w:right w:val="nil"/>
            </w:tcBorders>
            <w:noWrap/>
            <w:tcMar>
              <w:top w:w="15" w:type="dxa"/>
              <w:left w:w="15" w:type="dxa"/>
              <w:bottom w:w="0" w:type="dxa"/>
              <w:right w:w="15" w:type="dxa"/>
            </w:tcMar>
            <w:vAlign w:val="bottom"/>
            <w:hideMark/>
          </w:tcPr>
          <w:p w14:paraId="203FAAD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1.103</w:t>
            </w:r>
          </w:p>
        </w:tc>
        <w:tc>
          <w:tcPr>
            <w:tcW w:w="1070" w:type="pct"/>
            <w:tcBorders>
              <w:top w:val="nil"/>
              <w:left w:val="nil"/>
              <w:bottom w:val="nil"/>
              <w:right w:val="nil"/>
            </w:tcBorders>
            <w:noWrap/>
            <w:tcMar>
              <w:top w:w="15" w:type="dxa"/>
              <w:left w:w="15" w:type="dxa"/>
              <w:bottom w:w="0" w:type="dxa"/>
              <w:right w:w="15" w:type="dxa"/>
            </w:tcMar>
            <w:vAlign w:val="bottom"/>
            <w:hideMark/>
          </w:tcPr>
          <w:p w14:paraId="458941A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1.319</w:t>
            </w:r>
          </w:p>
        </w:tc>
      </w:tr>
      <w:tr w:rsidR="00A101D8" w:rsidRPr="002A248F" w14:paraId="7A1FB45B"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332C354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25.</w:t>
            </w:r>
          </w:p>
        </w:tc>
        <w:tc>
          <w:tcPr>
            <w:tcW w:w="1070" w:type="pct"/>
            <w:tcBorders>
              <w:top w:val="nil"/>
              <w:left w:val="nil"/>
              <w:bottom w:val="nil"/>
              <w:right w:val="nil"/>
            </w:tcBorders>
            <w:noWrap/>
            <w:tcMar>
              <w:top w:w="15" w:type="dxa"/>
              <w:left w:w="15" w:type="dxa"/>
              <w:bottom w:w="0" w:type="dxa"/>
              <w:right w:w="15" w:type="dxa"/>
            </w:tcMar>
            <w:vAlign w:val="bottom"/>
            <w:hideMark/>
          </w:tcPr>
          <w:p w14:paraId="4205E38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0.550</w:t>
            </w:r>
          </w:p>
        </w:tc>
        <w:tc>
          <w:tcPr>
            <w:tcW w:w="1070" w:type="pct"/>
            <w:tcBorders>
              <w:top w:val="nil"/>
              <w:left w:val="nil"/>
              <w:bottom w:val="nil"/>
              <w:right w:val="nil"/>
            </w:tcBorders>
            <w:noWrap/>
            <w:tcMar>
              <w:top w:w="15" w:type="dxa"/>
              <w:left w:w="15" w:type="dxa"/>
              <w:bottom w:w="0" w:type="dxa"/>
              <w:right w:w="15" w:type="dxa"/>
            </w:tcMar>
            <w:vAlign w:val="bottom"/>
            <w:hideMark/>
          </w:tcPr>
          <w:p w14:paraId="76F684F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0.891</w:t>
            </w:r>
          </w:p>
        </w:tc>
        <w:tc>
          <w:tcPr>
            <w:tcW w:w="1070" w:type="pct"/>
            <w:tcBorders>
              <w:top w:val="nil"/>
              <w:left w:val="nil"/>
              <w:bottom w:val="nil"/>
              <w:right w:val="nil"/>
            </w:tcBorders>
            <w:noWrap/>
            <w:tcMar>
              <w:top w:w="15" w:type="dxa"/>
              <w:left w:w="15" w:type="dxa"/>
              <w:bottom w:w="0" w:type="dxa"/>
              <w:right w:w="15" w:type="dxa"/>
            </w:tcMar>
            <w:vAlign w:val="bottom"/>
            <w:hideMark/>
          </w:tcPr>
          <w:p w14:paraId="6A58BAA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1.199</w:t>
            </w:r>
          </w:p>
        </w:tc>
        <w:tc>
          <w:tcPr>
            <w:tcW w:w="1070" w:type="pct"/>
            <w:tcBorders>
              <w:top w:val="nil"/>
              <w:left w:val="nil"/>
              <w:bottom w:val="nil"/>
              <w:right w:val="nil"/>
            </w:tcBorders>
            <w:noWrap/>
            <w:tcMar>
              <w:top w:w="15" w:type="dxa"/>
              <w:left w:w="15" w:type="dxa"/>
              <w:bottom w:w="0" w:type="dxa"/>
              <w:right w:w="15" w:type="dxa"/>
            </w:tcMar>
            <w:vAlign w:val="bottom"/>
            <w:hideMark/>
          </w:tcPr>
          <w:p w14:paraId="68FE2D6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1.362</w:t>
            </w:r>
          </w:p>
        </w:tc>
      </w:tr>
      <w:tr w:rsidR="00A101D8" w:rsidRPr="002A248F" w14:paraId="09682DAA"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2D570A4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30.</w:t>
            </w:r>
          </w:p>
        </w:tc>
        <w:tc>
          <w:tcPr>
            <w:tcW w:w="1070" w:type="pct"/>
            <w:tcBorders>
              <w:top w:val="nil"/>
              <w:left w:val="nil"/>
              <w:bottom w:val="nil"/>
              <w:right w:val="nil"/>
            </w:tcBorders>
            <w:noWrap/>
            <w:tcMar>
              <w:top w:w="15" w:type="dxa"/>
              <w:left w:w="15" w:type="dxa"/>
              <w:bottom w:w="0" w:type="dxa"/>
              <w:right w:w="15" w:type="dxa"/>
            </w:tcMar>
            <w:vAlign w:val="bottom"/>
            <w:hideMark/>
          </w:tcPr>
          <w:p w14:paraId="7F3161E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0.633</w:t>
            </w:r>
          </w:p>
        </w:tc>
        <w:tc>
          <w:tcPr>
            <w:tcW w:w="1070" w:type="pct"/>
            <w:tcBorders>
              <w:top w:val="nil"/>
              <w:left w:val="nil"/>
              <w:bottom w:val="nil"/>
              <w:right w:val="nil"/>
            </w:tcBorders>
            <w:noWrap/>
            <w:tcMar>
              <w:top w:w="15" w:type="dxa"/>
              <w:left w:w="15" w:type="dxa"/>
              <w:bottom w:w="0" w:type="dxa"/>
              <w:right w:w="15" w:type="dxa"/>
            </w:tcMar>
            <w:vAlign w:val="bottom"/>
            <w:hideMark/>
          </w:tcPr>
          <w:p w14:paraId="248622F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0.977</w:t>
            </w:r>
          </w:p>
        </w:tc>
        <w:tc>
          <w:tcPr>
            <w:tcW w:w="1070" w:type="pct"/>
            <w:tcBorders>
              <w:top w:val="nil"/>
              <w:left w:val="nil"/>
              <w:bottom w:val="nil"/>
              <w:right w:val="nil"/>
            </w:tcBorders>
            <w:noWrap/>
            <w:tcMar>
              <w:top w:w="15" w:type="dxa"/>
              <w:left w:w="15" w:type="dxa"/>
              <w:bottom w:w="0" w:type="dxa"/>
              <w:right w:w="15" w:type="dxa"/>
            </w:tcMar>
            <w:vAlign w:val="bottom"/>
            <w:hideMark/>
          </w:tcPr>
          <w:p w14:paraId="48F8A9E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1.261</w:t>
            </w:r>
          </w:p>
        </w:tc>
        <w:tc>
          <w:tcPr>
            <w:tcW w:w="1070" w:type="pct"/>
            <w:tcBorders>
              <w:top w:val="nil"/>
              <w:left w:val="nil"/>
              <w:bottom w:val="nil"/>
              <w:right w:val="nil"/>
            </w:tcBorders>
            <w:noWrap/>
            <w:tcMar>
              <w:top w:w="15" w:type="dxa"/>
              <w:left w:w="15" w:type="dxa"/>
              <w:bottom w:w="0" w:type="dxa"/>
              <w:right w:w="15" w:type="dxa"/>
            </w:tcMar>
            <w:vAlign w:val="bottom"/>
            <w:hideMark/>
          </w:tcPr>
          <w:p w14:paraId="069B285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1.383</w:t>
            </w:r>
          </w:p>
        </w:tc>
      </w:tr>
      <w:tr w:rsidR="00A101D8" w:rsidRPr="002A248F" w14:paraId="6C1F70D2"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7CAC76D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35.</w:t>
            </w:r>
          </w:p>
        </w:tc>
        <w:tc>
          <w:tcPr>
            <w:tcW w:w="1070" w:type="pct"/>
            <w:tcBorders>
              <w:top w:val="nil"/>
              <w:left w:val="nil"/>
              <w:bottom w:val="nil"/>
              <w:right w:val="nil"/>
            </w:tcBorders>
            <w:noWrap/>
            <w:tcMar>
              <w:top w:w="15" w:type="dxa"/>
              <w:left w:w="15" w:type="dxa"/>
              <w:bottom w:w="0" w:type="dxa"/>
              <w:right w:w="15" w:type="dxa"/>
            </w:tcMar>
            <w:vAlign w:val="bottom"/>
            <w:hideMark/>
          </w:tcPr>
          <w:p w14:paraId="7F5937F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0.704</w:t>
            </w:r>
          </w:p>
        </w:tc>
        <w:tc>
          <w:tcPr>
            <w:tcW w:w="1070" w:type="pct"/>
            <w:tcBorders>
              <w:top w:val="nil"/>
              <w:left w:val="nil"/>
              <w:bottom w:val="nil"/>
              <w:right w:val="nil"/>
            </w:tcBorders>
            <w:noWrap/>
            <w:tcMar>
              <w:top w:w="15" w:type="dxa"/>
              <w:left w:w="15" w:type="dxa"/>
              <w:bottom w:w="0" w:type="dxa"/>
              <w:right w:w="15" w:type="dxa"/>
            </w:tcMar>
            <w:vAlign w:val="bottom"/>
            <w:hideMark/>
          </w:tcPr>
          <w:p w14:paraId="1CC5727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1.060</w:t>
            </w:r>
          </w:p>
        </w:tc>
        <w:tc>
          <w:tcPr>
            <w:tcW w:w="1070" w:type="pct"/>
            <w:tcBorders>
              <w:top w:val="nil"/>
              <w:left w:val="nil"/>
              <w:bottom w:val="nil"/>
              <w:right w:val="nil"/>
            </w:tcBorders>
            <w:noWrap/>
            <w:tcMar>
              <w:top w:w="15" w:type="dxa"/>
              <w:left w:w="15" w:type="dxa"/>
              <w:bottom w:w="0" w:type="dxa"/>
              <w:right w:w="15" w:type="dxa"/>
            </w:tcMar>
            <w:vAlign w:val="bottom"/>
            <w:hideMark/>
          </w:tcPr>
          <w:p w14:paraId="5DC5612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1.307</w:t>
            </w:r>
          </w:p>
        </w:tc>
        <w:tc>
          <w:tcPr>
            <w:tcW w:w="1070" w:type="pct"/>
            <w:tcBorders>
              <w:top w:val="nil"/>
              <w:left w:val="nil"/>
              <w:bottom w:val="nil"/>
              <w:right w:val="nil"/>
            </w:tcBorders>
            <w:noWrap/>
            <w:tcMar>
              <w:top w:w="15" w:type="dxa"/>
              <w:left w:w="15" w:type="dxa"/>
              <w:bottom w:w="0" w:type="dxa"/>
              <w:right w:w="15" w:type="dxa"/>
            </w:tcMar>
            <w:vAlign w:val="bottom"/>
            <w:hideMark/>
          </w:tcPr>
          <w:p w14:paraId="782CDCC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1.390</w:t>
            </w:r>
          </w:p>
        </w:tc>
      </w:tr>
      <w:tr w:rsidR="00A101D8" w:rsidRPr="002A248F" w14:paraId="75875C87"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0D382C1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40.</w:t>
            </w:r>
          </w:p>
        </w:tc>
        <w:tc>
          <w:tcPr>
            <w:tcW w:w="1070" w:type="pct"/>
            <w:tcBorders>
              <w:top w:val="nil"/>
              <w:left w:val="nil"/>
              <w:bottom w:val="nil"/>
              <w:right w:val="nil"/>
            </w:tcBorders>
            <w:noWrap/>
            <w:tcMar>
              <w:top w:w="15" w:type="dxa"/>
              <w:left w:w="15" w:type="dxa"/>
              <w:bottom w:w="0" w:type="dxa"/>
              <w:right w:w="15" w:type="dxa"/>
            </w:tcMar>
            <w:vAlign w:val="bottom"/>
            <w:hideMark/>
          </w:tcPr>
          <w:p w14:paraId="3F00355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0.774</w:t>
            </w:r>
          </w:p>
        </w:tc>
        <w:tc>
          <w:tcPr>
            <w:tcW w:w="1070" w:type="pct"/>
            <w:tcBorders>
              <w:top w:val="nil"/>
              <w:left w:val="nil"/>
              <w:bottom w:val="nil"/>
              <w:right w:val="nil"/>
            </w:tcBorders>
            <w:noWrap/>
            <w:tcMar>
              <w:top w:w="15" w:type="dxa"/>
              <w:left w:w="15" w:type="dxa"/>
              <w:bottom w:w="0" w:type="dxa"/>
              <w:right w:w="15" w:type="dxa"/>
            </w:tcMar>
            <w:vAlign w:val="bottom"/>
            <w:hideMark/>
          </w:tcPr>
          <w:p w14:paraId="060A186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1.117</w:t>
            </w:r>
          </w:p>
        </w:tc>
        <w:tc>
          <w:tcPr>
            <w:tcW w:w="1070" w:type="pct"/>
            <w:tcBorders>
              <w:top w:val="nil"/>
              <w:left w:val="nil"/>
              <w:bottom w:val="nil"/>
              <w:right w:val="nil"/>
            </w:tcBorders>
            <w:noWrap/>
            <w:tcMar>
              <w:top w:w="15" w:type="dxa"/>
              <w:left w:w="15" w:type="dxa"/>
              <w:bottom w:w="0" w:type="dxa"/>
              <w:right w:w="15" w:type="dxa"/>
            </w:tcMar>
            <w:vAlign w:val="bottom"/>
            <w:hideMark/>
          </w:tcPr>
          <w:p w14:paraId="4C57E9A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1.338</w:t>
            </w:r>
          </w:p>
        </w:tc>
        <w:tc>
          <w:tcPr>
            <w:tcW w:w="1070" w:type="pct"/>
            <w:tcBorders>
              <w:top w:val="nil"/>
              <w:left w:val="nil"/>
              <w:bottom w:val="nil"/>
              <w:right w:val="nil"/>
            </w:tcBorders>
            <w:noWrap/>
            <w:tcMar>
              <w:top w:w="15" w:type="dxa"/>
              <w:left w:w="15" w:type="dxa"/>
              <w:bottom w:w="0" w:type="dxa"/>
              <w:right w:w="15" w:type="dxa"/>
            </w:tcMar>
            <w:vAlign w:val="bottom"/>
            <w:hideMark/>
          </w:tcPr>
          <w:p w14:paraId="63ACC17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1.395</w:t>
            </w:r>
          </w:p>
        </w:tc>
      </w:tr>
      <w:tr w:rsidR="00A101D8" w:rsidRPr="002A248F" w14:paraId="7D6CBFCB"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64F5A6D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45.</w:t>
            </w:r>
          </w:p>
        </w:tc>
        <w:tc>
          <w:tcPr>
            <w:tcW w:w="1070" w:type="pct"/>
            <w:tcBorders>
              <w:top w:val="nil"/>
              <w:left w:val="nil"/>
              <w:bottom w:val="nil"/>
              <w:right w:val="nil"/>
            </w:tcBorders>
            <w:noWrap/>
            <w:tcMar>
              <w:top w:w="15" w:type="dxa"/>
              <w:left w:w="15" w:type="dxa"/>
              <w:bottom w:w="0" w:type="dxa"/>
              <w:right w:w="15" w:type="dxa"/>
            </w:tcMar>
            <w:vAlign w:val="bottom"/>
            <w:hideMark/>
          </w:tcPr>
          <w:p w14:paraId="3F0F8E3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0.830</w:t>
            </w:r>
          </w:p>
        </w:tc>
        <w:tc>
          <w:tcPr>
            <w:tcW w:w="1070" w:type="pct"/>
            <w:tcBorders>
              <w:top w:val="nil"/>
              <w:left w:val="nil"/>
              <w:bottom w:val="nil"/>
              <w:right w:val="nil"/>
            </w:tcBorders>
            <w:noWrap/>
            <w:tcMar>
              <w:top w:w="15" w:type="dxa"/>
              <w:left w:w="15" w:type="dxa"/>
              <w:bottom w:w="0" w:type="dxa"/>
              <w:right w:w="15" w:type="dxa"/>
            </w:tcMar>
            <w:vAlign w:val="bottom"/>
            <w:hideMark/>
          </w:tcPr>
          <w:p w14:paraId="52CF4EE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1.171</w:t>
            </w:r>
          </w:p>
        </w:tc>
        <w:tc>
          <w:tcPr>
            <w:tcW w:w="1070" w:type="pct"/>
            <w:tcBorders>
              <w:top w:val="nil"/>
              <w:left w:val="nil"/>
              <w:bottom w:val="nil"/>
              <w:right w:val="nil"/>
            </w:tcBorders>
            <w:noWrap/>
            <w:tcMar>
              <w:top w:w="15" w:type="dxa"/>
              <w:left w:w="15" w:type="dxa"/>
              <w:bottom w:w="0" w:type="dxa"/>
              <w:right w:w="15" w:type="dxa"/>
            </w:tcMar>
            <w:vAlign w:val="bottom"/>
            <w:hideMark/>
          </w:tcPr>
          <w:p w14:paraId="761226D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1.356</w:t>
            </w:r>
          </w:p>
        </w:tc>
        <w:tc>
          <w:tcPr>
            <w:tcW w:w="1070" w:type="pct"/>
            <w:tcBorders>
              <w:top w:val="nil"/>
              <w:left w:val="nil"/>
              <w:bottom w:val="nil"/>
              <w:right w:val="nil"/>
            </w:tcBorders>
            <w:noWrap/>
            <w:tcMar>
              <w:top w:w="15" w:type="dxa"/>
              <w:left w:w="15" w:type="dxa"/>
              <w:bottom w:w="0" w:type="dxa"/>
              <w:right w:w="15" w:type="dxa"/>
            </w:tcMar>
            <w:vAlign w:val="bottom"/>
            <w:hideMark/>
          </w:tcPr>
          <w:p w14:paraId="3167FD4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1.400</w:t>
            </w:r>
          </w:p>
        </w:tc>
      </w:tr>
      <w:tr w:rsidR="00A101D8" w:rsidRPr="002A248F" w14:paraId="0B6EC5BE"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5006CCA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50.</w:t>
            </w:r>
          </w:p>
        </w:tc>
        <w:tc>
          <w:tcPr>
            <w:tcW w:w="1070" w:type="pct"/>
            <w:tcBorders>
              <w:top w:val="nil"/>
              <w:left w:val="nil"/>
              <w:bottom w:val="nil"/>
              <w:right w:val="nil"/>
            </w:tcBorders>
            <w:noWrap/>
            <w:tcMar>
              <w:top w:w="15" w:type="dxa"/>
              <w:left w:w="15" w:type="dxa"/>
              <w:bottom w:w="0" w:type="dxa"/>
              <w:right w:w="15" w:type="dxa"/>
            </w:tcMar>
            <w:vAlign w:val="bottom"/>
            <w:hideMark/>
          </w:tcPr>
          <w:p w14:paraId="2FE4F5F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0.889</w:t>
            </w:r>
          </w:p>
        </w:tc>
        <w:tc>
          <w:tcPr>
            <w:tcW w:w="1070" w:type="pct"/>
            <w:tcBorders>
              <w:top w:val="nil"/>
              <w:left w:val="nil"/>
              <w:bottom w:val="nil"/>
              <w:right w:val="nil"/>
            </w:tcBorders>
            <w:noWrap/>
            <w:tcMar>
              <w:top w:w="15" w:type="dxa"/>
              <w:left w:w="15" w:type="dxa"/>
              <w:bottom w:w="0" w:type="dxa"/>
              <w:right w:w="15" w:type="dxa"/>
            </w:tcMar>
            <w:vAlign w:val="bottom"/>
            <w:hideMark/>
          </w:tcPr>
          <w:p w14:paraId="7DBC9E0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1.212</w:t>
            </w:r>
          </w:p>
        </w:tc>
        <w:tc>
          <w:tcPr>
            <w:tcW w:w="1070" w:type="pct"/>
            <w:tcBorders>
              <w:top w:val="nil"/>
              <w:left w:val="nil"/>
              <w:bottom w:val="nil"/>
              <w:right w:val="nil"/>
            </w:tcBorders>
            <w:noWrap/>
            <w:tcMar>
              <w:top w:w="15" w:type="dxa"/>
              <w:left w:w="15" w:type="dxa"/>
              <w:bottom w:w="0" w:type="dxa"/>
              <w:right w:w="15" w:type="dxa"/>
            </w:tcMar>
            <w:vAlign w:val="bottom"/>
            <w:hideMark/>
          </w:tcPr>
          <w:p w14:paraId="4808680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1.368</w:t>
            </w:r>
          </w:p>
        </w:tc>
        <w:tc>
          <w:tcPr>
            <w:tcW w:w="1070" w:type="pct"/>
            <w:tcBorders>
              <w:top w:val="nil"/>
              <w:left w:val="nil"/>
              <w:bottom w:val="nil"/>
              <w:right w:val="nil"/>
            </w:tcBorders>
            <w:noWrap/>
            <w:tcMar>
              <w:top w:w="15" w:type="dxa"/>
              <w:left w:w="15" w:type="dxa"/>
              <w:bottom w:w="0" w:type="dxa"/>
              <w:right w:w="15" w:type="dxa"/>
            </w:tcMar>
            <w:vAlign w:val="bottom"/>
            <w:hideMark/>
          </w:tcPr>
          <w:p w14:paraId="058CF3B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1.397</w:t>
            </w:r>
          </w:p>
        </w:tc>
      </w:tr>
      <w:tr w:rsidR="00A101D8" w:rsidRPr="002A248F" w14:paraId="6814A9A2" w14:textId="77777777" w:rsidTr="001D043E">
        <w:trPr>
          <w:divId w:val="271595052"/>
        </w:trPr>
        <w:tc>
          <w:tcPr>
            <w:tcW w:w="718" w:type="pct"/>
            <w:tcBorders>
              <w:top w:val="nil"/>
              <w:left w:val="nil"/>
              <w:bottom w:val="nil"/>
              <w:right w:val="nil"/>
            </w:tcBorders>
            <w:noWrap/>
            <w:tcMar>
              <w:top w:w="15" w:type="dxa"/>
              <w:left w:w="15" w:type="dxa"/>
              <w:bottom w:w="0" w:type="dxa"/>
              <w:right w:w="15" w:type="dxa"/>
            </w:tcMar>
            <w:vAlign w:val="bottom"/>
            <w:hideMark/>
          </w:tcPr>
          <w:p w14:paraId="33A4D31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60.</w:t>
            </w:r>
          </w:p>
        </w:tc>
        <w:tc>
          <w:tcPr>
            <w:tcW w:w="1070" w:type="pct"/>
            <w:tcBorders>
              <w:top w:val="nil"/>
              <w:left w:val="nil"/>
              <w:bottom w:val="nil"/>
              <w:right w:val="nil"/>
            </w:tcBorders>
            <w:noWrap/>
            <w:tcMar>
              <w:top w:w="15" w:type="dxa"/>
              <w:left w:w="15" w:type="dxa"/>
              <w:bottom w:w="0" w:type="dxa"/>
              <w:right w:w="15" w:type="dxa"/>
            </w:tcMar>
            <w:vAlign w:val="bottom"/>
            <w:hideMark/>
          </w:tcPr>
          <w:p w14:paraId="554283ED"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0.974</w:t>
            </w:r>
          </w:p>
        </w:tc>
        <w:tc>
          <w:tcPr>
            <w:tcW w:w="1070" w:type="pct"/>
            <w:tcBorders>
              <w:top w:val="nil"/>
              <w:left w:val="nil"/>
              <w:bottom w:val="nil"/>
              <w:right w:val="nil"/>
            </w:tcBorders>
            <w:noWrap/>
            <w:tcMar>
              <w:top w:w="15" w:type="dxa"/>
              <w:left w:w="15" w:type="dxa"/>
              <w:bottom w:w="0" w:type="dxa"/>
              <w:right w:w="15" w:type="dxa"/>
            </w:tcMar>
            <w:vAlign w:val="bottom"/>
            <w:hideMark/>
          </w:tcPr>
          <w:p w14:paraId="73CBF6E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1.271</w:t>
            </w:r>
          </w:p>
        </w:tc>
        <w:tc>
          <w:tcPr>
            <w:tcW w:w="1070" w:type="pct"/>
            <w:tcBorders>
              <w:top w:val="nil"/>
              <w:left w:val="nil"/>
              <w:bottom w:val="nil"/>
              <w:right w:val="nil"/>
            </w:tcBorders>
            <w:noWrap/>
            <w:tcMar>
              <w:top w:w="15" w:type="dxa"/>
              <w:left w:w="15" w:type="dxa"/>
              <w:bottom w:w="0" w:type="dxa"/>
              <w:right w:w="15" w:type="dxa"/>
            </w:tcMar>
            <w:vAlign w:val="bottom"/>
            <w:hideMark/>
          </w:tcPr>
          <w:p w14:paraId="72CB297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1.386</w:t>
            </w:r>
          </w:p>
        </w:tc>
        <w:tc>
          <w:tcPr>
            <w:tcW w:w="1070" w:type="pct"/>
            <w:tcBorders>
              <w:top w:val="nil"/>
              <w:left w:val="nil"/>
              <w:bottom w:val="nil"/>
              <w:right w:val="nil"/>
            </w:tcBorders>
            <w:noWrap/>
            <w:tcMar>
              <w:top w:w="15" w:type="dxa"/>
              <w:left w:w="15" w:type="dxa"/>
              <w:bottom w:w="0" w:type="dxa"/>
              <w:right w:w="15" w:type="dxa"/>
            </w:tcMar>
            <w:vAlign w:val="bottom"/>
            <w:hideMark/>
          </w:tcPr>
          <w:p w14:paraId="7703CE7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1.400</w:t>
            </w:r>
          </w:p>
        </w:tc>
      </w:tr>
    </w:tbl>
    <w:p w14:paraId="11D0A1A4" w14:textId="6ADC8102" w:rsidR="00E85E3B" w:rsidRPr="002A248F" w:rsidRDefault="00EE1F09" w:rsidP="001D043E">
      <w:pPr>
        <w:pStyle w:val="NormalWeb"/>
        <w:spacing w:after="0" w:afterAutospacing="0"/>
        <w:jc w:val="center"/>
        <w:divId w:val="271595052"/>
        <w:rPr>
          <w:sz w:val="14"/>
          <w:szCs w:val="16"/>
        </w:rPr>
      </w:pPr>
      <w:r>
        <w:rPr>
          <w:sz w:val="14"/>
          <w:szCs w:val="16"/>
        </w:rPr>
        <w:t>Table</w:t>
      </w:r>
      <w:r w:rsidR="00E85E3B" w:rsidRPr="002A248F">
        <w:rPr>
          <w:sz w:val="14"/>
          <w:szCs w:val="16"/>
        </w:rPr>
        <w:t xml:space="preserve"> 3 Data: Pseudo-First Order Plots</w:t>
      </w:r>
    </w:p>
    <w:tbl>
      <w:tblPr>
        <w:tblW w:w="5000" w:type="pct"/>
        <w:tblCellMar>
          <w:left w:w="0" w:type="dxa"/>
          <w:right w:w="0" w:type="dxa"/>
        </w:tblCellMar>
        <w:tblLook w:val="04A0" w:firstRow="1" w:lastRow="0" w:firstColumn="1" w:lastColumn="0" w:noHBand="0" w:noVBand="1"/>
      </w:tblPr>
      <w:tblGrid>
        <w:gridCol w:w="1454"/>
        <w:gridCol w:w="1985"/>
        <w:gridCol w:w="1985"/>
        <w:gridCol w:w="1985"/>
        <w:gridCol w:w="1981"/>
      </w:tblGrid>
      <w:tr w:rsidR="00A101D8" w:rsidRPr="002A248F" w14:paraId="768C7329"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087D6816" w14:textId="77777777"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Time (min)</w:t>
            </w:r>
          </w:p>
        </w:tc>
        <w:tc>
          <w:tcPr>
            <w:tcW w:w="1057" w:type="pct"/>
            <w:tcBorders>
              <w:top w:val="nil"/>
              <w:left w:val="nil"/>
              <w:bottom w:val="nil"/>
              <w:right w:val="nil"/>
            </w:tcBorders>
            <w:noWrap/>
            <w:tcMar>
              <w:top w:w="15" w:type="dxa"/>
              <w:left w:w="15" w:type="dxa"/>
              <w:bottom w:w="0" w:type="dxa"/>
              <w:right w:w="15" w:type="dxa"/>
            </w:tcMar>
            <w:vAlign w:val="bottom"/>
            <w:hideMark/>
          </w:tcPr>
          <w:p w14:paraId="4E0EBC9A" w14:textId="329A8260"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ln(A</w:t>
            </w:r>
            <w:r w:rsidRPr="002A248F">
              <w:rPr>
                <w:rFonts w:ascii="Arial" w:eastAsia="Times New Roman" w:hAnsi="Arial" w:cs="Arial"/>
                <w:sz w:val="14"/>
                <w:szCs w:val="16"/>
                <w:vertAlign w:val="subscript"/>
                <w:lang w:val="en-US"/>
              </w:rPr>
              <w:t>∞</w:t>
            </w:r>
            <w:r w:rsidRPr="002A248F">
              <w:rPr>
                <w:rFonts w:ascii="Arial" w:eastAsia="Times New Roman" w:hAnsi="Arial" w:cs="Arial"/>
                <w:sz w:val="14"/>
                <w:szCs w:val="16"/>
                <w:lang w:val="en-US"/>
              </w:rPr>
              <w:t>-A</w:t>
            </w:r>
            <w:r w:rsidRPr="002A248F">
              <w:rPr>
                <w:rFonts w:ascii="Arial" w:eastAsia="Times New Roman" w:hAnsi="Arial" w:cs="Arial"/>
                <w:sz w:val="14"/>
                <w:szCs w:val="16"/>
                <w:vertAlign w:val="subscript"/>
                <w:lang w:val="en-US"/>
              </w:rPr>
              <w:t>t</w:t>
            </w:r>
            <w:r w:rsidRPr="002A248F">
              <w:rPr>
                <w:rFonts w:ascii="Arial" w:eastAsia="Times New Roman" w:hAnsi="Arial" w:cs="Arial"/>
                <w:sz w:val="14"/>
                <w:szCs w:val="16"/>
                <w:lang w:val="en-US"/>
              </w:rPr>
              <w:t>) [30°C]</w:t>
            </w:r>
          </w:p>
        </w:tc>
        <w:tc>
          <w:tcPr>
            <w:tcW w:w="1057" w:type="pct"/>
            <w:tcBorders>
              <w:top w:val="nil"/>
              <w:left w:val="nil"/>
              <w:bottom w:val="nil"/>
              <w:right w:val="nil"/>
            </w:tcBorders>
            <w:noWrap/>
            <w:tcMar>
              <w:top w:w="15" w:type="dxa"/>
              <w:left w:w="15" w:type="dxa"/>
              <w:bottom w:w="0" w:type="dxa"/>
              <w:right w:w="15" w:type="dxa"/>
            </w:tcMar>
            <w:vAlign w:val="bottom"/>
            <w:hideMark/>
          </w:tcPr>
          <w:p w14:paraId="26664B05" w14:textId="718BB7E4"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ln(A</w:t>
            </w:r>
            <w:r w:rsidRPr="002A248F">
              <w:rPr>
                <w:rFonts w:ascii="Arial" w:eastAsia="Times New Roman" w:hAnsi="Arial" w:cs="Arial"/>
                <w:sz w:val="14"/>
                <w:szCs w:val="16"/>
                <w:vertAlign w:val="subscript"/>
                <w:lang w:val="en-US"/>
              </w:rPr>
              <w:t>∞</w:t>
            </w:r>
            <w:r w:rsidRPr="002A248F">
              <w:rPr>
                <w:rFonts w:ascii="Arial" w:eastAsia="Times New Roman" w:hAnsi="Arial" w:cs="Arial"/>
                <w:sz w:val="14"/>
                <w:szCs w:val="16"/>
                <w:lang w:val="en-US"/>
              </w:rPr>
              <w:t>-A</w:t>
            </w:r>
            <w:r w:rsidRPr="002A248F">
              <w:rPr>
                <w:rFonts w:ascii="Arial" w:eastAsia="Times New Roman" w:hAnsi="Arial" w:cs="Arial"/>
                <w:sz w:val="14"/>
                <w:szCs w:val="16"/>
                <w:vertAlign w:val="subscript"/>
                <w:lang w:val="en-US"/>
              </w:rPr>
              <w:t>t</w:t>
            </w:r>
            <w:r w:rsidRPr="002A248F">
              <w:rPr>
                <w:rFonts w:ascii="Arial" w:eastAsia="Times New Roman" w:hAnsi="Arial" w:cs="Arial"/>
                <w:sz w:val="14"/>
                <w:szCs w:val="16"/>
                <w:lang w:val="en-US"/>
              </w:rPr>
              <w:t>) [40°C]</w:t>
            </w:r>
          </w:p>
        </w:tc>
        <w:tc>
          <w:tcPr>
            <w:tcW w:w="1057" w:type="pct"/>
            <w:tcBorders>
              <w:top w:val="nil"/>
              <w:left w:val="nil"/>
              <w:bottom w:val="nil"/>
              <w:right w:val="nil"/>
            </w:tcBorders>
            <w:noWrap/>
            <w:tcMar>
              <w:top w:w="15" w:type="dxa"/>
              <w:left w:w="15" w:type="dxa"/>
              <w:bottom w:w="0" w:type="dxa"/>
              <w:right w:w="15" w:type="dxa"/>
            </w:tcMar>
            <w:vAlign w:val="bottom"/>
            <w:hideMark/>
          </w:tcPr>
          <w:p w14:paraId="3D58C7F2" w14:textId="4FC54512"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ln(A</w:t>
            </w:r>
            <w:r w:rsidRPr="002A248F">
              <w:rPr>
                <w:rFonts w:ascii="Arial" w:eastAsia="Times New Roman" w:hAnsi="Arial" w:cs="Arial"/>
                <w:sz w:val="14"/>
                <w:szCs w:val="16"/>
                <w:vertAlign w:val="subscript"/>
                <w:lang w:val="en-US"/>
              </w:rPr>
              <w:t>∞</w:t>
            </w:r>
            <w:r w:rsidRPr="002A248F">
              <w:rPr>
                <w:rFonts w:ascii="Arial" w:eastAsia="Times New Roman" w:hAnsi="Arial" w:cs="Arial"/>
                <w:sz w:val="14"/>
                <w:szCs w:val="16"/>
                <w:lang w:val="en-US"/>
              </w:rPr>
              <w:t>-A</w:t>
            </w:r>
            <w:r w:rsidRPr="002A248F">
              <w:rPr>
                <w:rFonts w:ascii="Arial" w:eastAsia="Times New Roman" w:hAnsi="Arial" w:cs="Arial"/>
                <w:sz w:val="14"/>
                <w:szCs w:val="16"/>
                <w:vertAlign w:val="subscript"/>
                <w:lang w:val="en-US"/>
              </w:rPr>
              <w:t>t</w:t>
            </w:r>
            <w:r w:rsidRPr="002A248F">
              <w:rPr>
                <w:rFonts w:ascii="Arial" w:eastAsia="Times New Roman" w:hAnsi="Arial" w:cs="Arial"/>
                <w:sz w:val="14"/>
                <w:szCs w:val="16"/>
                <w:lang w:val="en-US"/>
              </w:rPr>
              <w:t>) [50°C]</w:t>
            </w:r>
          </w:p>
        </w:tc>
        <w:tc>
          <w:tcPr>
            <w:tcW w:w="1057" w:type="pct"/>
            <w:tcBorders>
              <w:top w:val="nil"/>
              <w:left w:val="nil"/>
              <w:bottom w:val="nil"/>
              <w:right w:val="nil"/>
            </w:tcBorders>
            <w:noWrap/>
            <w:tcMar>
              <w:top w:w="15" w:type="dxa"/>
              <w:left w:w="15" w:type="dxa"/>
              <w:bottom w:w="0" w:type="dxa"/>
              <w:right w:w="15" w:type="dxa"/>
            </w:tcMar>
            <w:vAlign w:val="bottom"/>
            <w:hideMark/>
          </w:tcPr>
          <w:p w14:paraId="11FB738C" w14:textId="015FECC4" w:rsidR="00A101D8" w:rsidRPr="002A248F" w:rsidRDefault="00A101D8"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ln(A</w:t>
            </w:r>
            <w:r w:rsidRPr="002A248F">
              <w:rPr>
                <w:rFonts w:ascii="Arial" w:eastAsia="Times New Roman" w:hAnsi="Arial" w:cs="Arial"/>
                <w:sz w:val="14"/>
                <w:szCs w:val="16"/>
                <w:vertAlign w:val="subscript"/>
                <w:lang w:val="en-US"/>
              </w:rPr>
              <w:t>∞</w:t>
            </w:r>
            <w:r w:rsidRPr="002A248F">
              <w:rPr>
                <w:rFonts w:ascii="Arial" w:eastAsia="Times New Roman" w:hAnsi="Arial" w:cs="Arial"/>
                <w:sz w:val="14"/>
                <w:szCs w:val="16"/>
                <w:lang w:val="en-US"/>
              </w:rPr>
              <w:t>-A</w:t>
            </w:r>
            <w:r w:rsidRPr="002A248F">
              <w:rPr>
                <w:rFonts w:ascii="Arial" w:eastAsia="Times New Roman" w:hAnsi="Arial" w:cs="Arial"/>
                <w:sz w:val="14"/>
                <w:szCs w:val="16"/>
                <w:vertAlign w:val="subscript"/>
                <w:lang w:val="en-US"/>
              </w:rPr>
              <w:t>t</w:t>
            </w:r>
            <w:r w:rsidRPr="002A248F">
              <w:rPr>
                <w:rFonts w:ascii="Arial" w:eastAsia="Times New Roman" w:hAnsi="Arial" w:cs="Arial"/>
                <w:sz w:val="14"/>
                <w:szCs w:val="16"/>
                <w:lang w:val="en-US"/>
              </w:rPr>
              <w:t>) [60°C]</w:t>
            </w:r>
          </w:p>
        </w:tc>
      </w:tr>
      <w:tr w:rsidR="00A101D8" w:rsidRPr="002A248F" w14:paraId="71D57088"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052AD9A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w:t>
            </w:r>
          </w:p>
        </w:tc>
        <w:tc>
          <w:tcPr>
            <w:tcW w:w="1057" w:type="pct"/>
            <w:tcBorders>
              <w:top w:val="nil"/>
              <w:left w:val="nil"/>
              <w:bottom w:val="nil"/>
              <w:right w:val="nil"/>
            </w:tcBorders>
            <w:noWrap/>
            <w:tcMar>
              <w:top w:w="15" w:type="dxa"/>
              <w:left w:w="15" w:type="dxa"/>
              <w:bottom w:w="0" w:type="dxa"/>
              <w:right w:w="15" w:type="dxa"/>
            </w:tcMar>
            <w:vAlign w:val="bottom"/>
            <w:hideMark/>
          </w:tcPr>
          <w:p w14:paraId="57ED2CA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0.336</w:t>
            </w:r>
          </w:p>
        </w:tc>
        <w:tc>
          <w:tcPr>
            <w:tcW w:w="1057" w:type="pct"/>
            <w:tcBorders>
              <w:top w:val="nil"/>
              <w:left w:val="nil"/>
              <w:bottom w:val="nil"/>
              <w:right w:val="nil"/>
            </w:tcBorders>
            <w:noWrap/>
            <w:tcMar>
              <w:top w:w="15" w:type="dxa"/>
              <w:left w:w="15" w:type="dxa"/>
              <w:bottom w:w="0" w:type="dxa"/>
              <w:right w:w="15" w:type="dxa"/>
            </w:tcMar>
            <w:vAlign w:val="bottom"/>
            <w:hideMark/>
          </w:tcPr>
          <w:p w14:paraId="40D6804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0.336</w:t>
            </w:r>
          </w:p>
        </w:tc>
        <w:tc>
          <w:tcPr>
            <w:tcW w:w="1057" w:type="pct"/>
            <w:tcBorders>
              <w:top w:val="nil"/>
              <w:left w:val="nil"/>
              <w:bottom w:val="nil"/>
              <w:right w:val="nil"/>
            </w:tcBorders>
            <w:noWrap/>
            <w:tcMar>
              <w:top w:w="15" w:type="dxa"/>
              <w:left w:w="15" w:type="dxa"/>
              <w:bottom w:w="0" w:type="dxa"/>
              <w:right w:w="15" w:type="dxa"/>
            </w:tcMar>
            <w:vAlign w:val="bottom"/>
            <w:hideMark/>
          </w:tcPr>
          <w:p w14:paraId="0003B81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0.336</w:t>
            </w:r>
          </w:p>
        </w:tc>
        <w:tc>
          <w:tcPr>
            <w:tcW w:w="1057" w:type="pct"/>
            <w:tcBorders>
              <w:top w:val="nil"/>
              <w:left w:val="nil"/>
              <w:bottom w:val="nil"/>
              <w:right w:val="nil"/>
            </w:tcBorders>
            <w:noWrap/>
            <w:tcMar>
              <w:top w:w="15" w:type="dxa"/>
              <w:left w:w="15" w:type="dxa"/>
              <w:bottom w:w="0" w:type="dxa"/>
              <w:right w:w="15" w:type="dxa"/>
            </w:tcMar>
            <w:vAlign w:val="bottom"/>
            <w:hideMark/>
          </w:tcPr>
          <w:p w14:paraId="29BA798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0.336</w:t>
            </w:r>
          </w:p>
        </w:tc>
      </w:tr>
      <w:tr w:rsidR="00A101D8" w:rsidRPr="002A248F" w14:paraId="7381BF79"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244B116C"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w:t>
            </w:r>
          </w:p>
        </w:tc>
        <w:tc>
          <w:tcPr>
            <w:tcW w:w="1057" w:type="pct"/>
            <w:tcBorders>
              <w:top w:val="nil"/>
              <w:left w:val="nil"/>
              <w:bottom w:val="nil"/>
              <w:right w:val="nil"/>
            </w:tcBorders>
            <w:noWrap/>
            <w:tcMar>
              <w:top w:w="15" w:type="dxa"/>
              <w:left w:w="15" w:type="dxa"/>
              <w:bottom w:w="0" w:type="dxa"/>
              <w:right w:w="15" w:type="dxa"/>
            </w:tcMar>
            <w:vAlign w:val="bottom"/>
            <w:hideMark/>
          </w:tcPr>
          <w:p w14:paraId="6EE82FA1"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0.237</w:t>
            </w:r>
          </w:p>
        </w:tc>
        <w:tc>
          <w:tcPr>
            <w:tcW w:w="1057" w:type="pct"/>
            <w:tcBorders>
              <w:top w:val="nil"/>
              <w:left w:val="nil"/>
              <w:bottom w:val="nil"/>
              <w:right w:val="nil"/>
            </w:tcBorders>
            <w:noWrap/>
            <w:tcMar>
              <w:top w:w="15" w:type="dxa"/>
              <w:left w:w="15" w:type="dxa"/>
              <w:bottom w:w="0" w:type="dxa"/>
              <w:right w:w="15" w:type="dxa"/>
            </w:tcMar>
            <w:vAlign w:val="bottom"/>
            <w:hideMark/>
          </w:tcPr>
          <w:p w14:paraId="5C7813B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0.135</w:t>
            </w:r>
          </w:p>
        </w:tc>
        <w:tc>
          <w:tcPr>
            <w:tcW w:w="1057" w:type="pct"/>
            <w:tcBorders>
              <w:top w:val="nil"/>
              <w:left w:val="nil"/>
              <w:bottom w:val="nil"/>
              <w:right w:val="nil"/>
            </w:tcBorders>
            <w:noWrap/>
            <w:tcMar>
              <w:top w:w="15" w:type="dxa"/>
              <w:left w:w="15" w:type="dxa"/>
              <w:bottom w:w="0" w:type="dxa"/>
              <w:right w:w="15" w:type="dxa"/>
            </w:tcMar>
            <w:vAlign w:val="bottom"/>
            <w:hideMark/>
          </w:tcPr>
          <w:p w14:paraId="05987633"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-0.048</w:t>
            </w:r>
          </w:p>
        </w:tc>
        <w:tc>
          <w:tcPr>
            <w:tcW w:w="1057" w:type="pct"/>
            <w:tcBorders>
              <w:top w:val="nil"/>
              <w:left w:val="nil"/>
              <w:bottom w:val="nil"/>
              <w:right w:val="nil"/>
            </w:tcBorders>
            <w:noWrap/>
            <w:tcMar>
              <w:top w:w="15" w:type="dxa"/>
              <w:left w:w="15" w:type="dxa"/>
              <w:bottom w:w="0" w:type="dxa"/>
              <w:right w:w="15" w:type="dxa"/>
            </w:tcMar>
            <w:vAlign w:val="bottom"/>
            <w:hideMark/>
          </w:tcPr>
          <w:p w14:paraId="44FB308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-0.384</w:t>
            </w:r>
          </w:p>
        </w:tc>
      </w:tr>
      <w:tr w:rsidR="00A101D8" w:rsidRPr="002A248F" w14:paraId="4A407AF9"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539B7EA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w:t>
            </w:r>
          </w:p>
        </w:tc>
        <w:tc>
          <w:tcPr>
            <w:tcW w:w="1057" w:type="pct"/>
            <w:tcBorders>
              <w:top w:val="nil"/>
              <w:left w:val="nil"/>
              <w:bottom w:val="nil"/>
              <w:right w:val="nil"/>
            </w:tcBorders>
            <w:noWrap/>
            <w:tcMar>
              <w:top w:w="15" w:type="dxa"/>
              <w:left w:w="15" w:type="dxa"/>
              <w:bottom w:w="0" w:type="dxa"/>
              <w:right w:w="15" w:type="dxa"/>
            </w:tcMar>
            <w:vAlign w:val="bottom"/>
            <w:hideMark/>
          </w:tcPr>
          <w:p w14:paraId="0F5632D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0.133</w:t>
            </w:r>
          </w:p>
        </w:tc>
        <w:tc>
          <w:tcPr>
            <w:tcW w:w="1057" w:type="pct"/>
            <w:tcBorders>
              <w:top w:val="nil"/>
              <w:left w:val="nil"/>
              <w:bottom w:val="nil"/>
              <w:right w:val="nil"/>
            </w:tcBorders>
            <w:noWrap/>
            <w:tcMar>
              <w:top w:w="15" w:type="dxa"/>
              <w:left w:w="15" w:type="dxa"/>
              <w:bottom w:w="0" w:type="dxa"/>
              <w:right w:w="15" w:type="dxa"/>
            </w:tcMar>
            <w:vAlign w:val="bottom"/>
            <w:hideMark/>
          </w:tcPr>
          <w:p w14:paraId="78E86293"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-0.066</w:t>
            </w:r>
          </w:p>
        </w:tc>
        <w:tc>
          <w:tcPr>
            <w:tcW w:w="1057" w:type="pct"/>
            <w:tcBorders>
              <w:top w:val="nil"/>
              <w:left w:val="nil"/>
              <w:bottom w:val="nil"/>
              <w:right w:val="nil"/>
            </w:tcBorders>
            <w:noWrap/>
            <w:tcMar>
              <w:top w:w="15" w:type="dxa"/>
              <w:left w:w="15" w:type="dxa"/>
              <w:bottom w:w="0" w:type="dxa"/>
              <w:right w:w="15" w:type="dxa"/>
            </w:tcMar>
            <w:vAlign w:val="bottom"/>
            <w:hideMark/>
          </w:tcPr>
          <w:p w14:paraId="061A9BC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-0.442</w:t>
            </w:r>
          </w:p>
        </w:tc>
        <w:tc>
          <w:tcPr>
            <w:tcW w:w="1057" w:type="pct"/>
            <w:tcBorders>
              <w:top w:val="nil"/>
              <w:left w:val="nil"/>
              <w:bottom w:val="nil"/>
              <w:right w:val="nil"/>
            </w:tcBorders>
            <w:noWrap/>
            <w:tcMar>
              <w:top w:w="15" w:type="dxa"/>
              <w:left w:w="15" w:type="dxa"/>
              <w:bottom w:w="0" w:type="dxa"/>
              <w:right w:w="15" w:type="dxa"/>
            </w:tcMar>
            <w:vAlign w:val="bottom"/>
            <w:hideMark/>
          </w:tcPr>
          <w:p w14:paraId="45D6532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-1.097</w:t>
            </w:r>
          </w:p>
        </w:tc>
      </w:tr>
      <w:tr w:rsidR="00A101D8" w:rsidRPr="002A248F" w14:paraId="0FC9D79A"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26BA75B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15.</w:t>
            </w:r>
          </w:p>
        </w:tc>
        <w:tc>
          <w:tcPr>
            <w:tcW w:w="1057" w:type="pct"/>
            <w:tcBorders>
              <w:top w:val="nil"/>
              <w:left w:val="nil"/>
              <w:bottom w:val="nil"/>
              <w:right w:val="nil"/>
            </w:tcBorders>
            <w:noWrap/>
            <w:tcMar>
              <w:top w:w="15" w:type="dxa"/>
              <w:left w:w="15" w:type="dxa"/>
              <w:bottom w:w="0" w:type="dxa"/>
              <w:right w:w="15" w:type="dxa"/>
            </w:tcMar>
            <w:vAlign w:val="bottom"/>
            <w:hideMark/>
          </w:tcPr>
          <w:p w14:paraId="5A424CA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0.039</w:t>
            </w:r>
          </w:p>
        </w:tc>
        <w:tc>
          <w:tcPr>
            <w:tcW w:w="1057" w:type="pct"/>
            <w:tcBorders>
              <w:top w:val="nil"/>
              <w:left w:val="nil"/>
              <w:bottom w:val="nil"/>
              <w:right w:val="nil"/>
            </w:tcBorders>
            <w:noWrap/>
            <w:tcMar>
              <w:top w:w="15" w:type="dxa"/>
              <w:left w:w="15" w:type="dxa"/>
              <w:bottom w:w="0" w:type="dxa"/>
              <w:right w:w="15" w:type="dxa"/>
            </w:tcMar>
            <w:vAlign w:val="bottom"/>
            <w:hideMark/>
          </w:tcPr>
          <w:p w14:paraId="3C83DA2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-0.268</w:t>
            </w:r>
          </w:p>
        </w:tc>
        <w:tc>
          <w:tcPr>
            <w:tcW w:w="1057" w:type="pct"/>
            <w:tcBorders>
              <w:top w:val="nil"/>
              <w:left w:val="nil"/>
              <w:bottom w:val="nil"/>
              <w:right w:val="nil"/>
            </w:tcBorders>
            <w:noWrap/>
            <w:tcMar>
              <w:top w:w="15" w:type="dxa"/>
              <w:left w:w="15" w:type="dxa"/>
              <w:bottom w:w="0" w:type="dxa"/>
              <w:right w:w="15" w:type="dxa"/>
            </w:tcMar>
            <w:vAlign w:val="bottom"/>
            <w:hideMark/>
          </w:tcPr>
          <w:p w14:paraId="2955773E"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-0.819</w:t>
            </w:r>
          </w:p>
        </w:tc>
        <w:tc>
          <w:tcPr>
            <w:tcW w:w="1057" w:type="pct"/>
            <w:tcBorders>
              <w:top w:val="nil"/>
              <w:left w:val="nil"/>
              <w:bottom w:val="nil"/>
              <w:right w:val="nil"/>
            </w:tcBorders>
            <w:noWrap/>
            <w:tcMar>
              <w:top w:w="15" w:type="dxa"/>
              <w:left w:w="15" w:type="dxa"/>
              <w:bottom w:w="0" w:type="dxa"/>
              <w:right w:w="15" w:type="dxa"/>
            </w:tcMar>
            <w:vAlign w:val="bottom"/>
            <w:hideMark/>
          </w:tcPr>
          <w:p w14:paraId="4ECC544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-1.808</w:t>
            </w:r>
          </w:p>
        </w:tc>
      </w:tr>
      <w:tr w:rsidR="00A101D8" w:rsidRPr="002A248F" w14:paraId="1091BA7E"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4D60DE13"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20.</w:t>
            </w:r>
          </w:p>
        </w:tc>
        <w:tc>
          <w:tcPr>
            <w:tcW w:w="1057" w:type="pct"/>
            <w:tcBorders>
              <w:top w:val="nil"/>
              <w:left w:val="nil"/>
              <w:bottom w:val="nil"/>
              <w:right w:val="nil"/>
            </w:tcBorders>
            <w:noWrap/>
            <w:tcMar>
              <w:top w:w="15" w:type="dxa"/>
              <w:left w:w="15" w:type="dxa"/>
              <w:bottom w:w="0" w:type="dxa"/>
              <w:right w:w="15" w:type="dxa"/>
            </w:tcMar>
            <w:vAlign w:val="bottom"/>
            <w:hideMark/>
          </w:tcPr>
          <w:p w14:paraId="18346269"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-0.065</w:t>
            </w:r>
          </w:p>
        </w:tc>
        <w:tc>
          <w:tcPr>
            <w:tcW w:w="1057" w:type="pct"/>
            <w:tcBorders>
              <w:top w:val="nil"/>
              <w:left w:val="nil"/>
              <w:bottom w:val="nil"/>
              <w:right w:val="nil"/>
            </w:tcBorders>
            <w:noWrap/>
            <w:tcMar>
              <w:top w:w="15" w:type="dxa"/>
              <w:left w:w="15" w:type="dxa"/>
              <w:bottom w:w="0" w:type="dxa"/>
              <w:right w:w="15" w:type="dxa"/>
            </w:tcMar>
            <w:vAlign w:val="bottom"/>
            <w:hideMark/>
          </w:tcPr>
          <w:p w14:paraId="2CB0120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-0.465</w:t>
            </w:r>
          </w:p>
        </w:tc>
        <w:tc>
          <w:tcPr>
            <w:tcW w:w="1057" w:type="pct"/>
            <w:tcBorders>
              <w:top w:val="nil"/>
              <w:left w:val="nil"/>
              <w:bottom w:val="nil"/>
              <w:right w:val="nil"/>
            </w:tcBorders>
            <w:noWrap/>
            <w:tcMar>
              <w:top w:w="15" w:type="dxa"/>
              <w:left w:w="15" w:type="dxa"/>
              <w:bottom w:w="0" w:type="dxa"/>
              <w:right w:w="15" w:type="dxa"/>
            </w:tcMar>
            <w:vAlign w:val="bottom"/>
            <w:hideMark/>
          </w:tcPr>
          <w:p w14:paraId="79AFDBF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-1.214</w:t>
            </w:r>
          </w:p>
        </w:tc>
        <w:tc>
          <w:tcPr>
            <w:tcW w:w="1057" w:type="pct"/>
            <w:tcBorders>
              <w:top w:val="nil"/>
              <w:left w:val="nil"/>
              <w:bottom w:val="nil"/>
              <w:right w:val="nil"/>
            </w:tcBorders>
            <w:noWrap/>
            <w:tcMar>
              <w:top w:w="15" w:type="dxa"/>
              <w:left w:w="15" w:type="dxa"/>
              <w:bottom w:w="0" w:type="dxa"/>
              <w:right w:w="15" w:type="dxa"/>
            </w:tcMar>
            <w:vAlign w:val="bottom"/>
            <w:hideMark/>
          </w:tcPr>
          <w:p w14:paraId="6A95D17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-2.513</w:t>
            </w:r>
          </w:p>
        </w:tc>
      </w:tr>
      <w:tr w:rsidR="00A101D8" w:rsidRPr="002A248F" w14:paraId="391CA4B7"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41AC3BB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25.</w:t>
            </w:r>
          </w:p>
        </w:tc>
        <w:tc>
          <w:tcPr>
            <w:tcW w:w="1057" w:type="pct"/>
            <w:tcBorders>
              <w:top w:val="nil"/>
              <w:left w:val="nil"/>
              <w:bottom w:val="nil"/>
              <w:right w:val="nil"/>
            </w:tcBorders>
            <w:noWrap/>
            <w:tcMar>
              <w:top w:w="15" w:type="dxa"/>
              <w:left w:w="15" w:type="dxa"/>
              <w:bottom w:w="0" w:type="dxa"/>
              <w:right w:w="15" w:type="dxa"/>
            </w:tcMar>
            <w:vAlign w:val="bottom"/>
            <w:hideMark/>
          </w:tcPr>
          <w:p w14:paraId="077B509F"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-0.163</w:t>
            </w:r>
          </w:p>
        </w:tc>
        <w:tc>
          <w:tcPr>
            <w:tcW w:w="1057" w:type="pct"/>
            <w:tcBorders>
              <w:top w:val="nil"/>
              <w:left w:val="nil"/>
              <w:bottom w:val="nil"/>
              <w:right w:val="nil"/>
            </w:tcBorders>
            <w:noWrap/>
            <w:tcMar>
              <w:top w:w="15" w:type="dxa"/>
              <w:left w:w="15" w:type="dxa"/>
              <w:bottom w:w="0" w:type="dxa"/>
              <w:right w:w="15" w:type="dxa"/>
            </w:tcMar>
            <w:vAlign w:val="bottom"/>
            <w:hideMark/>
          </w:tcPr>
          <w:p w14:paraId="20D08A4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-0.675</w:t>
            </w:r>
          </w:p>
        </w:tc>
        <w:tc>
          <w:tcPr>
            <w:tcW w:w="1057" w:type="pct"/>
            <w:tcBorders>
              <w:top w:val="nil"/>
              <w:left w:val="nil"/>
              <w:bottom w:val="nil"/>
              <w:right w:val="nil"/>
            </w:tcBorders>
            <w:noWrap/>
            <w:tcMar>
              <w:top w:w="15" w:type="dxa"/>
              <w:left w:w="15" w:type="dxa"/>
              <w:bottom w:w="0" w:type="dxa"/>
              <w:right w:w="15" w:type="dxa"/>
            </w:tcMar>
            <w:vAlign w:val="bottom"/>
            <w:hideMark/>
          </w:tcPr>
          <w:p w14:paraId="7B55873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-1.604</w:t>
            </w:r>
          </w:p>
        </w:tc>
        <w:tc>
          <w:tcPr>
            <w:tcW w:w="1057" w:type="pct"/>
            <w:tcBorders>
              <w:top w:val="nil"/>
              <w:left w:val="nil"/>
              <w:bottom w:val="nil"/>
              <w:right w:val="nil"/>
            </w:tcBorders>
            <w:noWrap/>
            <w:tcMar>
              <w:top w:w="15" w:type="dxa"/>
              <w:left w:w="15" w:type="dxa"/>
              <w:bottom w:w="0" w:type="dxa"/>
              <w:right w:w="15" w:type="dxa"/>
            </w:tcMar>
            <w:vAlign w:val="bottom"/>
            <w:hideMark/>
          </w:tcPr>
          <w:p w14:paraId="1B30C5B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-3.270</w:t>
            </w:r>
          </w:p>
        </w:tc>
      </w:tr>
      <w:tr w:rsidR="00A101D8" w:rsidRPr="002A248F" w14:paraId="549A3737"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1AE7C7A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30.</w:t>
            </w:r>
          </w:p>
        </w:tc>
        <w:tc>
          <w:tcPr>
            <w:tcW w:w="1057" w:type="pct"/>
            <w:tcBorders>
              <w:top w:val="nil"/>
              <w:left w:val="nil"/>
              <w:bottom w:val="nil"/>
              <w:right w:val="nil"/>
            </w:tcBorders>
            <w:noWrap/>
            <w:tcMar>
              <w:top w:w="15" w:type="dxa"/>
              <w:left w:w="15" w:type="dxa"/>
              <w:bottom w:w="0" w:type="dxa"/>
              <w:right w:w="15" w:type="dxa"/>
            </w:tcMar>
            <w:vAlign w:val="bottom"/>
            <w:hideMark/>
          </w:tcPr>
          <w:p w14:paraId="48E38DAA"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-0.265</w:t>
            </w:r>
          </w:p>
        </w:tc>
        <w:tc>
          <w:tcPr>
            <w:tcW w:w="1057" w:type="pct"/>
            <w:tcBorders>
              <w:top w:val="nil"/>
              <w:left w:val="nil"/>
              <w:bottom w:val="nil"/>
              <w:right w:val="nil"/>
            </w:tcBorders>
            <w:noWrap/>
            <w:tcMar>
              <w:top w:w="15" w:type="dxa"/>
              <w:left w:w="15" w:type="dxa"/>
              <w:bottom w:w="0" w:type="dxa"/>
              <w:right w:w="15" w:type="dxa"/>
            </w:tcMar>
            <w:vAlign w:val="bottom"/>
            <w:hideMark/>
          </w:tcPr>
          <w:p w14:paraId="5CBE827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-0.860</w:t>
            </w:r>
          </w:p>
        </w:tc>
        <w:tc>
          <w:tcPr>
            <w:tcW w:w="1057" w:type="pct"/>
            <w:tcBorders>
              <w:top w:val="nil"/>
              <w:left w:val="nil"/>
              <w:bottom w:val="nil"/>
              <w:right w:val="nil"/>
            </w:tcBorders>
            <w:noWrap/>
            <w:tcMar>
              <w:top w:w="15" w:type="dxa"/>
              <w:left w:w="15" w:type="dxa"/>
              <w:bottom w:w="0" w:type="dxa"/>
              <w:right w:w="15" w:type="dxa"/>
            </w:tcMar>
            <w:vAlign w:val="bottom"/>
            <w:hideMark/>
          </w:tcPr>
          <w:p w14:paraId="13A08CB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-1.973</w:t>
            </w:r>
          </w:p>
        </w:tc>
        <w:tc>
          <w:tcPr>
            <w:tcW w:w="1057" w:type="pct"/>
            <w:tcBorders>
              <w:top w:val="nil"/>
              <w:left w:val="nil"/>
              <w:bottom w:val="nil"/>
              <w:right w:val="nil"/>
            </w:tcBorders>
            <w:noWrap/>
            <w:tcMar>
              <w:top w:w="15" w:type="dxa"/>
              <w:left w:w="15" w:type="dxa"/>
              <w:bottom w:w="0" w:type="dxa"/>
              <w:right w:w="15" w:type="dxa"/>
            </w:tcMar>
            <w:vAlign w:val="bottom"/>
            <w:hideMark/>
          </w:tcPr>
          <w:p w14:paraId="11430EC4"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-4.075</w:t>
            </w:r>
          </w:p>
        </w:tc>
      </w:tr>
      <w:tr w:rsidR="00A101D8" w:rsidRPr="002A248F" w14:paraId="400DFF34"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3B4513CB"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40.</w:t>
            </w:r>
          </w:p>
        </w:tc>
        <w:tc>
          <w:tcPr>
            <w:tcW w:w="1057" w:type="pct"/>
            <w:tcBorders>
              <w:top w:val="nil"/>
              <w:left w:val="nil"/>
              <w:bottom w:val="nil"/>
              <w:right w:val="nil"/>
            </w:tcBorders>
            <w:noWrap/>
            <w:tcMar>
              <w:top w:w="15" w:type="dxa"/>
              <w:left w:w="15" w:type="dxa"/>
              <w:bottom w:w="0" w:type="dxa"/>
              <w:right w:w="15" w:type="dxa"/>
            </w:tcMar>
            <w:vAlign w:val="bottom"/>
            <w:hideMark/>
          </w:tcPr>
          <w:p w14:paraId="64153247"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-0.468</w:t>
            </w:r>
          </w:p>
        </w:tc>
        <w:tc>
          <w:tcPr>
            <w:tcW w:w="1057" w:type="pct"/>
            <w:tcBorders>
              <w:top w:val="nil"/>
              <w:left w:val="nil"/>
              <w:bottom w:val="nil"/>
              <w:right w:val="nil"/>
            </w:tcBorders>
            <w:noWrap/>
            <w:tcMar>
              <w:top w:w="15" w:type="dxa"/>
              <w:left w:w="15" w:type="dxa"/>
              <w:bottom w:w="0" w:type="dxa"/>
              <w:right w:w="15" w:type="dxa"/>
            </w:tcMar>
            <w:vAlign w:val="bottom"/>
            <w:hideMark/>
          </w:tcPr>
          <w:p w14:paraId="1C36BE5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-1.262</w:t>
            </w:r>
          </w:p>
        </w:tc>
        <w:tc>
          <w:tcPr>
            <w:tcW w:w="1057" w:type="pct"/>
            <w:tcBorders>
              <w:top w:val="nil"/>
              <w:left w:val="nil"/>
              <w:bottom w:val="nil"/>
              <w:right w:val="nil"/>
            </w:tcBorders>
            <w:noWrap/>
            <w:tcMar>
              <w:top w:w="15" w:type="dxa"/>
              <w:left w:w="15" w:type="dxa"/>
              <w:bottom w:w="0" w:type="dxa"/>
              <w:right w:w="15" w:type="dxa"/>
            </w:tcMar>
            <w:vAlign w:val="bottom"/>
            <w:hideMark/>
          </w:tcPr>
          <w:p w14:paraId="7B30BC56"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-2.781</w:t>
            </w:r>
          </w:p>
        </w:tc>
        <w:tc>
          <w:tcPr>
            <w:tcW w:w="1057" w:type="pct"/>
            <w:tcBorders>
              <w:top w:val="nil"/>
              <w:left w:val="nil"/>
              <w:bottom w:val="nil"/>
              <w:right w:val="nil"/>
            </w:tcBorders>
            <w:noWrap/>
            <w:tcMar>
              <w:top w:w="15" w:type="dxa"/>
              <w:left w:w="15" w:type="dxa"/>
              <w:bottom w:w="0" w:type="dxa"/>
              <w:right w:w="15" w:type="dxa"/>
            </w:tcMar>
            <w:vAlign w:val="bottom"/>
            <w:hideMark/>
          </w:tcPr>
          <w:p w14:paraId="17B619F1"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-5.298</w:t>
            </w:r>
          </w:p>
        </w:tc>
      </w:tr>
      <w:tr w:rsidR="00A101D8" w:rsidRPr="002A248F" w14:paraId="5C3FB307" w14:textId="77777777" w:rsidTr="001D043E">
        <w:trPr>
          <w:divId w:val="271595052"/>
        </w:trPr>
        <w:tc>
          <w:tcPr>
            <w:tcW w:w="774" w:type="pct"/>
            <w:tcBorders>
              <w:top w:val="nil"/>
              <w:left w:val="nil"/>
              <w:bottom w:val="nil"/>
              <w:right w:val="nil"/>
            </w:tcBorders>
            <w:noWrap/>
            <w:tcMar>
              <w:top w:w="15" w:type="dxa"/>
              <w:left w:w="15" w:type="dxa"/>
              <w:bottom w:w="0" w:type="dxa"/>
              <w:right w:w="15" w:type="dxa"/>
            </w:tcMar>
            <w:vAlign w:val="bottom"/>
            <w:hideMark/>
          </w:tcPr>
          <w:p w14:paraId="740440C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50.</w:t>
            </w:r>
          </w:p>
        </w:tc>
        <w:tc>
          <w:tcPr>
            <w:tcW w:w="1057" w:type="pct"/>
            <w:tcBorders>
              <w:top w:val="nil"/>
              <w:left w:val="nil"/>
              <w:bottom w:val="nil"/>
              <w:right w:val="nil"/>
            </w:tcBorders>
            <w:noWrap/>
            <w:tcMar>
              <w:top w:w="15" w:type="dxa"/>
              <w:left w:w="15" w:type="dxa"/>
              <w:bottom w:w="0" w:type="dxa"/>
              <w:right w:w="15" w:type="dxa"/>
            </w:tcMar>
            <w:vAlign w:val="bottom"/>
            <w:hideMark/>
          </w:tcPr>
          <w:p w14:paraId="62354EA2"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-0.671</w:t>
            </w:r>
          </w:p>
        </w:tc>
        <w:tc>
          <w:tcPr>
            <w:tcW w:w="1057" w:type="pct"/>
            <w:tcBorders>
              <w:top w:val="nil"/>
              <w:left w:val="nil"/>
              <w:bottom w:val="nil"/>
              <w:right w:val="nil"/>
            </w:tcBorders>
            <w:noWrap/>
            <w:tcMar>
              <w:top w:w="15" w:type="dxa"/>
              <w:left w:w="15" w:type="dxa"/>
              <w:bottom w:w="0" w:type="dxa"/>
              <w:right w:w="15" w:type="dxa"/>
            </w:tcMar>
            <w:vAlign w:val="bottom"/>
            <w:hideMark/>
          </w:tcPr>
          <w:p w14:paraId="321675F1"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-1.671</w:t>
            </w:r>
          </w:p>
        </w:tc>
        <w:tc>
          <w:tcPr>
            <w:tcW w:w="1057" w:type="pct"/>
            <w:tcBorders>
              <w:top w:val="nil"/>
              <w:left w:val="nil"/>
              <w:bottom w:val="nil"/>
              <w:right w:val="nil"/>
            </w:tcBorders>
            <w:noWrap/>
            <w:tcMar>
              <w:top w:w="15" w:type="dxa"/>
              <w:left w:w="15" w:type="dxa"/>
              <w:bottom w:w="0" w:type="dxa"/>
              <w:right w:w="15" w:type="dxa"/>
            </w:tcMar>
            <w:vAlign w:val="bottom"/>
            <w:hideMark/>
          </w:tcPr>
          <w:p w14:paraId="22B77745"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-3.442</w:t>
            </w:r>
          </w:p>
        </w:tc>
        <w:tc>
          <w:tcPr>
            <w:tcW w:w="1057" w:type="pct"/>
            <w:tcBorders>
              <w:top w:val="nil"/>
              <w:left w:val="nil"/>
              <w:bottom w:val="nil"/>
              <w:right w:val="nil"/>
            </w:tcBorders>
            <w:noWrap/>
            <w:tcMar>
              <w:top w:w="15" w:type="dxa"/>
              <w:left w:w="15" w:type="dxa"/>
              <w:bottom w:w="0" w:type="dxa"/>
              <w:right w:w="15" w:type="dxa"/>
            </w:tcMar>
            <w:vAlign w:val="bottom"/>
            <w:hideMark/>
          </w:tcPr>
          <w:p w14:paraId="736747F0" w14:textId="77777777" w:rsidR="00A101D8" w:rsidRPr="002A248F" w:rsidRDefault="00A101D8"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-5.809</w:t>
            </w:r>
          </w:p>
        </w:tc>
      </w:tr>
    </w:tbl>
    <w:p w14:paraId="706E9C72" w14:textId="4EA6E099" w:rsidR="00E85E3B" w:rsidRPr="002A248F" w:rsidRDefault="00EE1F09" w:rsidP="001D043E">
      <w:pPr>
        <w:pStyle w:val="NormalWeb"/>
        <w:spacing w:after="0" w:afterAutospacing="0"/>
        <w:jc w:val="center"/>
        <w:divId w:val="271595052"/>
        <w:rPr>
          <w:sz w:val="14"/>
          <w:szCs w:val="16"/>
        </w:rPr>
      </w:pPr>
      <w:r>
        <w:rPr>
          <w:sz w:val="14"/>
          <w:szCs w:val="16"/>
        </w:rPr>
        <w:t>Table</w:t>
      </w:r>
      <w:r w:rsidR="00E85E3B" w:rsidRPr="002A248F">
        <w:rPr>
          <w:sz w:val="14"/>
          <w:szCs w:val="16"/>
        </w:rPr>
        <w:t xml:space="preserve"> 4 Data: Arrhenius / Eyring</w:t>
      </w:r>
    </w:p>
    <w:tbl>
      <w:tblPr>
        <w:tblW w:w="5000" w:type="pct"/>
        <w:tblCellMar>
          <w:left w:w="0" w:type="dxa"/>
          <w:right w:w="0" w:type="dxa"/>
        </w:tblCellMar>
        <w:tblLook w:val="04A0" w:firstRow="1" w:lastRow="0" w:firstColumn="1" w:lastColumn="0" w:noHBand="0" w:noVBand="1"/>
      </w:tblPr>
      <w:tblGrid>
        <w:gridCol w:w="2708"/>
        <w:gridCol w:w="1987"/>
        <w:gridCol w:w="2708"/>
        <w:gridCol w:w="1987"/>
      </w:tblGrid>
      <w:tr w:rsidR="000C3E93" w:rsidRPr="002A248F" w14:paraId="5077FBAD" w14:textId="77777777" w:rsidTr="001D043E">
        <w:trPr>
          <w:divId w:val="271595052"/>
        </w:trPr>
        <w:tc>
          <w:tcPr>
            <w:tcW w:w="1442" w:type="pct"/>
            <w:tcBorders>
              <w:top w:val="nil"/>
              <w:left w:val="nil"/>
              <w:bottom w:val="nil"/>
              <w:right w:val="nil"/>
            </w:tcBorders>
            <w:noWrap/>
            <w:tcMar>
              <w:top w:w="15" w:type="dxa"/>
              <w:left w:w="15" w:type="dxa"/>
              <w:bottom w:w="0" w:type="dxa"/>
              <w:right w:w="15" w:type="dxa"/>
            </w:tcMar>
            <w:vAlign w:val="bottom"/>
            <w:hideMark/>
          </w:tcPr>
          <w:p w14:paraId="30919BD1" w14:textId="77777777" w:rsidR="000C3E93" w:rsidRPr="002A248F" w:rsidRDefault="000C3E93"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1000/T (K</w:t>
            </w:r>
            <w:proofErr w:type="gramStart"/>
            <w:r w:rsidRPr="002A248F">
              <w:rPr>
                <w:rFonts w:ascii="Arial" w:eastAsia="Times New Roman" w:hAnsi="Arial" w:cs="Arial"/>
                <w:sz w:val="14"/>
                <w:szCs w:val="16"/>
                <w:lang w:val="en-US"/>
              </w:rPr>
              <w:t>^{</w:t>
            </w:r>
            <w:proofErr w:type="gramEnd"/>
            <w:r w:rsidRPr="002A248F">
              <w:rPr>
                <w:rFonts w:ascii="Arial" w:eastAsia="Times New Roman" w:hAnsi="Arial" w:cs="Arial"/>
                <w:sz w:val="14"/>
                <w:szCs w:val="16"/>
                <w:lang w:val="en-US"/>
              </w:rPr>
              <w:t>-1})</w:t>
            </w:r>
          </w:p>
        </w:tc>
        <w:tc>
          <w:tcPr>
            <w:tcW w:w="1058" w:type="pct"/>
            <w:tcBorders>
              <w:top w:val="nil"/>
              <w:left w:val="nil"/>
              <w:bottom w:val="nil"/>
              <w:right w:val="nil"/>
            </w:tcBorders>
            <w:noWrap/>
            <w:tcMar>
              <w:top w:w="15" w:type="dxa"/>
              <w:left w:w="15" w:type="dxa"/>
              <w:bottom w:w="0" w:type="dxa"/>
              <w:right w:w="15" w:type="dxa"/>
            </w:tcMar>
            <w:vAlign w:val="bottom"/>
            <w:hideMark/>
          </w:tcPr>
          <w:p w14:paraId="5D1360FD" w14:textId="77777777" w:rsidR="000C3E93" w:rsidRPr="002A248F" w:rsidRDefault="000C3E93"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ln(k)</w:t>
            </w:r>
          </w:p>
        </w:tc>
        <w:tc>
          <w:tcPr>
            <w:tcW w:w="1442" w:type="pct"/>
            <w:tcBorders>
              <w:top w:val="nil"/>
              <w:left w:val="nil"/>
              <w:bottom w:val="nil"/>
              <w:right w:val="nil"/>
            </w:tcBorders>
            <w:noWrap/>
            <w:tcMar>
              <w:top w:w="15" w:type="dxa"/>
              <w:left w:w="15" w:type="dxa"/>
              <w:bottom w:w="0" w:type="dxa"/>
              <w:right w:w="15" w:type="dxa"/>
            </w:tcMar>
            <w:vAlign w:val="bottom"/>
            <w:hideMark/>
          </w:tcPr>
          <w:p w14:paraId="4B7CAF5D" w14:textId="77777777" w:rsidR="000C3E93" w:rsidRPr="002A248F" w:rsidRDefault="000C3E93"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1000/T (K</w:t>
            </w:r>
            <w:proofErr w:type="gramStart"/>
            <w:r w:rsidRPr="002A248F">
              <w:rPr>
                <w:rFonts w:ascii="Arial" w:eastAsia="Times New Roman" w:hAnsi="Arial" w:cs="Arial"/>
                <w:sz w:val="14"/>
                <w:szCs w:val="16"/>
                <w:lang w:val="en-US"/>
              </w:rPr>
              <w:t>^{</w:t>
            </w:r>
            <w:proofErr w:type="gramEnd"/>
            <w:r w:rsidRPr="002A248F">
              <w:rPr>
                <w:rFonts w:ascii="Arial" w:eastAsia="Times New Roman" w:hAnsi="Arial" w:cs="Arial"/>
                <w:sz w:val="14"/>
                <w:szCs w:val="16"/>
                <w:lang w:val="en-US"/>
              </w:rPr>
              <w:t>-1})</w:t>
            </w:r>
          </w:p>
        </w:tc>
        <w:tc>
          <w:tcPr>
            <w:tcW w:w="1058" w:type="pct"/>
            <w:tcBorders>
              <w:top w:val="nil"/>
              <w:left w:val="nil"/>
              <w:bottom w:val="nil"/>
              <w:right w:val="nil"/>
            </w:tcBorders>
            <w:noWrap/>
            <w:tcMar>
              <w:top w:w="15" w:type="dxa"/>
              <w:left w:w="15" w:type="dxa"/>
              <w:bottom w:w="0" w:type="dxa"/>
              <w:right w:w="15" w:type="dxa"/>
            </w:tcMar>
            <w:vAlign w:val="bottom"/>
            <w:hideMark/>
          </w:tcPr>
          <w:p w14:paraId="09605A61" w14:textId="77777777" w:rsidR="000C3E93" w:rsidRPr="002A248F" w:rsidRDefault="000C3E93"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ln(k/T)</w:t>
            </w:r>
          </w:p>
        </w:tc>
      </w:tr>
      <w:tr w:rsidR="000C3E93" w:rsidRPr="002A248F" w14:paraId="142F8F3D" w14:textId="77777777" w:rsidTr="001D043E">
        <w:trPr>
          <w:divId w:val="271595052"/>
        </w:trPr>
        <w:tc>
          <w:tcPr>
            <w:tcW w:w="1442" w:type="pct"/>
            <w:tcBorders>
              <w:top w:val="nil"/>
              <w:left w:val="nil"/>
              <w:bottom w:val="nil"/>
              <w:right w:val="nil"/>
            </w:tcBorders>
            <w:noWrap/>
            <w:tcMar>
              <w:top w:w="15" w:type="dxa"/>
              <w:left w:w="15" w:type="dxa"/>
              <w:bottom w:w="0" w:type="dxa"/>
              <w:right w:w="15" w:type="dxa"/>
            </w:tcMar>
            <w:vAlign w:val="bottom"/>
            <w:hideMark/>
          </w:tcPr>
          <w:p w14:paraId="25FEFDC8"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3.300</w:t>
            </w:r>
          </w:p>
        </w:tc>
        <w:tc>
          <w:tcPr>
            <w:tcW w:w="1058" w:type="pct"/>
            <w:tcBorders>
              <w:top w:val="nil"/>
              <w:left w:val="nil"/>
              <w:bottom w:val="nil"/>
              <w:right w:val="nil"/>
            </w:tcBorders>
            <w:noWrap/>
            <w:tcMar>
              <w:top w:w="15" w:type="dxa"/>
              <w:left w:w="15" w:type="dxa"/>
              <w:bottom w:w="0" w:type="dxa"/>
              <w:right w:w="15" w:type="dxa"/>
            </w:tcMar>
            <w:vAlign w:val="bottom"/>
            <w:hideMark/>
          </w:tcPr>
          <w:p w14:paraId="425AA4A4"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-3.912</w:t>
            </w:r>
          </w:p>
        </w:tc>
        <w:tc>
          <w:tcPr>
            <w:tcW w:w="1442" w:type="pct"/>
            <w:tcBorders>
              <w:top w:val="nil"/>
              <w:left w:val="nil"/>
              <w:bottom w:val="nil"/>
              <w:right w:val="nil"/>
            </w:tcBorders>
            <w:noWrap/>
            <w:tcMar>
              <w:top w:w="15" w:type="dxa"/>
              <w:left w:w="15" w:type="dxa"/>
              <w:bottom w:w="0" w:type="dxa"/>
              <w:right w:w="15" w:type="dxa"/>
            </w:tcMar>
            <w:vAlign w:val="bottom"/>
            <w:hideMark/>
          </w:tcPr>
          <w:p w14:paraId="2A6B1041"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3.300</w:t>
            </w:r>
          </w:p>
        </w:tc>
        <w:tc>
          <w:tcPr>
            <w:tcW w:w="1058" w:type="pct"/>
            <w:tcBorders>
              <w:top w:val="nil"/>
              <w:left w:val="nil"/>
              <w:bottom w:val="nil"/>
              <w:right w:val="nil"/>
            </w:tcBorders>
            <w:noWrap/>
            <w:tcMar>
              <w:top w:w="15" w:type="dxa"/>
              <w:left w:w="15" w:type="dxa"/>
              <w:bottom w:w="0" w:type="dxa"/>
              <w:right w:w="15" w:type="dxa"/>
            </w:tcMar>
            <w:vAlign w:val="bottom"/>
            <w:hideMark/>
          </w:tcPr>
          <w:p w14:paraId="685B5DEF"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-9.626</w:t>
            </w:r>
          </w:p>
        </w:tc>
      </w:tr>
      <w:tr w:rsidR="000C3E93" w:rsidRPr="002A248F" w14:paraId="2F0D78DA" w14:textId="77777777" w:rsidTr="001D043E">
        <w:trPr>
          <w:divId w:val="271595052"/>
        </w:trPr>
        <w:tc>
          <w:tcPr>
            <w:tcW w:w="1442" w:type="pct"/>
            <w:tcBorders>
              <w:top w:val="nil"/>
              <w:left w:val="nil"/>
              <w:bottom w:val="nil"/>
              <w:right w:val="nil"/>
            </w:tcBorders>
            <w:noWrap/>
            <w:tcMar>
              <w:top w:w="15" w:type="dxa"/>
              <w:left w:w="15" w:type="dxa"/>
              <w:bottom w:w="0" w:type="dxa"/>
              <w:right w:w="15" w:type="dxa"/>
            </w:tcMar>
            <w:vAlign w:val="bottom"/>
            <w:hideMark/>
          </w:tcPr>
          <w:p w14:paraId="7F96E2D6"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3.195</w:t>
            </w:r>
          </w:p>
        </w:tc>
        <w:tc>
          <w:tcPr>
            <w:tcW w:w="1058" w:type="pct"/>
            <w:tcBorders>
              <w:top w:val="nil"/>
              <w:left w:val="nil"/>
              <w:bottom w:val="nil"/>
              <w:right w:val="nil"/>
            </w:tcBorders>
            <w:noWrap/>
            <w:tcMar>
              <w:top w:w="15" w:type="dxa"/>
              <w:left w:w="15" w:type="dxa"/>
              <w:bottom w:w="0" w:type="dxa"/>
              <w:right w:w="15" w:type="dxa"/>
            </w:tcMar>
            <w:vAlign w:val="bottom"/>
            <w:hideMark/>
          </w:tcPr>
          <w:p w14:paraId="5A89171D"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-3.214</w:t>
            </w:r>
          </w:p>
        </w:tc>
        <w:tc>
          <w:tcPr>
            <w:tcW w:w="1442" w:type="pct"/>
            <w:tcBorders>
              <w:top w:val="nil"/>
              <w:left w:val="nil"/>
              <w:bottom w:val="nil"/>
              <w:right w:val="nil"/>
            </w:tcBorders>
            <w:noWrap/>
            <w:tcMar>
              <w:top w:w="15" w:type="dxa"/>
              <w:left w:w="15" w:type="dxa"/>
              <w:bottom w:w="0" w:type="dxa"/>
              <w:right w:w="15" w:type="dxa"/>
            </w:tcMar>
            <w:vAlign w:val="bottom"/>
            <w:hideMark/>
          </w:tcPr>
          <w:p w14:paraId="5848989D"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3.195</w:t>
            </w:r>
          </w:p>
        </w:tc>
        <w:tc>
          <w:tcPr>
            <w:tcW w:w="1058" w:type="pct"/>
            <w:tcBorders>
              <w:top w:val="nil"/>
              <w:left w:val="nil"/>
              <w:bottom w:val="nil"/>
              <w:right w:val="nil"/>
            </w:tcBorders>
            <w:noWrap/>
            <w:tcMar>
              <w:top w:w="15" w:type="dxa"/>
              <w:left w:w="15" w:type="dxa"/>
              <w:bottom w:w="0" w:type="dxa"/>
              <w:right w:w="15" w:type="dxa"/>
            </w:tcMar>
            <w:vAlign w:val="bottom"/>
            <w:hideMark/>
          </w:tcPr>
          <w:p w14:paraId="74139A25"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-8.960</w:t>
            </w:r>
          </w:p>
        </w:tc>
      </w:tr>
      <w:tr w:rsidR="000C3E93" w:rsidRPr="002A248F" w14:paraId="0D54901E" w14:textId="77777777" w:rsidTr="001D043E">
        <w:trPr>
          <w:divId w:val="271595052"/>
        </w:trPr>
        <w:tc>
          <w:tcPr>
            <w:tcW w:w="1442" w:type="pct"/>
            <w:tcBorders>
              <w:top w:val="nil"/>
              <w:left w:val="nil"/>
              <w:bottom w:val="nil"/>
              <w:right w:val="nil"/>
            </w:tcBorders>
            <w:noWrap/>
            <w:tcMar>
              <w:top w:w="15" w:type="dxa"/>
              <w:left w:w="15" w:type="dxa"/>
              <w:bottom w:w="0" w:type="dxa"/>
              <w:right w:w="15" w:type="dxa"/>
            </w:tcMar>
            <w:vAlign w:val="bottom"/>
            <w:hideMark/>
          </w:tcPr>
          <w:p w14:paraId="32E1FCF7"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3.096</w:t>
            </w:r>
          </w:p>
        </w:tc>
        <w:tc>
          <w:tcPr>
            <w:tcW w:w="1058" w:type="pct"/>
            <w:tcBorders>
              <w:top w:val="nil"/>
              <w:left w:val="nil"/>
              <w:bottom w:val="nil"/>
              <w:right w:val="nil"/>
            </w:tcBorders>
            <w:noWrap/>
            <w:tcMar>
              <w:top w:w="15" w:type="dxa"/>
              <w:left w:w="15" w:type="dxa"/>
              <w:bottom w:w="0" w:type="dxa"/>
              <w:right w:w="15" w:type="dxa"/>
            </w:tcMar>
            <w:vAlign w:val="bottom"/>
            <w:hideMark/>
          </w:tcPr>
          <w:p w14:paraId="22B26B4C"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-2.560</w:t>
            </w:r>
          </w:p>
        </w:tc>
        <w:tc>
          <w:tcPr>
            <w:tcW w:w="1442" w:type="pct"/>
            <w:tcBorders>
              <w:top w:val="nil"/>
              <w:left w:val="nil"/>
              <w:bottom w:val="nil"/>
              <w:right w:val="nil"/>
            </w:tcBorders>
            <w:noWrap/>
            <w:tcMar>
              <w:top w:w="15" w:type="dxa"/>
              <w:left w:w="15" w:type="dxa"/>
              <w:bottom w:w="0" w:type="dxa"/>
              <w:right w:w="15" w:type="dxa"/>
            </w:tcMar>
            <w:vAlign w:val="bottom"/>
            <w:hideMark/>
          </w:tcPr>
          <w:p w14:paraId="31CAF4BD"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3.096</w:t>
            </w:r>
          </w:p>
        </w:tc>
        <w:tc>
          <w:tcPr>
            <w:tcW w:w="1058" w:type="pct"/>
            <w:tcBorders>
              <w:top w:val="nil"/>
              <w:left w:val="nil"/>
              <w:bottom w:val="nil"/>
              <w:right w:val="nil"/>
            </w:tcBorders>
            <w:noWrap/>
            <w:tcMar>
              <w:top w:w="15" w:type="dxa"/>
              <w:left w:w="15" w:type="dxa"/>
              <w:bottom w:w="0" w:type="dxa"/>
              <w:right w:w="15" w:type="dxa"/>
            </w:tcMar>
            <w:vAlign w:val="bottom"/>
            <w:hideMark/>
          </w:tcPr>
          <w:p w14:paraId="521BBDFE"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-8.338</w:t>
            </w:r>
          </w:p>
        </w:tc>
      </w:tr>
      <w:tr w:rsidR="000C3E93" w:rsidRPr="002A248F" w14:paraId="5D94E5C3" w14:textId="77777777" w:rsidTr="001D043E">
        <w:trPr>
          <w:divId w:val="271595052"/>
        </w:trPr>
        <w:tc>
          <w:tcPr>
            <w:tcW w:w="1442" w:type="pct"/>
            <w:tcBorders>
              <w:top w:val="nil"/>
              <w:left w:val="nil"/>
              <w:bottom w:val="nil"/>
              <w:right w:val="nil"/>
            </w:tcBorders>
            <w:noWrap/>
            <w:tcMar>
              <w:top w:w="15" w:type="dxa"/>
              <w:left w:w="15" w:type="dxa"/>
              <w:bottom w:w="0" w:type="dxa"/>
              <w:right w:w="15" w:type="dxa"/>
            </w:tcMar>
            <w:vAlign w:val="bottom"/>
            <w:hideMark/>
          </w:tcPr>
          <w:p w14:paraId="00299662"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3.003</w:t>
            </w:r>
          </w:p>
        </w:tc>
        <w:tc>
          <w:tcPr>
            <w:tcW w:w="1058" w:type="pct"/>
            <w:tcBorders>
              <w:top w:val="nil"/>
              <w:left w:val="nil"/>
              <w:bottom w:val="nil"/>
              <w:right w:val="nil"/>
            </w:tcBorders>
            <w:noWrap/>
            <w:tcMar>
              <w:top w:w="15" w:type="dxa"/>
              <w:left w:w="15" w:type="dxa"/>
              <w:bottom w:w="0" w:type="dxa"/>
              <w:right w:w="15" w:type="dxa"/>
            </w:tcMar>
            <w:vAlign w:val="bottom"/>
            <w:hideMark/>
          </w:tcPr>
          <w:p w14:paraId="567AEC04"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-1.945</w:t>
            </w:r>
          </w:p>
        </w:tc>
        <w:tc>
          <w:tcPr>
            <w:tcW w:w="1442" w:type="pct"/>
            <w:tcBorders>
              <w:top w:val="nil"/>
              <w:left w:val="nil"/>
              <w:bottom w:val="nil"/>
              <w:right w:val="nil"/>
            </w:tcBorders>
            <w:noWrap/>
            <w:tcMar>
              <w:top w:w="15" w:type="dxa"/>
              <w:left w:w="15" w:type="dxa"/>
              <w:bottom w:w="0" w:type="dxa"/>
              <w:right w:w="15" w:type="dxa"/>
            </w:tcMar>
            <w:vAlign w:val="bottom"/>
            <w:hideMark/>
          </w:tcPr>
          <w:p w14:paraId="44BD3B0F"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3.003</w:t>
            </w:r>
          </w:p>
        </w:tc>
        <w:tc>
          <w:tcPr>
            <w:tcW w:w="1058" w:type="pct"/>
            <w:tcBorders>
              <w:top w:val="nil"/>
              <w:left w:val="nil"/>
              <w:bottom w:val="nil"/>
              <w:right w:val="nil"/>
            </w:tcBorders>
            <w:noWrap/>
            <w:tcMar>
              <w:top w:w="15" w:type="dxa"/>
              <w:left w:w="15" w:type="dxa"/>
              <w:bottom w:w="0" w:type="dxa"/>
              <w:right w:w="15" w:type="dxa"/>
            </w:tcMar>
            <w:vAlign w:val="bottom"/>
            <w:hideMark/>
          </w:tcPr>
          <w:p w14:paraId="2A8F7C00"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-7.753</w:t>
            </w:r>
          </w:p>
        </w:tc>
      </w:tr>
    </w:tbl>
    <w:p w14:paraId="5231A9D6" w14:textId="65075790" w:rsidR="00E85E3B" w:rsidRPr="002A248F" w:rsidRDefault="00EE1F09" w:rsidP="001D043E">
      <w:pPr>
        <w:pStyle w:val="NormalWeb"/>
        <w:spacing w:after="0" w:afterAutospacing="0"/>
        <w:jc w:val="center"/>
        <w:divId w:val="271595052"/>
        <w:rPr>
          <w:sz w:val="14"/>
          <w:szCs w:val="16"/>
        </w:rPr>
      </w:pPr>
      <w:r>
        <w:rPr>
          <w:sz w:val="14"/>
          <w:szCs w:val="16"/>
        </w:rPr>
        <w:t>Table</w:t>
      </w:r>
      <w:r w:rsidR="00E85E3B" w:rsidRPr="002A248F">
        <w:rPr>
          <w:sz w:val="14"/>
          <w:szCs w:val="16"/>
        </w:rPr>
        <w:t xml:space="preserve"> 5 Data: D</w:t>
      </w:r>
      <w:r w:rsidR="000C3E93" w:rsidRPr="002A248F">
        <w:rPr>
          <w:sz w:val="14"/>
          <w:szCs w:val="16"/>
        </w:rPr>
        <w:t>LS Morphology Check</w:t>
      </w:r>
    </w:p>
    <w:tbl>
      <w:tblPr>
        <w:tblW w:w="5000" w:type="pct"/>
        <w:tblCellMar>
          <w:left w:w="0" w:type="dxa"/>
          <w:right w:w="0" w:type="dxa"/>
        </w:tblCellMar>
        <w:tblLook w:val="04A0" w:firstRow="1" w:lastRow="0" w:firstColumn="1" w:lastColumn="0" w:noHBand="0" w:noVBand="1"/>
      </w:tblPr>
      <w:tblGrid>
        <w:gridCol w:w="2816"/>
        <w:gridCol w:w="3287"/>
        <w:gridCol w:w="3287"/>
      </w:tblGrid>
      <w:tr w:rsidR="000C3E93" w:rsidRPr="002A248F" w14:paraId="5C3F9F87"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7FEE212D" w14:textId="77777777" w:rsidR="000C3E93" w:rsidRPr="002A248F" w:rsidRDefault="000C3E93"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Diameter (nm)</w:t>
            </w:r>
          </w:p>
        </w:tc>
        <w:tc>
          <w:tcPr>
            <w:tcW w:w="1750" w:type="pct"/>
            <w:tcBorders>
              <w:top w:val="nil"/>
              <w:left w:val="nil"/>
              <w:bottom w:val="nil"/>
              <w:right w:val="nil"/>
            </w:tcBorders>
            <w:noWrap/>
            <w:tcMar>
              <w:top w:w="15" w:type="dxa"/>
              <w:left w:w="15" w:type="dxa"/>
              <w:bottom w:w="0" w:type="dxa"/>
              <w:right w:w="15" w:type="dxa"/>
            </w:tcMar>
            <w:vAlign w:val="bottom"/>
            <w:hideMark/>
          </w:tcPr>
          <w:p w14:paraId="6D7BB255" w14:textId="77777777" w:rsidR="000C3E93" w:rsidRPr="002A248F" w:rsidRDefault="000C3E93"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Intensity % (30°C)</w:t>
            </w:r>
          </w:p>
        </w:tc>
        <w:tc>
          <w:tcPr>
            <w:tcW w:w="1750" w:type="pct"/>
            <w:tcBorders>
              <w:top w:val="nil"/>
              <w:left w:val="nil"/>
              <w:bottom w:val="nil"/>
              <w:right w:val="nil"/>
            </w:tcBorders>
            <w:noWrap/>
            <w:tcMar>
              <w:top w:w="15" w:type="dxa"/>
              <w:left w:w="15" w:type="dxa"/>
              <w:bottom w:w="0" w:type="dxa"/>
              <w:right w:w="15" w:type="dxa"/>
            </w:tcMar>
            <w:vAlign w:val="bottom"/>
            <w:hideMark/>
          </w:tcPr>
          <w:p w14:paraId="3D7568BB" w14:textId="77777777" w:rsidR="000C3E93" w:rsidRPr="002A248F" w:rsidRDefault="000C3E93" w:rsidP="001113B8">
            <w:pPr>
              <w:spacing w:after="0" w:line="240" w:lineRule="auto"/>
              <w:jc w:val="center"/>
              <w:rPr>
                <w:rFonts w:ascii="Arial" w:eastAsia="Times New Roman" w:hAnsi="Arial" w:cs="Arial"/>
                <w:sz w:val="14"/>
                <w:szCs w:val="16"/>
                <w:lang w:val="en-US"/>
              </w:rPr>
            </w:pPr>
            <w:r w:rsidRPr="002A248F">
              <w:rPr>
                <w:rFonts w:ascii="Arial" w:eastAsia="Times New Roman" w:hAnsi="Arial" w:cs="Arial"/>
                <w:sz w:val="14"/>
                <w:szCs w:val="16"/>
                <w:lang w:val="en-US"/>
              </w:rPr>
              <w:t>Intensity % (60°C)</w:t>
            </w:r>
          </w:p>
        </w:tc>
      </w:tr>
      <w:tr w:rsidR="000C3E93" w:rsidRPr="002A248F" w14:paraId="1F7066C2"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0FD7F6D5"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w:t>
            </w:r>
          </w:p>
        </w:tc>
        <w:tc>
          <w:tcPr>
            <w:tcW w:w="1750" w:type="pct"/>
            <w:tcBorders>
              <w:top w:val="nil"/>
              <w:left w:val="nil"/>
              <w:bottom w:val="nil"/>
              <w:right w:val="nil"/>
            </w:tcBorders>
            <w:noWrap/>
            <w:tcMar>
              <w:top w:w="15" w:type="dxa"/>
              <w:left w:w="15" w:type="dxa"/>
              <w:bottom w:w="0" w:type="dxa"/>
              <w:right w:w="15" w:type="dxa"/>
            </w:tcMar>
            <w:vAlign w:val="bottom"/>
            <w:hideMark/>
          </w:tcPr>
          <w:p w14:paraId="6B24F55C"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w:t>
            </w:r>
          </w:p>
        </w:tc>
        <w:tc>
          <w:tcPr>
            <w:tcW w:w="1750" w:type="pct"/>
            <w:tcBorders>
              <w:top w:val="nil"/>
              <w:left w:val="nil"/>
              <w:bottom w:val="nil"/>
              <w:right w:val="nil"/>
            </w:tcBorders>
            <w:noWrap/>
            <w:tcMar>
              <w:top w:w="15" w:type="dxa"/>
              <w:left w:w="15" w:type="dxa"/>
              <w:bottom w:w="0" w:type="dxa"/>
              <w:right w:w="15" w:type="dxa"/>
            </w:tcMar>
            <w:vAlign w:val="bottom"/>
            <w:hideMark/>
          </w:tcPr>
          <w:p w14:paraId="03E5BC2B"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0.5</w:t>
            </w:r>
          </w:p>
        </w:tc>
      </w:tr>
      <w:tr w:rsidR="000C3E93" w:rsidRPr="002A248F" w14:paraId="7D8D9A2F"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3622EF9A"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20.</w:t>
            </w:r>
          </w:p>
        </w:tc>
        <w:tc>
          <w:tcPr>
            <w:tcW w:w="1750" w:type="pct"/>
            <w:tcBorders>
              <w:top w:val="nil"/>
              <w:left w:val="nil"/>
              <w:bottom w:val="nil"/>
              <w:right w:val="nil"/>
            </w:tcBorders>
            <w:noWrap/>
            <w:tcMar>
              <w:top w:w="15" w:type="dxa"/>
              <w:left w:w="15" w:type="dxa"/>
              <w:bottom w:w="0" w:type="dxa"/>
              <w:right w:w="15" w:type="dxa"/>
            </w:tcMar>
            <w:vAlign w:val="bottom"/>
            <w:hideMark/>
          </w:tcPr>
          <w:p w14:paraId="754EB997"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2.5</w:t>
            </w:r>
          </w:p>
        </w:tc>
        <w:tc>
          <w:tcPr>
            <w:tcW w:w="1750" w:type="pct"/>
            <w:tcBorders>
              <w:top w:val="nil"/>
              <w:left w:val="nil"/>
              <w:bottom w:val="nil"/>
              <w:right w:val="nil"/>
            </w:tcBorders>
            <w:noWrap/>
            <w:tcMar>
              <w:top w:w="15" w:type="dxa"/>
              <w:left w:w="15" w:type="dxa"/>
              <w:bottom w:w="0" w:type="dxa"/>
              <w:right w:w="15" w:type="dxa"/>
            </w:tcMar>
            <w:vAlign w:val="bottom"/>
            <w:hideMark/>
          </w:tcPr>
          <w:p w14:paraId="6832BD1B"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4.1</w:t>
            </w:r>
          </w:p>
        </w:tc>
      </w:tr>
      <w:tr w:rsidR="000C3E93" w:rsidRPr="002A248F" w14:paraId="49CC1D0C"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3C60F410"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30.</w:t>
            </w:r>
          </w:p>
        </w:tc>
        <w:tc>
          <w:tcPr>
            <w:tcW w:w="1750" w:type="pct"/>
            <w:tcBorders>
              <w:top w:val="nil"/>
              <w:left w:val="nil"/>
              <w:bottom w:val="nil"/>
              <w:right w:val="nil"/>
            </w:tcBorders>
            <w:noWrap/>
            <w:tcMar>
              <w:top w:w="15" w:type="dxa"/>
              <w:left w:w="15" w:type="dxa"/>
              <w:bottom w:w="0" w:type="dxa"/>
              <w:right w:w="15" w:type="dxa"/>
            </w:tcMar>
            <w:vAlign w:val="bottom"/>
            <w:hideMark/>
          </w:tcPr>
          <w:p w14:paraId="6E7FCE5F"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15.4</w:t>
            </w:r>
          </w:p>
        </w:tc>
        <w:tc>
          <w:tcPr>
            <w:tcW w:w="1750" w:type="pct"/>
            <w:tcBorders>
              <w:top w:val="nil"/>
              <w:left w:val="nil"/>
              <w:bottom w:val="nil"/>
              <w:right w:val="nil"/>
            </w:tcBorders>
            <w:noWrap/>
            <w:tcMar>
              <w:top w:w="15" w:type="dxa"/>
              <w:left w:w="15" w:type="dxa"/>
              <w:bottom w:w="0" w:type="dxa"/>
              <w:right w:w="15" w:type="dxa"/>
            </w:tcMar>
            <w:vAlign w:val="bottom"/>
            <w:hideMark/>
          </w:tcPr>
          <w:p w14:paraId="381CF412"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18.2</w:t>
            </w:r>
          </w:p>
        </w:tc>
      </w:tr>
      <w:tr w:rsidR="000C3E93" w:rsidRPr="002A248F" w14:paraId="2E05C7B1"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36832C47"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40.</w:t>
            </w:r>
          </w:p>
        </w:tc>
        <w:tc>
          <w:tcPr>
            <w:tcW w:w="1750" w:type="pct"/>
            <w:tcBorders>
              <w:top w:val="nil"/>
              <w:left w:val="nil"/>
              <w:bottom w:val="nil"/>
              <w:right w:val="nil"/>
            </w:tcBorders>
            <w:noWrap/>
            <w:tcMar>
              <w:top w:w="15" w:type="dxa"/>
              <w:left w:w="15" w:type="dxa"/>
              <w:bottom w:w="0" w:type="dxa"/>
              <w:right w:w="15" w:type="dxa"/>
            </w:tcMar>
            <w:vAlign w:val="bottom"/>
            <w:hideMark/>
          </w:tcPr>
          <w:p w14:paraId="61466E3E"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78.5</w:t>
            </w:r>
          </w:p>
        </w:tc>
        <w:tc>
          <w:tcPr>
            <w:tcW w:w="1750" w:type="pct"/>
            <w:tcBorders>
              <w:top w:val="nil"/>
              <w:left w:val="nil"/>
              <w:bottom w:val="nil"/>
              <w:right w:val="nil"/>
            </w:tcBorders>
            <w:noWrap/>
            <w:tcMar>
              <w:top w:w="15" w:type="dxa"/>
              <w:left w:w="15" w:type="dxa"/>
              <w:bottom w:w="0" w:type="dxa"/>
              <w:right w:w="15" w:type="dxa"/>
            </w:tcMar>
            <w:vAlign w:val="bottom"/>
            <w:hideMark/>
          </w:tcPr>
          <w:p w14:paraId="6600212E"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72.3</w:t>
            </w:r>
          </w:p>
        </w:tc>
      </w:tr>
      <w:tr w:rsidR="000C3E93" w:rsidRPr="002A248F" w14:paraId="23607197"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2ECA8CF2"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43.</w:t>
            </w:r>
          </w:p>
        </w:tc>
        <w:tc>
          <w:tcPr>
            <w:tcW w:w="1750" w:type="pct"/>
            <w:tcBorders>
              <w:top w:val="nil"/>
              <w:left w:val="nil"/>
              <w:bottom w:val="nil"/>
              <w:right w:val="nil"/>
            </w:tcBorders>
            <w:noWrap/>
            <w:tcMar>
              <w:top w:w="15" w:type="dxa"/>
              <w:left w:w="15" w:type="dxa"/>
              <w:bottom w:w="0" w:type="dxa"/>
              <w:right w:w="15" w:type="dxa"/>
            </w:tcMar>
            <w:vAlign w:val="bottom"/>
            <w:hideMark/>
          </w:tcPr>
          <w:p w14:paraId="2B8DE9DF"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100.0</w:t>
            </w:r>
          </w:p>
        </w:tc>
        <w:tc>
          <w:tcPr>
            <w:tcW w:w="1750" w:type="pct"/>
            <w:tcBorders>
              <w:top w:val="nil"/>
              <w:left w:val="nil"/>
              <w:bottom w:val="nil"/>
              <w:right w:val="nil"/>
            </w:tcBorders>
            <w:noWrap/>
            <w:tcMar>
              <w:top w:w="15" w:type="dxa"/>
              <w:left w:w="15" w:type="dxa"/>
              <w:bottom w:w="0" w:type="dxa"/>
              <w:right w:w="15" w:type="dxa"/>
            </w:tcMar>
            <w:vAlign w:val="bottom"/>
            <w:hideMark/>
          </w:tcPr>
          <w:p w14:paraId="7E51CE33"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95.6</w:t>
            </w:r>
          </w:p>
        </w:tc>
      </w:tr>
      <w:tr w:rsidR="000C3E93" w:rsidRPr="002A248F" w14:paraId="6AFF6B8D"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45F27975"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45.</w:t>
            </w:r>
          </w:p>
        </w:tc>
        <w:tc>
          <w:tcPr>
            <w:tcW w:w="1750" w:type="pct"/>
            <w:tcBorders>
              <w:top w:val="nil"/>
              <w:left w:val="nil"/>
              <w:bottom w:val="nil"/>
              <w:right w:val="nil"/>
            </w:tcBorders>
            <w:noWrap/>
            <w:tcMar>
              <w:top w:w="15" w:type="dxa"/>
              <w:left w:w="15" w:type="dxa"/>
              <w:bottom w:w="0" w:type="dxa"/>
              <w:right w:w="15" w:type="dxa"/>
            </w:tcMar>
            <w:vAlign w:val="bottom"/>
            <w:hideMark/>
          </w:tcPr>
          <w:p w14:paraId="022A61E9"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88.2</w:t>
            </w:r>
          </w:p>
        </w:tc>
        <w:tc>
          <w:tcPr>
            <w:tcW w:w="1750" w:type="pct"/>
            <w:tcBorders>
              <w:top w:val="nil"/>
              <w:left w:val="nil"/>
              <w:bottom w:val="nil"/>
              <w:right w:val="nil"/>
            </w:tcBorders>
            <w:noWrap/>
            <w:tcMar>
              <w:top w:w="15" w:type="dxa"/>
              <w:left w:w="15" w:type="dxa"/>
              <w:bottom w:w="0" w:type="dxa"/>
              <w:right w:w="15" w:type="dxa"/>
            </w:tcMar>
            <w:vAlign w:val="bottom"/>
            <w:hideMark/>
          </w:tcPr>
          <w:p w14:paraId="2EFAEA68"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100.0</w:t>
            </w:r>
          </w:p>
        </w:tc>
      </w:tr>
      <w:tr w:rsidR="000C3E93" w:rsidRPr="002A248F" w14:paraId="089713DF"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63CDF3E9"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50.</w:t>
            </w:r>
          </w:p>
        </w:tc>
        <w:tc>
          <w:tcPr>
            <w:tcW w:w="1750" w:type="pct"/>
            <w:tcBorders>
              <w:top w:val="nil"/>
              <w:left w:val="nil"/>
              <w:bottom w:val="nil"/>
              <w:right w:val="nil"/>
            </w:tcBorders>
            <w:noWrap/>
            <w:tcMar>
              <w:top w:w="15" w:type="dxa"/>
              <w:left w:w="15" w:type="dxa"/>
              <w:bottom w:w="0" w:type="dxa"/>
              <w:right w:w="15" w:type="dxa"/>
            </w:tcMar>
            <w:vAlign w:val="bottom"/>
            <w:hideMark/>
          </w:tcPr>
          <w:p w14:paraId="6F131CDD"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45.1</w:t>
            </w:r>
          </w:p>
        </w:tc>
        <w:tc>
          <w:tcPr>
            <w:tcW w:w="1750" w:type="pct"/>
            <w:tcBorders>
              <w:top w:val="nil"/>
              <w:left w:val="nil"/>
              <w:bottom w:val="nil"/>
              <w:right w:val="nil"/>
            </w:tcBorders>
            <w:noWrap/>
            <w:tcMar>
              <w:top w:w="15" w:type="dxa"/>
              <w:left w:w="15" w:type="dxa"/>
              <w:bottom w:w="0" w:type="dxa"/>
              <w:right w:w="15" w:type="dxa"/>
            </w:tcMar>
            <w:vAlign w:val="bottom"/>
            <w:hideMark/>
          </w:tcPr>
          <w:p w14:paraId="4B4747B7"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55.4</w:t>
            </w:r>
          </w:p>
        </w:tc>
      </w:tr>
      <w:tr w:rsidR="000C3E93" w:rsidRPr="002A248F" w14:paraId="503E0B30"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26E20411"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60.</w:t>
            </w:r>
          </w:p>
        </w:tc>
        <w:tc>
          <w:tcPr>
            <w:tcW w:w="1750" w:type="pct"/>
            <w:tcBorders>
              <w:top w:val="nil"/>
              <w:left w:val="nil"/>
              <w:bottom w:val="nil"/>
              <w:right w:val="nil"/>
            </w:tcBorders>
            <w:noWrap/>
            <w:tcMar>
              <w:top w:w="15" w:type="dxa"/>
              <w:left w:w="15" w:type="dxa"/>
              <w:bottom w:w="0" w:type="dxa"/>
              <w:right w:w="15" w:type="dxa"/>
            </w:tcMar>
            <w:vAlign w:val="bottom"/>
            <w:hideMark/>
          </w:tcPr>
          <w:p w14:paraId="47C2C08A"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5.2</w:t>
            </w:r>
          </w:p>
        </w:tc>
        <w:tc>
          <w:tcPr>
            <w:tcW w:w="1750" w:type="pct"/>
            <w:tcBorders>
              <w:top w:val="nil"/>
              <w:left w:val="nil"/>
              <w:bottom w:val="nil"/>
              <w:right w:val="nil"/>
            </w:tcBorders>
            <w:noWrap/>
            <w:tcMar>
              <w:top w:w="15" w:type="dxa"/>
              <w:left w:w="15" w:type="dxa"/>
              <w:bottom w:w="0" w:type="dxa"/>
              <w:right w:w="15" w:type="dxa"/>
            </w:tcMar>
            <w:vAlign w:val="bottom"/>
            <w:hideMark/>
          </w:tcPr>
          <w:p w14:paraId="15614919"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8.8</w:t>
            </w:r>
          </w:p>
        </w:tc>
      </w:tr>
      <w:tr w:rsidR="000C3E93" w:rsidRPr="002A248F" w14:paraId="7B853E10" w14:textId="77777777" w:rsidTr="001D043E">
        <w:trPr>
          <w:divId w:val="271595052"/>
        </w:trPr>
        <w:tc>
          <w:tcPr>
            <w:tcW w:w="1500" w:type="pct"/>
            <w:tcBorders>
              <w:top w:val="nil"/>
              <w:left w:val="nil"/>
              <w:bottom w:val="nil"/>
              <w:right w:val="nil"/>
            </w:tcBorders>
            <w:noWrap/>
            <w:tcMar>
              <w:top w:w="15" w:type="dxa"/>
              <w:left w:w="15" w:type="dxa"/>
              <w:bottom w:w="0" w:type="dxa"/>
              <w:right w:w="15" w:type="dxa"/>
            </w:tcMar>
            <w:vAlign w:val="bottom"/>
            <w:hideMark/>
          </w:tcPr>
          <w:p w14:paraId="774018BC"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80.</w:t>
            </w:r>
          </w:p>
        </w:tc>
        <w:tc>
          <w:tcPr>
            <w:tcW w:w="1750" w:type="pct"/>
            <w:tcBorders>
              <w:top w:val="nil"/>
              <w:left w:val="nil"/>
              <w:bottom w:val="nil"/>
              <w:right w:val="nil"/>
            </w:tcBorders>
            <w:noWrap/>
            <w:tcMar>
              <w:top w:w="15" w:type="dxa"/>
              <w:left w:w="15" w:type="dxa"/>
              <w:bottom w:w="0" w:type="dxa"/>
              <w:right w:w="15" w:type="dxa"/>
            </w:tcMar>
            <w:vAlign w:val="bottom"/>
            <w:hideMark/>
          </w:tcPr>
          <w:p w14:paraId="7101DE81"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w:t>
            </w:r>
          </w:p>
        </w:tc>
        <w:tc>
          <w:tcPr>
            <w:tcW w:w="1750" w:type="pct"/>
            <w:tcBorders>
              <w:top w:val="nil"/>
              <w:left w:val="nil"/>
              <w:bottom w:val="nil"/>
              <w:right w:val="nil"/>
            </w:tcBorders>
            <w:noWrap/>
            <w:tcMar>
              <w:top w:w="15" w:type="dxa"/>
              <w:left w:w="15" w:type="dxa"/>
              <w:bottom w:w="0" w:type="dxa"/>
              <w:right w:w="15" w:type="dxa"/>
            </w:tcMar>
            <w:vAlign w:val="bottom"/>
            <w:hideMark/>
          </w:tcPr>
          <w:p w14:paraId="6FC1DE97" w14:textId="77777777" w:rsidR="000C3E93" w:rsidRPr="002A248F" w:rsidRDefault="000C3E93" w:rsidP="001113B8">
            <w:pPr>
              <w:spacing w:after="0" w:line="240" w:lineRule="auto"/>
              <w:jc w:val="right"/>
              <w:rPr>
                <w:rFonts w:ascii="Arial" w:eastAsia="Times New Roman" w:hAnsi="Arial" w:cs="Arial"/>
                <w:sz w:val="14"/>
                <w:szCs w:val="16"/>
                <w:lang w:val="en-US"/>
              </w:rPr>
            </w:pPr>
            <w:r w:rsidRPr="002A248F">
              <w:rPr>
                <w:rFonts w:ascii="Arial" w:eastAsia="Times New Roman" w:hAnsi="Arial" w:cs="Arial"/>
                <w:sz w:val="14"/>
                <w:szCs w:val="16"/>
                <w:lang w:val="en-US"/>
              </w:rPr>
              <w:t>0.0</w:t>
            </w:r>
          </w:p>
        </w:tc>
      </w:tr>
    </w:tbl>
    <w:p w14:paraId="3E8422CB" w14:textId="77777777" w:rsidR="004F2C8E" w:rsidRPr="002A248F" w:rsidRDefault="004F2C8E" w:rsidP="000C3E93">
      <w:pPr>
        <w:pStyle w:val="NormalWeb"/>
        <w:divId w:val="271595052"/>
        <w:rPr>
          <w:sz w:val="16"/>
          <w:szCs w:val="16"/>
        </w:rPr>
      </w:pPr>
    </w:p>
    <w:sectPr w:rsidR="004F2C8E" w:rsidRPr="002A248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F28F7" w14:textId="77777777" w:rsidR="00D20BC0" w:rsidRDefault="00D20BC0" w:rsidP="007F371C">
      <w:pPr>
        <w:spacing w:after="0" w:line="240" w:lineRule="auto"/>
      </w:pPr>
      <w:r>
        <w:separator/>
      </w:r>
    </w:p>
  </w:endnote>
  <w:endnote w:type="continuationSeparator" w:id="0">
    <w:p w14:paraId="4A2FA0C1" w14:textId="77777777" w:rsidR="00D20BC0" w:rsidRDefault="00D20BC0" w:rsidP="007F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9F896" w14:textId="77777777" w:rsidR="007F371C" w:rsidRDefault="007F3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82F06" w14:textId="77777777" w:rsidR="007F371C" w:rsidRDefault="007F37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8F828" w14:textId="77777777" w:rsidR="007F371C" w:rsidRDefault="007F3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DA95A" w14:textId="77777777" w:rsidR="00D20BC0" w:rsidRDefault="00D20BC0" w:rsidP="007F371C">
      <w:pPr>
        <w:spacing w:after="0" w:line="240" w:lineRule="auto"/>
      </w:pPr>
      <w:r>
        <w:separator/>
      </w:r>
    </w:p>
  </w:footnote>
  <w:footnote w:type="continuationSeparator" w:id="0">
    <w:p w14:paraId="5DA8CF75" w14:textId="77777777" w:rsidR="00D20BC0" w:rsidRDefault="00D20BC0" w:rsidP="007F3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E3691" w14:textId="7108571F" w:rsidR="007F371C" w:rsidRDefault="007F371C">
    <w:pPr>
      <w:pStyle w:val="Header"/>
    </w:pPr>
    <w:r>
      <w:rPr>
        <w:noProof/>
      </w:rPr>
      <w:pict w14:anchorId="533D4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0949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4835D" w14:textId="2F52530E" w:rsidR="007F371C" w:rsidRDefault="007F371C">
    <w:pPr>
      <w:pStyle w:val="Header"/>
    </w:pPr>
    <w:r>
      <w:rPr>
        <w:noProof/>
      </w:rPr>
      <w:pict w14:anchorId="1D06F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0949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A6814" w14:textId="1746620F" w:rsidR="007F371C" w:rsidRDefault="007F371C">
    <w:pPr>
      <w:pStyle w:val="Header"/>
    </w:pPr>
    <w:r>
      <w:rPr>
        <w:noProof/>
      </w:rPr>
      <w:pict w14:anchorId="14EE5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0949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C15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735B7"/>
    <w:multiLevelType w:val="multilevel"/>
    <w:tmpl w:val="CDA6F5D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CC21C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618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56F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178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450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20A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02A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560B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436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C3154"/>
    <w:multiLevelType w:val="hybridMultilevel"/>
    <w:tmpl w:val="61B86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7913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7F5D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D22A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E971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5"/>
  </w:num>
  <w:num w:numId="4">
    <w:abstractNumId w:val="4"/>
  </w:num>
  <w:num w:numId="5">
    <w:abstractNumId w:val="9"/>
  </w:num>
  <w:num w:numId="6">
    <w:abstractNumId w:val="7"/>
  </w:num>
  <w:num w:numId="7">
    <w:abstractNumId w:val="1"/>
  </w:num>
  <w:num w:numId="8">
    <w:abstractNumId w:val="11"/>
  </w:num>
  <w:num w:numId="9">
    <w:abstractNumId w:val="13"/>
  </w:num>
  <w:num w:numId="10">
    <w:abstractNumId w:val="0"/>
  </w:num>
  <w:num w:numId="11">
    <w:abstractNumId w:val="8"/>
  </w:num>
  <w:num w:numId="12">
    <w:abstractNumId w:val="12"/>
  </w:num>
  <w:num w:numId="13">
    <w:abstractNumId w:val="5"/>
  </w:num>
  <w:num w:numId="14">
    <w:abstractNumId w:val="2"/>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6D2F"/>
    <w:rsid w:val="000163B1"/>
    <w:rsid w:val="00024593"/>
    <w:rsid w:val="00056AFB"/>
    <w:rsid w:val="000665F7"/>
    <w:rsid w:val="000678C3"/>
    <w:rsid w:val="00081555"/>
    <w:rsid w:val="00092E44"/>
    <w:rsid w:val="000972AE"/>
    <w:rsid w:val="000A6DD0"/>
    <w:rsid w:val="000B6594"/>
    <w:rsid w:val="000C3E93"/>
    <w:rsid w:val="000C7AAD"/>
    <w:rsid w:val="000D2E3D"/>
    <w:rsid w:val="001113B8"/>
    <w:rsid w:val="001246E3"/>
    <w:rsid w:val="00126F34"/>
    <w:rsid w:val="00137FB1"/>
    <w:rsid w:val="0014604A"/>
    <w:rsid w:val="001642E8"/>
    <w:rsid w:val="001C1160"/>
    <w:rsid w:val="001C5642"/>
    <w:rsid w:val="001C68FF"/>
    <w:rsid w:val="001D043E"/>
    <w:rsid w:val="001E1DC8"/>
    <w:rsid w:val="001F1EB8"/>
    <w:rsid w:val="001F60DB"/>
    <w:rsid w:val="00204E77"/>
    <w:rsid w:val="00217417"/>
    <w:rsid w:val="00217741"/>
    <w:rsid w:val="00277B84"/>
    <w:rsid w:val="00292AE3"/>
    <w:rsid w:val="002945AB"/>
    <w:rsid w:val="002A248F"/>
    <w:rsid w:val="002D3DD1"/>
    <w:rsid w:val="00302BA1"/>
    <w:rsid w:val="00373C10"/>
    <w:rsid w:val="00375A54"/>
    <w:rsid w:val="00384E16"/>
    <w:rsid w:val="003A15D0"/>
    <w:rsid w:val="003A7747"/>
    <w:rsid w:val="003C5552"/>
    <w:rsid w:val="003E107A"/>
    <w:rsid w:val="003E1162"/>
    <w:rsid w:val="00401651"/>
    <w:rsid w:val="004020A2"/>
    <w:rsid w:val="004060C7"/>
    <w:rsid w:val="004075AA"/>
    <w:rsid w:val="0047124D"/>
    <w:rsid w:val="004C21D4"/>
    <w:rsid w:val="004D683A"/>
    <w:rsid w:val="004F2C8E"/>
    <w:rsid w:val="00551ABB"/>
    <w:rsid w:val="005A08F5"/>
    <w:rsid w:val="006022AF"/>
    <w:rsid w:val="00627880"/>
    <w:rsid w:val="00631ED4"/>
    <w:rsid w:val="00644C17"/>
    <w:rsid w:val="00656D2F"/>
    <w:rsid w:val="00671505"/>
    <w:rsid w:val="00674A6A"/>
    <w:rsid w:val="00684EBA"/>
    <w:rsid w:val="006A1B72"/>
    <w:rsid w:val="006E44A0"/>
    <w:rsid w:val="007152D5"/>
    <w:rsid w:val="00731AFC"/>
    <w:rsid w:val="00752EFC"/>
    <w:rsid w:val="00762DA4"/>
    <w:rsid w:val="007A4EA3"/>
    <w:rsid w:val="007B5208"/>
    <w:rsid w:val="007F371C"/>
    <w:rsid w:val="007F6E77"/>
    <w:rsid w:val="0080223A"/>
    <w:rsid w:val="00812A12"/>
    <w:rsid w:val="0082026B"/>
    <w:rsid w:val="0082222B"/>
    <w:rsid w:val="008465E6"/>
    <w:rsid w:val="0085239E"/>
    <w:rsid w:val="00853E69"/>
    <w:rsid w:val="0087419D"/>
    <w:rsid w:val="008E21E1"/>
    <w:rsid w:val="008F73D4"/>
    <w:rsid w:val="009509A6"/>
    <w:rsid w:val="00952C2F"/>
    <w:rsid w:val="009C6186"/>
    <w:rsid w:val="009F6A1D"/>
    <w:rsid w:val="00A101D8"/>
    <w:rsid w:val="00A11A9B"/>
    <w:rsid w:val="00A30102"/>
    <w:rsid w:val="00A612F8"/>
    <w:rsid w:val="00A65A38"/>
    <w:rsid w:val="00A821AA"/>
    <w:rsid w:val="00A945F8"/>
    <w:rsid w:val="00AA0014"/>
    <w:rsid w:val="00AA2723"/>
    <w:rsid w:val="00AB545C"/>
    <w:rsid w:val="00AB72A6"/>
    <w:rsid w:val="00AF17F3"/>
    <w:rsid w:val="00B132F9"/>
    <w:rsid w:val="00B13ACF"/>
    <w:rsid w:val="00B33367"/>
    <w:rsid w:val="00B74DDC"/>
    <w:rsid w:val="00B97ABF"/>
    <w:rsid w:val="00BA3831"/>
    <w:rsid w:val="00BD31EE"/>
    <w:rsid w:val="00BD7DB6"/>
    <w:rsid w:val="00BE2431"/>
    <w:rsid w:val="00BE5F4C"/>
    <w:rsid w:val="00BF5B0C"/>
    <w:rsid w:val="00C16505"/>
    <w:rsid w:val="00C2445B"/>
    <w:rsid w:val="00C42D70"/>
    <w:rsid w:val="00C46A06"/>
    <w:rsid w:val="00C522B1"/>
    <w:rsid w:val="00C54D11"/>
    <w:rsid w:val="00C63B9F"/>
    <w:rsid w:val="00C6786B"/>
    <w:rsid w:val="00C852F2"/>
    <w:rsid w:val="00C87CF4"/>
    <w:rsid w:val="00C92138"/>
    <w:rsid w:val="00CC3E6E"/>
    <w:rsid w:val="00D174E5"/>
    <w:rsid w:val="00D20BC0"/>
    <w:rsid w:val="00D344E2"/>
    <w:rsid w:val="00D41DD4"/>
    <w:rsid w:val="00D51D10"/>
    <w:rsid w:val="00D61075"/>
    <w:rsid w:val="00D7301E"/>
    <w:rsid w:val="00D7325B"/>
    <w:rsid w:val="00D91504"/>
    <w:rsid w:val="00DB0793"/>
    <w:rsid w:val="00E33FD5"/>
    <w:rsid w:val="00E37E4F"/>
    <w:rsid w:val="00E404FC"/>
    <w:rsid w:val="00E85E3B"/>
    <w:rsid w:val="00EA68FC"/>
    <w:rsid w:val="00EB1639"/>
    <w:rsid w:val="00EC2900"/>
    <w:rsid w:val="00EC70D7"/>
    <w:rsid w:val="00ED4BC7"/>
    <w:rsid w:val="00ED79B5"/>
    <w:rsid w:val="00EE1F09"/>
    <w:rsid w:val="00EF2A12"/>
    <w:rsid w:val="00EF3EAA"/>
    <w:rsid w:val="00F01B94"/>
    <w:rsid w:val="00F33A50"/>
    <w:rsid w:val="00F355ED"/>
    <w:rsid w:val="00F35C8F"/>
    <w:rsid w:val="00F44E88"/>
    <w:rsid w:val="00F953CE"/>
    <w:rsid w:val="00FA7A81"/>
    <w:rsid w:val="00FB4C01"/>
    <w:rsid w:val="00FC1D0E"/>
    <w:rsid w:val="00FD1700"/>
    <w:rsid w:val="00FF7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D653E9"/>
  <w15:docId w15:val="{8064B7F7-8482-49FB-9D8F-14FD50E9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656D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56D2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656D2F"/>
    <w:pPr>
      <w:spacing w:before="100" w:beforeAutospacing="1" w:after="100" w:afterAutospacing="1" w:line="240" w:lineRule="auto"/>
    </w:pPr>
    <w:rPr>
      <w:rFonts w:ascii="Times New Roman" w:hAnsi="Times New Roman" w:cs="Times New Roman"/>
      <w:sz w:val="24"/>
      <w:szCs w:val="24"/>
    </w:rPr>
  </w:style>
  <w:style w:type="table" w:customStyle="1" w:styleId="ListTable21">
    <w:name w:val="List Table 21"/>
    <w:basedOn w:val="TableNormal"/>
    <w:uiPriority w:val="47"/>
    <w:rsid w:val="00FC1D0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BD7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DB6"/>
    <w:rPr>
      <w:rFonts w:ascii="Tahoma" w:hAnsi="Tahoma" w:cs="Tahoma"/>
      <w:sz w:val="16"/>
      <w:szCs w:val="16"/>
    </w:rPr>
  </w:style>
  <w:style w:type="character" w:styleId="PlaceholderText">
    <w:name w:val="Placeholder Text"/>
    <w:basedOn w:val="DefaultParagraphFont"/>
    <w:uiPriority w:val="99"/>
    <w:semiHidden/>
    <w:rsid w:val="00BD7DB6"/>
    <w:rPr>
      <w:color w:val="808080"/>
    </w:rPr>
  </w:style>
  <w:style w:type="paragraph" w:styleId="Title">
    <w:name w:val="Title"/>
    <w:basedOn w:val="Normal"/>
    <w:next w:val="Normal"/>
    <w:link w:val="TitleChar"/>
    <w:uiPriority w:val="10"/>
    <w:qFormat/>
    <w:rsid w:val="00D730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01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37FB1"/>
    <w:rPr>
      <w:color w:val="0563C1" w:themeColor="hyperlink"/>
      <w:u w:val="single"/>
    </w:rPr>
  </w:style>
  <w:style w:type="paragraph" w:styleId="NoSpacing">
    <w:name w:val="No Spacing"/>
    <w:uiPriority w:val="1"/>
    <w:qFormat/>
    <w:rsid w:val="00FA7A81"/>
    <w:pPr>
      <w:spacing w:after="0" w:line="240" w:lineRule="auto"/>
    </w:pPr>
  </w:style>
  <w:style w:type="paragraph" w:customStyle="1" w:styleId="RSCB02ArticleText">
    <w:name w:val="RSC B02 Article Text"/>
    <w:basedOn w:val="Normal"/>
    <w:link w:val="RSCB02ArticleTextChar"/>
    <w:qFormat/>
    <w:rsid w:val="00C2445B"/>
    <w:pPr>
      <w:spacing w:after="0" w:line="240" w:lineRule="exact"/>
      <w:jc w:val="both"/>
    </w:pPr>
    <w:rPr>
      <w:rFonts w:eastAsiaTheme="minorHAnsi" w:cs="Times New Roman"/>
      <w:w w:val="108"/>
      <w:sz w:val="18"/>
      <w:szCs w:val="18"/>
    </w:rPr>
  </w:style>
  <w:style w:type="character" w:customStyle="1" w:styleId="RSCB02ArticleTextChar">
    <w:name w:val="RSC B02 Article Text Char"/>
    <w:basedOn w:val="DefaultParagraphFont"/>
    <w:link w:val="RSCB02ArticleText"/>
    <w:rsid w:val="00C2445B"/>
    <w:rPr>
      <w:rFonts w:eastAsiaTheme="minorHAnsi" w:cs="Times New Roman"/>
      <w:w w:val="108"/>
      <w:sz w:val="18"/>
      <w:szCs w:val="18"/>
    </w:rPr>
  </w:style>
  <w:style w:type="paragraph" w:customStyle="1" w:styleId="RSCB04AHeadingSection">
    <w:name w:val="RSC B04 A Heading (Section)"/>
    <w:basedOn w:val="Normal"/>
    <w:link w:val="RSCB04AHeadingSectionChar"/>
    <w:qFormat/>
    <w:rsid w:val="00C2445B"/>
    <w:pPr>
      <w:spacing w:before="400" w:after="80" w:line="240" w:lineRule="auto"/>
    </w:pPr>
    <w:rPr>
      <w:rFonts w:eastAsiaTheme="minorHAnsi"/>
      <w:b/>
      <w:sz w:val="24"/>
    </w:rPr>
  </w:style>
  <w:style w:type="character" w:customStyle="1" w:styleId="RSCB04AHeadingSectionChar">
    <w:name w:val="RSC B04 A Heading (Section) Char"/>
    <w:basedOn w:val="DefaultParagraphFont"/>
    <w:link w:val="RSCB04AHeadingSection"/>
    <w:rsid w:val="00C2445B"/>
    <w:rPr>
      <w:rFonts w:eastAsiaTheme="minorHAnsi"/>
      <w:b/>
      <w:sz w:val="24"/>
    </w:rPr>
  </w:style>
  <w:style w:type="paragraph" w:styleId="ListParagraph">
    <w:name w:val="List Paragraph"/>
    <w:basedOn w:val="Normal"/>
    <w:uiPriority w:val="34"/>
    <w:qFormat/>
    <w:rsid w:val="00E85E3B"/>
    <w:pPr>
      <w:ind w:left="720"/>
      <w:contextualSpacing/>
    </w:pPr>
  </w:style>
  <w:style w:type="character" w:styleId="Strong">
    <w:name w:val="Strong"/>
    <w:basedOn w:val="DefaultParagraphFont"/>
    <w:uiPriority w:val="22"/>
    <w:qFormat/>
    <w:rsid w:val="00B74DDC"/>
    <w:rPr>
      <w:b/>
      <w:bCs/>
    </w:rPr>
  </w:style>
  <w:style w:type="character" w:customStyle="1" w:styleId="t286pc">
    <w:name w:val="t286pc"/>
    <w:basedOn w:val="DefaultParagraphFont"/>
    <w:rsid w:val="00B74DDC"/>
  </w:style>
  <w:style w:type="paragraph" w:customStyle="1" w:styleId="df3vjf">
    <w:name w:val="df3vjf"/>
    <w:basedOn w:val="Normal"/>
    <w:rsid w:val="00B74DDC"/>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7F3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71C"/>
  </w:style>
  <w:style w:type="paragraph" w:styleId="Footer">
    <w:name w:val="footer"/>
    <w:basedOn w:val="Normal"/>
    <w:link w:val="FooterChar"/>
    <w:uiPriority w:val="99"/>
    <w:unhideWhenUsed/>
    <w:rsid w:val="007F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95052">
      <w:marLeft w:val="0"/>
      <w:marRight w:val="0"/>
      <w:marTop w:val="0"/>
      <w:marBottom w:val="0"/>
      <w:divBdr>
        <w:top w:val="none" w:sz="0" w:space="0" w:color="auto"/>
        <w:left w:val="none" w:sz="0" w:space="0" w:color="auto"/>
        <w:bottom w:val="none" w:sz="0" w:space="0" w:color="auto"/>
        <w:right w:val="none" w:sz="0" w:space="0" w:color="auto"/>
      </w:divBdr>
      <w:divsChild>
        <w:div w:id="1026906164">
          <w:marLeft w:val="0"/>
          <w:marRight w:val="0"/>
          <w:marTop w:val="0"/>
          <w:marBottom w:val="0"/>
          <w:divBdr>
            <w:top w:val="none" w:sz="0" w:space="0" w:color="auto"/>
            <w:left w:val="none" w:sz="0" w:space="0" w:color="auto"/>
            <w:bottom w:val="none" w:sz="0" w:space="0" w:color="auto"/>
            <w:right w:val="none" w:sz="0" w:space="0" w:color="auto"/>
          </w:divBdr>
        </w:div>
        <w:div w:id="418791820">
          <w:marLeft w:val="0"/>
          <w:marRight w:val="0"/>
          <w:marTop w:val="0"/>
          <w:marBottom w:val="0"/>
          <w:divBdr>
            <w:top w:val="none" w:sz="0" w:space="0" w:color="auto"/>
            <w:left w:val="none" w:sz="0" w:space="0" w:color="auto"/>
            <w:bottom w:val="none" w:sz="0" w:space="0" w:color="auto"/>
            <w:right w:val="none" w:sz="0" w:space="0" w:color="auto"/>
          </w:divBdr>
          <w:divsChild>
            <w:div w:id="2139184395">
              <w:marLeft w:val="0"/>
              <w:marRight w:val="0"/>
              <w:marTop w:val="0"/>
              <w:marBottom w:val="0"/>
              <w:divBdr>
                <w:top w:val="none" w:sz="0" w:space="0" w:color="auto"/>
                <w:left w:val="none" w:sz="0" w:space="0" w:color="auto"/>
                <w:bottom w:val="none" w:sz="0" w:space="0" w:color="auto"/>
                <w:right w:val="none" w:sz="0" w:space="0" w:color="auto"/>
              </w:divBdr>
            </w:div>
          </w:divsChild>
        </w:div>
        <w:div w:id="1217467389">
          <w:marLeft w:val="0"/>
          <w:marRight w:val="0"/>
          <w:marTop w:val="0"/>
          <w:marBottom w:val="0"/>
          <w:divBdr>
            <w:top w:val="none" w:sz="0" w:space="0" w:color="auto"/>
            <w:left w:val="none" w:sz="0" w:space="0" w:color="auto"/>
            <w:bottom w:val="none" w:sz="0" w:space="0" w:color="auto"/>
            <w:right w:val="none" w:sz="0" w:space="0" w:color="auto"/>
          </w:divBdr>
          <w:divsChild>
            <w:div w:id="11001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220">
      <w:marLeft w:val="0"/>
      <w:marRight w:val="0"/>
      <w:marTop w:val="0"/>
      <w:marBottom w:val="0"/>
      <w:divBdr>
        <w:top w:val="none" w:sz="0" w:space="0" w:color="auto"/>
        <w:left w:val="none" w:sz="0" w:space="0" w:color="auto"/>
        <w:bottom w:val="none" w:sz="0" w:space="0" w:color="auto"/>
        <w:right w:val="none" w:sz="0" w:space="0" w:color="auto"/>
      </w:divBdr>
    </w:div>
    <w:div w:id="19177423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sprinpub.com/jabirian/article/view/jjbrpac.v2i1.593"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2683</TotalTime>
  <Pages>10</Pages>
  <Words>3552</Words>
  <Characters>20249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GOODNEWS IKEH</dc:creator>
  <cp:lastModifiedBy>SDI 1084</cp:lastModifiedBy>
  <cp:revision>28</cp:revision>
  <dcterms:created xsi:type="dcterms:W3CDTF">2026-03-30T06:44:00Z</dcterms:created>
  <dcterms:modified xsi:type="dcterms:W3CDTF">2026-04-03T07:03:00Z</dcterms:modified>
</cp:coreProperties>
</file>